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F10A4" w14:textId="77777777" w:rsidR="00A03627" w:rsidRDefault="00AA6297" w:rsidP="00065CF8">
      <w:pPr>
        <w:ind w:left="0" w:firstLine="0"/>
        <w:jc w:val="center"/>
        <w:rPr>
          <w:b/>
          <w:szCs w:val="22"/>
        </w:rPr>
      </w:pPr>
      <w:bookmarkStart w:id="0" w:name="_GoBack"/>
      <w:bookmarkEnd w:id="0"/>
      <w:r w:rsidRPr="00C40770">
        <w:rPr>
          <w:b/>
          <w:szCs w:val="22"/>
        </w:rPr>
        <w:t>SÚHRN CHARAKTERISTICKÝCH VLASTNOSTÍ LIEKU</w:t>
      </w:r>
    </w:p>
    <w:p w14:paraId="618E33F9" w14:textId="77777777" w:rsidR="00EC57BE" w:rsidRPr="00C40770" w:rsidRDefault="00EC57BE" w:rsidP="00AA6297">
      <w:pPr>
        <w:rPr>
          <w:b/>
          <w:szCs w:val="22"/>
        </w:rPr>
      </w:pPr>
    </w:p>
    <w:p w14:paraId="276CD3D7" w14:textId="77777777" w:rsidR="00EC57BE" w:rsidRPr="00C40770" w:rsidRDefault="00EC57BE" w:rsidP="00C40770">
      <w:pPr>
        <w:jc w:val="both"/>
        <w:rPr>
          <w:b/>
          <w:szCs w:val="22"/>
        </w:rPr>
      </w:pPr>
    </w:p>
    <w:p w14:paraId="1507A6AA" w14:textId="77777777" w:rsidR="00A03627" w:rsidRDefault="00AA6297" w:rsidP="00065CF8">
      <w:pPr>
        <w:rPr>
          <w:szCs w:val="22"/>
        </w:rPr>
      </w:pPr>
      <w:r w:rsidRPr="00C40770">
        <w:rPr>
          <w:b/>
          <w:szCs w:val="22"/>
        </w:rPr>
        <w:t>1.</w:t>
      </w:r>
      <w:r w:rsidRPr="00C40770">
        <w:rPr>
          <w:b/>
          <w:szCs w:val="22"/>
        </w:rPr>
        <w:tab/>
        <w:t>NÁZOV LIEKU</w:t>
      </w:r>
    </w:p>
    <w:p w14:paraId="61918D24" w14:textId="77777777" w:rsidR="00A03627" w:rsidRDefault="00A03627" w:rsidP="00065CF8">
      <w:pPr>
        <w:rPr>
          <w:szCs w:val="22"/>
        </w:rPr>
      </w:pPr>
    </w:p>
    <w:p w14:paraId="27E07F90" w14:textId="77777777" w:rsidR="00A03627" w:rsidRDefault="00EC57BE" w:rsidP="00065CF8">
      <w:pPr>
        <w:rPr>
          <w:szCs w:val="22"/>
        </w:rPr>
      </w:pPr>
      <w:r w:rsidRPr="000B2E3F">
        <w:rPr>
          <w:szCs w:val="22"/>
        </w:rPr>
        <w:t>AM</w:t>
      </w:r>
      <w:r w:rsidR="00511FD9" w:rsidRPr="000B2E3F">
        <w:rPr>
          <w:szCs w:val="22"/>
        </w:rPr>
        <w:t>I</w:t>
      </w:r>
      <w:r w:rsidRPr="000B2E3F">
        <w:rPr>
          <w:szCs w:val="22"/>
        </w:rPr>
        <w:t>TRIPTYLIN</w:t>
      </w:r>
      <w:r w:rsidR="00FD1212" w:rsidRPr="000B2E3F">
        <w:rPr>
          <w:szCs w:val="22"/>
        </w:rPr>
        <w:t>-</w:t>
      </w:r>
      <w:r w:rsidRPr="000B2E3F">
        <w:rPr>
          <w:szCs w:val="22"/>
        </w:rPr>
        <w:t>SLOVAKOFARMA</w:t>
      </w:r>
    </w:p>
    <w:p w14:paraId="6A8A76D9" w14:textId="77777777" w:rsidR="00A03627" w:rsidRDefault="00390B1A" w:rsidP="00065CF8">
      <w:pPr>
        <w:rPr>
          <w:szCs w:val="22"/>
        </w:rPr>
      </w:pPr>
      <w:r>
        <w:rPr>
          <w:szCs w:val="22"/>
        </w:rPr>
        <w:t>25</w:t>
      </w:r>
      <w:r w:rsidR="0024468F">
        <w:rPr>
          <w:szCs w:val="22"/>
        </w:rPr>
        <w:t> </w:t>
      </w:r>
      <w:r>
        <w:rPr>
          <w:szCs w:val="22"/>
        </w:rPr>
        <w:t>mg</w:t>
      </w:r>
    </w:p>
    <w:p w14:paraId="5CFE643B" w14:textId="77777777" w:rsidR="00A03627" w:rsidRDefault="00390B1A" w:rsidP="00065CF8">
      <w:pPr>
        <w:rPr>
          <w:szCs w:val="22"/>
        </w:rPr>
      </w:pPr>
      <w:r w:rsidRPr="00390B1A">
        <w:rPr>
          <w:szCs w:val="22"/>
        </w:rPr>
        <w:t>filmom obalen</w:t>
      </w:r>
      <w:r>
        <w:rPr>
          <w:szCs w:val="22"/>
        </w:rPr>
        <w:t>é</w:t>
      </w:r>
      <w:r w:rsidRPr="00390B1A">
        <w:rPr>
          <w:szCs w:val="22"/>
        </w:rPr>
        <w:t xml:space="preserve"> tablet</w:t>
      </w:r>
      <w:r>
        <w:rPr>
          <w:szCs w:val="22"/>
        </w:rPr>
        <w:t>y</w:t>
      </w:r>
    </w:p>
    <w:p w14:paraId="26581FE0" w14:textId="77777777" w:rsidR="00A03627" w:rsidRDefault="00A03627" w:rsidP="00065CF8">
      <w:pPr>
        <w:rPr>
          <w:szCs w:val="22"/>
        </w:rPr>
      </w:pPr>
    </w:p>
    <w:p w14:paraId="1DCB9231" w14:textId="77777777" w:rsidR="00A03627" w:rsidRDefault="00A03627" w:rsidP="00065CF8">
      <w:pPr>
        <w:rPr>
          <w:szCs w:val="22"/>
        </w:rPr>
      </w:pPr>
    </w:p>
    <w:p w14:paraId="25B43606" w14:textId="77777777" w:rsidR="00A03627" w:rsidRDefault="00AA6297" w:rsidP="00065CF8">
      <w:pPr>
        <w:rPr>
          <w:szCs w:val="22"/>
        </w:rPr>
      </w:pPr>
      <w:r w:rsidRPr="00C40770">
        <w:rPr>
          <w:b/>
          <w:szCs w:val="22"/>
        </w:rPr>
        <w:t>2.</w:t>
      </w:r>
      <w:r w:rsidRPr="00C40770">
        <w:rPr>
          <w:b/>
          <w:szCs w:val="22"/>
        </w:rPr>
        <w:tab/>
        <w:t>KVALITATÍVNE A KVANTITATÍVNE ZLOŽENIE</w:t>
      </w:r>
    </w:p>
    <w:p w14:paraId="0D893DF4" w14:textId="77777777" w:rsidR="00A03627" w:rsidRDefault="00A03627" w:rsidP="00065CF8">
      <w:pPr>
        <w:ind w:left="0" w:firstLine="0"/>
        <w:rPr>
          <w:szCs w:val="22"/>
        </w:rPr>
      </w:pPr>
    </w:p>
    <w:p w14:paraId="651A6ED6" w14:textId="77777777" w:rsidR="00A03627" w:rsidRDefault="00166051" w:rsidP="00065CF8">
      <w:pPr>
        <w:ind w:left="0" w:firstLine="0"/>
        <w:rPr>
          <w:szCs w:val="22"/>
        </w:rPr>
      </w:pPr>
      <w:r>
        <w:rPr>
          <w:szCs w:val="22"/>
        </w:rPr>
        <w:t xml:space="preserve">Jedna filmom obalená tableta obsahuje </w:t>
      </w:r>
      <w:r w:rsidRPr="00C40770">
        <w:rPr>
          <w:szCs w:val="22"/>
        </w:rPr>
        <w:t>28,3</w:t>
      </w:r>
      <w:r>
        <w:rPr>
          <w:szCs w:val="22"/>
        </w:rPr>
        <w:t> </w:t>
      </w:r>
      <w:r w:rsidRPr="00C40770">
        <w:rPr>
          <w:szCs w:val="22"/>
        </w:rPr>
        <w:t xml:space="preserve">mg </w:t>
      </w:r>
      <w:r>
        <w:rPr>
          <w:szCs w:val="22"/>
        </w:rPr>
        <w:t>a</w:t>
      </w:r>
      <w:r w:rsidR="001D7132" w:rsidRPr="00C40770">
        <w:rPr>
          <w:szCs w:val="22"/>
        </w:rPr>
        <w:t>mitriptylín</w:t>
      </w:r>
      <w:r w:rsidR="00C40770" w:rsidRPr="00C40770">
        <w:rPr>
          <w:szCs w:val="22"/>
        </w:rPr>
        <w:t>ium</w:t>
      </w:r>
      <w:r w:rsidR="001D7132" w:rsidRPr="00C40770">
        <w:rPr>
          <w:szCs w:val="22"/>
        </w:rPr>
        <w:t>chlorid</w:t>
      </w:r>
      <w:r>
        <w:rPr>
          <w:szCs w:val="22"/>
        </w:rPr>
        <w:t>u</w:t>
      </w:r>
      <w:r w:rsidR="00EC57BE" w:rsidRPr="00C40770">
        <w:rPr>
          <w:szCs w:val="22"/>
        </w:rPr>
        <w:t xml:space="preserve">, čo zodpovedá </w:t>
      </w:r>
      <w:r w:rsidR="001D7132" w:rsidRPr="00C40770">
        <w:rPr>
          <w:szCs w:val="22"/>
        </w:rPr>
        <w:t>25</w:t>
      </w:r>
      <w:r w:rsidR="0024468F">
        <w:rPr>
          <w:szCs w:val="22"/>
        </w:rPr>
        <w:t> </w:t>
      </w:r>
      <w:r w:rsidR="001D7132" w:rsidRPr="00C40770">
        <w:rPr>
          <w:szCs w:val="22"/>
        </w:rPr>
        <w:t xml:space="preserve">mg </w:t>
      </w:r>
      <w:r w:rsidR="00EC57BE" w:rsidRPr="00C40770">
        <w:rPr>
          <w:szCs w:val="22"/>
        </w:rPr>
        <w:t>amitriptyl</w:t>
      </w:r>
      <w:r w:rsidR="001D7132" w:rsidRPr="00C40770">
        <w:rPr>
          <w:szCs w:val="22"/>
        </w:rPr>
        <w:t>ínu</w:t>
      </w:r>
      <w:r>
        <w:rPr>
          <w:szCs w:val="22"/>
        </w:rPr>
        <w:t xml:space="preserve">. </w:t>
      </w:r>
    </w:p>
    <w:p w14:paraId="421B0699" w14:textId="77777777" w:rsidR="00A03627" w:rsidRDefault="00A03627" w:rsidP="00065CF8">
      <w:pPr>
        <w:pStyle w:val="EMEAEnBodyText"/>
        <w:autoSpaceDE w:val="0"/>
        <w:autoSpaceDN w:val="0"/>
        <w:adjustRightInd w:val="0"/>
        <w:spacing w:before="0" w:after="0"/>
        <w:jc w:val="left"/>
        <w:rPr>
          <w:szCs w:val="22"/>
          <w:lang w:val="sk-SK"/>
        </w:rPr>
      </w:pPr>
    </w:p>
    <w:p w14:paraId="21D8E2EA" w14:textId="77777777" w:rsidR="00A03627" w:rsidRDefault="0006390F" w:rsidP="00065CF8">
      <w:pPr>
        <w:pStyle w:val="EMEAEnBodyText"/>
        <w:autoSpaceDE w:val="0"/>
        <w:autoSpaceDN w:val="0"/>
        <w:adjustRightInd w:val="0"/>
        <w:spacing w:before="0" w:after="0"/>
        <w:jc w:val="left"/>
        <w:rPr>
          <w:szCs w:val="22"/>
          <w:u w:val="single"/>
          <w:lang w:val="sk-SK"/>
        </w:rPr>
      </w:pPr>
      <w:r w:rsidRPr="00065CF8">
        <w:rPr>
          <w:szCs w:val="22"/>
          <w:u w:val="single"/>
          <w:lang w:val="sk-SK"/>
        </w:rPr>
        <w:t>Pomocná látka so známym účinkom</w:t>
      </w:r>
    </w:p>
    <w:p w14:paraId="188601DA" w14:textId="77777777" w:rsidR="00A03627" w:rsidRDefault="00166051" w:rsidP="00065CF8">
      <w:pPr>
        <w:pStyle w:val="EMEAEnBodyText"/>
        <w:autoSpaceDE w:val="0"/>
        <w:autoSpaceDN w:val="0"/>
        <w:adjustRightInd w:val="0"/>
        <w:spacing w:before="0" w:after="0"/>
        <w:jc w:val="left"/>
        <w:rPr>
          <w:szCs w:val="22"/>
          <w:lang w:val="sk-SK"/>
        </w:rPr>
      </w:pPr>
      <w:r>
        <w:rPr>
          <w:szCs w:val="22"/>
          <w:lang w:val="sk-SK"/>
        </w:rPr>
        <w:t>laktóza</w:t>
      </w:r>
    </w:p>
    <w:p w14:paraId="6801CFAD" w14:textId="77777777" w:rsidR="00A03627" w:rsidRDefault="00EC57BE" w:rsidP="00065CF8">
      <w:pPr>
        <w:pStyle w:val="EMEAEnBodyText"/>
        <w:autoSpaceDE w:val="0"/>
        <w:autoSpaceDN w:val="0"/>
        <w:adjustRightInd w:val="0"/>
        <w:spacing w:before="0" w:after="0"/>
        <w:jc w:val="left"/>
        <w:rPr>
          <w:szCs w:val="22"/>
          <w:lang w:val="sk-SK"/>
        </w:rPr>
      </w:pPr>
      <w:r w:rsidRPr="00C40770">
        <w:rPr>
          <w:szCs w:val="22"/>
          <w:lang w:val="sk-SK"/>
        </w:rPr>
        <w:t xml:space="preserve"> </w:t>
      </w:r>
    </w:p>
    <w:p w14:paraId="288904A1" w14:textId="77777777" w:rsidR="00A03627" w:rsidRDefault="00AA6297" w:rsidP="00065CF8">
      <w:pPr>
        <w:tabs>
          <w:tab w:val="left" w:pos="567"/>
        </w:tabs>
        <w:spacing w:line="260" w:lineRule="exact"/>
        <w:ind w:left="0" w:firstLine="0"/>
        <w:rPr>
          <w:szCs w:val="22"/>
        </w:rPr>
      </w:pPr>
      <w:r w:rsidRPr="00C40770">
        <w:rPr>
          <w:szCs w:val="22"/>
        </w:rPr>
        <w:t>Úplný zoznam pomocných látok, pozri časť 6.1.</w:t>
      </w:r>
    </w:p>
    <w:p w14:paraId="2B8353BB" w14:textId="77777777" w:rsidR="00A03627" w:rsidRDefault="00A03627" w:rsidP="00065CF8">
      <w:pPr>
        <w:rPr>
          <w:szCs w:val="22"/>
        </w:rPr>
      </w:pPr>
    </w:p>
    <w:p w14:paraId="682FEC19" w14:textId="77777777" w:rsidR="00A03627" w:rsidRDefault="00A03627" w:rsidP="00065CF8">
      <w:pPr>
        <w:rPr>
          <w:szCs w:val="22"/>
        </w:rPr>
      </w:pPr>
    </w:p>
    <w:p w14:paraId="118159A5" w14:textId="77777777" w:rsidR="00A03627" w:rsidRDefault="00AA6297" w:rsidP="00065CF8">
      <w:pPr>
        <w:rPr>
          <w:caps/>
          <w:szCs w:val="22"/>
        </w:rPr>
      </w:pPr>
      <w:r w:rsidRPr="00C40770">
        <w:rPr>
          <w:b/>
          <w:szCs w:val="22"/>
        </w:rPr>
        <w:t>3.</w:t>
      </w:r>
      <w:r w:rsidRPr="00C40770">
        <w:rPr>
          <w:b/>
          <w:szCs w:val="22"/>
        </w:rPr>
        <w:tab/>
        <w:t>LIEKOVÁ FORMA</w:t>
      </w:r>
    </w:p>
    <w:p w14:paraId="2A58CB43" w14:textId="77777777" w:rsidR="00A03627" w:rsidRDefault="00A03627" w:rsidP="00065CF8">
      <w:pPr>
        <w:rPr>
          <w:szCs w:val="22"/>
        </w:rPr>
      </w:pPr>
    </w:p>
    <w:p w14:paraId="2B7A8549" w14:textId="783E8FFB" w:rsidR="00A03627" w:rsidRDefault="00774050" w:rsidP="00065CF8">
      <w:pPr>
        <w:rPr>
          <w:szCs w:val="22"/>
        </w:rPr>
      </w:pPr>
      <w:r>
        <w:rPr>
          <w:szCs w:val="22"/>
        </w:rPr>
        <w:t>F</w:t>
      </w:r>
      <w:r w:rsidR="00EC57BE" w:rsidRPr="00C40770">
        <w:rPr>
          <w:szCs w:val="22"/>
        </w:rPr>
        <w:t>ilmom obalen</w:t>
      </w:r>
      <w:r>
        <w:rPr>
          <w:szCs w:val="22"/>
        </w:rPr>
        <w:t>é</w:t>
      </w:r>
      <w:r w:rsidR="00EC57BE" w:rsidRPr="00C40770">
        <w:rPr>
          <w:szCs w:val="22"/>
        </w:rPr>
        <w:t xml:space="preserve"> tablet</w:t>
      </w:r>
      <w:r>
        <w:rPr>
          <w:szCs w:val="22"/>
        </w:rPr>
        <w:t>y</w:t>
      </w:r>
    </w:p>
    <w:p w14:paraId="165800FD" w14:textId="77777777" w:rsidR="00A03627" w:rsidRDefault="00EC57BE" w:rsidP="00065CF8">
      <w:pPr>
        <w:rPr>
          <w:szCs w:val="22"/>
        </w:rPr>
      </w:pPr>
      <w:r w:rsidRPr="00C40770">
        <w:rPr>
          <w:szCs w:val="22"/>
        </w:rPr>
        <w:t>Vzhľad: žlté filmom obalené tablety šošovkovitého tvaru, hladkého neporušeného povrchu, bez škvŕn.</w:t>
      </w:r>
    </w:p>
    <w:p w14:paraId="492A979E" w14:textId="77777777" w:rsidR="00A03627" w:rsidRDefault="00A03627" w:rsidP="00065CF8">
      <w:pPr>
        <w:rPr>
          <w:szCs w:val="22"/>
        </w:rPr>
      </w:pPr>
    </w:p>
    <w:p w14:paraId="02075A99" w14:textId="77777777" w:rsidR="00A03627" w:rsidRDefault="00A03627" w:rsidP="00065CF8">
      <w:pPr>
        <w:rPr>
          <w:szCs w:val="22"/>
        </w:rPr>
      </w:pPr>
    </w:p>
    <w:p w14:paraId="6F2B5D05" w14:textId="77777777" w:rsidR="00A03627" w:rsidRDefault="00AA6297" w:rsidP="00065CF8">
      <w:pPr>
        <w:rPr>
          <w:caps/>
          <w:szCs w:val="22"/>
        </w:rPr>
      </w:pPr>
      <w:r w:rsidRPr="00C40770">
        <w:rPr>
          <w:b/>
          <w:caps/>
          <w:szCs w:val="22"/>
        </w:rPr>
        <w:t>4.</w:t>
      </w:r>
      <w:r w:rsidRPr="00C40770">
        <w:rPr>
          <w:b/>
          <w:caps/>
          <w:szCs w:val="22"/>
        </w:rPr>
        <w:tab/>
        <w:t>KLINICKÉ ÚDAJE</w:t>
      </w:r>
    </w:p>
    <w:p w14:paraId="6D9C86EC" w14:textId="77777777" w:rsidR="00A03627" w:rsidRDefault="00A03627" w:rsidP="00065CF8">
      <w:pPr>
        <w:rPr>
          <w:szCs w:val="22"/>
        </w:rPr>
      </w:pPr>
    </w:p>
    <w:p w14:paraId="28F0F11D" w14:textId="77777777" w:rsidR="00A03627" w:rsidRDefault="00AA6297" w:rsidP="00065CF8">
      <w:pPr>
        <w:rPr>
          <w:szCs w:val="22"/>
        </w:rPr>
      </w:pPr>
      <w:r w:rsidRPr="00C40770">
        <w:rPr>
          <w:b/>
          <w:szCs w:val="22"/>
        </w:rPr>
        <w:t>4.1</w:t>
      </w:r>
      <w:r w:rsidRPr="00C40770">
        <w:rPr>
          <w:b/>
          <w:szCs w:val="22"/>
        </w:rPr>
        <w:tab/>
        <w:t>Terapeutické indikácie</w:t>
      </w:r>
    </w:p>
    <w:p w14:paraId="3E5EB63C" w14:textId="77777777" w:rsidR="00A03627" w:rsidRDefault="00A03627" w:rsidP="00065CF8">
      <w:pPr>
        <w:rPr>
          <w:szCs w:val="22"/>
        </w:rPr>
      </w:pPr>
    </w:p>
    <w:p w14:paraId="5281E753" w14:textId="1326902A" w:rsidR="00697203" w:rsidRDefault="00774050" w:rsidP="00E76742">
      <w:pPr>
        <w:rPr>
          <w:szCs w:val="22"/>
        </w:rPr>
      </w:pPr>
      <w:r w:rsidRPr="000B2E3F">
        <w:rPr>
          <w:szCs w:val="22"/>
        </w:rPr>
        <w:t>AMITRIPTYLIN-</w:t>
      </w:r>
      <w:r>
        <w:rPr>
          <w:szCs w:val="22"/>
        </w:rPr>
        <w:t xml:space="preserve">SLOVAKOFARMA </w:t>
      </w:r>
      <w:r w:rsidR="00697203">
        <w:rPr>
          <w:szCs w:val="22"/>
        </w:rPr>
        <w:t xml:space="preserve">je indikovaný: </w:t>
      </w:r>
    </w:p>
    <w:p w14:paraId="5C943896" w14:textId="77777777" w:rsidR="00697203" w:rsidRDefault="00697203" w:rsidP="00697203">
      <w:pPr>
        <w:pStyle w:val="Default"/>
        <w:rPr>
          <w:sz w:val="22"/>
          <w:szCs w:val="22"/>
        </w:rPr>
      </w:pPr>
    </w:p>
    <w:p w14:paraId="3D4BBFBD" w14:textId="77777777" w:rsidR="00697203" w:rsidRDefault="00697203" w:rsidP="00E76742">
      <w:pPr>
        <w:pStyle w:val="Default"/>
        <w:numPr>
          <w:ilvl w:val="0"/>
          <w:numId w:val="49"/>
        </w:numPr>
        <w:rPr>
          <w:sz w:val="22"/>
          <w:szCs w:val="22"/>
        </w:rPr>
      </w:pPr>
      <w:r>
        <w:rPr>
          <w:sz w:val="22"/>
          <w:szCs w:val="22"/>
        </w:rPr>
        <w:t xml:space="preserve">dospelým na liečbu veľkej depresívnej poruchy, </w:t>
      </w:r>
    </w:p>
    <w:p w14:paraId="1E07890F" w14:textId="77777777" w:rsidR="00697203" w:rsidRDefault="00697203" w:rsidP="00E76742">
      <w:pPr>
        <w:pStyle w:val="Default"/>
        <w:numPr>
          <w:ilvl w:val="0"/>
          <w:numId w:val="49"/>
        </w:numPr>
        <w:rPr>
          <w:sz w:val="22"/>
          <w:szCs w:val="22"/>
        </w:rPr>
      </w:pPr>
      <w:r>
        <w:rPr>
          <w:sz w:val="22"/>
          <w:szCs w:val="22"/>
        </w:rPr>
        <w:t>dospelým na liečbu neuropatickej bolesti;</w:t>
      </w:r>
    </w:p>
    <w:p w14:paraId="2221BE4C" w14:textId="77777777" w:rsidR="00697203" w:rsidRDefault="00697203" w:rsidP="00E76742">
      <w:pPr>
        <w:pStyle w:val="Default"/>
        <w:numPr>
          <w:ilvl w:val="0"/>
          <w:numId w:val="49"/>
        </w:numPr>
        <w:rPr>
          <w:sz w:val="22"/>
          <w:szCs w:val="22"/>
        </w:rPr>
      </w:pPr>
      <w:r>
        <w:rPr>
          <w:sz w:val="22"/>
          <w:szCs w:val="22"/>
        </w:rPr>
        <w:t xml:space="preserve">dospelým na profylaktickú liečbu chronickej bolesti hlavy tenzného typu (CTTH); </w:t>
      </w:r>
    </w:p>
    <w:p w14:paraId="038E25C8" w14:textId="77777777" w:rsidR="00697203" w:rsidRDefault="00697203" w:rsidP="00E76742">
      <w:pPr>
        <w:pStyle w:val="Default"/>
        <w:numPr>
          <w:ilvl w:val="0"/>
          <w:numId w:val="49"/>
        </w:numPr>
        <w:rPr>
          <w:sz w:val="22"/>
          <w:szCs w:val="22"/>
        </w:rPr>
      </w:pPr>
      <w:r>
        <w:rPr>
          <w:sz w:val="22"/>
          <w:szCs w:val="22"/>
        </w:rPr>
        <w:t>dospelým na profylaktickú liečbu migrény;</w:t>
      </w:r>
    </w:p>
    <w:p w14:paraId="7F4C17A9" w14:textId="77777777" w:rsidR="00697203" w:rsidRDefault="00697203" w:rsidP="00E76742">
      <w:pPr>
        <w:pStyle w:val="Default"/>
        <w:numPr>
          <w:ilvl w:val="0"/>
          <w:numId w:val="49"/>
        </w:numPr>
        <w:rPr>
          <w:sz w:val="22"/>
          <w:szCs w:val="22"/>
        </w:rPr>
      </w:pPr>
      <w:r>
        <w:rPr>
          <w:sz w:val="22"/>
          <w:szCs w:val="22"/>
        </w:rPr>
        <w:t xml:space="preserve">deťom vo veku 6 rokov a starším na liečbu nočnej enurézy v prípade, keď je organická patológia, vrátane rázštepu chrbtice a s tým súvisiacich porúch vylúčená a na všetky ostatné nemedikamentózne a medikamentózne liečby, vrátane spazmolytík a látok príbuzných vazopresínu, sa nedosiahla žiadna odpoveď. Tento liek má predpisovať len zdravotnícky pracovník s odbornými znalosťami v oblasti liečby pretrvávajúceho pomočovania. </w:t>
      </w:r>
    </w:p>
    <w:p w14:paraId="1FD14B0B" w14:textId="77777777" w:rsidR="00697203" w:rsidRDefault="00697203" w:rsidP="00065CF8">
      <w:pPr>
        <w:rPr>
          <w:b/>
          <w:szCs w:val="22"/>
        </w:rPr>
      </w:pPr>
    </w:p>
    <w:p w14:paraId="3B389A1F" w14:textId="77777777" w:rsidR="00A03627" w:rsidRDefault="00AA6297" w:rsidP="00065CF8">
      <w:pPr>
        <w:rPr>
          <w:b/>
          <w:szCs w:val="22"/>
        </w:rPr>
      </w:pPr>
      <w:r w:rsidRPr="00C40770">
        <w:rPr>
          <w:b/>
          <w:szCs w:val="22"/>
        </w:rPr>
        <w:t>4.2</w:t>
      </w:r>
      <w:r w:rsidRPr="00C40770">
        <w:rPr>
          <w:b/>
          <w:szCs w:val="22"/>
        </w:rPr>
        <w:tab/>
        <w:t>Dávkovanie a spôsob podávania</w:t>
      </w:r>
    </w:p>
    <w:p w14:paraId="057D68CA" w14:textId="77777777" w:rsidR="00A03627" w:rsidRDefault="00A03627" w:rsidP="00065CF8">
      <w:pPr>
        <w:rPr>
          <w:b/>
          <w:szCs w:val="22"/>
        </w:rPr>
      </w:pPr>
    </w:p>
    <w:p w14:paraId="3729B279" w14:textId="77777777" w:rsidR="00697203" w:rsidRDefault="00697203" w:rsidP="00697203">
      <w:pPr>
        <w:pStyle w:val="Default"/>
      </w:pPr>
      <w:r>
        <w:rPr>
          <w:sz w:val="22"/>
          <w:szCs w:val="22"/>
          <w:u w:val="single"/>
        </w:rPr>
        <w:t xml:space="preserve">Dávkovanie </w:t>
      </w:r>
    </w:p>
    <w:p w14:paraId="55B0A26C" w14:textId="77777777" w:rsidR="00697203" w:rsidRDefault="00697203" w:rsidP="00697203">
      <w:pPr>
        <w:pStyle w:val="Default"/>
        <w:rPr>
          <w:sz w:val="22"/>
          <w:szCs w:val="22"/>
        </w:rPr>
      </w:pPr>
    </w:p>
    <w:p w14:paraId="7453FA99" w14:textId="77777777" w:rsidR="00697203" w:rsidRDefault="00697203" w:rsidP="00697203">
      <w:pPr>
        <w:pStyle w:val="Default"/>
        <w:rPr>
          <w:sz w:val="22"/>
          <w:szCs w:val="22"/>
        </w:rPr>
      </w:pPr>
      <w:r>
        <w:rPr>
          <w:sz w:val="22"/>
          <w:szCs w:val="22"/>
        </w:rPr>
        <w:t xml:space="preserve">Nie so všetkými farmaceutickými formami/silami sa dá dosiahnuť každá dávkovacia schéma. Na začiatok liečby a pre každé prípadné následné dávky sa má vybrať zodpovedajúca lieková forma a sila. </w:t>
      </w:r>
    </w:p>
    <w:p w14:paraId="54C1B8F7" w14:textId="77777777" w:rsidR="00697203" w:rsidRDefault="00697203" w:rsidP="00697203">
      <w:pPr>
        <w:pStyle w:val="Default"/>
        <w:rPr>
          <w:i/>
          <w:iCs/>
          <w:sz w:val="22"/>
          <w:szCs w:val="22"/>
          <w:u w:val="single"/>
        </w:rPr>
      </w:pPr>
    </w:p>
    <w:p w14:paraId="26E1BF76" w14:textId="77777777" w:rsidR="00697203" w:rsidRDefault="00697203" w:rsidP="00697203">
      <w:pPr>
        <w:pStyle w:val="Default"/>
        <w:rPr>
          <w:sz w:val="22"/>
          <w:szCs w:val="22"/>
        </w:rPr>
      </w:pPr>
      <w:r>
        <w:rPr>
          <w:i/>
          <w:iCs/>
          <w:sz w:val="22"/>
          <w:szCs w:val="22"/>
          <w:u w:val="single"/>
        </w:rPr>
        <w:t xml:space="preserve">Veľká depresívna porucha </w:t>
      </w:r>
    </w:p>
    <w:p w14:paraId="3D7AE2A4" w14:textId="77777777" w:rsidR="00697203" w:rsidRDefault="00697203" w:rsidP="00697203">
      <w:pPr>
        <w:pStyle w:val="Default"/>
        <w:rPr>
          <w:sz w:val="22"/>
          <w:szCs w:val="22"/>
        </w:rPr>
      </w:pPr>
    </w:p>
    <w:p w14:paraId="2E558013" w14:textId="77777777" w:rsidR="00697203" w:rsidRDefault="00697203" w:rsidP="00697203">
      <w:pPr>
        <w:pStyle w:val="Default"/>
        <w:rPr>
          <w:sz w:val="22"/>
          <w:szCs w:val="22"/>
        </w:rPr>
      </w:pPr>
      <w:r>
        <w:rPr>
          <w:sz w:val="22"/>
          <w:szCs w:val="22"/>
        </w:rPr>
        <w:t xml:space="preserve">Má sa začať s dávkou na nižšej úrovni a postupne dávku zvyšovať, pričom treba starostlivo sledovať klinickú odpoveď a prípadné dôkazy neznášanlivosti. </w:t>
      </w:r>
    </w:p>
    <w:p w14:paraId="211F3238" w14:textId="77777777" w:rsidR="00697203" w:rsidRDefault="00697203" w:rsidP="00697203">
      <w:pPr>
        <w:pStyle w:val="Default"/>
        <w:rPr>
          <w:i/>
          <w:iCs/>
          <w:sz w:val="22"/>
          <w:szCs w:val="22"/>
        </w:rPr>
      </w:pPr>
    </w:p>
    <w:p w14:paraId="44D6559A" w14:textId="77777777" w:rsidR="00697203" w:rsidRPr="000A5177" w:rsidRDefault="00697203" w:rsidP="00697203">
      <w:pPr>
        <w:pStyle w:val="Default"/>
        <w:rPr>
          <w:sz w:val="22"/>
          <w:szCs w:val="22"/>
        </w:rPr>
      </w:pPr>
      <w:r w:rsidRPr="000A5177">
        <w:rPr>
          <w:i/>
          <w:iCs/>
          <w:sz w:val="22"/>
          <w:szCs w:val="22"/>
        </w:rPr>
        <w:t xml:space="preserve">Dospelí </w:t>
      </w:r>
    </w:p>
    <w:p w14:paraId="6D9EC4D1" w14:textId="77777777" w:rsidR="00697203" w:rsidRPr="000A5177" w:rsidRDefault="00697203" w:rsidP="00697203">
      <w:pPr>
        <w:pStyle w:val="Default"/>
        <w:rPr>
          <w:sz w:val="22"/>
          <w:szCs w:val="22"/>
        </w:rPr>
      </w:pPr>
      <w:r w:rsidRPr="001A66C9">
        <w:rPr>
          <w:sz w:val="22"/>
          <w:szCs w:val="22"/>
        </w:rPr>
        <w:t>Spočiatku 25 </w:t>
      </w:r>
      <w:r w:rsidRPr="00B231DB">
        <w:rPr>
          <w:sz w:val="22"/>
          <w:szCs w:val="22"/>
        </w:rPr>
        <w:t>mg 2-krát denne (50 </w:t>
      </w:r>
      <w:r w:rsidRPr="000A5177">
        <w:rPr>
          <w:sz w:val="22"/>
          <w:szCs w:val="22"/>
        </w:rPr>
        <w:t xml:space="preserve">mg denne). V prípade potreby možno dávku každý druhý deň zvyšovať o 25 mg až na 150 mg denne, rozdelenú na dve dávky. </w:t>
      </w:r>
    </w:p>
    <w:p w14:paraId="7EF177E3" w14:textId="77777777" w:rsidR="00697203" w:rsidRPr="000A5177" w:rsidRDefault="00697203" w:rsidP="00697203">
      <w:pPr>
        <w:pStyle w:val="Default"/>
        <w:rPr>
          <w:sz w:val="22"/>
          <w:szCs w:val="22"/>
        </w:rPr>
      </w:pPr>
      <w:r w:rsidRPr="000A5177">
        <w:rPr>
          <w:sz w:val="22"/>
          <w:szCs w:val="22"/>
        </w:rPr>
        <w:t>Udržiavacia dávka je najnižšia účinná dávka.</w:t>
      </w:r>
    </w:p>
    <w:p w14:paraId="10914A4F" w14:textId="77777777" w:rsidR="00697203" w:rsidRPr="000A5177" w:rsidRDefault="00697203" w:rsidP="00697203">
      <w:pPr>
        <w:pStyle w:val="Default"/>
        <w:rPr>
          <w:i/>
          <w:iCs/>
          <w:sz w:val="22"/>
          <w:szCs w:val="22"/>
        </w:rPr>
      </w:pPr>
    </w:p>
    <w:p w14:paraId="30DC8281" w14:textId="77777777" w:rsidR="00697203" w:rsidRPr="000A5177" w:rsidRDefault="00697203" w:rsidP="00697203">
      <w:pPr>
        <w:pStyle w:val="Default"/>
        <w:rPr>
          <w:sz w:val="22"/>
          <w:szCs w:val="22"/>
        </w:rPr>
      </w:pPr>
      <w:r w:rsidRPr="000A5177">
        <w:rPr>
          <w:i/>
          <w:iCs/>
          <w:sz w:val="22"/>
          <w:szCs w:val="22"/>
        </w:rPr>
        <w:t xml:space="preserve">Starší pacienti vo veku viac ako 65 rokov a pacienti s kardiovaskulárnym ochorením </w:t>
      </w:r>
    </w:p>
    <w:p w14:paraId="1687657C" w14:textId="77777777" w:rsidR="00697203" w:rsidRPr="000A5177" w:rsidRDefault="00697203" w:rsidP="00697203">
      <w:pPr>
        <w:pStyle w:val="Default"/>
        <w:rPr>
          <w:sz w:val="22"/>
          <w:szCs w:val="22"/>
        </w:rPr>
      </w:pPr>
      <w:r w:rsidRPr="000A5177">
        <w:rPr>
          <w:sz w:val="22"/>
          <w:szCs w:val="22"/>
        </w:rPr>
        <w:t xml:space="preserve">Spočiatku 10 mg – 25 mg denne. </w:t>
      </w:r>
    </w:p>
    <w:p w14:paraId="634CF89F" w14:textId="77777777" w:rsidR="00697203" w:rsidRPr="000A5177" w:rsidRDefault="00697203" w:rsidP="00697203">
      <w:pPr>
        <w:pStyle w:val="Default"/>
        <w:rPr>
          <w:sz w:val="22"/>
          <w:szCs w:val="22"/>
        </w:rPr>
      </w:pPr>
      <w:r w:rsidRPr="000A5177">
        <w:rPr>
          <w:sz w:val="22"/>
          <w:szCs w:val="22"/>
        </w:rPr>
        <w:t xml:space="preserve">V závislosti od individuálnej odpovede a znášanlivosti pacienta sa denná dávka môže zvýšiť až na 100 mg–150 mg, rozdelená na dve dávky. </w:t>
      </w:r>
    </w:p>
    <w:p w14:paraId="1AEADCE8" w14:textId="77777777" w:rsidR="00697203" w:rsidRPr="000A5177" w:rsidRDefault="00697203" w:rsidP="00697203">
      <w:pPr>
        <w:pStyle w:val="Default"/>
        <w:rPr>
          <w:sz w:val="22"/>
          <w:szCs w:val="22"/>
        </w:rPr>
      </w:pPr>
      <w:r w:rsidRPr="000A5177">
        <w:rPr>
          <w:sz w:val="22"/>
          <w:szCs w:val="22"/>
        </w:rPr>
        <w:t xml:space="preserve">Dávky vyššie ako 100 mg sa majú používať s opatrnosťou. </w:t>
      </w:r>
    </w:p>
    <w:p w14:paraId="3F296E66" w14:textId="77777777" w:rsidR="00697203" w:rsidRDefault="00697203" w:rsidP="00697203">
      <w:pPr>
        <w:pStyle w:val="Default"/>
        <w:rPr>
          <w:sz w:val="22"/>
          <w:szCs w:val="22"/>
        </w:rPr>
      </w:pPr>
      <w:r w:rsidRPr="000A5177">
        <w:rPr>
          <w:sz w:val="22"/>
          <w:szCs w:val="22"/>
        </w:rPr>
        <w:t>Udržiavacia dávka je najnižšia účinná dávka.</w:t>
      </w:r>
      <w:r>
        <w:rPr>
          <w:sz w:val="22"/>
          <w:szCs w:val="22"/>
        </w:rPr>
        <w:t xml:space="preserve"> </w:t>
      </w:r>
    </w:p>
    <w:p w14:paraId="337D08C9" w14:textId="77777777" w:rsidR="00697203" w:rsidRDefault="00697203" w:rsidP="00697203">
      <w:pPr>
        <w:pStyle w:val="Default"/>
        <w:rPr>
          <w:i/>
          <w:iCs/>
          <w:sz w:val="22"/>
          <w:szCs w:val="22"/>
        </w:rPr>
      </w:pPr>
    </w:p>
    <w:p w14:paraId="5EC6D6AB" w14:textId="77777777" w:rsidR="00697203" w:rsidRDefault="00697203" w:rsidP="00697203">
      <w:pPr>
        <w:pStyle w:val="Default"/>
        <w:rPr>
          <w:sz w:val="22"/>
          <w:szCs w:val="22"/>
        </w:rPr>
      </w:pPr>
      <w:r>
        <w:rPr>
          <w:i/>
          <w:iCs/>
          <w:sz w:val="22"/>
          <w:szCs w:val="22"/>
        </w:rPr>
        <w:t xml:space="preserve">Pediatrická populácia </w:t>
      </w:r>
    </w:p>
    <w:p w14:paraId="0D263B2F" w14:textId="77777777" w:rsidR="00697203" w:rsidRDefault="00697203" w:rsidP="00697203">
      <w:pPr>
        <w:pStyle w:val="Default"/>
        <w:rPr>
          <w:sz w:val="22"/>
          <w:szCs w:val="22"/>
        </w:rPr>
      </w:pPr>
      <w:r>
        <w:rPr>
          <w:sz w:val="22"/>
          <w:szCs w:val="22"/>
        </w:rPr>
        <w:t xml:space="preserve">Amitriptylín sa nemá používať u detí a dospievajúcich vo veku menej ako 18 rokov, pretože bezpečnosť a účinnosť neboli stanovené (pozri časť 4.4). </w:t>
      </w:r>
    </w:p>
    <w:p w14:paraId="0EB9447B" w14:textId="77777777" w:rsidR="00697203" w:rsidRDefault="00697203" w:rsidP="00697203">
      <w:pPr>
        <w:pStyle w:val="Default"/>
        <w:rPr>
          <w:i/>
          <w:iCs/>
          <w:sz w:val="22"/>
          <w:szCs w:val="22"/>
        </w:rPr>
      </w:pPr>
    </w:p>
    <w:p w14:paraId="7484E451" w14:textId="77777777" w:rsidR="00697203" w:rsidRDefault="00697203" w:rsidP="00697203">
      <w:pPr>
        <w:pStyle w:val="Default"/>
        <w:rPr>
          <w:sz w:val="22"/>
          <w:szCs w:val="22"/>
        </w:rPr>
      </w:pPr>
      <w:r>
        <w:rPr>
          <w:i/>
          <w:iCs/>
          <w:sz w:val="22"/>
          <w:szCs w:val="22"/>
        </w:rPr>
        <w:t xml:space="preserve">Dĺžka liečby </w:t>
      </w:r>
    </w:p>
    <w:p w14:paraId="2937FC20" w14:textId="77777777" w:rsidR="00697203" w:rsidRDefault="00697203" w:rsidP="00697203">
      <w:pPr>
        <w:pStyle w:val="Default"/>
        <w:rPr>
          <w:sz w:val="22"/>
          <w:szCs w:val="22"/>
        </w:rPr>
      </w:pPr>
      <w:r>
        <w:rPr>
          <w:sz w:val="22"/>
          <w:szCs w:val="22"/>
        </w:rPr>
        <w:t>Antidepresívny účinok nastupuje zvyčajne po 2</w:t>
      </w:r>
      <w:r w:rsidR="005B0174">
        <w:rPr>
          <w:sz w:val="22"/>
          <w:szCs w:val="22"/>
        </w:rPr>
        <w:t xml:space="preserve"> </w:t>
      </w:r>
      <w:r>
        <w:rPr>
          <w:sz w:val="22"/>
          <w:szCs w:val="22"/>
        </w:rPr>
        <w:t>–</w:t>
      </w:r>
      <w:r w:rsidR="005B0174">
        <w:rPr>
          <w:sz w:val="22"/>
          <w:szCs w:val="22"/>
        </w:rPr>
        <w:t xml:space="preserve"> </w:t>
      </w:r>
      <w:r>
        <w:rPr>
          <w:sz w:val="22"/>
          <w:szCs w:val="22"/>
        </w:rPr>
        <w:t xml:space="preserve">4 týždňoch. Liečba antidepresívami je symptomatická, a preto musí pokračovať primerane dlhú dobu, zvyčajne až 6 mesiacov po zotavení, aby sa zabránilo relapsu. </w:t>
      </w:r>
    </w:p>
    <w:p w14:paraId="63D02579" w14:textId="77777777" w:rsidR="00697203" w:rsidRDefault="00697203" w:rsidP="00697203">
      <w:pPr>
        <w:pStyle w:val="Default"/>
        <w:rPr>
          <w:i/>
          <w:iCs/>
          <w:sz w:val="22"/>
          <w:szCs w:val="22"/>
          <w:u w:val="single"/>
        </w:rPr>
      </w:pPr>
    </w:p>
    <w:p w14:paraId="433A8898" w14:textId="77777777" w:rsidR="00697203" w:rsidRDefault="00697203" w:rsidP="00697203">
      <w:pPr>
        <w:pStyle w:val="Default"/>
        <w:rPr>
          <w:sz w:val="22"/>
          <w:szCs w:val="22"/>
        </w:rPr>
      </w:pPr>
      <w:r>
        <w:rPr>
          <w:i/>
          <w:iCs/>
          <w:sz w:val="22"/>
          <w:szCs w:val="22"/>
          <w:u w:val="single"/>
        </w:rPr>
        <w:t xml:space="preserve">Neuropatická bolesť, prevencia chronickej bolesti hlavy tenzného typu a profylaxia migrény </w:t>
      </w:r>
    </w:p>
    <w:p w14:paraId="37970FCD" w14:textId="77777777" w:rsidR="00697203" w:rsidRDefault="00697203" w:rsidP="00697203">
      <w:pPr>
        <w:pStyle w:val="Default"/>
        <w:rPr>
          <w:sz w:val="22"/>
          <w:szCs w:val="22"/>
        </w:rPr>
      </w:pPr>
    </w:p>
    <w:p w14:paraId="39460A7C" w14:textId="77777777" w:rsidR="00697203" w:rsidRDefault="00697203" w:rsidP="00697203">
      <w:pPr>
        <w:pStyle w:val="Default"/>
        <w:rPr>
          <w:sz w:val="22"/>
          <w:szCs w:val="22"/>
        </w:rPr>
      </w:pPr>
      <w:r>
        <w:rPr>
          <w:sz w:val="22"/>
          <w:szCs w:val="22"/>
        </w:rPr>
        <w:t xml:space="preserve">U pacientov sa má dávka individuálne titrovať na úroveň, ktorá poskytne adekvátnu analgéziu pri prípustných nežiaducich reakciách na liek. Vo všeobecnosti sa má čo najkratší čas potrebný na liečbu príznakov používať najnižšia účinná dávka. </w:t>
      </w:r>
    </w:p>
    <w:p w14:paraId="4F0CF6CF" w14:textId="77777777" w:rsidR="00697203" w:rsidRDefault="00697203" w:rsidP="00697203">
      <w:pPr>
        <w:pStyle w:val="Default"/>
        <w:rPr>
          <w:i/>
          <w:iCs/>
          <w:sz w:val="22"/>
          <w:szCs w:val="22"/>
        </w:rPr>
      </w:pPr>
    </w:p>
    <w:p w14:paraId="3F655324" w14:textId="77777777" w:rsidR="00697203" w:rsidRPr="00BA4B35" w:rsidRDefault="00697203" w:rsidP="00697203">
      <w:pPr>
        <w:pStyle w:val="Default"/>
        <w:rPr>
          <w:sz w:val="22"/>
          <w:szCs w:val="22"/>
        </w:rPr>
      </w:pPr>
      <w:r w:rsidRPr="00BA4B35">
        <w:rPr>
          <w:i/>
          <w:iCs/>
          <w:sz w:val="22"/>
          <w:szCs w:val="22"/>
        </w:rPr>
        <w:t xml:space="preserve">Dospelí </w:t>
      </w:r>
    </w:p>
    <w:p w14:paraId="2D337428" w14:textId="77777777" w:rsidR="00697203" w:rsidRPr="00BA4B35" w:rsidRDefault="00697203" w:rsidP="00697203">
      <w:pPr>
        <w:pStyle w:val="Default"/>
        <w:rPr>
          <w:sz w:val="22"/>
          <w:szCs w:val="22"/>
        </w:rPr>
      </w:pPr>
      <w:r w:rsidRPr="00BA4B35">
        <w:rPr>
          <w:sz w:val="22"/>
          <w:szCs w:val="22"/>
        </w:rPr>
        <w:t xml:space="preserve">Odporúčané dávky sú 25 mg–75 mg denne užívané večer. Dávky vyššie ako 100 mg sa majú používať s opatrnosťou. </w:t>
      </w:r>
    </w:p>
    <w:p w14:paraId="29FBE179" w14:textId="77777777" w:rsidR="00697203" w:rsidRPr="00BA4B35" w:rsidRDefault="00697203" w:rsidP="00697203">
      <w:pPr>
        <w:pStyle w:val="Default"/>
        <w:rPr>
          <w:sz w:val="22"/>
          <w:szCs w:val="22"/>
        </w:rPr>
      </w:pPr>
      <w:r w:rsidRPr="00BA4B35">
        <w:rPr>
          <w:sz w:val="22"/>
          <w:szCs w:val="22"/>
        </w:rPr>
        <w:t xml:space="preserve">Počiatočná dávka má byť 10 mg-25 mg denne užívaná večer. Podľa znášanlivosti sa môžu dávky každých 3–7 dní zvýšiť o 10 mg-25 mg. </w:t>
      </w:r>
    </w:p>
    <w:p w14:paraId="3F05A89D" w14:textId="77777777" w:rsidR="00697203" w:rsidRPr="00BA4B35" w:rsidRDefault="00697203" w:rsidP="00697203">
      <w:pPr>
        <w:pStyle w:val="Default"/>
        <w:rPr>
          <w:sz w:val="22"/>
          <w:szCs w:val="22"/>
        </w:rPr>
      </w:pPr>
      <w:r w:rsidRPr="00BA4B35">
        <w:rPr>
          <w:sz w:val="22"/>
          <w:szCs w:val="22"/>
        </w:rPr>
        <w:t xml:space="preserve">Dávka sa môže užívať jedenkrát denne alebo rozdeliť na dve dávky. Jedna dávka nad 75 mg sa neodporúča. </w:t>
      </w:r>
    </w:p>
    <w:p w14:paraId="572257B7" w14:textId="77777777" w:rsidR="00697203" w:rsidRPr="00BA4B35" w:rsidRDefault="00697203" w:rsidP="00697203">
      <w:pPr>
        <w:pStyle w:val="Default"/>
        <w:rPr>
          <w:sz w:val="22"/>
          <w:szCs w:val="22"/>
        </w:rPr>
      </w:pPr>
      <w:r w:rsidRPr="00BA4B35">
        <w:rPr>
          <w:sz w:val="22"/>
          <w:szCs w:val="22"/>
        </w:rPr>
        <w:t xml:space="preserve">Analgetický účinok nastupuje zvyčajne po 2–4 týždňoch dávkovania. </w:t>
      </w:r>
    </w:p>
    <w:p w14:paraId="5B8BE8A9" w14:textId="77777777" w:rsidR="00697203" w:rsidRPr="00BA4B35" w:rsidRDefault="00697203" w:rsidP="00697203">
      <w:pPr>
        <w:pStyle w:val="Default"/>
        <w:rPr>
          <w:i/>
          <w:iCs/>
          <w:sz w:val="22"/>
          <w:szCs w:val="22"/>
        </w:rPr>
      </w:pPr>
    </w:p>
    <w:p w14:paraId="21698BCA" w14:textId="77777777" w:rsidR="00697203" w:rsidRPr="00BA4B35" w:rsidRDefault="00697203" w:rsidP="00697203">
      <w:pPr>
        <w:pStyle w:val="Default"/>
        <w:rPr>
          <w:sz w:val="22"/>
          <w:szCs w:val="22"/>
        </w:rPr>
      </w:pPr>
      <w:r w:rsidRPr="00BA4B35">
        <w:rPr>
          <w:i/>
          <w:iCs/>
          <w:sz w:val="22"/>
          <w:szCs w:val="22"/>
        </w:rPr>
        <w:t xml:space="preserve">Starší pacienti vo veku viac ako 65 rokov a pacienti s kardiovaskulárnym ochorením </w:t>
      </w:r>
    </w:p>
    <w:p w14:paraId="6924898A" w14:textId="77777777" w:rsidR="00697203" w:rsidRPr="00BA4B35" w:rsidRDefault="00697203" w:rsidP="00697203">
      <w:pPr>
        <w:pStyle w:val="Default"/>
        <w:rPr>
          <w:sz w:val="22"/>
          <w:szCs w:val="22"/>
        </w:rPr>
      </w:pPr>
      <w:r w:rsidRPr="00BA4B35">
        <w:rPr>
          <w:sz w:val="22"/>
          <w:szCs w:val="22"/>
        </w:rPr>
        <w:t xml:space="preserve">Odporúča sa počiatočná dávka 10 mg-25 mg užívaná večer. </w:t>
      </w:r>
    </w:p>
    <w:p w14:paraId="39BD6613" w14:textId="77777777" w:rsidR="00697203" w:rsidRPr="00BA4B35" w:rsidRDefault="00697203" w:rsidP="00697203">
      <w:pPr>
        <w:pStyle w:val="Default"/>
        <w:rPr>
          <w:sz w:val="22"/>
          <w:szCs w:val="22"/>
        </w:rPr>
      </w:pPr>
      <w:r w:rsidRPr="00BA4B35">
        <w:rPr>
          <w:sz w:val="22"/>
          <w:szCs w:val="22"/>
        </w:rPr>
        <w:t xml:space="preserve">Dávky vyššie ako 75 mg sa majú používať s opatrnosťou. </w:t>
      </w:r>
    </w:p>
    <w:p w14:paraId="3201B2CE" w14:textId="77777777" w:rsidR="00454DE5" w:rsidRPr="00E76742" w:rsidRDefault="00454DE5" w:rsidP="00697203">
      <w:pPr>
        <w:pStyle w:val="Default"/>
        <w:rPr>
          <w:sz w:val="22"/>
          <w:szCs w:val="22"/>
        </w:rPr>
      </w:pPr>
    </w:p>
    <w:p w14:paraId="063562C1" w14:textId="77777777" w:rsidR="00697203" w:rsidRDefault="00697203" w:rsidP="00697203">
      <w:pPr>
        <w:pStyle w:val="Default"/>
        <w:rPr>
          <w:sz w:val="22"/>
          <w:szCs w:val="22"/>
        </w:rPr>
      </w:pPr>
      <w:r w:rsidRPr="00BA4B35">
        <w:rPr>
          <w:sz w:val="22"/>
          <w:szCs w:val="22"/>
        </w:rPr>
        <w:t>Vo všeobecnosti sa odporúča začať liečbu s dávkou v nižšom rozsahu ako sa odporúča u dospelých. V závislosti od individuálnej odpovede a znášanlivosti pacienta sa denná dávka môže zvýšiť.</w:t>
      </w:r>
      <w:r>
        <w:rPr>
          <w:sz w:val="22"/>
          <w:szCs w:val="22"/>
        </w:rPr>
        <w:t xml:space="preserve"> </w:t>
      </w:r>
    </w:p>
    <w:p w14:paraId="491A3864" w14:textId="77777777" w:rsidR="00697203" w:rsidRDefault="00697203" w:rsidP="00697203">
      <w:pPr>
        <w:pStyle w:val="Default"/>
        <w:rPr>
          <w:i/>
          <w:iCs/>
          <w:sz w:val="22"/>
          <w:szCs w:val="22"/>
        </w:rPr>
      </w:pPr>
    </w:p>
    <w:p w14:paraId="0DF2299A" w14:textId="77777777" w:rsidR="00697203" w:rsidRDefault="00697203" w:rsidP="00697203">
      <w:pPr>
        <w:pStyle w:val="Default"/>
        <w:rPr>
          <w:sz w:val="22"/>
          <w:szCs w:val="22"/>
        </w:rPr>
      </w:pPr>
      <w:r>
        <w:rPr>
          <w:i/>
          <w:iCs/>
          <w:sz w:val="22"/>
          <w:szCs w:val="22"/>
        </w:rPr>
        <w:t xml:space="preserve">Pediatrická populácia </w:t>
      </w:r>
    </w:p>
    <w:p w14:paraId="1E32A12F" w14:textId="77777777" w:rsidR="00697203" w:rsidRDefault="00697203" w:rsidP="00697203">
      <w:pPr>
        <w:pStyle w:val="Default"/>
        <w:rPr>
          <w:sz w:val="22"/>
          <w:szCs w:val="22"/>
        </w:rPr>
      </w:pPr>
      <w:r>
        <w:rPr>
          <w:sz w:val="22"/>
          <w:szCs w:val="22"/>
        </w:rPr>
        <w:t xml:space="preserve">Amitriptylín sa nemá používať u detí a dospievajúcich vo veku menej ako 18 rokov, pretože bezpečnosť a účinnosť neboli stanovené (pozri časť 4.4). </w:t>
      </w:r>
    </w:p>
    <w:p w14:paraId="175E504F" w14:textId="77777777" w:rsidR="00697203" w:rsidRDefault="00697203" w:rsidP="00697203">
      <w:pPr>
        <w:pStyle w:val="Default"/>
        <w:rPr>
          <w:i/>
          <w:iCs/>
          <w:sz w:val="22"/>
          <w:szCs w:val="22"/>
        </w:rPr>
      </w:pPr>
    </w:p>
    <w:p w14:paraId="183B9E13" w14:textId="77777777" w:rsidR="00697203" w:rsidRDefault="00697203" w:rsidP="00697203">
      <w:pPr>
        <w:pStyle w:val="Default"/>
        <w:rPr>
          <w:sz w:val="22"/>
          <w:szCs w:val="22"/>
        </w:rPr>
      </w:pPr>
      <w:r>
        <w:rPr>
          <w:i/>
          <w:iCs/>
          <w:sz w:val="22"/>
          <w:szCs w:val="22"/>
        </w:rPr>
        <w:lastRenderedPageBreak/>
        <w:t xml:space="preserve">Dĺžka liečby </w:t>
      </w:r>
    </w:p>
    <w:p w14:paraId="422BFB4B" w14:textId="77777777" w:rsidR="00697203" w:rsidRDefault="00697203" w:rsidP="00697203">
      <w:pPr>
        <w:pStyle w:val="Default"/>
        <w:rPr>
          <w:i/>
          <w:iCs/>
          <w:sz w:val="22"/>
          <w:szCs w:val="22"/>
        </w:rPr>
      </w:pPr>
    </w:p>
    <w:p w14:paraId="2C545586" w14:textId="77777777" w:rsidR="00697203" w:rsidRDefault="00697203" w:rsidP="00697203">
      <w:pPr>
        <w:pStyle w:val="Default"/>
        <w:rPr>
          <w:sz w:val="22"/>
          <w:szCs w:val="22"/>
        </w:rPr>
      </w:pPr>
      <w:r>
        <w:rPr>
          <w:i/>
          <w:iCs/>
          <w:sz w:val="22"/>
          <w:szCs w:val="22"/>
        </w:rPr>
        <w:t xml:space="preserve">Neuropatická bolesť </w:t>
      </w:r>
    </w:p>
    <w:p w14:paraId="3A61B106" w14:textId="77777777" w:rsidR="00697203" w:rsidRDefault="00697203" w:rsidP="00697203">
      <w:pPr>
        <w:pStyle w:val="Default"/>
        <w:rPr>
          <w:sz w:val="22"/>
          <w:szCs w:val="22"/>
        </w:rPr>
      </w:pPr>
      <w:r>
        <w:rPr>
          <w:sz w:val="22"/>
          <w:szCs w:val="22"/>
        </w:rPr>
        <w:t xml:space="preserve">Liečba je symptomatická, a preto musí pokračovať primerane dlhú dobu. U mnohých pacientov môže byť liečba potrebná niekoľko rokov. Odporúča sa pravidelné prehodnocovanie, aby sa potvrdilo, či pokračovanie v liečbe zostáva pre pacienta vhodné. </w:t>
      </w:r>
    </w:p>
    <w:p w14:paraId="50D107A0" w14:textId="77777777" w:rsidR="00697203" w:rsidRDefault="00697203" w:rsidP="00697203">
      <w:pPr>
        <w:pStyle w:val="Default"/>
        <w:rPr>
          <w:i/>
          <w:iCs/>
          <w:sz w:val="22"/>
          <w:szCs w:val="22"/>
        </w:rPr>
      </w:pPr>
    </w:p>
    <w:p w14:paraId="7E1E53CC" w14:textId="77777777" w:rsidR="00697203" w:rsidRDefault="00697203" w:rsidP="00697203">
      <w:pPr>
        <w:pStyle w:val="Default"/>
        <w:rPr>
          <w:sz w:val="22"/>
          <w:szCs w:val="22"/>
        </w:rPr>
      </w:pPr>
      <w:r>
        <w:rPr>
          <w:i/>
          <w:iCs/>
          <w:sz w:val="22"/>
          <w:szCs w:val="22"/>
        </w:rPr>
        <w:t xml:space="preserve">Profylaktická liečba chronickej bolesti hlavy tenzného typu a profylaktická liečba migrény u dospelých </w:t>
      </w:r>
    </w:p>
    <w:p w14:paraId="6C81AEAB" w14:textId="77777777" w:rsidR="00697203" w:rsidRDefault="00697203" w:rsidP="00697203">
      <w:pPr>
        <w:pStyle w:val="Default"/>
        <w:rPr>
          <w:sz w:val="22"/>
          <w:szCs w:val="22"/>
        </w:rPr>
      </w:pPr>
      <w:r>
        <w:rPr>
          <w:sz w:val="22"/>
          <w:szCs w:val="22"/>
        </w:rPr>
        <w:t>Liečba musí pokračovať primerane dlhú dobu. Odporúča sa pravidelné prehodnocovanie, aby sa potvrdilo, či pokračovanie v liečbe zostáva pre pacienta vhodné.</w:t>
      </w:r>
    </w:p>
    <w:p w14:paraId="4616D62C" w14:textId="77777777" w:rsidR="00697203" w:rsidRDefault="00697203" w:rsidP="00697203">
      <w:pPr>
        <w:pStyle w:val="Default"/>
        <w:rPr>
          <w:i/>
          <w:iCs/>
          <w:sz w:val="22"/>
          <w:szCs w:val="22"/>
          <w:u w:val="single"/>
        </w:rPr>
      </w:pPr>
    </w:p>
    <w:p w14:paraId="75234028" w14:textId="77777777" w:rsidR="00697203" w:rsidRDefault="00697203" w:rsidP="00697203">
      <w:pPr>
        <w:pStyle w:val="Default"/>
        <w:rPr>
          <w:sz w:val="16"/>
          <w:szCs w:val="16"/>
        </w:rPr>
      </w:pPr>
      <w:r>
        <w:rPr>
          <w:i/>
          <w:iCs/>
          <w:sz w:val="22"/>
          <w:szCs w:val="22"/>
          <w:u w:val="single"/>
        </w:rPr>
        <w:t xml:space="preserve">Nočná enuréza </w:t>
      </w:r>
    </w:p>
    <w:p w14:paraId="64612721" w14:textId="77777777" w:rsidR="00697203" w:rsidRDefault="00697203" w:rsidP="00697203">
      <w:pPr>
        <w:pStyle w:val="Default"/>
        <w:rPr>
          <w:i/>
          <w:iCs/>
          <w:sz w:val="22"/>
          <w:szCs w:val="22"/>
        </w:rPr>
      </w:pPr>
    </w:p>
    <w:p w14:paraId="7E270CB4" w14:textId="77777777" w:rsidR="00697203" w:rsidRDefault="00697203" w:rsidP="00697203">
      <w:pPr>
        <w:pStyle w:val="Default"/>
        <w:rPr>
          <w:sz w:val="22"/>
          <w:szCs w:val="22"/>
        </w:rPr>
      </w:pPr>
      <w:r>
        <w:rPr>
          <w:i/>
          <w:iCs/>
          <w:sz w:val="22"/>
          <w:szCs w:val="22"/>
        </w:rPr>
        <w:t xml:space="preserve">Pediatrická populácia </w:t>
      </w:r>
    </w:p>
    <w:p w14:paraId="3B1F4EED" w14:textId="77777777" w:rsidR="00697203" w:rsidRDefault="00697203" w:rsidP="00697203">
      <w:pPr>
        <w:pStyle w:val="Default"/>
        <w:rPr>
          <w:sz w:val="22"/>
          <w:szCs w:val="22"/>
        </w:rPr>
      </w:pPr>
      <w:r>
        <w:rPr>
          <w:sz w:val="22"/>
          <w:szCs w:val="22"/>
        </w:rPr>
        <w:t xml:space="preserve">Odporúčané dávky pre: </w:t>
      </w:r>
    </w:p>
    <w:p w14:paraId="3B23A58D" w14:textId="77777777" w:rsidR="00697203" w:rsidRDefault="00697203" w:rsidP="00E76742">
      <w:pPr>
        <w:pStyle w:val="Default"/>
        <w:numPr>
          <w:ilvl w:val="0"/>
          <w:numId w:val="50"/>
        </w:numPr>
        <w:rPr>
          <w:sz w:val="22"/>
          <w:szCs w:val="22"/>
        </w:rPr>
      </w:pPr>
      <w:r>
        <w:rPr>
          <w:sz w:val="22"/>
          <w:szCs w:val="22"/>
        </w:rPr>
        <w:t>deti vo veku 6 až 10 rokov: 10 mg</w:t>
      </w:r>
      <w:r w:rsidR="00695928">
        <w:rPr>
          <w:sz w:val="22"/>
          <w:szCs w:val="22"/>
        </w:rPr>
        <w:t xml:space="preserve"> </w:t>
      </w:r>
      <w:r>
        <w:rPr>
          <w:sz w:val="22"/>
          <w:szCs w:val="22"/>
        </w:rPr>
        <w:t>–</w:t>
      </w:r>
      <w:r w:rsidR="00695928">
        <w:rPr>
          <w:sz w:val="22"/>
          <w:szCs w:val="22"/>
        </w:rPr>
        <w:t xml:space="preserve"> </w:t>
      </w:r>
      <w:r>
        <w:rPr>
          <w:sz w:val="22"/>
          <w:szCs w:val="22"/>
        </w:rPr>
        <w:t xml:space="preserve">20 mg: Pre túto vekovú skupinu sa má použiť vhodnejšia lieková forma, </w:t>
      </w:r>
    </w:p>
    <w:p w14:paraId="6192E8B0" w14:textId="77777777" w:rsidR="00697203" w:rsidRDefault="00697203" w:rsidP="00E76742">
      <w:pPr>
        <w:pStyle w:val="Default"/>
        <w:numPr>
          <w:ilvl w:val="0"/>
          <w:numId w:val="50"/>
        </w:numPr>
        <w:rPr>
          <w:sz w:val="22"/>
          <w:szCs w:val="22"/>
        </w:rPr>
      </w:pPr>
      <w:r>
        <w:rPr>
          <w:sz w:val="22"/>
          <w:szCs w:val="22"/>
        </w:rPr>
        <w:t>deti vo veku 11 rokov a staršie: 25 mg</w:t>
      </w:r>
      <w:r w:rsidR="00695928">
        <w:rPr>
          <w:sz w:val="22"/>
          <w:szCs w:val="22"/>
        </w:rPr>
        <w:t xml:space="preserve"> </w:t>
      </w:r>
      <w:r>
        <w:rPr>
          <w:sz w:val="22"/>
          <w:szCs w:val="22"/>
        </w:rPr>
        <w:t>–</w:t>
      </w:r>
      <w:r w:rsidR="00695928">
        <w:rPr>
          <w:sz w:val="22"/>
          <w:szCs w:val="22"/>
        </w:rPr>
        <w:t xml:space="preserve"> </w:t>
      </w:r>
      <w:r>
        <w:rPr>
          <w:sz w:val="22"/>
          <w:szCs w:val="22"/>
        </w:rPr>
        <w:t xml:space="preserve">50 mg denne. </w:t>
      </w:r>
    </w:p>
    <w:p w14:paraId="5BF5994D" w14:textId="77777777" w:rsidR="00697203" w:rsidRDefault="00697203" w:rsidP="00697203">
      <w:pPr>
        <w:pStyle w:val="Default"/>
        <w:rPr>
          <w:sz w:val="22"/>
          <w:szCs w:val="22"/>
        </w:rPr>
      </w:pPr>
    </w:p>
    <w:p w14:paraId="7807185A" w14:textId="3BA5A334" w:rsidR="00697203" w:rsidRDefault="00697203" w:rsidP="00697203">
      <w:pPr>
        <w:pStyle w:val="Default"/>
        <w:rPr>
          <w:sz w:val="22"/>
          <w:szCs w:val="22"/>
        </w:rPr>
      </w:pPr>
      <w:r>
        <w:rPr>
          <w:sz w:val="22"/>
          <w:szCs w:val="22"/>
        </w:rPr>
        <w:t>Dávka sa má postupne</w:t>
      </w:r>
      <w:r w:rsidR="000A5177" w:rsidRPr="000A5177">
        <w:rPr>
          <w:sz w:val="22"/>
          <w:szCs w:val="22"/>
        </w:rPr>
        <w:t xml:space="preserve"> </w:t>
      </w:r>
      <w:r w:rsidR="000A5177">
        <w:rPr>
          <w:sz w:val="22"/>
          <w:szCs w:val="22"/>
        </w:rPr>
        <w:t>zvyšovať</w:t>
      </w:r>
      <w:r>
        <w:rPr>
          <w:sz w:val="22"/>
          <w:szCs w:val="22"/>
        </w:rPr>
        <w:t xml:space="preserve">. </w:t>
      </w:r>
    </w:p>
    <w:p w14:paraId="433E3ECA" w14:textId="77777777" w:rsidR="00695928" w:rsidRDefault="00695928" w:rsidP="00697203">
      <w:pPr>
        <w:pStyle w:val="Default"/>
        <w:rPr>
          <w:sz w:val="22"/>
          <w:szCs w:val="22"/>
        </w:rPr>
      </w:pPr>
    </w:p>
    <w:p w14:paraId="45FB9C3B" w14:textId="77777777" w:rsidR="00697203" w:rsidRDefault="00697203" w:rsidP="00697203">
      <w:pPr>
        <w:pStyle w:val="Default"/>
        <w:rPr>
          <w:sz w:val="22"/>
          <w:szCs w:val="22"/>
        </w:rPr>
      </w:pPr>
      <w:r>
        <w:rPr>
          <w:sz w:val="22"/>
          <w:szCs w:val="22"/>
        </w:rPr>
        <w:t>Dávka má byť podávaná 1</w:t>
      </w:r>
      <w:r w:rsidR="00695928">
        <w:rPr>
          <w:sz w:val="22"/>
          <w:szCs w:val="22"/>
        </w:rPr>
        <w:t xml:space="preserve"> </w:t>
      </w:r>
      <w:r>
        <w:rPr>
          <w:sz w:val="22"/>
          <w:szCs w:val="22"/>
        </w:rPr>
        <w:t>–</w:t>
      </w:r>
      <w:r w:rsidR="00695928">
        <w:rPr>
          <w:sz w:val="22"/>
          <w:szCs w:val="22"/>
        </w:rPr>
        <w:t xml:space="preserve"> </w:t>
      </w:r>
      <w:r>
        <w:rPr>
          <w:sz w:val="22"/>
          <w:szCs w:val="22"/>
        </w:rPr>
        <w:t xml:space="preserve">1½ hodiny pred spaním. </w:t>
      </w:r>
    </w:p>
    <w:p w14:paraId="60A55CE5" w14:textId="77777777" w:rsidR="00697203" w:rsidRDefault="00697203" w:rsidP="00697203">
      <w:pPr>
        <w:pStyle w:val="Default"/>
        <w:rPr>
          <w:sz w:val="22"/>
          <w:szCs w:val="22"/>
        </w:rPr>
      </w:pPr>
      <w:r>
        <w:rPr>
          <w:sz w:val="22"/>
          <w:szCs w:val="22"/>
        </w:rPr>
        <w:t xml:space="preserve">Pred začatím liečby amitriptylínom sa má vykonať EKG, aby sa vylúčil syndróm dlhého QT. </w:t>
      </w:r>
    </w:p>
    <w:p w14:paraId="42E9B8C0" w14:textId="77777777" w:rsidR="00697203" w:rsidRDefault="00697203" w:rsidP="00697203">
      <w:pPr>
        <w:pStyle w:val="Default"/>
        <w:rPr>
          <w:i/>
          <w:iCs/>
          <w:sz w:val="22"/>
          <w:szCs w:val="22"/>
        </w:rPr>
      </w:pPr>
    </w:p>
    <w:p w14:paraId="1B616562" w14:textId="77777777" w:rsidR="00697203" w:rsidRDefault="00697203" w:rsidP="00697203">
      <w:pPr>
        <w:pStyle w:val="Default"/>
        <w:rPr>
          <w:sz w:val="22"/>
          <w:szCs w:val="22"/>
        </w:rPr>
      </w:pPr>
      <w:r>
        <w:rPr>
          <w:i/>
          <w:iCs/>
          <w:sz w:val="22"/>
          <w:szCs w:val="22"/>
        </w:rPr>
        <w:t xml:space="preserve">Dĺžka liečby </w:t>
      </w:r>
    </w:p>
    <w:p w14:paraId="027B2CF5" w14:textId="77777777" w:rsidR="00697203" w:rsidRDefault="00697203" w:rsidP="00697203">
      <w:pPr>
        <w:pStyle w:val="Default"/>
        <w:rPr>
          <w:sz w:val="22"/>
          <w:szCs w:val="22"/>
        </w:rPr>
      </w:pPr>
      <w:r>
        <w:rPr>
          <w:sz w:val="22"/>
          <w:szCs w:val="22"/>
        </w:rPr>
        <w:t xml:space="preserve">Maximálna dĺžka liečebného cyklu nemá presiahnuť 3 mesiace. </w:t>
      </w:r>
    </w:p>
    <w:p w14:paraId="4A786A00" w14:textId="77777777" w:rsidR="00697203" w:rsidRDefault="00697203" w:rsidP="00697203">
      <w:pPr>
        <w:pStyle w:val="Default"/>
        <w:ind w:left="567" w:hanging="568"/>
        <w:rPr>
          <w:sz w:val="22"/>
          <w:szCs w:val="22"/>
        </w:rPr>
      </w:pPr>
      <w:r>
        <w:rPr>
          <w:sz w:val="22"/>
          <w:szCs w:val="22"/>
        </w:rPr>
        <w:t xml:space="preserve">V prípade potreby opakovania liečby amitriptylínom sa má každé 3 mesiace vykonať zdravotná kontrola. </w:t>
      </w:r>
    </w:p>
    <w:p w14:paraId="08876848" w14:textId="77777777" w:rsidR="00697203" w:rsidRDefault="00697203" w:rsidP="00697203">
      <w:pPr>
        <w:pStyle w:val="Default"/>
        <w:rPr>
          <w:sz w:val="22"/>
          <w:szCs w:val="22"/>
        </w:rPr>
      </w:pPr>
      <w:r>
        <w:rPr>
          <w:sz w:val="22"/>
          <w:szCs w:val="22"/>
        </w:rPr>
        <w:t xml:space="preserve">Pri ukončovaní liečby sa má amitriptylín vysadzovať postupne. </w:t>
      </w:r>
    </w:p>
    <w:p w14:paraId="4DB85A50" w14:textId="77777777" w:rsidR="00697203" w:rsidRDefault="00697203" w:rsidP="00697203">
      <w:pPr>
        <w:pStyle w:val="Default"/>
        <w:rPr>
          <w:i/>
          <w:iCs/>
          <w:sz w:val="22"/>
          <w:szCs w:val="22"/>
          <w:u w:val="single"/>
        </w:rPr>
      </w:pPr>
    </w:p>
    <w:p w14:paraId="346D85D5" w14:textId="77777777" w:rsidR="00697203" w:rsidRDefault="00697203" w:rsidP="00697203">
      <w:pPr>
        <w:pStyle w:val="Default"/>
        <w:rPr>
          <w:sz w:val="22"/>
          <w:szCs w:val="22"/>
        </w:rPr>
      </w:pPr>
      <w:r>
        <w:rPr>
          <w:i/>
          <w:iCs/>
          <w:sz w:val="22"/>
          <w:szCs w:val="22"/>
          <w:u w:val="single"/>
        </w:rPr>
        <w:t xml:space="preserve">Osobitné skupiny pacientov </w:t>
      </w:r>
    </w:p>
    <w:p w14:paraId="68B3FCE4" w14:textId="77777777" w:rsidR="00C06C3F" w:rsidRDefault="00C06C3F" w:rsidP="00697203">
      <w:pPr>
        <w:pStyle w:val="Default"/>
        <w:rPr>
          <w:i/>
          <w:iCs/>
          <w:sz w:val="22"/>
          <w:szCs w:val="22"/>
        </w:rPr>
      </w:pPr>
    </w:p>
    <w:p w14:paraId="5BF99FBA" w14:textId="77777777" w:rsidR="00697203" w:rsidRDefault="00697203" w:rsidP="00697203">
      <w:pPr>
        <w:pStyle w:val="Default"/>
        <w:rPr>
          <w:sz w:val="22"/>
          <w:szCs w:val="22"/>
        </w:rPr>
      </w:pPr>
      <w:r>
        <w:rPr>
          <w:i/>
          <w:iCs/>
          <w:sz w:val="22"/>
          <w:szCs w:val="22"/>
        </w:rPr>
        <w:t xml:space="preserve">Znížená funkcia obličiek </w:t>
      </w:r>
    </w:p>
    <w:p w14:paraId="127187CD" w14:textId="77777777" w:rsidR="00697203" w:rsidRDefault="00697203" w:rsidP="00697203">
      <w:pPr>
        <w:pStyle w:val="Default"/>
        <w:rPr>
          <w:sz w:val="22"/>
          <w:szCs w:val="22"/>
        </w:rPr>
      </w:pPr>
      <w:r>
        <w:rPr>
          <w:sz w:val="22"/>
          <w:szCs w:val="22"/>
        </w:rPr>
        <w:t xml:space="preserve">Pacientom so zlyhaním obličiek môže byť tento liek podávaný v obvyklých dávkach. </w:t>
      </w:r>
    </w:p>
    <w:p w14:paraId="28738629" w14:textId="77777777" w:rsidR="00697203" w:rsidRDefault="00697203" w:rsidP="00697203">
      <w:pPr>
        <w:pStyle w:val="Default"/>
        <w:rPr>
          <w:i/>
          <w:iCs/>
          <w:sz w:val="22"/>
          <w:szCs w:val="22"/>
        </w:rPr>
      </w:pPr>
    </w:p>
    <w:p w14:paraId="72EE9FB1" w14:textId="77777777" w:rsidR="00697203" w:rsidRDefault="00697203" w:rsidP="00697203">
      <w:pPr>
        <w:pStyle w:val="Default"/>
        <w:rPr>
          <w:sz w:val="22"/>
          <w:szCs w:val="22"/>
        </w:rPr>
      </w:pPr>
      <w:r>
        <w:rPr>
          <w:i/>
          <w:iCs/>
          <w:sz w:val="22"/>
          <w:szCs w:val="22"/>
        </w:rPr>
        <w:t xml:space="preserve">Znížená funkcia pečene </w:t>
      </w:r>
    </w:p>
    <w:p w14:paraId="47715079" w14:textId="77777777" w:rsidR="00697203" w:rsidRDefault="00697203" w:rsidP="00697203">
      <w:pPr>
        <w:pStyle w:val="Default"/>
        <w:rPr>
          <w:sz w:val="22"/>
          <w:szCs w:val="22"/>
        </w:rPr>
      </w:pPr>
      <w:r>
        <w:rPr>
          <w:sz w:val="22"/>
          <w:szCs w:val="22"/>
        </w:rPr>
        <w:t xml:space="preserve">Odporúča sa opatrné dávkovanie a, ak je to možné, stanoviť hladinu lieku v sére. </w:t>
      </w:r>
    </w:p>
    <w:p w14:paraId="6128FF82" w14:textId="77777777" w:rsidR="00697203" w:rsidRDefault="00697203" w:rsidP="00697203">
      <w:pPr>
        <w:pStyle w:val="Default"/>
        <w:rPr>
          <w:i/>
          <w:iCs/>
          <w:sz w:val="22"/>
          <w:szCs w:val="22"/>
        </w:rPr>
      </w:pPr>
    </w:p>
    <w:p w14:paraId="7CDEF7FD" w14:textId="77777777" w:rsidR="00697203" w:rsidRDefault="00697203" w:rsidP="00697203">
      <w:pPr>
        <w:pStyle w:val="Default"/>
        <w:rPr>
          <w:sz w:val="22"/>
          <w:szCs w:val="22"/>
        </w:rPr>
      </w:pPr>
      <w:r>
        <w:rPr>
          <w:i/>
          <w:iCs/>
          <w:sz w:val="22"/>
          <w:szCs w:val="22"/>
        </w:rPr>
        <w:t xml:space="preserve">Inhibítory enzýmu CYP2D6 cytochrómu P450 </w:t>
      </w:r>
    </w:p>
    <w:p w14:paraId="10DC95FB" w14:textId="77777777" w:rsidR="00697203" w:rsidRDefault="00697203" w:rsidP="00697203">
      <w:pPr>
        <w:pStyle w:val="Default"/>
        <w:rPr>
          <w:sz w:val="22"/>
          <w:szCs w:val="22"/>
        </w:rPr>
      </w:pPr>
      <w:r>
        <w:rPr>
          <w:sz w:val="22"/>
          <w:szCs w:val="22"/>
        </w:rPr>
        <w:t xml:space="preserve">V závislosti od individuálnej odpovede pacienta sa má zvážiť nižšia dávka amitriptylínu, ak sa k liečbe amitriptylínom pridáva silný inhibítor CYP2D6 (napr. bupropión, chinidín, fluoxetín, paroxetín) (pozri časť 4.5). </w:t>
      </w:r>
    </w:p>
    <w:p w14:paraId="79727567" w14:textId="77777777" w:rsidR="00697203" w:rsidRDefault="00697203" w:rsidP="00697203">
      <w:pPr>
        <w:pStyle w:val="Default"/>
        <w:rPr>
          <w:i/>
          <w:iCs/>
          <w:sz w:val="22"/>
          <w:szCs w:val="22"/>
        </w:rPr>
      </w:pPr>
    </w:p>
    <w:p w14:paraId="370EEB9A" w14:textId="77777777" w:rsidR="00697203" w:rsidRDefault="00697203" w:rsidP="00697203">
      <w:pPr>
        <w:pStyle w:val="Default"/>
        <w:rPr>
          <w:sz w:val="22"/>
          <w:szCs w:val="22"/>
        </w:rPr>
      </w:pPr>
      <w:r>
        <w:rPr>
          <w:i/>
          <w:iCs/>
          <w:sz w:val="22"/>
          <w:szCs w:val="22"/>
        </w:rPr>
        <w:t xml:space="preserve">Známi pomalí metabolizátori CYP2D6 alebo CYP2C19 </w:t>
      </w:r>
    </w:p>
    <w:p w14:paraId="52713E19" w14:textId="77777777" w:rsidR="00697203" w:rsidRDefault="00697203" w:rsidP="00697203">
      <w:pPr>
        <w:pStyle w:val="Default"/>
        <w:rPr>
          <w:sz w:val="22"/>
          <w:szCs w:val="22"/>
        </w:rPr>
      </w:pPr>
      <w:r>
        <w:rPr>
          <w:sz w:val="22"/>
          <w:szCs w:val="22"/>
        </w:rPr>
        <w:t xml:space="preserve">Títo pacienti môžu mať vyššie plazmatické koncentrácie amitriptylínu a jeho aktívneho metabolitu nortriptylínu. Zvážte 50% zníženie odporúčanej úvodnej dávky. </w:t>
      </w:r>
    </w:p>
    <w:p w14:paraId="134A6856" w14:textId="4B9F1CA4" w:rsidR="00A03627" w:rsidRDefault="00A03627" w:rsidP="00E76742">
      <w:pPr>
        <w:rPr>
          <w:szCs w:val="22"/>
          <w:u w:val="single"/>
          <w:lang w:val="en-GB"/>
        </w:rPr>
      </w:pPr>
    </w:p>
    <w:p w14:paraId="28915B20" w14:textId="77777777" w:rsidR="00CD6DB3" w:rsidRPr="00B3298A" w:rsidRDefault="00CD6DB3" w:rsidP="00B3298A">
      <w:pPr>
        <w:pStyle w:val="Zkladntext"/>
        <w:rPr>
          <w:szCs w:val="22"/>
          <w:lang w:val="en-GB"/>
        </w:rPr>
      </w:pPr>
    </w:p>
    <w:p w14:paraId="6B6190B9" w14:textId="77777777" w:rsidR="00CD6DB3" w:rsidRPr="00B3298A" w:rsidRDefault="007A3D24" w:rsidP="001552A5">
      <w:pPr>
        <w:pStyle w:val="Zkladntext"/>
        <w:rPr>
          <w:szCs w:val="22"/>
          <w:u w:val="single"/>
          <w:lang w:val="en-GB"/>
        </w:rPr>
      </w:pPr>
      <w:r>
        <w:rPr>
          <w:szCs w:val="22"/>
          <w:u w:val="single"/>
          <w:lang w:val="en-GB"/>
        </w:rPr>
        <w:t>Spôsob podávania</w:t>
      </w:r>
    </w:p>
    <w:p w14:paraId="18F9E898" w14:textId="77777777" w:rsidR="00697203" w:rsidRDefault="00697203" w:rsidP="001552A5">
      <w:pPr>
        <w:pStyle w:val="Hlavika"/>
        <w:tabs>
          <w:tab w:val="clear" w:pos="4536"/>
          <w:tab w:val="clear" w:pos="9072"/>
        </w:tabs>
        <w:rPr>
          <w:sz w:val="22"/>
          <w:szCs w:val="22"/>
          <w:lang w:val="en-GB"/>
        </w:rPr>
      </w:pPr>
    </w:p>
    <w:p w14:paraId="465CCB89" w14:textId="321A99F1" w:rsidR="00697203" w:rsidRDefault="00C06C3F" w:rsidP="001552A5">
      <w:pPr>
        <w:pStyle w:val="Hlavika"/>
        <w:tabs>
          <w:tab w:val="clear" w:pos="4536"/>
          <w:tab w:val="clear" w:pos="9072"/>
        </w:tabs>
        <w:rPr>
          <w:sz w:val="22"/>
          <w:szCs w:val="22"/>
        </w:rPr>
      </w:pPr>
      <w:r w:rsidRPr="000B2E3F">
        <w:rPr>
          <w:szCs w:val="22"/>
        </w:rPr>
        <w:t>AMITRIPTYLIN-</w:t>
      </w:r>
      <w:r>
        <w:rPr>
          <w:szCs w:val="22"/>
        </w:rPr>
        <w:t xml:space="preserve">SLOVAKOFARMA </w:t>
      </w:r>
      <w:r w:rsidR="00697203">
        <w:rPr>
          <w:sz w:val="22"/>
          <w:szCs w:val="22"/>
        </w:rPr>
        <w:t>je na perorálne použitie.</w:t>
      </w:r>
    </w:p>
    <w:p w14:paraId="70F92913" w14:textId="61BCE61E" w:rsidR="00CD6DB3" w:rsidRPr="00005115" w:rsidRDefault="0095647A">
      <w:pPr>
        <w:pStyle w:val="Hlavika"/>
        <w:tabs>
          <w:tab w:val="clear" w:pos="4536"/>
          <w:tab w:val="clear" w:pos="9072"/>
        </w:tabs>
        <w:rPr>
          <w:sz w:val="22"/>
          <w:szCs w:val="22"/>
          <w:lang w:val="en-GB"/>
        </w:rPr>
      </w:pPr>
      <w:r w:rsidRPr="00005115">
        <w:rPr>
          <w:sz w:val="22"/>
          <w:szCs w:val="22"/>
          <w:lang w:val="en-GB"/>
        </w:rPr>
        <w:t>T</w:t>
      </w:r>
      <w:r w:rsidR="007A3D24">
        <w:rPr>
          <w:sz w:val="22"/>
          <w:szCs w:val="22"/>
          <w:lang w:val="en-GB"/>
        </w:rPr>
        <w:t xml:space="preserve">ablety sa majú zapiť </w:t>
      </w:r>
      <w:r w:rsidR="00697203">
        <w:rPr>
          <w:sz w:val="22"/>
          <w:szCs w:val="22"/>
          <w:lang w:val="en-GB"/>
        </w:rPr>
        <w:t>vodou</w:t>
      </w:r>
      <w:r w:rsidRPr="00005115">
        <w:rPr>
          <w:sz w:val="22"/>
          <w:szCs w:val="22"/>
          <w:lang w:val="en-GB"/>
        </w:rPr>
        <w:t>.</w:t>
      </w:r>
    </w:p>
    <w:p w14:paraId="21A9A3BB" w14:textId="77777777" w:rsidR="00A03627" w:rsidRDefault="00A03627">
      <w:pPr>
        <w:rPr>
          <w:szCs w:val="22"/>
        </w:rPr>
      </w:pPr>
    </w:p>
    <w:p w14:paraId="03FB1115" w14:textId="77777777" w:rsidR="00697203" w:rsidRDefault="00697203">
      <w:pPr>
        <w:pStyle w:val="Default"/>
        <w:jc w:val="both"/>
      </w:pPr>
      <w:r>
        <w:rPr>
          <w:sz w:val="22"/>
          <w:szCs w:val="22"/>
          <w:u w:val="single"/>
        </w:rPr>
        <w:t xml:space="preserve">Prerušenie liečby </w:t>
      </w:r>
    </w:p>
    <w:p w14:paraId="51CB056E" w14:textId="77777777" w:rsidR="00697203" w:rsidRDefault="00697203">
      <w:pPr>
        <w:rPr>
          <w:szCs w:val="22"/>
        </w:rPr>
      </w:pPr>
      <w:r>
        <w:rPr>
          <w:szCs w:val="22"/>
        </w:rPr>
        <w:t>Pri ukončovaní liečby sa má liek vysadzovať postupne v priebehu niekoľkých týždňov.</w:t>
      </w:r>
    </w:p>
    <w:p w14:paraId="749C2CA4" w14:textId="77777777" w:rsidR="00697203" w:rsidRDefault="00697203" w:rsidP="00697203">
      <w:pPr>
        <w:rPr>
          <w:szCs w:val="22"/>
        </w:rPr>
      </w:pPr>
    </w:p>
    <w:p w14:paraId="26698E0F" w14:textId="77777777" w:rsidR="00A03627" w:rsidRDefault="00AA6297" w:rsidP="00065CF8">
      <w:pPr>
        <w:rPr>
          <w:szCs w:val="22"/>
        </w:rPr>
      </w:pPr>
      <w:r w:rsidRPr="00C40770">
        <w:rPr>
          <w:b/>
          <w:szCs w:val="22"/>
        </w:rPr>
        <w:t>4.3</w:t>
      </w:r>
      <w:r w:rsidRPr="00C40770">
        <w:rPr>
          <w:b/>
          <w:szCs w:val="22"/>
        </w:rPr>
        <w:tab/>
        <w:t xml:space="preserve">Kontraindikácie </w:t>
      </w:r>
    </w:p>
    <w:p w14:paraId="3A7BA04E" w14:textId="77777777" w:rsidR="00A03627" w:rsidRDefault="00A03627" w:rsidP="00065CF8">
      <w:pPr>
        <w:rPr>
          <w:szCs w:val="22"/>
        </w:rPr>
      </w:pPr>
    </w:p>
    <w:p w14:paraId="33C1956C" w14:textId="77777777" w:rsidR="00697203" w:rsidRDefault="00697203" w:rsidP="00697203">
      <w:pPr>
        <w:pStyle w:val="Default"/>
        <w:rPr>
          <w:sz w:val="22"/>
          <w:szCs w:val="22"/>
        </w:rPr>
      </w:pPr>
      <w:r>
        <w:rPr>
          <w:sz w:val="22"/>
          <w:szCs w:val="22"/>
        </w:rPr>
        <w:t xml:space="preserve">Precitlivenosť na liečivo alebo na ktorúkoľvek z pomocných látok uvedených v časti 6.1. </w:t>
      </w:r>
    </w:p>
    <w:p w14:paraId="248E15D8" w14:textId="77777777" w:rsidR="00BC24A0" w:rsidRDefault="00BC24A0" w:rsidP="00697203">
      <w:pPr>
        <w:pStyle w:val="Default"/>
        <w:rPr>
          <w:sz w:val="22"/>
          <w:szCs w:val="22"/>
        </w:rPr>
      </w:pPr>
    </w:p>
    <w:p w14:paraId="79E8CF7D" w14:textId="77777777" w:rsidR="00697203" w:rsidRDefault="00697203" w:rsidP="00697203">
      <w:pPr>
        <w:pStyle w:val="Default"/>
        <w:rPr>
          <w:sz w:val="22"/>
          <w:szCs w:val="22"/>
        </w:rPr>
      </w:pPr>
      <w:r>
        <w:rPr>
          <w:sz w:val="22"/>
          <w:szCs w:val="22"/>
        </w:rPr>
        <w:t xml:space="preserve">Nedávny infarkt myokardu. Ktorýkoľvek stupeň srdcovej blokády alebo poruchy srdcového rytmu a nedostatočnosť koronárnej artérie. </w:t>
      </w:r>
    </w:p>
    <w:p w14:paraId="736CEE4F" w14:textId="77777777" w:rsidR="00BC24A0" w:rsidRDefault="00BC24A0" w:rsidP="00697203">
      <w:pPr>
        <w:pStyle w:val="Default"/>
        <w:rPr>
          <w:sz w:val="22"/>
          <w:szCs w:val="22"/>
        </w:rPr>
      </w:pPr>
    </w:p>
    <w:p w14:paraId="34FF4F4D" w14:textId="77777777" w:rsidR="00697203" w:rsidRDefault="00697203" w:rsidP="00697203">
      <w:pPr>
        <w:pStyle w:val="Default"/>
        <w:rPr>
          <w:sz w:val="22"/>
          <w:szCs w:val="22"/>
        </w:rPr>
      </w:pPr>
      <w:r>
        <w:rPr>
          <w:sz w:val="22"/>
          <w:szCs w:val="22"/>
        </w:rPr>
        <w:t>Súbežná liečba inhibítormi monoaminooxidázy (</w:t>
      </w:r>
      <w:r w:rsidRPr="000A5177">
        <w:rPr>
          <w:sz w:val="22"/>
          <w:szCs w:val="22"/>
        </w:rPr>
        <w:t>MAOI)</w:t>
      </w:r>
      <w:r>
        <w:rPr>
          <w:sz w:val="22"/>
          <w:szCs w:val="22"/>
        </w:rPr>
        <w:t xml:space="preserve"> je kontraindikovaná (pozri časť 4.5). </w:t>
      </w:r>
    </w:p>
    <w:p w14:paraId="41920787" w14:textId="77777777" w:rsidR="00697203" w:rsidRDefault="00697203" w:rsidP="00697203">
      <w:pPr>
        <w:pStyle w:val="Default"/>
        <w:jc w:val="both"/>
        <w:rPr>
          <w:sz w:val="22"/>
          <w:szCs w:val="22"/>
        </w:rPr>
      </w:pPr>
      <w:r>
        <w:rPr>
          <w:sz w:val="22"/>
          <w:szCs w:val="22"/>
        </w:rPr>
        <w:t xml:space="preserve">Súčasné podávanie amitriptylínu a MAOI môže spôsobiť sérotonínový syndróm (kombinácia príznakov, ktoré môžu zahŕňať agitáciu, zmätenosť, tremor, myoklonus a hypertermiu). </w:t>
      </w:r>
    </w:p>
    <w:p w14:paraId="1A37959F" w14:textId="77777777" w:rsidR="00697203" w:rsidRDefault="00697203" w:rsidP="00697203">
      <w:pPr>
        <w:pStyle w:val="Default"/>
        <w:rPr>
          <w:sz w:val="22"/>
          <w:szCs w:val="22"/>
        </w:rPr>
      </w:pPr>
      <w:r>
        <w:rPr>
          <w:sz w:val="22"/>
          <w:szCs w:val="22"/>
        </w:rPr>
        <w:t xml:space="preserve">Liečba amitriptylínom môže začať 14 dní po vysadení ireverzibilných neselektívnych MAOI a minimálne jeden deň po vysadení reverzibilného moklobemidu. Liečbu MAOI možno zaviesť 14 dní po vysadení amitriptylínu. </w:t>
      </w:r>
    </w:p>
    <w:p w14:paraId="6173A47D" w14:textId="77777777" w:rsidR="00BC24A0" w:rsidRDefault="00BC24A0" w:rsidP="00697203">
      <w:pPr>
        <w:pStyle w:val="Default"/>
        <w:rPr>
          <w:sz w:val="22"/>
          <w:szCs w:val="22"/>
        </w:rPr>
      </w:pPr>
    </w:p>
    <w:p w14:paraId="2C7A444D" w14:textId="77777777" w:rsidR="00697203" w:rsidRDefault="00697203" w:rsidP="00697203">
      <w:pPr>
        <w:pStyle w:val="Default"/>
        <w:rPr>
          <w:sz w:val="22"/>
          <w:szCs w:val="22"/>
        </w:rPr>
      </w:pPr>
      <w:r>
        <w:rPr>
          <w:sz w:val="22"/>
          <w:szCs w:val="22"/>
        </w:rPr>
        <w:t xml:space="preserve">Závažné ochorenie pečene. </w:t>
      </w:r>
    </w:p>
    <w:p w14:paraId="699AFF3C" w14:textId="77777777" w:rsidR="00BC24A0" w:rsidRDefault="00BC24A0" w:rsidP="00697203">
      <w:pPr>
        <w:rPr>
          <w:szCs w:val="22"/>
        </w:rPr>
      </w:pPr>
    </w:p>
    <w:p w14:paraId="7A3E82A6" w14:textId="77777777" w:rsidR="00697203" w:rsidRDefault="00697203" w:rsidP="00697203">
      <w:pPr>
        <w:rPr>
          <w:szCs w:val="22"/>
        </w:rPr>
      </w:pPr>
      <w:r>
        <w:rPr>
          <w:szCs w:val="22"/>
        </w:rPr>
        <w:t xml:space="preserve">U detí vo veku do 6 rokov. </w:t>
      </w:r>
    </w:p>
    <w:p w14:paraId="5CBA5797" w14:textId="77777777" w:rsidR="00697203" w:rsidRDefault="00697203" w:rsidP="00065CF8">
      <w:pPr>
        <w:rPr>
          <w:b/>
          <w:szCs w:val="22"/>
        </w:rPr>
      </w:pPr>
    </w:p>
    <w:p w14:paraId="73BF165E" w14:textId="77777777" w:rsidR="00A03627" w:rsidRDefault="00AA6297" w:rsidP="00065CF8">
      <w:pPr>
        <w:rPr>
          <w:b/>
          <w:szCs w:val="22"/>
        </w:rPr>
      </w:pPr>
      <w:r w:rsidRPr="00FB4ABD">
        <w:rPr>
          <w:b/>
          <w:szCs w:val="22"/>
        </w:rPr>
        <w:t>4.4</w:t>
      </w:r>
      <w:r w:rsidRPr="00FB4ABD">
        <w:rPr>
          <w:b/>
          <w:szCs w:val="22"/>
        </w:rPr>
        <w:tab/>
        <w:t>Osobitné upozor</w:t>
      </w:r>
      <w:r w:rsidRPr="00C40770">
        <w:rPr>
          <w:b/>
          <w:szCs w:val="22"/>
        </w:rPr>
        <w:t>nenia a opatrenia pri používaní</w:t>
      </w:r>
    </w:p>
    <w:p w14:paraId="04C9FE2D" w14:textId="77777777" w:rsidR="00A03627" w:rsidRDefault="00A03627" w:rsidP="00065CF8">
      <w:pPr>
        <w:rPr>
          <w:szCs w:val="22"/>
        </w:rPr>
      </w:pPr>
    </w:p>
    <w:p w14:paraId="5428B8B9" w14:textId="77777777" w:rsidR="006C6410" w:rsidRDefault="006C6410" w:rsidP="006C6410">
      <w:pPr>
        <w:pStyle w:val="Default"/>
        <w:rPr>
          <w:sz w:val="22"/>
          <w:szCs w:val="22"/>
        </w:rPr>
      </w:pPr>
      <w:r>
        <w:rPr>
          <w:sz w:val="22"/>
          <w:szCs w:val="22"/>
        </w:rPr>
        <w:t xml:space="preserve">Pri vysokých dávkach sa pravdepodobne vyskytnú srdcové arytmie a závažná hypotenzia. Môžu sa takisto vyskytnúť u pacientov s už existujúcim ochorením srdca, ktorí užívajú normálnu dávku. </w:t>
      </w:r>
    </w:p>
    <w:p w14:paraId="394369C6" w14:textId="77777777" w:rsidR="006C6410" w:rsidRDefault="006C6410" w:rsidP="006C6410">
      <w:pPr>
        <w:pStyle w:val="Default"/>
        <w:rPr>
          <w:sz w:val="22"/>
          <w:szCs w:val="22"/>
          <w:u w:val="single"/>
        </w:rPr>
      </w:pPr>
    </w:p>
    <w:p w14:paraId="6A3D9F3A" w14:textId="77777777" w:rsidR="006C6410" w:rsidRDefault="006C6410" w:rsidP="006C6410">
      <w:pPr>
        <w:pStyle w:val="Default"/>
        <w:rPr>
          <w:sz w:val="22"/>
          <w:szCs w:val="22"/>
        </w:rPr>
      </w:pPr>
      <w:r>
        <w:rPr>
          <w:sz w:val="22"/>
          <w:szCs w:val="22"/>
          <w:u w:val="single"/>
        </w:rPr>
        <w:t xml:space="preserve">Predĺženie intervalu QT </w:t>
      </w:r>
    </w:p>
    <w:p w14:paraId="59126D27" w14:textId="77777777" w:rsidR="006C6410" w:rsidRDefault="006C6410" w:rsidP="006C6410">
      <w:pPr>
        <w:pStyle w:val="Default"/>
        <w:rPr>
          <w:sz w:val="22"/>
          <w:szCs w:val="22"/>
        </w:rPr>
      </w:pPr>
    </w:p>
    <w:p w14:paraId="32F25F63" w14:textId="77777777" w:rsidR="006C6410" w:rsidRDefault="006C6410" w:rsidP="006C6410">
      <w:pPr>
        <w:pStyle w:val="Default"/>
        <w:rPr>
          <w:sz w:val="22"/>
          <w:szCs w:val="22"/>
        </w:rPr>
      </w:pPr>
      <w:r>
        <w:rPr>
          <w:sz w:val="22"/>
          <w:szCs w:val="22"/>
        </w:rPr>
        <w:t xml:space="preserve">Po uvedení lieku na trh boli hlásené prípady predĺženia intervalu QT a arytmie. U pacientov so závažnou bradykardiou, u pacientov s dekompenzovaným srdcovým zlyhaním, alebo u pacientov súčasne užívajúcich lieky na predĺženie intervalu QT, sa odporúča opatrnosť. Je známe, že poruchy elektrolytov (hypokaliémia, hyperkaliémia, hypomagneziémia) sú stavy, ktoré zvyšujú riziko arytmie. </w:t>
      </w:r>
    </w:p>
    <w:p w14:paraId="17423A39" w14:textId="77777777" w:rsidR="006C6410" w:rsidRDefault="006C6410" w:rsidP="006C6410">
      <w:pPr>
        <w:pStyle w:val="Default"/>
        <w:rPr>
          <w:sz w:val="22"/>
          <w:szCs w:val="22"/>
        </w:rPr>
      </w:pPr>
    </w:p>
    <w:p w14:paraId="62C06DB4" w14:textId="77777777" w:rsidR="006C6410" w:rsidRDefault="006C6410" w:rsidP="006C6410">
      <w:pPr>
        <w:pStyle w:val="Default"/>
        <w:rPr>
          <w:sz w:val="22"/>
          <w:szCs w:val="22"/>
        </w:rPr>
      </w:pPr>
      <w:r>
        <w:rPr>
          <w:sz w:val="22"/>
          <w:szCs w:val="22"/>
        </w:rPr>
        <w:t xml:space="preserve">Anestetiká podávané počas liečby tricyklickými alebo tetracyklickými antidepresívami môžu zvýšiť riziko arytmií a hypotenzie. Ak je to možné, vysaďte tento liek niekoľko dní pred chirurgickým zákrokom. V prípade, že je nevyhnutný naliehavý chirurgický zákrok, je potrebné informovať o tejto pacientovej liečbe anestéziológa. </w:t>
      </w:r>
    </w:p>
    <w:p w14:paraId="0B3D79CC" w14:textId="77777777" w:rsidR="006C6410" w:rsidRDefault="006C6410" w:rsidP="006C6410">
      <w:pPr>
        <w:pStyle w:val="Default"/>
        <w:rPr>
          <w:sz w:val="22"/>
          <w:szCs w:val="22"/>
        </w:rPr>
      </w:pPr>
    </w:p>
    <w:p w14:paraId="50762DB2" w14:textId="77777777" w:rsidR="006C6410" w:rsidRDefault="006C6410" w:rsidP="006C6410">
      <w:pPr>
        <w:pStyle w:val="Default"/>
        <w:rPr>
          <w:sz w:val="22"/>
          <w:szCs w:val="22"/>
        </w:rPr>
      </w:pPr>
      <w:r>
        <w:rPr>
          <w:sz w:val="22"/>
          <w:szCs w:val="22"/>
        </w:rPr>
        <w:t xml:space="preserve">Ak je amitriptylín podávaný hypertyreóznym pacientom alebo pacientom, ktorí užívajú lieky na štítnu žľazu, je potrebná veľká opatrnosť, pretože sa môžu vyvinúť srdcové arytmie. </w:t>
      </w:r>
    </w:p>
    <w:p w14:paraId="60C3F468" w14:textId="77777777" w:rsidR="006C6410" w:rsidRDefault="006C6410" w:rsidP="006C6410">
      <w:pPr>
        <w:pStyle w:val="Default"/>
        <w:rPr>
          <w:sz w:val="22"/>
          <w:szCs w:val="22"/>
        </w:rPr>
      </w:pPr>
    </w:p>
    <w:p w14:paraId="58842574" w14:textId="77777777" w:rsidR="006C6410" w:rsidRDefault="006C6410" w:rsidP="006C6410">
      <w:pPr>
        <w:pStyle w:val="Default"/>
        <w:rPr>
          <w:sz w:val="22"/>
          <w:szCs w:val="22"/>
        </w:rPr>
      </w:pPr>
      <w:r>
        <w:rPr>
          <w:sz w:val="22"/>
          <w:szCs w:val="22"/>
        </w:rPr>
        <w:t xml:space="preserve">Starší pacienti sú obzvlášť náchylní na ortostatickú hypotenziu. </w:t>
      </w:r>
    </w:p>
    <w:p w14:paraId="609DADA7" w14:textId="77777777" w:rsidR="006C6410" w:rsidRDefault="006C6410" w:rsidP="006C6410">
      <w:pPr>
        <w:pStyle w:val="Default"/>
        <w:rPr>
          <w:sz w:val="22"/>
          <w:szCs w:val="22"/>
        </w:rPr>
      </w:pPr>
    </w:p>
    <w:p w14:paraId="1C1BC9B2" w14:textId="77777777" w:rsidR="006C6410" w:rsidRDefault="006C6410" w:rsidP="006C6410">
      <w:pPr>
        <w:pStyle w:val="Default"/>
        <w:rPr>
          <w:sz w:val="22"/>
          <w:szCs w:val="22"/>
        </w:rPr>
      </w:pPr>
      <w:r>
        <w:rPr>
          <w:sz w:val="22"/>
          <w:szCs w:val="22"/>
        </w:rPr>
        <w:t xml:space="preserve">Tento liek sa má používať s opatrnosťou u pacientov s konvulzívnymi poruchami, retenciou moču, hypertrofiou prostaty, hypertyreózou, paranoidnou symptomatológiou a s pokročilým ochorením pečene alebo kardiovaskulárnym ochorením, so stenózou pyloru a s paralytickým ileom. </w:t>
      </w:r>
    </w:p>
    <w:p w14:paraId="711565F6" w14:textId="77777777" w:rsidR="006C6410" w:rsidRDefault="006C6410" w:rsidP="006C6410">
      <w:pPr>
        <w:pStyle w:val="Default"/>
        <w:rPr>
          <w:sz w:val="22"/>
          <w:szCs w:val="22"/>
        </w:rPr>
      </w:pPr>
    </w:p>
    <w:p w14:paraId="5CF58653" w14:textId="77777777" w:rsidR="006C6410" w:rsidRDefault="006C6410" w:rsidP="006C6410">
      <w:pPr>
        <w:pStyle w:val="Default"/>
        <w:rPr>
          <w:sz w:val="22"/>
          <w:szCs w:val="22"/>
        </w:rPr>
      </w:pPr>
      <w:r>
        <w:rPr>
          <w:sz w:val="22"/>
          <w:szCs w:val="22"/>
        </w:rPr>
        <w:t xml:space="preserve">U pacientov so zriedkavým stavom plytkej prednej komory a úzkym komorovým uhlom môžu byť v dôsledku rozšírenia zreníc vyvolané ataky akútneho glaukómu. </w:t>
      </w:r>
    </w:p>
    <w:p w14:paraId="522F1703" w14:textId="77777777" w:rsidR="006C6410" w:rsidRDefault="006C6410" w:rsidP="006C6410">
      <w:pPr>
        <w:pStyle w:val="Default"/>
        <w:rPr>
          <w:sz w:val="22"/>
          <w:szCs w:val="22"/>
          <w:u w:val="single"/>
        </w:rPr>
      </w:pPr>
    </w:p>
    <w:p w14:paraId="7392A767" w14:textId="77777777" w:rsidR="006C6410" w:rsidRPr="001A66C9" w:rsidRDefault="006C6410" w:rsidP="006C6410">
      <w:pPr>
        <w:pStyle w:val="Default"/>
        <w:rPr>
          <w:sz w:val="22"/>
          <w:szCs w:val="22"/>
        </w:rPr>
      </w:pPr>
      <w:r w:rsidRPr="001A66C9">
        <w:rPr>
          <w:sz w:val="22"/>
          <w:szCs w:val="22"/>
          <w:u w:val="single"/>
        </w:rPr>
        <w:lastRenderedPageBreak/>
        <w:t xml:space="preserve">Samovražda a samovražedné myšlienky </w:t>
      </w:r>
    </w:p>
    <w:p w14:paraId="5C2D0809" w14:textId="77777777" w:rsidR="006C6410" w:rsidRPr="00B231DB" w:rsidRDefault="006C6410" w:rsidP="006C6410">
      <w:pPr>
        <w:pStyle w:val="Default"/>
        <w:rPr>
          <w:sz w:val="22"/>
          <w:szCs w:val="22"/>
        </w:rPr>
      </w:pPr>
    </w:p>
    <w:p w14:paraId="469A3795" w14:textId="77777777" w:rsidR="006C6410" w:rsidRPr="001A66C9" w:rsidRDefault="006C6410" w:rsidP="006C6410">
      <w:pPr>
        <w:pStyle w:val="Default"/>
        <w:rPr>
          <w:sz w:val="22"/>
          <w:szCs w:val="22"/>
        </w:rPr>
      </w:pPr>
      <w:r w:rsidRPr="001A66C9">
        <w:rPr>
          <w:sz w:val="22"/>
          <w:szCs w:val="22"/>
        </w:rPr>
        <w:t xml:space="preserve">Depresia sa spája so zvýšeným rizikom samovražedných myšlienok, sebapoškodzovania a samovraždy (príhody súvisiace so samovraždou). Toto riziko pretrváva, až kým sa nedostaví významná remisia. Keďže zlepšenie sa nemusí dostaviť počas prvých týždňov liečby alebo dlhšieho obdobia, až kým k takémuto zlepšeniu nedôjde, pacientov je potrebné pozorne sledovať. Podľa všeobecných klinických skúseností sa v raných štádiách uzdravovania môže riziko samovraždy zvýšiť. </w:t>
      </w:r>
    </w:p>
    <w:p w14:paraId="255321B4" w14:textId="77777777" w:rsidR="006C6410" w:rsidRPr="001A66C9" w:rsidRDefault="006C6410" w:rsidP="006C6410">
      <w:pPr>
        <w:pStyle w:val="Default"/>
        <w:rPr>
          <w:sz w:val="22"/>
          <w:szCs w:val="22"/>
        </w:rPr>
      </w:pPr>
    </w:p>
    <w:p w14:paraId="0140B050" w14:textId="77777777" w:rsidR="006C6410" w:rsidRPr="001A66C9" w:rsidRDefault="006C6410" w:rsidP="006C6410">
      <w:pPr>
        <w:pStyle w:val="Default"/>
        <w:rPr>
          <w:sz w:val="22"/>
          <w:szCs w:val="22"/>
        </w:rPr>
      </w:pPr>
      <w:r w:rsidRPr="001A66C9">
        <w:rPr>
          <w:sz w:val="22"/>
          <w:szCs w:val="22"/>
        </w:rPr>
        <w:t xml:space="preserve">O pacientoch so samovražednými príhodami v anamnéze alebo o tých, ktorí sa pred začiatkom liečby prejavujú výrazným stupňom samovražedných predstáv, je známe, že majú vyššie riziko samovražedných myšlienok alebo samovražedných pokusov a počas liečby majú byť dôkladne sledovaní. </w:t>
      </w:r>
    </w:p>
    <w:p w14:paraId="29B8B033" w14:textId="77777777" w:rsidR="006C6410" w:rsidRPr="001A66C9" w:rsidRDefault="006C6410" w:rsidP="006C6410">
      <w:pPr>
        <w:pStyle w:val="Default"/>
        <w:rPr>
          <w:sz w:val="22"/>
          <w:szCs w:val="22"/>
        </w:rPr>
      </w:pPr>
      <w:r w:rsidRPr="001A66C9">
        <w:rPr>
          <w:sz w:val="22"/>
          <w:szCs w:val="22"/>
        </w:rPr>
        <w:t xml:space="preserve">Metaanalýza placebom kontrolovaných klinických skúšaní antidepresív u dospelých pacientov s psychiatrickými poruchami ukázala zvýšené riziko samovražedného správania po antidepresívach v porovnaní s placebom u pacientov mladších ako 25 rokov. </w:t>
      </w:r>
    </w:p>
    <w:p w14:paraId="2D4C64C7" w14:textId="77777777" w:rsidR="006C6410" w:rsidRPr="001A66C9" w:rsidRDefault="006C6410" w:rsidP="006C6410">
      <w:pPr>
        <w:pStyle w:val="Default"/>
        <w:rPr>
          <w:sz w:val="22"/>
          <w:szCs w:val="22"/>
        </w:rPr>
      </w:pPr>
    </w:p>
    <w:p w14:paraId="66C2F9E0" w14:textId="77777777" w:rsidR="006C6410" w:rsidRDefault="006C6410" w:rsidP="006C6410">
      <w:pPr>
        <w:pStyle w:val="Default"/>
        <w:rPr>
          <w:sz w:val="22"/>
          <w:szCs w:val="22"/>
        </w:rPr>
      </w:pPr>
      <w:r w:rsidRPr="001A66C9">
        <w:rPr>
          <w:sz w:val="22"/>
          <w:szCs w:val="22"/>
        </w:rPr>
        <w:t>Starostlivá kontrola pacientov a osobitne tých, u ktorých je vysoké riziko, má sprevádzať medikamentóznu liečbu najmä na jej začiatku a po zmenách dávky. Pacienti (a opatrovatelia pacientov) majú byť upozornení na potrebu sledovať akékoľvek klinické zhoršenie stavu, samovražedné správanie alebo samovražedné myšlienky a nezvyčajné zmeny v správaní, a ak sú prítomné takéto príznaky, okamžite požiadať o radu lekára.</w:t>
      </w:r>
      <w:r>
        <w:rPr>
          <w:sz w:val="22"/>
          <w:szCs w:val="22"/>
        </w:rPr>
        <w:t xml:space="preserve"> </w:t>
      </w:r>
    </w:p>
    <w:p w14:paraId="60F8E4D2" w14:textId="77777777" w:rsidR="006C6410" w:rsidRDefault="006C6410" w:rsidP="006C6410">
      <w:pPr>
        <w:pStyle w:val="Default"/>
        <w:rPr>
          <w:sz w:val="22"/>
          <w:szCs w:val="22"/>
        </w:rPr>
      </w:pPr>
    </w:p>
    <w:p w14:paraId="476F37BC" w14:textId="77777777" w:rsidR="006C6410" w:rsidRDefault="006C6410" w:rsidP="006C6410">
      <w:pPr>
        <w:pStyle w:val="Default"/>
        <w:rPr>
          <w:sz w:val="22"/>
          <w:szCs w:val="22"/>
        </w:rPr>
      </w:pPr>
      <w:r>
        <w:rPr>
          <w:sz w:val="22"/>
          <w:szCs w:val="22"/>
        </w:rPr>
        <w:t xml:space="preserve">U manicko-depresívnych pacientov môže dôjsť k zmene na manickú fázu. Ak sa pacient dostane do manickej fázy, liečba amitriptylínom sa má ukončiť. </w:t>
      </w:r>
    </w:p>
    <w:p w14:paraId="10BA1346" w14:textId="77777777" w:rsidR="006C6410" w:rsidRDefault="006C6410" w:rsidP="006C6410">
      <w:pPr>
        <w:pStyle w:val="Default"/>
        <w:rPr>
          <w:sz w:val="22"/>
          <w:szCs w:val="22"/>
        </w:rPr>
      </w:pPr>
    </w:p>
    <w:p w14:paraId="4D820E17" w14:textId="77777777" w:rsidR="006C6410" w:rsidRDefault="006C6410" w:rsidP="006C6410">
      <w:pPr>
        <w:pStyle w:val="Default"/>
        <w:rPr>
          <w:sz w:val="22"/>
          <w:szCs w:val="22"/>
        </w:rPr>
      </w:pPr>
      <w:r>
        <w:rPr>
          <w:sz w:val="22"/>
          <w:szCs w:val="22"/>
        </w:rPr>
        <w:t xml:space="preserve">Ako je uvedené pri iných psychotropných látkach, amitriptylín môže meniť odpoveď na inzulín a glukózu, čo si u diabetických pacientov vyžaduje úpravu antidiabetickej liečby. Pacientovu rovnováhu glukózy môže okrem toho ovplyvniť aj samotné depresívne ochorenie. </w:t>
      </w:r>
    </w:p>
    <w:p w14:paraId="116361E6" w14:textId="77777777" w:rsidR="006C6410" w:rsidRDefault="006C6410" w:rsidP="006C6410">
      <w:pPr>
        <w:pStyle w:val="Default"/>
        <w:rPr>
          <w:sz w:val="22"/>
          <w:szCs w:val="22"/>
        </w:rPr>
      </w:pPr>
    </w:p>
    <w:p w14:paraId="2CAF6A5B" w14:textId="77777777" w:rsidR="006C6410" w:rsidRDefault="006C6410" w:rsidP="006C6410">
      <w:pPr>
        <w:pStyle w:val="Default"/>
        <w:rPr>
          <w:sz w:val="22"/>
          <w:szCs w:val="22"/>
        </w:rPr>
      </w:pPr>
      <w:r>
        <w:rPr>
          <w:sz w:val="22"/>
          <w:szCs w:val="22"/>
        </w:rPr>
        <w:t xml:space="preserve">Hyperpyrexia bola hlásená v prípade tricyklických antidepresív pri súčasnom podaní anticholinergných alebo neuroleptických liekov, a to najmä v horúcom počasí. </w:t>
      </w:r>
    </w:p>
    <w:p w14:paraId="608FE891" w14:textId="77777777" w:rsidR="003545A1" w:rsidRDefault="003545A1" w:rsidP="006C6410">
      <w:pPr>
        <w:pStyle w:val="Default"/>
        <w:rPr>
          <w:sz w:val="22"/>
          <w:szCs w:val="22"/>
        </w:rPr>
      </w:pPr>
    </w:p>
    <w:p w14:paraId="0BD9F5C5" w14:textId="77777777" w:rsidR="006C6410" w:rsidRDefault="006C6410" w:rsidP="006C6410">
      <w:pPr>
        <w:pStyle w:val="Default"/>
        <w:rPr>
          <w:sz w:val="22"/>
          <w:szCs w:val="22"/>
        </w:rPr>
      </w:pPr>
      <w:r>
        <w:rPr>
          <w:sz w:val="22"/>
          <w:szCs w:val="22"/>
        </w:rPr>
        <w:t xml:space="preserve">Po dlhodobom podávaní môže náhle ukončenie liečby vyvolať abstinenčné príznaky, ako sú bolesť hlavy, nevoľnosť, nespavosť a podráždenosť. </w:t>
      </w:r>
    </w:p>
    <w:p w14:paraId="43B63A0B" w14:textId="77777777" w:rsidR="003545A1" w:rsidRDefault="003545A1" w:rsidP="006C6410">
      <w:pPr>
        <w:pStyle w:val="Default"/>
        <w:rPr>
          <w:sz w:val="22"/>
          <w:szCs w:val="22"/>
        </w:rPr>
      </w:pPr>
    </w:p>
    <w:p w14:paraId="40DD89AB" w14:textId="77777777" w:rsidR="006C6410" w:rsidRDefault="006C6410" w:rsidP="006C6410">
      <w:pPr>
        <w:pStyle w:val="Default"/>
        <w:rPr>
          <w:sz w:val="22"/>
          <w:szCs w:val="22"/>
        </w:rPr>
      </w:pPr>
      <w:r>
        <w:rPr>
          <w:sz w:val="22"/>
          <w:szCs w:val="22"/>
        </w:rPr>
        <w:t xml:space="preserve">U pacientov užívajúcich SSRI sa má amitriptylín používať opatrne (pozri časti 4.2 a 4.5). </w:t>
      </w:r>
    </w:p>
    <w:p w14:paraId="0DF73E84" w14:textId="77777777" w:rsidR="006C6410" w:rsidRDefault="006C6410" w:rsidP="006C6410">
      <w:pPr>
        <w:pStyle w:val="Default"/>
        <w:rPr>
          <w:i/>
          <w:iCs/>
          <w:sz w:val="22"/>
          <w:szCs w:val="22"/>
          <w:u w:val="single"/>
        </w:rPr>
      </w:pPr>
    </w:p>
    <w:p w14:paraId="6125F5D0" w14:textId="77777777" w:rsidR="006C6410" w:rsidRDefault="006C6410" w:rsidP="006C6410">
      <w:pPr>
        <w:pStyle w:val="Default"/>
        <w:rPr>
          <w:sz w:val="22"/>
          <w:szCs w:val="22"/>
        </w:rPr>
      </w:pPr>
      <w:r>
        <w:rPr>
          <w:i/>
          <w:iCs/>
          <w:sz w:val="22"/>
          <w:szCs w:val="22"/>
          <w:u w:val="single"/>
        </w:rPr>
        <w:t xml:space="preserve">Nočná enuréza </w:t>
      </w:r>
    </w:p>
    <w:p w14:paraId="08541EAF" w14:textId="77777777" w:rsidR="006C6410" w:rsidRDefault="006C6410" w:rsidP="006C6410">
      <w:pPr>
        <w:pStyle w:val="Default"/>
        <w:rPr>
          <w:sz w:val="22"/>
          <w:szCs w:val="22"/>
        </w:rPr>
      </w:pPr>
    </w:p>
    <w:p w14:paraId="1E29C531" w14:textId="77777777" w:rsidR="006C6410" w:rsidRDefault="006C6410" w:rsidP="006C6410">
      <w:pPr>
        <w:pStyle w:val="Default"/>
        <w:rPr>
          <w:sz w:val="22"/>
          <w:szCs w:val="22"/>
        </w:rPr>
      </w:pPr>
      <w:r>
        <w:rPr>
          <w:sz w:val="22"/>
          <w:szCs w:val="22"/>
        </w:rPr>
        <w:t xml:space="preserve">Pred začatím liečby amitriptylínom sa má vykonať EKG, aby sa vylúčil syndróm dlhého QT. </w:t>
      </w:r>
    </w:p>
    <w:p w14:paraId="437EA352" w14:textId="77777777" w:rsidR="006C6410" w:rsidRDefault="006C6410" w:rsidP="006C6410">
      <w:pPr>
        <w:pStyle w:val="Default"/>
        <w:rPr>
          <w:sz w:val="22"/>
          <w:szCs w:val="22"/>
        </w:rPr>
      </w:pPr>
      <w:r>
        <w:rPr>
          <w:sz w:val="22"/>
          <w:szCs w:val="22"/>
        </w:rPr>
        <w:t xml:space="preserve">Amitriptylín sa pri liečbe enurézy nemá kombinovať s anticholinergikom. </w:t>
      </w:r>
    </w:p>
    <w:p w14:paraId="6C4C554E" w14:textId="77777777" w:rsidR="006C6410" w:rsidRDefault="006C6410" w:rsidP="006C6410">
      <w:pPr>
        <w:pStyle w:val="Default"/>
        <w:rPr>
          <w:sz w:val="22"/>
          <w:szCs w:val="22"/>
        </w:rPr>
      </w:pPr>
    </w:p>
    <w:p w14:paraId="47718D58" w14:textId="77777777" w:rsidR="006C6410" w:rsidRDefault="006C6410" w:rsidP="006C6410">
      <w:pPr>
        <w:pStyle w:val="Default"/>
        <w:rPr>
          <w:sz w:val="22"/>
          <w:szCs w:val="22"/>
        </w:rPr>
      </w:pPr>
      <w:r>
        <w:rPr>
          <w:sz w:val="22"/>
          <w:szCs w:val="22"/>
        </w:rPr>
        <w:t xml:space="preserve">Na začiatku liečby antidepresívami používanými na iné ako depresívne poruchy sa môžu tiež vyskytnúť samovražedné myšlienky a správanie. Pri liečbe pacientov s enurézou sa má preto dodržiavať rovnaká opatrnosť ako pri liečbe pacientov s depresiou. </w:t>
      </w:r>
    </w:p>
    <w:p w14:paraId="6A48341F" w14:textId="77777777" w:rsidR="006C6410" w:rsidRDefault="006C6410" w:rsidP="006C6410">
      <w:pPr>
        <w:pStyle w:val="Default"/>
        <w:rPr>
          <w:sz w:val="22"/>
          <w:szCs w:val="22"/>
          <w:u w:val="single"/>
        </w:rPr>
      </w:pPr>
    </w:p>
    <w:p w14:paraId="6F046A37" w14:textId="77777777" w:rsidR="006C6410" w:rsidRDefault="006C6410" w:rsidP="006C6410">
      <w:pPr>
        <w:pStyle w:val="Default"/>
        <w:rPr>
          <w:sz w:val="22"/>
          <w:szCs w:val="22"/>
        </w:rPr>
      </w:pPr>
      <w:r>
        <w:rPr>
          <w:sz w:val="22"/>
          <w:szCs w:val="22"/>
          <w:u w:val="single"/>
        </w:rPr>
        <w:t xml:space="preserve">Pediatrická populácia </w:t>
      </w:r>
    </w:p>
    <w:p w14:paraId="176BC1D6" w14:textId="77777777" w:rsidR="006C6410" w:rsidRDefault="006C6410" w:rsidP="006C6410">
      <w:pPr>
        <w:pStyle w:val="Default"/>
        <w:rPr>
          <w:sz w:val="22"/>
          <w:szCs w:val="22"/>
        </w:rPr>
      </w:pPr>
    </w:p>
    <w:p w14:paraId="1BF7D9FA" w14:textId="77777777" w:rsidR="006C6410" w:rsidRDefault="006C6410" w:rsidP="006C6410">
      <w:pPr>
        <w:pStyle w:val="Default"/>
        <w:rPr>
          <w:sz w:val="22"/>
          <w:szCs w:val="22"/>
        </w:rPr>
      </w:pPr>
      <w:r>
        <w:rPr>
          <w:sz w:val="22"/>
          <w:szCs w:val="22"/>
        </w:rPr>
        <w:t xml:space="preserve">Údaje o dlhodobej bezpečnosti u detí a dospievajúcich týkajúce sa rastu, dospievania a kognitívneho a behaviorálneho vývoja nie sú k dispozícii (pozri časť 4.2). </w:t>
      </w:r>
    </w:p>
    <w:p w14:paraId="0E721E3F" w14:textId="77777777" w:rsidR="001A66C9" w:rsidRDefault="001A66C9" w:rsidP="00B3298A">
      <w:pPr>
        <w:ind w:left="0" w:firstLine="0"/>
        <w:rPr>
          <w:szCs w:val="22"/>
        </w:rPr>
      </w:pPr>
    </w:p>
    <w:p w14:paraId="3707F739" w14:textId="725BB716" w:rsidR="00A03627" w:rsidRDefault="00A03627" w:rsidP="00065CF8">
      <w:pPr>
        <w:rPr>
          <w:szCs w:val="22"/>
        </w:rPr>
      </w:pPr>
    </w:p>
    <w:p w14:paraId="47A421A5" w14:textId="438BB74F" w:rsidR="00A03627" w:rsidRDefault="006C6410" w:rsidP="00065CF8">
      <w:pPr>
        <w:ind w:left="0" w:firstLine="0"/>
        <w:rPr>
          <w:szCs w:val="22"/>
          <w:u w:val="single"/>
        </w:rPr>
      </w:pPr>
      <w:r>
        <w:rPr>
          <w:szCs w:val="22"/>
          <w:u w:val="single"/>
        </w:rPr>
        <w:lastRenderedPageBreak/>
        <w:t>Pomocné látky</w:t>
      </w:r>
    </w:p>
    <w:p w14:paraId="7EAB8BE8" w14:textId="06833E4B" w:rsidR="00A03627" w:rsidRDefault="006C6410" w:rsidP="00065CF8">
      <w:pPr>
        <w:ind w:left="0" w:firstLine="0"/>
        <w:rPr>
          <w:szCs w:val="22"/>
        </w:rPr>
      </w:pPr>
      <w:r>
        <w:rPr>
          <w:szCs w:val="22"/>
        </w:rPr>
        <w:t>Tablety</w:t>
      </w:r>
      <w:r w:rsidR="007E418C" w:rsidRPr="00C40770">
        <w:rPr>
          <w:szCs w:val="22"/>
        </w:rPr>
        <w:t xml:space="preserve"> obsahuj</w:t>
      </w:r>
      <w:r>
        <w:rPr>
          <w:szCs w:val="22"/>
        </w:rPr>
        <w:t>ú</w:t>
      </w:r>
      <w:r w:rsidR="007E418C" w:rsidRPr="00C40770">
        <w:rPr>
          <w:szCs w:val="22"/>
        </w:rPr>
        <w:t xml:space="preserve"> laktózu.</w:t>
      </w:r>
      <w:r w:rsidR="00B9001B" w:rsidRPr="00B9001B">
        <w:t xml:space="preserve"> </w:t>
      </w:r>
      <w:r w:rsidR="00BA4B35">
        <w:t>Pacienti so zriedkavými dedičnými problémami galaktózovej intolerancie, celkovým deficitom laktázy alebo glukózo-galaktózovou malabsorpciou nesmú užívať tento liek.</w:t>
      </w:r>
      <w:r w:rsidR="007E418C" w:rsidRPr="00C40770">
        <w:rPr>
          <w:szCs w:val="22"/>
        </w:rPr>
        <w:t xml:space="preserve"> </w:t>
      </w:r>
    </w:p>
    <w:p w14:paraId="162342BD" w14:textId="77777777" w:rsidR="00A03627" w:rsidRDefault="00A03627" w:rsidP="00065CF8">
      <w:pPr>
        <w:ind w:left="0" w:firstLine="0"/>
        <w:rPr>
          <w:szCs w:val="22"/>
        </w:rPr>
      </w:pPr>
    </w:p>
    <w:p w14:paraId="61C3FF16" w14:textId="77777777" w:rsidR="00A03627" w:rsidRDefault="00AA6297" w:rsidP="00065CF8">
      <w:pPr>
        <w:rPr>
          <w:b/>
          <w:szCs w:val="22"/>
        </w:rPr>
      </w:pPr>
      <w:r w:rsidRPr="00C40770">
        <w:rPr>
          <w:b/>
          <w:szCs w:val="22"/>
        </w:rPr>
        <w:t>4.5</w:t>
      </w:r>
      <w:r w:rsidRPr="00C40770">
        <w:rPr>
          <w:b/>
          <w:szCs w:val="22"/>
        </w:rPr>
        <w:tab/>
        <w:t>Liekové a iné interakcie</w:t>
      </w:r>
    </w:p>
    <w:p w14:paraId="371DD233" w14:textId="77777777" w:rsidR="00A03627" w:rsidRDefault="00A03627" w:rsidP="00065CF8">
      <w:pPr>
        <w:ind w:left="0" w:firstLine="0"/>
        <w:rPr>
          <w:szCs w:val="22"/>
        </w:rPr>
      </w:pPr>
    </w:p>
    <w:p w14:paraId="0E15B4E3" w14:textId="77777777" w:rsidR="006C6410" w:rsidRDefault="006C6410" w:rsidP="006C6410">
      <w:pPr>
        <w:pStyle w:val="Default"/>
        <w:rPr>
          <w:sz w:val="22"/>
          <w:szCs w:val="22"/>
        </w:rPr>
      </w:pPr>
      <w:r>
        <w:rPr>
          <w:b/>
          <w:bCs/>
          <w:sz w:val="22"/>
          <w:szCs w:val="22"/>
        </w:rPr>
        <w:t xml:space="preserve">Možné ovplyvnenie účinku iných liekov amitriptylínom </w:t>
      </w:r>
    </w:p>
    <w:p w14:paraId="71C93171" w14:textId="77777777" w:rsidR="006C6410" w:rsidRDefault="006C6410" w:rsidP="006C6410">
      <w:pPr>
        <w:pStyle w:val="Default"/>
        <w:rPr>
          <w:sz w:val="22"/>
          <w:szCs w:val="22"/>
          <w:u w:val="single"/>
        </w:rPr>
      </w:pPr>
    </w:p>
    <w:p w14:paraId="4E7AB91B" w14:textId="77777777" w:rsidR="006C6410" w:rsidRDefault="006C6410" w:rsidP="006C6410">
      <w:pPr>
        <w:pStyle w:val="Default"/>
        <w:rPr>
          <w:sz w:val="22"/>
          <w:szCs w:val="22"/>
        </w:rPr>
      </w:pPr>
      <w:r>
        <w:rPr>
          <w:sz w:val="22"/>
          <w:szCs w:val="22"/>
          <w:u w:val="single"/>
        </w:rPr>
        <w:t xml:space="preserve">Kontraindikované kombinácie </w:t>
      </w:r>
    </w:p>
    <w:p w14:paraId="551C20CA" w14:textId="77777777" w:rsidR="006C6410" w:rsidRDefault="006C6410" w:rsidP="006C6410">
      <w:pPr>
        <w:pStyle w:val="Default"/>
        <w:rPr>
          <w:i/>
          <w:iCs/>
          <w:sz w:val="22"/>
          <w:szCs w:val="22"/>
        </w:rPr>
      </w:pPr>
    </w:p>
    <w:p w14:paraId="3322D95F" w14:textId="77777777" w:rsidR="006C6410" w:rsidRDefault="006C6410" w:rsidP="006C6410">
      <w:pPr>
        <w:pStyle w:val="Default"/>
        <w:rPr>
          <w:sz w:val="22"/>
          <w:szCs w:val="22"/>
        </w:rPr>
      </w:pPr>
      <w:r>
        <w:rPr>
          <w:i/>
          <w:iCs/>
          <w:sz w:val="22"/>
          <w:szCs w:val="22"/>
        </w:rPr>
        <w:t xml:space="preserve">MAOI (neselektívne aj selektívne A (moklobemid) a B (selegilín)) </w:t>
      </w:r>
      <w:r>
        <w:rPr>
          <w:sz w:val="22"/>
          <w:szCs w:val="22"/>
        </w:rPr>
        <w:t>– riziko tzv. sérotonínového syndrómu (pozri časť 4.3).</w:t>
      </w:r>
    </w:p>
    <w:p w14:paraId="5AF9F23E" w14:textId="77777777" w:rsidR="006C6410" w:rsidRDefault="006C6410" w:rsidP="006C6410">
      <w:pPr>
        <w:pStyle w:val="Default"/>
        <w:rPr>
          <w:sz w:val="22"/>
          <w:szCs w:val="22"/>
        </w:rPr>
      </w:pPr>
    </w:p>
    <w:p w14:paraId="41CF2178" w14:textId="77777777" w:rsidR="006C6410" w:rsidRDefault="006C6410" w:rsidP="006C6410">
      <w:pPr>
        <w:pStyle w:val="Default"/>
        <w:rPr>
          <w:sz w:val="16"/>
          <w:szCs w:val="16"/>
        </w:rPr>
      </w:pPr>
      <w:r>
        <w:rPr>
          <w:sz w:val="22"/>
          <w:szCs w:val="22"/>
          <w:u w:val="single"/>
        </w:rPr>
        <w:t xml:space="preserve">Kombinácie, ktoré sa neodporúčajú </w:t>
      </w:r>
    </w:p>
    <w:p w14:paraId="4243D67B" w14:textId="77777777" w:rsidR="00C871DE" w:rsidRDefault="00C871DE" w:rsidP="006C6410">
      <w:pPr>
        <w:pStyle w:val="Default"/>
        <w:rPr>
          <w:i/>
          <w:iCs/>
          <w:sz w:val="22"/>
          <w:szCs w:val="22"/>
        </w:rPr>
      </w:pPr>
    </w:p>
    <w:p w14:paraId="3F87F703" w14:textId="77777777" w:rsidR="006C6410" w:rsidRDefault="006C6410" w:rsidP="006C6410">
      <w:pPr>
        <w:pStyle w:val="Default"/>
        <w:rPr>
          <w:sz w:val="22"/>
          <w:szCs w:val="22"/>
        </w:rPr>
      </w:pPr>
      <w:r>
        <w:rPr>
          <w:i/>
          <w:iCs/>
          <w:sz w:val="22"/>
          <w:szCs w:val="22"/>
        </w:rPr>
        <w:t>Sympatomimetiká</w:t>
      </w:r>
      <w:r>
        <w:rPr>
          <w:sz w:val="22"/>
          <w:szCs w:val="22"/>
        </w:rPr>
        <w:t xml:space="preserve">: Amitriptylín môže zosilňovať kardiovaskulárne účinky adrenalínu, efedrínu, izoprenalínu, noradrenalínu, fenylefrínu a fenylpropanolamínu (napr. ktoré sú obsiahnuté v lokálnych a celkových anestetikách a nosových dekongestívach). </w:t>
      </w:r>
    </w:p>
    <w:p w14:paraId="5E1C0F1F" w14:textId="77777777" w:rsidR="00C871DE" w:rsidRDefault="00C871DE" w:rsidP="006C6410">
      <w:pPr>
        <w:pStyle w:val="Default"/>
        <w:rPr>
          <w:i/>
          <w:iCs/>
          <w:sz w:val="22"/>
          <w:szCs w:val="22"/>
        </w:rPr>
      </w:pPr>
    </w:p>
    <w:p w14:paraId="757CFAB7" w14:textId="77777777" w:rsidR="006C6410" w:rsidRDefault="006C6410" w:rsidP="006C6410">
      <w:pPr>
        <w:pStyle w:val="Default"/>
        <w:rPr>
          <w:sz w:val="22"/>
          <w:szCs w:val="22"/>
        </w:rPr>
      </w:pPr>
      <w:r>
        <w:rPr>
          <w:i/>
          <w:iCs/>
          <w:sz w:val="22"/>
          <w:szCs w:val="22"/>
        </w:rPr>
        <w:t>Blokátory adrenergných neurónov</w:t>
      </w:r>
      <w:r>
        <w:rPr>
          <w:sz w:val="22"/>
          <w:szCs w:val="22"/>
        </w:rPr>
        <w:t xml:space="preserve">: Tricyklické antidepresíva môžu pôsobiť proti antihypertenzívnym účinkom centrálne pôsobiacich antihypertenzív, ako je guanetidín, betanidín, rezerpín, klonidín a metyldopa. Počas liečby tricyklickými antidepresívami sa odporúča skontrolovať všetky antihypertenzíva. </w:t>
      </w:r>
    </w:p>
    <w:p w14:paraId="56AB323E" w14:textId="77777777" w:rsidR="00C871DE" w:rsidRDefault="00C871DE" w:rsidP="006C6410">
      <w:pPr>
        <w:pStyle w:val="Default"/>
        <w:rPr>
          <w:i/>
          <w:iCs/>
          <w:sz w:val="22"/>
          <w:szCs w:val="22"/>
        </w:rPr>
      </w:pPr>
    </w:p>
    <w:p w14:paraId="00B366CB" w14:textId="77777777" w:rsidR="006C6410" w:rsidRDefault="006C6410" w:rsidP="006C6410">
      <w:pPr>
        <w:pStyle w:val="Default"/>
        <w:rPr>
          <w:sz w:val="22"/>
          <w:szCs w:val="22"/>
        </w:rPr>
      </w:pPr>
      <w:r>
        <w:rPr>
          <w:i/>
          <w:iCs/>
          <w:sz w:val="22"/>
          <w:szCs w:val="22"/>
        </w:rPr>
        <w:t xml:space="preserve">Anticholinergiká: </w:t>
      </w:r>
      <w:r>
        <w:rPr>
          <w:sz w:val="22"/>
          <w:szCs w:val="22"/>
        </w:rPr>
        <w:t xml:space="preserve">Tricyklické antidepresíva môžu zosilňovať účinky týchto liekov na oči, centrálny nervový systém, črevá a močový mechúr. Vzhľadom na zvýšené riziko paralytického ilea, hyperpyrexie atď. sa tieto lieky nemajú súbežne používať. </w:t>
      </w:r>
    </w:p>
    <w:p w14:paraId="7D7B2D4B" w14:textId="77777777" w:rsidR="00C871DE" w:rsidRDefault="00C871DE" w:rsidP="006C6410">
      <w:pPr>
        <w:pStyle w:val="Default"/>
        <w:rPr>
          <w:i/>
          <w:iCs/>
          <w:sz w:val="22"/>
          <w:szCs w:val="22"/>
        </w:rPr>
      </w:pPr>
    </w:p>
    <w:p w14:paraId="7985953F" w14:textId="77777777" w:rsidR="006C6410" w:rsidRDefault="006C6410" w:rsidP="006C6410">
      <w:pPr>
        <w:pStyle w:val="Default"/>
        <w:rPr>
          <w:sz w:val="22"/>
          <w:szCs w:val="22"/>
        </w:rPr>
      </w:pPr>
      <w:r>
        <w:rPr>
          <w:i/>
          <w:iCs/>
          <w:sz w:val="22"/>
          <w:szCs w:val="22"/>
        </w:rPr>
        <w:t xml:space="preserve">Lieky, ktoré predlžujú interval QT </w:t>
      </w:r>
      <w:r>
        <w:rPr>
          <w:sz w:val="22"/>
          <w:szCs w:val="22"/>
        </w:rPr>
        <w:t>vrátane antiarytmík, ako sú chinidín, antihistaminiká astemizol a terfenadín, niektoré antipsychotiká (najmä pimozid a sertindol), cisaprid, halofantrín a sotalol, môžu pri</w:t>
      </w:r>
      <w:r w:rsidR="00C871DE">
        <w:rPr>
          <w:sz w:val="22"/>
          <w:szCs w:val="22"/>
        </w:rPr>
        <w:t> u</w:t>
      </w:r>
      <w:r>
        <w:rPr>
          <w:sz w:val="22"/>
          <w:szCs w:val="22"/>
        </w:rPr>
        <w:t xml:space="preserve">žívaní s tricyklickými antidepresívami zvýšiť pravdepodobnosť ventrikulárnych arytmií. </w:t>
      </w:r>
    </w:p>
    <w:p w14:paraId="14BB9923" w14:textId="77777777" w:rsidR="006C6410" w:rsidRDefault="006C6410" w:rsidP="006C6410">
      <w:pPr>
        <w:pStyle w:val="Default"/>
        <w:rPr>
          <w:sz w:val="22"/>
          <w:szCs w:val="22"/>
        </w:rPr>
      </w:pPr>
      <w:r>
        <w:rPr>
          <w:sz w:val="22"/>
          <w:szCs w:val="22"/>
        </w:rPr>
        <w:t xml:space="preserve">Vzhľadom na možné aditívne účinky na interval QT a zvýšené riziko závažných kardiovaskulárnych účinkov sa má pri súčasnom používaní amitriptylínu a metadónu postupovať opatrne. </w:t>
      </w:r>
    </w:p>
    <w:p w14:paraId="7BEE81F1" w14:textId="77777777" w:rsidR="00C871DE" w:rsidRDefault="00C871DE" w:rsidP="006C6410">
      <w:pPr>
        <w:pStyle w:val="Default"/>
        <w:rPr>
          <w:sz w:val="22"/>
          <w:szCs w:val="22"/>
        </w:rPr>
      </w:pPr>
    </w:p>
    <w:p w14:paraId="07FBFD87" w14:textId="77777777" w:rsidR="006C6410" w:rsidRDefault="006C6410" w:rsidP="006C6410">
      <w:pPr>
        <w:pStyle w:val="Default"/>
        <w:rPr>
          <w:sz w:val="22"/>
          <w:szCs w:val="22"/>
        </w:rPr>
      </w:pPr>
      <w:r>
        <w:rPr>
          <w:sz w:val="22"/>
          <w:szCs w:val="22"/>
        </w:rPr>
        <w:t xml:space="preserve">Opatrnosť sa tiež odporúča pri súbežnom podávaní amitriptylínu a diuretík vyvolávajúcich hypokaliémiu (napr. furosemid). </w:t>
      </w:r>
    </w:p>
    <w:p w14:paraId="6939EAFF" w14:textId="77777777" w:rsidR="00C871DE" w:rsidRDefault="00C871DE" w:rsidP="006C6410">
      <w:pPr>
        <w:pStyle w:val="Default"/>
        <w:rPr>
          <w:i/>
          <w:iCs/>
          <w:sz w:val="22"/>
          <w:szCs w:val="22"/>
        </w:rPr>
      </w:pPr>
    </w:p>
    <w:p w14:paraId="6DF9395C" w14:textId="77777777" w:rsidR="006C6410" w:rsidRDefault="006C6410" w:rsidP="006C6410">
      <w:pPr>
        <w:pStyle w:val="Default"/>
        <w:rPr>
          <w:sz w:val="22"/>
          <w:szCs w:val="22"/>
        </w:rPr>
      </w:pPr>
      <w:r>
        <w:rPr>
          <w:i/>
          <w:iCs/>
          <w:sz w:val="22"/>
          <w:szCs w:val="22"/>
        </w:rPr>
        <w:t>Tioridazín</w:t>
      </w:r>
      <w:r>
        <w:rPr>
          <w:sz w:val="22"/>
          <w:szCs w:val="22"/>
        </w:rPr>
        <w:t xml:space="preserve">: Vzhľadom na inhibíciu metabolizmu tioridazínu a následne zvýšené riziko srdcových vedľajších účinkov je potrebné sa vyhnúť súčasnému podávaniu amitriptylínu a tioridazínu (substrát CYP2D6). </w:t>
      </w:r>
    </w:p>
    <w:p w14:paraId="0D1A80E0" w14:textId="77777777" w:rsidR="00C871DE" w:rsidRDefault="00C871DE" w:rsidP="006C6410">
      <w:pPr>
        <w:pStyle w:val="Default"/>
        <w:rPr>
          <w:i/>
          <w:iCs/>
          <w:sz w:val="22"/>
          <w:szCs w:val="22"/>
        </w:rPr>
      </w:pPr>
    </w:p>
    <w:p w14:paraId="4CCECDFE" w14:textId="77777777" w:rsidR="006C6410" w:rsidRDefault="006C6410" w:rsidP="006C6410">
      <w:pPr>
        <w:pStyle w:val="Default"/>
        <w:rPr>
          <w:sz w:val="22"/>
          <w:szCs w:val="22"/>
        </w:rPr>
      </w:pPr>
      <w:r>
        <w:rPr>
          <w:i/>
          <w:iCs/>
          <w:sz w:val="22"/>
          <w:szCs w:val="22"/>
        </w:rPr>
        <w:t>Tramadol</w:t>
      </w:r>
      <w:r>
        <w:rPr>
          <w:sz w:val="22"/>
          <w:szCs w:val="22"/>
        </w:rPr>
        <w:t xml:space="preserve">: Súčasné používanie tramadolu (substrát CYP2D6) a tricyklických antidepresív (TCA), ako je amitriptylín, zvyšuje riziko záchvatov a sérotonínového syndrómu. Navyše táto kombinácia môže inhibovať metabolizmus tramadolu na aktívny metabolit, a tým zvyšovať koncentráciu tramadolu a potenciálne spôsobiť opioidnú toxicitu. </w:t>
      </w:r>
    </w:p>
    <w:p w14:paraId="34C16117" w14:textId="77777777" w:rsidR="00C871DE" w:rsidRDefault="00C871DE" w:rsidP="006C6410">
      <w:pPr>
        <w:pStyle w:val="Default"/>
        <w:rPr>
          <w:i/>
          <w:iCs/>
          <w:sz w:val="22"/>
          <w:szCs w:val="22"/>
        </w:rPr>
      </w:pPr>
    </w:p>
    <w:p w14:paraId="79B684B2" w14:textId="77777777" w:rsidR="006C6410" w:rsidRDefault="006C6410" w:rsidP="006C6410">
      <w:pPr>
        <w:pStyle w:val="Default"/>
        <w:rPr>
          <w:sz w:val="22"/>
          <w:szCs w:val="22"/>
        </w:rPr>
      </w:pPr>
      <w:r>
        <w:rPr>
          <w:i/>
          <w:iCs/>
          <w:sz w:val="22"/>
          <w:szCs w:val="22"/>
        </w:rPr>
        <w:t>Antimykotiká</w:t>
      </w:r>
      <w:r>
        <w:rPr>
          <w:sz w:val="22"/>
          <w:szCs w:val="22"/>
        </w:rPr>
        <w:t xml:space="preserve">, ako je flukonazol a terbinafín, zvyšujú koncentrácie tricyklických antidepresív v sére a sprievodnú toxicitu. Vyskytla sa synkopa a torsade de pointes. </w:t>
      </w:r>
    </w:p>
    <w:p w14:paraId="6A0D9C98" w14:textId="77777777" w:rsidR="003545A1" w:rsidRDefault="003545A1" w:rsidP="006C6410">
      <w:pPr>
        <w:pStyle w:val="Default"/>
        <w:rPr>
          <w:sz w:val="22"/>
          <w:szCs w:val="22"/>
          <w:u w:val="single"/>
        </w:rPr>
      </w:pPr>
    </w:p>
    <w:p w14:paraId="273D5DD8" w14:textId="77777777" w:rsidR="006C6410" w:rsidRDefault="006C6410" w:rsidP="006C6410">
      <w:pPr>
        <w:pStyle w:val="Default"/>
        <w:rPr>
          <w:sz w:val="22"/>
          <w:szCs w:val="22"/>
        </w:rPr>
      </w:pPr>
      <w:r>
        <w:rPr>
          <w:sz w:val="22"/>
          <w:szCs w:val="22"/>
          <w:u w:val="single"/>
        </w:rPr>
        <w:t xml:space="preserve">Kombinácie vyžadujúce opatrnosť pri používaní </w:t>
      </w:r>
    </w:p>
    <w:p w14:paraId="7845ED26" w14:textId="77777777" w:rsidR="00C871DE" w:rsidRDefault="00C871DE" w:rsidP="006C6410">
      <w:pPr>
        <w:pStyle w:val="Default"/>
        <w:rPr>
          <w:i/>
          <w:iCs/>
          <w:sz w:val="22"/>
          <w:szCs w:val="22"/>
        </w:rPr>
      </w:pPr>
    </w:p>
    <w:p w14:paraId="2DA7C829" w14:textId="77777777" w:rsidR="006C6410" w:rsidRDefault="006C6410" w:rsidP="006C6410">
      <w:pPr>
        <w:pStyle w:val="Default"/>
        <w:rPr>
          <w:sz w:val="22"/>
          <w:szCs w:val="22"/>
        </w:rPr>
      </w:pPr>
      <w:r>
        <w:rPr>
          <w:i/>
          <w:iCs/>
          <w:sz w:val="22"/>
          <w:szCs w:val="22"/>
        </w:rPr>
        <w:lastRenderedPageBreak/>
        <w:t>Látky tlmiace CNS</w:t>
      </w:r>
      <w:r>
        <w:rPr>
          <w:sz w:val="22"/>
          <w:szCs w:val="22"/>
        </w:rPr>
        <w:t xml:space="preserve">: Amitriptylín môže zvýšiť sedatívne účinky alkoholu, barbiturátov a iných látok tlmiacich CNS. </w:t>
      </w:r>
    </w:p>
    <w:p w14:paraId="18B6A264" w14:textId="77777777" w:rsidR="00C871DE" w:rsidRDefault="00C871DE" w:rsidP="006C6410">
      <w:pPr>
        <w:pStyle w:val="Default"/>
        <w:rPr>
          <w:b/>
          <w:bCs/>
          <w:sz w:val="22"/>
          <w:szCs w:val="22"/>
        </w:rPr>
      </w:pPr>
    </w:p>
    <w:p w14:paraId="31809379" w14:textId="77777777" w:rsidR="006C6410" w:rsidRDefault="006C6410" w:rsidP="006C6410">
      <w:pPr>
        <w:pStyle w:val="Default"/>
        <w:rPr>
          <w:sz w:val="22"/>
          <w:szCs w:val="22"/>
        </w:rPr>
      </w:pPr>
      <w:r>
        <w:rPr>
          <w:b/>
          <w:bCs/>
          <w:sz w:val="22"/>
          <w:szCs w:val="22"/>
        </w:rPr>
        <w:t xml:space="preserve">Možné ovplyvnenie účinku amitriptylínu inými liekmi </w:t>
      </w:r>
    </w:p>
    <w:p w14:paraId="2CA644D4" w14:textId="77777777" w:rsidR="00C871DE" w:rsidRDefault="00C871DE" w:rsidP="006C6410">
      <w:pPr>
        <w:pStyle w:val="Default"/>
        <w:rPr>
          <w:sz w:val="22"/>
          <w:szCs w:val="22"/>
        </w:rPr>
      </w:pPr>
    </w:p>
    <w:p w14:paraId="01AB3184" w14:textId="77777777" w:rsidR="006C6410" w:rsidRDefault="006C6410" w:rsidP="006C6410">
      <w:pPr>
        <w:pStyle w:val="Default"/>
        <w:rPr>
          <w:sz w:val="22"/>
          <w:szCs w:val="22"/>
        </w:rPr>
      </w:pPr>
      <w:r>
        <w:rPr>
          <w:sz w:val="22"/>
          <w:szCs w:val="22"/>
        </w:rPr>
        <w:t xml:space="preserve">Tricyklické antidepresíva (TCA) vrátane amitriptylínu sa primárne metabolizujú pečeňovými izoenzýmami cytochrómu P450 - CYP2D6 a CYP2C19, ktoré sú v populácii polymorfné. Ďalšie izoenzýmy, ktoré sa podieľajú na metabolizme amitriptylínu, sú CYP3A4, CYP1A2 a CYP2C9. </w:t>
      </w:r>
    </w:p>
    <w:p w14:paraId="1F9746C8" w14:textId="77777777" w:rsidR="003545A1" w:rsidRDefault="003545A1" w:rsidP="006C6410">
      <w:pPr>
        <w:pStyle w:val="Default"/>
        <w:rPr>
          <w:i/>
          <w:iCs/>
          <w:sz w:val="22"/>
          <w:szCs w:val="22"/>
        </w:rPr>
      </w:pPr>
    </w:p>
    <w:p w14:paraId="0983387C" w14:textId="77777777" w:rsidR="006C6410" w:rsidRDefault="006C6410" w:rsidP="006C6410">
      <w:pPr>
        <w:pStyle w:val="Default"/>
        <w:rPr>
          <w:sz w:val="22"/>
          <w:szCs w:val="22"/>
        </w:rPr>
      </w:pPr>
      <w:r>
        <w:rPr>
          <w:i/>
          <w:iCs/>
          <w:sz w:val="22"/>
          <w:szCs w:val="22"/>
        </w:rPr>
        <w:t>Inhibítory CYP2D6</w:t>
      </w:r>
      <w:r>
        <w:rPr>
          <w:sz w:val="22"/>
          <w:szCs w:val="22"/>
        </w:rPr>
        <w:t xml:space="preserve">: Izoenzým CYP2D6 môže byť inhibovaný rôznymi liekmi, napr. neuroleptikami, inhibítormi spätného vychytávania sérotonínu, beta blokátormi a antiarytmikami. Príklady silných inhibítorov CYP2D6 zahŕňajú bupropión, fluoxetín, paroxetín a chinidín. Tieto lieky môžu spôsobiť značné zníženie metabolizmu TCA a výrazné zvýšenie plazmatických koncentrácií. Vždy, keď sa má TCA podávať spoločne s iným liekom, o ktorom je známe, že je inhibítorom CYP2D6, sa má zvážiť monitorovanie TCA v plazme. Úprava dávky amitriptylínu môže byť nevyhnutná (pozri časť 4.2). </w:t>
      </w:r>
    </w:p>
    <w:p w14:paraId="0A1A9EA7" w14:textId="77777777" w:rsidR="003545A1" w:rsidRDefault="003545A1" w:rsidP="006C6410">
      <w:pPr>
        <w:pStyle w:val="Default"/>
        <w:rPr>
          <w:i/>
          <w:iCs/>
          <w:sz w:val="22"/>
          <w:szCs w:val="22"/>
        </w:rPr>
      </w:pPr>
    </w:p>
    <w:p w14:paraId="3A452996" w14:textId="77777777" w:rsidR="006C6410" w:rsidRDefault="006C6410" w:rsidP="006C6410">
      <w:pPr>
        <w:pStyle w:val="Default"/>
        <w:rPr>
          <w:sz w:val="22"/>
          <w:szCs w:val="22"/>
        </w:rPr>
      </w:pPr>
      <w:r>
        <w:rPr>
          <w:i/>
          <w:iCs/>
          <w:sz w:val="22"/>
          <w:szCs w:val="22"/>
        </w:rPr>
        <w:t>Ďalšie inhibítory cytochrómu P450</w:t>
      </w:r>
      <w:r>
        <w:rPr>
          <w:sz w:val="22"/>
          <w:szCs w:val="22"/>
        </w:rPr>
        <w:t>: Cimetidín, metylfenidát a blokátory kalciových kanálov (napr. diltiazem a verapamil) môžu zvyšovať plazmatické hladiny tricyklických antidepresív a sprievodnú toxicitu. Pri antimykotikách, ako je flukonazol (inhibítor CYP2C9) a terbinafín (inhibítor CYP2D6) bolo pozorované, že zvyšujú hladiny amitriptylínu a nortriptylínu v sére.</w:t>
      </w:r>
    </w:p>
    <w:p w14:paraId="0A592CD2" w14:textId="77777777" w:rsidR="00C871DE" w:rsidRDefault="00C871DE" w:rsidP="006C6410">
      <w:pPr>
        <w:pStyle w:val="Default"/>
        <w:rPr>
          <w:i/>
          <w:iCs/>
          <w:sz w:val="22"/>
          <w:szCs w:val="22"/>
        </w:rPr>
      </w:pPr>
    </w:p>
    <w:p w14:paraId="1A193927" w14:textId="77777777" w:rsidR="006C6410" w:rsidRDefault="006C6410" w:rsidP="006C6410">
      <w:pPr>
        <w:pStyle w:val="Default"/>
        <w:rPr>
          <w:sz w:val="22"/>
          <w:szCs w:val="22"/>
        </w:rPr>
      </w:pPr>
      <w:r>
        <w:rPr>
          <w:i/>
          <w:iCs/>
          <w:sz w:val="22"/>
          <w:szCs w:val="22"/>
        </w:rPr>
        <w:t xml:space="preserve">Izoenzýmy CYP3A4 a CYP1A2 </w:t>
      </w:r>
      <w:r>
        <w:rPr>
          <w:sz w:val="22"/>
          <w:szCs w:val="22"/>
        </w:rPr>
        <w:t xml:space="preserve">metabolizujú amitriptylín v menšej miere. Avšak pri fluvoxamíne (silný inhibítor CYP1A2) bolo preukázané, že zvyšuje plazmatické koncentrácie amitriptylínu a tejto kombinácii je potrebné sa vyhnúť. Klinicky relevantné interakcie možno očakávať pri súčasnom používaní amitriptylínu a silných inhibítorov CYP3A4, ako je ketokonazol, itrakonazol a ritonavir. </w:t>
      </w:r>
    </w:p>
    <w:p w14:paraId="54B23DDF" w14:textId="77777777" w:rsidR="00C871DE" w:rsidRDefault="00C871DE" w:rsidP="006C6410">
      <w:pPr>
        <w:pStyle w:val="Default"/>
        <w:rPr>
          <w:i/>
          <w:iCs/>
          <w:sz w:val="22"/>
          <w:szCs w:val="22"/>
        </w:rPr>
      </w:pPr>
    </w:p>
    <w:p w14:paraId="54FC7066" w14:textId="77777777" w:rsidR="006C6410" w:rsidRDefault="006C6410" w:rsidP="006C6410">
      <w:pPr>
        <w:pStyle w:val="Default"/>
        <w:rPr>
          <w:sz w:val="22"/>
          <w:szCs w:val="22"/>
        </w:rPr>
      </w:pPr>
      <w:r>
        <w:rPr>
          <w:i/>
          <w:iCs/>
          <w:sz w:val="22"/>
          <w:szCs w:val="22"/>
        </w:rPr>
        <w:t xml:space="preserve">Tricyklické antidepresíva a neuroleptiká </w:t>
      </w:r>
      <w:r>
        <w:rPr>
          <w:sz w:val="22"/>
          <w:szCs w:val="22"/>
        </w:rPr>
        <w:t>inhibujú navzájom svoj metabolizmus, čo môže viesť k</w:t>
      </w:r>
      <w:r w:rsidR="00C871DE">
        <w:rPr>
          <w:sz w:val="22"/>
          <w:szCs w:val="22"/>
        </w:rPr>
        <w:t> </w:t>
      </w:r>
      <w:r>
        <w:rPr>
          <w:sz w:val="22"/>
          <w:szCs w:val="22"/>
        </w:rPr>
        <w:t xml:space="preserve">zníženému prahu kŕčov, a k záchvatom. Možno bude potrebné upraviť dávkovanie týchto liekov. </w:t>
      </w:r>
    </w:p>
    <w:p w14:paraId="7370D178" w14:textId="77777777" w:rsidR="00C871DE" w:rsidRDefault="00C871DE" w:rsidP="006C6410">
      <w:pPr>
        <w:pStyle w:val="Default"/>
        <w:rPr>
          <w:i/>
          <w:iCs/>
          <w:sz w:val="22"/>
          <w:szCs w:val="22"/>
        </w:rPr>
      </w:pPr>
    </w:p>
    <w:p w14:paraId="4A20CF52" w14:textId="77777777" w:rsidR="006C6410" w:rsidRDefault="006C6410" w:rsidP="006C6410">
      <w:pPr>
        <w:pStyle w:val="Default"/>
        <w:rPr>
          <w:sz w:val="22"/>
          <w:szCs w:val="22"/>
        </w:rPr>
      </w:pPr>
      <w:r>
        <w:rPr>
          <w:i/>
          <w:iCs/>
          <w:sz w:val="22"/>
          <w:szCs w:val="22"/>
        </w:rPr>
        <w:t>Induktory cytochrómu P450</w:t>
      </w:r>
      <w:r>
        <w:rPr>
          <w:sz w:val="22"/>
          <w:szCs w:val="22"/>
        </w:rPr>
        <w:t xml:space="preserve">: Perorálna antikoncepcia, rifampicín, fenytoín, barbituráty, karbamazepín a ľubovník bodkovaný (Hypericum perforatum) môžu zvýšiť metabolizmus tricyklických antidepresív a viesť k zníženiu plazmatických hladín tricyklických antidepresív a zníženej odpovede na antidepresíva. </w:t>
      </w:r>
    </w:p>
    <w:p w14:paraId="67BE57D3" w14:textId="77777777" w:rsidR="00C871DE" w:rsidRDefault="00C871DE" w:rsidP="006C6410">
      <w:pPr>
        <w:ind w:left="0" w:firstLine="0"/>
        <w:rPr>
          <w:i/>
          <w:iCs/>
          <w:szCs w:val="22"/>
        </w:rPr>
      </w:pPr>
    </w:p>
    <w:p w14:paraId="0C3C2E18" w14:textId="77777777" w:rsidR="006C6410" w:rsidRDefault="006C6410" w:rsidP="006C6410">
      <w:pPr>
        <w:ind w:left="0" w:firstLine="0"/>
        <w:rPr>
          <w:szCs w:val="22"/>
        </w:rPr>
      </w:pPr>
      <w:r>
        <w:rPr>
          <w:i/>
          <w:iCs/>
          <w:szCs w:val="22"/>
        </w:rPr>
        <w:t xml:space="preserve">V prítomnosti etanolu </w:t>
      </w:r>
      <w:r>
        <w:rPr>
          <w:szCs w:val="22"/>
        </w:rPr>
        <w:t>boli zvýšené koncentrácie amitripty</w:t>
      </w:r>
      <w:r w:rsidR="007A1AFB">
        <w:rPr>
          <w:szCs w:val="22"/>
        </w:rPr>
        <w:t>l</w:t>
      </w:r>
      <w:r>
        <w:rPr>
          <w:szCs w:val="22"/>
        </w:rPr>
        <w:t>ínu vo voľnej plazme a koncentrácie nortriptylínu.</w:t>
      </w:r>
    </w:p>
    <w:p w14:paraId="6B161F08" w14:textId="77777777" w:rsidR="00A03627" w:rsidRDefault="00A03627" w:rsidP="00065CF8">
      <w:pPr>
        <w:rPr>
          <w:szCs w:val="22"/>
        </w:rPr>
      </w:pPr>
    </w:p>
    <w:p w14:paraId="4AB17522" w14:textId="77777777" w:rsidR="00A03627" w:rsidRDefault="00AA6297" w:rsidP="00065CF8">
      <w:pPr>
        <w:rPr>
          <w:szCs w:val="22"/>
        </w:rPr>
      </w:pPr>
      <w:r w:rsidRPr="00C40770">
        <w:rPr>
          <w:b/>
          <w:szCs w:val="22"/>
        </w:rPr>
        <w:t>4.6</w:t>
      </w:r>
      <w:r w:rsidRPr="00C40770">
        <w:rPr>
          <w:b/>
          <w:szCs w:val="22"/>
        </w:rPr>
        <w:tab/>
      </w:r>
      <w:r w:rsidRPr="00C40770">
        <w:rPr>
          <w:b/>
          <w:noProof/>
          <w:szCs w:val="22"/>
        </w:rPr>
        <w:t>Fertilita, g</w:t>
      </w:r>
      <w:r w:rsidRPr="00C40770">
        <w:rPr>
          <w:b/>
          <w:szCs w:val="22"/>
        </w:rPr>
        <w:t>ravidita a laktácia</w:t>
      </w:r>
    </w:p>
    <w:p w14:paraId="14E783AE" w14:textId="77777777" w:rsidR="00A03627" w:rsidRDefault="00A03627" w:rsidP="00065CF8">
      <w:pPr>
        <w:rPr>
          <w:szCs w:val="22"/>
        </w:rPr>
      </w:pPr>
    </w:p>
    <w:p w14:paraId="10B35406" w14:textId="77777777" w:rsidR="00A03627" w:rsidRDefault="007A6911" w:rsidP="00065CF8">
      <w:pPr>
        <w:ind w:left="0" w:firstLine="0"/>
        <w:rPr>
          <w:szCs w:val="22"/>
          <w:u w:val="single"/>
        </w:rPr>
      </w:pPr>
      <w:r w:rsidRPr="00077C7D">
        <w:rPr>
          <w:szCs w:val="22"/>
          <w:u w:val="single"/>
        </w:rPr>
        <w:t>Gravidita</w:t>
      </w:r>
    </w:p>
    <w:p w14:paraId="4AAB2B4B" w14:textId="77777777" w:rsidR="00C871DE" w:rsidRDefault="00C871DE" w:rsidP="00065CF8">
      <w:pPr>
        <w:ind w:left="0" w:firstLine="0"/>
        <w:rPr>
          <w:szCs w:val="22"/>
        </w:rPr>
      </w:pPr>
    </w:p>
    <w:p w14:paraId="23A8B02B" w14:textId="77777777" w:rsidR="00C871DE" w:rsidRDefault="00C871DE" w:rsidP="00C871DE">
      <w:pPr>
        <w:pStyle w:val="Default"/>
        <w:rPr>
          <w:sz w:val="22"/>
          <w:szCs w:val="22"/>
        </w:rPr>
      </w:pPr>
      <w:r>
        <w:rPr>
          <w:sz w:val="22"/>
          <w:szCs w:val="22"/>
        </w:rPr>
        <w:t xml:space="preserve">O používaní amitriptylínu počas gravidity sú k dispozícii len obmedzené klinické údaje. </w:t>
      </w:r>
    </w:p>
    <w:p w14:paraId="197B25E2" w14:textId="77777777" w:rsidR="003545A1" w:rsidRDefault="003545A1" w:rsidP="00C871DE">
      <w:pPr>
        <w:pStyle w:val="Default"/>
        <w:rPr>
          <w:sz w:val="22"/>
          <w:szCs w:val="22"/>
        </w:rPr>
      </w:pPr>
    </w:p>
    <w:p w14:paraId="246914C9" w14:textId="77777777" w:rsidR="00C871DE" w:rsidRDefault="00C871DE" w:rsidP="00C871DE">
      <w:pPr>
        <w:pStyle w:val="Default"/>
        <w:rPr>
          <w:sz w:val="22"/>
          <w:szCs w:val="22"/>
        </w:rPr>
      </w:pPr>
      <w:r>
        <w:rPr>
          <w:sz w:val="22"/>
          <w:szCs w:val="22"/>
        </w:rPr>
        <w:t xml:space="preserve">Štúdie na zvieratách preukázali reprodukčnú toxicitu (pozri časť 5.3). </w:t>
      </w:r>
    </w:p>
    <w:p w14:paraId="6E4F3A02" w14:textId="77777777" w:rsidR="00C871DE" w:rsidRDefault="00C871DE" w:rsidP="00C871DE">
      <w:pPr>
        <w:ind w:left="0" w:firstLine="0"/>
        <w:rPr>
          <w:szCs w:val="22"/>
        </w:rPr>
      </w:pPr>
      <w:r>
        <w:rPr>
          <w:szCs w:val="22"/>
        </w:rPr>
        <w:t>Amitriptylín sa neodporúča počas gravidity, pokiaľ to nie je absolútne nevyhnutné a len po dôkladnom zvážení rizika a prínosu.</w:t>
      </w:r>
    </w:p>
    <w:p w14:paraId="70715A81" w14:textId="77777777" w:rsidR="00C871DE" w:rsidRDefault="00C871DE" w:rsidP="00C871DE">
      <w:pPr>
        <w:ind w:left="0" w:firstLine="0"/>
        <w:rPr>
          <w:szCs w:val="22"/>
        </w:rPr>
      </w:pPr>
    </w:p>
    <w:p w14:paraId="47AA09C3" w14:textId="77777777" w:rsidR="003545A1" w:rsidRDefault="003545A1" w:rsidP="00C871DE">
      <w:pPr>
        <w:ind w:left="0" w:firstLine="0"/>
        <w:rPr>
          <w:szCs w:val="22"/>
        </w:rPr>
      </w:pPr>
    </w:p>
    <w:p w14:paraId="61456444" w14:textId="5E7A73C9" w:rsidR="00A03627" w:rsidRDefault="00C871DE" w:rsidP="00C871DE">
      <w:pPr>
        <w:ind w:left="0" w:firstLine="0"/>
        <w:rPr>
          <w:szCs w:val="22"/>
        </w:rPr>
      </w:pPr>
      <w:r>
        <w:rPr>
          <w:szCs w:val="22"/>
        </w:rPr>
        <w:t xml:space="preserve">Pri chronickom používaní a po podaní v posledných týždňoch gravidity môže dôjsť u novorodencov k abstinenčným príznakom. To môže zahŕňať podráždenosť, hypertóniu, tremor, nepravidelné dýchanie, nedostatočný príjem tekutín a hlasný plač, prípadne anticholinergné príznaky (retencia moču, zápcha). </w:t>
      </w:r>
    </w:p>
    <w:p w14:paraId="3E246A28" w14:textId="77777777" w:rsidR="00A03627" w:rsidRDefault="00A03627" w:rsidP="00065CF8">
      <w:pPr>
        <w:ind w:left="0" w:firstLine="0"/>
        <w:rPr>
          <w:szCs w:val="22"/>
        </w:rPr>
      </w:pPr>
    </w:p>
    <w:p w14:paraId="16095820" w14:textId="1AB8D9A3" w:rsidR="00A03627" w:rsidRDefault="00C871DE" w:rsidP="00065CF8">
      <w:pPr>
        <w:ind w:left="0" w:firstLine="0"/>
        <w:rPr>
          <w:szCs w:val="22"/>
          <w:u w:val="single"/>
        </w:rPr>
      </w:pPr>
      <w:r>
        <w:rPr>
          <w:szCs w:val="22"/>
          <w:u w:val="single"/>
        </w:rPr>
        <w:lastRenderedPageBreak/>
        <w:t>Dojčenie</w:t>
      </w:r>
    </w:p>
    <w:p w14:paraId="7F86840F" w14:textId="77777777" w:rsidR="00C871DE" w:rsidRDefault="00C871DE" w:rsidP="00065CF8">
      <w:pPr>
        <w:ind w:left="0" w:firstLine="0"/>
        <w:rPr>
          <w:szCs w:val="22"/>
        </w:rPr>
      </w:pPr>
    </w:p>
    <w:p w14:paraId="66853BBE" w14:textId="128CA0A7" w:rsidR="00A03627" w:rsidRDefault="00C871DE" w:rsidP="00065CF8">
      <w:pPr>
        <w:ind w:left="0" w:firstLine="0"/>
        <w:rPr>
          <w:szCs w:val="22"/>
        </w:rPr>
      </w:pPr>
      <w:r>
        <w:rPr>
          <w:szCs w:val="22"/>
        </w:rPr>
        <w:t>Amitriptylín a jeho metabolity sa vylučujú do materského mlieka (predstavuje 0,6 % - 1 % matkinej dávky). Riziko u dojčiat nemôže byť vylúčené Rozhodnutie, či ukončiť dojčenie alebo ukončiť/prerušiť liečbu týmto liekom sa má urobiť po zvážení prínosu dojčenia pre dieťa a prínosu liečby pre ženu.</w:t>
      </w:r>
    </w:p>
    <w:p w14:paraId="2051D173" w14:textId="77777777" w:rsidR="00C871DE" w:rsidRDefault="00C871DE" w:rsidP="00065CF8">
      <w:pPr>
        <w:ind w:left="0" w:firstLine="0"/>
        <w:rPr>
          <w:szCs w:val="22"/>
        </w:rPr>
      </w:pPr>
    </w:p>
    <w:p w14:paraId="7DDCF20E" w14:textId="77777777" w:rsidR="00C871DE" w:rsidRPr="00E76742" w:rsidRDefault="00C871DE" w:rsidP="00065CF8">
      <w:pPr>
        <w:ind w:left="0" w:firstLine="0"/>
        <w:rPr>
          <w:szCs w:val="22"/>
          <w:u w:val="single"/>
        </w:rPr>
      </w:pPr>
      <w:r>
        <w:rPr>
          <w:szCs w:val="22"/>
          <w:u w:val="single"/>
        </w:rPr>
        <w:t>Fertilita</w:t>
      </w:r>
    </w:p>
    <w:p w14:paraId="203EF5A7" w14:textId="77777777" w:rsidR="00A03627" w:rsidRDefault="00A03627" w:rsidP="00065CF8">
      <w:pPr>
        <w:rPr>
          <w:szCs w:val="22"/>
        </w:rPr>
      </w:pPr>
    </w:p>
    <w:p w14:paraId="2A62D72B" w14:textId="77777777" w:rsidR="00C871DE" w:rsidRDefault="00C871DE" w:rsidP="00C871DE">
      <w:pPr>
        <w:pStyle w:val="Default"/>
        <w:rPr>
          <w:sz w:val="22"/>
          <w:szCs w:val="22"/>
        </w:rPr>
      </w:pPr>
      <w:r>
        <w:rPr>
          <w:sz w:val="22"/>
          <w:szCs w:val="22"/>
        </w:rPr>
        <w:t xml:space="preserve">Amitriptylín znížil výskyt gravidity u potkanov (pozri časť 5.3). </w:t>
      </w:r>
    </w:p>
    <w:p w14:paraId="2CE55BBF" w14:textId="77777777" w:rsidR="00C871DE" w:rsidRDefault="00C871DE" w:rsidP="00C871DE">
      <w:pPr>
        <w:rPr>
          <w:szCs w:val="22"/>
        </w:rPr>
      </w:pPr>
      <w:r>
        <w:rPr>
          <w:szCs w:val="22"/>
        </w:rPr>
        <w:t>K dispozícii nie sú žiadne údaje o účinkoch amitriptylínu na ľudskú fertilitu.</w:t>
      </w:r>
    </w:p>
    <w:p w14:paraId="75FD8108" w14:textId="77777777" w:rsidR="00C871DE" w:rsidRDefault="00C871DE" w:rsidP="00C871DE">
      <w:pPr>
        <w:rPr>
          <w:szCs w:val="22"/>
        </w:rPr>
      </w:pPr>
    </w:p>
    <w:p w14:paraId="194BF729" w14:textId="77777777" w:rsidR="00A03627" w:rsidRDefault="00AA6297" w:rsidP="00065CF8">
      <w:pPr>
        <w:rPr>
          <w:szCs w:val="22"/>
        </w:rPr>
      </w:pPr>
      <w:r w:rsidRPr="00C40770">
        <w:rPr>
          <w:b/>
          <w:szCs w:val="22"/>
        </w:rPr>
        <w:t>4.7</w:t>
      </w:r>
      <w:r w:rsidRPr="00C40770">
        <w:rPr>
          <w:b/>
          <w:szCs w:val="22"/>
        </w:rPr>
        <w:tab/>
        <w:t>Ovplyvnenie schopnosti viesť vozidlá a obsluhovať stroje</w:t>
      </w:r>
    </w:p>
    <w:p w14:paraId="12559F10" w14:textId="77777777" w:rsidR="00A03627" w:rsidRDefault="00A03627" w:rsidP="00065CF8">
      <w:pPr>
        <w:ind w:left="0" w:firstLine="0"/>
        <w:rPr>
          <w:szCs w:val="22"/>
        </w:rPr>
      </w:pPr>
    </w:p>
    <w:p w14:paraId="79C3E101" w14:textId="77777777" w:rsidR="00C871DE" w:rsidRDefault="00C871DE" w:rsidP="00C871DE">
      <w:pPr>
        <w:pStyle w:val="Default"/>
        <w:rPr>
          <w:sz w:val="22"/>
          <w:szCs w:val="22"/>
        </w:rPr>
      </w:pPr>
      <w:r>
        <w:rPr>
          <w:sz w:val="22"/>
          <w:szCs w:val="22"/>
        </w:rPr>
        <w:t xml:space="preserve">Amitriptylín je sedatívum. </w:t>
      </w:r>
    </w:p>
    <w:p w14:paraId="6A9BEC68" w14:textId="155D2C01" w:rsidR="00A03627" w:rsidRDefault="00C871DE" w:rsidP="00C871DE">
      <w:pPr>
        <w:ind w:left="0" w:firstLine="0"/>
        <w:rPr>
          <w:szCs w:val="22"/>
        </w:rPr>
      </w:pPr>
      <w:r>
        <w:rPr>
          <w:szCs w:val="22"/>
        </w:rPr>
        <w:t>U pacientov, ktorým sú predpísané psychotropné lieky možno očakávať určité poruchy celkovej pozornosti a koncentrácie a treba ich upozorniť na ich schopnosť viesť vozidlá a obsluhovať stroje. Pri súčasnom požití alkoholu môžu byť tieto nežiaduce účinky zosilnené</w:t>
      </w:r>
      <w:r w:rsidR="00471AD9" w:rsidRPr="00C40770">
        <w:rPr>
          <w:szCs w:val="22"/>
        </w:rPr>
        <w:t>.</w:t>
      </w:r>
    </w:p>
    <w:p w14:paraId="7AC93429" w14:textId="77777777" w:rsidR="00A03627" w:rsidRDefault="00A03627" w:rsidP="00065CF8">
      <w:pPr>
        <w:rPr>
          <w:szCs w:val="22"/>
        </w:rPr>
      </w:pPr>
    </w:p>
    <w:p w14:paraId="13E2F5B2" w14:textId="77777777" w:rsidR="00A03627" w:rsidRDefault="00AA6297" w:rsidP="00065CF8">
      <w:pPr>
        <w:rPr>
          <w:b/>
          <w:szCs w:val="22"/>
        </w:rPr>
      </w:pPr>
      <w:r w:rsidRPr="00C40770">
        <w:rPr>
          <w:b/>
          <w:szCs w:val="22"/>
        </w:rPr>
        <w:t>4.8</w:t>
      </w:r>
      <w:r w:rsidRPr="00C40770">
        <w:rPr>
          <w:b/>
          <w:szCs w:val="22"/>
        </w:rPr>
        <w:tab/>
        <w:t>Nežiaduce účinky</w:t>
      </w:r>
    </w:p>
    <w:p w14:paraId="04F85741" w14:textId="77777777" w:rsidR="00A03627" w:rsidRDefault="00A03627" w:rsidP="00065CF8">
      <w:pPr>
        <w:rPr>
          <w:szCs w:val="22"/>
        </w:rPr>
      </w:pPr>
    </w:p>
    <w:p w14:paraId="463804D2" w14:textId="77777777" w:rsidR="002E57F9" w:rsidRDefault="002E57F9" w:rsidP="00065CF8">
      <w:pPr>
        <w:ind w:left="0" w:firstLine="0"/>
        <w:rPr>
          <w:szCs w:val="22"/>
        </w:rPr>
      </w:pPr>
      <w:r>
        <w:rPr>
          <w:szCs w:val="22"/>
        </w:rPr>
        <w:t>Amitriptylín môže vyvolať vedľajšie účinky podobné iným tricyklickým antidepresívam. Niektoré z nižšie uvedených vedľajších účinkov, napríklad bolesť hlavy, tremor, poruchy pozornosti, zápcha a znížené libido, môžu byť takisto príznakmi depresie a po zlepšení depresívneho stavu sa zvyčajne zmiernia.</w:t>
      </w:r>
    </w:p>
    <w:p w14:paraId="6E1DCC92" w14:textId="77777777" w:rsidR="002E57F9" w:rsidRDefault="002E57F9" w:rsidP="00065CF8">
      <w:pPr>
        <w:ind w:left="0" w:firstLine="0"/>
        <w:rPr>
          <w:szCs w:val="22"/>
        </w:rPr>
      </w:pPr>
    </w:p>
    <w:p w14:paraId="083DE68B" w14:textId="77777777" w:rsidR="003545A1" w:rsidRPr="003545A1" w:rsidRDefault="003545A1" w:rsidP="003545A1">
      <w:pPr>
        <w:autoSpaceDE w:val="0"/>
        <w:autoSpaceDN w:val="0"/>
        <w:adjustRightInd w:val="0"/>
        <w:ind w:left="0" w:firstLine="0"/>
        <w:rPr>
          <w:rFonts w:eastAsia="Calibri"/>
          <w:color w:val="000000"/>
          <w:szCs w:val="22"/>
        </w:rPr>
      </w:pPr>
      <w:r w:rsidRPr="003545A1">
        <w:rPr>
          <w:rFonts w:eastAsia="Calibri"/>
          <w:color w:val="000000"/>
          <w:szCs w:val="22"/>
        </w:rPr>
        <w:t xml:space="preserve">V nižšie uvedenom zozname sa použila nasledovná konvencia: </w:t>
      </w:r>
    </w:p>
    <w:p w14:paraId="49C20C61" w14:textId="77777777" w:rsidR="003545A1" w:rsidRPr="003545A1" w:rsidRDefault="003545A1" w:rsidP="003545A1">
      <w:pPr>
        <w:autoSpaceDE w:val="0"/>
        <w:autoSpaceDN w:val="0"/>
        <w:adjustRightInd w:val="0"/>
        <w:ind w:left="0" w:firstLine="0"/>
        <w:rPr>
          <w:rFonts w:eastAsia="Calibri"/>
          <w:color w:val="000000"/>
          <w:szCs w:val="22"/>
        </w:rPr>
      </w:pPr>
      <w:r w:rsidRPr="003545A1">
        <w:rPr>
          <w:rFonts w:eastAsia="Calibri"/>
          <w:color w:val="000000"/>
          <w:szCs w:val="22"/>
        </w:rPr>
        <w:t xml:space="preserve">Trieda orgánových systémov podľa databázy MedDRA/uprednostňovaná terminológia: </w:t>
      </w:r>
    </w:p>
    <w:p w14:paraId="3461D3AF" w14:textId="77777777" w:rsidR="003545A1" w:rsidRPr="003545A1" w:rsidRDefault="003545A1" w:rsidP="003545A1">
      <w:pPr>
        <w:autoSpaceDE w:val="0"/>
        <w:autoSpaceDN w:val="0"/>
        <w:adjustRightInd w:val="0"/>
        <w:ind w:left="0" w:firstLine="0"/>
        <w:rPr>
          <w:rFonts w:eastAsia="Calibri"/>
          <w:color w:val="000000"/>
          <w:szCs w:val="22"/>
        </w:rPr>
      </w:pPr>
      <w:r w:rsidRPr="003545A1">
        <w:rPr>
          <w:rFonts w:eastAsia="Calibri"/>
          <w:color w:val="000000"/>
          <w:szCs w:val="22"/>
        </w:rPr>
        <w:t>veľmi časté (&gt;</w:t>
      </w:r>
      <w:r>
        <w:rPr>
          <w:rFonts w:eastAsia="Calibri"/>
          <w:color w:val="000000"/>
          <w:szCs w:val="22"/>
        </w:rPr>
        <w:t> </w:t>
      </w:r>
      <w:r w:rsidRPr="003545A1">
        <w:rPr>
          <w:rFonts w:eastAsia="Calibri"/>
          <w:color w:val="000000"/>
          <w:szCs w:val="22"/>
        </w:rPr>
        <w:t xml:space="preserve">1/10); </w:t>
      </w:r>
    </w:p>
    <w:p w14:paraId="2802B060" w14:textId="77777777" w:rsidR="003545A1" w:rsidRPr="003545A1" w:rsidRDefault="003545A1" w:rsidP="003545A1">
      <w:pPr>
        <w:autoSpaceDE w:val="0"/>
        <w:autoSpaceDN w:val="0"/>
        <w:adjustRightInd w:val="0"/>
        <w:ind w:left="0" w:firstLine="0"/>
        <w:rPr>
          <w:rFonts w:eastAsia="Calibri"/>
          <w:color w:val="000000"/>
          <w:szCs w:val="22"/>
        </w:rPr>
      </w:pPr>
      <w:r w:rsidRPr="003545A1">
        <w:rPr>
          <w:rFonts w:eastAsia="Calibri"/>
          <w:color w:val="000000"/>
          <w:szCs w:val="22"/>
        </w:rPr>
        <w:t>časté (&gt;</w:t>
      </w:r>
      <w:r>
        <w:rPr>
          <w:rFonts w:eastAsia="Calibri"/>
          <w:color w:val="000000"/>
          <w:szCs w:val="22"/>
        </w:rPr>
        <w:t> </w:t>
      </w:r>
      <w:r w:rsidRPr="003545A1">
        <w:rPr>
          <w:rFonts w:eastAsia="Calibri"/>
          <w:color w:val="000000"/>
          <w:szCs w:val="22"/>
        </w:rPr>
        <w:t>1/100, &lt;</w:t>
      </w:r>
      <w:r>
        <w:rPr>
          <w:rFonts w:eastAsia="Calibri"/>
          <w:color w:val="000000"/>
          <w:szCs w:val="22"/>
        </w:rPr>
        <w:t> </w:t>
      </w:r>
      <w:r w:rsidRPr="003545A1">
        <w:rPr>
          <w:rFonts w:eastAsia="Calibri"/>
          <w:color w:val="000000"/>
          <w:szCs w:val="22"/>
        </w:rPr>
        <w:t xml:space="preserve">1/10); </w:t>
      </w:r>
    </w:p>
    <w:p w14:paraId="0A351783" w14:textId="77777777" w:rsidR="003545A1" w:rsidRPr="003545A1" w:rsidRDefault="003545A1" w:rsidP="003545A1">
      <w:pPr>
        <w:autoSpaceDE w:val="0"/>
        <w:autoSpaceDN w:val="0"/>
        <w:adjustRightInd w:val="0"/>
        <w:ind w:left="0" w:firstLine="0"/>
        <w:rPr>
          <w:rFonts w:eastAsia="Calibri"/>
          <w:color w:val="000000"/>
          <w:szCs w:val="22"/>
        </w:rPr>
      </w:pPr>
      <w:r w:rsidRPr="003545A1">
        <w:rPr>
          <w:rFonts w:eastAsia="Calibri"/>
          <w:color w:val="000000"/>
          <w:szCs w:val="22"/>
        </w:rPr>
        <w:t>menej časté (&gt;</w:t>
      </w:r>
      <w:r>
        <w:rPr>
          <w:rFonts w:eastAsia="Calibri"/>
          <w:color w:val="000000"/>
          <w:szCs w:val="22"/>
        </w:rPr>
        <w:t> </w:t>
      </w:r>
      <w:r w:rsidRPr="003545A1">
        <w:rPr>
          <w:rFonts w:eastAsia="Calibri"/>
          <w:color w:val="000000"/>
          <w:szCs w:val="22"/>
        </w:rPr>
        <w:t>1/1</w:t>
      </w:r>
      <w:r>
        <w:rPr>
          <w:rFonts w:eastAsia="Calibri"/>
          <w:color w:val="000000"/>
          <w:szCs w:val="22"/>
        </w:rPr>
        <w:t> </w:t>
      </w:r>
      <w:r w:rsidRPr="003545A1">
        <w:rPr>
          <w:rFonts w:eastAsia="Calibri"/>
          <w:color w:val="000000"/>
          <w:szCs w:val="22"/>
        </w:rPr>
        <w:t>000, &lt;</w:t>
      </w:r>
      <w:r>
        <w:rPr>
          <w:rFonts w:eastAsia="Calibri"/>
          <w:color w:val="000000"/>
          <w:szCs w:val="22"/>
        </w:rPr>
        <w:t> </w:t>
      </w:r>
      <w:r w:rsidRPr="003545A1">
        <w:rPr>
          <w:rFonts w:eastAsia="Calibri"/>
          <w:color w:val="000000"/>
          <w:szCs w:val="22"/>
        </w:rPr>
        <w:t xml:space="preserve">1/100); </w:t>
      </w:r>
    </w:p>
    <w:p w14:paraId="31D3BEC1" w14:textId="77777777" w:rsidR="003545A1" w:rsidRPr="003545A1" w:rsidRDefault="003545A1" w:rsidP="003545A1">
      <w:pPr>
        <w:autoSpaceDE w:val="0"/>
        <w:autoSpaceDN w:val="0"/>
        <w:adjustRightInd w:val="0"/>
        <w:ind w:left="0" w:firstLine="0"/>
        <w:rPr>
          <w:rFonts w:eastAsia="Calibri"/>
          <w:color w:val="000000"/>
          <w:szCs w:val="22"/>
        </w:rPr>
      </w:pPr>
      <w:r w:rsidRPr="003545A1">
        <w:rPr>
          <w:rFonts w:eastAsia="Calibri"/>
          <w:color w:val="000000"/>
          <w:szCs w:val="22"/>
        </w:rPr>
        <w:t>zriedkavé (&gt;</w:t>
      </w:r>
      <w:r>
        <w:rPr>
          <w:rFonts w:eastAsia="Calibri"/>
          <w:color w:val="000000"/>
          <w:szCs w:val="22"/>
        </w:rPr>
        <w:t> </w:t>
      </w:r>
      <w:r w:rsidRPr="003545A1">
        <w:rPr>
          <w:rFonts w:eastAsia="Calibri"/>
          <w:color w:val="000000"/>
          <w:szCs w:val="22"/>
        </w:rPr>
        <w:t>1/10</w:t>
      </w:r>
      <w:r>
        <w:rPr>
          <w:rFonts w:eastAsia="Calibri"/>
          <w:color w:val="000000"/>
          <w:szCs w:val="22"/>
        </w:rPr>
        <w:t> </w:t>
      </w:r>
      <w:r w:rsidRPr="003545A1">
        <w:rPr>
          <w:rFonts w:eastAsia="Calibri"/>
          <w:color w:val="000000"/>
          <w:szCs w:val="22"/>
        </w:rPr>
        <w:t>000, &lt;</w:t>
      </w:r>
      <w:r>
        <w:rPr>
          <w:rFonts w:eastAsia="Calibri"/>
          <w:color w:val="000000"/>
          <w:szCs w:val="22"/>
        </w:rPr>
        <w:t> </w:t>
      </w:r>
      <w:r w:rsidRPr="003545A1">
        <w:rPr>
          <w:rFonts w:eastAsia="Calibri"/>
          <w:color w:val="000000"/>
          <w:szCs w:val="22"/>
        </w:rPr>
        <w:t>1/1</w:t>
      </w:r>
      <w:r>
        <w:rPr>
          <w:rFonts w:eastAsia="Calibri"/>
          <w:color w:val="000000"/>
          <w:szCs w:val="22"/>
        </w:rPr>
        <w:t> </w:t>
      </w:r>
      <w:r w:rsidRPr="003545A1">
        <w:rPr>
          <w:rFonts w:eastAsia="Calibri"/>
          <w:color w:val="000000"/>
          <w:szCs w:val="22"/>
        </w:rPr>
        <w:t xml:space="preserve">000); </w:t>
      </w:r>
    </w:p>
    <w:p w14:paraId="2349B480" w14:textId="77777777" w:rsidR="003545A1" w:rsidRPr="003545A1" w:rsidRDefault="003545A1" w:rsidP="003545A1">
      <w:pPr>
        <w:autoSpaceDE w:val="0"/>
        <w:autoSpaceDN w:val="0"/>
        <w:adjustRightInd w:val="0"/>
        <w:ind w:left="0" w:firstLine="0"/>
        <w:rPr>
          <w:rFonts w:eastAsia="Calibri"/>
          <w:color w:val="000000"/>
          <w:szCs w:val="22"/>
        </w:rPr>
      </w:pPr>
      <w:r w:rsidRPr="003545A1">
        <w:rPr>
          <w:rFonts w:eastAsia="Calibri"/>
          <w:color w:val="000000"/>
          <w:szCs w:val="22"/>
        </w:rPr>
        <w:t>veľmi zriedkavé (&lt;</w:t>
      </w:r>
      <w:r>
        <w:rPr>
          <w:rFonts w:eastAsia="Calibri"/>
          <w:color w:val="000000"/>
          <w:szCs w:val="22"/>
        </w:rPr>
        <w:t> </w:t>
      </w:r>
      <w:r w:rsidRPr="003545A1">
        <w:rPr>
          <w:rFonts w:eastAsia="Calibri"/>
          <w:color w:val="000000"/>
          <w:szCs w:val="22"/>
        </w:rPr>
        <w:t>1/10</w:t>
      </w:r>
      <w:r>
        <w:rPr>
          <w:rFonts w:eastAsia="Calibri"/>
          <w:color w:val="000000"/>
          <w:szCs w:val="22"/>
        </w:rPr>
        <w:t> </w:t>
      </w:r>
      <w:r w:rsidRPr="003545A1">
        <w:rPr>
          <w:rFonts w:eastAsia="Calibri"/>
          <w:color w:val="000000"/>
          <w:szCs w:val="22"/>
        </w:rPr>
        <w:t xml:space="preserve">000); </w:t>
      </w:r>
    </w:p>
    <w:p w14:paraId="5D9E69CA" w14:textId="2E6FCE6F" w:rsidR="00A03627" w:rsidRDefault="003545A1" w:rsidP="003545A1">
      <w:pPr>
        <w:ind w:left="0" w:firstLine="0"/>
        <w:rPr>
          <w:szCs w:val="22"/>
        </w:rPr>
      </w:pPr>
      <w:r w:rsidRPr="003545A1">
        <w:rPr>
          <w:rFonts w:eastAsia="Calibri"/>
          <w:color w:val="000000"/>
          <w:szCs w:val="22"/>
        </w:rPr>
        <w:t xml:space="preserve">neznáme (z dostupných údajov). </w:t>
      </w:r>
    </w:p>
    <w:p w14:paraId="214D5BAD" w14:textId="77777777" w:rsidR="00A03627" w:rsidRDefault="00A03627" w:rsidP="00065CF8">
      <w:pPr>
        <w:ind w:left="0" w:firstLine="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5"/>
        <w:gridCol w:w="2611"/>
        <w:gridCol w:w="2796"/>
      </w:tblGrid>
      <w:tr w:rsidR="007B67DE" w:rsidRPr="00C40770" w14:paraId="7D2342BA" w14:textId="77777777">
        <w:tc>
          <w:tcPr>
            <w:tcW w:w="2190" w:type="pct"/>
            <w:vAlign w:val="center"/>
          </w:tcPr>
          <w:p w14:paraId="2FC2C7E7" w14:textId="124F394A" w:rsidR="007B67DE" w:rsidRPr="00C40770" w:rsidRDefault="007B67DE" w:rsidP="00DA5A8A">
            <w:pPr>
              <w:ind w:left="0" w:firstLine="0"/>
              <w:rPr>
                <w:b/>
                <w:szCs w:val="22"/>
              </w:rPr>
            </w:pPr>
            <w:r w:rsidRPr="00C40770">
              <w:rPr>
                <w:b/>
                <w:szCs w:val="22"/>
              </w:rPr>
              <w:t>Trieda orgánových systémov podľa MedDRA</w:t>
            </w:r>
          </w:p>
        </w:tc>
        <w:tc>
          <w:tcPr>
            <w:tcW w:w="1357" w:type="pct"/>
          </w:tcPr>
          <w:p w14:paraId="5E7BAA67" w14:textId="045591DF" w:rsidR="007B67DE" w:rsidRPr="00C40770" w:rsidRDefault="007B67DE" w:rsidP="00DA5A8A">
            <w:pPr>
              <w:ind w:left="0" w:firstLine="0"/>
              <w:rPr>
                <w:b/>
                <w:szCs w:val="22"/>
                <w:lang w:val="en-US"/>
              </w:rPr>
            </w:pPr>
            <w:r w:rsidRPr="00C40770">
              <w:rPr>
                <w:b/>
                <w:szCs w:val="22"/>
              </w:rPr>
              <w:t>Frekvencia</w:t>
            </w:r>
          </w:p>
        </w:tc>
        <w:tc>
          <w:tcPr>
            <w:tcW w:w="1453" w:type="pct"/>
            <w:vAlign w:val="center"/>
          </w:tcPr>
          <w:p w14:paraId="4945282E" w14:textId="2ECDFA7B" w:rsidR="007B67DE" w:rsidRPr="00C40770" w:rsidRDefault="003545A1" w:rsidP="001552A5">
            <w:pPr>
              <w:ind w:left="0" w:firstLine="0"/>
              <w:rPr>
                <w:b/>
                <w:szCs w:val="22"/>
                <w:lang w:val="en-US"/>
              </w:rPr>
            </w:pPr>
            <w:r>
              <w:rPr>
                <w:b/>
                <w:szCs w:val="22"/>
              </w:rPr>
              <w:t>Uprednostňovaný termín</w:t>
            </w:r>
          </w:p>
        </w:tc>
      </w:tr>
      <w:tr w:rsidR="007B67DE" w:rsidRPr="00C40770" w14:paraId="67DF24E2" w14:textId="77777777">
        <w:tc>
          <w:tcPr>
            <w:tcW w:w="2190" w:type="pct"/>
          </w:tcPr>
          <w:p w14:paraId="4CC3C77D" w14:textId="77777777" w:rsidR="007B67DE" w:rsidRPr="00C40770" w:rsidRDefault="00A82AE1" w:rsidP="00B3298A">
            <w:pPr>
              <w:ind w:left="0" w:firstLine="0"/>
              <w:rPr>
                <w:szCs w:val="22"/>
              </w:rPr>
            </w:pPr>
            <w:r w:rsidRPr="00C40770">
              <w:rPr>
                <w:szCs w:val="22"/>
              </w:rPr>
              <w:t>Poruchy</w:t>
            </w:r>
            <w:r w:rsidR="007B67DE" w:rsidRPr="00C40770">
              <w:rPr>
                <w:szCs w:val="22"/>
              </w:rPr>
              <w:t xml:space="preserve"> </w:t>
            </w:r>
            <w:r w:rsidRPr="00C40770">
              <w:rPr>
                <w:szCs w:val="22"/>
              </w:rPr>
              <w:t>krvi a lymfatického systému</w:t>
            </w:r>
          </w:p>
        </w:tc>
        <w:tc>
          <w:tcPr>
            <w:tcW w:w="1357" w:type="pct"/>
          </w:tcPr>
          <w:p w14:paraId="0DC8F23C" w14:textId="713CFB11" w:rsidR="007B67DE" w:rsidRPr="00C40770" w:rsidRDefault="001E4E30" w:rsidP="001552A5">
            <w:pPr>
              <w:ind w:left="0" w:firstLine="0"/>
              <w:rPr>
                <w:szCs w:val="22"/>
                <w:lang w:val="en-US"/>
              </w:rPr>
            </w:pPr>
            <w:r>
              <w:rPr>
                <w:szCs w:val="22"/>
              </w:rPr>
              <w:t>zriedkavé</w:t>
            </w:r>
          </w:p>
        </w:tc>
        <w:tc>
          <w:tcPr>
            <w:tcW w:w="1453" w:type="pct"/>
          </w:tcPr>
          <w:p w14:paraId="7101A9E2" w14:textId="6D60DBF5" w:rsidR="007B67DE" w:rsidRPr="00C40770" w:rsidRDefault="001E4E30" w:rsidP="00E76742">
            <w:pPr>
              <w:pStyle w:val="Default"/>
              <w:rPr>
                <w:szCs w:val="22"/>
                <w:lang w:val="en-US"/>
              </w:rPr>
            </w:pPr>
            <w:r>
              <w:rPr>
                <w:sz w:val="22"/>
                <w:szCs w:val="22"/>
              </w:rPr>
              <w:t>útlm kostnej drene, agranulocytóza, leukopénia, eozinofília, trombocytopénia</w:t>
            </w:r>
          </w:p>
        </w:tc>
      </w:tr>
      <w:tr w:rsidR="001E4E30" w:rsidRPr="00C40770" w14:paraId="22A563C5" w14:textId="77777777">
        <w:tc>
          <w:tcPr>
            <w:tcW w:w="2190" w:type="pct"/>
            <w:vMerge w:val="restart"/>
          </w:tcPr>
          <w:p w14:paraId="7696CD96" w14:textId="77777777" w:rsidR="001E4E30" w:rsidRPr="00C40770" w:rsidRDefault="001E4E30" w:rsidP="00B3298A">
            <w:pPr>
              <w:ind w:left="0" w:firstLine="0"/>
              <w:rPr>
                <w:szCs w:val="22"/>
              </w:rPr>
            </w:pPr>
            <w:r>
              <w:rPr>
                <w:szCs w:val="22"/>
              </w:rPr>
              <w:t>Poruchy metabolizmu a výživy</w:t>
            </w:r>
          </w:p>
        </w:tc>
        <w:tc>
          <w:tcPr>
            <w:tcW w:w="1357" w:type="pct"/>
          </w:tcPr>
          <w:p w14:paraId="1259EB61" w14:textId="37E33559" w:rsidR="001E4E30" w:rsidRPr="00C40770" w:rsidRDefault="001E4E30" w:rsidP="001552A5">
            <w:pPr>
              <w:ind w:left="0" w:firstLine="0"/>
              <w:rPr>
                <w:szCs w:val="22"/>
              </w:rPr>
            </w:pPr>
            <w:r>
              <w:rPr>
                <w:szCs w:val="22"/>
              </w:rPr>
              <w:t>zriedkavé</w:t>
            </w:r>
          </w:p>
        </w:tc>
        <w:tc>
          <w:tcPr>
            <w:tcW w:w="1453" w:type="pct"/>
          </w:tcPr>
          <w:p w14:paraId="1EA7B3B2" w14:textId="22826E2D" w:rsidR="001E4E30" w:rsidRPr="00C40770" w:rsidRDefault="001E4E30" w:rsidP="00E76742">
            <w:pPr>
              <w:pStyle w:val="Default"/>
              <w:rPr>
                <w:szCs w:val="22"/>
              </w:rPr>
            </w:pPr>
            <w:r>
              <w:rPr>
                <w:sz w:val="22"/>
                <w:szCs w:val="22"/>
              </w:rPr>
              <w:t xml:space="preserve">znížená chuť do </w:t>
            </w:r>
            <w:r w:rsidRPr="00E76742">
              <w:rPr>
                <w:sz w:val="22"/>
                <w:szCs w:val="22"/>
              </w:rPr>
              <w:t>jedla</w:t>
            </w:r>
          </w:p>
        </w:tc>
      </w:tr>
      <w:tr w:rsidR="001E4E30" w:rsidRPr="00C40770" w14:paraId="22172390" w14:textId="77777777">
        <w:tc>
          <w:tcPr>
            <w:tcW w:w="2190" w:type="pct"/>
            <w:vMerge/>
          </w:tcPr>
          <w:p w14:paraId="3DF14792" w14:textId="77777777" w:rsidR="001E4E30" w:rsidRDefault="001E4E30" w:rsidP="00B3298A">
            <w:pPr>
              <w:ind w:left="0" w:firstLine="0"/>
              <w:rPr>
                <w:szCs w:val="22"/>
              </w:rPr>
            </w:pPr>
          </w:p>
        </w:tc>
        <w:tc>
          <w:tcPr>
            <w:tcW w:w="1357" w:type="pct"/>
          </w:tcPr>
          <w:p w14:paraId="6C537F0F" w14:textId="77777777" w:rsidR="001E4E30" w:rsidRDefault="001E4E30" w:rsidP="001552A5">
            <w:pPr>
              <w:ind w:left="0" w:firstLine="0"/>
              <w:rPr>
                <w:szCs w:val="22"/>
              </w:rPr>
            </w:pPr>
            <w:r>
              <w:rPr>
                <w:szCs w:val="22"/>
              </w:rPr>
              <w:t>neznáme</w:t>
            </w:r>
          </w:p>
        </w:tc>
        <w:tc>
          <w:tcPr>
            <w:tcW w:w="1453" w:type="pct"/>
          </w:tcPr>
          <w:p w14:paraId="5A3E462D" w14:textId="77777777" w:rsidR="001E4E30" w:rsidRDefault="001E4E30" w:rsidP="00E76742">
            <w:pPr>
              <w:pStyle w:val="Default"/>
              <w:rPr>
                <w:szCs w:val="22"/>
              </w:rPr>
            </w:pPr>
            <w:r>
              <w:rPr>
                <w:sz w:val="22"/>
                <w:szCs w:val="22"/>
              </w:rPr>
              <w:t>anorexia, zvýšená alebo znížená hladina cukru v</w:t>
            </w:r>
            <w:r w:rsidR="006376F2">
              <w:rPr>
                <w:sz w:val="22"/>
                <w:szCs w:val="22"/>
              </w:rPr>
              <w:t> </w:t>
            </w:r>
            <w:r>
              <w:rPr>
                <w:sz w:val="22"/>
                <w:szCs w:val="22"/>
              </w:rPr>
              <w:t>krvi</w:t>
            </w:r>
          </w:p>
        </w:tc>
      </w:tr>
      <w:tr w:rsidR="001E4E30" w:rsidRPr="00C40770" w14:paraId="3DCF1D01" w14:textId="77777777">
        <w:tc>
          <w:tcPr>
            <w:tcW w:w="2190" w:type="pct"/>
            <w:vMerge w:val="restart"/>
          </w:tcPr>
          <w:p w14:paraId="6CBBFE69" w14:textId="77777777" w:rsidR="001E4E30" w:rsidRPr="00C40770" w:rsidRDefault="001E4E30" w:rsidP="00C40770">
            <w:pPr>
              <w:ind w:left="0" w:firstLine="0"/>
              <w:rPr>
                <w:szCs w:val="22"/>
                <w:lang w:val="en-US"/>
              </w:rPr>
            </w:pPr>
            <w:r w:rsidRPr="00C40770">
              <w:rPr>
                <w:bCs/>
                <w:szCs w:val="22"/>
              </w:rPr>
              <w:t>Psychické poruchy</w:t>
            </w:r>
          </w:p>
        </w:tc>
        <w:tc>
          <w:tcPr>
            <w:tcW w:w="1357" w:type="pct"/>
          </w:tcPr>
          <w:p w14:paraId="031BFDB5" w14:textId="77777777" w:rsidR="001E4E30" w:rsidRPr="00C40770" w:rsidRDefault="001E4E30" w:rsidP="00B3298A">
            <w:pPr>
              <w:ind w:left="0" w:firstLine="0"/>
              <w:rPr>
                <w:szCs w:val="22"/>
                <w:lang w:val="en-US"/>
              </w:rPr>
            </w:pPr>
            <w:r>
              <w:rPr>
                <w:szCs w:val="22"/>
              </w:rPr>
              <w:t>veľmi č</w:t>
            </w:r>
            <w:r w:rsidRPr="00C40770">
              <w:rPr>
                <w:szCs w:val="22"/>
              </w:rPr>
              <w:t>asté</w:t>
            </w:r>
          </w:p>
        </w:tc>
        <w:tc>
          <w:tcPr>
            <w:tcW w:w="1453" w:type="pct"/>
          </w:tcPr>
          <w:p w14:paraId="2A8EA7FB" w14:textId="6B116944" w:rsidR="001E4E30" w:rsidRPr="00C40770" w:rsidRDefault="001E4E30" w:rsidP="00B3298A">
            <w:pPr>
              <w:ind w:left="0" w:firstLine="0"/>
              <w:rPr>
                <w:szCs w:val="22"/>
                <w:lang w:val="en-US"/>
              </w:rPr>
            </w:pPr>
            <w:r>
              <w:rPr>
                <w:szCs w:val="22"/>
              </w:rPr>
              <w:t>agresivita</w:t>
            </w:r>
          </w:p>
        </w:tc>
      </w:tr>
      <w:tr w:rsidR="001E4E30" w:rsidRPr="00C40770" w14:paraId="04C721F4" w14:textId="77777777">
        <w:tc>
          <w:tcPr>
            <w:tcW w:w="2190" w:type="pct"/>
            <w:vMerge/>
          </w:tcPr>
          <w:p w14:paraId="4D987A84" w14:textId="77777777" w:rsidR="001E4E30" w:rsidRPr="00C40770" w:rsidRDefault="001E4E30" w:rsidP="00C40770">
            <w:pPr>
              <w:ind w:left="0" w:firstLine="0"/>
              <w:rPr>
                <w:bCs/>
                <w:szCs w:val="22"/>
              </w:rPr>
            </w:pPr>
          </w:p>
        </w:tc>
        <w:tc>
          <w:tcPr>
            <w:tcW w:w="1357" w:type="pct"/>
          </w:tcPr>
          <w:p w14:paraId="6DA0FAE8" w14:textId="77777777" w:rsidR="001E4E30" w:rsidRDefault="001E4E30" w:rsidP="00B3298A">
            <w:pPr>
              <w:ind w:left="0" w:firstLine="0"/>
              <w:rPr>
                <w:szCs w:val="22"/>
              </w:rPr>
            </w:pPr>
            <w:r>
              <w:rPr>
                <w:szCs w:val="22"/>
              </w:rPr>
              <w:t>časté</w:t>
            </w:r>
          </w:p>
        </w:tc>
        <w:tc>
          <w:tcPr>
            <w:tcW w:w="1453" w:type="pct"/>
          </w:tcPr>
          <w:p w14:paraId="53C69822" w14:textId="77777777" w:rsidR="001E4E30" w:rsidRDefault="001E4E30" w:rsidP="00E76742">
            <w:pPr>
              <w:pStyle w:val="Default"/>
              <w:rPr>
                <w:szCs w:val="22"/>
              </w:rPr>
            </w:pPr>
            <w:r>
              <w:rPr>
                <w:sz w:val="22"/>
                <w:szCs w:val="22"/>
              </w:rPr>
              <w:t xml:space="preserve">stavy zmätenosti, znížené libido, nepokoj </w:t>
            </w:r>
          </w:p>
        </w:tc>
      </w:tr>
      <w:tr w:rsidR="001E4E30" w:rsidRPr="00C40770" w14:paraId="466AED1D" w14:textId="77777777">
        <w:tc>
          <w:tcPr>
            <w:tcW w:w="2190" w:type="pct"/>
            <w:vMerge/>
          </w:tcPr>
          <w:p w14:paraId="666E39B2" w14:textId="77777777" w:rsidR="001E4E30" w:rsidRPr="00C40770" w:rsidRDefault="001E4E30" w:rsidP="00C40770">
            <w:pPr>
              <w:ind w:left="0" w:firstLine="0"/>
              <w:rPr>
                <w:bCs/>
                <w:szCs w:val="22"/>
              </w:rPr>
            </w:pPr>
          </w:p>
        </w:tc>
        <w:tc>
          <w:tcPr>
            <w:tcW w:w="1357" w:type="pct"/>
          </w:tcPr>
          <w:p w14:paraId="2DA85A60" w14:textId="77777777" w:rsidR="001E4E30" w:rsidRDefault="001E4E30" w:rsidP="00E76742">
            <w:pPr>
              <w:pStyle w:val="Default"/>
              <w:rPr>
                <w:szCs w:val="22"/>
              </w:rPr>
            </w:pPr>
            <w:r>
              <w:rPr>
                <w:sz w:val="22"/>
                <w:szCs w:val="22"/>
              </w:rPr>
              <w:t>menej časté</w:t>
            </w:r>
          </w:p>
        </w:tc>
        <w:tc>
          <w:tcPr>
            <w:tcW w:w="1453" w:type="pct"/>
          </w:tcPr>
          <w:p w14:paraId="2E9FE041" w14:textId="77777777" w:rsidR="001E4E30" w:rsidRDefault="001E4E30" w:rsidP="00E76742">
            <w:pPr>
              <w:pStyle w:val="Default"/>
              <w:rPr>
                <w:szCs w:val="22"/>
              </w:rPr>
            </w:pPr>
            <w:r>
              <w:rPr>
                <w:sz w:val="22"/>
                <w:szCs w:val="22"/>
              </w:rPr>
              <w:t>hypománia, mánia, úzkosť, insomnia, nočné mory</w:t>
            </w:r>
          </w:p>
        </w:tc>
      </w:tr>
      <w:tr w:rsidR="001E4E30" w:rsidRPr="00C40770" w14:paraId="1D03E77B" w14:textId="77777777">
        <w:tc>
          <w:tcPr>
            <w:tcW w:w="2190" w:type="pct"/>
            <w:vMerge/>
          </w:tcPr>
          <w:p w14:paraId="0F1740AA" w14:textId="77777777" w:rsidR="001E4E30" w:rsidRPr="00C40770" w:rsidRDefault="001E4E30" w:rsidP="00C40770">
            <w:pPr>
              <w:ind w:left="0" w:firstLine="0"/>
              <w:rPr>
                <w:bCs/>
                <w:szCs w:val="22"/>
              </w:rPr>
            </w:pPr>
          </w:p>
        </w:tc>
        <w:tc>
          <w:tcPr>
            <w:tcW w:w="1357" w:type="pct"/>
          </w:tcPr>
          <w:p w14:paraId="0A18660B" w14:textId="77777777" w:rsidR="001E4E30" w:rsidRDefault="001E4E30" w:rsidP="001E4E30">
            <w:pPr>
              <w:pStyle w:val="Default"/>
              <w:rPr>
                <w:sz w:val="22"/>
                <w:szCs w:val="22"/>
              </w:rPr>
            </w:pPr>
            <w:r>
              <w:rPr>
                <w:sz w:val="22"/>
                <w:szCs w:val="22"/>
              </w:rPr>
              <w:t>zriedkavé</w:t>
            </w:r>
          </w:p>
        </w:tc>
        <w:tc>
          <w:tcPr>
            <w:tcW w:w="1453" w:type="pct"/>
          </w:tcPr>
          <w:p w14:paraId="650F74E2" w14:textId="77777777" w:rsidR="001E4E30" w:rsidRDefault="001E4E30">
            <w:pPr>
              <w:pStyle w:val="Default"/>
              <w:rPr>
                <w:sz w:val="22"/>
                <w:szCs w:val="22"/>
              </w:rPr>
            </w:pPr>
            <w:r>
              <w:rPr>
                <w:sz w:val="22"/>
                <w:szCs w:val="22"/>
              </w:rPr>
              <w:t xml:space="preserve">delírium (u starších pacientov), halucinácie (u pacientov so schizofréniou), samovražedné myšlienky alebo správanie* </w:t>
            </w:r>
          </w:p>
        </w:tc>
      </w:tr>
      <w:tr w:rsidR="001E4E30" w:rsidRPr="00C40770" w14:paraId="695A6446" w14:textId="77777777">
        <w:tc>
          <w:tcPr>
            <w:tcW w:w="2190" w:type="pct"/>
            <w:vMerge/>
          </w:tcPr>
          <w:p w14:paraId="39D42A4F" w14:textId="77777777" w:rsidR="001E4E30" w:rsidRPr="00C40770" w:rsidRDefault="001E4E30" w:rsidP="00C40770">
            <w:pPr>
              <w:ind w:left="0" w:firstLine="0"/>
              <w:rPr>
                <w:bCs/>
                <w:szCs w:val="22"/>
              </w:rPr>
            </w:pPr>
          </w:p>
        </w:tc>
        <w:tc>
          <w:tcPr>
            <w:tcW w:w="1357" w:type="pct"/>
          </w:tcPr>
          <w:p w14:paraId="1B67DD43" w14:textId="77777777" w:rsidR="001E4E30" w:rsidRDefault="001E4E30" w:rsidP="00B3298A">
            <w:pPr>
              <w:ind w:left="0" w:firstLine="0"/>
              <w:rPr>
                <w:szCs w:val="22"/>
              </w:rPr>
            </w:pPr>
            <w:r>
              <w:rPr>
                <w:szCs w:val="22"/>
              </w:rPr>
              <w:t>neznáme</w:t>
            </w:r>
          </w:p>
        </w:tc>
        <w:tc>
          <w:tcPr>
            <w:tcW w:w="1453" w:type="pct"/>
          </w:tcPr>
          <w:p w14:paraId="7AA00E88" w14:textId="77777777" w:rsidR="001E4E30" w:rsidRDefault="001E4E30" w:rsidP="00C40770">
            <w:pPr>
              <w:ind w:left="0" w:firstLine="0"/>
              <w:rPr>
                <w:szCs w:val="22"/>
              </w:rPr>
            </w:pPr>
            <w:r>
              <w:rPr>
                <w:szCs w:val="22"/>
              </w:rPr>
              <w:t>paranoja</w:t>
            </w:r>
          </w:p>
        </w:tc>
      </w:tr>
      <w:tr w:rsidR="007B67DE" w:rsidRPr="00C40770" w14:paraId="16A67B6E" w14:textId="77777777">
        <w:trPr>
          <w:trHeight w:val="116"/>
        </w:trPr>
        <w:tc>
          <w:tcPr>
            <w:tcW w:w="2190" w:type="pct"/>
            <w:vMerge w:val="restart"/>
          </w:tcPr>
          <w:p w14:paraId="4BC5CEC9" w14:textId="77777777" w:rsidR="007B67DE" w:rsidRPr="00C40770" w:rsidRDefault="007B67DE" w:rsidP="00C40770">
            <w:pPr>
              <w:ind w:left="0" w:firstLine="0"/>
              <w:rPr>
                <w:szCs w:val="22"/>
                <w:lang w:val="en-US"/>
              </w:rPr>
            </w:pPr>
            <w:r w:rsidRPr="00C40770">
              <w:rPr>
                <w:bCs/>
                <w:szCs w:val="22"/>
              </w:rPr>
              <w:t>Poruchy nervového systému</w:t>
            </w:r>
          </w:p>
        </w:tc>
        <w:tc>
          <w:tcPr>
            <w:tcW w:w="1357" w:type="pct"/>
          </w:tcPr>
          <w:p w14:paraId="7E9ACA6F" w14:textId="77777777" w:rsidR="007B67DE" w:rsidRPr="00C40770" w:rsidRDefault="001E4E30" w:rsidP="00B3298A">
            <w:pPr>
              <w:ind w:left="0" w:firstLine="0"/>
              <w:rPr>
                <w:szCs w:val="22"/>
                <w:lang w:val="en-US"/>
              </w:rPr>
            </w:pPr>
            <w:r>
              <w:rPr>
                <w:szCs w:val="22"/>
              </w:rPr>
              <w:t xml:space="preserve">veľmi </w:t>
            </w:r>
            <w:r w:rsidR="00B04E6B">
              <w:rPr>
                <w:szCs w:val="22"/>
              </w:rPr>
              <w:t>č</w:t>
            </w:r>
            <w:r w:rsidR="00A82AE1" w:rsidRPr="00C40770">
              <w:rPr>
                <w:szCs w:val="22"/>
              </w:rPr>
              <w:t>asté</w:t>
            </w:r>
            <w:r w:rsidR="007B67DE" w:rsidRPr="00C40770">
              <w:rPr>
                <w:szCs w:val="22"/>
                <w:lang w:val="en-US"/>
              </w:rPr>
              <w:t xml:space="preserve"> </w:t>
            </w:r>
          </w:p>
        </w:tc>
        <w:tc>
          <w:tcPr>
            <w:tcW w:w="1453" w:type="pct"/>
          </w:tcPr>
          <w:p w14:paraId="1355073A" w14:textId="77777777" w:rsidR="001E4E30" w:rsidRDefault="001E4E30" w:rsidP="001E4E30">
            <w:pPr>
              <w:pStyle w:val="Default"/>
              <w:rPr>
                <w:szCs w:val="22"/>
              </w:rPr>
            </w:pPr>
            <w:r>
              <w:rPr>
                <w:sz w:val="22"/>
                <w:szCs w:val="22"/>
              </w:rPr>
              <w:t xml:space="preserve">somnolencia, tremor, závraty, bolesť hlavy, ospalosť, porucha reči (dyzartria) </w:t>
            </w:r>
          </w:p>
          <w:p w14:paraId="4D8F89CE" w14:textId="090BB198" w:rsidR="007B67DE" w:rsidRPr="00C40770" w:rsidRDefault="007B67DE" w:rsidP="00DA5A8A">
            <w:pPr>
              <w:ind w:left="0" w:firstLine="0"/>
              <w:rPr>
                <w:szCs w:val="22"/>
                <w:lang w:val="en-US"/>
              </w:rPr>
            </w:pPr>
          </w:p>
        </w:tc>
      </w:tr>
      <w:tr w:rsidR="001E4E30" w:rsidRPr="00C40770" w14:paraId="181846DE" w14:textId="77777777">
        <w:trPr>
          <w:trHeight w:val="116"/>
        </w:trPr>
        <w:tc>
          <w:tcPr>
            <w:tcW w:w="2190" w:type="pct"/>
            <w:vMerge/>
          </w:tcPr>
          <w:p w14:paraId="0BD9EB67" w14:textId="77777777" w:rsidR="001E4E30" w:rsidRPr="00C40770" w:rsidRDefault="001E4E30" w:rsidP="00C40770">
            <w:pPr>
              <w:ind w:left="0" w:firstLine="0"/>
              <w:rPr>
                <w:bCs/>
                <w:szCs w:val="22"/>
              </w:rPr>
            </w:pPr>
          </w:p>
        </w:tc>
        <w:tc>
          <w:tcPr>
            <w:tcW w:w="1357" w:type="pct"/>
          </w:tcPr>
          <w:p w14:paraId="422889FC" w14:textId="77777777" w:rsidR="001E4E30" w:rsidRDefault="001E4E30" w:rsidP="00B3298A">
            <w:pPr>
              <w:ind w:left="0" w:firstLine="0"/>
              <w:rPr>
                <w:szCs w:val="22"/>
              </w:rPr>
            </w:pPr>
            <w:r>
              <w:rPr>
                <w:szCs w:val="22"/>
              </w:rPr>
              <w:t>časté</w:t>
            </w:r>
          </w:p>
        </w:tc>
        <w:tc>
          <w:tcPr>
            <w:tcW w:w="1453" w:type="pct"/>
          </w:tcPr>
          <w:p w14:paraId="284271E6" w14:textId="77777777" w:rsidR="001E4E30" w:rsidRDefault="001E4E30" w:rsidP="00E76742">
            <w:pPr>
              <w:pStyle w:val="Default"/>
              <w:rPr>
                <w:szCs w:val="22"/>
              </w:rPr>
            </w:pPr>
            <w:r>
              <w:rPr>
                <w:sz w:val="22"/>
                <w:szCs w:val="22"/>
              </w:rPr>
              <w:t>poruchy pozornosti, dysgeuzia, parestézia, ataxia</w:t>
            </w:r>
          </w:p>
        </w:tc>
      </w:tr>
      <w:tr w:rsidR="001E4E30" w:rsidRPr="00C40770" w14:paraId="700EB829" w14:textId="77777777">
        <w:trPr>
          <w:trHeight w:val="116"/>
        </w:trPr>
        <w:tc>
          <w:tcPr>
            <w:tcW w:w="2190" w:type="pct"/>
            <w:vMerge/>
          </w:tcPr>
          <w:p w14:paraId="766382F8" w14:textId="77777777" w:rsidR="001E4E30" w:rsidRPr="00C40770" w:rsidRDefault="001E4E30" w:rsidP="00C40770">
            <w:pPr>
              <w:ind w:left="0" w:firstLine="0"/>
              <w:rPr>
                <w:bCs/>
                <w:szCs w:val="22"/>
              </w:rPr>
            </w:pPr>
          </w:p>
        </w:tc>
        <w:tc>
          <w:tcPr>
            <w:tcW w:w="1357" w:type="pct"/>
          </w:tcPr>
          <w:p w14:paraId="62A45981" w14:textId="77777777" w:rsidR="001E4E30" w:rsidRDefault="001E4E30" w:rsidP="00B3298A">
            <w:pPr>
              <w:ind w:left="0" w:firstLine="0"/>
              <w:rPr>
                <w:szCs w:val="22"/>
              </w:rPr>
            </w:pPr>
            <w:r>
              <w:rPr>
                <w:szCs w:val="22"/>
              </w:rPr>
              <w:t>menej časté</w:t>
            </w:r>
          </w:p>
        </w:tc>
        <w:tc>
          <w:tcPr>
            <w:tcW w:w="1453" w:type="pct"/>
          </w:tcPr>
          <w:p w14:paraId="560A9BFA" w14:textId="77777777" w:rsidR="001E4E30" w:rsidRDefault="001E4E30" w:rsidP="00C40770">
            <w:pPr>
              <w:ind w:left="0" w:firstLine="0"/>
              <w:rPr>
                <w:szCs w:val="22"/>
              </w:rPr>
            </w:pPr>
            <w:r>
              <w:rPr>
                <w:szCs w:val="22"/>
              </w:rPr>
              <w:t>konvulzia</w:t>
            </w:r>
          </w:p>
        </w:tc>
      </w:tr>
      <w:tr w:rsidR="001E4E30" w:rsidRPr="00C40770" w14:paraId="05DE0A19" w14:textId="77777777">
        <w:trPr>
          <w:trHeight w:val="116"/>
        </w:trPr>
        <w:tc>
          <w:tcPr>
            <w:tcW w:w="2190" w:type="pct"/>
            <w:vMerge/>
          </w:tcPr>
          <w:p w14:paraId="7FBBDDC6" w14:textId="77777777" w:rsidR="001E4E30" w:rsidRPr="00C40770" w:rsidRDefault="001E4E30" w:rsidP="00C40770">
            <w:pPr>
              <w:ind w:left="0" w:firstLine="0"/>
              <w:rPr>
                <w:bCs/>
                <w:szCs w:val="22"/>
              </w:rPr>
            </w:pPr>
          </w:p>
        </w:tc>
        <w:tc>
          <w:tcPr>
            <w:tcW w:w="1357" w:type="pct"/>
          </w:tcPr>
          <w:p w14:paraId="6537EFE3" w14:textId="77777777" w:rsidR="001E4E30" w:rsidRDefault="001E4E30">
            <w:pPr>
              <w:ind w:left="0" w:firstLine="0"/>
              <w:rPr>
                <w:szCs w:val="22"/>
              </w:rPr>
            </w:pPr>
            <w:r>
              <w:rPr>
                <w:szCs w:val="22"/>
              </w:rPr>
              <w:t>veľmi zriedkavé</w:t>
            </w:r>
          </w:p>
        </w:tc>
        <w:tc>
          <w:tcPr>
            <w:tcW w:w="1453" w:type="pct"/>
          </w:tcPr>
          <w:p w14:paraId="2DFAB427" w14:textId="77777777" w:rsidR="001E4E30" w:rsidRDefault="001E4E30" w:rsidP="00E76742">
            <w:pPr>
              <w:pStyle w:val="Default"/>
              <w:rPr>
                <w:szCs w:val="22"/>
              </w:rPr>
            </w:pPr>
            <w:r>
              <w:rPr>
                <w:sz w:val="22"/>
                <w:szCs w:val="22"/>
              </w:rPr>
              <w:t xml:space="preserve">akatízia, polyneuropatia </w:t>
            </w:r>
          </w:p>
        </w:tc>
      </w:tr>
      <w:tr w:rsidR="007B67DE" w:rsidRPr="00C40770" w14:paraId="18D950AA" w14:textId="77777777">
        <w:trPr>
          <w:trHeight w:val="115"/>
        </w:trPr>
        <w:tc>
          <w:tcPr>
            <w:tcW w:w="2190" w:type="pct"/>
            <w:vMerge/>
          </w:tcPr>
          <w:p w14:paraId="323610F6" w14:textId="77777777" w:rsidR="007B67DE" w:rsidRPr="00C40770" w:rsidRDefault="007B67DE" w:rsidP="00C40770">
            <w:pPr>
              <w:ind w:left="0" w:firstLine="0"/>
              <w:rPr>
                <w:szCs w:val="22"/>
                <w:lang w:val="en-US"/>
              </w:rPr>
            </w:pPr>
          </w:p>
        </w:tc>
        <w:tc>
          <w:tcPr>
            <w:tcW w:w="1357" w:type="pct"/>
          </w:tcPr>
          <w:p w14:paraId="5F3589D4" w14:textId="03FC609E" w:rsidR="007B67DE" w:rsidRPr="00C40770" w:rsidRDefault="001E4E30" w:rsidP="00B3298A">
            <w:pPr>
              <w:ind w:left="0" w:firstLine="0"/>
              <w:rPr>
                <w:szCs w:val="22"/>
                <w:lang w:val="en-US"/>
              </w:rPr>
            </w:pPr>
            <w:r>
              <w:rPr>
                <w:szCs w:val="22"/>
              </w:rPr>
              <w:t>neznáme</w:t>
            </w:r>
          </w:p>
        </w:tc>
        <w:tc>
          <w:tcPr>
            <w:tcW w:w="1453" w:type="pct"/>
          </w:tcPr>
          <w:p w14:paraId="23F56967" w14:textId="2A78EABB" w:rsidR="007B67DE" w:rsidRPr="00C40770" w:rsidRDefault="00B04E6B">
            <w:pPr>
              <w:ind w:left="0" w:firstLine="0"/>
              <w:rPr>
                <w:szCs w:val="22"/>
                <w:lang w:val="en-US"/>
              </w:rPr>
            </w:pPr>
            <w:r>
              <w:rPr>
                <w:szCs w:val="22"/>
              </w:rPr>
              <w:t>e</w:t>
            </w:r>
            <w:r w:rsidR="00A82AE1" w:rsidRPr="00C40770">
              <w:rPr>
                <w:szCs w:val="22"/>
              </w:rPr>
              <w:t>xtrapyram</w:t>
            </w:r>
            <w:r w:rsidR="001E4E30">
              <w:rPr>
                <w:szCs w:val="22"/>
              </w:rPr>
              <w:t>ídové</w:t>
            </w:r>
            <w:r w:rsidR="00A82AE1" w:rsidRPr="00C40770">
              <w:rPr>
                <w:szCs w:val="22"/>
              </w:rPr>
              <w:t xml:space="preserve"> poruchy</w:t>
            </w:r>
          </w:p>
        </w:tc>
      </w:tr>
      <w:tr w:rsidR="001E4E30" w:rsidRPr="00C40770" w14:paraId="08B24411" w14:textId="77777777">
        <w:tc>
          <w:tcPr>
            <w:tcW w:w="2190" w:type="pct"/>
            <w:vMerge w:val="restart"/>
          </w:tcPr>
          <w:p w14:paraId="63F83EBB" w14:textId="77777777" w:rsidR="001E4E30" w:rsidRPr="00C40770" w:rsidRDefault="001E4E30" w:rsidP="00C40770">
            <w:pPr>
              <w:ind w:left="0" w:firstLine="0"/>
              <w:rPr>
                <w:szCs w:val="22"/>
                <w:lang w:val="en-US"/>
              </w:rPr>
            </w:pPr>
            <w:r w:rsidRPr="00C40770">
              <w:rPr>
                <w:bCs/>
                <w:szCs w:val="22"/>
              </w:rPr>
              <w:t>Poruchy oka</w:t>
            </w:r>
          </w:p>
        </w:tc>
        <w:tc>
          <w:tcPr>
            <w:tcW w:w="1357" w:type="pct"/>
          </w:tcPr>
          <w:p w14:paraId="458B75E2" w14:textId="77777777" w:rsidR="001E4E30" w:rsidRPr="00C40770" w:rsidRDefault="001E4E30" w:rsidP="00B3298A">
            <w:pPr>
              <w:ind w:left="0" w:firstLine="0"/>
              <w:rPr>
                <w:szCs w:val="22"/>
                <w:lang w:val="en-US"/>
              </w:rPr>
            </w:pPr>
            <w:r>
              <w:rPr>
                <w:szCs w:val="22"/>
              </w:rPr>
              <w:t>veľmi č</w:t>
            </w:r>
            <w:r w:rsidRPr="00C40770">
              <w:rPr>
                <w:szCs w:val="22"/>
              </w:rPr>
              <w:t>asté</w:t>
            </w:r>
          </w:p>
        </w:tc>
        <w:tc>
          <w:tcPr>
            <w:tcW w:w="1453" w:type="pct"/>
          </w:tcPr>
          <w:p w14:paraId="444791D4" w14:textId="1D439D61" w:rsidR="001E4E30" w:rsidRPr="00C40770" w:rsidRDefault="001E4E30" w:rsidP="00DA5A8A">
            <w:pPr>
              <w:ind w:left="0" w:firstLine="0"/>
              <w:rPr>
                <w:szCs w:val="22"/>
                <w:lang w:val="en-US"/>
              </w:rPr>
            </w:pPr>
            <w:r>
              <w:rPr>
                <w:szCs w:val="22"/>
              </w:rPr>
              <w:t>p</w:t>
            </w:r>
            <w:r w:rsidRPr="00C40770">
              <w:rPr>
                <w:szCs w:val="22"/>
              </w:rPr>
              <w:t>oruch</w:t>
            </w:r>
            <w:r>
              <w:rPr>
                <w:szCs w:val="22"/>
              </w:rPr>
              <w:t>a</w:t>
            </w:r>
            <w:r w:rsidRPr="00C40770">
              <w:rPr>
                <w:szCs w:val="22"/>
              </w:rPr>
              <w:t xml:space="preserve"> akomodácie</w:t>
            </w:r>
          </w:p>
        </w:tc>
      </w:tr>
      <w:tr w:rsidR="001E4E30" w:rsidRPr="00C40770" w14:paraId="35F1DB1E" w14:textId="77777777">
        <w:tc>
          <w:tcPr>
            <w:tcW w:w="2190" w:type="pct"/>
            <w:vMerge/>
          </w:tcPr>
          <w:p w14:paraId="39E9EFAE" w14:textId="77777777" w:rsidR="001E4E30" w:rsidRPr="00C40770" w:rsidRDefault="001E4E30" w:rsidP="00C40770">
            <w:pPr>
              <w:ind w:left="0" w:firstLine="0"/>
              <w:rPr>
                <w:bCs/>
                <w:szCs w:val="22"/>
              </w:rPr>
            </w:pPr>
          </w:p>
        </w:tc>
        <w:tc>
          <w:tcPr>
            <w:tcW w:w="1357" w:type="pct"/>
          </w:tcPr>
          <w:p w14:paraId="5E9CC631" w14:textId="77777777" w:rsidR="001E4E30" w:rsidRDefault="001E4E30" w:rsidP="00B3298A">
            <w:pPr>
              <w:ind w:left="0" w:firstLine="0"/>
              <w:rPr>
                <w:szCs w:val="22"/>
              </w:rPr>
            </w:pPr>
            <w:r>
              <w:rPr>
                <w:szCs w:val="22"/>
              </w:rPr>
              <w:t>časté</w:t>
            </w:r>
          </w:p>
        </w:tc>
        <w:tc>
          <w:tcPr>
            <w:tcW w:w="1453" w:type="pct"/>
          </w:tcPr>
          <w:p w14:paraId="3F6C39CA" w14:textId="77777777" w:rsidR="001E4E30" w:rsidRDefault="001E4E30" w:rsidP="00C40770">
            <w:pPr>
              <w:ind w:left="0" w:firstLine="0"/>
              <w:rPr>
                <w:szCs w:val="22"/>
              </w:rPr>
            </w:pPr>
            <w:r>
              <w:rPr>
                <w:szCs w:val="22"/>
              </w:rPr>
              <w:t>mydriáza</w:t>
            </w:r>
          </w:p>
        </w:tc>
      </w:tr>
      <w:tr w:rsidR="001E4E30" w:rsidRPr="00C40770" w14:paraId="5492E62E" w14:textId="77777777">
        <w:tc>
          <w:tcPr>
            <w:tcW w:w="2190" w:type="pct"/>
            <w:vMerge/>
          </w:tcPr>
          <w:p w14:paraId="1A6FD47C" w14:textId="77777777" w:rsidR="001E4E30" w:rsidRPr="00C40770" w:rsidRDefault="001E4E30" w:rsidP="00C40770">
            <w:pPr>
              <w:ind w:left="0" w:firstLine="0"/>
              <w:rPr>
                <w:bCs/>
                <w:szCs w:val="22"/>
              </w:rPr>
            </w:pPr>
          </w:p>
        </w:tc>
        <w:tc>
          <w:tcPr>
            <w:tcW w:w="1357" w:type="pct"/>
          </w:tcPr>
          <w:p w14:paraId="4F375091" w14:textId="77777777" w:rsidR="001E4E30" w:rsidRDefault="001E4E30" w:rsidP="00B3298A">
            <w:pPr>
              <w:ind w:left="0" w:firstLine="0"/>
              <w:rPr>
                <w:szCs w:val="22"/>
              </w:rPr>
            </w:pPr>
            <w:r>
              <w:rPr>
                <w:szCs w:val="22"/>
              </w:rPr>
              <w:t>veľmi zriedkavé</w:t>
            </w:r>
          </w:p>
        </w:tc>
        <w:tc>
          <w:tcPr>
            <w:tcW w:w="1453" w:type="pct"/>
          </w:tcPr>
          <w:p w14:paraId="181ABB5F" w14:textId="77777777" w:rsidR="001E4E30" w:rsidRDefault="001E4E30" w:rsidP="00C40770">
            <w:pPr>
              <w:ind w:left="0" w:firstLine="0"/>
              <w:rPr>
                <w:szCs w:val="22"/>
              </w:rPr>
            </w:pPr>
            <w:r>
              <w:rPr>
                <w:szCs w:val="22"/>
              </w:rPr>
              <w:t>akútny glaukóm</w:t>
            </w:r>
          </w:p>
        </w:tc>
      </w:tr>
      <w:tr w:rsidR="007B67DE" w:rsidRPr="00C40770" w14:paraId="5664E9AC" w14:textId="77777777">
        <w:tc>
          <w:tcPr>
            <w:tcW w:w="2190" w:type="pct"/>
          </w:tcPr>
          <w:p w14:paraId="2295552B" w14:textId="77777777" w:rsidR="007B67DE" w:rsidRPr="00C40770" w:rsidRDefault="007B67DE" w:rsidP="00C40770">
            <w:pPr>
              <w:ind w:left="0" w:firstLine="0"/>
              <w:rPr>
                <w:szCs w:val="22"/>
                <w:lang w:val="en-US"/>
              </w:rPr>
            </w:pPr>
            <w:r w:rsidRPr="00C40770">
              <w:rPr>
                <w:bCs/>
                <w:szCs w:val="22"/>
              </w:rPr>
              <w:t>Poruchy ucha a labyrintu</w:t>
            </w:r>
          </w:p>
        </w:tc>
        <w:tc>
          <w:tcPr>
            <w:tcW w:w="1357" w:type="pct"/>
          </w:tcPr>
          <w:p w14:paraId="55F12005" w14:textId="069E1309" w:rsidR="007B67DE" w:rsidRPr="00C40770" w:rsidRDefault="001E4E30" w:rsidP="00B3298A">
            <w:pPr>
              <w:ind w:left="0" w:firstLine="0"/>
              <w:rPr>
                <w:szCs w:val="22"/>
                <w:lang w:val="en-US"/>
              </w:rPr>
            </w:pPr>
            <w:r>
              <w:rPr>
                <w:szCs w:val="22"/>
              </w:rPr>
              <w:t>menej</w:t>
            </w:r>
            <w:r w:rsidRPr="00C40770">
              <w:rPr>
                <w:szCs w:val="22"/>
              </w:rPr>
              <w:t xml:space="preserve"> </w:t>
            </w:r>
            <w:r w:rsidR="00A82AE1" w:rsidRPr="00C40770">
              <w:rPr>
                <w:szCs w:val="22"/>
              </w:rPr>
              <w:t>časté</w:t>
            </w:r>
          </w:p>
        </w:tc>
        <w:tc>
          <w:tcPr>
            <w:tcW w:w="1453" w:type="pct"/>
          </w:tcPr>
          <w:p w14:paraId="1E665202" w14:textId="11BFCBF9" w:rsidR="007B67DE" w:rsidRPr="00C40770" w:rsidRDefault="001E4E30" w:rsidP="001552A5">
            <w:pPr>
              <w:ind w:left="0" w:firstLine="0"/>
              <w:textAlignment w:val="top"/>
              <w:rPr>
                <w:color w:val="888888"/>
                <w:szCs w:val="22"/>
                <w:lang w:val="en-US" w:eastAsia="en-US"/>
              </w:rPr>
            </w:pPr>
            <w:r>
              <w:rPr>
                <w:color w:val="000000"/>
                <w:szCs w:val="22"/>
                <w:lang w:eastAsia="en-US"/>
              </w:rPr>
              <w:t>tinitus</w:t>
            </w:r>
          </w:p>
        </w:tc>
      </w:tr>
      <w:tr w:rsidR="00785292" w:rsidRPr="00C40770" w14:paraId="26ED1533" w14:textId="77777777">
        <w:trPr>
          <w:trHeight w:val="77"/>
        </w:trPr>
        <w:tc>
          <w:tcPr>
            <w:tcW w:w="2190" w:type="pct"/>
            <w:vMerge w:val="restart"/>
          </w:tcPr>
          <w:p w14:paraId="7865483E" w14:textId="77777777" w:rsidR="00785292" w:rsidRPr="00C40770" w:rsidRDefault="00785292" w:rsidP="00C40770">
            <w:pPr>
              <w:ind w:left="0" w:firstLine="0"/>
              <w:rPr>
                <w:szCs w:val="22"/>
                <w:lang w:val="en-US"/>
              </w:rPr>
            </w:pPr>
            <w:r w:rsidRPr="00C40770">
              <w:rPr>
                <w:bCs/>
                <w:szCs w:val="22"/>
              </w:rPr>
              <w:t>Poruchy srdca a srdcovej činnosti</w:t>
            </w:r>
          </w:p>
        </w:tc>
        <w:tc>
          <w:tcPr>
            <w:tcW w:w="1357" w:type="pct"/>
          </w:tcPr>
          <w:p w14:paraId="60916DC7" w14:textId="77777777" w:rsidR="00785292" w:rsidRPr="00C40770" w:rsidRDefault="00785292" w:rsidP="00B3298A">
            <w:pPr>
              <w:ind w:left="0" w:firstLine="0"/>
              <w:rPr>
                <w:szCs w:val="22"/>
                <w:lang w:val="en-US"/>
              </w:rPr>
            </w:pPr>
            <w:r>
              <w:rPr>
                <w:szCs w:val="22"/>
              </w:rPr>
              <w:t>v</w:t>
            </w:r>
            <w:r w:rsidRPr="00C40770">
              <w:rPr>
                <w:szCs w:val="22"/>
              </w:rPr>
              <w:t>eľmi časté</w:t>
            </w:r>
          </w:p>
        </w:tc>
        <w:tc>
          <w:tcPr>
            <w:tcW w:w="1453" w:type="pct"/>
          </w:tcPr>
          <w:p w14:paraId="24F35ABF" w14:textId="5092866F" w:rsidR="00785292" w:rsidRPr="00C40770" w:rsidRDefault="00785292" w:rsidP="00DA5A8A">
            <w:pPr>
              <w:ind w:left="0" w:firstLine="0"/>
              <w:rPr>
                <w:szCs w:val="22"/>
                <w:lang w:val="en-US"/>
              </w:rPr>
            </w:pPr>
            <w:r>
              <w:rPr>
                <w:szCs w:val="22"/>
              </w:rPr>
              <w:t>p</w:t>
            </w:r>
            <w:r w:rsidRPr="00C40770">
              <w:rPr>
                <w:szCs w:val="22"/>
              </w:rPr>
              <w:t>alpitácie</w:t>
            </w:r>
            <w:r>
              <w:rPr>
                <w:szCs w:val="22"/>
              </w:rPr>
              <w:t>, t</w:t>
            </w:r>
            <w:r w:rsidRPr="00C40770">
              <w:rPr>
                <w:szCs w:val="22"/>
              </w:rPr>
              <w:t>achykardia</w:t>
            </w:r>
          </w:p>
        </w:tc>
      </w:tr>
      <w:tr w:rsidR="00785292" w:rsidRPr="00C40770" w14:paraId="2BE47870" w14:textId="77777777">
        <w:trPr>
          <w:trHeight w:val="77"/>
        </w:trPr>
        <w:tc>
          <w:tcPr>
            <w:tcW w:w="2190" w:type="pct"/>
            <w:vMerge/>
          </w:tcPr>
          <w:p w14:paraId="705307C3" w14:textId="77777777" w:rsidR="00785292" w:rsidRPr="00C40770" w:rsidRDefault="00785292" w:rsidP="00C40770">
            <w:pPr>
              <w:ind w:left="0" w:firstLine="0"/>
              <w:rPr>
                <w:bCs/>
                <w:szCs w:val="22"/>
              </w:rPr>
            </w:pPr>
          </w:p>
        </w:tc>
        <w:tc>
          <w:tcPr>
            <w:tcW w:w="1357" w:type="pct"/>
          </w:tcPr>
          <w:p w14:paraId="3C5DB38F" w14:textId="77777777" w:rsidR="00785292" w:rsidRDefault="00785292" w:rsidP="00B3298A">
            <w:pPr>
              <w:ind w:left="0" w:firstLine="0"/>
              <w:rPr>
                <w:szCs w:val="22"/>
              </w:rPr>
            </w:pPr>
            <w:r>
              <w:rPr>
                <w:szCs w:val="22"/>
              </w:rPr>
              <w:t>časté</w:t>
            </w:r>
          </w:p>
        </w:tc>
        <w:tc>
          <w:tcPr>
            <w:tcW w:w="1453" w:type="pct"/>
          </w:tcPr>
          <w:p w14:paraId="71BE4831" w14:textId="77777777" w:rsidR="00785292" w:rsidRDefault="00785292" w:rsidP="00E76742">
            <w:pPr>
              <w:pStyle w:val="Default"/>
              <w:rPr>
                <w:szCs w:val="22"/>
              </w:rPr>
            </w:pPr>
            <w:r>
              <w:rPr>
                <w:sz w:val="22"/>
                <w:szCs w:val="22"/>
              </w:rPr>
              <w:t>atrioventrikulárna blokáda, blokáda ramienka</w:t>
            </w:r>
          </w:p>
        </w:tc>
      </w:tr>
      <w:tr w:rsidR="00785292" w:rsidRPr="00C40770" w14:paraId="690B65E6" w14:textId="77777777">
        <w:trPr>
          <w:trHeight w:val="77"/>
        </w:trPr>
        <w:tc>
          <w:tcPr>
            <w:tcW w:w="2190" w:type="pct"/>
            <w:vMerge/>
          </w:tcPr>
          <w:p w14:paraId="76ED253E" w14:textId="77777777" w:rsidR="00785292" w:rsidRPr="00C40770" w:rsidRDefault="00785292" w:rsidP="00C40770">
            <w:pPr>
              <w:ind w:left="0" w:firstLine="0"/>
              <w:rPr>
                <w:szCs w:val="22"/>
                <w:lang w:val="en-US"/>
              </w:rPr>
            </w:pPr>
          </w:p>
        </w:tc>
        <w:tc>
          <w:tcPr>
            <w:tcW w:w="1357" w:type="pct"/>
          </w:tcPr>
          <w:p w14:paraId="02BAC373" w14:textId="77777777" w:rsidR="00785292" w:rsidRPr="00C40770" w:rsidRDefault="00785292" w:rsidP="00B3298A">
            <w:pPr>
              <w:ind w:left="0" w:firstLine="0"/>
              <w:rPr>
                <w:szCs w:val="22"/>
                <w:lang w:val="en-US"/>
              </w:rPr>
            </w:pPr>
            <w:r>
              <w:rPr>
                <w:szCs w:val="22"/>
              </w:rPr>
              <w:t>m</w:t>
            </w:r>
            <w:r w:rsidRPr="00C40770">
              <w:rPr>
                <w:szCs w:val="22"/>
              </w:rPr>
              <w:t>enej časté</w:t>
            </w:r>
          </w:p>
        </w:tc>
        <w:tc>
          <w:tcPr>
            <w:tcW w:w="1453" w:type="pct"/>
          </w:tcPr>
          <w:p w14:paraId="672A9E65" w14:textId="1814B28C" w:rsidR="00785292" w:rsidRPr="00C40770" w:rsidRDefault="00785292">
            <w:pPr>
              <w:ind w:left="0" w:firstLine="0"/>
              <w:rPr>
                <w:szCs w:val="22"/>
                <w:lang w:val="en-US"/>
              </w:rPr>
            </w:pPr>
            <w:r>
              <w:rPr>
                <w:szCs w:val="22"/>
              </w:rPr>
              <w:t>kolapsové stavy, zhoršenie s</w:t>
            </w:r>
            <w:r w:rsidRPr="00C40770">
              <w:rPr>
                <w:szCs w:val="22"/>
              </w:rPr>
              <w:t>rdcové</w:t>
            </w:r>
            <w:r>
              <w:rPr>
                <w:szCs w:val="22"/>
              </w:rPr>
              <w:t>ho</w:t>
            </w:r>
            <w:r w:rsidRPr="00C40770">
              <w:rPr>
                <w:szCs w:val="22"/>
              </w:rPr>
              <w:t xml:space="preserve"> zlyh</w:t>
            </w:r>
            <w:r>
              <w:rPr>
                <w:szCs w:val="22"/>
              </w:rPr>
              <w:t>ávania</w:t>
            </w:r>
          </w:p>
        </w:tc>
      </w:tr>
      <w:tr w:rsidR="00785292" w:rsidRPr="00C40770" w14:paraId="76901312" w14:textId="77777777">
        <w:trPr>
          <w:trHeight w:val="77"/>
        </w:trPr>
        <w:tc>
          <w:tcPr>
            <w:tcW w:w="2190" w:type="pct"/>
            <w:vMerge/>
          </w:tcPr>
          <w:p w14:paraId="75512741" w14:textId="77777777" w:rsidR="00785292" w:rsidRPr="00C40770" w:rsidRDefault="00785292" w:rsidP="00C40770">
            <w:pPr>
              <w:ind w:left="0" w:firstLine="0"/>
              <w:rPr>
                <w:szCs w:val="22"/>
                <w:lang w:val="en-US"/>
              </w:rPr>
            </w:pPr>
          </w:p>
        </w:tc>
        <w:tc>
          <w:tcPr>
            <w:tcW w:w="1357" w:type="pct"/>
          </w:tcPr>
          <w:p w14:paraId="455BEEBC" w14:textId="77777777" w:rsidR="00785292" w:rsidRDefault="00785292" w:rsidP="00B3298A">
            <w:pPr>
              <w:ind w:left="0" w:firstLine="0"/>
              <w:rPr>
                <w:szCs w:val="22"/>
              </w:rPr>
            </w:pPr>
            <w:r>
              <w:rPr>
                <w:szCs w:val="22"/>
              </w:rPr>
              <w:t>zriedkavé</w:t>
            </w:r>
          </w:p>
        </w:tc>
        <w:tc>
          <w:tcPr>
            <w:tcW w:w="1453" w:type="pct"/>
          </w:tcPr>
          <w:p w14:paraId="72E28187" w14:textId="77777777" w:rsidR="00785292" w:rsidRDefault="00785292" w:rsidP="00785292">
            <w:pPr>
              <w:ind w:left="0" w:firstLine="0"/>
              <w:rPr>
                <w:szCs w:val="22"/>
              </w:rPr>
            </w:pPr>
            <w:r>
              <w:rPr>
                <w:szCs w:val="22"/>
              </w:rPr>
              <w:t>arytmia</w:t>
            </w:r>
          </w:p>
        </w:tc>
      </w:tr>
      <w:tr w:rsidR="00785292" w:rsidRPr="00052AB0" w14:paraId="4513C32C" w14:textId="77777777">
        <w:trPr>
          <w:trHeight w:val="77"/>
        </w:trPr>
        <w:tc>
          <w:tcPr>
            <w:tcW w:w="2190" w:type="pct"/>
            <w:vMerge/>
          </w:tcPr>
          <w:p w14:paraId="1038A3A3" w14:textId="77777777" w:rsidR="00785292" w:rsidRPr="00C40770" w:rsidRDefault="00785292" w:rsidP="00C40770">
            <w:pPr>
              <w:ind w:left="0" w:firstLine="0"/>
              <w:rPr>
                <w:szCs w:val="22"/>
                <w:lang w:val="en-US"/>
              </w:rPr>
            </w:pPr>
          </w:p>
        </w:tc>
        <w:tc>
          <w:tcPr>
            <w:tcW w:w="1357" w:type="pct"/>
          </w:tcPr>
          <w:p w14:paraId="67EA4EB2" w14:textId="77777777" w:rsidR="00785292" w:rsidRPr="00C40770" w:rsidRDefault="00785292" w:rsidP="00B3298A">
            <w:pPr>
              <w:ind w:left="0" w:firstLine="0"/>
              <w:rPr>
                <w:szCs w:val="22"/>
                <w:lang w:val="en-US"/>
              </w:rPr>
            </w:pPr>
            <w:r>
              <w:rPr>
                <w:szCs w:val="22"/>
              </w:rPr>
              <w:t>v</w:t>
            </w:r>
            <w:r w:rsidRPr="00C40770">
              <w:rPr>
                <w:szCs w:val="22"/>
              </w:rPr>
              <w:t>eľmi zriedkavé</w:t>
            </w:r>
          </w:p>
        </w:tc>
        <w:tc>
          <w:tcPr>
            <w:tcW w:w="1453" w:type="pct"/>
          </w:tcPr>
          <w:p w14:paraId="22DA027E" w14:textId="77777777" w:rsidR="00785292" w:rsidRDefault="00785292" w:rsidP="00785292">
            <w:pPr>
              <w:pStyle w:val="Default"/>
              <w:rPr>
                <w:szCs w:val="22"/>
              </w:rPr>
            </w:pPr>
            <w:r>
              <w:rPr>
                <w:sz w:val="22"/>
                <w:szCs w:val="22"/>
              </w:rPr>
              <w:t xml:space="preserve">kardiomyopatie, torsades de pointes </w:t>
            </w:r>
          </w:p>
          <w:p w14:paraId="0B2928ED" w14:textId="3CF91D9B" w:rsidR="00785292" w:rsidRPr="00052AB0" w:rsidRDefault="00785292" w:rsidP="00B3298A">
            <w:pPr>
              <w:ind w:left="0" w:firstLine="0"/>
              <w:rPr>
                <w:szCs w:val="22"/>
                <w:lang w:val="pt-BR"/>
              </w:rPr>
            </w:pPr>
          </w:p>
        </w:tc>
      </w:tr>
      <w:tr w:rsidR="00785292" w:rsidRPr="00052AB0" w14:paraId="39903C6C" w14:textId="77777777">
        <w:trPr>
          <w:trHeight w:val="77"/>
        </w:trPr>
        <w:tc>
          <w:tcPr>
            <w:tcW w:w="2190" w:type="pct"/>
            <w:vMerge/>
          </w:tcPr>
          <w:p w14:paraId="223335DE" w14:textId="77777777" w:rsidR="00785292" w:rsidRPr="00C40770" w:rsidRDefault="00785292" w:rsidP="00C40770">
            <w:pPr>
              <w:ind w:left="0" w:firstLine="0"/>
              <w:rPr>
                <w:szCs w:val="22"/>
                <w:lang w:val="en-US"/>
              </w:rPr>
            </w:pPr>
          </w:p>
        </w:tc>
        <w:tc>
          <w:tcPr>
            <w:tcW w:w="1357" w:type="pct"/>
          </w:tcPr>
          <w:p w14:paraId="21A6590C" w14:textId="77777777" w:rsidR="00785292" w:rsidRDefault="00785292" w:rsidP="00B3298A">
            <w:pPr>
              <w:ind w:left="0" w:firstLine="0"/>
              <w:rPr>
                <w:szCs w:val="22"/>
              </w:rPr>
            </w:pPr>
            <w:r>
              <w:rPr>
                <w:szCs w:val="22"/>
              </w:rPr>
              <w:t>neznáme</w:t>
            </w:r>
          </w:p>
        </w:tc>
        <w:tc>
          <w:tcPr>
            <w:tcW w:w="1453" w:type="pct"/>
          </w:tcPr>
          <w:p w14:paraId="05B2DB35" w14:textId="77777777" w:rsidR="00785292" w:rsidRDefault="00785292">
            <w:pPr>
              <w:pStyle w:val="Default"/>
              <w:rPr>
                <w:sz w:val="22"/>
                <w:szCs w:val="22"/>
              </w:rPr>
            </w:pPr>
            <w:r>
              <w:rPr>
                <w:sz w:val="22"/>
                <w:szCs w:val="22"/>
              </w:rPr>
              <w:t>hypersenzitívna myokarditída</w:t>
            </w:r>
          </w:p>
        </w:tc>
      </w:tr>
      <w:tr w:rsidR="00785292" w:rsidRPr="00C40770" w14:paraId="01A33E0B" w14:textId="77777777">
        <w:tc>
          <w:tcPr>
            <w:tcW w:w="2190" w:type="pct"/>
            <w:vMerge w:val="restart"/>
          </w:tcPr>
          <w:p w14:paraId="6D6ACF9A" w14:textId="77777777" w:rsidR="00785292" w:rsidRPr="00C40770" w:rsidRDefault="00785292" w:rsidP="00C40770">
            <w:pPr>
              <w:ind w:left="0" w:firstLine="0"/>
              <w:rPr>
                <w:szCs w:val="22"/>
                <w:lang w:val="en-US"/>
              </w:rPr>
            </w:pPr>
            <w:r w:rsidRPr="00C40770">
              <w:rPr>
                <w:bCs/>
                <w:szCs w:val="22"/>
              </w:rPr>
              <w:t>Poruchy ciev</w:t>
            </w:r>
          </w:p>
        </w:tc>
        <w:tc>
          <w:tcPr>
            <w:tcW w:w="1357" w:type="pct"/>
          </w:tcPr>
          <w:p w14:paraId="35AB3504" w14:textId="77777777" w:rsidR="00785292" w:rsidRPr="00C40770" w:rsidRDefault="00785292" w:rsidP="00B3298A">
            <w:pPr>
              <w:ind w:left="0" w:firstLine="0"/>
              <w:rPr>
                <w:szCs w:val="22"/>
                <w:lang w:val="en-US"/>
              </w:rPr>
            </w:pPr>
            <w:r>
              <w:rPr>
                <w:szCs w:val="22"/>
              </w:rPr>
              <w:t>v</w:t>
            </w:r>
            <w:r w:rsidRPr="00C40770">
              <w:rPr>
                <w:szCs w:val="22"/>
              </w:rPr>
              <w:t>eľmi časté</w:t>
            </w:r>
          </w:p>
        </w:tc>
        <w:tc>
          <w:tcPr>
            <w:tcW w:w="1453" w:type="pct"/>
          </w:tcPr>
          <w:p w14:paraId="041DADDA" w14:textId="3BF18D6A" w:rsidR="00785292" w:rsidRPr="00C40770" w:rsidRDefault="00785292">
            <w:pPr>
              <w:ind w:left="0" w:firstLine="0"/>
              <w:rPr>
                <w:szCs w:val="22"/>
                <w:lang w:val="en-US"/>
              </w:rPr>
            </w:pPr>
            <w:r>
              <w:rPr>
                <w:szCs w:val="22"/>
              </w:rPr>
              <w:t>o</w:t>
            </w:r>
            <w:r w:rsidRPr="00C40770">
              <w:rPr>
                <w:szCs w:val="22"/>
              </w:rPr>
              <w:t>rtostatická hypotenzia</w:t>
            </w:r>
          </w:p>
        </w:tc>
      </w:tr>
      <w:tr w:rsidR="00785292" w:rsidRPr="00C40770" w14:paraId="429D2491" w14:textId="77777777">
        <w:tc>
          <w:tcPr>
            <w:tcW w:w="2190" w:type="pct"/>
            <w:vMerge/>
          </w:tcPr>
          <w:p w14:paraId="6E8FE829" w14:textId="77777777" w:rsidR="00785292" w:rsidRPr="00C40770" w:rsidRDefault="00785292" w:rsidP="00C40770">
            <w:pPr>
              <w:ind w:left="0" w:firstLine="0"/>
              <w:rPr>
                <w:bCs/>
                <w:szCs w:val="22"/>
              </w:rPr>
            </w:pPr>
          </w:p>
        </w:tc>
        <w:tc>
          <w:tcPr>
            <w:tcW w:w="1357" w:type="pct"/>
          </w:tcPr>
          <w:p w14:paraId="21CA67A1" w14:textId="77777777" w:rsidR="00785292" w:rsidRDefault="00785292" w:rsidP="00B3298A">
            <w:pPr>
              <w:ind w:left="0" w:firstLine="0"/>
              <w:rPr>
                <w:szCs w:val="22"/>
              </w:rPr>
            </w:pPr>
            <w:r>
              <w:rPr>
                <w:szCs w:val="22"/>
              </w:rPr>
              <w:t>menej časté</w:t>
            </w:r>
          </w:p>
        </w:tc>
        <w:tc>
          <w:tcPr>
            <w:tcW w:w="1453" w:type="pct"/>
          </w:tcPr>
          <w:p w14:paraId="6CF65EBB" w14:textId="77777777" w:rsidR="00785292" w:rsidRDefault="00785292" w:rsidP="00785292">
            <w:pPr>
              <w:ind w:left="0" w:firstLine="0"/>
              <w:rPr>
                <w:szCs w:val="22"/>
              </w:rPr>
            </w:pPr>
            <w:r>
              <w:rPr>
                <w:szCs w:val="22"/>
              </w:rPr>
              <w:t>hypertenzia</w:t>
            </w:r>
          </w:p>
        </w:tc>
      </w:tr>
      <w:tr w:rsidR="00785292" w:rsidRPr="00C40770" w14:paraId="066B146A" w14:textId="77777777">
        <w:tc>
          <w:tcPr>
            <w:tcW w:w="2190" w:type="pct"/>
            <w:vMerge/>
          </w:tcPr>
          <w:p w14:paraId="2190B99A" w14:textId="77777777" w:rsidR="00785292" w:rsidRPr="00C40770" w:rsidRDefault="00785292" w:rsidP="00C40770">
            <w:pPr>
              <w:ind w:left="0" w:firstLine="0"/>
              <w:rPr>
                <w:bCs/>
                <w:szCs w:val="22"/>
              </w:rPr>
            </w:pPr>
          </w:p>
        </w:tc>
        <w:tc>
          <w:tcPr>
            <w:tcW w:w="1357" w:type="pct"/>
          </w:tcPr>
          <w:p w14:paraId="482D0423" w14:textId="77777777" w:rsidR="00785292" w:rsidRDefault="00785292" w:rsidP="00B3298A">
            <w:pPr>
              <w:ind w:left="0" w:firstLine="0"/>
              <w:rPr>
                <w:szCs w:val="22"/>
              </w:rPr>
            </w:pPr>
            <w:r>
              <w:rPr>
                <w:szCs w:val="22"/>
              </w:rPr>
              <w:t>neznáme</w:t>
            </w:r>
          </w:p>
        </w:tc>
        <w:tc>
          <w:tcPr>
            <w:tcW w:w="1453" w:type="pct"/>
          </w:tcPr>
          <w:p w14:paraId="02049F97" w14:textId="77777777" w:rsidR="00785292" w:rsidRDefault="00785292" w:rsidP="00785292">
            <w:pPr>
              <w:ind w:left="0" w:firstLine="0"/>
              <w:rPr>
                <w:szCs w:val="22"/>
              </w:rPr>
            </w:pPr>
            <w:r>
              <w:rPr>
                <w:szCs w:val="22"/>
              </w:rPr>
              <w:t>hypertermia</w:t>
            </w:r>
          </w:p>
        </w:tc>
      </w:tr>
      <w:tr w:rsidR="00785292" w:rsidRPr="00C40770" w14:paraId="2F6BD9F3" w14:textId="77777777">
        <w:tc>
          <w:tcPr>
            <w:tcW w:w="2190" w:type="pct"/>
            <w:vMerge w:val="restart"/>
          </w:tcPr>
          <w:p w14:paraId="54FACE99" w14:textId="77777777" w:rsidR="00785292" w:rsidRPr="00C40770" w:rsidRDefault="00785292" w:rsidP="00E76742">
            <w:pPr>
              <w:pStyle w:val="Default"/>
              <w:rPr>
                <w:bCs/>
                <w:szCs w:val="22"/>
              </w:rPr>
            </w:pPr>
            <w:r>
              <w:rPr>
                <w:sz w:val="22"/>
                <w:szCs w:val="22"/>
              </w:rPr>
              <w:t xml:space="preserve">Poruchy dýchacej sústavy, hrudníka a mediastína </w:t>
            </w:r>
          </w:p>
        </w:tc>
        <w:tc>
          <w:tcPr>
            <w:tcW w:w="1357" w:type="pct"/>
          </w:tcPr>
          <w:p w14:paraId="34D494DF" w14:textId="77777777" w:rsidR="00785292" w:rsidRDefault="00785292" w:rsidP="00B3298A">
            <w:pPr>
              <w:ind w:left="0" w:firstLine="0"/>
              <w:rPr>
                <w:szCs w:val="22"/>
              </w:rPr>
            </w:pPr>
            <w:r>
              <w:rPr>
                <w:szCs w:val="22"/>
              </w:rPr>
              <w:t>veľmi časté</w:t>
            </w:r>
          </w:p>
        </w:tc>
        <w:tc>
          <w:tcPr>
            <w:tcW w:w="1453" w:type="pct"/>
          </w:tcPr>
          <w:p w14:paraId="5A5FFCA3" w14:textId="77777777" w:rsidR="00785292" w:rsidRDefault="00785292" w:rsidP="00785292">
            <w:pPr>
              <w:ind w:left="0" w:firstLine="0"/>
              <w:rPr>
                <w:szCs w:val="22"/>
              </w:rPr>
            </w:pPr>
            <w:r>
              <w:rPr>
                <w:szCs w:val="22"/>
              </w:rPr>
              <w:t>upchatý nos</w:t>
            </w:r>
          </w:p>
        </w:tc>
      </w:tr>
      <w:tr w:rsidR="00785292" w:rsidRPr="00C40770" w14:paraId="53D3A513" w14:textId="77777777">
        <w:tc>
          <w:tcPr>
            <w:tcW w:w="2190" w:type="pct"/>
            <w:vMerge/>
          </w:tcPr>
          <w:p w14:paraId="579505DC" w14:textId="77777777" w:rsidR="00785292" w:rsidRPr="00C40770" w:rsidRDefault="00785292" w:rsidP="00C40770">
            <w:pPr>
              <w:ind w:left="0" w:firstLine="0"/>
              <w:rPr>
                <w:bCs/>
                <w:szCs w:val="22"/>
              </w:rPr>
            </w:pPr>
          </w:p>
        </w:tc>
        <w:tc>
          <w:tcPr>
            <w:tcW w:w="1357" w:type="pct"/>
          </w:tcPr>
          <w:p w14:paraId="0B0EA6D0" w14:textId="77777777" w:rsidR="00785292" w:rsidRDefault="00785292" w:rsidP="00B3298A">
            <w:pPr>
              <w:ind w:left="0" w:firstLine="0"/>
              <w:rPr>
                <w:szCs w:val="22"/>
              </w:rPr>
            </w:pPr>
            <w:r>
              <w:rPr>
                <w:szCs w:val="22"/>
              </w:rPr>
              <w:t>veľmi zriedkavé</w:t>
            </w:r>
          </w:p>
        </w:tc>
        <w:tc>
          <w:tcPr>
            <w:tcW w:w="1453" w:type="pct"/>
          </w:tcPr>
          <w:p w14:paraId="4C221D87" w14:textId="77777777" w:rsidR="00785292" w:rsidRDefault="00785292" w:rsidP="00E76742">
            <w:pPr>
              <w:pStyle w:val="Default"/>
              <w:rPr>
                <w:szCs w:val="22"/>
              </w:rPr>
            </w:pPr>
            <w:r>
              <w:rPr>
                <w:sz w:val="22"/>
                <w:szCs w:val="22"/>
              </w:rPr>
              <w:t>alergický zápal pľúcnych alveol a pľúcneho tkaniva (alveolitída, L</w:t>
            </w:r>
            <w:r>
              <w:rPr>
                <w:rFonts w:ascii="Arial" w:hAnsi="Arial" w:cs="Arial"/>
                <w:sz w:val="22"/>
                <w:szCs w:val="22"/>
              </w:rPr>
              <w:t>ö</w:t>
            </w:r>
            <w:r>
              <w:rPr>
                <w:sz w:val="22"/>
                <w:szCs w:val="22"/>
              </w:rPr>
              <w:t xml:space="preserve">fflerov syndróm) </w:t>
            </w:r>
          </w:p>
        </w:tc>
      </w:tr>
      <w:tr w:rsidR="007B67DE" w:rsidRPr="00C40770" w14:paraId="5AD2DF22" w14:textId="77777777">
        <w:trPr>
          <w:trHeight w:val="116"/>
        </w:trPr>
        <w:tc>
          <w:tcPr>
            <w:tcW w:w="2190" w:type="pct"/>
            <w:vMerge w:val="restart"/>
          </w:tcPr>
          <w:p w14:paraId="7970AC5B" w14:textId="77777777" w:rsidR="007B67DE" w:rsidRPr="00C40770" w:rsidRDefault="007B67DE" w:rsidP="00C40770">
            <w:pPr>
              <w:ind w:left="0" w:firstLine="0"/>
              <w:rPr>
                <w:szCs w:val="22"/>
                <w:lang w:val="en-US"/>
              </w:rPr>
            </w:pPr>
            <w:r w:rsidRPr="00C40770">
              <w:rPr>
                <w:bCs/>
                <w:szCs w:val="22"/>
              </w:rPr>
              <w:t>Poruchy gastrointestinálneho traktu</w:t>
            </w:r>
          </w:p>
        </w:tc>
        <w:tc>
          <w:tcPr>
            <w:tcW w:w="1357" w:type="pct"/>
          </w:tcPr>
          <w:p w14:paraId="729112D2" w14:textId="77777777" w:rsidR="007B67DE" w:rsidRPr="00C40770" w:rsidRDefault="00785292" w:rsidP="00B3298A">
            <w:pPr>
              <w:ind w:left="0" w:firstLine="0"/>
              <w:rPr>
                <w:szCs w:val="22"/>
                <w:lang w:val="en-US"/>
              </w:rPr>
            </w:pPr>
            <w:r>
              <w:rPr>
                <w:szCs w:val="22"/>
              </w:rPr>
              <w:t xml:space="preserve">veľmi </w:t>
            </w:r>
            <w:r w:rsidR="00B04E6B">
              <w:rPr>
                <w:szCs w:val="22"/>
              </w:rPr>
              <w:t>č</w:t>
            </w:r>
            <w:r w:rsidR="00A82AE1" w:rsidRPr="00C40770">
              <w:rPr>
                <w:szCs w:val="22"/>
              </w:rPr>
              <w:t>asté</w:t>
            </w:r>
          </w:p>
        </w:tc>
        <w:tc>
          <w:tcPr>
            <w:tcW w:w="1453" w:type="pct"/>
          </w:tcPr>
          <w:p w14:paraId="0389DC3E" w14:textId="2AA362C4" w:rsidR="007B67DE" w:rsidRPr="00C40770" w:rsidRDefault="00B04E6B" w:rsidP="00DA5A8A">
            <w:pPr>
              <w:ind w:left="0" w:firstLine="0"/>
              <w:rPr>
                <w:szCs w:val="22"/>
                <w:lang w:val="en-US"/>
              </w:rPr>
            </w:pPr>
            <w:r>
              <w:rPr>
                <w:szCs w:val="22"/>
              </w:rPr>
              <w:t>s</w:t>
            </w:r>
            <w:r w:rsidR="009419FD" w:rsidRPr="00C40770">
              <w:rPr>
                <w:szCs w:val="22"/>
              </w:rPr>
              <w:t>ucho v</w:t>
            </w:r>
            <w:r w:rsidR="00785292">
              <w:rPr>
                <w:szCs w:val="22"/>
              </w:rPr>
              <w:t> </w:t>
            </w:r>
            <w:r w:rsidR="009419FD" w:rsidRPr="00C40770">
              <w:rPr>
                <w:szCs w:val="22"/>
              </w:rPr>
              <w:t>ústach</w:t>
            </w:r>
            <w:r w:rsidR="00785292">
              <w:rPr>
                <w:szCs w:val="22"/>
              </w:rPr>
              <w:t xml:space="preserve">, </w:t>
            </w:r>
            <w:r>
              <w:rPr>
                <w:szCs w:val="22"/>
              </w:rPr>
              <w:t>z</w:t>
            </w:r>
            <w:r w:rsidR="00027B8B" w:rsidRPr="00C40770">
              <w:rPr>
                <w:szCs w:val="22"/>
              </w:rPr>
              <w:t>ápcha</w:t>
            </w:r>
            <w:r w:rsidR="00785292">
              <w:rPr>
                <w:szCs w:val="22"/>
                <w:lang w:val="en-US"/>
              </w:rPr>
              <w:t>, nauzea</w:t>
            </w:r>
          </w:p>
        </w:tc>
      </w:tr>
      <w:tr w:rsidR="00785292" w:rsidRPr="00C40770" w14:paraId="21915C45" w14:textId="77777777">
        <w:trPr>
          <w:trHeight w:val="116"/>
        </w:trPr>
        <w:tc>
          <w:tcPr>
            <w:tcW w:w="2190" w:type="pct"/>
            <w:vMerge/>
          </w:tcPr>
          <w:p w14:paraId="66C7066C" w14:textId="77777777" w:rsidR="00785292" w:rsidRPr="00C40770" w:rsidRDefault="00785292" w:rsidP="00C40770">
            <w:pPr>
              <w:ind w:left="0" w:firstLine="0"/>
              <w:rPr>
                <w:bCs/>
                <w:szCs w:val="22"/>
              </w:rPr>
            </w:pPr>
          </w:p>
        </w:tc>
        <w:tc>
          <w:tcPr>
            <w:tcW w:w="1357" w:type="pct"/>
          </w:tcPr>
          <w:p w14:paraId="7C4E4CB9" w14:textId="77777777" w:rsidR="00785292" w:rsidRDefault="00785292" w:rsidP="00B3298A">
            <w:pPr>
              <w:ind w:left="0" w:firstLine="0"/>
              <w:rPr>
                <w:szCs w:val="22"/>
              </w:rPr>
            </w:pPr>
            <w:r>
              <w:rPr>
                <w:szCs w:val="22"/>
              </w:rPr>
              <w:t>menej časté</w:t>
            </w:r>
          </w:p>
        </w:tc>
        <w:tc>
          <w:tcPr>
            <w:tcW w:w="1453" w:type="pct"/>
          </w:tcPr>
          <w:p w14:paraId="62E26032" w14:textId="77777777" w:rsidR="00785292" w:rsidRDefault="00785292" w:rsidP="00E76742">
            <w:pPr>
              <w:pStyle w:val="Default"/>
              <w:rPr>
                <w:szCs w:val="22"/>
              </w:rPr>
            </w:pPr>
            <w:r>
              <w:rPr>
                <w:sz w:val="22"/>
                <w:szCs w:val="22"/>
              </w:rPr>
              <w:t>hnačka, vracanie, opuch jazyka</w:t>
            </w:r>
          </w:p>
        </w:tc>
      </w:tr>
      <w:tr w:rsidR="007B67DE" w:rsidRPr="00C40770" w14:paraId="16229D1C" w14:textId="77777777">
        <w:trPr>
          <w:trHeight w:val="115"/>
        </w:trPr>
        <w:tc>
          <w:tcPr>
            <w:tcW w:w="2190" w:type="pct"/>
            <w:vMerge/>
          </w:tcPr>
          <w:p w14:paraId="608D9171" w14:textId="77777777" w:rsidR="007B67DE" w:rsidRPr="00C40770" w:rsidRDefault="007B67DE" w:rsidP="00C40770">
            <w:pPr>
              <w:ind w:left="0" w:firstLine="0"/>
              <w:rPr>
                <w:szCs w:val="22"/>
                <w:lang w:val="en-US"/>
              </w:rPr>
            </w:pPr>
          </w:p>
        </w:tc>
        <w:tc>
          <w:tcPr>
            <w:tcW w:w="1357" w:type="pct"/>
          </w:tcPr>
          <w:p w14:paraId="321175BE" w14:textId="7343F846" w:rsidR="007B67DE" w:rsidRPr="00C40770" w:rsidRDefault="00785292" w:rsidP="00B3298A">
            <w:pPr>
              <w:ind w:left="0" w:firstLine="0"/>
              <w:rPr>
                <w:szCs w:val="22"/>
                <w:lang w:val="en-US"/>
              </w:rPr>
            </w:pPr>
            <w:r>
              <w:rPr>
                <w:szCs w:val="22"/>
              </w:rPr>
              <w:t>zriedkavé</w:t>
            </w:r>
          </w:p>
        </w:tc>
        <w:tc>
          <w:tcPr>
            <w:tcW w:w="1453" w:type="pct"/>
          </w:tcPr>
          <w:p w14:paraId="62DEBDC2" w14:textId="216CEABF" w:rsidR="007B67DE" w:rsidRPr="00C40770" w:rsidRDefault="00785292" w:rsidP="00E76742">
            <w:pPr>
              <w:pStyle w:val="Default"/>
              <w:rPr>
                <w:szCs w:val="22"/>
                <w:lang w:val="en-US"/>
              </w:rPr>
            </w:pPr>
            <w:r>
              <w:rPr>
                <w:sz w:val="22"/>
                <w:szCs w:val="22"/>
              </w:rPr>
              <w:t xml:space="preserve">zväčšenie slinných žliaz, </w:t>
            </w:r>
            <w:r w:rsidR="00B04E6B">
              <w:rPr>
                <w:szCs w:val="22"/>
              </w:rPr>
              <w:t>p</w:t>
            </w:r>
            <w:r w:rsidR="00027B8B" w:rsidRPr="00C40770">
              <w:rPr>
                <w:szCs w:val="22"/>
              </w:rPr>
              <w:t>aralytický ileus</w:t>
            </w:r>
          </w:p>
        </w:tc>
      </w:tr>
      <w:tr w:rsidR="00785292" w:rsidRPr="00C40770" w14:paraId="389B4B34" w14:textId="77777777">
        <w:tc>
          <w:tcPr>
            <w:tcW w:w="2190" w:type="pct"/>
            <w:vMerge w:val="restart"/>
          </w:tcPr>
          <w:p w14:paraId="48F208A6" w14:textId="77777777" w:rsidR="00785292" w:rsidRPr="00C40770" w:rsidRDefault="00785292" w:rsidP="00C40770">
            <w:pPr>
              <w:ind w:left="0" w:firstLine="0"/>
              <w:rPr>
                <w:szCs w:val="22"/>
                <w:lang w:val="en-US"/>
              </w:rPr>
            </w:pPr>
            <w:r w:rsidRPr="00C40770">
              <w:rPr>
                <w:bCs/>
                <w:szCs w:val="22"/>
              </w:rPr>
              <w:t>Poruchy pečene a žlčových ciest</w:t>
            </w:r>
          </w:p>
        </w:tc>
        <w:tc>
          <w:tcPr>
            <w:tcW w:w="1357" w:type="pct"/>
          </w:tcPr>
          <w:p w14:paraId="08429B1B" w14:textId="5894149A" w:rsidR="00785292" w:rsidRPr="00C40770" w:rsidRDefault="00785292" w:rsidP="00B3298A">
            <w:pPr>
              <w:ind w:left="0" w:firstLine="0"/>
              <w:rPr>
                <w:szCs w:val="22"/>
                <w:lang w:val="en-US"/>
              </w:rPr>
            </w:pPr>
            <w:r>
              <w:rPr>
                <w:szCs w:val="22"/>
              </w:rPr>
              <w:t>zriedkavé</w:t>
            </w:r>
          </w:p>
        </w:tc>
        <w:tc>
          <w:tcPr>
            <w:tcW w:w="1453" w:type="pct"/>
          </w:tcPr>
          <w:p w14:paraId="7E450344" w14:textId="1A72FAE8" w:rsidR="00785292" w:rsidRPr="00C40770" w:rsidRDefault="00785292" w:rsidP="001552A5">
            <w:pPr>
              <w:ind w:left="0" w:firstLine="0"/>
              <w:rPr>
                <w:szCs w:val="22"/>
                <w:lang w:val="en-US"/>
              </w:rPr>
            </w:pPr>
            <w:r>
              <w:rPr>
                <w:szCs w:val="22"/>
              </w:rPr>
              <w:t>žltačka</w:t>
            </w:r>
          </w:p>
        </w:tc>
      </w:tr>
      <w:tr w:rsidR="00785292" w:rsidRPr="00C40770" w14:paraId="28F9AF8B" w14:textId="77777777">
        <w:tc>
          <w:tcPr>
            <w:tcW w:w="2190" w:type="pct"/>
            <w:vMerge/>
          </w:tcPr>
          <w:p w14:paraId="38A0DB57" w14:textId="77777777" w:rsidR="00785292" w:rsidRPr="00C40770" w:rsidRDefault="00785292" w:rsidP="00C40770">
            <w:pPr>
              <w:ind w:left="0" w:firstLine="0"/>
              <w:rPr>
                <w:bCs/>
                <w:szCs w:val="22"/>
              </w:rPr>
            </w:pPr>
          </w:p>
        </w:tc>
        <w:tc>
          <w:tcPr>
            <w:tcW w:w="1357" w:type="pct"/>
          </w:tcPr>
          <w:p w14:paraId="0E0B5D18" w14:textId="77777777" w:rsidR="00785292" w:rsidRDefault="00785292" w:rsidP="00B3298A">
            <w:pPr>
              <w:ind w:left="0" w:firstLine="0"/>
              <w:rPr>
                <w:szCs w:val="22"/>
              </w:rPr>
            </w:pPr>
            <w:r>
              <w:rPr>
                <w:szCs w:val="22"/>
              </w:rPr>
              <w:t>menej časté</w:t>
            </w:r>
          </w:p>
        </w:tc>
        <w:tc>
          <w:tcPr>
            <w:tcW w:w="1453" w:type="pct"/>
          </w:tcPr>
          <w:p w14:paraId="64FF15F1" w14:textId="77777777" w:rsidR="00785292" w:rsidRDefault="00785292" w:rsidP="00E76742">
            <w:pPr>
              <w:pStyle w:val="Default"/>
              <w:rPr>
                <w:szCs w:val="22"/>
              </w:rPr>
            </w:pPr>
            <w:r>
              <w:rPr>
                <w:sz w:val="22"/>
                <w:szCs w:val="22"/>
              </w:rPr>
              <w:t>porucha funkcie pečene (napr. cholestatické ochorenie pečene)</w:t>
            </w:r>
          </w:p>
        </w:tc>
      </w:tr>
      <w:tr w:rsidR="00785292" w:rsidRPr="00C40770" w14:paraId="1F0DE95C" w14:textId="77777777">
        <w:tc>
          <w:tcPr>
            <w:tcW w:w="2190" w:type="pct"/>
            <w:vMerge/>
          </w:tcPr>
          <w:p w14:paraId="0DD03E0B" w14:textId="77777777" w:rsidR="00785292" w:rsidRPr="00C40770" w:rsidRDefault="00785292" w:rsidP="00C40770">
            <w:pPr>
              <w:ind w:left="0" w:firstLine="0"/>
              <w:rPr>
                <w:bCs/>
                <w:szCs w:val="22"/>
              </w:rPr>
            </w:pPr>
          </w:p>
        </w:tc>
        <w:tc>
          <w:tcPr>
            <w:tcW w:w="1357" w:type="pct"/>
          </w:tcPr>
          <w:p w14:paraId="08E8D79C" w14:textId="77777777" w:rsidR="00785292" w:rsidRDefault="00785292" w:rsidP="00B3298A">
            <w:pPr>
              <w:ind w:left="0" w:firstLine="0"/>
              <w:rPr>
                <w:szCs w:val="22"/>
              </w:rPr>
            </w:pPr>
            <w:r>
              <w:rPr>
                <w:szCs w:val="22"/>
              </w:rPr>
              <w:t>neznáme</w:t>
            </w:r>
          </w:p>
        </w:tc>
        <w:tc>
          <w:tcPr>
            <w:tcW w:w="1453" w:type="pct"/>
          </w:tcPr>
          <w:p w14:paraId="67A42435" w14:textId="77777777" w:rsidR="00785292" w:rsidRDefault="00785292" w:rsidP="001552A5">
            <w:pPr>
              <w:ind w:left="0" w:firstLine="0"/>
              <w:rPr>
                <w:szCs w:val="22"/>
              </w:rPr>
            </w:pPr>
            <w:r>
              <w:rPr>
                <w:szCs w:val="22"/>
              </w:rPr>
              <w:t>hepatitída</w:t>
            </w:r>
          </w:p>
        </w:tc>
      </w:tr>
      <w:tr w:rsidR="00785292" w:rsidRPr="00C40770" w14:paraId="4A831A96" w14:textId="77777777">
        <w:trPr>
          <w:trHeight w:val="116"/>
        </w:trPr>
        <w:tc>
          <w:tcPr>
            <w:tcW w:w="2190" w:type="pct"/>
            <w:vMerge w:val="restart"/>
          </w:tcPr>
          <w:p w14:paraId="73BE3BAC" w14:textId="77777777" w:rsidR="00785292" w:rsidRPr="00C40770" w:rsidRDefault="00785292" w:rsidP="00C40770">
            <w:pPr>
              <w:ind w:left="0" w:firstLine="0"/>
              <w:rPr>
                <w:szCs w:val="22"/>
                <w:lang w:val="en-US"/>
              </w:rPr>
            </w:pPr>
            <w:r w:rsidRPr="00C40770">
              <w:rPr>
                <w:bCs/>
                <w:szCs w:val="22"/>
              </w:rPr>
              <w:t>Poruchy kože a podkožného tkaniva</w:t>
            </w:r>
          </w:p>
        </w:tc>
        <w:tc>
          <w:tcPr>
            <w:tcW w:w="1357" w:type="pct"/>
          </w:tcPr>
          <w:p w14:paraId="640419BD" w14:textId="77777777" w:rsidR="00785292" w:rsidRPr="00C40770" w:rsidRDefault="00785292" w:rsidP="00B3298A">
            <w:pPr>
              <w:ind w:left="0" w:firstLine="0"/>
              <w:rPr>
                <w:szCs w:val="22"/>
                <w:lang w:val="en-US"/>
              </w:rPr>
            </w:pPr>
            <w:r>
              <w:rPr>
                <w:szCs w:val="22"/>
              </w:rPr>
              <w:t>v</w:t>
            </w:r>
            <w:r w:rsidRPr="00C40770">
              <w:rPr>
                <w:szCs w:val="22"/>
              </w:rPr>
              <w:t>eľmi časté</w:t>
            </w:r>
          </w:p>
        </w:tc>
        <w:tc>
          <w:tcPr>
            <w:tcW w:w="1453" w:type="pct"/>
          </w:tcPr>
          <w:p w14:paraId="0C5C4300" w14:textId="48104D47" w:rsidR="00785292" w:rsidRPr="00C40770" w:rsidRDefault="00785292" w:rsidP="00DA5A8A">
            <w:pPr>
              <w:ind w:left="0" w:firstLine="0"/>
              <w:rPr>
                <w:szCs w:val="22"/>
                <w:lang w:val="en-US"/>
              </w:rPr>
            </w:pPr>
            <w:r>
              <w:rPr>
                <w:szCs w:val="22"/>
              </w:rPr>
              <w:t>h</w:t>
            </w:r>
            <w:r w:rsidRPr="00C40770">
              <w:rPr>
                <w:szCs w:val="22"/>
              </w:rPr>
              <w:t>yperhidróza</w:t>
            </w:r>
          </w:p>
        </w:tc>
      </w:tr>
      <w:tr w:rsidR="00785292" w:rsidRPr="00C40770" w14:paraId="3BDBD2A2" w14:textId="77777777">
        <w:trPr>
          <w:trHeight w:val="115"/>
        </w:trPr>
        <w:tc>
          <w:tcPr>
            <w:tcW w:w="2190" w:type="pct"/>
            <w:vMerge/>
          </w:tcPr>
          <w:p w14:paraId="229FC030" w14:textId="77777777" w:rsidR="00785292" w:rsidRPr="00C40770" w:rsidRDefault="00785292" w:rsidP="00C40770">
            <w:pPr>
              <w:ind w:left="0" w:firstLine="0"/>
              <w:rPr>
                <w:szCs w:val="22"/>
                <w:lang w:val="en-US"/>
              </w:rPr>
            </w:pPr>
          </w:p>
        </w:tc>
        <w:tc>
          <w:tcPr>
            <w:tcW w:w="1357" w:type="pct"/>
          </w:tcPr>
          <w:p w14:paraId="659CC727" w14:textId="77777777" w:rsidR="00785292" w:rsidRPr="00C40770" w:rsidRDefault="00785292" w:rsidP="00B3298A">
            <w:pPr>
              <w:ind w:left="0" w:firstLine="0"/>
              <w:rPr>
                <w:szCs w:val="22"/>
                <w:lang w:val="en-US"/>
              </w:rPr>
            </w:pPr>
            <w:r>
              <w:rPr>
                <w:szCs w:val="22"/>
              </w:rPr>
              <w:t>m</w:t>
            </w:r>
            <w:r w:rsidRPr="00C40770">
              <w:rPr>
                <w:szCs w:val="22"/>
              </w:rPr>
              <w:t>enej časté</w:t>
            </w:r>
          </w:p>
        </w:tc>
        <w:tc>
          <w:tcPr>
            <w:tcW w:w="1453" w:type="pct"/>
          </w:tcPr>
          <w:p w14:paraId="4A911B94" w14:textId="01BE210F" w:rsidR="00785292" w:rsidRPr="00E76742" w:rsidRDefault="00785292" w:rsidP="00E76742">
            <w:pPr>
              <w:pStyle w:val="Default"/>
              <w:rPr>
                <w:szCs w:val="22"/>
              </w:rPr>
            </w:pPr>
            <w:r>
              <w:rPr>
                <w:sz w:val="22"/>
                <w:szCs w:val="22"/>
              </w:rPr>
              <w:t>vyrážka, urtikária, opuch tváre</w:t>
            </w:r>
          </w:p>
        </w:tc>
      </w:tr>
      <w:tr w:rsidR="00785292" w:rsidRPr="00C40770" w14:paraId="3BBA49C2" w14:textId="77777777">
        <w:trPr>
          <w:trHeight w:val="115"/>
        </w:trPr>
        <w:tc>
          <w:tcPr>
            <w:tcW w:w="2190" w:type="pct"/>
            <w:vMerge/>
          </w:tcPr>
          <w:p w14:paraId="7B2C70D5" w14:textId="77777777" w:rsidR="00785292" w:rsidRPr="00C40770" w:rsidRDefault="00785292" w:rsidP="00C40770">
            <w:pPr>
              <w:ind w:left="0" w:firstLine="0"/>
              <w:rPr>
                <w:szCs w:val="22"/>
                <w:lang w:val="en-US"/>
              </w:rPr>
            </w:pPr>
          </w:p>
        </w:tc>
        <w:tc>
          <w:tcPr>
            <w:tcW w:w="1357" w:type="pct"/>
          </w:tcPr>
          <w:p w14:paraId="72F18F5D" w14:textId="77777777" w:rsidR="00785292" w:rsidRDefault="007116E9" w:rsidP="00B3298A">
            <w:pPr>
              <w:ind w:left="0" w:firstLine="0"/>
              <w:rPr>
                <w:szCs w:val="22"/>
              </w:rPr>
            </w:pPr>
            <w:r>
              <w:rPr>
                <w:szCs w:val="22"/>
              </w:rPr>
              <w:t>zriedk</w:t>
            </w:r>
            <w:r w:rsidR="00F852D8">
              <w:rPr>
                <w:szCs w:val="22"/>
              </w:rPr>
              <w:t>a</w:t>
            </w:r>
            <w:r>
              <w:rPr>
                <w:szCs w:val="22"/>
              </w:rPr>
              <w:t>vé</w:t>
            </w:r>
          </w:p>
        </w:tc>
        <w:tc>
          <w:tcPr>
            <w:tcW w:w="1453" w:type="pct"/>
          </w:tcPr>
          <w:p w14:paraId="3815E9E2" w14:textId="77777777" w:rsidR="00785292" w:rsidRDefault="007116E9" w:rsidP="00E76742">
            <w:pPr>
              <w:pStyle w:val="Default"/>
              <w:rPr>
                <w:szCs w:val="22"/>
              </w:rPr>
            </w:pPr>
            <w:r>
              <w:rPr>
                <w:sz w:val="22"/>
                <w:szCs w:val="22"/>
              </w:rPr>
              <w:t>alopécia, fotosenzitívna reakcia</w:t>
            </w:r>
          </w:p>
        </w:tc>
      </w:tr>
      <w:tr w:rsidR="007116E9" w:rsidRPr="00052AB0" w14:paraId="69F67DF5" w14:textId="77777777">
        <w:tc>
          <w:tcPr>
            <w:tcW w:w="2190" w:type="pct"/>
            <w:vMerge w:val="restart"/>
          </w:tcPr>
          <w:p w14:paraId="74AC7C54" w14:textId="77777777" w:rsidR="007116E9" w:rsidRPr="00C40770" w:rsidRDefault="007116E9" w:rsidP="00C40770">
            <w:pPr>
              <w:ind w:left="0" w:firstLine="0"/>
              <w:rPr>
                <w:szCs w:val="22"/>
                <w:lang w:val="en-US"/>
              </w:rPr>
            </w:pPr>
            <w:r w:rsidRPr="00C40770">
              <w:rPr>
                <w:bCs/>
                <w:szCs w:val="22"/>
              </w:rPr>
              <w:lastRenderedPageBreak/>
              <w:t>Poruchy obličiek a močových ciest</w:t>
            </w:r>
          </w:p>
        </w:tc>
        <w:tc>
          <w:tcPr>
            <w:tcW w:w="1357" w:type="pct"/>
          </w:tcPr>
          <w:p w14:paraId="182A8F17" w14:textId="77777777" w:rsidR="007116E9" w:rsidRPr="00C40770" w:rsidRDefault="007116E9" w:rsidP="00B3298A">
            <w:pPr>
              <w:ind w:left="0" w:firstLine="0"/>
              <w:rPr>
                <w:szCs w:val="22"/>
                <w:lang w:val="en-US"/>
              </w:rPr>
            </w:pPr>
            <w:r>
              <w:rPr>
                <w:szCs w:val="22"/>
              </w:rPr>
              <w:t>č</w:t>
            </w:r>
            <w:r w:rsidRPr="00C40770">
              <w:rPr>
                <w:szCs w:val="22"/>
              </w:rPr>
              <w:t>asté</w:t>
            </w:r>
          </w:p>
        </w:tc>
        <w:tc>
          <w:tcPr>
            <w:tcW w:w="1453" w:type="pct"/>
          </w:tcPr>
          <w:p w14:paraId="6CAAA7DB" w14:textId="11D58676" w:rsidR="007116E9" w:rsidRPr="00052AB0" w:rsidRDefault="007116E9" w:rsidP="00DA5A8A">
            <w:pPr>
              <w:ind w:left="0" w:firstLine="0"/>
              <w:rPr>
                <w:szCs w:val="22"/>
                <w:lang w:val="pt-BR"/>
              </w:rPr>
            </w:pPr>
            <w:r>
              <w:rPr>
                <w:szCs w:val="22"/>
              </w:rPr>
              <w:t>poruchy močenia</w:t>
            </w:r>
          </w:p>
        </w:tc>
      </w:tr>
      <w:tr w:rsidR="007116E9" w:rsidRPr="00052AB0" w14:paraId="7DFC6500" w14:textId="77777777">
        <w:tc>
          <w:tcPr>
            <w:tcW w:w="2190" w:type="pct"/>
            <w:vMerge/>
          </w:tcPr>
          <w:p w14:paraId="304B1485" w14:textId="77777777" w:rsidR="007116E9" w:rsidRPr="00C40770" w:rsidRDefault="007116E9" w:rsidP="00C40770">
            <w:pPr>
              <w:ind w:left="0" w:firstLine="0"/>
              <w:rPr>
                <w:bCs/>
                <w:szCs w:val="22"/>
              </w:rPr>
            </w:pPr>
          </w:p>
        </w:tc>
        <w:tc>
          <w:tcPr>
            <w:tcW w:w="1357" w:type="pct"/>
          </w:tcPr>
          <w:p w14:paraId="4B5EF71A" w14:textId="77777777" w:rsidR="007116E9" w:rsidRDefault="007116E9" w:rsidP="00B3298A">
            <w:pPr>
              <w:ind w:left="0" w:firstLine="0"/>
              <w:rPr>
                <w:szCs w:val="22"/>
              </w:rPr>
            </w:pPr>
            <w:r>
              <w:rPr>
                <w:szCs w:val="22"/>
              </w:rPr>
              <w:t>menej časté</w:t>
            </w:r>
          </w:p>
        </w:tc>
        <w:tc>
          <w:tcPr>
            <w:tcW w:w="1453" w:type="pct"/>
          </w:tcPr>
          <w:p w14:paraId="153A708C" w14:textId="77777777" w:rsidR="007116E9" w:rsidRDefault="007116E9" w:rsidP="00C40770">
            <w:pPr>
              <w:ind w:left="0" w:firstLine="0"/>
              <w:rPr>
                <w:szCs w:val="22"/>
              </w:rPr>
            </w:pPr>
            <w:r>
              <w:rPr>
                <w:szCs w:val="22"/>
              </w:rPr>
              <w:t>retencia moču</w:t>
            </w:r>
          </w:p>
        </w:tc>
      </w:tr>
      <w:tr w:rsidR="007B67DE" w:rsidRPr="00C40770" w14:paraId="7899C53C" w14:textId="77777777">
        <w:trPr>
          <w:trHeight w:val="116"/>
        </w:trPr>
        <w:tc>
          <w:tcPr>
            <w:tcW w:w="2190" w:type="pct"/>
            <w:vMerge w:val="restart"/>
          </w:tcPr>
          <w:p w14:paraId="56BBAF67" w14:textId="77777777" w:rsidR="007B67DE" w:rsidRPr="00C40770" w:rsidRDefault="007B67DE" w:rsidP="00C40770">
            <w:pPr>
              <w:ind w:left="0" w:firstLine="0"/>
              <w:rPr>
                <w:szCs w:val="22"/>
              </w:rPr>
            </w:pPr>
            <w:r w:rsidRPr="00C40770">
              <w:rPr>
                <w:szCs w:val="22"/>
              </w:rPr>
              <w:t>Poruchy reprodukčného systému a prsníkov</w:t>
            </w:r>
          </w:p>
        </w:tc>
        <w:tc>
          <w:tcPr>
            <w:tcW w:w="1357" w:type="pct"/>
          </w:tcPr>
          <w:p w14:paraId="7944ECBD" w14:textId="1640F1C6" w:rsidR="007B67DE" w:rsidRPr="00C40770" w:rsidRDefault="00A82AE1" w:rsidP="00B3298A">
            <w:pPr>
              <w:ind w:left="0" w:firstLine="0"/>
              <w:rPr>
                <w:szCs w:val="22"/>
                <w:lang w:val="en-US"/>
              </w:rPr>
            </w:pPr>
            <w:r w:rsidRPr="00C40770">
              <w:rPr>
                <w:szCs w:val="22"/>
              </w:rPr>
              <w:t>časté</w:t>
            </w:r>
          </w:p>
        </w:tc>
        <w:tc>
          <w:tcPr>
            <w:tcW w:w="1453" w:type="pct"/>
          </w:tcPr>
          <w:p w14:paraId="474336CA" w14:textId="1939206E" w:rsidR="007B67DE" w:rsidRPr="00C40770" w:rsidRDefault="007116E9" w:rsidP="00B3298A">
            <w:pPr>
              <w:ind w:left="0" w:firstLine="0"/>
              <w:rPr>
                <w:szCs w:val="22"/>
              </w:rPr>
            </w:pPr>
            <w:r>
              <w:rPr>
                <w:szCs w:val="22"/>
              </w:rPr>
              <w:t>erektilná dysfunkcia</w:t>
            </w:r>
          </w:p>
        </w:tc>
      </w:tr>
      <w:tr w:rsidR="007116E9" w:rsidRPr="00C40770" w14:paraId="401A279B" w14:textId="77777777">
        <w:trPr>
          <w:trHeight w:val="116"/>
        </w:trPr>
        <w:tc>
          <w:tcPr>
            <w:tcW w:w="2190" w:type="pct"/>
            <w:vMerge/>
          </w:tcPr>
          <w:p w14:paraId="3E30978B" w14:textId="77777777" w:rsidR="007116E9" w:rsidRPr="00C40770" w:rsidRDefault="007116E9" w:rsidP="00C40770">
            <w:pPr>
              <w:ind w:left="0" w:firstLine="0"/>
              <w:rPr>
                <w:szCs w:val="22"/>
              </w:rPr>
            </w:pPr>
          </w:p>
        </w:tc>
        <w:tc>
          <w:tcPr>
            <w:tcW w:w="1357" w:type="pct"/>
          </w:tcPr>
          <w:p w14:paraId="69327600" w14:textId="77777777" w:rsidR="007116E9" w:rsidRDefault="007116E9" w:rsidP="00B3298A">
            <w:pPr>
              <w:ind w:left="0" w:firstLine="0"/>
              <w:rPr>
                <w:szCs w:val="22"/>
              </w:rPr>
            </w:pPr>
            <w:r>
              <w:rPr>
                <w:szCs w:val="22"/>
              </w:rPr>
              <w:t>menej časté</w:t>
            </w:r>
          </w:p>
        </w:tc>
        <w:tc>
          <w:tcPr>
            <w:tcW w:w="1453" w:type="pct"/>
          </w:tcPr>
          <w:p w14:paraId="4FE5DB48" w14:textId="77777777" w:rsidR="007116E9" w:rsidRDefault="007116E9" w:rsidP="00C40770">
            <w:pPr>
              <w:ind w:left="0" w:firstLine="0"/>
              <w:rPr>
                <w:szCs w:val="22"/>
              </w:rPr>
            </w:pPr>
            <w:r>
              <w:rPr>
                <w:szCs w:val="22"/>
              </w:rPr>
              <w:t>galaktorea</w:t>
            </w:r>
          </w:p>
        </w:tc>
      </w:tr>
      <w:tr w:rsidR="007B67DE" w:rsidRPr="00C40770" w14:paraId="5EAAB54C" w14:textId="77777777">
        <w:trPr>
          <w:trHeight w:val="115"/>
        </w:trPr>
        <w:tc>
          <w:tcPr>
            <w:tcW w:w="2190" w:type="pct"/>
            <w:vMerge/>
          </w:tcPr>
          <w:p w14:paraId="466E45F7" w14:textId="77777777" w:rsidR="007B67DE" w:rsidRPr="00C40770" w:rsidRDefault="007B67DE" w:rsidP="00C40770">
            <w:pPr>
              <w:ind w:left="0" w:firstLine="0"/>
              <w:rPr>
                <w:szCs w:val="22"/>
                <w:lang w:val="en-US"/>
              </w:rPr>
            </w:pPr>
          </w:p>
        </w:tc>
        <w:tc>
          <w:tcPr>
            <w:tcW w:w="1357" w:type="pct"/>
          </w:tcPr>
          <w:p w14:paraId="0F7EFAB6" w14:textId="24C70661" w:rsidR="007B67DE" w:rsidRPr="00C40770" w:rsidRDefault="00B231DB" w:rsidP="00B3298A">
            <w:pPr>
              <w:ind w:left="0" w:firstLine="0"/>
              <w:rPr>
                <w:szCs w:val="22"/>
                <w:lang w:val="en-US"/>
              </w:rPr>
            </w:pPr>
            <w:r>
              <w:rPr>
                <w:szCs w:val="22"/>
              </w:rPr>
              <w:t>zriedkavé</w:t>
            </w:r>
          </w:p>
        </w:tc>
        <w:tc>
          <w:tcPr>
            <w:tcW w:w="1453" w:type="pct"/>
          </w:tcPr>
          <w:p w14:paraId="581CA9CB" w14:textId="5A7D73A4" w:rsidR="007B67DE" w:rsidRPr="00C40770" w:rsidRDefault="007116E9" w:rsidP="00C40770">
            <w:pPr>
              <w:ind w:left="0" w:firstLine="0"/>
              <w:rPr>
                <w:szCs w:val="22"/>
              </w:rPr>
            </w:pPr>
            <w:r>
              <w:rPr>
                <w:szCs w:val="22"/>
              </w:rPr>
              <w:t>gynekomastia</w:t>
            </w:r>
          </w:p>
        </w:tc>
      </w:tr>
      <w:tr w:rsidR="007116E9" w:rsidRPr="00C40770" w14:paraId="75E43AFF" w14:textId="77777777">
        <w:tc>
          <w:tcPr>
            <w:tcW w:w="2190" w:type="pct"/>
            <w:vMerge w:val="restart"/>
          </w:tcPr>
          <w:p w14:paraId="55FA1BAB" w14:textId="77777777" w:rsidR="007116E9" w:rsidRPr="00C40770" w:rsidRDefault="007116E9" w:rsidP="00C40770">
            <w:pPr>
              <w:ind w:left="0" w:firstLine="0"/>
              <w:rPr>
                <w:szCs w:val="22"/>
              </w:rPr>
            </w:pPr>
            <w:r w:rsidRPr="00C40770">
              <w:rPr>
                <w:szCs w:val="22"/>
              </w:rPr>
              <w:t xml:space="preserve">Celkové poruchy a reakcie v mieste podania </w:t>
            </w:r>
          </w:p>
        </w:tc>
        <w:tc>
          <w:tcPr>
            <w:tcW w:w="1357" w:type="pct"/>
          </w:tcPr>
          <w:p w14:paraId="77046102" w14:textId="00A537E1" w:rsidR="007116E9" w:rsidRPr="00C40770" w:rsidRDefault="007116E9">
            <w:pPr>
              <w:ind w:left="0" w:firstLine="0"/>
              <w:rPr>
                <w:szCs w:val="22"/>
                <w:lang w:val="en-US"/>
              </w:rPr>
            </w:pPr>
            <w:r w:rsidRPr="00C40770">
              <w:rPr>
                <w:szCs w:val="22"/>
              </w:rPr>
              <w:t>časté</w:t>
            </w:r>
          </w:p>
        </w:tc>
        <w:tc>
          <w:tcPr>
            <w:tcW w:w="1453" w:type="pct"/>
          </w:tcPr>
          <w:p w14:paraId="7E0A8D86" w14:textId="62668651" w:rsidR="007116E9" w:rsidRPr="00C40770" w:rsidRDefault="007116E9" w:rsidP="00DA5A8A">
            <w:pPr>
              <w:ind w:left="0" w:firstLine="0"/>
              <w:rPr>
                <w:szCs w:val="22"/>
              </w:rPr>
            </w:pPr>
            <w:r>
              <w:rPr>
                <w:szCs w:val="22"/>
              </w:rPr>
              <w:t>ú</w:t>
            </w:r>
            <w:r w:rsidRPr="00C40770">
              <w:rPr>
                <w:szCs w:val="22"/>
              </w:rPr>
              <w:t>nava</w:t>
            </w:r>
            <w:r>
              <w:rPr>
                <w:szCs w:val="22"/>
              </w:rPr>
              <w:t>, pocit smädu</w:t>
            </w:r>
          </w:p>
        </w:tc>
      </w:tr>
      <w:tr w:rsidR="007116E9" w:rsidRPr="00C40770" w14:paraId="038C8B77" w14:textId="77777777">
        <w:tc>
          <w:tcPr>
            <w:tcW w:w="2190" w:type="pct"/>
            <w:vMerge/>
          </w:tcPr>
          <w:p w14:paraId="4FB84970" w14:textId="77777777" w:rsidR="007116E9" w:rsidRPr="00C40770" w:rsidRDefault="007116E9" w:rsidP="00C40770">
            <w:pPr>
              <w:ind w:left="0" w:firstLine="0"/>
              <w:rPr>
                <w:szCs w:val="22"/>
              </w:rPr>
            </w:pPr>
          </w:p>
        </w:tc>
        <w:tc>
          <w:tcPr>
            <w:tcW w:w="1357" w:type="pct"/>
          </w:tcPr>
          <w:p w14:paraId="6BE630D1" w14:textId="77777777" w:rsidR="007116E9" w:rsidRDefault="007116E9" w:rsidP="00B3298A">
            <w:pPr>
              <w:ind w:left="0" w:firstLine="0"/>
              <w:rPr>
                <w:szCs w:val="22"/>
              </w:rPr>
            </w:pPr>
            <w:r>
              <w:rPr>
                <w:szCs w:val="22"/>
              </w:rPr>
              <w:t>zriedkavé</w:t>
            </w:r>
          </w:p>
        </w:tc>
        <w:tc>
          <w:tcPr>
            <w:tcW w:w="1453" w:type="pct"/>
          </w:tcPr>
          <w:p w14:paraId="78EBA7AD" w14:textId="77777777" w:rsidR="007116E9" w:rsidRDefault="007116E9" w:rsidP="001552A5">
            <w:pPr>
              <w:ind w:left="0" w:firstLine="0"/>
              <w:rPr>
                <w:szCs w:val="22"/>
              </w:rPr>
            </w:pPr>
            <w:r>
              <w:rPr>
                <w:szCs w:val="22"/>
              </w:rPr>
              <w:t>pyrexia</w:t>
            </w:r>
          </w:p>
        </w:tc>
      </w:tr>
      <w:tr w:rsidR="002A6C6B" w:rsidRPr="00C40770" w14:paraId="0128A687" w14:textId="77777777">
        <w:tc>
          <w:tcPr>
            <w:tcW w:w="2190" w:type="pct"/>
            <w:vMerge w:val="restart"/>
          </w:tcPr>
          <w:p w14:paraId="41CF1232" w14:textId="77777777" w:rsidR="00A03627" w:rsidRDefault="002A6C6B" w:rsidP="00065CF8">
            <w:pPr>
              <w:ind w:left="0" w:firstLine="0"/>
              <w:rPr>
                <w:szCs w:val="22"/>
              </w:rPr>
            </w:pPr>
            <w:r w:rsidRPr="00C40770">
              <w:rPr>
                <w:bCs/>
                <w:szCs w:val="22"/>
              </w:rPr>
              <w:t>Laboratórne a funkčné vyšetrenia</w:t>
            </w:r>
          </w:p>
        </w:tc>
        <w:tc>
          <w:tcPr>
            <w:tcW w:w="1357" w:type="pct"/>
          </w:tcPr>
          <w:p w14:paraId="3FF9EA52" w14:textId="77777777" w:rsidR="002A6C6B" w:rsidRPr="00065CF8" w:rsidRDefault="007116E9" w:rsidP="00B04E6B">
            <w:pPr>
              <w:ind w:left="0" w:firstLine="0"/>
              <w:rPr>
                <w:szCs w:val="22"/>
              </w:rPr>
            </w:pPr>
            <w:r>
              <w:rPr>
                <w:szCs w:val="22"/>
              </w:rPr>
              <w:t xml:space="preserve">veľmi </w:t>
            </w:r>
            <w:r w:rsidR="0006390F" w:rsidRPr="00065CF8">
              <w:rPr>
                <w:szCs w:val="22"/>
              </w:rPr>
              <w:t>časté</w:t>
            </w:r>
          </w:p>
        </w:tc>
        <w:tc>
          <w:tcPr>
            <w:tcW w:w="1453" w:type="pct"/>
          </w:tcPr>
          <w:p w14:paraId="719F23AD" w14:textId="123BBDDA" w:rsidR="002A6C6B" w:rsidRPr="00065CF8" w:rsidRDefault="007116E9" w:rsidP="00B04E6B">
            <w:pPr>
              <w:ind w:left="0" w:firstLine="0"/>
              <w:rPr>
                <w:szCs w:val="22"/>
              </w:rPr>
            </w:pPr>
            <w:r>
              <w:rPr>
                <w:szCs w:val="22"/>
              </w:rPr>
              <w:t>nárast telesnej hmotnosti</w:t>
            </w:r>
          </w:p>
        </w:tc>
      </w:tr>
      <w:tr w:rsidR="007116E9" w:rsidRPr="00C40770" w14:paraId="091877A4" w14:textId="77777777">
        <w:tc>
          <w:tcPr>
            <w:tcW w:w="2190" w:type="pct"/>
            <w:vMerge/>
          </w:tcPr>
          <w:p w14:paraId="0F893421" w14:textId="77777777" w:rsidR="007116E9" w:rsidRPr="00C40770" w:rsidRDefault="007116E9" w:rsidP="00065CF8">
            <w:pPr>
              <w:ind w:left="0" w:firstLine="0"/>
              <w:rPr>
                <w:bCs/>
                <w:szCs w:val="22"/>
              </w:rPr>
            </w:pPr>
          </w:p>
        </w:tc>
        <w:tc>
          <w:tcPr>
            <w:tcW w:w="1357" w:type="pct"/>
          </w:tcPr>
          <w:p w14:paraId="1DA19A7A" w14:textId="77777777" w:rsidR="007116E9" w:rsidRPr="00065CF8" w:rsidRDefault="007116E9" w:rsidP="00B04E6B">
            <w:pPr>
              <w:ind w:left="0" w:firstLine="0"/>
              <w:rPr>
                <w:szCs w:val="22"/>
              </w:rPr>
            </w:pPr>
            <w:r>
              <w:rPr>
                <w:szCs w:val="22"/>
              </w:rPr>
              <w:t>časté</w:t>
            </w:r>
          </w:p>
        </w:tc>
        <w:tc>
          <w:tcPr>
            <w:tcW w:w="1453" w:type="pct"/>
          </w:tcPr>
          <w:p w14:paraId="5BAFFA0C" w14:textId="77777777" w:rsidR="007116E9" w:rsidRPr="00065CF8" w:rsidRDefault="007116E9" w:rsidP="00E76742">
            <w:pPr>
              <w:pStyle w:val="Default"/>
              <w:rPr>
                <w:szCs w:val="22"/>
              </w:rPr>
            </w:pPr>
            <w:r>
              <w:rPr>
                <w:sz w:val="22"/>
                <w:szCs w:val="22"/>
              </w:rPr>
              <w:t>abnormálne EKG, predĺženie QT na EKG, predĺžený komplex QRS na EKG, hyponatriémia</w:t>
            </w:r>
          </w:p>
        </w:tc>
      </w:tr>
      <w:tr w:rsidR="007116E9" w:rsidRPr="00C40770" w14:paraId="5A2E7E1D" w14:textId="77777777">
        <w:tc>
          <w:tcPr>
            <w:tcW w:w="2190" w:type="pct"/>
            <w:vMerge/>
          </w:tcPr>
          <w:p w14:paraId="0AB27F23" w14:textId="77777777" w:rsidR="007116E9" w:rsidRPr="00C40770" w:rsidRDefault="007116E9" w:rsidP="00065CF8">
            <w:pPr>
              <w:ind w:left="0" w:firstLine="0"/>
              <w:rPr>
                <w:bCs/>
                <w:szCs w:val="22"/>
              </w:rPr>
            </w:pPr>
          </w:p>
        </w:tc>
        <w:tc>
          <w:tcPr>
            <w:tcW w:w="1357" w:type="pct"/>
          </w:tcPr>
          <w:p w14:paraId="7CC409CC" w14:textId="77777777" w:rsidR="007116E9" w:rsidRPr="00065CF8" w:rsidRDefault="007116E9" w:rsidP="00B04E6B">
            <w:pPr>
              <w:ind w:left="0" w:firstLine="0"/>
              <w:rPr>
                <w:szCs w:val="22"/>
              </w:rPr>
            </w:pPr>
            <w:r>
              <w:rPr>
                <w:szCs w:val="22"/>
              </w:rPr>
              <w:t>menej časté</w:t>
            </w:r>
          </w:p>
        </w:tc>
        <w:tc>
          <w:tcPr>
            <w:tcW w:w="1453" w:type="pct"/>
          </w:tcPr>
          <w:p w14:paraId="07B8DE22" w14:textId="77777777" w:rsidR="007116E9" w:rsidRPr="00065CF8" w:rsidRDefault="007116E9" w:rsidP="00E76742">
            <w:pPr>
              <w:pStyle w:val="Default"/>
              <w:rPr>
                <w:szCs w:val="22"/>
              </w:rPr>
            </w:pPr>
            <w:r>
              <w:rPr>
                <w:sz w:val="22"/>
                <w:szCs w:val="22"/>
              </w:rPr>
              <w:t>zvýšenie vnútroočného tlaku</w:t>
            </w:r>
          </w:p>
        </w:tc>
      </w:tr>
      <w:tr w:rsidR="002A6C6B" w:rsidRPr="00C40770" w14:paraId="098DE2EE" w14:textId="77777777">
        <w:tc>
          <w:tcPr>
            <w:tcW w:w="2190" w:type="pct"/>
            <w:vMerge/>
          </w:tcPr>
          <w:p w14:paraId="44A90E7A" w14:textId="77777777" w:rsidR="002A6C6B" w:rsidRPr="00C40770" w:rsidRDefault="002A6C6B" w:rsidP="00C40770">
            <w:pPr>
              <w:ind w:left="0" w:firstLine="0"/>
              <w:rPr>
                <w:szCs w:val="22"/>
                <w:lang w:val="en-US"/>
              </w:rPr>
            </w:pPr>
          </w:p>
        </w:tc>
        <w:tc>
          <w:tcPr>
            <w:tcW w:w="1357" w:type="pct"/>
          </w:tcPr>
          <w:p w14:paraId="249D4666" w14:textId="18EF014E" w:rsidR="002A6C6B" w:rsidRPr="00065CF8" w:rsidRDefault="002A6C6B" w:rsidP="00B3298A">
            <w:pPr>
              <w:ind w:left="0" w:firstLine="0"/>
              <w:rPr>
                <w:szCs w:val="22"/>
                <w:lang w:val="en-US"/>
              </w:rPr>
            </w:pPr>
            <w:r w:rsidRPr="00065CF8">
              <w:rPr>
                <w:szCs w:val="22"/>
              </w:rPr>
              <w:t>zriedkavé</w:t>
            </w:r>
          </w:p>
        </w:tc>
        <w:tc>
          <w:tcPr>
            <w:tcW w:w="1453" w:type="pct"/>
          </w:tcPr>
          <w:p w14:paraId="40A275FF" w14:textId="77777777" w:rsidR="007116E9" w:rsidRDefault="007116E9" w:rsidP="007116E9">
            <w:pPr>
              <w:pStyle w:val="Default"/>
              <w:rPr>
                <w:sz w:val="22"/>
                <w:szCs w:val="22"/>
              </w:rPr>
            </w:pPr>
            <w:r>
              <w:rPr>
                <w:sz w:val="22"/>
                <w:szCs w:val="22"/>
              </w:rPr>
              <w:t xml:space="preserve">pokles telesnej hmotnosti, </w:t>
            </w:r>
          </w:p>
          <w:p w14:paraId="3395814B" w14:textId="5A1E6637" w:rsidR="002A6C6B" w:rsidRPr="00065CF8" w:rsidRDefault="007116E9">
            <w:pPr>
              <w:ind w:left="0" w:firstLine="0"/>
              <w:rPr>
                <w:szCs w:val="22"/>
                <w:lang w:val="en-US"/>
              </w:rPr>
            </w:pPr>
            <w:r>
              <w:rPr>
                <w:szCs w:val="22"/>
              </w:rPr>
              <w:t xml:space="preserve">abnormálne pečeňové testy, zvýšenie alkalickej fosfatázy v krvi, </w:t>
            </w:r>
            <w:r w:rsidR="002A6C6B" w:rsidRPr="00065CF8">
              <w:rPr>
                <w:szCs w:val="22"/>
              </w:rPr>
              <w:t>zvýšen</w:t>
            </w:r>
            <w:r>
              <w:rPr>
                <w:szCs w:val="22"/>
              </w:rPr>
              <w:t>ie</w:t>
            </w:r>
            <w:r w:rsidR="002A6C6B" w:rsidRPr="00065CF8">
              <w:rPr>
                <w:szCs w:val="22"/>
              </w:rPr>
              <w:t xml:space="preserve"> tra</w:t>
            </w:r>
            <w:r w:rsidR="008411BB" w:rsidRPr="00065CF8">
              <w:rPr>
                <w:szCs w:val="22"/>
              </w:rPr>
              <w:t>n</w:t>
            </w:r>
            <w:r w:rsidR="002A6C6B" w:rsidRPr="00065CF8">
              <w:rPr>
                <w:szCs w:val="22"/>
              </w:rPr>
              <w:t>samináz</w:t>
            </w:r>
          </w:p>
        </w:tc>
      </w:tr>
    </w:tbl>
    <w:p w14:paraId="23477F48" w14:textId="77777777" w:rsidR="007B67DE" w:rsidRPr="00C40770" w:rsidRDefault="007B67DE" w:rsidP="00C40770">
      <w:pPr>
        <w:ind w:left="0" w:firstLine="0"/>
        <w:jc w:val="both"/>
        <w:rPr>
          <w:szCs w:val="22"/>
        </w:rPr>
      </w:pPr>
    </w:p>
    <w:p w14:paraId="08EAB730" w14:textId="5B4420B9" w:rsidR="00056475" w:rsidRDefault="00056475" w:rsidP="009E561F">
      <w:pPr>
        <w:ind w:left="0" w:firstLine="0"/>
        <w:rPr>
          <w:szCs w:val="22"/>
        </w:rPr>
      </w:pPr>
      <w:r w:rsidRPr="00C40770">
        <w:rPr>
          <w:szCs w:val="22"/>
          <w:lang w:val="en-US"/>
        </w:rPr>
        <w:t>*</w:t>
      </w:r>
      <w:r w:rsidRPr="00C40770">
        <w:rPr>
          <w:szCs w:val="22"/>
        </w:rPr>
        <w:t xml:space="preserve"> </w:t>
      </w:r>
      <w:r w:rsidR="007116E9">
        <w:rPr>
          <w:szCs w:val="22"/>
        </w:rPr>
        <w:t>Počas liečby alebo krátko po ukončení liečby amitriptylínom boli hlásené správy o prípadoch samovražedných myšlienok alebo samovražedného správania (pozri časť 4.4)</w:t>
      </w:r>
      <w:r w:rsidRPr="00C40770">
        <w:rPr>
          <w:szCs w:val="22"/>
        </w:rPr>
        <w:t>.</w:t>
      </w:r>
    </w:p>
    <w:p w14:paraId="0074E07D" w14:textId="77777777" w:rsidR="007E5BBE" w:rsidRPr="00C40770" w:rsidRDefault="007E5BBE" w:rsidP="009E561F">
      <w:pPr>
        <w:ind w:left="0" w:firstLine="0"/>
        <w:rPr>
          <w:szCs w:val="22"/>
        </w:rPr>
      </w:pPr>
    </w:p>
    <w:p w14:paraId="7B7359B9" w14:textId="77777777" w:rsidR="007116E9" w:rsidRDefault="007116E9" w:rsidP="009E561F">
      <w:pPr>
        <w:ind w:left="0" w:firstLine="0"/>
        <w:rPr>
          <w:szCs w:val="22"/>
        </w:rPr>
      </w:pPr>
      <w:r>
        <w:rPr>
          <w:szCs w:val="22"/>
        </w:rPr>
        <w:t>Epidemiologické štúdie, vykonávané hlavne u pacientov vo veku 50 rokov a starších, vykazujú zvýšené riziko zlomenín u pacientov užívajúcich SSRI a TCA. Mechanizmus vedúci k tomuto riziku nie je známy.</w:t>
      </w:r>
    </w:p>
    <w:p w14:paraId="13460A84" w14:textId="77777777" w:rsidR="007116E9" w:rsidRDefault="007116E9" w:rsidP="009E561F">
      <w:pPr>
        <w:ind w:left="0" w:firstLine="0"/>
        <w:rPr>
          <w:szCs w:val="22"/>
        </w:rPr>
      </w:pPr>
    </w:p>
    <w:p w14:paraId="010E2A9F" w14:textId="77777777" w:rsidR="007A6911" w:rsidRPr="00967D26" w:rsidRDefault="007A6911" w:rsidP="004D0FAD">
      <w:pPr>
        <w:autoSpaceDE w:val="0"/>
        <w:autoSpaceDN w:val="0"/>
        <w:adjustRightInd w:val="0"/>
        <w:rPr>
          <w:szCs w:val="22"/>
          <w:u w:val="single"/>
        </w:rPr>
      </w:pPr>
      <w:r w:rsidRPr="00967D26">
        <w:rPr>
          <w:noProof/>
          <w:szCs w:val="22"/>
          <w:u w:val="single"/>
        </w:rPr>
        <w:t xml:space="preserve">Hlásenie podozrení na nežiaduce </w:t>
      </w:r>
      <w:r>
        <w:rPr>
          <w:noProof/>
          <w:szCs w:val="22"/>
          <w:u w:val="single"/>
        </w:rPr>
        <w:t>reakcie</w:t>
      </w:r>
    </w:p>
    <w:p w14:paraId="1785BFE0" w14:textId="77777777" w:rsidR="007A6911" w:rsidRDefault="007A6911" w:rsidP="009E561F">
      <w:pPr>
        <w:ind w:left="0" w:firstLine="0"/>
        <w:rPr>
          <w:rStyle w:val="Hypertextovprepojenie"/>
          <w:noProof/>
          <w:szCs w:val="22"/>
        </w:rPr>
      </w:pPr>
      <w:r w:rsidRPr="00967D26">
        <w:rPr>
          <w:noProof/>
          <w:szCs w:val="22"/>
        </w:rPr>
        <w:t xml:space="preserve">Hlásenie podozrení na nežiaduce </w:t>
      </w:r>
      <w:r>
        <w:rPr>
          <w:noProof/>
          <w:szCs w:val="22"/>
        </w:rPr>
        <w:t>reakcie</w:t>
      </w:r>
      <w:r w:rsidRPr="00967D26">
        <w:rPr>
          <w:noProof/>
          <w:szCs w:val="22"/>
        </w:rPr>
        <w:t xml:space="preserve"> po </w:t>
      </w:r>
      <w:r>
        <w:rPr>
          <w:noProof/>
          <w:szCs w:val="22"/>
        </w:rPr>
        <w:t>registrácii</w:t>
      </w:r>
      <w:r w:rsidRPr="00967D26">
        <w:rPr>
          <w:noProof/>
          <w:szCs w:val="22"/>
        </w:rPr>
        <w:t xml:space="preserve"> lieku je dôležité.</w:t>
      </w:r>
      <w:r w:rsidRPr="00967D26">
        <w:rPr>
          <w:szCs w:val="22"/>
        </w:rPr>
        <w:t xml:space="preserve"> </w:t>
      </w:r>
      <w:r w:rsidRPr="00967D26">
        <w:rPr>
          <w:noProof/>
          <w:szCs w:val="22"/>
        </w:rPr>
        <w:t>Umožňuje priebežné monitorovanie pomeru prínosu</w:t>
      </w:r>
      <w:r w:rsidRPr="00A505E4">
        <w:t xml:space="preserve"> a</w:t>
      </w:r>
      <w:r w:rsidRPr="00967D26">
        <w:rPr>
          <w:noProof/>
          <w:szCs w:val="22"/>
        </w:rPr>
        <w:t> rizika lieku.</w:t>
      </w:r>
      <w:r w:rsidRPr="00967D26">
        <w:rPr>
          <w:szCs w:val="22"/>
        </w:rPr>
        <w:t xml:space="preserve"> </w:t>
      </w:r>
      <w:r>
        <w:rPr>
          <w:szCs w:val="22"/>
        </w:rPr>
        <w:t xml:space="preserve">Od </w:t>
      </w:r>
      <w:r>
        <w:rPr>
          <w:noProof/>
          <w:szCs w:val="22"/>
        </w:rPr>
        <w:t>z</w:t>
      </w:r>
      <w:r w:rsidRPr="00967D26">
        <w:rPr>
          <w:noProof/>
          <w:szCs w:val="22"/>
        </w:rPr>
        <w:t>dravotníckych pracovníkov</w:t>
      </w:r>
      <w:r>
        <w:rPr>
          <w:noProof/>
          <w:szCs w:val="22"/>
        </w:rPr>
        <w:t xml:space="preserve"> sa vyžaduje</w:t>
      </w:r>
      <w:r w:rsidRPr="00967D26">
        <w:rPr>
          <w:noProof/>
          <w:szCs w:val="22"/>
        </w:rPr>
        <w:t xml:space="preserve">, aby hlásili akékoľvek podozrenia na nežiaduce </w:t>
      </w:r>
      <w:r>
        <w:rPr>
          <w:noProof/>
          <w:szCs w:val="22"/>
        </w:rPr>
        <w:t>reakcie</w:t>
      </w:r>
      <w:r w:rsidRPr="00967D26">
        <w:rPr>
          <w:noProof/>
          <w:szCs w:val="22"/>
        </w:rPr>
        <w:t xml:space="preserve"> </w:t>
      </w:r>
      <w:r w:rsidR="00765CF4">
        <w:rPr>
          <w:noProof/>
          <w:szCs w:val="22"/>
        </w:rPr>
        <w:t>na</w:t>
      </w:r>
      <w:r w:rsidR="00765CF4" w:rsidRPr="00967D26">
        <w:rPr>
          <w:noProof/>
          <w:szCs w:val="22"/>
        </w:rPr>
        <w:t xml:space="preserve"> </w:t>
      </w:r>
      <w:r w:rsidRPr="007A6911">
        <w:rPr>
          <w:noProof/>
          <w:szCs w:val="22"/>
          <w:highlight w:val="lightGray"/>
        </w:rPr>
        <w:t xml:space="preserve">národné </w:t>
      </w:r>
      <w:r w:rsidR="00765CF4">
        <w:rPr>
          <w:noProof/>
          <w:szCs w:val="22"/>
          <w:highlight w:val="lightGray"/>
        </w:rPr>
        <w:t>centrum</w:t>
      </w:r>
      <w:r w:rsidRPr="007A6911">
        <w:rPr>
          <w:noProof/>
          <w:szCs w:val="22"/>
          <w:highlight w:val="lightGray"/>
        </w:rPr>
        <w:t xml:space="preserve"> hlásenia uvedené v </w:t>
      </w:r>
      <w:hyperlink r:id="rId7" w:history="1">
        <w:r w:rsidRPr="007A6911">
          <w:rPr>
            <w:rStyle w:val="Hypertextovprepojenie"/>
            <w:noProof/>
            <w:szCs w:val="22"/>
            <w:highlight w:val="lightGray"/>
          </w:rPr>
          <w:t>P</w:t>
        </w:r>
        <w:r w:rsidRPr="007A6911">
          <w:rPr>
            <w:rStyle w:val="Hypertextovprepojenie"/>
            <w:highlight w:val="lightGray"/>
          </w:rPr>
          <w:t xml:space="preserve">rílohe </w:t>
        </w:r>
        <w:r w:rsidRPr="007A6911">
          <w:rPr>
            <w:rStyle w:val="Hypertextovprepojenie"/>
            <w:noProof/>
            <w:szCs w:val="22"/>
            <w:highlight w:val="lightGray"/>
          </w:rPr>
          <w:t>V</w:t>
        </w:r>
      </w:hyperlink>
      <w:r>
        <w:rPr>
          <w:rStyle w:val="Hypertextovprepojenie"/>
          <w:noProof/>
          <w:szCs w:val="22"/>
        </w:rPr>
        <w:t>.</w:t>
      </w:r>
    </w:p>
    <w:p w14:paraId="011EAB01" w14:textId="77777777" w:rsidR="007A6911" w:rsidRPr="00C40770" w:rsidRDefault="007A6911" w:rsidP="009E561F">
      <w:pPr>
        <w:ind w:left="0" w:firstLine="0"/>
        <w:rPr>
          <w:szCs w:val="22"/>
        </w:rPr>
      </w:pPr>
    </w:p>
    <w:p w14:paraId="1092EDF1" w14:textId="77777777" w:rsidR="00A03627" w:rsidRDefault="00AA6297" w:rsidP="00065CF8">
      <w:pPr>
        <w:rPr>
          <w:szCs w:val="22"/>
        </w:rPr>
      </w:pPr>
      <w:r w:rsidRPr="00C40770">
        <w:rPr>
          <w:b/>
          <w:szCs w:val="22"/>
        </w:rPr>
        <w:t>4.9</w:t>
      </w:r>
      <w:r w:rsidRPr="00C40770">
        <w:rPr>
          <w:b/>
          <w:szCs w:val="22"/>
        </w:rPr>
        <w:tab/>
        <w:t>Predávkovanie</w:t>
      </w:r>
    </w:p>
    <w:p w14:paraId="6FBEE498" w14:textId="77777777" w:rsidR="00A03627" w:rsidRDefault="00A03627" w:rsidP="00065CF8">
      <w:pPr>
        <w:rPr>
          <w:szCs w:val="22"/>
        </w:rPr>
      </w:pPr>
    </w:p>
    <w:p w14:paraId="09548519" w14:textId="77777777" w:rsidR="007116E9" w:rsidRDefault="007116E9" w:rsidP="007116E9">
      <w:pPr>
        <w:pStyle w:val="Default"/>
      </w:pPr>
      <w:r>
        <w:rPr>
          <w:sz w:val="22"/>
          <w:szCs w:val="22"/>
          <w:u w:val="single"/>
        </w:rPr>
        <w:t xml:space="preserve">Príznaky </w:t>
      </w:r>
    </w:p>
    <w:p w14:paraId="0A82B686" w14:textId="77777777" w:rsidR="007116E9" w:rsidRDefault="007116E9" w:rsidP="007116E9">
      <w:pPr>
        <w:pStyle w:val="Default"/>
        <w:rPr>
          <w:i/>
          <w:iCs/>
          <w:sz w:val="22"/>
          <w:szCs w:val="22"/>
        </w:rPr>
      </w:pPr>
    </w:p>
    <w:p w14:paraId="53A0ED1F" w14:textId="77777777" w:rsidR="007116E9" w:rsidRDefault="007116E9" w:rsidP="007116E9">
      <w:pPr>
        <w:pStyle w:val="Default"/>
        <w:rPr>
          <w:sz w:val="22"/>
          <w:szCs w:val="22"/>
        </w:rPr>
      </w:pPr>
      <w:r>
        <w:rPr>
          <w:i/>
          <w:iCs/>
          <w:sz w:val="22"/>
          <w:szCs w:val="22"/>
        </w:rPr>
        <w:t>Anticholinergné príznaky</w:t>
      </w:r>
      <w:r>
        <w:rPr>
          <w:sz w:val="22"/>
          <w:szCs w:val="22"/>
        </w:rPr>
        <w:t xml:space="preserve">: mydriáza, tachykardia, retencia moču, suché sliznice, znížená pohyblivosť čriev, konvulzie, horúčka, náhly útlm CNS, znížené vedomie progredujúce do kómy, útlm dýchania. </w:t>
      </w:r>
    </w:p>
    <w:p w14:paraId="5FB5B22D" w14:textId="77777777" w:rsidR="007116E9" w:rsidRDefault="007116E9" w:rsidP="007116E9">
      <w:pPr>
        <w:pStyle w:val="Default"/>
        <w:rPr>
          <w:i/>
          <w:iCs/>
          <w:sz w:val="22"/>
          <w:szCs w:val="22"/>
        </w:rPr>
      </w:pPr>
    </w:p>
    <w:p w14:paraId="5881421C" w14:textId="77777777" w:rsidR="007116E9" w:rsidRDefault="007116E9" w:rsidP="007116E9">
      <w:pPr>
        <w:pStyle w:val="Default"/>
        <w:rPr>
          <w:sz w:val="22"/>
          <w:szCs w:val="22"/>
        </w:rPr>
      </w:pPr>
      <w:r>
        <w:rPr>
          <w:i/>
          <w:iCs/>
          <w:sz w:val="22"/>
          <w:szCs w:val="22"/>
        </w:rPr>
        <w:t>Srdcové príznaky</w:t>
      </w:r>
      <w:r>
        <w:rPr>
          <w:sz w:val="22"/>
          <w:szCs w:val="22"/>
        </w:rPr>
        <w:t xml:space="preserve">: arytmie (ventrikulárne tachyarytmie, torsade de pointes, ventrikulárna fibrilácia). EKG vyšetrenia charakteristicky vykazujú predĺžený interval PR, rozšírenie komplexu QRS, predĺženie QT, sploštenie alebo inverziu vlny T, depresiu segmentu ST a rôzne stupne srdcovej blokády progredujúcej k zastaveniu srdca. Rozšírenie komplexu QRS zvyčajne koreluje so závažnosťou toxicity po akútnom predávkovaní. Zlyhanie srdca, hypotenzia, kardiogénny šok, metabolická acidóza, hypokaliémia. </w:t>
      </w:r>
    </w:p>
    <w:p w14:paraId="71D21D3C" w14:textId="77777777" w:rsidR="007116E9" w:rsidRPr="00E76742" w:rsidRDefault="007116E9" w:rsidP="007116E9">
      <w:pPr>
        <w:pStyle w:val="Default"/>
        <w:rPr>
          <w:bCs/>
          <w:sz w:val="22"/>
          <w:szCs w:val="22"/>
        </w:rPr>
      </w:pPr>
    </w:p>
    <w:p w14:paraId="24B88AAC" w14:textId="77777777" w:rsidR="007116E9" w:rsidRDefault="007116E9" w:rsidP="007116E9">
      <w:pPr>
        <w:pStyle w:val="Default"/>
        <w:rPr>
          <w:sz w:val="22"/>
          <w:szCs w:val="22"/>
        </w:rPr>
      </w:pPr>
      <w:r>
        <w:rPr>
          <w:b/>
          <w:bCs/>
          <w:sz w:val="22"/>
          <w:szCs w:val="22"/>
        </w:rPr>
        <w:t>Užitie dávky 750</w:t>
      </w:r>
      <w:r w:rsidR="003628D2">
        <w:rPr>
          <w:b/>
          <w:bCs/>
          <w:sz w:val="22"/>
          <w:szCs w:val="22"/>
        </w:rPr>
        <w:t> </w:t>
      </w:r>
      <w:r>
        <w:rPr>
          <w:b/>
          <w:bCs/>
          <w:sz w:val="22"/>
          <w:szCs w:val="22"/>
        </w:rPr>
        <w:t>mg alebo vyššej dospelým môže viesť k závažnej toxicite. Pri súčasnom požití alkoholu a iných psychotropných látok sa účinky predávkovania zosilnia</w:t>
      </w:r>
      <w:r>
        <w:rPr>
          <w:sz w:val="22"/>
          <w:szCs w:val="22"/>
        </w:rPr>
        <w:t xml:space="preserve">. V odpovedi na predávkovanie existuje značná individuálna variabilita. Deti sú zvlášť náchylné na kardiotoxicitu a záchvaty. </w:t>
      </w:r>
    </w:p>
    <w:p w14:paraId="56ACB655" w14:textId="77777777" w:rsidR="007116E9" w:rsidRDefault="007116E9" w:rsidP="007116E9">
      <w:pPr>
        <w:pStyle w:val="Default"/>
        <w:rPr>
          <w:sz w:val="22"/>
          <w:szCs w:val="22"/>
        </w:rPr>
      </w:pPr>
    </w:p>
    <w:p w14:paraId="3ADBD084" w14:textId="49A69863" w:rsidR="007116E9" w:rsidRDefault="007116E9" w:rsidP="007116E9">
      <w:pPr>
        <w:pStyle w:val="Default"/>
        <w:rPr>
          <w:sz w:val="22"/>
          <w:szCs w:val="22"/>
        </w:rPr>
      </w:pPr>
      <w:r>
        <w:rPr>
          <w:sz w:val="22"/>
          <w:szCs w:val="22"/>
        </w:rPr>
        <w:t>Počas prebúdzania sa môžu vyskytnúť stavy zmätenosti, agitácie, halucinácie a ataxie.</w:t>
      </w:r>
    </w:p>
    <w:p w14:paraId="1DDB388A" w14:textId="77777777" w:rsidR="007116E9" w:rsidRDefault="007116E9" w:rsidP="007116E9">
      <w:pPr>
        <w:pStyle w:val="Default"/>
        <w:rPr>
          <w:sz w:val="22"/>
          <w:szCs w:val="22"/>
          <w:u w:val="single"/>
        </w:rPr>
      </w:pPr>
    </w:p>
    <w:p w14:paraId="7E14BEC6" w14:textId="77777777" w:rsidR="007116E9" w:rsidRDefault="007116E9" w:rsidP="007116E9">
      <w:pPr>
        <w:pStyle w:val="Default"/>
        <w:rPr>
          <w:sz w:val="16"/>
          <w:szCs w:val="16"/>
        </w:rPr>
      </w:pPr>
      <w:r>
        <w:rPr>
          <w:sz w:val="22"/>
          <w:szCs w:val="22"/>
          <w:u w:val="single"/>
        </w:rPr>
        <w:t xml:space="preserve">Liečba </w:t>
      </w:r>
    </w:p>
    <w:p w14:paraId="7CE7BE6B" w14:textId="77777777" w:rsidR="007116E9" w:rsidRDefault="007116E9" w:rsidP="00E76742">
      <w:pPr>
        <w:pStyle w:val="Default"/>
        <w:ind w:left="284" w:hanging="284"/>
        <w:rPr>
          <w:sz w:val="22"/>
          <w:szCs w:val="22"/>
        </w:rPr>
      </w:pPr>
      <w:r>
        <w:rPr>
          <w:sz w:val="22"/>
          <w:szCs w:val="22"/>
        </w:rPr>
        <w:lastRenderedPageBreak/>
        <w:t xml:space="preserve">1. Prijať do nemocnice (na jednotku intenzívnej starostlivosti), ak je to potrebné. Liečba je symptomatická a podporná. </w:t>
      </w:r>
    </w:p>
    <w:p w14:paraId="6180FEE3" w14:textId="77777777" w:rsidR="007116E9" w:rsidRDefault="007116E9" w:rsidP="00E76742">
      <w:pPr>
        <w:pStyle w:val="Default"/>
        <w:ind w:left="284" w:hanging="284"/>
        <w:rPr>
          <w:sz w:val="22"/>
          <w:szCs w:val="22"/>
        </w:rPr>
      </w:pPr>
      <w:r>
        <w:rPr>
          <w:sz w:val="22"/>
          <w:szCs w:val="22"/>
        </w:rPr>
        <w:t>2. Podľa potreby posúdiť a liečiť ABC (dýchacie cesty [</w:t>
      </w:r>
      <w:r>
        <w:rPr>
          <w:i/>
          <w:iCs/>
          <w:sz w:val="22"/>
          <w:szCs w:val="22"/>
        </w:rPr>
        <w:t>airway</w:t>
      </w:r>
      <w:r>
        <w:rPr>
          <w:sz w:val="22"/>
          <w:szCs w:val="22"/>
        </w:rPr>
        <w:t>], dýchanie [</w:t>
      </w:r>
      <w:r>
        <w:rPr>
          <w:i/>
          <w:iCs/>
          <w:sz w:val="22"/>
          <w:szCs w:val="22"/>
        </w:rPr>
        <w:t>breathing</w:t>
      </w:r>
      <w:r>
        <w:rPr>
          <w:sz w:val="22"/>
          <w:szCs w:val="22"/>
        </w:rPr>
        <w:t>] a krvný obeh [</w:t>
      </w:r>
      <w:r>
        <w:rPr>
          <w:i/>
          <w:iCs/>
          <w:sz w:val="22"/>
          <w:szCs w:val="22"/>
        </w:rPr>
        <w:t>circulation</w:t>
      </w:r>
      <w:r>
        <w:rPr>
          <w:sz w:val="22"/>
          <w:szCs w:val="22"/>
        </w:rPr>
        <w:t xml:space="preserve">]). Zabezpečiť i.v. prístup. Pozorne sledovať, a to aj v zjavne nekomplikovaných prípadoch. </w:t>
      </w:r>
    </w:p>
    <w:p w14:paraId="2CBF3996" w14:textId="77777777" w:rsidR="007116E9" w:rsidRDefault="007116E9" w:rsidP="00E76742">
      <w:pPr>
        <w:pStyle w:val="Default"/>
        <w:ind w:left="284" w:hanging="284"/>
        <w:rPr>
          <w:sz w:val="22"/>
          <w:szCs w:val="22"/>
        </w:rPr>
      </w:pPr>
      <w:r>
        <w:rPr>
          <w:sz w:val="22"/>
          <w:szCs w:val="22"/>
        </w:rPr>
        <w:t>3. Preveriť klinické prejavy. Skontrolovať močovinu a elektrolyty – skontrolovať, či je nízka hladina draslíka a monitorovať vylučovanie moču. Skontrolovať plyny v arteriálnej krvi – skontrolovať výskyt acidózy. Vykonať EKG – skontrolovať, či QRS &gt; 0,16</w:t>
      </w:r>
      <w:r w:rsidR="003628D2">
        <w:rPr>
          <w:sz w:val="22"/>
          <w:szCs w:val="22"/>
        </w:rPr>
        <w:t> </w:t>
      </w:r>
      <w:r>
        <w:rPr>
          <w:sz w:val="22"/>
          <w:szCs w:val="22"/>
        </w:rPr>
        <w:t xml:space="preserve">sekúnd. </w:t>
      </w:r>
    </w:p>
    <w:p w14:paraId="3F10F148" w14:textId="77777777" w:rsidR="007116E9" w:rsidRDefault="007116E9" w:rsidP="00E76742">
      <w:pPr>
        <w:pStyle w:val="Default"/>
        <w:ind w:left="284" w:hanging="284"/>
        <w:rPr>
          <w:sz w:val="22"/>
          <w:szCs w:val="22"/>
        </w:rPr>
      </w:pPr>
      <w:r>
        <w:rPr>
          <w:sz w:val="22"/>
          <w:szCs w:val="22"/>
        </w:rPr>
        <w:t xml:space="preserve">4. Pri zmiešaných predávkovaniach nepodávať flumazenil na zvrátenie toxicity benzodiazepínov. </w:t>
      </w:r>
    </w:p>
    <w:p w14:paraId="08051D11" w14:textId="77777777" w:rsidR="007116E9" w:rsidRDefault="007116E9" w:rsidP="00E76742">
      <w:pPr>
        <w:pStyle w:val="Default"/>
        <w:ind w:left="284" w:hanging="284"/>
        <w:rPr>
          <w:sz w:val="22"/>
          <w:szCs w:val="22"/>
        </w:rPr>
      </w:pPr>
      <w:r>
        <w:rPr>
          <w:sz w:val="22"/>
          <w:szCs w:val="22"/>
        </w:rPr>
        <w:t xml:space="preserve">5. Pri potenciálne smrteľnom predávkovaní výplach žalúdka zvážiť len do jednej hodiny po predávkovaní. </w:t>
      </w:r>
    </w:p>
    <w:p w14:paraId="4738DAB6" w14:textId="77777777" w:rsidR="007116E9" w:rsidRDefault="007116E9" w:rsidP="00E76742">
      <w:pPr>
        <w:pStyle w:val="Default"/>
        <w:ind w:left="284" w:hanging="284"/>
        <w:rPr>
          <w:sz w:val="22"/>
          <w:szCs w:val="22"/>
        </w:rPr>
      </w:pPr>
      <w:r>
        <w:rPr>
          <w:sz w:val="22"/>
          <w:szCs w:val="22"/>
        </w:rPr>
        <w:t>6. Ak od užitia neprešla viac ako jedna hodina, podať 50</w:t>
      </w:r>
      <w:r w:rsidR="003628D2">
        <w:rPr>
          <w:sz w:val="22"/>
          <w:szCs w:val="22"/>
        </w:rPr>
        <w:t> </w:t>
      </w:r>
      <w:r>
        <w:rPr>
          <w:sz w:val="22"/>
          <w:szCs w:val="22"/>
        </w:rPr>
        <w:t xml:space="preserve">g živočíšneho uhlia. </w:t>
      </w:r>
    </w:p>
    <w:p w14:paraId="6B2B412C" w14:textId="77777777" w:rsidR="00CC3746" w:rsidRDefault="007116E9" w:rsidP="00E76742">
      <w:pPr>
        <w:pStyle w:val="Default"/>
        <w:ind w:left="284" w:hanging="284"/>
        <w:rPr>
          <w:sz w:val="22"/>
          <w:szCs w:val="22"/>
        </w:rPr>
      </w:pPr>
      <w:r>
        <w:rPr>
          <w:sz w:val="22"/>
          <w:szCs w:val="22"/>
        </w:rPr>
        <w:t>7. Priechodnosť dýchacích ciest sa v prípade potreby udržiava pomocou intubácie. Aby sa zabránilo možnému zastaveniu dýchania, odporúča sa liečba v respirátore. Pomocou EKG neustále 3 až 5</w:t>
      </w:r>
      <w:r w:rsidR="003628D2">
        <w:rPr>
          <w:sz w:val="22"/>
          <w:szCs w:val="22"/>
        </w:rPr>
        <w:t> </w:t>
      </w:r>
      <w:r>
        <w:rPr>
          <w:sz w:val="22"/>
          <w:szCs w:val="22"/>
        </w:rPr>
        <w:t>dní monitorovať srdcové funkcie. Na základe individuálneho stavu pacienta sa rozhodne o liečbe nasledovných stavov:</w:t>
      </w:r>
    </w:p>
    <w:p w14:paraId="757012A4" w14:textId="77777777" w:rsidR="007116E9" w:rsidRDefault="007116E9" w:rsidP="00E76742">
      <w:pPr>
        <w:pStyle w:val="Default"/>
        <w:numPr>
          <w:ilvl w:val="0"/>
          <w:numId w:val="51"/>
        </w:numPr>
        <w:rPr>
          <w:sz w:val="22"/>
          <w:szCs w:val="22"/>
        </w:rPr>
      </w:pPr>
      <w:r>
        <w:rPr>
          <w:sz w:val="22"/>
          <w:szCs w:val="22"/>
        </w:rPr>
        <w:t xml:space="preserve">široké QRS intervaly, zlyhávanie srdca a ventrikulárne arytmie, </w:t>
      </w:r>
    </w:p>
    <w:p w14:paraId="67881FE0" w14:textId="77777777" w:rsidR="007116E9" w:rsidRDefault="007116E9" w:rsidP="00E76742">
      <w:pPr>
        <w:pStyle w:val="Default"/>
        <w:numPr>
          <w:ilvl w:val="0"/>
          <w:numId w:val="51"/>
        </w:numPr>
        <w:rPr>
          <w:sz w:val="22"/>
          <w:szCs w:val="22"/>
        </w:rPr>
      </w:pPr>
      <w:r>
        <w:rPr>
          <w:sz w:val="22"/>
          <w:szCs w:val="22"/>
        </w:rPr>
        <w:t xml:space="preserve">obehové zlyhávanie, </w:t>
      </w:r>
    </w:p>
    <w:p w14:paraId="6C3BCFC8" w14:textId="77777777" w:rsidR="007116E9" w:rsidRDefault="007116E9" w:rsidP="00E76742">
      <w:pPr>
        <w:pStyle w:val="Default"/>
        <w:numPr>
          <w:ilvl w:val="0"/>
          <w:numId w:val="51"/>
        </w:numPr>
        <w:rPr>
          <w:sz w:val="22"/>
          <w:szCs w:val="22"/>
        </w:rPr>
      </w:pPr>
      <w:r>
        <w:rPr>
          <w:sz w:val="22"/>
          <w:szCs w:val="22"/>
        </w:rPr>
        <w:t xml:space="preserve">hypotenzia, </w:t>
      </w:r>
    </w:p>
    <w:p w14:paraId="4D9F0BB7" w14:textId="77777777" w:rsidR="007116E9" w:rsidRDefault="007116E9" w:rsidP="00E76742">
      <w:pPr>
        <w:pStyle w:val="Default"/>
        <w:numPr>
          <w:ilvl w:val="0"/>
          <w:numId w:val="51"/>
        </w:numPr>
        <w:rPr>
          <w:sz w:val="22"/>
          <w:szCs w:val="22"/>
        </w:rPr>
      </w:pPr>
      <w:r>
        <w:rPr>
          <w:sz w:val="22"/>
          <w:szCs w:val="22"/>
        </w:rPr>
        <w:t xml:space="preserve">hypertermia, </w:t>
      </w:r>
    </w:p>
    <w:p w14:paraId="69914039" w14:textId="77777777" w:rsidR="007116E9" w:rsidRDefault="007116E9" w:rsidP="00E76742">
      <w:pPr>
        <w:pStyle w:val="Default"/>
        <w:numPr>
          <w:ilvl w:val="0"/>
          <w:numId w:val="51"/>
        </w:numPr>
        <w:rPr>
          <w:sz w:val="22"/>
          <w:szCs w:val="22"/>
        </w:rPr>
      </w:pPr>
      <w:r>
        <w:rPr>
          <w:sz w:val="22"/>
          <w:szCs w:val="22"/>
        </w:rPr>
        <w:t xml:space="preserve">konvulzie, </w:t>
      </w:r>
    </w:p>
    <w:p w14:paraId="008B63B2" w14:textId="1730D8E5" w:rsidR="007116E9" w:rsidRPr="006A23CE" w:rsidRDefault="007116E9" w:rsidP="00E76742">
      <w:pPr>
        <w:pStyle w:val="Default"/>
        <w:numPr>
          <w:ilvl w:val="0"/>
          <w:numId w:val="51"/>
        </w:numPr>
        <w:rPr>
          <w:sz w:val="22"/>
          <w:szCs w:val="22"/>
        </w:rPr>
      </w:pPr>
      <w:r>
        <w:rPr>
          <w:sz w:val="22"/>
          <w:szCs w:val="22"/>
        </w:rPr>
        <w:t xml:space="preserve">metabolická acidóza. </w:t>
      </w:r>
    </w:p>
    <w:p w14:paraId="7E7C5869" w14:textId="77777777" w:rsidR="007116E9" w:rsidRDefault="007116E9" w:rsidP="00E76742">
      <w:pPr>
        <w:pStyle w:val="Default"/>
        <w:ind w:left="284" w:hanging="284"/>
        <w:rPr>
          <w:sz w:val="22"/>
          <w:szCs w:val="22"/>
        </w:rPr>
      </w:pPr>
      <w:r>
        <w:rPr>
          <w:sz w:val="22"/>
          <w:szCs w:val="22"/>
        </w:rPr>
        <w:t xml:space="preserve">8. Nepokoj a konvulzie možno liečiť diazepamom. </w:t>
      </w:r>
    </w:p>
    <w:p w14:paraId="0358AF8E" w14:textId="77777777" w:rsidR="007116E9" w:rsidRDefault="007116E9" w:rsidP="00E76742">
      <w:pPr>
        <w:pStyle w:val="Default"/>
        <w:ind w:left="284" w:hanging="284"/>
        <w:rPr>
          <w:sz w:val="22"/>
          <w:szCs w:val="22"/>
        </w:rPr>
      </w:pPr>
      <w:r>
        <w:rPr>
          <w:sz w:val="22"/>
          <w:szCs w:val="22"/>
        </w:rPr>
        <w:t>9. Pacienti, ktorí vykazujú prejavy toxicity majú byť sledovaní minimálne 12</w:t>
      </w:r>
      <w:r w:rsidR="003628D2">
        <w:rPr>
          <w:sz w:val="22"/>
          <w:szCs w:val="22"/>
        </w:rPr>
        <w:t> </w:t>
      </w:r>
      <w:r>
        <w:rPr>
          <w:sz w:val="22"/>
          <w:szCs w:val="22"/>
        </w:rPr>
        <w:t xml:space="preserve">hodín. </w:t>
      </w:r>
    </w:p>
    <w:p w14:paraId="7C539FE4" w14:textId="77777777" w:rsidR="007116E9" w:rsidRDefault="007116E9" w:rsidP="00E76742">
      <w:pPr>
        <w:pStyle w:val="Default"/>
        <w:ind w:left="284" w:hanging="284"/>
        <w:rPr>
          <w:sz w:val="22"/>
          <w:szCs w:val="22"/>
        </w:rPr>
      </w:pPr>
      <w:r>
        <w:rPr>
          <w:sz w:val="22"/>
          <w:szCs w:val="22"/>
        </w:rPr>
        <w:t xml:space="preserve">10. Ak bol pacient dlhší čas v bezvedomí, má sa monitorovať na rabdomyolýzu. </w:t>
      </w:r>
    </w:p>
    <w:p w14:paraId="2F29EEB5" w14:textId="47FD953E" w:rsidR="007116E9" w:rsidRDefault="007116E9" w:rsidP="00E76742">
      <w:pPr>
        <w:pStyle w:val="Default"/>
        <w:ind w:left="284" w:hanging="284"/>
        <w:rPr>
          <w:sz w:val="22"/>
          <w:szCs w:val="22"/>
        </w:rPr>
      </w:pPr>
      <w:r>
        <w:rPr>
          <w:sz w:val="22"/>
          <w:szCs w:val="22"/>
        </w:rPr>
        <w:t>11. Vzhľadom k tomu, predávkovanie je často úmyselné, pacienti sa môžu počas fázy zotavovania pokúsiť o samovraždu inými prostriedkami. U tejto skupiny liekov sa vyskytlo úm</w:t>
      </w:r>
      <w:r w:rsidR="00093314">
        <w:rPr>
          <w:sz w:val="22"/>
          <w:szCs w:val="22"/>
        </w:rPr>
        <w:t>r</w:t>
      </w:r>
      <w:r>
        <w:rPr>
          <w:sz w:val="22"/>
          <w:szCs w:val="22"/>
        </w:rPr>
        <w:t>tie, ako dôsledok úmyselného alebo náhodného predávkovani</w:t>
      </w:r>
      <w:r w:rsidR="006A23CE">
        <w:rPr>
          <w:sz w:val="22"/>
          <w:szCs w:val="22"/>
        </w:rPr>
        <w:t>a</w:t>
      </w:r>
      <w:r>
        <w:rPr>
          <w:sz w:val="22"/>
          <w:szCs w:val="22"/>
        </w:rPr>
        <w:t xml:space="preserve">. </w:t>
      </w:r>
    </w:p>
    <w:p w14:paraId="0B934039" w14:textId="77777777" w:rsidR="00A03627" w:rsidRDefault="00A03627" w:rsidP="00065CF8">
      <w:pPr>
        <w:rPr>
          <w:szCs w:val="22"/>
        </w:rPr>
      </w:pPr>
    </w:p>
    <w:p w14:paraId="2B1392B7" w14:textId="77777777" w:rsidR="00A03627" w:rsidRDefault="00A03627" w:rsidP="00065CF8">
      <w:pPr>
        <w:rPr>
          <w:szCs w:val="22"/>
        </w:rPr>
      </w:pPr>
    </w:p>
    <w:p w14:paraId="28F03F50" w14:textId="77777777" w:rsidR="00A03627" w:rsidRDefault="00AA6297" w:rsidP="00065CF8">
      <w:pPr>
        <w:rPr>
          <w:szCs w:val="22"/>
        </w:rPr>
      </w:pPr>
      <w:r w:rsidRPr="00C40770">
        <w:rPr>
          <w:b/>
          <w:szCs w:val="22"/>
        </w:rPr>
        <w:t>5.</w:t>
      </w:r>
      <w:r w:rsidRPr="00C40770">
        <w:rPr>
          <w:b/>
          <w:szCs w:val="22"/>
        </w:rPr>
        <w:tab/>
        <w:t>FARMAKOLOGICKÉ VLASTNOSTI</w:t>
      </w:r>
    </w:p>
    <w:p w14:paraId="23B9A8D2" w14:textId="77777777" w:rsidR="00A03627" w:rsidRDefault="00A03627" w:rsidP="00065CF8">
      <w:pPr>
        <w:rPr>
          <w:bCs/>
          <w:szCs w:val="22"/>
        </w:rPr>
      </w:pPr>
    </w:p>
    <w:p w14:paraId="248E4214" w14:textId="77777777" w:rsidR="00A03627" w:rsidRDefault="00AA6297" w:rsidP="00065CF8">
      <w:pPr>
        <w:rPr>
          <w:szCs w:val="22"/>
        </w:rPr>
      </w:pPr>
      <w:r w:rsidRPr="00C40770">
        <w:rPr>
          <w:b/>
          <w:szCs w:val="22"/>
        </w:rPr>
        <w:t>5.1</w:t>
      </w:r>
      <w:r w:rsidRPr="00C40770">
        <w:rPr>
          <w:b/>
          <w:szCs w:val="22"/>
        </w:rPr>
        <w:tab/>
        <w:t>Farmakodynamické vlastnosti</w:t>
      </w:r>
    </w:p>
    <w:p w14:paraId="0089BF2E" w14:textId="77777777" w:rsidR="00A03627" w:rsidRDefault="00A03627" w:rsidP="00065CF8">
      <w:pPr>
        <w:rPr>
          <w:szCs w:val="22"/>
        </w:rPr>
      </w:pPr>
    </w:p>
    <w:p w14:paraId="3F77E6E2" w14:textId="139EDBD4" w:rsidR="00CC3746" w:rsidRDefault="00AA6297" w:rsidP="00E76742">
      <w:pPr>
        <w:ind w:left="0" w:firstLine="0"/>
        <w:outlineLvl w:val="0"/>
        <w:rPr>
          <w:szCs w:val="22"/>
        </w:rPr>
      </w:pPr>
      <w:r w:rsidRPr="00C40770">
        <w:rPr>
          <w:szCs w:val="22"/>
          <w:lang w:val="cs-CZ"/>
        </w:rPr>
        <w:t>Farmakoterapeutická skupina</w:t>
      </w:r>
      <w:r w:rsidRPr="00C40770">
        <w:rPr>
          <w:szCs w:val="22"/>
        </w:rPr>
        <w:t xml:space="preserve">: </w:t>
      </w:r>
      <w:r w:rsidR="00CC3746">
        <w:rPr>
          <w:szCs w:val="22"/>
        </w:rPr>
        <w:t>antidepresíva – neselektívny inhibítor spätného vychytávania monoamínov (tricyklické antidepresívum)</w:t>
      </w:r>
    </w:p>
    <w:p w14:paraId="75E13528" w14:textId="77777777" w:rsidR="00A03627" w:rsidRDefault="00AA6297" w:rsidP="00065CF8">
      <w:pPr>
        <w:outlineLvl w:val="0"/>
        <w:rPr>
          <w:szCs w:val="22"/>
        </w:rPr>
      </w:pPr>
      <w:r w:rsidRPr="00C40770">
        <w:rPr>
          <w:szCs w:val="22"/>
          <w:lang w:val="cs-CZ"/>
        </w:rPr>
        <w:t>ATC kód</w:t>
      </w:r>
      <w:r w:rsidRPr="00C40770">
        <w:rPr>
          <w:szCs w:val="22"/>
        </w:rPr>
        <w:t xml:space="preserve">: </w:t>
      </w:r>
      <w:r w:rsidR="00121BDB" w:rsidRPr="00C40770">
        <w:rPr>
          <w:szCs w:val="22"/>
        </w:rPr>
        <w:t>N06AA09</w:t>
      </w:r>
    </w:p>
    <w:p w14:paraId="5BC128A7" w14:textId="77777777" w:rsidR="00A03627" w:rsidRDefault="00A03627" w:rsidP="00065CF8">
      <w:pPr>
        <w:rPr>
          <w:szCs w:val="22"/>
        </w:rPr>
      </w:pPr>
    </w:p>
    <w:p w14:paraId="1C4188E1" w14:textId="77777777" w:rsidR="00A03627" w:rsidRDefault="00121BDB" w:rsidP="00065CF8">
      <w:pPr>
        <w:ind w:left="0" w:firstLine="0"/>
        <w:rPr>
          <w:szCs w:val="22"/>
          <w:u w:val="single"/>
        </w:rPr>
      </w:pPr>
      <w:r w:rsidRPr="00C40770">
        <w:rPr>
          <w:szCs w:val="22"/>
          <w:u w:val="single"/>
        </w:rPr>
        <w:t>Mechanizmus účinku</w:t>
      </w:r>
    </w:p>
    <w:p w14:paraId="192CDD08" w14:textId="77777777" w:rsidR="00CC3746" w:rsidRDefault="00CC3746" w:rsidP="00065CF8">
      <w:pPr>
        <w:ind w:left="0" w:firstLine="0"/>
        <w:rPr>
          <w:szCs w:val="22"/>
        </w:rPr>
      </w:pPr>
    </w:p>
    <w:p w14:paraId="692845B5" w14:textId="77777777" w:rsidR="00E06B68" w:rsidRDefault="00E06B68" w:rsidP="00E06B68">
      <w:pPr>
        <w:pStyle w:val="Default"/>
        <w:rPr>
          <w:sz w:val="22"/>
          <w:szCs w:val="22"/>
        </w:rPr>
      </w:pPr>
      <w:r>
        <w:rPr>
          <w:sz w:val="22"/>
          <w:szCs w:val="22"/>
        </w:rPr>
        <w:t xml:space="preserve">Amitriptylín je tricyklické antidepresívum a analgetikum. Má výrazné anticholinergné a sedatívne vlastnosti. Bráni spätnému vychytávaniu, a tým aj inaktivácii noradrenalínu a sérotonínu na nervových zakončeniach. Zabránením spätnému vychytávaniu týchto monoamínových neurotranzmiterov sa zosilňuje ich účinok v mozgu. Zdá sa, že to má súvis s antidepresívnou aktivitou. </w:t>
      </w:r>
    </w:p>
    <w:p w14:paraId="49072DBC" w14:textId="77777777" w:rsidR="00E06B68" w:rsidRDefault="00E06B68" w:rsidP="00E06B68">
      <w:pPr>
        <w:pStyle w:val="Default"/>
        <w:rPr>
          <w:sz w:val="22"/>
          <w:szCs w:val="22"/>
        </w:rPr>
      </w:pPr>
    </w:p>
    <w:p w14:paraId="33725E3D" w14:textId="77777777" w:rsidR="00E06B68" w:rsidRDefault="00E06B68" w:rsidP="00E06B68">
      <w:pPr>
        <w:pStyle w:val="Default"/>
        <w:rPr>
          <w:sz w:val="22"/>
          <w:szCs w:val="22"/>
        </w:rPr>
      </w:pPr>
      <w:r>
        <w:rPr>
          <w:sz w:val="22"/>
          <w:szCs w:val="22"/>
        </w:rPr>
        <w:t xml:space="preserve">Mechanizmus účinku takisto zahŕňa účinky blokujúce sodíkové, draslíkové a NMDA iónové kanály na centrálnej úrovni aj na úrovni miechy. Účinky na noradrenalín, sodík a receptor NMDA sú mechanizmy, o ktorých je známe, že sa podieľajú na udržiavaní neuropatickej bolesti, profylaxii chronickej bolesti hlavy tenzného typu a profylaxii migrény. Analgetický účinok amitriptylínu nie je spojený s jeho antidepresívnymi vlastnosťami. </w:t>
      </w:r>
    </w:p>
    <w:p w14:paraId="459614F0" w14:textId="77777777" w:rsidR="00E06B68" w:rsidRDefault="00E06B68" w:rsidP="00E76742">
      <w:pPr>
        <w:pStyle w:val="Default"/>
        <w:rPr>
          <w:sz w:val="22"/>
          <w:szCs w:val="22"/>
        </w:rPr>
      </w:pPr>
    </w:p>
    <w:p w14:paraId="29AE1FAB" w14:textId="77777777" w:rsidR="00E06B68" w:rsidRDefault="00E06B68" w:rsidP="00E76742">
      <w:pPr>
        <w:pStyle w:val="Default"/>
        <w:rPr>
          <w:sz w:val="22"/>
          <w:szCs w:val="22"/>
        </w:rPr>
      </w:pPr>
      <w:r>
        <w:rPr>
          <w:sz w:val="22"/>
          <w:szCs w:val="22"/>
        </w:rPr>
        <w:t>Tricyklické antidepresíva majú v rôznej miere afinitu k muskarínovým receptorom a histamínovým receptorom H1.</w:t>
      </w:r>
    </w:p>
    <w:p w14:paraId="1801ACDA" w14:textId="77777777" w:rsidR="00E06B68" w:rsidRDefault="00E06B68" w:rsidP="00E76742">
      <w:pPr>
        <w:pStyle w:val="Default"/>
        <w:rPr>
          <w:rFonts w:ascii="Arial" w:hAnsi="Arial" w:cs="Arial"/>
          <w:sz w:val="16"/>
          <w:szCs w:val="16"/>
        </w:rPr>
      </w:pPr>
    </w:p>
    <w:p w14:paraId="1350F6D9" w14:textId="77777777" w:rsidR="00E06B68" w:rsidRDefault="00E06B68" w:rsidP="00E06B68">
      <w:pPr>
        <w:pStyle w:val="Default"/>
        <w:rPr>
          <w:sz w:val="16"/>
          <w:szCs w:val="16"/>
        </w:rPr>
      </w:pPr>
      <w:r>
        <w:rPr>
          <w:sz w:val="22"/>
          <w:szCs w:val="22"/>
          <w:u w:val="single"/>
        </w:rPr>
        <w:t xml:space="preserve">Klinická účinnosť a bezpečnosť </w:t>
      </w:r>
    </w:p>
    <w:p w14:paraId="241A9988" w14:textId="77777777" w:rsidR="00E06B68" w:rsidRDefault="00E06B68" w:rsidP="00E06B68">
      <w:pPr>
        <w:pStyle w:val="Default"/>
        <w:rPr>
          <w:sz w:val="22"/>
          <w:szCs w:val="22"/>
        </w:rPr>
      </w:pPr>
    </w:p>
    <w:p w14:paraId="2B80C0D0" w14:textId="77777777" w:rsidR="00E06B68" w:rsidRDefault="00E06B68" w:rsidP="00E06B68">
      <w:pPr>
        <w:pStyle w:val="Default"/>
        <w:rPr>
          <w:sz w:val="22"/>
          <w:szCs w:val="22"/>
        </w:rPr>
      </w:pPr>
      <w:r>
        <w:rPr>
          <w:sz w:val="22"/>
          <w:szCs w:val="22"/>
        </w:rPr>
        <w:t xml:space="preserve">Účinnosť a bezpečnosť amitriptylínu bola preukázaná u dospelých pri liečbe týchto indikácií: </w:t>
      </w:r>
    </w:p>
    <w:p w14:paraId="0571AD34" w14:textId="77777777" w:rsidR="00E06B68" w:rsidRDefault="00E06B68" w:rsidP="00E76742">
      <w:pPr>
        <w:pStyle w:val="Default"/>
        <w:numPr>
          <w:ilvl w:val="0"/>
          <w:numId w:val="52"/>
        </w:numPr>
        <w:rPr>
          <w:sz w:val="22"/>
          <w:szCs w:val="22"/>
        </w:rPr>
      </w:pPr>
      <w:r>
        <w:rPr>
          <w:sz w:val="22"/>
          <w:szCs w:val="22"/>
        </w:rPr>
        <w:t xml:space="preserve">veľká depresívna porucha, </w:t>
      </w:r>
    </w:p>
    <w:p w14:paraId="750E5BDC" w14:textId="77777777" w:rsidR="00E06B68" w:rsidRDefault="00E06B68" w:rsidP="00E76742">
      <w:pPr>
        <w:pStyle w:val="Default"/>
        <w:numPr>
          <w:ilvl w:val="0"/>
          <w:numId w:val="52"/>
        </w:numPr>
        <w:rPr>
          <w:sz w:val="22"/>
          <w:szCs w:val="22"/>
        </w:rPr>
      </w:pPr>
      <w:r>
        <w:rPr>
          <w:sz w:val="22"/>
          <w:szCs w:val="22"/>
        </w:rPr>
        <w:t xml:space="preserve">neuropatická bolesť, </w:t>
      </w:r>
    </w:p>
    <w:p w14:paraId="42E6FB10" w14:textId="77777777" w:rsidR="00E06B68" w:rsidRDefault="00E06B68" w:rsidP="00E76742">
      <w:pPr>
        <w:pStyle w:val="Default"/>
        <w:numPr>
          <w:ilvl w:val="0"/>
          <w:numId w:val="52"/>
        </w:numPr>
        <w:rPr>
          <w:sz w:val="22"/>
          <w:szCs w:val="22"/>
        </w:rPr>
      </w:pPr>
      <w:r>
        <w:rPr>
          <w:sz w:val="22"/>
          <w:szCs w:val="22"/>
        </w:rPr>
        <w:t xml:space="preserve">profylaxia chronickej bolesti hlavy tenzného typu, </w:t>
      </w:r>
    </w:p>
    <w:p w14:paraId="323A5D45" w14:textId="77777777" w:rsidR="00E06B68" w:rsidRDefault="00E06B68" w:rsidP="00E76742">
      <w:pPr>
        <w:pStyle w:val="Default"/>
        <w:numPr>
          <w:ilvl w:val="0"/>
          <w:numId w:val="52"/>
        </w:numPr>
        <w:rPr>
          <w:sz w:val="22"/>
          <w:szCs w:val="22"/>
        </w:rPr>
      </w:pPr>
      <w:r>
        <w:rPr>
          <w:sz w:val="22"/>
          <w:szCs w:val="22"/>
        </w:rPr>
        <w:t xml:space="preserve">profylaxia migrény. </w:t>
      </w:r>
    </w:p>
    <w:p w14:paraId="0418EC59" w14:textId="77777777" w:rsidR="00E06B68" w:rsidRDefault="00E06B68" w:rsidP="00E06B68">
      <w:pPr>
        <w:pStyle w:val="Default"/>
        <w:rPr>
          <w:sz w:val="22"/>
          <w:szCs w:val="22"/>
        </w:rPr>
      </w:pPr>
    </w:p>
    <w:p w14:paraId="4B2FC25C" w14:textId="77777777" w:rsidR="00E06B68" w:rsidRDefault="00E06B68" w:rsidP="00E06B68">
      <w:pPr>
        <w:pStyle w:val="Default"/>
        <w:rPr>
          <w:sz w:val="22"/>
          <w:szCs w:val="22"/>
        </w:rPr>
      </w:pPr>
      <w:r>
        <w:rPr>
          <w:sz w:val="22"/>
          <w:szCs w:val="22"/>
        </w:rPr>
        <w:t xml:space="preserve">Účinnosť a bezpečnosť amitriptylínu bola preukázaná pri liečbe nočnej enurézy u detí vo veku 6 rokov a starších (pozri časť 4.1). </w:t>
      </w:r>
    </w:p>
    <w:p w14:paraId="02402DD3" w14:textId="77777777" w:rsidR="00E06B68" w:rsidRDefault="00E06B68" w:rsidP="00E06B68">
      <w:pPr>
        <w:pStyle w:val="Default"/>
        <w:rPr>
          <w:sz w:val="22"/>
          <w:szCs w:val="22"/>
        </w:rPr>
      </w:pPr>
    </w:p>
    <w:p w14:paraId="732AA86E" w14:textId="77777777" w:rsidR="00E06B68" w:rsidRDefault="00E06B68" w:rsidP="00E06B68">
      <w:pPr>
        <w:pStyle w:val="Default"/>
        <w:rPr>
          <w:sz w:val="22"/>
          <w:szCs w:val="22"/>
        </w:rPr>
      </w:pPr>
      <w:r>
        <w:rPr>
          <w:sz w:val="22"/>
          <w:szCs w:val="22"/>
        </w:rPr>
        <w:t>Odporúčané dávky sú uvedené v časti 4.2. Pri liečbe depresie boli u ťažko depresívnych pacientov v</w:t>
      </w:r>
      <w:r w:rsidR="003628D2">
        <w:rPr>
          <w:sz w:val="22"/>
          <w:szCs w:val="22"/>
        </w:rPr>
        <w:t> </w:t>
      </w:r>
      <w:r>
        <w:rPr>
          <w:sz w:val="22"/>
          <w:szCs w:val="22"/>
        </w:rPr>
        <w:t>nemocnici použité dávky do 200</w:t>
      </w:r>
      <w:r w:rsidR="003628D2">
        <w:rPr>
          <w:sz w:val="22"/>
          <w:szCs w:val="22"/>
        </w:rPr>
        <w:t> </w:t>
      </w:r>
      <w:r>
        <w:rPr>
          <w:sz w:val="22"/>
          <w:szCs w:val="22"/>
        </w:rPr>
        <w:t>mg denne a niekedy do 300</w:t>
      </w:r>
      <w:r w:rsidR="003628D2">
        <w:rPr>
          <w:sz w:val="22"/>
          <w:szCs w:val="22"/>
        </w:rPr>
        <w:t> </w:t>
      </w:r>
      <w:r>
        <w:rPr>
          <w:sz w:val="22"/>
          <w:szCs w:val="22"/>
        </w:rPr>
        <w:t xml:space="preserve">mg denne. </w:t>
      </w:r>
    </w:p>
    <w:p w14:paraId="468C6751" w14:textId="77777777" w:rsidR="00E06B68" w:rsidRDefault="00E06B68" w:rsidP="00E06B68">
      <w:pPr>
        <w:pStyle w:val="Default"/>
        <w:rPr>
          <w:sz w:val="22"/>
          <w:szCs w:val="22"/>
        </w:rPr>
      </w:pPr>
    </w:p>
    <w:p w14:paraId="136479CD" w14:textId="77777777" w:rsidR="00E06B68" w:rsidRDefault="00E06B68" w:rsidP="00E06B68">
      <w:pPr>
        <w:pStyle w:val="Default"/>
        <w:rPr>
          <w:sz w:val="22"/>
          <w:szCs w:val="22"/>
        </w:rPr>
      </w:pPr>
      <w:r>
        <w:rPr>
          <w:sz w:val="22"/>
          <w:szCs w:val="22"/>
        </w:rPr>
        <w:t>Antidepresívne a analgetické účinky sa zvyčajne dostavia po 2</w:t>
      </w:r>
      <w:r w:rsidR="006A23CE">
        <w:rPr>
          <w:sz w:val="22"/>
          <w:szCs w:val="22"/>
        </w:rPr>
        <w:t xml:space="preserve"> </w:t>
      </w:r>
      <w:r>
        <w:rPr>
          <w:sz w:val="22"/>
          <w:szCs w:val="22"/>
        </w:rPr>
        <w:t>–</w:t>
      </w:r>
      <w:r w:rsidR="006A23CE">
        <w:rPr>
          <w:sz w:val="22"/>
          <w:szCs w:val="22"/>
        </w:rPr>
        <w:t xml:space="preserve"> </w:t>
      </w:r>
      <w:r>
        <w:rPr>
          <w:sz w:val="22"/>
          <w:szCs w:val="22"/>
        </w:rPr>
        <w:t xml:space="preserve">4 týždňoch, pričom sedatívny účinok nie je oneskorený. </w:t>
      </w:r>
    </w:p>
    <w:p w14:paraId="10A16C1E" w14:textId="77777777" w:rsidR="00E06B68" w:rsidRDefault="00E06B68" w:rsidP="00E06B68">
      <w:pPr>
        <w:ind w:left="0" w:firstLine="0"/>
        <w:rPr>
          <w:szCs w:val="22"/>
        </w:rPr>
      </w:pPr>
    </w:p>
    <w:p w14:paraId="1BBD68AF" w14:textId="0872F9ED" w:rsidR="00A03627" w:rsidRDefault="00E06B68" w:rsidP="00E06B68">
      <w:pPr>
        <w:ind w:left="0" w:firstLine="0"/>
        <w:rPr>
          <w:szCs w:val="22"/>
        </w:rPr>
      </w:pPr>
      <w:r>
        <w:rPr>
          <w:szCs w:val="22"/>
        </w:rPr>
        <w:t>Čo sa týka prevencie chronickej bolesti hlavy tenzného typu a profylaxie migrény, v literatúre sú dostupné údaje o dlhodobej bezpečnosti v detskej populácii.</w:t>
      </w:r>
    </w:p>
    <w:p w14:paraId="4C65B460" w14:textId="77777777" w:rsidR="00A03627" w:rsidRDefault="00A03627" w:rsidP="00065CF8">
      <w:pPr>
        <w:rPr>
          <w:szCs w:val="22"/>
        </w:rPr>
      </w:pPr>
    </w:p>
    <w:p w14:paraId="74C5A68E" w14:textId="77777777" w:rsidR="00A03627" w:rsidRDefault="00AA6297" w:rsidP="00065CF8">
      <w:pPr>
        <w:rPr>
          <w:b/>
          <w:szCs w:val="22"/>
        </w:rPr>
      </w:pPr>
      <w:r w:rsidRPr="00C40770">
        <w:rPr>
          <w:b/>
          <w:szCs w:val="22"/>
        </w:rPr>
        <w:t>5.2</w:t>
      </w:r>
      <w:r w:rsidRPr="00C40770">
        <w:rPr>
          <w:b/>
          <w:szCs w:val="22"/>
        </w:rPr>
        <w:tab/>
        <w:t>Farmakokinetické vlastnosti</w:t>
      </w:r>
    </w:p>
    <w:p w14:paraId="5D939410" w14:textId="77777777" w:rsidR="00A03627" w:rsidRDefault="00A03627" w:rsidP="00065CF8">
      <w:pPr>
        <w:rPr>
          <w:szCs w:val="22"/>
        </w:rPr>
      </w:pPr>
    </w:p>
    <w:p w14:paraId="01A41B09" w14:textId="77777777" w:rsidR="00E06B68" w:rsidRDefault="00E06B68" w:rsidP="00E06B68">
      <w:pPr>
        <w:pStyle w:val="Default"/>
        <w:ind w:right="-2"/>
      </w:pPr>
      <w:r>
        <w:rPr>
          <w:sz w:val="22"/>
          <w:szCs w:val="22"/>
          <w:u w:val="single"/>
        </w:rPr>
        <w:t xml:space="preserve">Absorpcia </w:t>
      </w:r>
    </w:p>
    <w:p w14:paraId="5CE290A0" w14:textId="77777777" w:rsidR="00E06B68" w:rsidRDefault="00E06B68" w:rsidP="00E06B68">
      <w:pPr>
        <w:ind w:left="0" w:firstLine="0"/>
        <w:rPr>
          <w:i/>
          <w:iCs/>
          <w:szCs w:val="22"/>
        </w:rPr>
      </w:pPr>
    </w:p>
    <w:p w14:paraId="7AD3324F" w14:textId="77777777" w:rsidR="003628D2" w:rsidRDefault="00E06B68">
      <w:pPr>
        <w:ind w:left="0" w:firstLine="0"/>
        <w:rPr>
          <w:szCs w:val="22"/>
        </w:rPr>
      </w:pPr>
      <w:r>
        <w:rPr>
          <w:szCs w:val="22"/>
        </w:rPr>
        <w:t>Pri perorálnom podaní tabliet sa dosiahne maximálna hladina v sére približne o 4 hodiny (t</w:t>
      </w:r>
      <w:r>
        <w:rPr>
          <w:position w:val="-8"/>
          <w:sz w:val="14"/>
          <w:szCs w:val="14"/>
          <w:vertAlign w:val="subscript"/>
        </w:rPr>
        <w:t>max</w:t>
      </w:r>
      <w:r w:rsidR="003628D2">
        <w:rPr>
          <w:position w:val="-8"/>
          <w:sz w:val="14"/>
          <w:szCs w:val="14"/>
          <w:vertAlign w:val="subscript"/>
        </w:rPr>
        <w:t> </w:t>
      </w:r>
      <w:r>
        <w:rPr>
          <w:szCs w:val="22"/>
        </w:rPr>
        <w:t>=</w:t>
      </w:r>
      <w:r w:rsidR="003628D2">
        <w:rPr>
          <w:szCs w:val="22"/>
        </w:rPr>
        <w:t> </w:t>
      </w:r>
      <w:r>
        <w:rPr>
          <w:szCs w:val="22"/>
        </w:rPr>
        <w:t>3,89</w:t>
      </w:r>
      <w:r w:rsidR="003628D2">
        <w:rPr>
          <w:szCs w:val="22"/>
        </w:rPr>
        <w:t> </w:t>
      </w:r>
      <w:r>
        <w:rPr>
          <w:szCs w:val="22"/>
        </w:rPr>
        <w:t>±</w:t>
      </w:r>
      <w:r w:rsidR="003628D2">
        <w:rPr>
          <w:szCs w:val="22"/>
        </w:rPr>
        <w:t> </w:t>
      </w:r>
      <w:r>
        <w:rPr>
          <w:szCs w:val="22"/>
        </w:rPr>
        <w:t>1,87</w:t>
      </w:r>
      <w:r w:rsidR="003628D2">
        <w:rPr>
          <w:szCs w:val="22"/>
        </w:rPr>
        <w:t> </w:t>
      </w:r>
      <w:r>
        <w:rPr>
          <w:szCs w:val="22"/>
        </w:rPr>
        <w:t>hodiny; rozsah 1,93</w:t>
      </w:r>
      <w:r w:rsidR="003628D2">
        <w:rPr>
          <w:szCs w:val="22"/>
        </w:rPr>
        <w:t> </w:t>
      </w:r>
      <w:r>
        <w:rPr>
          <w:szCs w:val="22"/>
        </w:rPr>
        <w:t>–</w:t>
      </w:r>
      <w:r w:rsidR="003628D2">
        <w:rPr>
          <w:szCs w:val="22"/>
        </w:rPr>
        <w:t> </w:t>
      </w:r>
      <w:r>
        <w:rPr>
          <w:szCs w:val="22"/>
        </w:rPr>
        <w:t>7,98</w:t>
      </w:r>
      <w:r w:rsidR="003628D2">
        <w:rPr>
          <w:szCs w:val="22"/>
        </w:rPr>
        <w:t> </w:t>
      </w:r>
      <w:r>
        <w:rPr>
          <w:szCs w:val="22"/>
        </w:rPr>
        <w:t>hodín). Po perorálnom podaní 50</w:t>
      </w:r>
      <w:r w:rsidR="003628D2">
        <w:rPr>
          <w:szCs w:val="22"/>
        </w:rPr>
        <w:t> </w:t>
      </w:r>
      <w:r>
        <w:rPr>
          <w:szCs w:val="22"/>
        </w:rPr>
        <w:t>mg, priemerná hodnota C</w:t>
      </w:r>
      <w:r>
        <w:rPr>
          <w:position w:val="-8"/>
          <w:sz w:val="14"/>
          <w:szCs w:val="14"/>
          <w:vertAlign w:val="subscript"/>
        </w:rPr>
        <w:t>max</w:t>
      </w:r>
      <w:r w:rsidR="003628D2">
        <w:rPr>
          <w:position w:val="-8"/>
          <w:sz w:val="14"/>
          <w:szCs w:val="14"/>
          <w:vertAlign w:val="subscript"/>
        </w:rPr>
        <w:t> </w:t>
      </w:r>
      <w:r>
        <w:rPr>
          <w:szCs w:val="22"/>
        </w:rPr>
        <w:t>=</w:t>
      </w:r>
      <w:r w:rsidR="003628D2">
        <w:rPr>
          <w:szCs w:val="22"/>
        </w:rPr>
        <w:t> </w:t>
      </w:r>
      <w:r>
        <w:rPr>
          <w:szCs w:val="22"/>
        </w:rPr>
        <w:t>30,95</w:t>
      </w:r>
      <w:r w:rsidR="003628D2">
        <w:rPr>
          <w:szCs w:val="22"/>
        </w:rPr>
        <w:t> </w:t>
      </w:r>
      <w:r>
        <w:rPr>
          <w:szCs w:val="22"/>
        </w:rPr>
        <w:t>±</w:t>
      </w:r>
      <w:r w:rsidR="003628D2">
        <w:rPr>
          <w:szCs w:val="22"/>
        </w:rPr>
        <w:t> </w:t>
      </w:r>
      <w:r>
        <w:rPr>
          <w:szCs w:val="22"/>
        </w:rPr>
        <w:t>9,61</w:t>
      </w:r>
      <w:r w:rsidR="003628D2">
        <w:rPr>
          <w:szCs w:val="22"/>
        </w:rPr>
        <w:t> </w:t>
      </w:r>
      <w:r>
        <w:rPr>
          <w:szCs w:val="22"/>
        </w:rPr>
        <w:t>ng/ml; rozsah 10,85</w:t>
      </w:r>
      <w:r w:rsidR="003628D2">
        <w:rPr>
          <w:szCs w:val="22"/>
        </w:rPr>
        <w:t> </w:t>
      </w:r>
      <w:r>
        <w:rPr>
          <w:szCs w:val="22"/>
        </w:rPr>
        <w:t>-</w:t>
      </w:r>
      <w:r w:rsidR="003628D2">
        <w:rPr>
          <w:szCs w:val="22"/>
        </w:rPr>
        <w:t> </w:t>
      </w:r>
      <w:r>
        <w:rPr>
          <w:szCs w:val="22"/>
        </w:rPr>
        <w:t>45,70</w:t>
      </w:r>
      <w:r w:rsidR="003628D2">
        <w:rPr>
          <w:szCs w:val="22"/>
        </w:rPr>
        <w:t> </w:t>
      </w:r>
      <w:r>
        <w:rPr>
          <w:szCs w:val="22"/>
        </w:rPr>
        <w:t>ng/ml (111,57</w:t>
      </w:r>
      <w:r w:rsidR="003628D2">
        <w:rPr>
          <w:szCs w:val="22"/>
        </w:rPr>
        <w:t> </w:t>
      </w:r>
      <w:r>
        <w:rPr>
          <w:szCs w:val="22"/>
        </w:rPr>
        <w:t>±</w:t>
      </w:r>
      <w:r w:rsidR="003628D2">
        <w:rPr>
          <w:szCs w:val="22"/>
        </w:rPr>
        <w:t> </w:t>
      </w:r>
      <w:r>
        <w:rPr>
          <w:szCs w:val="22"/>
        </w:rPr>
        <w:t>34,64</w:t>
      </w:r>
      <w:r w:rsidR="003628D2">
        <w:rPr>
          <w:szCs w:val="22"/>
        </w:rPr>
        <w:t> </w:t>
      </w:r>
      <w:r>
        <w:rPr>
          <w:szCs w:val="22"/>
        </w:rPr>
        <w:t xml:space="preserve">nmol/l; </w:t>
      </w:r>
    </w:p>
    <w:p w14:paraId="4D1FCACE" w14:textId="2BAD4C19" w:rsidR="00A03627" w:rsidRDefault="00E06B68">
      <w:pPr>
        <w:ind w:left="0" w:firstLine="0"/>
        <w:rPr>
          <w:szCs w:val="22"/>
        </w:rPr>
      </w:pPr>
      <w:r>
        <w:rPr>
          <w:szCs w:val="22"/>
        </w:rPr>
        <w:t>rozsah 39,06</w:t>
      </w:r>
      <w:r w:rsidR="003628D2">
        <w:rPr>
          <w:szCs w:val="22"/>
        </w:rPr>
        <w:t> </w:t>
      </w:r>
      <w:r>
        <w:rPr>
          <w:szCs w:val="22"/>
        </w:rPr>
        <w:t>–</w:t>
      </w:r>
      <w:r w:rsidR="003628D2">
        <w:rPr>
          <w:szCs w:val="22"/>
        </w:rPr>
        <w:t> </w:t>
      </w:r>
      <w:r>
        <w:rPr>
          <w:szCs w:val="22"/>
        </w:rPr>
        <w:t>164,52</w:t>
      </w:r>
      <w:r w:rsidR="003628D2">
        <w:rPr>
          <w:szCs w:val="22"/>
        </w:rPr>
        <w:t> </w:t>
      </w:r>
      <w:r>
        <w:rPr>
          <w:szCs w:val="22"/>
        </w:rPr>
        <w:t>nmol/). Priemerná absolútna perorálna biologická dostupnosť je 53</w:t>
      </w:r>
      <w:r w:rsidR="003628D2">
        <w:rPr>
          <w:szCs w:val="22"/>
        </w:rPr>
        <w:t> </w:t>
      </w:r>
      <w:r>
        <w:rPr>
          <w:szCs w:val="22"/>
        </w:rPr>
        <w:t>% (F</w:t>
      </w:r>
      <w:r w:rsidR="003628D2">
        <w:rPr>
          <w:position w:val="-8"/>
          <w:sz w:val="14"/>
          <w:szCs w:val="14"/>
          <w:vertAlign w:val="subscript"/>
        </w:rPr>
        <w:t>abs </w:t>
      </w:r>
      <w:r>
        <w:rPr>
          <w:szCs w:val="22"/>
        </w:rPr>
        <w:t>=</w:t>
      </w:r>
      <w:r w:rsidR="003628D2">
        <w:rPr>
          <w:szCs w:val="22"/>
        </w:rPr>
        <w:t> </w:t>
      </w:r>
      <w:r>
        <w:rPr>
          <w:szCs w:val="22"/>
        </w:rPr>
        <w:t>0,527</w:t>
      </w:r>
      <w:r w:rsidR="003628D2">
        <w:rPr>
          <w:szCs w:val="22"/>
        </w:rPr>
        <w:t> </w:t>
      </w:r>
      <w:r>
        <w:rPr>
          <w:szCs w:val="22"/>
        </w:rPr>
        <w:t>±</w:t>
      </w:r>
      <w:r w:rsidR="003628D2">
        <w:rPr>
          <w:szCs w:val="22"/>
        </w:rPr>
        <w:t> </w:t>
      </w:r>
      <w:r>
        <w:rPr>
          <w:szCs w:val="22"/>
        </w:rPr>
        <w:t>0,123; rozsah 0,219</w:t>
      </w:r>
      <w:r w:rsidR="003628D2">
        <w:rPr>
          <w:szCs w:val="22"/>
        </w:rPr>
        <w:t> </w:t>
      </w:r>
      <w:r>
        <w:rPr>
          <w:szCs w:val="22"/>
        </w:rPr>
        <w:t>-</w:t>
      </w:r>
      <w:r w:rsidR="003628D2">
        <w:rPr>
          <w:szCs w:val="22"/>
        </w:rPr>
        <w:t> </w:t>
      </w:r>
      <w:r>
        <w:rPr>
          <w:szCs w:val="22"/>
        </w:rPr>
        <w:t>0,756).</w:t>
      </w:r>
      <w:r>
        <w:rPr>
          <w:i/>
          <w:iCs/>
          <w:szCs w:val="22"/>
        </w:rPr>
        <w:t xml:space="preserve"> </w:t>
      </w:r>
    </w:p>
    <w:p w14:paraId="57B41B33" w14:textId="77777777" w:rsidR="00E06B68" w:rsidRDefault="00E06B68" w:rsidP="00E06B68">
      <w:pPr>
        <w:pStyle w:val="Default"/>
        <w:ind w:right="-2"/>
        <w:rPr>
          <w:sz w:val="22"/>
          <w:szCs w:val="22"/>
          <w:u w:val="single"/>
        </w:rPr>
      </w:pPr>
    </w:p>
    <w:p w14:paraId="33844F9E" w14:textId="77777777" w:rsidR="00E06B68" w:rsidRDefault="00E06B68" w:rsidP="00E06B68">
      <w:pPr>
        <w:pStyle w:val="Default"/>
        <w:ind w:right="-2"/>
      </w:pPr>
      <w:r>
        <w:rPr>
          <w:sz w:val="22"/>
          <w:szCs w:val="22"/>
          <w:u w:val="single"/>
        </w:rPr>
        <w:t xml:space="preserve">Distribúcia </w:t>
      </w:r>
    </w:p>
    <w:p w14:paraId="75EF1CF0" w14:textId="77777777" w:rsidR="00E06B68" w:rsidRDefault="00E06B68" w:rsidP="00E06B68">
      <w:pPr>
        <w:pStyle w:val="Default"/>
        <w:ind w:right="-2"/>
        <w:rPr>
          <w:sz w:val="22"/>
          <w:szCs w:val="22"/>
        </w:rPr>
      </w:pPr>
    </w:p>
    <w:p w14:paraId="71361A65" w14:textId="77777777" w:rsidR="00E06B68" w:rsidRDefault="00E06B68" w:rsidP="00E06B68">
      <w:pPr>
        <w:pStyle w:val="Default"/>
        <w:ind w:right="-2"/>
        <w:rPr>
          <w:sz w:val="22"/>
          <w:szCs w:val="22"/>
        </w:rPr>
      </w:pPr>
      <w:r>
        <w:rPr>
          <w:sz w:val="22"/>
          <w:szCs w:val="22"/>
        </w:rPr>
        <w:t>Zjavný distribučný objem (V</w:t>
      </w:r>
      <w:r>
        <w:rPr>
          <w:position w:val="-8"/>
          <w:sz w:val="14"/>
          <w:szCs w:val="14"/>
          <w:vertAlign w:val="subscript"/>
        </w:rPr>
        <w:t>d</w:t>
      </w:r>
      <w:r>
        <w:rPr>
          <w:sz w:val="22"/>
          <w:szCs w:val="22"/>
        </w:rPr>
        <w:t>)</w:t>
      </w:r>
      <w:r>
        <w:rPr>
          <w:position w:val="-8"/>
          <w:sz w:val="14"/>
          <w:szCs w:val="14"/>
          <w:vertAlign w:val="subscript"/>
        </w:rPr>
        <w:t xml:space="preserve">β </w:t>
      </w:r>
      <w:r>
        <w:rPr>
          <w:sz w:val="22"/>
          <w:szCs w:val="22"/>
        </w:rPr>
        <w:t>po intravenóznom podaní sa odhaduje na 1</w:t>
      </w:r>
      <w:r w:rsidR="003628D2">
        <w:rPr>
          <w:sz w:val="22"/>
          <w:szCs w:val="22"/>
        </w:rPr>
        <w:t> </w:t>
      </w:r>
      <w:r>
        <w:rPr>
          <w:sz w:val="22"/>
          <w:szCs w:val="22"/>
        </w:rPr>
        <w:t>221</w:t>
      </w:r>
      <w:r w:rsidR="003628D2">
        <w:rPr>
          <w:sz w:val="22"/>
          <w:szCs w:val="22"/>
        </w:rPr>
        <w:t> </w:t>
      </w:r>
      <w:r>
        <w:rPr>
          <w:sz w:val="22"/>
          <w:szCs w:val="22"/>
        </w:rPr>
        <w:t>l</w:t>
      </w:r>
      <w:r w:rsidR="003628D2">
        <w:rPr>
          <w:sz w:val="22"/>
          <w:szCs w:val="22"/>
        </w:rPr>
        <w:t> </w:t>
      </w:r>
      <w:r>
        <w:rPr>
          <w:sz w:val="22"/>
          <w:szCs w:val="22"/>
        </w:rPr>
        <w:t>±</w:t>
      </w:r>
      <w:r w:rsidR="003628D2">
        <w:rPr>
          <w:sz w:val="22"/>
          <w:szCs w:val="22"/>
        </w:rPr>
        <w:t> </w:t>
      </w:r>
      <w:r>
        <w:rPr>
          <w:sz w:val="22"/>
          <w:szCs w:val="22"/>
        </w:rPr>
        <w:t>280</w:t>
      </w:r>
      <w:r w:rsidR="003628D2">
        <w:rPr>
          <w:sz w:val="22"/>
          <w:szCs w:val="22"/>
        </w:rPr>
        <w:t> </w:t>
      </w:r>
      <w:r>
        <w:rPr>
          <w:sz w:val="22"/>
          <w:szCs w:val="22"/>
        </w:rPr>
        <w:t>l; rozsah 769</w:t>
      </w:r>
      <w:r w:rsidR="003628D2">
        <w:rPr>
          <w:sz w:val="22"/>
          <w:szCs w:val="22"/>
        </w:rPr>
        <w:t> </w:t>
      </w:r>
      <w:r>
        <w:rPr>
          <w:sz w:val="22"/>
          <w:szCs w:val="22"/>
        </w:rPr>
        <w:t>–</w:t>
      </w:r>
      <w:r w:rsidR="003628D2">
        <w:rPr>
          <w:sz w:val="22"/>
          <w:szCs w:val="22"/>
        </w:rPr>
        <w:t> </w:t>
      </w:r>
      <w:r>
        <w:rPr>
          <w:sz w:val="22"/>
          <w:szCs w:val="22"/>
        </w:rPr>
        <w:t>1</w:t>
      </w:r>
      <w:r w:rsidR="003628D2">
        <w:rPr>
          <w:sz w:val="22"/>
          <w:szCs w:val="22"/>
        </w:rPr>
        <w:t> </w:t>
      </w:r>
      <w:r>
        <w:rPr>
          <w:sz w:val="22"/>
          <w:szCs w:val="22"/>
        </w:rPr>
        <w:t>702</w:t>
      </w:r>
      <w:r w:rsidR="003628D2">
        <w:rPr>
          <w:sz w:val="22"/>
          <w:szCs w:val="22"/>
        </w:rPr>
        <w:t> </w:t>
      </w:r>
      <w:r>
        <w:rPr>
          <w:sz w:val="22"/>
          <w:szCs w:val="22"/>
        </w:rPr>
        <w:t>l</w:t>
      </w:r>
      <w:r w:rsidR="003628D2">
        <w:rPr>
          <w:sz w:val="22"/>
          <w:szCs w:val="22"/>
        </w:rPr>
        <w:t> </w:t>
      </w:r>
      <w:r>
        <w:rPr>
          <w:sz w:val="22"/>
          <w:szCs w:val="22"/>
        </w:rPr>
        <w:t>(16</w:t>
      </w:r>
      <w:r w:rsidR="003628D2">
        <w:rPr>
          <w:sz w:val="22"/>
          <w:szCs w:val="22"/>
        </w:rPr>
        <w:t> </w:t>
      </w:r>
      <w:r>
        <w:rPr>
          <w:sz w:val="22"/>
          <w:szCs w:val="22"/>
        </w:rPr>
        <w:t>±</w:t>
      </w:r>
      <w:r w:rsidR="003628D2">
        <w:rPr>
          <w:sz w:val="22"/>
          <w:szCs w:val="22"/>
        </w:rPr>
        <w:t> </w:t>
      </w:r>
      <w:r>
        <w:rPr>
          <w:sz w:val="22"/>
          <w:szCs w:val="22"/>
        </w:rPr>
        <w:t>3</w:t>
      </w:r>
      <w:r w:rsidR="003628D2">
        <w:rPr>
          <w:sz w:val="22"/>
          <w:szCs w:val="22"/>
        </w:rPr>
        <w:t> </w:t>
      </w:r>
      <w:r>
        <w:rPr>
          <w:sz w:val="22"/>
          <w:szCs w:val="22"/>
        </w:rPr>
        <w:t xml:space="preserve">l/kg). </w:t>
      </w:r>
    </w:p>
    <w:p w14:paraId="439F9498" w14:textId="77777777" w:rsidR="00E06B68" w:rsidRDefault="00E06B68" w:rsidP="00E06B68">
      <w:pPr>
        <w:pStyle w:val="Default"/>
        <w:ind w:right="-2"/>
        <w:rPr>
          <w:sz w:val="22"/>
          <w:szCs w:val="22"/>
        </w:rPr>
      </w:pPr>
    </w:p>
    <w:p w14:paraId="5C146774" w14:textId="77777777" w:rsidR="00E06B68" w:rsidRDefault="00E06B68" w:rsidP="00E06B68">
      <w:pPr>
        <w:pStyle w:val="Default"/>
        <w:ind w:right="-2"/>
        <w:rPr>
          <w:sz w:val="22"/>
          <w:szCs w:val="22"/>
        </w:rPr>
      </w:pPr>
      <w:r>
        <w:rPr>
          <w:sz w:val="22"/>
          <w:szCs w:val="22"/>
        </w:rPr>
        <w:t>Väzba na plazmatické bielkoviny je asi 95</w:t>
      </w:r>
      <w:r w:rsidR="003628D2">
        <w:rPr>
          <w:sz w:val="22"/>
          <w:szCs w:val="22"/>
        </w:rPr>
        <w:t> </w:t>
      </w:r>
      <w:r>
        <w:rPr>
          <w:sz w:val="22"/>
          <w:szCs w:val="22"/>
        </w:rPr>
        <w:t xml:space="preserve">%. </w:t>
      </w:r>
    </w:p>
    <w:p w14:paraId="15D1BDFC" w14:textId="77777777" w:rsidR="00E06B68" w:rsidRDefault="00E06B68" w:rsidP="00E06B68">
      <w:pPr>
        <w:pStyle w:val="Default"/>
        <w:ind w:right="-2"/>
        <w:rPr>
          <w:sz w:val="22"/>
          <w:szCs w:val="22"/>
        </w:rPr>
      </w:pPr>
      <w:r>
        <w:rPr>
          <w:sz w:val="22"/>
          <w:szCs w:val="22"/>
        </w:rPr>
        <w:t xml:space="preserve">Amitriptylín a jeho hlavný metabolit nortriptylín prechádzajú cez placentárnu bariéru. </w:t>
      </w:r>
    </w:p>
    <w:p w14:paraId="2A723527" w14:textId="77777777" w:rsidR="00E06B68" w:rsidRDefault="00E06B68" w:rsidP="00E06B68">
      <w:pPr>
        <w:pStyle w:val="Default"/>
        <w:ind w:right="-2"/>
        <w:rPr>
          <w:sz w:val="22"/>
          <w:szCs w:val="22"/>
        </w:rPr>
      </w:pPr>
    </w:p>
    <w:p w14:paraId="7A6DF361" w14:textId="77777777" w:rsidR="00E06B68" w:rsidRDefault="00E06B68" w:rsidP="00E06B68">
      <w:pPr>
        <w:pStyle w:val="Default"/>
        <w:ind w:right="-2"/>
        <w:rPr>
          <w:sz w:val="22"/>
          <w:szCs w:val="22"/>
        </w:rPr>
      </w:pPr>
      <w:r>
        <w:rPr>
          <w:sz w:val="22"/>
          <w:szCs w:val="22"/>
        </w:rPr>
        <w:t>U dojčiacich matiek sa amitriptylín a nortriptylín vylučujú v malých množstvách materským mliekom. Pomer koncentrácie v mlieku/plazme u žien je približne 1:1. Odhadovaná denná expozícia dojčaťa (amitriptylín + nortriptylín) je v priemere 2</w:t>
      </w:r>
      <w:r w:rsidR="003628D2">
        <w:rPr>
          <w:sz w:val="22"/>
          <w:szCs w:val="22"/>
        </w:rPr>
        <w:t> </w:t>
      </w:r>
      <w:r>
        <w:rPr>
          <w:sz w:val="22"/>
          <w:szCs w:val="22"/>
        </w:rPr>
        <w:t>% zodpovedajúcich dávok amitriptylínu (v</w:t>
      </w:r>
      <w:r w:rsidR="003628D2">
        <w:rPr>
          <w:sz w:val="22"/>
          <w:szCs w:val="22"/>
        </w:rPr>
        <w:t> </w:t>
      </w:r>
      <w:r>
        <w:rPr>
          <w:sz w:val="22"/>
          <w:szCs w:val="22"/>
        </w:rPr>
        <w:t xml:space="preserve">mg/kg) súvisiacich s hmotnosťou matky (pozri časť 4.6). </w:t>
      </w:r>
    </w:p>
    <w:p w14:paraId="671EC4C0" w14:textId="77777777" w:rsidR="00E06B68" w:rsidRDefault="00E06B68" w:rsidP="00E06B68">
      <w:pPr>
        <w:pStyle w:val="Default"/>
        <w:ind w:right="-2"/>
        <w:rPr>
          <w:sz w:val="22"/>
          <w:szCs w:val="22"/>
          <w:u w:val="single"/>
        </w:rPr>
      </w:pPr>
    </w:p>
    <w:p w14:paraId="226EE4F9" w14:textId="77777777" w:rsidR="00E06B68" w:rsidRDefault="00E06B68" w:rsidP="00E06B68">
      <w:pPr>
        <w:pStyle w:val="Default"/>
        <w:ind w:right="-2"/>
        <w:rPr>
          <w:sz w:val="22"/>
          <w:szCs w:val="22"/>
        </w:rPr>
      </w:pPr>
      <w:r>
        <w:rPr>
          <w:sz w:val="22"/>
          <w:szCs w:val="22"/>
          <w:u w:val="single"/>
        </w:rPr>
        <w:t xml:space="preserve">Biotransformácia </w:t>
      </w:r>
    </w:p>
    <w:p w14:paraId="1352FB87" w14:textId="77777777" w:rsidR="00E06B68" w:rsidRDefault="00E06B68" w:rsidP="00E06B68">
      <w:pPr>
        <w:pStyle w:val="Default"/>
        <w:ind w:right="-2"/>
        <w:rPr>
          <w:i/>
          <w:iCs/>
          <w:sz w:val="22"/>
          <w:szCs w:val="22"/>
        </w:rPr>
      </w:pPr>
    </w:p>
    <w:p w14:paraId="71882010" w14:textId="77777777" w:rsidR="00E06B68" w:rsidRDefault="00E06B68" w:rsidP="00E06B68">
      <w:pPr>
        <w:pStyle w:val="Default"/>
        <w:ind w:right="-2"/>
        <w:rPr>
          <w:sz w:val="22"/>
          <w:szCs w:val="22"/>
        </w:rPr>
      </w:pPr>
      <w:r>
        <w:rPr>
          <w:i/>
          <w:iCs/>
          <w:sz w:val="22"/>
          <w:szCs w:val="22"/>
        </w:rPr>
        <w:t xml:space="preserve">In vitro </w:t>
      </w:r>
      <w:r>
        <w:rPr>
          <w:sz w:val="22"/>
          <w:szCs w:val="22"/>
        </w:rPr>
        <w:t xml:space="preserve">metabolizmus amitriptylínu prebieha hlavne demetyláciou (CYP2C19, CYP3A4) a hydroxyláciou (CYP2D6) s následnou konjugáciou s kyselinou glukurónovou. Ďalšie izoenzýmy, ktoré sa podieľajú na metabolizme sú CYP1A2 a CYP2C9. Metabolizmus podlieha genetickému polymorfizmu. Hlavným aktívnym metabolitom je sekundárny amín nortriptylín. </w:t>
      </w:r>
    </w:p>
    <w:p w14:paraId="0E430498" w14:textId="77777777" w:rsidR="00E06B68" w:rsidRDefault="00E06B68" w:rsidP="00E06B68">
      <w:pPr>
        <w:pStyle w:val="Default"/>
        <w:ind w:right="-2"/>
        <w:rPr>
          <w:sz w:val="22"/>
          <w:szCs w:val="22"/>
        </w:rPr>
      </w:pPr>
      <w:r>
        <w:rPr>
          <w:sz w:val="22"/>
          <w:szCs w:val="22"/>
        </w:rPr>
        <w:lastRenderedPageBreak/>
        <w:t xml:space="preserve">Nortriptylín je silnejší inhibítor vychytávania noradrenalínu ako sérotonínu, zatiaľ čo amitriptylín inhibuje vychytávanie noradrenalínu a sérotonínu v rovnakej miere. Ďalšie metabolity, ako sú cis- a trans-10-hydroxyamitriptylín a cis- a trans-10 hydroxynortriptylín, majú rovnaký profil ako nortriptylín, ale sú podstatne slabšie. Demetylnortriptylín a amitriptylín N-oxid sú prítomné v plazme len v nepatrnom množstve. Amitriptylín N-oxid je takmer neaktívny. Všetky metabolity sú menej anticholinergné ako amitriptylín a nortriptylín. V plazme dominuje množstvo celkového 10-hydroxynortriptylínu, ale väčšina metabolitov sú konjugované. </w:t>
      </w:r>
    </w:p>
    <w:p w14:paraId="3C13FB95" w14:textId="77777777" w:rsidR="00E06B68" w:rsidRDefault="00E06B68" w:rsidP="00E06B68">
      <w:pPr>
        <w:pStyle w:val="Default"/>
        <w:ind w:right="-2"/>
        <w:rPr>
          <w:sz w:val="22"/>
          <w:szCs w:val="22"/>
          <w:u w:val="single"/>
        </w:rPr>
      </w:pPr>
    </w:p>
    <w:p w14:paraId="65A75E17" w14:textId="77777777" w:rsidR="00E06B68" w:rsidRPr="00E06B68" w:rsidRDefault="00E06B68" w:rsidP="00E76742">
      <w:pPr>
        <w:pStyle w:val="Default"/>
        <w:rPr>
          <w:sz w:val="22"/>
          <w:szCs w:val="22"/>
        </w:rPr>
      </w:pPr>
      <w:r w:rsidRPr="00E06B68">
        <w:rPr>
          <w:sz w:val="22"/>
          <w:szCs w:val="22"/>
          <w:u w:val="single"/>
        </w:rPr>
        <w:t xml:space="preserve">Eliminácia </w:t>
      </w:r>
    </w:p>
    <w:p w14:paraId="60D185D3" w14:textId="77777777" w:rsidR="00E06B68" w:rsidRPr="00E06B68" w:rsidRDefault="00E06B68" w:rsidP="00E76742">
      <w:pPr>
        <w:pStyle w:val="Default"/>
        <w:rPr>
          <w:sz w:val="22"/>
          <w:szCs w:val="22"/>
        </w:rPr>
      </w:pPr>
    </w:p>
    <w:p w14:paraId="6107D7F3" w14:textId="77777777" w:rsidR="00E06B68" w:rsidRPr="00E06B68" w:rsidRDefault="00E06B68" w:rsidP="00E76742">
      <w:pPr>
        <w:pStyle w:val="Default"/>
        <w:rPr>
          <w:sz w:val="22"/>
          <w:szCs w:val="22"/>
        </w:rPr>
      </w:pPr>
      <w:r w:rsidRPr="00E06B68">
        <w:rPr>
          <w:sz w:val="22"/>
          <w:szCs w:val="22"/>
        </w:rPr>
        <w:t>Polčas eliminácie (t</w:t>
      </w:r>
      <w:r w:rsidRPr="00E76742">
        <w:rPr>
          <w:position w:val="-8"/>
          <w:sz w:val="22"/>
          <w:szCs w:val="22"/>
          <w:vertAlign w:val="subscript"/>
        </w:rPr>
        <w:t xml:space="preserve">½ </w:t>
      </w:r>
      <w:r w:rsidRPr="00E06B68">
        <w:rPr>
          <w:sz w:val="22"/>
          <w:szCs w:val="22"/>
        </w:rPr>
        <w:t>β) amitriptylínu po perorálnom podaní je približne 25</w:t>
      </w:r>
      <w:r w:rsidR="003628D2">
        <w:rPr>
          <w:sz w:val="22"/>
          <w:szCs w:val="22"/>
        </w:rPr>
        <w:t> </w:t>
      </w:r>
      <w:r w:rsidRPr="00E06B68">
        <w:rPr>
          <w:sz w:val="22"/>
          <w:szCs w:val="22"/>
        </w:rPr>
        <w:t>hodín (24,65</w:t>
      </w:r>
      <w:r w:rsidR="003628D2">
        <w:rPr>
          <w:sz w:val="22"/>
          <w:szCs w:val="22"/>
        </w:rPr>
        <w:t> </w:t>
      </w:r>
      <w:r w:rsidRPr="00E06B68">
        <w:rPr>
          <w:sz w:val="22"/>
          <w:szCs w:val="22"/>
        </w:rPr>
        <w:t>±</w:t>
      </w:r>
      <w:r w:rsidR="003628D2">
        <w:rPr>
          <w:sz w:val="22"/>
          <w:szCs w:val="22"/>
        </w:rPr>
        <w:t> </w:t>
      </w:r>
      <w:r w:rsidRPr="00E06B68">
        <w:rPr>
          <w:sz w:val="22"/>
          <w:szCs w:val="22"/>
        </w:rPr>
        <w:t>6,31</w:t>
      </w:r>
      <w:r w:rsidR="003628D2">
        <w:rPr>
          <w:sz w:val="22"/>
          <w:szCs w:val="22"/>
        </w:rPr>
        <w:t> </w:t>
      </w:r>
      <w:r w:rsidRPr="00E06B68">
        <w:rPr>
          <w:sz w:val="22"/>
          <w:szCs w:val="22"/>
        </w:rPr>
        <w:t>hodiny; rozsah 16,49</w:t>
      </w:r>
      <w:r w:rsidR="003628D2">
        <w:rPr>
          <w:sz w:val="22"/>
          <w:szCs w:val="22"/>
        </w:rPr>
        <w:t> </w:t>
      </w:r>
      <w:r w:rsidRPr="00E06B68">
        <w:rPr>
          <w:sz w:val="22"/>
          <w:szCs w:val="22"/>
        </w:rPr>
        <w:t>–</w:t>
      </w:r>
      <w:r w:rsidR="003628D2">
        <w:rPr>
          <w:sz w:val="22"/>
          <w:szCs w:val="22"/>
        </w:rPr>
        <w:t> </w:t>
      </w:r>
      <w:r w:rsidRPr="00E06B68">
        <w:rPr>
          <w:sz w:val="22"/>
          <w:szCs w:val="22"/>
        </w:rPr>
        <w:t>40,36</w:t>
      </w:r>
      <w:r w:rsidR="003628D2">
        <w:rPr>
          <w:sz w:val="22"/>
          <w:szCs w:val="22"/>
        </w:rPr>
        <w:t> </w:t>
      </w:r>
      <w:r w:rsidRPr="00E06B68">
        <w:rPr>
          <w:sz w:val="22"/>
          <w:szCs w:val="22"/>
        </w:rPr>
        <w:t>hodín). Priemerný systémový klírens (Cl</w:t>
      </w:r>
      <w:r w:rsidRPr="00E76742">
        <w:rPr>
          <w:position w:val="-8"/>
          <w:sz w:val="22"/>
          <w:szCs w:val="22"/>
          <w:vertAlign w:val="subscript"/>
        </w:rPr>
        <w:t>s</w:t>
      </w:r>
      <w:r w:rsidRPr="00E06B68">
        <w:rPr>
          <w:sz w:val="22"/>
          <w:szCs w:val="22"/>
        </w:rPr>
        <w:t>) je 39,24</w:t>
      </w:r>
      <w:r w:rsidR="003628D2">
        <w:rPr>
          <w:sz w:val="22"/>
          <w:szCs w:val="22"/>
        </w:rPr>
        <w:t> </w:t>
      </w:r>
      <w:r w:rsidRPr="00E06B68">
        <w:rPr>
          <w:sz w:val="22"/>
          <w:szCs w:val="22"/>
        </w:rPr>
        <w:t>±</w:t>
      </w:r>
      <w:r w:rsidR="003628D2">
        <w:rPr>
          <w:sz w:val="22"/>
          <w:szCs w:val="22"/>
        </w:rPr>
        <w:t> </w:t>
      </w:r>
      <w:r w:rsidRPr="00E06B68">
        <w:rPr>
          <w:sz w:val="22"/>
          <w:szCs w:val="22"/>
        </w:rPr>
        <w:t>10,18</w:t>
      </w:r>
      <w:r w:rsidR="003628D2">
        <w:rPr>
          <w:sz w:val="22"/>
          <w:szCs w:val="22"/>
        </w:rPr>
        <w:t> </w:t>
      </w:r>
      <w:r w:rsidRPr="00E06B68">
        <w:rPr>
          <w:sz w:val="22"/>
          <w:szCs w:val="22"/>
        </w:rPr>
        <w:t>l/h, rozsah 24,53</w:t>
      </w:r>
      <w:r w:rsidR="003628D2">
        <w:rPr>
          <w:sz w:val="22"/>
          <w:szCs w:val="22"/>
        </w:rPr>
        <w:t> </w:t>
      </w:r>
      <w:r w:rsidRPr="00E06B68">
        <w:rPr>
          <w:sz w:val="22"/>
          <w:szCs w:val="22"/>
        </w:rPr>
        <w:t>-</w:t>
      </w:r>
      <w:r w:rsidR="003628D2">
        <w:rPr>
          <w:sz w:val="22"/>
          <w:szCs w:val="22"/>
        </w:rPr>
        <w:t> </w:t>
      </w:r>
      <w:r w:rsidRPr="00E06B68">
        <w:rPr>
          <w:sz w:val="22"/>
          <w:szCs w:val="22"/>
        </w:rPr>
        <w:t>53,73</w:t>
      </w:r>
      <w:r w:rsidR="003628D2">
        <w:rPr>
          <w:sz w:val="22"/>
          <w:szCs w:val="22"/>
        </w:rPr>
        <w:t> </w:t>
      </w:r>
      <w:r w:rsidRPr="00E06B68">
        <w:rPr>
          <w:sz w:val="22"/>
          <w:szCs w:val="22"/>
        </w:rPr>
        <w:t xml:space="preserve">l/h. </w:t>
      </w:r>
    </w:p>
    <w:p w14:paraId="04F47F7D" w14:textId="77777777" w:rsidR="00E06B68" w:rsidRDefault="00E06B68" w:rsidP="00E76742">
      <w:pPr>
        <w:pStyle w:val="Default"/>
        <w:rPr>
          <w:sz w:val="22"/>
          <w:szCs w:val="22"/>
        </w:rPr>
      </w:pPr>
    </w:p>
    <w:p w14:paraId="32CB9BB4" w14:textId="77777777" w:rsidR="00E06B68" w:rsidRPr="00E06B68" w:rsidRDefault="00E06B68" w:rsidP="00E76742">
      <w:pPr>
        <w:pStyle w:val="Default"/>
        <w:rPr>
          <w:sz w:val="22"/>
          <w:szCs w:val="22"/>
        </w:rPr>
      </w:pPr>
      <w:r w:rsidRPr="00E06B68">
        <w:rPr>
          <w:sz w:val="22"/>
          <w:szCs w:val="22"/>
        </w:rPr>
        <w:t>Vylučovanie prebieha hlavne močom. Vylučovanie nezmeneného amitriptylínu obličkami je zanedbateľné (približne 2</w:t>
      </w:r>
      <w:r w:rsidR="003628D2">
        <w:rPr>
          <w:sz w:val="22"/>
          <w:szCs w:val="22"/>
        </w:rPr>
        <w:t> </w:t>
      </w:r>
      <w:r w:rsidRPr="00E06B68">
        <w:rPr>
          <w:sz w:val="22"/>
          <w:szCs w:val="22"/>
        </w:rPr>
        <w:t xml:space="preserve">%). </w:t>
      </w:r>
    </w:p>
    <w:p w14:paraId="48211232" w14:textId="77777777" w:rsidR="00E06B68" w:rsidRDefault="00E06B68" w:rsidP="00E76742">
      <w:pPr>
        <w:pStyle w:val="Default"/>
        <w:rPr>
          <w:sz w:val="22"/>
          <w:szCs w:val="22"/>
        </w:rPr>
      </w:pPr>
    </w:p>
    <w:p w14:paraId="37C3DEC8" w14:textId="77777777" w:rsidR="00E06B68" w:rsidRDefault="00E06B68" w:rsidP="00E76742">
      <w:pPr>
        <w:pStyle w:val="Default"/>
        <w:rPr>
          <w:sz w:val="22"/>
          <w:szCs w:val="22"/>
        </w:rPr>
      </w:pPr>
      <w:r w:rsidRPr="00E06B68">
        <w:rPr>
          <w:sz w:val="22"/>
          <w:szCs w:val="22"/>
        </w:rPr>
        <w:t>Plazmatické hladiny amitriptylínu + nortriptylínu v rovnovážnom stave sa u väčšiny pacientov dosiahnu v</w:t>
      </w:r>
      <w:r w:rsidR="003628D2">
        <w:rPr>
          <w:sz w:val="22"/>
          <w:szCs w:val="22"/>
        </w:rPr>
        <w:t> </w:t>
      </w:r>
      <w:r>
        <w:rPr>
          <w:sz w:val="22"/>
          <w:szCs w:val="22"/>
        </w:rPr>
        <w:t>priebehu jedného týždňa, a po liečbe bežnými tabletami užívanými 3-krát denne plazmatická hladina v</w:t>
      </w:r>
      <w:r w:rsidR="003628D2">
        <w:rPr>
          <w:sz w:val="22"/>
          <w:szCs w:val="22"/>
        </w:rPr>
        <w:t> </w:t>
      </w:r>
      <w:r>
        <w:rPr>
          <w:sz w:val="22"/>
          <w:szCs w:val="22"/>
        </w:rPr>
        <w:t xml:space="preserve">rovnovážnom stave obsahuje neustále približne rovnaký podiel amitriptylínu a nortriptylínu. </w:t>
      </w:r>
    </w:p>
    <w:p w14:paraId="70467798" w14:textId="77777777" w:rsidR="00E06B68" w:rsidRDefault="00E06B68" w:rsidP="00E06B68">
      <w:pPr>
        <w:pStyle w:val="Default"/>
        <w:ind w:right="-2"/>
        <w:rPr>
          <w:i/>
          <w:iCs/>
          <w:sz w:val="22"/>
          <w:szCs w:val="22"/>
        </w:rPr>
      </w:pPr>
    </w:p>
    <w:p w14:paraId="5A66F35C" w14:textId="77777777" w:rsidR="00E06B68" w:rsidRDefault="00E06B68" w:rsidP="00E06B68">
      <w:pPr>
        <w:pStyle w:val="Default"/>
        <w:ind w:right="-2"/>
        <w:rPr>
          <w:sz w:val="22"/>
          <w:szCs w:val="22"/>
        </w:rPr>
      </w:pPr>
      <w:r>
        <w:rPr>
          <w:i/>
          <w:iCs/>
          <w:sz w:val="22"/>
          <w:szCs w:val="22"/>
        </w:rPr>
        <w:t xml:space="preserve">Starší pacienti </w:t>
      </w:r>
    </w:p>
    <w:p w14:paraId="3A92F50D" w14:textId="77777777" w:rsidR="00E06B68" w:rsidRDefault="00E06B68" w:rsidP="00E06B68">
      <w:pPr>
        <w:pStyle w:val="Default"/>
        <w:rPr>
          <w:sz w:val="22"/>
          <w:szCs w:val="22"/>
        </w:rPr>
      </w:pPr>
      <w:r>
        <w:rPr>
          <w:sz w:val="22"/>
          <w:szCs w:val="22"/>
        </w:rPr>
        <w:t>U starších pacientov boli v dôsledku spomaleného metabolizmu preukázané dlhšie polčasy a znížené hodnoty perorálneho klírensu (Cl</w:t>
      </w:r>
      <w:r>
        <w:rPr>
          <w:position w:val="-8"/>
          <w:sz w:val="14"/>
          <w:szCs w:val="14"/>
          <w:vertAlign w:val="subscript"/>
        </w:rPr>
        <w:t>o</w:t>
      </w:r>
      <w:r>
        <w:rPr>
          <w:sz w:val="22"/>
          <w:szCs w:val="22"/>
        </w:rPr>
        <w:t xml:space="preserve">). </w:t>
      </w:r>
    </w:p>
    <w:p w14:paraId="32CFCB64" w14:textId="77777777" w:rsidR="00E06B68" w:rsidRDefault="00E06B68" w:rsidP="00E06B68">
      <w:pPr>
        <w:pStyle w:val="Default"/>
        <w:ind w:right="-2"/>
        <w:rPr>
          <w:i/>
          <w:iCs/>
          <w:sz w:val="22"/>
          <w:szCs w:val="22"/>
        </w:rPr>
      </w:pPr>
    </w:p>
    <w:p w14:paraId="68BA82BC" w14:textId="77777777" w:rsidR="00E06B68" w:rsidRDefault="00E06B68" w:rsidP="00E06B68">
      <w:pPr>
        <w:pStyle w:val="Default"/>
        <w:ind w:right="-2"/>
        <w:rPr>
          <w:sz w:val="22"/>
          <w:szCs w:val="22"/>
        </w:rPr>
      </w:pPr>
      <w:r>
        <w:rPr>
          <w:i/>
          <w:iCs/>
          <w:sz w:val="22"/>
          <w:szCs w:val="22"/>
        </w:rPr>
        <w:t xml:space="preserve">Znížená funkcia pečene </w:t>
      </w:r>
    </w:p>
    <w:p w14:paraId="5636441B" w14:textId="77777777" w:rsidR="00E06B68" w:rsidRDefault="00E06B68" w:rsidP="00E06B68">
      <w:pPr>
        <w:pStyle w:val="Default"/>
        <w:rPr>
          <w:sz w:val="22"/>
          <w:szCs w:val="22"/>
        </w:rPr>
      </w:pPr>
      <w:r>
        <w:rPr>
          <w:sz w:val="22"/>
          <w:szCs w:val="22"/>
        </w:rPr>
        <w:t xml:space="preserve">Poškodenie funkcie pečene môže znížiť hepatálnu extrakciu, čo vedie k vyšším plazmatickým hladinám, a preto je pri dávkovaní u týchto pacientov potrebná opatrnosť (pozri časť 4.2). </w:t>
      </w:r>
    </w:p>
    <w:p w14:paraId="7ADFA987" w14:textId="77777777" w:rsidR="00E06B68" w:rsidRDefault="00E06B68" w:rsidP="00E06B68">
      <w:pPr>
        <w:pStyle w:val="Default"/>
        <w:ind w:right="-2"/>
        <w:rPr>
          <w:i/>
          <w:iCs/>
          <w:sz w:val="22"/>
          <w:szCs w:val="22"/>
        </w:rPr>
      </w:pPr>
    </w:p>
    <w:p w14:paraId="7177AB8F" w14:textId="77777777" w:rsidR="00E06B68" w:rsidRDefault="00E06B68" w:rsidP="00E06B68">
      <w:pPr>
        <w:pStyle w:val="Default"/>
        <w:ind w:right="-2"/>
        <w:rPr>
          <w:sz w:val="22"/>
          <w:szCs w:val="22"/>
        </w:rPr>
      </w:pPr>
      <w:r>
        <w:rPr>
          <w:i/>
          <w:iCs/>
          <w:sz w:val="22"/>
          <w:szCs w:val="22"/>
        </w:rPr>
        <w:t xml:space="preserve">Znížená funkcia obličiek </w:t>
      </w:r>
    </w:p>
    <w:p w14:paraId="16FD6F2F" w14:textId="77777777" w:rsidR="00E06B68" w:rsidRDefault="00E06B68" w:rsidP="00E06B68">
      <w:pPr>
        <w:pStyle w:val="Default"/>
        <w:ind w:right="-2"/>
        <w:rPr>
          <w:sz w:val="22"/>
          <w:szCs w:val="22"/>
        </w:rPr>
      </w:pPr>
      <w:r>
        <w:rPr>
          <w:sz w:val="22"/>
          <w:szCs w:val="22"/>
        </w:rPr>
        <w:t xml:space="preserve">Zlyhávanie obličiek nemá vplyv na kinetiku. </w:t>
      </w:r>
    </w:p>
    <w:p w14:paraId="139F16A6" w14:textId="77777777" w:rsidR="00E06B68" w:rsidRDefault="00E06B68" w:rsidP="00E06B68">
      <w:pPr>
        <w:pStyle w:val="Default"/>
        <w:ind w:right="-2"/>
        <w:rPr>
          <w:sz w:val="22"/>
          <w:szCs w:val="22"/>
          <w:u w:val="single"/>
        </w:rPr>
      </w:pPr>
    </w:p>
    <w:p w14:paraId="59349719" w14:textId="77777777" w:rsidR="00E06B68" w:rsidRDefault="00E06B68" w:rsidP="00E06B68">
      <w:pPr>
        <w:pStyle w:val="Default"/>
        <w:ind w:right="-2"/>
        <w:rPr>
          <w:sz w:val="22"/>
          <w:szCs w:val="22"/>
        </w:rPr>
      </w:pPr>
      <w:r>
        <w:rPr>
          <w:sz w:val="22"/>
          <w:szCs w:val="22"/>
          <w:u w:val="single"/>
        </w:rPr>
        <w:t xml:space="preserve">Polymorfizmus </w:t>
      </w:r>
    </w:p>
    <w:p w14:paraId="51958E25" w14:textId="77777777" w:rsidR="00E06B68" w:rsidRDefault="00E06B68" w:rsidP="00E06B68">
      <w:pPr>
        <w:pStyle w:val="Default"/>
        <w:ind w:right="-2"/>
        <w:rPr>
          <w:sz w:val="22"/>
          <w:szCs w:val="22"/>
        </w:rPr>
      </w:pPr>
    </w:p>
    <w:p w14:paraId="717B0924" w14:textId="77777777" w:rsidR="00E06B68" w:rsidRDefault="00E06B68" w:rsidP="00E06B68">
      <w:pPr>
        <w:pStyle w:val="Default"/>
        <w:ind w:right="-2"/>
        <w:rPr>
          <w:sz w:val="22"/>
          <w:szCs w:val="22"/>
        </w:rPr>
      </w:pPr>
      <w:r>
        <w:rPr>
          <w:sz w:val="22"/>
          <w:szCs w:val="22"/>
        </w:rPr>
        <w:t xml:space="preserve">Metabolizmus podlieha genetickému polymorfizmu (CYP2D6 a CYP2C19) (pozri časť 4.2). </w:t>
      </w:r>
    </w:p>
    <w:p w14:paraId="181A92E8" w14:textId="77777777" w:rsidR="00E06B68" w:rsidRDefault="00E06B68" w:rsidP="00E06B68">
      <w:pPr>
        <w:pStyle w:val="Default"/>
        <w:ind w:right="-2"/>
        <w:rPr>
          <w:sz w:val="22"/>
          <w:szCs w:val="22"/>
          <w:u w:val="single"/>
        </w:rPr>
      </w:pPr>
    </w:p>
    <w:p w14:paraId="4E828641" w14:textId="77777777" w:rsidR="00E06B68" w:rsidRDefault="00E06B68" w:rsidP="00E06B68">
      <w:pPr>
        <w:pStyle w:val="Default"/>
        <w:ind w:right="-2"/>
        <w:rPr>
          <w:sz w:val="22"/>
          <w:szCs w:val="22"/>
        </w:rPr>
      </w:pPr>
      <w:r>
        <w:rPr>
          <w:sz w:val="22"/>
          <w:szCs w:val="22"/>
          <w:u w:val="single"/>
        </w:rPr>
        <w:t xml:space="preserve">Farmakokinetický/farmakodynamický vzťah </w:t>
      </w:r>
    </w:p>
    <w:p w14:paraId="00653965" w14:textId="77777777" w:rsidR="00E06B68" w:rsidRDefault="00E06B68">
      <w:pPr>
        <w:ind w:left="0" w:firstLine="0"/>
        <w:rPr>
          <w:szCs w:val="22"/>
        </w:rPr>
      </w:pPr>
    </w:p>
    <w:p w14:paraId="465779A2" w14:textId="77777777" w:rsidR="00E06B68" w:rsidRDefault="00E06B68">
      <w:pPr>
        <w:ind w:left="0" w:firstLine="0"/>
        <w:rPr>
          <w:szCs w:val="22"/>
        </w:rPr>
      </w:pPr>
      <w:r>
        <w:rPr>
          <w:szCs w:val="22"/>
        </w:rPr>
        <w:t>Plazmatické koncentrácie amitriptylínu a nortriptylínu sú u jednotlivcov veľmi rozdielne a žiadna jednoduchá korelácia s terapeutickou odpoveďou nebola stanovená. Pri veľkej depresii je terapeutická koncentrácia v plazme približne 80</w:t>
      </w:r>
      <w:r w:rsidR="003628D2">
        <w:rPr>
          <w:szCs w:val="22"/>
        </w:rPr>
        <w:t> </w:t>
      </w:r>
      <w:r>
        <w:rPr>
          <w:szCs w:val="22"/>
        </w:rPr>
        <w:t>–</w:t>
      </w:r>
      <w:r w:rsidR="003628D2">
        <w:rPr>
          <w:szCs w:val="22"/>
        </w:rPr>
        <w:t> </w:t>
      </w:r>
      <w:r>
        <w:rPr>
          <w:szCs w:val="22"/>
        </w:rPr>
        <w:t>200</w:t>
      </w:r>
      <w:r w:rsidR="003628D2">
        <w:rPr>
          <w:szCs w:val="22"/>
        </w:rPr>
        <w:t> </w:t>
      </w:r>
      <w:r>
        <w:rPr>
          <w:szCs w:val="22"/>
        </w:rPr>
        <w:t>ng/ml (≈</w:t>
      </w:r>
      <w:r w:rsidR="003628D2">
        <w:rPr>
          <w:szCs w:val="22"/>
        </w:rPr>
        <w:t> </w:t>
      </w:r>
      <w:r>
        <w:rPr>
          <w:szCs w:val="22"/>
        </w:rPr>
        <w:t>280</w:t>
      </w:r>
      <w:r w:rsidR="003628D2">
        <w:rPr>
          <w:szCs w:val="22"/>
        </w:rPr>
        <w:t> </w:t>
      </w:r>
      <w:r>
        <w:rPr>
          <w:szCs w:val="22"/>
        </w:rPr>
        <w:t>–</w:t>
      </w:r>
      <w:r w:rsidR="003628D2">
        <w:rPr>
          <w:szCs w:val="22"/>
        </w:rPr>
        <w:t> </w:t>
      </w:r>
      <w:r>
        <w:rPr>
          <w:szCs w:val="22"/>
        </w:rPr>
        <w:t>700</w:t>
      </w:r>
      <w:r w:rsidR="003628D2">
        <w:rPr>
          <w:szCs w:val="22"/>
        </w:rPr>
        <w:t> </w:t>
      </w:r>
      <w:r>
        <w:rPr>
          <w:szCs w:val="22"/>
        </w:rPr>
        <w:t>nmol/l) (pre amitriptylín + nortriptylín). Hladiny nad 300</w:t>
      </w:r>
      <w:r w:rsidR="003628D2">
        <w:rPr>
          <w:szCs w:val="22"/>
        </w:rPr>
        <w:t> </w:t>
      </w:r>
      <w:r>
        <w:rPr>
          <w:szCs w:val="22"/>
        </w:rPr>
        <w:t>–</w:t>
      </w:r>
      <w:r w:rsidR="003628D2">
        <w:rPr>
          <w:szCs w:val="22"/>
        </w:rPr>
        <w:t> </w:t>
      </w:r>
      <w:r>
        <w:rPr>
          <w:szCs w:val="22"/>
        </w:rPr>
        <w:t>400</w:t>
      </w:r>
      <w:r w:rsidR="003628D2">
        <w:rPr>
          <w:szCs w:val="22"/>
        </w:rPr>
        <w:t> </w:t>
      </w:r>
      <w:r>
        <w:rPr>
          <w:szCs w:val="22"/>
        </w:rPr>
        <w:t>ng/ml sa spájajú so zvýšeným rizikom poruchy srdcového vedenia pokiaľ ide o</w:t>
      </w:r>
      <w:r w:rsidR="003628D2">
        <w:rPr>
          <w:szCs w:val="22"/>
        </w:rPr>
        <w:t> </w:t>
      </w:r>
      <w:r>
        <w:rPr>
          <w:szCs w:val="22"/>
        </w:rPr>
        <w:t>predĺžený komplex QRS alebo AV blokádu.</w:t>
      </w:r>
    </w:p>
    <w:p w14:paraId="24E2208F" w14:textId="77777777" w:rsidR="00A03627" w:rsidRDefault="00A03627" w:rsidP="00065CF8">
      <w:pPr>
        <w:rPr>
          <w:szCs w:val="22"/>
        </w:rPr>
      </w:pPr>
    </w:p>
    <w:p w14:paraId="1207D49C" w14:textId="77777777" w:rsidR="00A03627" w:rsidRDefault="00AA6297" w:rsidP="00065CF8">
      <w:pPr>
        <w:rPr>
          <w:szCs w:val="22"/>
        </w:rPr>
      </w:pPr>
      <w:r w:rsidRPr="00C40770">
        <w:rPr>
          <w:b/>
          <w:szCs w:val="22"/>
        </w:rPr>
        <w:t>5.3</w:t>
      </w:r>
      <w:r w:rsidRPr="00C40770">
        <w:rPr>
          <w:b/>
          <w:szCs w:val="22"/>
        </w:rPr>
        <w:tab/>
        <w:t>Predklinické údaje o bezpečnosti</w:t>
      </w:r>
    </w:p>
    <w:p w14:paraId="51742329" w14:textId="77777777" w:rsidR="00A03627" w:rsidRDefault="00A03627" w:rsidP="00065CF8">
      <w:pPr>
        <w:rPr>
          <w:szCs w:val="22"/>
        </w:rPr>
      </w:pPr>
    </w:p>
    <w:p w14:paraId="6F75C877" w14:textId="77777777" w:rsidR="00E06B68" w:rsidRDefault="00E06B68" w:rsidP="00E06B68">
      <w:pPr>
        <w:pStyle w:val="Default"/>
        <w:rPr>
          <w:sz w:val="22"/>
          <w:szCs w:val="22"/>
        </w:rPr>
      </w:pPr>
      <w:r>
        <w:rPr>
          <w:sz w:val="22"/>
          <w:szCs w:val="22"/>
        </w:rPr>
        <w:t>Amitriptylín inhibuje iónové kanály, ktoré sú zodpovedné za repolarizáciu srdca (hERG kanály), v</w:t>
      </w:r>
      <w:r w:rsidR="003628D2">
        <w:rPr>
          <w:sz w:val="22"/>
          <w:szCs w:val="22"/>
        </w:rPr>
        <w:t> </w:t>
      </w:r>
      <w:r>
        <w:rPr>
          <w:sz w:val="22"/>
          <w:szCs w:val="22"/>
        </w:rPr>
        <w:t xml:space="preserve">hornom mikromolárnom rozsahu terapeutických plazmatických koncentrácií. Z tohto dôvodu môže amitriptylín zvýšiť riziko srdcovej arytmie (pozri časť 4.4). </w:t>
      </w:r>
    </w:p>
    <w:p w14:paraId="14985EA4" w14:textId="77777777" w:rsidR="00E06B68" w:rsidRDefault="00E06B68" w:rsidP="00E06B68">
      <w:pPr>
        <w:ind w:left="0" w:firstLine="0"/>
        <w:rPr>
          <w:szCs w:val="22"/>
        </w:rPr>
      </w:pPr>
    </w:p>
    <w:p w14:paraId="34737226" w14:textId="77777777" w:rsidR="00E06B68" w:rsidRDefault="00E06B68" w:rsidP="00E06B68">
      <w:pPr>
        <w:ind w:left="0" w:firstLine="0"/>
        <w:rPr>
          <w:szCs w:val="22"/>
        </w:rPr>
      </w:pPr>
      <w:r>
        <w:rPr>
          <w:szCs w:val="22"/>
        </w:rPr>
        <w:lastRenderedPageBreak/>
        <w:t xml:space="preserve">Genotoxický potenciál amitriptylínu sa skúmal v rôznych </w:t>
      </w:r>
      <w:r>
        <w:rPr>
          <w:i/>
          <w:iCs/>
          <w:szCs w:val="22"/>
        </w:rPr>
        <w:t xml:space="preserve">in vitro </w:t>
      </w:r>
      <w:r>
        <w:rPr>
          <w:szCs w:val="22"/>
        </w:rPr>
        <w:t xml:space="preserve">a </w:t>
      </w:r>
      <w:r>
        <w:rPr>
          <w:i/>
          <w:iCs/>
          <w:szCs w:val="22"/>
        </w:rPr>
        <w:t xml:space="preserve">in vivo </w:t>
      </w:r>
      <w:r>
        <w:rPr>
          <w:szCs w:val="22"/>
        </w:rPr>
        <w:t>štúdiách. Hoci tieto výskumy ukázali čiastočne protichodné výsledky, nemožno vylúčiť najmä potenciál indukovať chromozómové aberácie. Dlhodobé štúdie karcinogenity neboli vykonané.</w:t>
      </w:r>
    </w:p>
    <w:p w14:paraId="4BEEFAF7" w14:textId="77777777" w:rsidR="00E06B68" w:rsidRDefault="00E06B68" w:rsidP="00E06B68">
      <w:pPr>
        <w:ind w:left="0" w:firstLine="0"/>
        <w:rPr>
          <w:szCs w:val="22"/>
        </w:rPr>
      </w:pPr>
    </w:p>
    <w:p w14:paraId="2A1EA36F" w14:textId="438C8A4F" w:rsidR="00A03627" w:rsidRDefault="00E06B68" w:rsidP="00E06B68">
      <w:pPr>
        <w:ind w:left="0" w:firstLine="0"/>
        <w:rPr>
          <w:szCs w:val="22"/>
        </w:rPr>
      </w:pPr>
      <w:r>
        <w:rPr>
          <w:szCs w:val="22"/>
        </w:rPr>
        <w:t>V reprodukčných štúdiách pri perorálnom podávaní amitriptylínu v dávkach 2</w:t>
      </w:r>
      <w:r w:rsidR="003628D2">
        <w:rPr>
          <w:szCs w:val="22"/>
        </w:rPr>
        <w:t> </w:t>
      </w:r>
      <w:r>
        <w:rPr>
          <w:szCs w:val="22"/>
        </w:rPr>
        <w:t>–</w:t>
      </w:r>
      <w:r w:rsidR="003628D2">
        <w:rPr>
          <w:szCs w:val="22"/>
        </w:rPr>
        <w:t> </w:t>
      </w:r>
      <w:r>
        <w:rPr>
          <w:szCs w:val="22"/>
        </w:rPr>
        <w:t>40</w:t>
      </w:r>
      <w:r w:rsidR="003628D2">
        <w:rPr>
          <w:szCs w:val="22"/>
        </w:rPr>
        <w:t> </w:t>
      </w:r>
      <w:r>
        <w:rPr>
          <w:szCs w:val="22"/>
        </w:rPr>
        <w:t>mg/kg/deň (až do 13-násobku maximálnej odporúčanej dávky amitriptylínu u ľudí – 150</w:t>
      </w:r>
      <w:r w:rsidR="003628D2">
        <w:rPr>
          <w:szCs w:val="22"/>
        </w:rPr>
        <w:t> </w:t>
      </w:r>
      <w:r>
        <w:rPr>
          <w:szCs w:val="22"/>
        </w:rPr>
        <w:t>mg/deň alebo 3</w:t>
      </w:r>
      <w:r w:rsidR="003628D2">
        <w:rPr>
          <w:szCs w:val="22"/>
        </w:rPr>
        <w:t> </w:t>
      </w:r>
      <w:r>
        <w:rPr>
          <w:szCs w:val="22"/>
        </w:rPr>
        <w:t>mg/kg/deň u pacienta s hmotnosťou 50</w:t>
      </w:r>
      <w:r w:rsidR="003628D2">
        <w:rPr>
          <w:szCs w:val="22"/>
        </w:rPr>
        <w:t> </w:t>
      </w:r>
      <w:r>
        <w:rPr>
          <w:szCs w:val="22"/>
        </w:rPr>
        <w:t>kg) neboli teratogénne účinky pozorované u myší, potkanov ani králikov. Údaje z</w:t>
      </w:r>
      <w:r w:rsidR="003628D2">
        <w:rPr>
          <w:szCs w:val="22"/>
        </w:rPr>
        <w:t> </w:t>
      </w:r>
      <w:r>
        <w:rPr>
          <w:szCs w:val="22"/>
        </w:rPr>
        <w:t>literatúry však poukazujú na riziko malformácií a oneskorenej osifikácie u myší, škrečkov, potkanov a králikov pri 9</w:t>
      </w:r>
      <w:r w:rsidR="003628D2">
        <w:rPr>
          <w:szCs w:val="22"/>
        </w:rPr>
        <w:t> </w:t>
      </w:r>
      <w:r>
        <w:rPr>
          <w:szCs w:val="22"/>
        </w:rPr>
        <w:t>-</w:t>
      </w:r>
      <w:r w:rsidR="003628D2">
        <w:rPr>
          <w:szCs w:val="22"/>
        </w:rPr>
        <w:t> </w:t>
      </w:r>
      <w:r>
        <w:rPr>
          <w:szCs w:val="22"/>
        </w:rPr>
        <w:t>33-násobku maximálnej odporúčanej dávky. Existuje možná súvislosť s účinkom na plodnosť u potkanov, a to nižší výskyt gravidít. Príčina tohto účinku na fertilitu nie je známa.</w:t>
      </w:r>
    </w:p>
    <w:p w14:paraId="74709AA9" w14:textId="77777777" w:rsidR="00A03627" w:rsidRDefault="00A03627" w:rsidP="00065CF8">
      <w:pPr>
        <w:rPr>
          <w:szCs w:val="22"/>
        </w:rPr>
      </w:pPr>
    </w:p>
    <w:p w14:paraId="1EEA2E39" w14:textId="77777777" w:rsidR="00A03627" w:rsidRDefault="00A03627" w:rsidP="00065CF8">
      <w:pPr>
        <w:rPr>
          <w:szCs w:val="22"/>
        </w:rPr>
      </w:pPr>
    </w:p>
    <w:p w14:paraId="18FBF8AE" w14:textId="77777777" w:rsidR="00A03627" w:rsidRDefault="00AA6297" w:rsidP="00065CF8">
      <w:pPr>
        <w:rPr>
          <w:b/>
          <w:szCs w:val="22"/>
        </w:rPr>
      </w:pPr>
      <w:r w:rsidRPr="00C40770">
        <w:rPr>
          <w:b/>
          <w:szCs w:val="22"/>
        </w:rPr>
        <w:t>6.</w:t>
      </w:r>
      <w:r w:rsidRPr="00C40770">
        <w:rPr>
          <w:b/>
          <w:szCs w:val="22"/>
        </w:rPr>
        <w:tab/>
        <w:t>FARMACEUTICKÉ INFORMÁCIE</w:t>
      </w:r>
    </w:p>
    <w:p w14:paraId="157FF8FD" w14:textId="77777777" w:rsidR="00A03627" w:rsidRDefault="00A03627" w:rsidP="00065CF8">
      <w:pPr>
        <w:rPr>
          <w:szCs w:val="22"/>
        </w:rPr>
      </w:pPr>
    </w:p>
    <w:p w14:paraId="697FCA37" w14:textId="77777777" w:rsidR="00A03627" w:rsidRDefault="00AA6297" w:rsidP="00065CF8">
      <w:pPr>
        <w:rPr>
          <w:szCs w:val="22"/>
        </w:rPr>
      </w:pPr>
      <w:r w:rsidRPr="00C40770">
        <w:rPr>
          <w:b/>
          <w:szCs w:val="22"/>
        </w:rPr>
        <w:t>6.1</w:t>
      </w:r>
      <w:r w:rsidRPr="00C40770">
        <w:rPr>
          <w:b/>
          <w:szCs w:val="22"/>
        </w:rPr>
        <w:tab/>
        <w:t>Zoznam pomocných látok</w:t>
      </w:r>
    </w:p>
    <w:p w14:paraId="667D84AF" w14:textId="77777777" w:rsidR="00A03627" w:rsidRDefault="00A03627" w:rsidP="00065CF8">
      <w:pPr>
        <w:rPr>
          <w:szCs w:val="22"/>
        </w:rPr>
      </w:pPr>
    </w:p>
    <w:p w14:paraId="78580C35" w14:textId="01A2DB3C" w:rsidR="00A03627" w:rsidRDefault="007E5BBE" w:rsidP="00065CF8">
      <w:pPr>
        <w:ind w:left="0" w:firstLine="0"/>
        <w:rPr>
          <w:szCs w:val="22"/>
        </w:rPr>
      </w:pPr>
      <w:r>
        <w:rPr>
          <w:szCs w:val="22"/>
        </w:rPr>
        <w:t>m</w:t>
      </w:r>
      <w:r w:rsidR="003E529A" w:rsidRPr="00C40770">
        <w:rPr>
          <w:szCs w:val="22"/>
        </w:rPr>
        <w:t xml:space="preserve">onohydrát laktózy, </w:t>
      </w:r>
    </w:p>
    <w:p w14:paraId="64D936E7" w14:textId="77777777" w:rsidR="00A03627" w:rsidRDefault="003E529A" w:rsidP="00065CF8">
      <w:pPr>
        <w:ind w:left="0" w:firstLine="0"/>
        <w:rPr>
          <w:szCs w:val="22"/>
        </w:rPr>
      </w:pPr>
      <w:r w:rsidRPr="00C40770">
        <w:rPr>
          <w:szCs w:val="22"/>
        </w:rPr>
        <w:t xml:space="preserve">kukuričný škrob, </w:t>
      </w:r>
    </w:p>
    <w:p w14:paraId="7C1C1A40" w14:textId="77777777" w:rsidR="00A03627" w:rsidRDefault="003E529A" w:rsidP="00065CF8">
      <w:pPr>
        <w:ind w:left="0" w:firstLine="0"/>
        <w:rPr>
          <w:szCs w:val="22"/>
        </w:rPr>
      </w:pPr>
      <w:r w:rsidRPr="00C40770">
        <w:rPr>
          <w:szCs w:val="22"/>
        </w:rPr>
        <w:t xml:space="preserve">želatína, </w:t>
      </w:r>
    </w:p>
    <w:p w14:paraId="5D27FD63" w14:textId="77777777" w:rsidR="00A03627" w:rsidRDefault="00C40770" w:rsidP="00065CF8">
      <w:pPr>
        <w:ind w:left="0" w:firstLine="0"/>
        <w:rPr>
          <w:szCs w:val="22"/>
        </w:rPr>
      </w:pPr>
      <w:r w:rsidRPr="00C40770">
        <w:rPr>
          <w:szCs w:val="22"/>
        </w:rPr>
        <w:t xml:space="preserve">kalciumstearát, </w:t>
      </w:r>
    </w:p>
    <w:p w14:paraId="6230ADC8" w14:textId="77777777" w:rsidR="00A03627" w:rsidRDefault="00C40770" w:rsidP="00065CF8">
      <w:pPr>
        <w:ind w:left="0" w:firstLine="0"/>
        <w:rPr>
          <w:szCs w:val="22"/>
        </w:rPr>
      </w:pPr>
      <w:r w:rsidRPr="00C40770">
        <w:rPr>
          <w:szCs w:val="22"/>
        </w:rPr>
        <w:t xml:space="preserve">mastenec, </w:t>
      </w:r>
    </w:p>
    <w:p w14:paraId="0087C44D" w14:textId="77777777" w:rsidR="00A03627" w:rsidRDefault="00C40770" w:rsidP="00065CF8">
      <w:pPr>
        <w:ind w:left="0" w:firstLine="0"/>
        <w:rPr>
          <w:szCs w:val="22"/>
        </w:rPr>
      </w:pPr>
      <w:r w:rsidRPr="00C40770">
        <w:rPr>
          <w:szCs w:val="22"/>
        </w:rPr>
        <w:t xml:space="preserve">koloidný oxid kremičitý bezvodý, </w:t>
      </w:r>
    </w:p>
    <w:p w14:paraId="73826E00" w14:textId="77777777" w:rsidR="00A03627" w:rsidRDefault="00C40770" w:rsidP="00065CF8">
      <w:pPr>
        <w:ind w:left="0" w:firstLine="0"/>
        <w:rPr>
          <w:szCs w:val="22"/>
        </w:rPr>
      </w:pPr>
      <w:r w:rsidRPr="00C40770">
        <w:rPr>
          <w:szCs w:val="22"/>
        </w:rPr>
        <w:t xml:space="preserve">obaľovacia sústava Sepifilm 3048 žltá, </w:t>
      </w:r>
    </w:p>
    <w:p w14:paraId="6DC2E066" w14:textId="12F9B88C" w:rsidR="00A03627" w:rsidRDefault="00D1010E" w:rsidP="00065CF8">
      <w:pPr>
        <w:ind w:left="0" w:firstLine="0"/>
        <w:rPr>
          <w:szCs w:val="22"/>
        </w:rPr>
      </w:pPr>
      <w:r w:rsidRPr="00BA4B35">
        <w:rPr>
          <w:szCs w:val="22"/>
        </w:rPr>
        <w:t xml:space="preserve">silikonová </w:t>
      </w:r>
      <w:r w:rsidR="00765CF4" w:rsidRPr="00BA4B35">
        <w:rPr>
          <w:szCs w:val="22"/>
        </w:rPr>
        <w:t>emulzia SE</w:t>
      </w:r>
      <w:r w:rsidRPr="00BA4B35">
        <w:rPr>
          <w:szCs w:val="22"/>
        </w:rPr>
        <w:t>-2</w:t>
      </w:r>
      <w:r w:rsidR="00C40770" w:rsidRPr="00BA4B35">
        <w:rPr>
          <w:szCs w:val="22"/>
        </w:rPr>
        <w:t>,</w:t>
      </w:r>
      <w:r w:rsidR="00C40770" w:rsidRPr="00C40770">
        <w:rPr>
          <w:szCs w:val="22"/>
        </w:rPr>
        <w:t xml:space="preserve"> </w:t>
      </w:r>
    </w:p>
    <w:p w14:paraId="68278BBC" w14:textId="77777777" w:rsidR="00A03627" w:rsidRDefault="00C40770" w:rsidP="00065CF8">
      <w:pPr>
        <w:ind w:left="0" w:firstLine="0"/>
        <w:rPr>
          <w:szCs w:val="22"/>
        </w:rPr>
      </w:pPr>
      <w:r w:rsidRPr="00C40770">
        <w:rPr>
          <w:szCs w:val="22"/>
        </w:rPr>
        <w:t>makrogol 6 000.</w:t>
      </w:r>
    </w:p>
    <w:p w14:paraId="50288DAD" w14:textId="77777777" w:rsidR="00A03627" w:rsidRDefault="00A03627" w:rsidP="00065CF8">
      <w:pPr>
        <w:rPr>
          <w:b/>
          <w:szCs w:val="22"/>
        </w:rPr>
      </w:pPr>
    </w:p>
    <w:p w14:paraId="3ED012A5" w14:textId="77777777" w:rsidR="00A03627" w:rsidRDefault="00AA6297" w:rsidP="00065CF8">
      <w:pPr>
        <w:rPr>
          <w:szCs w:val="22"/>
        </w:rPr>
      </w:pPr>
      <w:r w:rsidRPr="00C40770">
        <w:rPr>
          <w:b/>
          <w:szCs w:val="22"/>
        </w:rPr>
        <w:t>6.2</w:t>
      </w:r>
      <w:r w:rsidRPr="00C40770">
        <w:rPr>
          <w:b/>
          <w:szCs w:val="22"/>
        </w:rPr>
        <w:tab/>
        <w:t>Inkompatibility</w:t>
      </w:r>
    </w:p>
    <w:p w14:paraId="4F6813E4" w14:textId="77777777" w:rsidR="00A03627" w:rsidRDefault="00A03627" w:rsidP="00065CF8">
      <w:pPr>
        <w:rPr>
          <w:szCs w:val="22"/>
        </w:rPr>
      </w:pPr>
    </w:p>
    <w:p w14:paraId="66CFE466" w14:textId="77777777" w:rsidR="00A03627" w:rsidRDefault="00AA6297" w:rsidP="00065CF8">
      <w:pPr>
        <w:rPr>
          <w:szCs w:val="22"/>
        </w:rPr>
      </w:pPr>
      <w:r w:rsidRPr="00C40770">
        <w:rPr>
          <w:szCs w:val="22"/>
        </w:rPr>
        <w:t>Neaplikovateľné.</w:t>
      </w:r>
    </w:p>
    <w:p w14:paraId="5079FD56" w14:textId="77777777" w:rsidR="00A03627" w:rsidRDefault="00A03627" w:rsidP="00065CF8">
      <w:pPr>
        <w:rPr>
          <w:szCs w:val="22"/>
        </w:rPr>
      </w:pPr>
    </w:p>
    <w:p w14:paraId="72F8B5BD" w14:textId="77777777" w:rsidR="00A03627" w:rsidRDefault="00AA6297" w:rsidP="00065CF8">
      <w:pPr>
        <w:rPr>
          <w:szCs w:val="22"/>
        </w:rPr>
      </w:pPr>
      <w:r w:rsidRPr="00C40770">
        <w:rPr>
          <w:b/>
          <w:szCs w:val="22"/>
        </w:rPr>
        <w:t>6.3</w:t>
      </w:r>
      <w:r w:rsidRPr="00C40770">
        <w:rPr>
          <w:b/>
          <w:szCs w:val="22"/>
        </w:rPr>
        <w:tab/>
        <w:t>Čas použiteľnosti</w:t>
      </w:r>
    </w:p>
    <w:p w14:paraId="4A610A45" w14:textId="77777777" w:rsidR="00A03627" w:rsidRDefault="00A03627" w:rsidP="00065CF8">
      <w:pPr>
        <w:rPr>
          <w:szCs w:val="22"/>
        </w:rPr>
      </w:pPr>
    </w:p>
    <w:p w14:paraId="07D3E797" w14:textId="77777777" w:rsidR="00A03627" w:rsidRDefault="0006390F" w:rsidP="00065CF8">
      <w:pPr>
        <w:rPr>
          <w:szCs w:val="22"/>
        </w:rPr>
      </w:pPr>
      <w:r w:rsidRPr="00065CF8">
        <w:rPr>
          <w:szCs w:val="22"/>
        </w:rPr>
        <w:t>3</w:t>
      </w:r>
      <w:r w:rsidR="00307FB0" w:rsidRPr="00065CF8">
        <w:rPr>
          <w:szCs w:val="22"/>
        </w:rPr>
        <w:t>6 mesiacov</w:t>
      </w:r>
    </w:p>
    <w:p w14:paraId="67683C42" w14:textId="77777777" w:rsidR="00A03627" w:rsidRDefault="00A03627" w:rsidP="00065CF8">
      <w:pPr>
        <w:rPr>
          <w:szCs w:val="22"/>
        </w:rPr>
      </w:pPr>
    </w:p>
    <w:p w14:paraId="24DC96DB" w14:textId="77777777" w:rsidR="00A03627" w:rsidRDefault="00AA6297" w:rsidP="00065CF8">
      <w:pPr>
        <w:rPr>
          <w:szCs w:val="22"/>
        </w:rPr>
      </w:pPr>
      <w:r w:rsidRPr="00C40770">
        <w:rPr>
          <w:b/>
          <w:szCs w:val="22"/>
        </w:rPr>
        <w:t>6.4</w:t>
      </w:r>
      <w:r w:rsidRPr="00C40770">
        <w:rPr>
          <w:b/>
          <w:szCs w:val="22"/>
        </w:rPr>
        <w:tab/>
        <w:t>Špeciálne upozornenia na uchovávanie</w:t>
      </w:r>
    </w:p>
    <w:p w14:paraId="3D941218" w14:textId="77777777" w:rsidR="00A03627" w:rsidRDefault="00A03627" w:rsidP="00065CF8">
      <w:pPr>
        <w:rPr>
          <w:szCs w:val="22"/>
        </w:rPr>
      </w:pPr>
    </w:p>
    <w:p w14:paraId="748707F2" w14:textId="77777777" w:rsidR="00A03627" w:rsidRDefault="00121BDB" w:rsidP="00065CF8">
      <w:pPr>
        <w:rPr>
          <w:szCs w:val="22"/>
        </w:rPr>
      </w:pPr>
      <w:r w:rsidRPr="00C40770">
        <w:rPr>
          <w:szCs w:val="22"/>
        </w:rPr>
        <w:t>Uchovávajte pri teplote do 25</w:t>
      </w:r>
      <w:r w:rsidR="003C69E4" w:rsidRPr="00C40770">
        <w:rPr>
          <w:szCs w:val="22"/>
        </w:rPr>
        <w:t xml:space="preserve"> </w:t>
      </w:r>
      <w:r w:rsidRPr="00C40770">
        <w:rPr>
          <w:szCs w:val="22"/>
        </w:rPr>
        <w:t>ºC.</w:t>
      </w:r>
    </w:p>
    <w:p w14:paraId="7B48B7F6" w14:textId="77777777" w:rsidR="00A03627" w:rsidRDefault="00121BDB" w:rsidP="00065CF8">
      <w:pPr>
        <w:rPr>
          <w:szCs w:val="22"/>
        </w:rPr>
      </w:pPr>
      <w:r w:rsidRPr="00C40770">
        <w:rPr>
          <w:szCs w:val="22"/>
        </w:rPr>
        <w:t>Uchovávajte v pôvodnom obale na ochranu pred svetlom a vlhkosťou.</w:t>
      </w:r>
    </w:p>
    <w:p w14:paraId="2FC64BAF" w14:textId="77777777" w:rsidR="00A03627" w:rsidRDefault="00A03627" w:rsidP="00065CF8">
      <w:pPr>
        <w:rPr>
          <w:szCs w:val="22"/>
        </w:rPr>
      </w:pPr>
    </w:p>
    <w:p w14:paraId="65524107" w14:textId="77777777" w:rsidR="00A03627" w:rsidRDefault="00AA6297" w:rsidP="00065CF8">
      <w:pPr>
        <w:rPr>
          <w:szCs w:val="22"/>
        </w:rPr>
      </w:pPr>
      <w:r w:rsidRPr="00C40770">
        <w:rPr>
          <w:b/>
          <w:szCs w:val="22"/>
        </w:rPr>
        <w:t>6.5</w:t>
      </w:r>
      <w:r w:rsidRPr="00C40770">
        <w:rPr>
          <w:b/>
          <w:szCs w:val="22"/>
        </w:rPr>
        <w:tab/>
        <w:t>Druh obalu a obsah balenia</w:t>
      </w:r>
      <w:r w:rsidRPr="00C40770">
        <w:rPr>
          <w:b/>
          <w:color w:val="0000FF"/>
          <w:szCs w:val="22"/>
        </w:rPr>
        <w:t xml:space="preserve"> </w:t>
      </w:r>
    </w:p>
    <w:p w14:paraId="1F959C30" w14:textId="77777777" w:rsidR="00A03627" w:rsidRDefault="00A03627" w:rsidP="00065CF8">
      <w:pPr>
        <w:rPr>
          <w:szCs w:val="22"/>
        </w:rPr>
      </w:pPr>
    </w:p>
    <w:p w14:paraId="49958D77" w14:textId="77777777" w:rsidR="00A03627" w:rsidRDefault="003C69E4" w:rsidP="00065CF8">
      <w:pPr>
        <w:ind w:left="0" w:firstLine="0"/>
        <w:rPr>
          <w:szCs w:val="22"/>
        </w:rPr>
      </w:pPr>
      <w:r w:rsidRPr="00C40770">
        <w:rPr>
          <w:szCs w:val="22"/>
        </w:rPr>
        <w:t>B</w:t>
      </w:r>
      <w:r w:rsidR="00121BDB" w:rsidRPr="00C40770">
        <w:rPr>
          <w:szCs w:val="22"/>
        </w:rPr>
        <w:t xml:space="preserve">lister </w:t>
      </w:r>
      <w:r w:rsidR="00C500B0">
        <w:rPr>
          <w:szCs w:val="22"/>
        </w:rPr>
        <w:t>Al</w:t>
      </w:r>
      <w:r w:rsidR="0056750C">
        <w:rPr>
          <w:szCs w:val="22"/>
        </w:rPr>
        <w:t>u</w:t>
      </w:r>
      <w:r w:rsidR="00C500B0">
        <w:rPr>
          <w:szCs w:val="22"/>
        </w:rPr>
        <w:t xml:space="preserve">/PVC </w:t>
      </w:r>
      <w:r w:rsidR="00121BDB" w:rsidRPr="00C40770">
        <w:rPr>
          <w:szCs w:val="22"/>
        </w:rPr>
        <w:t>(hliníková fólia s tlačou a nánosom termoplastu Hostalit, PVC fólia Durofol)</w:t>
      </w:r>
      <w:r w:rsidR="00055178">
        <w:rPr>
          <w:szCs w:val="22"/>
        </w:rPr>
        <w:t>.</w:t>
      </w:r>
    </w:p>
    <w:p w14:paraId="0960F8A2" w14:textId="77777777" w:rsidR="00A03627" w:rsidRDefault="00A03627" w:rsidP="00065CF8">
      <w:pPr>
        <w:ind w:left="0" w:firstLine="0"/>
        <w:rPr>
          <w:szCs w:val="22"/>
        </w:rPr>
      </w:pPr>
    </w:p>
    <w:p w14:paraId="682F0FA1" w14:textId="77777777" w:rsidR="00A03627" w:rsidRDefault="00121BDB" w:rsidP="00065CF8">
      <w:pPr>
        <w:ind w:left="0" w:firstLine="0"/>
        <w:rPr>
          <w:szCs w:val="22"/>
          <w:u w:val="single"/>
        </w:rPr>
      </w:pPr>
      <w:r w:rsidRPr="00C40770">
        <w:rPr>
          <w:szCs w:val="22"/>
          <w:u w:val="single"/>
        </w:rPr>
        <w:t>Veľkosť balenia:</w:t>
      </w:r>
    </w:p>
    <w:p w14:paraId="707776D7" w14:textId="77777777" w:rsidR="00A03627" w:rsidRDefault="00121BDB" w:rsidP="00065CF8">
      <w:pPr>
        <w:ind w:left="0" w:firstLine="0"/>
        <w:rPr>
          <w:szCs w:val="22"/>
        </w:rPr>
      </w:pPr>
      <w:r w:rsidRPr="00C40770">
        <w:rPr>
          <w:szCs w:val="22"/>
        </w:rPr>
        <w:t>20 filmom obalených tabliet (2 x 10)</w:t>
      </w:r>
    </w:p>
    <w:p w14:paraId="321710C4" w14:textId="77777777" w:rsidR="00A03627" w:rsidRDefault="00121BDB" w:rsidP="00065CF8">
      <w:pPr>
        <w:ind w:left="0" w:firstLine="0"/>
        <w:rPr>
          <w:szCs w:val="22"/>
        </w:rPr>
      </w:pPr>
      <w:r w:rsidRPr="00C40770">
        <w:rPr>
          <w:szCs w:val="22"/>
        </w:rPr>
        <w:t>50 filmom obalených tabliet (5 x 10)</w:t>
      </w:r>
    </w:p>
    <w:p w14:paraId="39EAF004" w14:textId="77777777" w:rsidR="00A03627" w:rsidRDefault="00121BDB" w:rsidP="00065CF8">
      <w:pPr>
        <w:ind w:left="0" w:firstLine="0"/>
        <w:rPr>
          <w:szCs w:val="22"/>
        </w:rPr>
      </w:pPr>
      <w:r w:rsidRPr="00C40770">
        <w:rPr>
          <w:szCs w:val="22"/>
        </w:rPr>
        <w:t>100 filmom obalených tabliet (10 x 10)</w:t>
      </w:r>
    </w:p>
    <w:p w14:paraId="0506A7DE" w14:textId="77777777" w:rsidR="00A03627" w:rsidRDefault="00A03627" w:rsidP="00065CF8">
      <w:pPr>
        <w:ind w:left="0" w:firstLine="0"/>
        <w:rPr>
          <w:szCs w:val="22"/>
        </w:rPr>
      </w:pPr>
    </w:p>
    <w:p w14:paraId="6B629E07" w14:textId="77777777" w:rsidR="00A03627" w:rsidRDefault="00055178" w:rsidP="00065CF8">
      <w:pPr>
        <w:ind w:left="0" w:firstLine="0"/>
        <w:rPr>
          <w:szCs w:val="22"/>
        </w:rPr>
      </w:pPr>
      <w:r>
        <w:rPr>
          <w:szCs w:val="22"/>
        </w:rPr>
        <w:t xml:space="preserve">Na trh nemusia byť uvedené všetky veľkosti balenia. </w:t>
      </w:r>
    </w:p>
    <w:p w14:paraId="41555D17" w14:textId="77777777" w:rsidR="00A03627" w:rsidRDefault="00A03627" w:rsidP="00065CF8">
      <w:pPr>
        <w:rPr>
          <w:szCs w:val="22"/>
        </w:rPr>
      </w:pPr>
    </w:p>
    <w:p w14:paraId="02E12096" w14:textId="77777777" w:rsidR="00A03627" w:rsidRDefault="00AA6297" w:rsidP="00065CF8">
      <w:pPr>
        <w:rPr>
          <w:b/>
          <w:szCs w:val="22"/>
          <w:lang w:val="pl-PL"/>
        </w:rPr>
      </w:pPr>
      <w:r w:rsidRPr="00C40770">
        <w:rPr>
          <w:b/>
          <w:szCs w:val="22"/>
        </w:rPr>
        <w:t>6.6</w:t>
      </w:r>
      <w:r w:rsidRPr="00C40770">
        <w:rPr>
          <w:b/>
          <w:szCs w:val="22"/>
        </w:rPr>
        <w:tab/>
      </w:r>
      <w:r w:rsidRPr="00C40770">
        <w:rPr>
          <w:b/>
          <w:bCs/>
          <w:noProof/>
          <w:szCs w:val="22"/>
          <w:lang w:val="pl-PL"/>
        </w:rPr>
        <w:t>Špeciálne opatrenia na likvidáciu</w:t>
      </w:r>
      <w:r w:rsidRPr="00C40770">
        <w:rPr>
          <w:b/>
          <w:szCs w:val="22"/>
        </w:rPr>
        <w:t xml:space="preserve"> </w:t>
      </w:r>
      <w:r w:rsidR="00121BDB" w:rsidRPr="00C40770">
        <w:rPr>
          <w:b/>
          <w:bCs/>
          <w:noProof/>
          <w:szCs w:val="22"/>
          <w:lang w:val="pl-PL"/>
        </w:rPr>
        <w:t>a iné</w:t>
      </w:r>
      <w:r w:rsidR="00121BDB" w:rsidRPr="00C40770">
        <w:rPr>
          <w:b/>
          <w:szCs w:val="22"/>
          <w:lang w:val="pl-PL"/>
        </w:rPr>
        <w:t xml:space="preserve"> zaobchádzanie s</w:t>
      </w:r>
      <w:r w:rsidR="00121BDB" w:rsidRPr="00C40770">
        <w:rPr>
          <w:b/>
          <w:bCs/>
          <w:noProof/>
          <w:szCs w:val="22"/>
          <w:lang w:val="pl-PL"/>
        </w:rPr>
        <w:t xml:space="preserve"> </w:t>
      </w:r>
      <w:r w:rsidR="00121BDB" w:rsidRPr="00C40770">
        <w:rPr>
          <w:b/>
          <w:szCs w:val="22"/>
          <w:lang w:val="pl-PL"/>
        </w:rPr>
        <w:t>liekom</w:t>
      </w:r>
    </w:p>
    <w:p w14:paraId="11ABDD2E" w14:textId="77777777" w:rsidR="00A03627" w:rsidRDefault="00A03627" w:rsidP="00065CF8">
      <w:pPr>
        <w:rPr>
          <w:b/>
          <w:szCs w:val="22"/>
          <w:lang w:val="pl-PL"/>
        </w:rPr>
      </w:pPr>
    </w:p>
    <w:p w14:paraId="0950FA85" w14:textId="11298B49" w:rsidR="00A03627" w:rsidRDefault="00E06B68" w:rsidP="00E76742">
      <w:pPr>
        <w:ind w:left="0" w:firstLine="0"/>
        <w:rPr>
          <w:szCs w:val="22"/>
        </w:rPr>
      </w:pPr>
      <w:r>
        <w:rPr>
          <w:szCs w:val="22"/>
        </w:rPr>
        <w:t>Všetok nepoužitý liek alebo odpad vzniknutý z lieku sa má zlikvidovať v súlade s národnými požiadavkami</w:t>
      </w:r>
      <w:r w:rsidR="00AA6297" w:rsidRPr="00C40770">
        <w:rPr>
          <w:szCs w:val="22"/>
        </w:rPr>
        <w:t>.</w:t>
      </w:r>
    </w:p>
    <w:p w14:paraId="02A76B67" w14:textId="77777777" w:rsidR="00A03627" w:rsidRDefault="00A03627" w:rsidP="00065CF8">
      <w:pPr>
        <w:rPr>
          <w:szCs w:val="22"/>
        </w:rPr>
      </w:pPr>
    </w:p>
    <w:p w14:paraId="6BD012E6" w14:textId="77777777" w:rsidR="00AA6297" w:rsidRPr="00C40770" w:rsidRDefault="00AA6297" w:rsidP="00C40770">
      <w:pPr>
        <w:jc w:val="both"/>
        <w:rPr>
          <w:szCs w:val="22"/>
        </w:rPr>
      </w:pPr>
    </w:p>
    <w:p w14:paraId="28720283" w14:textId="77777777" w:rsidR="00AA6297" w:rsidRPr="00C40770" w:rsidRDefault="00AA6297" w:rsidP="00C40770">
      <w:pPr>
        <w:jc w:val="both"/>
        <w:rPr>
          <w:b/>
          <w:szCs w:val="22"/>
        </w:rPr>
      </w:pPr>
      <w:r w:rsidRPr="00C40770">
        <w:rPr>
          <w:b/>
          <w:szCs w:val="22"/>
        </w:rPr>
        <w:t>7.</w:t>
      </w:r>
      <w:r w:rsidRPr="00C40770">
        <w:rPr>
          <w:b/>
          <w:szCs w:val="22"/>
        </w:rPr>
        <w:tab/>
        <w:t>DRŽITEĽ ROZHODNUTIA O REGISTRÁCII</w:t>
      </w:r>
    </w:p>
    <w:p w14:paraId="38D716DC" w14:textId="77777777" w:rsidR="00AA6297" w:rsidRPr="00C40770" w:rsidRDefault="00AA6297" w:rsidP="00C40770">
      <w:pPr>
        <w:jc w:val="both"/>
        <w:rPr>
          <w:szCs w:val="22"/>
        </w:rPr>
      </w:pPr>
    </w:p>
    <w:p w14:paraId="2E94C366" w14:textId="77777777" w:rsidR="00055178" w:rsidRDefault="00121BDB" w:rsidP="00C40770">
      <w:pPr>
        <w:jc w:val="both"/>
        <w:rPr>
          <w:szCs w:val="22"/>
        </w:rPr>
      </w:pPr>
      <w:r w:rsidRPr="00C40770">
        <w:rPr>
          <w:szCs w:val="22"/>
        </w:rPr>
        <w:t>Zentiva, a. s.</w:t>
      </w:r>
    </w:p>
    <w:p w14:paraId="1C18F2DA" w14:textId="77777777" w:rsidR="00055178" w:rsidRDefault="004D0FAD" w:rsidP="00C40770">
      <w:pPr>
        <w:jc w:val="both"/>
        <w:rPr>
          <w:szCs w:val="22"/>
        </w:rPr>
      </w:pPr>
      <w:r>
        <w:rPr>
          <w:szCs w:val="22"/>
        </w:rPr>
        <w:t>Einsteinova 24</w:t>
      </w:r>
    </w:p>
    <w:p w14:paraId="04296406" w14:textId="77777777" w:rsidR="00055178" w:rsidRDefault="004D0FAD" w:rsidP="00C40770">
      <w:pPr>
        <w:jc w:val="both"/>
        <w:rPr>
          <w:szCs w:val="22"/>
        </w:rPr>
      </w:pPr>
      <w:r>
        <w:rPr>
          <w:szCs w:val="22"/>
        </w:rPr>
        <w:t>851</w:t>
      </w:r>
      <w:r w:rsidR="00B04E6B">
        <w:rPr>
          <w:szCs w:val="22"/>
        </w:rPr>
        <w:t> </w:t>
      </w:r>
      <w:r>
        <w:rPr>
          <w:szCs w:val="22"/>
        </w:rPr>
        <w:t>01 Bratislava</w:t>
      </w:r>
    </w:p>
    <w:p w14:paraId="42EEF0F4" w14:textId="77777777" w:rsidR="00121BDB" w:rsidRPr="00C40770" w:rsidRDefault="00121BDB" w:rsidP="00C40770">
      <w:pPr>
        <w:jc w:val="both"/>
        <w:rPr>
          <w:szCs w:val="22"/>
        </w:rPr>
      </w:pPr>
      <w:r w:rsidRPr="00C40770">
        <w:rPr>
          <w:szCs w:val="22"/>
        </w:rPr>
        <w:t>Slovenská republika</w:t>
      </w:r>
    </w:p>
    <w:p w14:paraId="639E9203" w14:textId="77777777" w:rsidR="00121BDB" w:rsidRPr="00C40770" w:rsidRDefault="00121BDB" w:rsidP="00C40770">
      <w:pPr>
        <w:jc w:val="both"/>
        <w:rPr>
          <w:szCs w:val="22"/>
        </w:rPr>
      </w:pPr>
    </w:p>
    <w:p w14:paraId="555460F8" w14:textId="77777777" w:rsidR="00121BDB" w:rsidRPr="00C40770" w:rsidRDefault="00121BDB" w:rsidP="00C40770">
      <w:pPr>
        <w:jc w:val="both"/>
        <w:rPr>
          <w:szCs w:val="22"/>
        </w:rPr>
      </w:pPr>
    </w:p>
    <w:p w14:paraId="2118E8CE" w14:textId="77777777" w:rsidR="00AA6297" w:rsidRPr="00C40770" w:rsidRDefault="00AA6297" w:rsidP="00C40770">
      <w:pPr>
        <w:jc w:val="both"/>
        <w:rPr>
          <w:b/>
          <w:szCs w:val="22"/>
        </w:rPr>
      </w:pPr>
      <w:r w:rsidRPr="00C40770">
        <w:rPr>
          <w:b/>
          <w:szCs w:val="22"/>
        </w:rPr>
        <w:t>8.</w:t>
      </w:r>
      <w:r w:rsidRPr="00C40770">
        <w:rPr>
          <w:b/>
          <w:szCs w:val="22"/>
        </w:rPr>
        <w:tab/>
        <w:t xml:space="preserve">REGISTRAČNÉ ČÍSLO </w:t>
      </w:r>
    </w:p>
    <w:p w14:paraId="53A7F117" w14:textId="77777777" w:rsidR="00AA6297" w:rsidRPr="00C40770" w:rsidRDefault="00AA6297" w:rsidP="00C40770">
      <w:pPr>
        <w:jc w:val="both"/>
        <w:rPr>
          <w:i/>
          <w:szCs w:val="22"/>
        </w:rPr>
      </w:pPr>
    </w:p>
    <w:p w14:paraId="6CD8D96B" w14:textId="77777777" w:rsidR="00121BDB" w:rsidRPr="00C40770" w:rsidRDefault="00121BDB" w:rsidP="00C40770">
      <w:pPr>
        <w:jc w:val="both"/>
        <w:rPr>
          <w:szCs w:val="22"/>
        </w:rPr>
      </w:pPr>
      <w:r w:rsidRPr="00C40770">
        <w:rPr>
          <w:szCs w:val="22"/>
        </w:rPr>
        <w:t>30/0117/95-S</w:t>
      </w:r>
    </w:p>
    <w:p w14:paraId="5619C472" w14:textId="77777777" w:rsidR="00AA6297" w:rsidRPr="00C40770" w:rsidRDefault="00AA6297" w:rsidP="00C40770">
      <w:pPr>
        <w:jc w:val="both"/>
        <w:rPr>
          <w:szCs w:val="22"/>
        </w:rPr>
      </w:pPr>
    </w:p>
    <w:p w14:paraId="35923CE1" w14:textId="77777777" w:rsidR="00AA6297" w:rsidRPr="00C40770" w:rsidRDefault="00AA6297" w:rsidP="00C40770">
      <w:pPr>
        <w:jc w:val="both"/>
        <w:rPr>
          <w:szCs w:val="22"/>
        </w:rPr>
      </w:pPr>
    </w:p>
    <w:p w14:paraId="46365A0E" w14:textId="77777777" w:rsidR="00AA6297" w:rsidRPr="00C40770" w:rsidRDefault="00AA6297" w:rsidP="00C40770">
      <w:pPr>
        <w:jc w:val="both"/>
        <w:rPr>
          <w:b/>
          <w:szCs w:val="22"/>
        </w:rPr>
      </w:pPr>
      <w:r w:rsidRPr="00C40770">
        <w:rPr>
          <w:b/>
          <w:szCs w:val="22"/>
        </w:rPr>
        <w:t>9.</w:t>
      </w:r>
      <w:r w:rsidRPr="00C40770">
        <w:rPr>
          <w:b/>
          <w:szCs w:val="22"/>
        </w:rPr>
        <w:tab/>
        <w:t>DÁTUM PRVEJ REGISTRÁCIE/ PREDĹŽENIA REGISTRÁCIE</w:t>
      </w:r>
    </w:p>
    <w:p w14:paraId="2E29AE84" w14:textId="77777777" w:rsidR="00AA6297" w:rsidRPr="00C40770" w:rsidRDefault="00AA6297" w:rsidP="00C40770">
      <w:pPr>
        <w:jc w:val="both"/>
        <w:rPr>
          <w:szCs w:val="22"/>
        </w:rPr>
      </w:pPr>
    </w:p>
    <w:p w14:paraId="1018D938" w14:textId="77777777" w:rsidR="002B1F96" w:rsidRDefault="002B1F96" w:rsidP="00C40770">
      <w:pPr>
        <w:jc w:val="both"/>
        <w:rPr>
          <w:szCs w:val="22"/>
        </w:rPr>
      </w:pPr>
      <w:r>
        <w:rPr>
          <w:noProof/>
          <w:szCs w:val="22"/>
        </w:rPr>
        <w:t xml:space="preserve">Dátum prvej registrácie: </w:t>
      </w:r>
      <w:r w:rsidR="00121BDB" w:rsidRPr="00C40770">
        <w:rPr>
          <w:noProof/>
          <w:szCs w:val="22"/>
        </w:rPr>
        <w:t>01</w:t>
      </w:r>
      <w:r>
        <w:rPr>
          <w:noProof/>
          <w:szCs w:val="22"/>
        </w:rPr>
        <w:t>.</w:t>
      </w:r>
      <w:r w:rsidR="00A06B7D">
        <w:rPr>
          <w:noProof/>
          <w:szCs w:val="22"/>
        </w:rPr>
        <w:t xml:space="preserve"> </w:t>
      </w:r>
      <w:r w:rsidR="00055178">
        <w:rPr>
          <w:noProof/>
          <w:szCs w:val="22"/>
        </w:rPr>
        <w:t xml:space="preserve">marca </w:t>
      </w:r>
      <w:r w:rsidR="00121BDB" w:rsidRPr="00C40770">
        <w:rPr>
          <w:szCs w:val="22"/>
        </w:rPr>
        <w:t>1995</w:t>
      </w:r>
    </w:p>
    <w:p w14:paraId="2451F5F6" w14:textId="77777777" w:rsidR="00AA6297" w:rsidRPr="00C40770" w:rsidRDefault="002B1F96" w:rsidP="00C40770">
      <w:pPr>
        <w:jc w:val="both"/>
        <w:rPr>
          <w:szCs w:val="22"/>
        </w:rPr>
      </w:pPr>
      <w:r>
        <w:rPr>
          <w:noProof/>
          <w:szCs w:val="22"/>
        </w:rPr>
        <w:t>Dátum posledného predĺženia registrácie:</w:t>
      </w:r>
      <w:r>
        <w:rPr>
          <w:szCs w:val="22"/>
        </w:rPr>
        <w:t xml:space="preserve"> </w:t>
      </w:r>
      <w:r w:rsidR="00152E9A">
        <w:rPr>
          <w:szCs w:val="22"/>
        </w:rPr>
        <w:t>0</w:t>
      </w:r>
      <w:r>
        <w:rPr>
          <w:szCs w:val="22"/>
        </w:rPr>
        <w:t>9</w:t>
      </w:r>
      <w:r w:rsidR="00A06B7D">
        <w:rPr>
          <w:szCs w:val="22"/>
        </w:rPr>
        <w:t>. f</w:t>
      </w:r>
      <w:r w:rsidR="00055178">
        <w:rPr>
          <w:szCs w:val="22"/>
        </w:rPr>
        <w:t xml:space="preserve">ebruára </w:t>
      </w:r>
      <w:r>
        <w:rPr>
          <w:szCs w:val="22"/>
        </w:rPr>
        <w:t>2007</w:t>
      </w:r>
    </w:p>
    <w:p w14:paraId="7755B62E" w14:textId="77777777" w:rsidR="00AA6297" w:rsidRPr="00C40770" w:rsidRDefault="00AA6297" w:rsidP="00C40770">
      <w:pPr>
        <w:jc w:val="both"/>
        <w:rPr>
          <w:szCs w:val="22"/>
        </w:rPr>
      </w:pPr>
    </w:p>
    <w:p w14:paraId="2E3AFE6B" w14:textId="77777777" w:rsidR="00AA6297" w:rsidRPr="00C40770" w:rsidRDefault="00AA6297" w:rsidP="00C40770">
      <w:pPr>
        <w:jc w:val="both"/>
        <w:rPr>
          <w:b/>
          <w:szCs w:val="22"/>
        </w:rPr>
      </w:pPr>
      <w:r w:rsidRPr="00C40770">
        <w:rPr>
          <w:b/>
          <w:szCs w:val="22"/>
        </w:rPr>
        <w:t>10.</w:t>
      </w:r>
      <w:r w:rsidRPr="00C40770">
        <w:rPr>
          <w:b/>
          <w:szCs w:val="22"/>
        </w:rPr>
        <w:tab/>
        <w:t>DÁTUM REVÍZIE TEXTU</w:t>
      </w:r>
    </w:p>
    <w:p w14:paraId="283F2484" w14:textId="77777777" w:rsidR="00AA6297" w:rsidRDefault="00AA6297" w:rsidP="00C40770">
      <w:pPr>
        <w:jc w:val="both"/>
        <w:rPr>
          <w:b/>
          <w:szCs w:val="22"/>
        </w:rPr>
      </w:pPr>
    </w:p>
    <w:p w14:paraId="1968A709" w14:textId="77777777" w:rsidR="00DD2A4A" w:rsidRPr="00E76742" w:rsidRDefault="00BA4B35" w:rsidP="00C40770">
      <w:pPr>
        <w:jc w:val="both"/>
        <w:rPr>
          <w:szCs w:val="22"/>
        </w:rPr>
      </w:pPr>
      <w:r w:rsidRPr="00E76742">
        <w:rPr>
          <w:szCs w:val="22"/>
        </w:rPr>
        <w:t>11</w:t>
      </w:r>
      <w:r w:rsidR="00DD2A4A" w:rsidRPr="00E76742">
        <w:rPr>
          <w:szCs w:val="22"/>
        </w:rPr>
        <w:t>/2017</w:t>
      </w:r>
    </w:p>
    <w:p w14:paraId="5EDCB7E5" w14:textId="01D11A62" w:rsidR="00E84503" w:rsidRDefault="00E84503" w:rsidP="00C40770">
      <w:pPr>
        <w:jc w:val="both"/>
        <w:rPr>
          <w:szCs w:val="22"/>
        </w:rPr>
      </w:pPr>
    </w:p>
    <w:sectPr w:rsidR="00E84503" w:rsidSect="00065CF8">
      <w:footerReference w:type="default" r:id="rId8"/>
      <w:headerReference w:type="first" r:id="rId9"/>
      <w:footerReference w:type="first" r:id="rId10"/>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CB62E" w14:textId="77777777" w:rsidR="00A5567B" w:rsidRDefault="00A5567B" w:rsidP="00EC35BF">
      <w:r>
        <w:separator/>
      </w:r>
    </w:p>
  </w:endnote>
  <w:endnote w:type="continuationSeparator" w:id="0">
    <w:p w14:paraId="7ABB50DE" w14:textId="77777777" w:rsidR="00A5567B" w:rsidRDefault="00A5567B" w:rsidP="00EC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951930"/>
      <w:docPartObj>
        <w:docPartGallery w:val="Page Numbers (Bottom of Page)"/>
        <w:docPartUnique/>
      </w:docPartObj>
    </w:sdtPr>
    <w:sdtEndPr/>
    <w:sdtContent>
      <w:p w14:paraId="371DF782" w14:textId="77777777" w:rsidR="000A5177" w:rsidRDefault="000A5177">
        <w:pPr>
          <w:pStyle w:val="Pta"/>
          <w:jc w:val="center"/>
        </w:pPr>
        <w:r>
          <w:fldChar w:fldCharType="begin"/>
        </w:r>
        <w:r>
          <w:instrText>PAGE   \* MERGEFORMAT</w:instrText>
        </w:r>
        <w:r>
          <w:fldChar w:fldCharType="separate"/>
        </w:r>
        <w:r w:rsidR="00E76742">
          <w:rPr>
            <w:noProof/>
          </w:rPr>
          <w:t>15</w:t>
        </w:r>
        <w:r>
          <w:fldChar w:fldCharType="end"/>
        </w:r>
      </w:p>
    </w:sdtContent>
  </w:sdt>
  <w:p w14:paraId="13AD159D" w14:textId="77777777" w:rsidR="000A5177" w:rsidRDefault="000A517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146678"/>
      <w:docPartObj>
        <w:docPartGallery w:val="Page Numbers (Bottom of Page)"/>
        <w:docPartUnique/>
      </w:docPartObj>
    </w:sdtPr>
    <w:sdtEndPr/>
    <w:sdtContent>
      <w:p w14:paraId="44C411DC" w14:textId="77777777" w:rsidR="000A5177" w:rsidRDefault="000A5177">
        <w:pPr>
          <w:pStyle w:val="Pta"/>
          <w:jc w:val="center"/>
        </w:pPr>
        <w:r>
          <w:fldChar w:fldCharType="begin"/>
        </w:r>
        <w:r>
          <w:instrText>PAGE   \* MERGEFORMAT</w:instrText>
        </w:r>
        <w:r>
          <w:fldChar w:fldCharType="separate"/>
        </w:r>
        <w:r w:rsidR="00E76742">
          <w:rPr>
            <w:noProof/>
          </w:rPr>
          <w:t>1</w:t>
        </w:r>
        <w:r>
          <w:fldChar w:fldCharType="end"/>
        </w:r>
      </w:p>
    </w:sdtContent>
  </w:sdt>
  <w:p w14:paraId="30EE0548" w14:textId="77777777" w:rsidR="000A5177" w:rsidRDefault="000A517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3E4F5" w14:textId="77777777" w:rsidR="00A5567B" w:rsidRDefault="00A5567B" w:rsidP="00EC35BF">
      <w:r>
        <w:separator/>
      </w:r>
    </w:p>
  </w:footnote>
  <w:footnote w:type="continuationSeparator" w:id="0">
    <w:p w14:paraId="7D0A5452" w14:textId="77777777" w:rsidR="00A5567B" w:rsidRDefault="00A5567B" w:rsidP="00EC3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C5322" w14:textId="11B832BF" w:rsidR="000A5177" w:rsidRPr="004B0188" w:rsidRDefault="000A5177" w:rsidP="0060333C">
    <w:pPr>
      <w:ind w:left="0" w:firstLine="0"/>
      <w:rPr>
        <w:szCs w:val="22"/>
      </w:rPr>
    </w:pPr>
    <w:r>
      <w:rPr>
        <w:sz w:val="18"/>
        <w:szCs w:val="18"/>
      </w:rPr>
      <w:t>Príloha č.1 k notifikácii</w:t>
    </w:r>
    <w:r w:rsidRPr="000B2E3F">
      <w:rPr>
        <w:sz w:val="18"/>
        <w:szCs w:val="18"/>
      </w:rPr>
      <w:t xml:space="preserve"> o zmene, ev. č.</w:t>
    </w:r>
    <w:r>
      <w:rPr>
        <w:sz w:val="18"/>
        <w:szCs w:val="18"/>
      </w:rPr>
      <w:t>: 2017/04321</w:t>
    </w:r>
    <w:r w:rsidRPr="00765CF4">
      <w:rPr>
        <w:sz w:val="18"/>
        <w:szCs w:val="18"/>
      </w:rPr>
      <w:t>-Z1B</w:t>
    </w:r>
  </w:p>
  <w:p w14:paraId="6B2E0302" w14:textId="77777777" w:rsidR="000A5177" w:rsidRDefault="000A5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292227"/>
    <w:multiLevelType w:val="hybridMultilevel"/>
    <w:tmpl w:val="A97ED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137936"/>
    <w:multiLevelType w:val="hybridMultilevel"/>
    <w:tmpl w:val="E17A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61072"/>
    <w:multiLevelType w:val="singleLevel"/>
    <w:tmpl w:val="54C43F5E"/>
    <w:lvl w:ilvl="0">
      <w:start w:val="5"/>
      <w:numFmt w:val="decimal"/>
      <w:lvlText w:val="4.%1. "/>
      <w:legacy w:legacy="1" w:legacySpace="0" w:legacyIndent="283"/>
      <w:lvlJc w:val="left"/>
      <w:pPr>
        <w:ind w:left="283" w:hanging="283"/>
      </w:pPr>
      <w:rPr>
        <w:b/>
        <w:i/>
        <w:sz w:val="24"/>
      </w:rPr>
    </w:lvl>
  </w:abstractNum>
  <w:abstractNum w:abstractNumId="4">
    <w:nsid w:val="16515226"/>
    <w:multiLevelType w:val="singleLevel"/>
    <w:tmpl w:val="888AA25A"/>
    <w:lvl w:ilvl="0">
      <w:start w:val="2"/>
      <w:numFmt w:val="decimal"/>
      <w:lvlText w:val="5.%1. "/>
      <w:legacy w:legacy="1" w:legacySpace="0" w:legacyIndent="283"/>
      <w:lvlJc w:val="left"/>
      <w:pPr>
        <w:ind w:left="283" w:hanging="283"/>
      </w:pPr>
      <w:rPr>
        <w:b/>
        <w:i/>
        <w:sz w:val="24"/>
      </w:rPr>
    </w:lvl>
  </w:abstractNum>
  <w:abstractNum w:abstractNumId="5">
    <w:nsid w:val="16B37DB5"/>
    <w:multiLevelType w:val="hybridMultilevel"/>
    <w:tmpl w:val="9B02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2E63DC"/>
    <w:multiLevelType w:val="singleLevel"/>
    <w:tmpl w:val="93F47206"/>
    <w:lvl w:ilvl="0">
      <w:start w:val="5"/>
      <w:numFmt w:val="decimal"/>
      <w:lvlText w:val="6.%1. "/>
      <w:legacy w:legacy="1" w:legacySpace="0" w:legacyIndent="283"/>
      <w:lvlJc w:val="left"/>
      <w:pPr>
        <w:ind w:left="283" w:hanging="283"/>
      </w:pPr>
      <w:rPr>
        <w:b/>
        <w:i/>
        <w:sz w:val="24"/>
      </w:rPr>
    </w:lvl>
  </w:abstractNum>
  <w:abstractNum w:abstractNumId="7">
    <w:nsid w:val="18842B17"/>
    <w:multiLevelType w:val="singleLevel"/>
    <w:tmpl w:val="974A7932"/>
    <w:lvl w:ilvl="0">
      <w:start w:val="3"/>
      <w:numFmt w:val="decimal"/>
      <w:lvlText w:val="4.%1. "/>
      <w:legacy w:legacy="1" w:legacySpace="0" w:legacyIndent="283"/>
      <w:lvlJc w:val="left"/>
      <w:pPr>
        <w:ind w:left="283" w:hanging="283"/>
      </w:pPr>
      <w:rPr>
        <w:b/>
        <w:i/>
        <w:sz w:val="24"/>
      </w:rPr>
    </w:lvl>
  </w:abstractNum>
  <w:abstractNum w:abstractNumId="8">
    <w:nsid w:val="18C45DBE"/>
    <w:multiLevelType w:val="singleLevel"/>
    <w:tmpl w:val="041B000F"/>
    <w:lvl w:ilvl="0">
      <w:start w:val="1"/>
      <w:numFmt w:val="decimal"/>
      <w:lvlText w:val="%1."/>
      <w:lvlJc w:val="left"/>
      <w:pPr>
        <w:tabs>
          <w:tab w:val="num" w:pos="360"/>
        </w:tabs>
        <w:ind w:left="360" w:hanging="360"/>
      </w:pPr>
      <w:rPr>
        <w:rFonts w:hint="default"/>
        <w:b w:val="0"/>
        <w:u w:val="none"/>
      </w:rPr>
    </w:lvl>
  </w:abstractNum>
  <w:abstractNum w:abstractNumId="9">
    <w:nsid w:val="199E033F"/>
    <w:multiLevelType w:val="singleLevel"/>
    <w:tmpl w:val="639261B0"/>
    <w:lvl w:ilvl="0">
      <w:start w:val="2"/>
      <w:numFmt w:val="decimal"/>
      <w:lvlText w:val="4.%1. "/>
      <w:legacy w:legacy="1" w:legacySpace="0" w:legacyIndent="283"/>
      <w:lvlJc w:val="left"/>
      <w:pPr>
        <w:ind w:left="283" w:hanging="283"/>
      </w:pPr>
      <w:rPr>
        <w:b/>
        <w:i/>
        <w:sz w:val="24"/>
      </w:rPr>
    </w:lvl>
  </w:abstractNum>
  <w:abstractNum w:abstractNumId="10">
    <w:nsid w:val="1AD060F8"/>
    <w:multiLevelType w:val="singleLevel"/>
    <w:tmpl w:val="B29481A4"/>
    <w:lvl w:ilvl="0">
      <w:start w:val="9"/>
      <w:numFmt w:val="decimal"/>
      <w:lvlText w:val="4.%1. "/>
      <w:legacy w:legacy="1" w:legacySpace="0" w:legacyIndent="283"/>
      <w:lvlJc w:val="left"/>
      <w:pPr>
        <w:ind w:left="283" w:hanging="283"/>
      </w:pPr>
      <w:rPr>
        <w:b/>
        <w:i/>
        <w:sz w:val="24"/>
      </w:rPr>
    </w:lvl>
  </w:abstractNum>
  <w:abstractNum w:abstractNumId="11">
    <w:nsid w:val="1DCF56C4"/>
    <w:multiLevelType w:val="hybridMultilevel"/>
    <w:tmpl w:val="E3105EBE"/>
    <w:lvl w:ilvl="0" w:tplc="2CC049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5A72BC"/>
    <w:multiLevelType w:val="hybridMultilevel"/>
    <w:tmpl w:val="11E4A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EA0B22"/>
    <w:multiLevelType w:val="hybridMultilevel"/>
    <w:tmpl w:val="873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A2D08"/>
    <w:multiLevelType w:val="hybridMultilevel"/>
    <w:tmpl w:val="0B7E4F92"/>
    <w:lvl w:ilvl="0" w:tplc="3AA8C2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54591A"/>
    <w:multiLevelType w:val="singleLevel"/>
    <w:tmpl w:val="9CAAAAE0"/>
    <w:lvl w:ilvl="0">
      <w:numFmt w:val="bullet"/>
      <w:lvlText w:val="-"/>
      <w:lvlJc w:val="left"/>
      <w:pPr>
        <w:tabs>
          <w:tab w:val="num" w:pos="360"/>
        </w:tabs>
        <w:ind w:left="360" w:hanging="360"/>
      </w:pPr>
      <w:rPr>
        <w:rFonts w:hint="default"/>
      </w:rPr>
    </w:lvl>
  </w:abstractNum>
  <w:abstractNum w:abstractNumId="16">
    <w:nsid w:val="2C840CBF"/>
    <w:multiLevelType w:val="hybridMultilevel"/>
    <w:tmpl w:val="74A2D810"/>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2E692F4E"/>
    <w:multiLevelType w:val="hybridMultilevel"/>
    <w:tmpl w:val="0C64A5E0"/>
    <w:lvl w:ilvl="0" w:tplc="2CC0499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2FF33954"/>
    <w:multiLevelType w:val="hybridMultilevel"/>
    <w:tmpl w:val="297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F76430"/>
    <w:multiLevelType w:val="singleLevel"/>
    <w:tmpl w:val="A63E3584"/>
    <w:lvl w:ilvl="0">
      <w:start w:val="1"/>
      <w:numFmt w:val="decimal"/>
      <w:lvlText w:val="6.%1. "/>
      <w:legacy w:legacy="1" w:legacySpace="0" w:legacyIndent="283"/>
      <w:lvlJc w:val="left"/>
      <w:pPr>
        <w:ind w:left="283" w:hanging="283"/>
      </w:pPr>
      <w:rPr>
        <w:b/>
        <w:i/>
        <w:sz w:val="24"/>
      </w:rPr>
    </w:lvl>
  </w:abstractNum>
  <w:abstractNum w:abstractNumId="20">
    <w:nsid w:val="31861339"/>
    <w:multiLevelType w:val="hybridMultilevel"/>
    <w:tmpl w:val="655E2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50C41ED"/>
    <w:multiLevelType w:val="hybridMultilevel"/>
    <w:tmpl w:val="DB2CA4FA"/>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35DD1342"/>
    <w:multiLevelType w:val="singleLevel"/>
    <w:tmpl w:val="9CAAAAE0"/>
    <w:lvl w:ilvl="0">
      <w:numFmt w:val="bullet"/>
      <w:lvlText w:val="-"/>
      <w:lvlJc w:val="left"/>
      <w:pPr>
        <w:tabs>
          <w:tab w:val="num" w:pos="360"/>
        </w:tabs>
        <w:ind w:left="360" w:hanging="360"/>
      </w:pPr>
      <w:rPr>
        <w:rFonts w:hint="default"/>
      </w:rPr>
    </w:lvl>
  </w:abstractNum>
  <w:abstractNum w:abstractNumId="23">
    <w:nsid w:val="35EF58A7"/>
    <w:multiLevelType w:val="hybridMultilevel"/>
    <w:tmpl w:val="85AEE992"/>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7421806"/>
    <w:multiLevelType w:val="hybridMultilevel"/>
    <w:tmpl w:val="A1B29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7BB4911"/>
    <w:multiLevelType w:val="hybridMultilevel"/>
    <w:tmpl w:val="854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1C73ED"/>
    <w:multiLevelType w:val="hybridMultilevel"/>
    <w:tmpl w:val="0B9827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3D842F91"/>
    <w:multiLevelType w:val="singleLevel"/>
    <w:tmpl w:val="041B000F"/>
    <w:lvl w:ilvl="0">
      <w:start w:val="1"/>
      <w:numFmt w:val="decimal"/>
      <w:lvlText w:val="%1."/>
      <w:legacy w:legacy="1" w:legacySpace="0" w:legacyIndent="360"/>
      <w:lvlJc w:val="left"/>
      <w:pPr>
        <w:ind w:left="360" w:hanging="360"/>
      </w:pPr>
      <w:rPr>
        <w:b w:val="0"/>
      </w:rPr>
    </w:lvl>
  </w:abstractNum>
  <w:abstractNum w:abstractNumId="28">
    <w:nsid w:val="3F0E3734"/>
    <w:multiLevelType w:val="singleLevel"/>
    <w:tmpl w:val="249CCD04"/>
    <w:lvl w:ilvl="0">
      <w:start w:val="2"/>
      <w:numFmt w:val="decimal"/>
      <w:lvlText w:val="6.%1. "/>
      <w:legacy w:legacy="1" w:legacySpace="0" w:legacyIndent="283"/>
      <w:lvlJc w:val="left"/>
      <w:pPr>
        <w:ind w:left="283" w:hanging="283"/>
      </w:pPr>
      <w:rPr>
        <w:b/>
        <w:i/>
        <w:sz w:val="24"/>
      </w:rPr>
    </w:lvl>
  </w:abstractNum>
  <w:abstractNum w:abstractNumId="29">
    <w:nsid w:val="3FD17807"/>
    <w:multiLevelType w:val="hybridMultilevel"/>
    <w:tmpl w:val="7758ED3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8746C5"/>
    <w:multiLevelType w:val="singleLevel"/>
    <w:tmpl w:val="4CCEF042"/>
    <w:lvl w:ilvl="0">
      <w:start w:val="3"/>
      <w:numFmt w:val="decimal"/>
      <w:lvlText w:val="6.%1. "/>
      <w:legacy w:legacy="1" w:legacySpace="0" w:legacyIndent="283"/>
      <w:lvlJc w:val="left"/>
      <w:pPr>
        <w:ind w:left="283" w:hanging="283"/>
      </w:pPr>
      <w:rPr>
        <w:b/>
        <w:i/>
        <w:sz w:val="24"/>
      </w:rPr>
    </w:lvl>
  </w:abstractNum>
  <w:abstractNum w:abstractNumId="31">
    <w:nsid w:val="46A55DC5"/>
    <w:multiLevelType w:val="singleLevel"/>
    <w:tmpl w:val="449433E2"/>
    <w:lvl w:ilvl="0">
      <w:start w:val="6"/>
      <w:numFmt w:val="decimal"/>
      <w:lvlText w:val="4.%1. "/>
      <w:legacy w:legacy="1" w:legacySpace="0" w:legacyIndent="283"/>
      <w:lvlJc w:val="left"/>
      <w:pPr>
        <w:ind w:left="283" w:hanging="283"/>
      </w:pPr>
      <w:rPr>
        <w:b/>
        <w:i/>
        <w:sz w:val="24"/>
      </w:rPr>
    </w:lvl>
  </w:abstractNum>
  <w:abstractNum w:abstractNumId="32">
    <w:nsid w:val="48B51A5A"/>
    <w:multiLevelType w:val="hybridMultilevel"/>
    <w:tmpl w:val="3D52C712"/>
    <w:lvl w:ilvl="0" w:tplc="2CC049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D35213C"/>
    <w:multiLevelType w:val="hybridMultilevel"/>
    <w:tmpl w:val="A620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AF5D03"/>
    <w:multiLevelType w:val="hybridMultilevel"/>
    <w:tmpl w:val="21EA818A"/>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578B2D0E"/>
    <w:multiLevelType w:val="hybridMultilevel"/>
    <w:tmpl w:val="3E40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4603CE"/>
    <w:multiLevelType w:val="singleLevel"/>
    <w:tmpl w:val="27D8F8B8"/>
    <w:lvl w:ilvl="0">
      <w:start w:val="8"/>
      <w:numFmt w:val="decimal"/>
      <w:lvlText w:val="4.%1. "/>
      <w:legacy w:legacy="1" w:legacySpace="0" w:legacyIndent="283"/>
      <w:lvlJc w:val="left"/>
      <w:pPr>
        <w:ind w:left="283" w:hanging="283"/>
      </w:pPr>
      <w:rPr>
        <w:b/>
        <w:i/>
        <w:sz w:val="24"/>
      </w:rPr>
    </w:lvl>
  </w:abstractNum>
  <w:abstractNum w:abstractNumId="37">
    <w:nsid w:val="5CF156E2"/>
    <w:multiLevelType w:val="hybridMultilevel"/>
    <w:tmpl w:val="B0F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392BAE"/>
    <w:multiLevelType w:val="singleLevel"/>
    <w:tmpl w:val="E6248C0C"/>
    <w:lvl w:ilvl="0">
      <w:start w:val="1"/>
      <w:numFmt w:val="decimal"/>
      <w:lvlText w:val="4.%1. "/>
      <w:legacy w:legacy="1" w:legacySpace="0" w:legacyIndent="283"/>
      <w:lvlJc w:val="left"/>
      <w:pPr>
        <w:ind w:left="283" w:hanging="283"/>
      </w:pPr>
      <w:rPr>
        <w:b/>
        <w:i/>
        <w:sz w:val="24"/>
      </w:rPr>
    </w:lvl>
  </w:abstractNum>
  <w:abstractNum w:abstractNumId="39">
    <w:nsid w:val="5DBA6501"/>
    <w:multiLevelType w:val="singleLevel"/>
    <w:tmpl w:val="38A217D2"/>
    <w:lvl w:ilvl="0">
      <w:start w:val="4"/>
      <w:numFmt w:val="decimal"/>
      <w:lvlText w:val="6.%1. "/>
      <w:legacy w:legacy="1" w:legacySpace="0" w:legacyIndent="283"/>
      <w:lvlJc w:val="left"/>
      <w:pPr>
        <w:ind w:left="283" w:hanging="283"/>
      </w:pPr>
      <w:rPr>
        <w:b/>
        <w:i/>
        <w:sz w:val="24"/>
      </w:rPr>
    </w:lvl>
  </w:abstractNum>
  <w:abstractNum w:abstractNumId="40">
    <w:nsid w:val="63527A26"/>
    <w:multiLevelType w:val="singleLevel"/>
    <w:tmpl w:val="9C0E641E"/>
    <w:lvl w:ilvl="0">
      <w:start w:val="3"/>
      <w:numFmt w:val="decimal"/>
      <w:lvlText w:val="5.%1. "/>
      <w:legacy w:legacy="1" w:legacySpace="0" w:legacyIndent="283"/>
      <w:lvlJc w:val="left"/>
      <w:pPr>
        <w:ind w:left="283" w:hanging="283"/>
      </w:pPr>
      <w:rPr>
        <w:b/>
        <w:i/>
        <w:sz w:val="24"/>
      </w:rPr>
    </w:lvl>
  </w:abstractNum>
  <w:abstractNum w:abstractNumId="41">
    <w:nsid w:val="6BFF7696"/>
    <w:multiLevelType w:val="singleLevel"/>
    <w:tmpl w:val="4F20E970"/>
    <w:lvl w:ilvl="0">
      <w:start w:val="8"/>
      <w:numFmt w:val="decimal"/>
      <w:lvlText w:val="%1. "/>
      <w:legacy w:legacy="1" w:legacySpace="0" w:legacyIndent="283"/>
      <w:lvlJc w:val="left"/>
      <w:pPr>
        <w:ind w:left="283" w:hanging="283"/>
      </w:pPr>
      <w:rPr>
        <w:b w:val="0"/>
        <w:i w:val="0"/>
        <w:sz w:val="32"/>
      </w:rPr>
    </w:lvl>
  </w:abstractNum>
  <w:abstractNum w:abstractNumId="42">
    <w:nsid w:val="6E667EDF"/>
    <w:multiLevelType w:val="hybridMultilevel"/>
    <w:tmpl w:val="21729B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6EE059E9"/>
    <w:multiLevelType w:val="singleLevel"/>
    <w:tmpl w:val="25A8FE56"/>
    <w:lvl w:ilvl="0">
      <w:start w:val="7"/>
      <w:numFmt w:val="decimal"/>
      <w:lvlText w:val="4.%1. "/>
      <w:legacy w:legacy="1" w:legacySpace="0" w:legacyIndent="283"/>
      <w:lvlJc w:val="left"/>
      <w:pPr>
        <w:ind w:left="283" w:hanging="283"/>
      </w:pPr>
      <w:rPr>
        <w:b/>
        <w:i/>
        <w:sz w:val="24"/>
      </w:rPr>
    </w:lvl>
  </w:abstractNum>
  <w:abstractNum w:abstractNumId="44">
    <w:nsid w:val="72DE6CFA"/>
    <w:multiLevelType w:val="singleLevel"/>
    <w:tmpl w:val="069031AE"/>
    <w:lvl w:ilvl="0">
      <w:start w:val="1"/>
      <w:numFmt w:val="decimal"/>
      <w:lvlText w:val="5.%1. "/>
      <w:legacy w:legacy="1" w:legacySpace="0" w:legacyIndent="283"/>
      <w:lvlJc w:val="left"/>
      <w:pPr>
        <w:ind w:left="283" w:hanging="283"/>
      </w:pPr>
      <w:rPr>
        <w:b/>
        <w:i/>
        <w:sz w:val="24"/>
      </w:rPr>
    </w:lvl>
  </w:abstractNum>
  <w:abstractNum w:abstractNumId="45">
    <w:nsid w:val="7324786D"/>
    <w:multiLevelType w:val="singleLevel"/>
    <w:tmpl w:val="689C9F10"/>
    <w:lvl w:ilvl="0">
      <w:start w:val="3"/>
      <w:numFmt w:val="decimal"/>
      <w:lvlText w:val="%1. "/>
      <w:legacy w:legacy="1" w:legacySpace="0" w:legacyIndent="283"/>
      <w:lvlJc w:val="left"/>
      <w:pPr>
        <w:ind w:left="283" w:hanging="283"/>
      </w:pPr>
      <w:rPr>
        <w:b w:val="0"/>
        <w:i w:val="0"/>
        <w:sz w:val="32"/>
      </w:rPr>
    </w:lvl>
  </w:abstractNum>
  <w:abstractNum w:abstractNumId="46">
    <w:nsid w:val="73CC198C"/>
    <w:multiLevelType w:val="singleLevel"/>
    <w:tmpl w:val="6D74841E"/>
    <w:lvl w:ilvl="0">
      <w:start w:val="6"/>
      <w:numFmt w:val="decimal"/>
      <w:lvlText w:val="6.%1. "/>
      <w:legacy w:legacy="1" w:legacySpace="0" w:legacyIndent="283"/>
      <w:lvlJc w:val="left"/>
      <w:pPr>
        <w:ind w:left="283" w:hanging="283"/>
      </w:pPr>
      <w:rPr>
        <w:b/>
        <w:i/>
        <w:sz w:val="24"/>
      </w:rPr>
    </w:lvl>
  </w:abstractNum>
  <w:abstractNum w:abstractNumId="47">
    <w:nsid w:val="76EF6F54"/>
    <w:multiLevelType w:val="hybridMultilevel"/>
    <w:tmpl w:val="0B72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5F4F17"/>
    <w:multiLevelType w:val="hybridMultilevel"/>
    <w:tmpl w:val="E53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006EEE"/>
    <w:multiLevelType w:val="singleLevel"/>
    <w:tmpl w:val="C6AE9C4E"/>
    <w:lvl w:ilvl="0">
      <w:start w:val="2"/>
      <w:numFmt w:val="decimal"/>
      <w:lvlText w:val="%1. "/>
      <w:legacy w:legacy="1" w:legacySpace="0" w:legacyIndent="283"/>
      <w:lvlJc w:val="left"/>
      <w:pPr>
        <w:ind w:left="283" w:hanging="283"/>
      </w:pPr>
      <w:rPr>
        <w:b w:val="0"/>
        <w:i w:val="0"/>
        <w:sz w:val="32"/>
      </w:rPr>
    </w:lvl>
  </w:abstractNum>
  <w:abstractNum w:abstractNumId="50">
    <w:nsid w:val="7FD67DBB"/>
    <w:multiLevelType w:val="singleLevel"/>
    <w:tmpl w:val="A6B4F8CA"/>
    <w:lvl w:ilvl="0">
      <w:start w:val="4"/>
      <w:numFmt w:val="decimal"/>
      <w:lvlText w:val="4.%1. "/>
      <w:legacy w:legacy="1" w:legacySpace="0" w:legacyIndent="283"/>
      <w:lvlJc w:val="left"/>
      <w:pPr>
        <w:ind w:left="283" w:hanging="283"/>
      </w:pPr>
      <w:rPr>
        <w:b/>
        <w:i/>
        <w:sz w:val="24"/>
      </w:rPr>
    </w:lvl>
  </w:abstractNum>
  <w:num w:numId="1">
    <w:abstractNumId w:val="2"/>
  </w:num>
  <w:num w:numId="2">
    <w:abstractNumId w:val="48"/>
  </w:num>
  <w:num w:numId="3">
    <w:abstractNumId w:val="33"/>
  </w:num>
  <w:num w:numId="4">
    <w:abstractNumId w:val="27"/>
  </w:num>
  <w:num w:numId="5">
    <w:abstractNumId w:val="49"/>
  </w:num>
  <w:num w:numId="6">
    <w:abstractNumId w:val="45"/>
  </w:num>
  <w:num w:numId="7">
    <w:abstractNumId w:val="38"/>
  </w:num>
  <w:num w:numId="8">
    <w:abstractNumId w:val="9"/>
  </w:num>
  <w:num w:numId="9">
    <w:abstractNumId w:val="7"/>
  </w:num>
  <w:num w:numId="10">
    <w:abstractNumId w:val="50"/>
  </w:num>
  <w:num w:numId="11">
    <w:abstractNumId w:val="3"/>
  </w:num>
  <w:num w:numId="12">
    <w:abstractNumId w:val="31"/>
  </w:num>
  <w:num w:numId="13">
    <w:abstractNumId w:val="43"/>
  </w:num>
  <w:num w:numId="14">
    <w:abstractNumId w:val="36"/>
  </w:num>
  <w:num w:numId="15">
    <w:abstractNumId w:val="10"/>
  </w:num>
  <w:num w:numId="16">
    <w:abstractNumId w:val="44"/>
  </w:num>
  <w:num w:numId="17">
    <w:abstractNumId w:val="4"/>
  </w:num>
  <w:num w:numId="18">
    <w:abstractNumId w:val="40"/>
  </w:num>
  <w:num w:numId="19">
    <w:abstractNumId w:val="19"/>
  </w:num>
  <w:num w:numId="20">
    <w:abstractNumId w:val="28"/>
  </w:num>
  <w:num w:numId="21">
    <w:abstractNumId w:val="30"/>
  </w:num>
  <w:num w:numId="22">
    <w:abstractNumId w:val="39"/>
  </w:num>
  <w:num w:numId="23">
    <w:abstractNumId w:val="6"/>
  </w:num>
  <w:num w:numId="24">
    <w:abstractNumId w:val="46"/>
  </w:num>
  <w:num w:numId="25">
    <w:abstractNumId w:val="41"/>
  </w:num>
  <w:num w:numId="26">
    <w:abstractNumId w:val="41"/>
    <w:lvlOverride w:ilvl="0">
      <w:lvl w:ilvl="0">
        <w:start w:val="9"/>
        <w:numFmt w:val="decimal"/>
        <w:lvlText w:val="%1. "/>
        <w:legacy w:legacy="1" w:legacySpace="0" w:legacyIndent="283"/>
        <w:lvlJc w:val="left"/>
        <w:pPr>
          <w:ind w:left="283" w:hanging="283"/>
        </w:pPr>
        <w:rPr>
          <w:b w:val="0"/>
          <w:i w:val="0"/>
          <w:sz w:val="32"/>
        </w:rPr>
      </w:lvl>
    </w:lvlOverride>
  </w:num>
  <w:num w:numId="27">
    <w:abstractNumId w:val="8"/>
  </w:num>
  <w:num w:numId="28">
    <w:abstractNumId w:val="22"/>
  </w:num>
  <w:num w:numId="29">
    <w:abstractNumId w:val="15"/>
  </w:num>
  <w:num w:numId="30">
    <w:abstractNumId w:val="24"/>
  </w:num>
  <w:num w:numId="31">
    <w:abstractNumId w:val="14"/>
  </w:num>
  <w:num w:numId="32">
    <w:abstractNumId w:val="42"/>
  </w:num>
  <w:num w:numId="33">
    <w:abstractNumId w:val="17"/>
  </w:num>
  <w:num w:numId="34">
    <w:abstractNumId w:val="11"/>
  </w:num>
  <w:num w:numId="35">
    <w:abstractNumId w:val="32"/>
  </w:num>
  <w:num w:numId="36">
    <w:abstractNumId w:val="13"/>
  </w:num>
  <w:num w:numId="37">
    <w:abstractNumId w:val="0"/>
    <w:lvlOverride w:ilvl="0">
      <w:lvl w:ilvl="0">
        <w:start w:val="1"/>
        <w:numFmt w:val="bullet"/>
        <w:lvlText w:val="-"/>
        <w:legacy w:legacy="1" w:legacySpace="0" w:legacyIndent="360"/>
        <w:lvlJc w:val="left"/>
        <w:pPr>
          <w:ind w:left="360" w:hanging="360"/>
        </w:pPr>
      </w:lvl>
    </w:lvlOverride>
  </w:num>
  <w:num w:numId="38">
    <w:abstractNumId w:val="1"/>
  </w:num>
  <w:num w:numId="39">
    <w:abstractNumId w:val="12"/>
  </w:num>
  <w:num w:numId="40">
    <w:abstractNumId w:val="5"/>
  </w:num>
  <w:num w:numId="41">
    <w:abstractNumId w:val="25"/>
  </w:num>
  <w:num w:numId="42">
    <w:abstractNumId w:val="35"/>
  </w:num>
  <w:num w:numId="43">
    <w:abstractNumId w:val="37"/>
  </w:num>
  <w:num w:numId="44">
    <w:abstractNumId w:val="18"/>
  </w:num>
  <w:num w:numId="45">
    <w:abstractNumId w:val="47"/>
  </w:num>
  <w:num w:numId="46">
    <w:abstractNumId w:val="20"/>
  </w:num>
  <w:num w:numId="47">
    <w:abstractNumId w:val="29"/>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21"/>
  </w:num>
  <w:num w:numId="51">
    <w:abstractNumId w:val="23"/>
  </w:num>
  <w:num w:numId="5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97"/>
    <w:rsid w:val="00000756"/>
    <w:rsid w:val="00005115"/>
    <w:rsid w:val="00010E74"/>
    <w:rsid w:val="00010E7A"/>
    <w:rsid w:val="00013D67"/>
    <w:rsid w:val="000222A6"/>
    <w:rsid w:val="00026056"/>
    <w:rsid w:val="00026E66"/>
    <w:rsid w:val="00027398"/>
    <w:rsid w:val="00027B8B"/>
    <w:rsid w:val="0004709D"/>
    <w:rsid w:val="00050AB3"/>
    <w:rsid w:val="00052AB0"/>
    <w:rsid w:val="00055178"/>
    <w:rsid w:val="00056475"/>
    <w:rsid w:val="00057901"/>
    <w:rsid w:val="0006390F"/>
    <w:rsid w:val="00065CF8"/>
    <w:rsid w:val="0007396A"/>
    <w:rsid w:val="00073B4D"/>
    <w:rsid w:val="00077C7D"/>
    <w:rsid w:val="00093314"/>
    <w:rsid w:val="000A05C8"/>
    <w:rsid w:val="000A5177"/>
    <w:rsid w:val="000B2E3F"/>
    <w:rsid w:val="000D264B"/>
    <w:rsid w:val="000F6FD9"/>
    <w:rsid w:val="00105E45"/>
    <w:rsid w:val="00121BDB"/>
    <w:rsid w:val="00152E9A"/>
    <w:rsid w:val="001552A5"/>
    <w:rsid w:val="00161E02"/>
    <w:rsid w:val="0016382B"/>
    <w:rsid w:val="001645FA"/>
    <w:rsid w:val="00166051"/>
    <w:rsid w:val="001717FF"/>
    <w:rsid w:val="001842D3"/>
    <w:rsid w:val="0018486A"/>
    <w:rsid w:val="0019657E"/>
    <w:rsid w:val="00197273"/>
    <w:rsid w:val="001A28B4"/>
    <w:rsid w:val="001A66C9"/>
    <w:rsid w:val="001A67A3"/>
    <w:rsid w:val="001B4BD2"/>
    <w:rsid w:val="001B6709"/>
    <w:rsid w:val="001C3B31"/>
    <w:rsid w:val="001C4BCE"/>
    <w:rsid w:val="001C669E"/>
    <w:rsid w:val="001D7132"/>
    <w:rsid w:val="001E4E30"/>
    <w:rsid w:val="002045CD"/>
    <w:rsid w:val="00220E2D"/>
    <w:rsid w:val="00226621"/>
    <w:rsid w:val="002415F2"/>
    <w:rsid w:val="0024468F"/>
    <w:rsid w:val="0025359E"/>
    <w:rsid w:val="00254226"/>
    <w:rsid w:val="00257432"/>
    <w:rsid w:val="002832AD"/>
    <w:rsid w:val="00287499"/>
    <w:rsid w:val="00297715"/>
    <w:rsid w:val="002A553E"/>
    <w:rsid w:val="002A6C6B"/>
    <w:rsid w:val="002B1F96"/>
    <w:rsid w:val="002B5081"/>
    <w:rsid w:val="002C10DA"/>
    <w:rsid w:val="002C57BC"/>
    <w:rsid w:val="002C631A"/>
    <w:rsid w:val="002D31A4"/>
    <w:rsid w:val="002E57F9"/>
    <w:rsid w:val="003055EC"/>
    <w:rsid w:val="00305D4C"/>
    <w:rsid w:val="00307FB0"/>
    <w:rsid w:val="0031556F"/>
    <w:rsid w:val="00316663"/>
    <w:rsid w:val="003369D5"/>
    <w:rsid w:val="003452A3"/>
    <w:rsid w:val="00353BB6"/>
    <w:rsid w:val="003545A1"/>
    <w:rsid w:val="003628D2"/>
    <w:rsid w:val="00386F1F"/>
    <w:rsid w:val="003902CF"/>
    <w:rsid w:val="00390B1A"/>
    <w:rsid w:val="003B7116"/>
    <w:rsid w:val="003C1523"/>
    <w:rsid w:val="003C2C51"/>
    <w:rsid w:val="003C69E4"/>
    <w:rsid w:val="003E529A"/>
    <w:rsid w:val="003E5A17"/>
    <w:rsid w:val="003F4A38"/>
    <w:rsid w:val="0040501E"/>
    <w:rsid w:val="004129CE"/>
    <w:rsid w:val="00417889"/>
    <w:rsid w:val="0043600A"/>
    <w:rsid w:val="00442A7F"/>
    <w:rsid w:val="00454DE5"/>
    <w:rsid w:val="00470D5D"/>
    <w:rsid w:val="00471AD9"/>
    <w:rsid w:val="00474CB2"/>
    <w:rsid w:val="00483015"/>
    <w:rsid w:val="004921DA"/>
    <w:rsid w:val="00494FAE"/>
    <w:rsid w:val="00497764"/>
    <w:rsid w:val="004B0FA6"/>
    <w:rsid w:val="004C0A83"/>
    <w:rsid w:val="004C27F5"/>
    <w:rsid w:val="004C53A4"/>
    <w:rsid w:val="004D0FAD"/>
    <w:rsid w:val="004E1AE2"/>
    <w:rsid w:val="004E4F29"/>
    <w:rsid w:val="004F3142"/>
    <w:rsid w:val="00511FD9"/>
    <w:rsid w:val="005162C8"/>
    <w:rsid w:val="005274D1"/>
    <w:rsid w:val="00552F23"/>
    <w:rsid w:val="00562CC0"/>
    <w:rsid w:val="0056750C"/>
    <w:rsid w:val="005950F5"/>
    <w:rsid w:val="005B0174"/>
    <w:rsid w:val="005C3541"/>
    <w:rsid w:val="005C497F"/>
    <w:rsid w:val="005D2E52"/>
    <w:rsid w:val="005D3ECF"/>
    <w:rsid w:val="005D5C5D"/>
    <w:rsid w:val="005E1F54"/>
    <w:rsid w:val="005F2D2B"/>
    <w:rsid w:val="005F3574"/>
    <w:rsid w:val="0060333C"/>
    <w:rsid w:val="00621E54"/>
    <w:rsid w:val="00622C50"/>
    <w:rsid w:val="006376F2"/>
    <w:rsid w:val="00642D9A"/>
    <w:rsid w:val="006479CD"/>
    <w:rsid w:val="00657083"/>
    <w:rsid w:val="00660CDA"/>
    <w:rsid w:val="0066609D"/>
    <w:rsid w:val="006706FF"/>
    <w:rsid w:val="00683408"/>
    <w:rsid w:val="00686926"/>
    <w:rsid w:val="00695928"/>
    <w:rsid w:val="00697203"/>
    <w:rsid w:val="006A17FF"/>
    <w:rsid w:val="006A23CE"/>
    <w:rsid w:val="006C0398"/>
    <w:rsid w:val="006C6410"/>
    <w:rsid w:val="006D3887"/>
    <w:rsid w:val="006D40D7"/>
    <w:rsid w:val="006D5EA9"/>
    <w:rsid w:val="006F3C31"/>
    <w:rsid w:val="007116E9"/>
    <w:rsid w:val="00721562"/>
    <w:rsid w:val="00726D4E"/>
    <w:rsid w:val="00726D7F"/>
    <w:rsid w:val="00727107"/>
    <w:rsid w:val="00755BD6"/>
    <w:rsid w:val="0075767B"/>
    <w:rsid w:val="007654DC"/>
    <w:rsid w:val="00765CF4"/>
    <w:rsid w:val="00774050"/>
    <w:rsid w:val="00783C67"/>
    <w:rsid w:val="00785292"/>
    <w:rsid w:val="007A1AFB"/>
    <w:rsid w:val="007A3D24"/>
    <w:rsid w:val="007A6911"/>
    <w:rsid w:val="007B67DE"/>
    <w:rsid w:val="007D5370"/>
    <w:rsid w:val="007E418C"/>
    <w:rsid w:val="007E4764"/>
    <w:rsid w:val="007E5BBE"/>
    <w:rsid w:val="007F3C1D"/>
    <w:rsid w:val="00810743"/>
    <w:rsid w:val="00811514"/>
    <w:rsid w:val="00811CED"/>
    <w:rsid w:val="00822C1C"/>
    <w:rsid w:val="008248E6"/>
    <w:rsid w:val="00833110"/>
    <w:rsid w:val="00840D61"/>
    <w:rsid w:val="008411BB"/>
    <w:rsid w:val="00844D4E"/>
    <w:rsid w:val="00845251"/>
    <w:rsid w:val="00864CB8"/>
    <w:rsid w:val="00881FC1"/>
    <w:rsid w:val="00893A72"/>
    <w:rsid w:val="008A68BF"/>
    <w:rsid w:val="008C2EC4"/>
    <w:rsid w:val="008C5B07"/>
    <w:rsid w:val="008D1EB0"/>
    <w:rsid w:val="008E0F32"/>
    <w:rsid w:val="008E4B55"/>
    <w:rsid w:val="008E5425"/>
    <w:rsid w:val="008E7FAA"/>
    <w:rsid w:val="008F1689"/>
    <w:rsid w:val="008F3C7F"/>
    <w:rsid w:val="008F4202"/>
    <w:rsid w:val="008F44C3"/>
    <w:rsid w:val="0091382A"/>
    <w:rsid w:val="0091409A"/>
    <w:rsid w:val="0093180F"/>
    <w:rsid w:val="009419FD"/>
    <w:rsid w:val="0094467D"/>
    <w:rsid w:val="0095647A"/>
    <w:rsid w:val="009622D9"/>
    <w:rsid w:val="00966DCD"/>
    <w:rsid w:val="009977BF"/>
    <w:rsid w:val="009A1910"/>
    <w:rsid w:val="009B4B74"/>
    <w:rsid w:val="009B5C37"/>
    <w:rsid w:val="009C4D5E"/>
    <w:rsid w:val="009D2718"/>
    <w:rsid w:val="009D4881"/>
    <w:rsid w:val="009D6BC9"/>
    <w:rsid w:val="009E2694"/>
    <w:rsid w:val="009E561F"/>
    <w:rsid w:val="009F7A37"/>
    <w:rsid w:val="00A03627"/>
    <w:rsid w:val="00A06B7D"/>
    <w:rsid w:val="00A162EC"/>
    <w:rsid w:val="00A17165"/>
    <w:rsid w:val="00A17257"/>
    <w:rsid w:val="00A173DE"/>
    <w:rsid w:val="00A17DBB"/>
    <w:rsid w:val="00A306E4"/>
    <w:rsid w:val="00A32090"/>
    <w:rsid w:val="00A3287B"/>
    <w:rsid w:val="00A34362"/>
    <w:rsid w:val="00A37C3C"/>
    <w:rsid w:val="00A42E07"/>
    <w:rsid w:val="00A5567B"/>
    <w:rsid w:val="00A64CAA"/>
    <w:rsid w:val="00A74354"/>
    <w:rsid w:val="00A77031"/>
    <w:rsid w:val="00A82AE1"/>
    <w:rsid w:val="00AA22B6"/>
    <w:rsid w:val="00AA6297"/>
    <w:rsid w:val="00AC0804"/>
    <w:rsid w:val="00AE50F1"/>
    <w:rsid w:val="00AF4407"/>
    <w:rsid w:val="00B00075"/>
    <w:rsid w:val="00B04E6B"/>
    <w:rsid w:val="00B07089"/>
    <w:rsid w:val="00B231DB"/>
    <w:rsid w:val="00B30696"/>
    <w:rsid w:val="00B3298A"/>
    <w:rsid w:val="00B41F68"/>
    <w:rsid w:val="00B603F0"/>
    <w:rsid w:val="00B73C3B"/>
    <w:rsid w:val="00B82D8A"/>
    <w:rsid w:val="00B9001B"/>
    <w:rsid w:val="00BA4B35"/>
    <w:rsid w:val="00BB470F"/>
    <w:rsid w:val="00BB4A1B"/>
    <w:rsid w:val="00BC24A0"/>
    <w:rsid w:val="00BC32EE"/>
    <w:rsid w:val="00BD0304"/>
    <w:rsid w:val="00BD26E4"/>
    <w:rsid w:val="00C06C3F"/>
    <w:rsid w:val="00C14104"/>
    <w:rsid w:val="00C241AB"/>
    <w:rsid w:val="00C40770"/>
    <w:rsid w:val="00C500B0"/>
    <w:rsid w:val="00C517A9"/>
    <w:rsid w:val="00C53024"/>
    <w:rsid w:val="00C640C5"/>
    <w:rsid w:val="00C86B01"/>
    <w:rsid w:val="00C871DE"/>
    <w:rsid w:val="00C9505F"/>
    <w:rsid w:val="00C9611C"/>
    <w:rsid w:val="00CA4CDF"/>
    <w:rsid w:val="00CC3746"/>
    <w:rsid w:val="00CC6A81"/>
    <w:rsid w:val="00CD6DB3"/>
    <w:rsid w:val="00D03BF5"/>
    <w:rsid w:val="00D1010E"/>
    <w:rsid w:val="00D14C18"/>
    <w:rsid w:val="00D51842"/>
    <w:rsid w:val="00D84D34"/>
    <w:rsid w:val="00D87D8E"/>
    <w:rsid w:val="00DA0E73"/>
    <w:rsid w:val="00DA3C40"/>
    <w:rsid w:val="00DA5A8A"/>
    <w:rsid w:val="00DC33F2"/>
    <w:rsid w:val="00DD2A4A"/>
    <w:rsid w:val="00DD411A"/>
    <w:rsid w:val="00E06B68"/>
    <w:rsid w:val="00E2723E"/>
    <w:rsid w:val="00E30285"/>
    <w:rsid w:val="00E4716C"/>
    <w:rsid w:val="00E75AEF"/>
    <w:rsid w:val="00E76742"/>
    <w:rsid w:val="00E84503"/>
    <w:rsid w:val="00E9644F"/>
    <w:rsid w:val="00EA7186"/>
    <w:rsid w:val="00EB5924"/>
    <w:rsid w:val="00EC306D"/>
    <w:rsid w:val="00EC35BF"/>
    <w:rsid w:val="00EC57BE"/>
    <w:rsid w:val="00EF1E99"/>
    <w:rsid w:val="00F07ADE"/>
    <w:rsid w:val="00F16316"/>
    <w:rsid w:val="00F22ED7"/>
    <w:rsid w:val="00F250B5"/>
    <w:rsid w:val="00F320F0"/>
    <w:rsid w:val="00F445E6"/>
    <w:rsid w:val="00F72576"/>
    <w:rsid w:val="00F82678"/>
    <w:rsid w:val="00F852D8"/>
    <w:rsid w:val="00F909FF"/>
    <w:rsid w:val="00F92E45"/>
    <w:rsid w:val="00F930BC"/>
    <w:rsid w:val="00F967F6"/>
    <w:rsid w:val="00FB4ABD"/>
    <w:rsid w:val="00FB72E8"/>
    <w:rsid w:val="00FD1212"/>
    <w:rsid w:val="00FE03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F201"/>
  <w15:docId w15:val="{EEA27E31-8799-403C-BCA5-FB55DF57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1523"/>
    <w:pPr>
      <w:ind w:left="567" w:hanging="567"/>
    </w:pPr>
    <w:rPr>
      <w:rFonts w:ascii="Times New Roman" w:eastAsia="Times New Roman" w:hAnsi="Times New Roman"/>
      <w:sz w:val="22"/>
      <w:szCs w:val="24"/>
    </w:rPr>
  </w:style>
  <w:style w:type="paragraph" w:styleId="Nadpis1">
    <w:name w:val="heading 1"/>
    <w:basedOn w:val="Normlny"/>
    <w:next w:val="Normlny"/>
    <w:link w:val="Nadpis1Char"/>
    <w:qFormat/>
    <w:rsid w:val="00EC35BF"/>
    <w:pPr>
      <w:keepNext/>
      <w:tabs>
        <w:tab w:val="left" w:pos="7938"/>
      </w:tabs>
      <w:spacing w:before="120" w:after="60"/>
      <w:ind w:left="0" w:firstLine="0"/>
      <w:outlineLvl w:val="0"/>
    </w:pPr>
    <w:rPr>
      <w:sz w:val="24"/>
      <w:szCs w:val="20"/>
      <w:lang w:val="cs-CZ"/>
    </w:rPr>
  </w:style>
  <w:style w:type="paragraph" w:styleId="Nadpis2">
    <w:name w:val="heading 2"/>
    <w:basedOn w:val="Normlny"/>
    <w:next w:val="Normlny"/>
    <w:link w:val="Nadpis2Char"/>
    <w:qFormat/>
    <w:rsid w:val="00EC35BF"/>
    <w:pPr>
      <w:keepNext/>
      <w:ind w:left="0" w:firstLine="0"/>
      <w:outlineLvl w:val="1"/>
    </w:pPr>
    <w:rPr>
      <w:sz w:val="36"/>
      <w:szCs w:val="20"/>
    </w:rPr>
  </w:style>
  <w:style w:type="paragraph" w:styleId="Nadpis3">
    <w:name w:val="heading 3"/>
    <w:basedOn w:val="Normlny"/>
    <w:next w:val="Normlny"/>
    <w:link w:val="Nadpis3Char"/>
    <w:qFormat/>
    <w:rsid w:val="00EC35BF"/>
    <w:pPr>
      <w:keepNext/>
      <w:tabs>
        <w:tab w:val="left" w:pos="284"/>
        <w:tab w:val="left" w:pos="7938"/>
      </w:tabs>
      <w:spacing w:line="360" w:lineRule="auto"/>
      <w:ind w:left="709" w:hanging="709"/>
      <w:outlineLvl w:val="2"/>
    </w:pPr>
    <w:rPr>
      <w:sz w:val="24"/>
      <w:szCs w:val="20"/>
    </w:rPr>
  </w:style>
  <w:style w:type="paragraph" w:styleId="Nadpis4">
    <w:name w:val="heading 4"/>
    <w:basedOn w:val="Normlny"/>
    <w:next w:val="Normlny"/>
    <w:link w:val="Nadpis4Char"/>
    <w:qFormat/>
    <w:rsid w:val="00EC35BF"/>
    <w:pPr>
      <w:keepNext/>
      <w:spacing w:line="360" w:lineRule="auto"/>
      <w:ind w:left="0" w:firstLine="0"/>
      <w:jc w:val="both"/>
      <w:outlineLvl w:val="3"/>
    </w:pPr>
    <w:rPr>
      <w:sz w:val="24"/>
      <w:szCs w:val="20"/>
      <w:u w:val="single"/>
    </w:rPr>
  </w:style>
  <w:style w:type="paragraph" w:styleId="Nadpis5">
    <w:name w:val="heading 5"/>
    <w:basedOn w:val="Normlny"/>
    <w:next w:val="Normlny"/>
    <w:link w:val="Nadpis5Char"/>
    <w:qFormat/>
    <w:rsid w:val="00EC35BF"/>
    <w:pPr>
      <w:keepNext/>
      <w:ind w:left="0" w:firstLine="0"/>
      <w:jc w:val="both"/>
      <w:outlineLvl w:val="4"/>
    </w:pPr>
    <w:rPr>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rsid w:val="00AA6297"/>
    <w:pPr>
      <w:spacing w:before="120" w:after="120"/>
      <w:ind w:left="0" w:firstLine="0"/>
      <w:jc w:val="both"/>
    </w:pPr>
    <w:rPr>
      <w:szCs w:val="20"/>
      <w:lang w:val="en-US" w:eastAsia="en-US"/>
    </w:rPr>
  </w:style>
  <w:style w:type="paragraph" w:styleId="Zkladntext">
    <w:name w:val="Body Text"/>
    <w:basedOn w:val="Normlny"/>
    <w:link w:val="ZkladntextChar"/>
    <w:rsid w:val="003C1523"/>
    <w:pPr>
      <w:ind w:left="0" w:firstLine="0"/>
    </w:pPr>
  </w:style>
  <w:style w:type="character" w:customStyle="1" w:styleId="ZkladntextChar">
    <w:name w:val="Základný text Char"/>
    <w:link w:val="Zkladntext"/>
    <w:rsid w:val="00AA6297"/>
    <w:rPr>
      <w:rFonts w:ascii="Times New Roman" w:eastAsia="Times New Roman" w:hAnsi="Times New Roman"/>
      <w:sz w:val="22"/>
      <w:szCs w:val="24"/>
      <w:lang w:val="sk-SK" w:eastAsia="sk-SK"/>
    </w:rPr>
  </w:style>
  <w:style w:type="character" w:customStyle="1" w:styleId="hps">
    <w:name w:val="hps"/>
    <w:basedOn w:val="Predvolenpsmoodseku"/>
    <w:rsid w:val="009419FD"/>
  </w:style>
  <w:style w:type="character" w:customStyle="1" w:styleId="Nadpis1Char">
    <w:name w:val="Nadpis 1 Char"/>
    <w:link w:val="Nadpis1"/>
    <w:rsid w:val="00EC35BF"/>
    <w:rPr>
      <w:rFonts w:ascii="Times New Roman" w:eastAsia="Times New Roman" w:hAnsi="Times New Roman"/>
      <w:sz w:val="24"/>
      <w:lang w:val="cs-CZ" w:eastAsia="sk-SK"/>
    </w:rPr>
  </w:style>
  <w:style w:type="character" w:customStyle="1" w:styleId="Nadpis2Char">
    <w:name w:val="Nadpis 2 Char"/>
    <w:link w:val="Nadpis2"/>
    <w:rsid w:val="00EC35BF"/>
    <w:rPr>
      <w:rFonts w:ascii="Times New Roman" w:eastAsia="Times New Roman" w:hAnsi="Times New Roman"/>
      <w:sz w:val="36"/>
      <w:lang w:val="sk-SK" w:eastAsia="sk-SK"/>
    </w:rPr>
  </w:style>
  <w:style w:type="character" w:customStyle="1" w:styleId="Nadpis3Char">
    <w:name w:val="Nadpis 3 Char"/>
    <w:link w:val="Nadpis3"/>
    <w:rsid w:val="00EC35BF"/>
    <w:rPr>
      <w:rFonts w:ascii="Times New Roman" w:eastAsia="Times New Roman" w:hAnsi="Times New Roman"/>
      <w:sz w:val="24"/>
      <w:lang w:val="sk-SK" w:eastAsia="sk-SK"/>
    </w:rPr>
  </w:style>
  <w:style w:type="character" w:customStyle="1" w:styleId="Nadpis4Char">
    <w:name w:val="Nadpis 4 Char"/>
    <w:link w:val="Nadpis4"/>
    <w:rsid w:val="00EC35BF"/>
    <w:rPr>
      <w:rFonts w:ascii="Times New Roman" w:eastAsia="Times New Roman" w:hAnsi="Times New Roman"/>
      <w:sz w:val="24"/>
      <w:u w:val="single"/>
      <w:lang w:val="sk-SK" w:eastAsia="sk-SK"/>
    </w:rPr>
  </w:style>
  <w:style w:type="character" w:customStyle="1" w:styleId="Nadpis5Char">
    <w:name w:val="Nadpis 5 Char"/>
    <w:link w:val="Nadpis5"/>
    <w:rsid w:val="00EC35BF"/>
    <w:rPr>
      <w:rFonts w:ascii="Times New Roman" w:eastAsia="Times New Roman" w:hAnsi="Times New Roman"/>
      <w:sz w:val="28"/>
      <w:lang w:val="sk-SK" w:eastAsia="sk-SK"/>
    </w:rPr>
  </w:style>
  <w:style w:type="paragraph" w:customStyle="1" w:styleId="Styl1">
    <w:name w:val="Styl1"/>
    <w:basedOn w:val="Normlny"/>
    <w:rsid w:val="00EC35BF"/>
    <w:pPr>
      <w:spacing w:line="360" w:lineRule="auto"/>
      <w:ind w:left="0" w:firstLine="709"/>
      <w:jc w:val="both"/>
    </w:pPr>
    <w:rPr>
      <w:sz w:val="24"/>
      <w:szCs w:val="20"/>
    </w:rPr>
  </w:style>
  <w:style w:type="paragraph" w:styleId="Hlavika">
    <w:name w:val="header"/>
    <w:basedOn w:val="Normlny"/>
    <w:link w:val="HlavikaChar"/>
    <w:rsid w:val="00EC35BF"/>
    <w:pPr>
      <w:tabs>
        <w:tab w:val="center" w:pos="4536"/>
        <w:tab w:val="right" w:pos="9072"/>
      </w:tabs>
      <w:ind w:left="0" w:firstLine="0"/>
    </w:pPr>
    <w:rPr>
      <w:sz w:val="20"/>
      <w:szCs w:val="20"/>
    </w:rPr>
  </w:style>
  <w:style w:type="character" w:customStyle="1" w:styleId="HlavikaChar">
    <w:name w:val="Hlavička Char"/>
    <w:link w:val="Hlavika"/>
    <w:rsid w:val="00EC35BF"/>
    <w:rPr>
      <w:rFonts w:ascii="Times New Roman" w:eastAsia="Times New Roman" w:hAnsi="Times New Roman"/>
      <w:lang w:val="sk-SK" w:eastAsia="sk-SK"/>
    </w:rPr>
  </w:style>
  <w:style w:type="paragraph" w:styleId="Pta">
    <w:name w:val="footer"/>
    <w:basedOn w:val="Normlny"/>
    <w:link w:val="PtaChar"/>
    <w:uiPriority w:val="99"/>
    <w:rsid w:val="00EC35BF"/>
    <w:pPr>
      <w:tabs>
        <w:tab w:val="center" w:pos="4536"/>
        <w:tab w:val="right" w:pos="9072"/>
      </w:tabs>
      <w:ind w:left="0" w:firstLine="0"/>
    </w:pPr>
    <w:rPr>
      <w:sz w:val="20"/>
      <w:szCs w:val="20"/>
    </w:rPr>
  </w:style>
  <w:style w:type="character" w:customStyle="1" w:styleId="PtaChar">
    <w:name w:val="Päta Char"/>
    <w:link w:val="Pta"/>
    <w:uiPriority w:val="99"/>
    <w:rsid w:val="00EC35BF"/>
    <w:rPr>
      <w:rFonts w:ascii="Times New Roman" w:eastAsia="Times New Roman" w:hAnsi="Times New Roman"/>
      <w:lang w:val="sk-SK" w:eastAsia="sk-SK"/>
    </w:rPr>
  </w:style>
  <w:style w:type="character" w:styleId="slostrany">
    <w:name w:val="page number"/>
    <w:basedOn w:val="Predvolenpsmoodseku"/>
    <w:rsid w:val="00EC35BF"/>
  </w:style>
  <w:style w:type="paragraph" w:styleId="Textbubliny">
    <w:name w:val="Balloon Text"/>
    <w:basedOn w:val="Normlny"/>
    <w:link w:val="TextbublinyChar"/>
    <w:semiHidden/>
    <w:rsid w:val="00EC35BF"/>
    <w:pPr>
      <w:ind w:left="0" w:firstLine="0"/>
    </w:pPr>
    <w:rPr>
      <w:rFonts w:ascii="Tahoma" w:hAnsi="Tahoma"/>
      <w:sz w:val="16"/>
      <w:szCs w:val="16"/>
    </w:rPr>
  </w:style>
  <w:style w:type="character" w:customStyle="1" w:styleId="TextbublinyChar">
    <w:name w:val="Text bubliny Char"/>
    <w:link w:val="Textbubliny"/>
    <w:semiHidden/>
    <w:rsid w:val="00EC35BF"/>
    <w:rPr>
      <w:rFonts w:ascii="Tahoma" w:eastAsia="Times New Roman" w:hAnsi="Tahoma" w:cs="Tahoma"/>
      <w:sz w:val="16"/>
      <w:szCs w:val="16"/>
      <w:lang w:val="sk-SK" w:eastAsia="sk-SK"/>
    </w:rPr>
  </w:style>
  <w:style w:type="character" w:styleId="Odkaznakomentr">
    <w:name w:val="annotation reference"/>
    <w:semiHidden/>
    <w:rsid w:val="001A67A3"/>
    <w:rPr>
      <w:sz w:val="16"/>
      <w:szCs w:val="16"/>
    </w:rPr>
  </w:style>
  <w:style w:type="paragraph" w:styleId="Textkomentra">
    <w:name w:val="annotation text"/>
    <w:basedOn w:val="Normlny"/>
    <w:link w:val="TextkomentraChar"/>
    <w:semiHidden/>
    <w:rsid w:val="001A67A3"/>
    <w:rPr>
      <w:sz w:val="20"/>
      <w:szCs w:val="20"/>
    </w:rPr>
  </w:style>
  <w:style w:type="paragraph" w:styleId="Predmetkomentra">
    <w:name w:val="annotation subject"/>
    <w:basedOn w:val="Textkomentra"/>
    <w:next w:val="Textkomentra"/>
    <w:semiHidden/>
    <w:rsid w:val="001A67A3"/>
    <w:rPr>
      <w:b/>
      <w:bCs/>
    </w:rPr>
  </w:style>
  <w:style w:type="character" w:styleId="Hypertextovprepojenie">
    <w:name w:val="Hyperlink"/>
    <w:rsid w:val="007A6911"/>
    <w:rPr>
      <w:color w:val="0000FF"/>
      <w:u w:val="single"/>
    </w:rPr>
  </w:style>
  <w:style w:type="paragraph" w:styleId="Revzia">
    <w:name w:val="Revision"/>
    <w:hidden/>
    <w:uiPriority w:val="99"/>
    <w:semiHidden/>
    <w:rsid w:val="008F44C3"/>
    <w:rPr>
      <w:rFonts w:ascii="Times New Roman" w:eastAsia="Times New Roman" w:hAnsi="Times New Roman"/>
      <w:sz w:val="22"/>
      <w:szCs w:val="24"/>
    </w:rPr>
  </w:style>
  <w:style w:type="paragraph" w:styleId="Zarkazkladnhotextu">
    <w:name w:val="Body Text Indent"/>
    <w:basedOn w:val="Normlny"/>
    <w:link w:val="ZarkazkladnhotextuChar"/>
    <w:rsid w:val="00CD6DB3"/>
    <w:pPr>
      <w:spacing w:after="120"/>
      <w:ind w:left="283" w:firstLine="0"/>
      <w:jc w:val="both"/>
    </w:pPr>
    <w:rPr>
      <w:rFonts w:eastAsia="MS Mincho"/>
      <w:sz w:val="24"/>
      <w:lang w:val="fr-FR" w:eastAsia="fr-FR"/>
    </w:rPr>
  </w:style>
  <w:style w:type="character" w:customStyle="1" w:styleId="ZarkazkladnhotextuChar">
    <w:name w:val="Zarážka základného textu Char"/>
    <w:link w:val="Zarkazkladnhotextu"/>
    <w:rsid w:val="00CD6DB3"/>
    <w:rPr>
      <w:rFonts w:ascii="Times New Roman" w:eastAsia="MS Mincho" w:hAnsi="Times New Roman"/>
      <w:sz w:val="24"/>
      <w:szCs w:val="24"/>
      <w:lang w:val="fr-FR" w:eastAsia="fr-FR"/>
    </w:rPr>
  </w:style>
  <w:style w:type="character" w:customStyle="1" w:styleId="atn">
    <w:name w:val="atn"/>
    <w:rsid w:val="0024468F"/>
  </w:style>
  <w:style w:type="character" w:styleId="PouitHypertextovPrepojenie">
    <w:name w:val="FollowedHyperlink"/>
    <w:rsid w:val="00166051"/>
    <w:rPr>
      <w:color w:val="800080"/>
      <w:u w:val="single"/>
    </w:rPr>
  </w:style>
  <w:style w:type="paragraph" w:styleId="Odsekzoznamu">
    <w:name w:val="List Paragraph"/>
    <w:basedOn w:val="Normlny"/>
    <w:uiPriority w:val="34"/>
    <w:qFormat/>
    <w:rsid w:val="004C0A83"/>
    <w:pPr>
      <w:ind w:left="720" w:firstLine="0"/>
    </w:pPr>
    <w:rPr>
      <w:rFonts w:ascii="Calibri" w:eastAsia="Calibri" w:hAnsi="Calibri" w:cs="Calibri"/>
      <w:szCs w:val="22"/>
      <w:lang w:eastAsia="en-US"/>
    </w:rPr>
  </w:style>
  <w:style w:type="paragraph" w:customStyle="1" w:styleId="Default">
    <w:name w:val="Default"/>
    <w:rsid w:val="00697203"/>
    <w:pPr>
      <w:autoSpaceDE w:val="0"/>
      <w:autoSpaceDN w:val="0"/>
      <w:adjustRightInd w:val="0"/>
    </w:pPr>
    <w:rPr>
      <w:rFonts w:ascii="Times New Roman" w:hAnsi="Times New Roman"/>
      <w:color w:val="000000"/>
      <w:sz w:val="24"/>
      <w:szCs w:val="24"/>
    </w:rPr>
  </w:style>
  <w:style w:type="character" w:customStyle="1" w:styleId="TextkomentraChar">
    <w:name w:val="Text komentára Char"/>
    <w:basedOn w:val="Predvolenpsmoodseku"/>
    <w:link w:val="Textkomentra"/>
    <w:semiHidden/>
    <w:rsid w:val="002C57B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6563">
      <w:bodyDiv w:val="1"/>
      <w:marLeft w:val="0"/>
      <w:marRight w:val="0"/>
      <w:marTop w:val="0"/>
      <w:marBottom w:val="0"/>
      <w:divBdr>
        <w:top w:val="none" w:sz="0" w:space="0" w:color="auto"/>
        <w:left w:val="none" w:sz="0" w:space="0" w:color="auto"/>
        <w:bottom w:val="none" w:sz="0" w:space="0" w:color="auto"/>
        <w:right w:val="none" w:sz="0" w:space="0" w:color="auto"/>
      </w:divBdr>
      <w:divsChild>
        <w:div w:id="1168209455">
          <w:marLeft w:val="0"/>
          <w:marRight w:val="0"/>
          <w:marTop w:val="0"/>
          <w:marBottom w:val="0"/>
          <w:divBdr>
            <w:top w:val="none" w:sz="0" w:space="0" w:color="auto"/>
            <w:left w:val="none" w:sz="0" w:space="0" w:color="auto"/>
            <w:bottom w:val="none" w:sz="0" w:space="0" w:color="auto"/>
            <w:right w:val="none" w:sz="0" w:space="0" w:color="auto"/>
          </w:divBdr>
          <w:divsChild>
            <w:div w:id="653606127">
              <w:marLeft w:val="0"/>
              <w:marRight w:val="0"/>
              <w:marTop w:val="0"/>
              <w:marBottom w:val="0"/>
              <w:divBdr>
                <w:top w:val="none" w:sz="0" w:space="0" w:color="auto"/>
                <w:left w:val="none" w:sz="0" w:space="0" w:color="auto"/>
                <w:bottom w:val="none" w:sz="0" w:space="0" w:color="auto"/>
                <w:right w:val="none" w:sz="0" w:space="0" w:color="auto"/>
              </w:divBdr>
              <w:divsChild>
                <w:div w:id="1364013791">
                  <w:marLeft w:val="0"/>
                  <w:marRight w:val="0"/>
                  <w:marTop w:val="0"/>
                  <w:marBottom w:val="0"/>
                  <w:divBdr>
                    <w:top w:val="none" w:sz="0" w:space="0" w:color="auto"/>
                    <w:left w:val="none" w:sz="0" w:space="0" w:color="auto"/>
                    <w:bottom w:val="none" w:sz="0" w:space="0" w:color="auto"/>
                    <w:right w:val="none" w:sz="0" w:space="0" w:color="auto"/>
                  </w:divBdr>
                  <w:divsChild>
                    <w:div w:id="1867526163">
                      <w:marLeft w:val="0"/>
                      <w:marRight w:val="0"/>
                      <w:marTop w:val="0"/>
                      <w:marBottom w:val="0"/>
                      <w:divBdr>
                        <w:top w:val="none" w:sz="0" w:space="0" w:color="auto"/>
                        <w:left w:val="none" w:sz="0" w:space="0" w:color="auto"/>
                        <w:bottom w:val="none" w:sz="0" w:space="0" w:color="auto"/>
                        <w:right w:val="none" w:sz="0" w:space="0" w:color="auto"/>
                      </w:divBdr>
                      <w:divsChild>
                        <w:div w:id="994336334">
                          <w:marLeft w:val="0"/>
                          <w:marRight w:val="0"/>
                          <w:marTop w:val="0"/>
                          <w:marBottom w:val="0"/>
                          <w:divBdr>
                            <w:top w:val="none" w:sz="0" w:space="0" w:color="auto"/>
                            <w:left w:val="none" w:sz="0" w:space="0" w:color="auto"/>
                            <w:bottom w:val="none" w:sz="0" w:space="0" w:color="auto"/>
                            <w:right w:val="none" w:sz="0" w:space="0" w:color="auto"/>
                          </w:divBdr>
                          <w:divsChild>
                            <w:div w:id="482043002">
                              <w:marLeft w:val="0"/>
                              <w:marRight w:val="0"/>
                              <w:marTop w:val="0"/>
                              <w:marBottom w:val="0"/>
                              <w:divBdr>
                                <w:top w:val="none" w:sz="0" w:space="0" w:color="auto"/>
                                <w:left w:val="none" w:sz="0" w:space="0" w:color="auto"/>
                                <w:bottom w:val="none" w:sz="0" w:space="0" w:color="auto"/>
                                <w:right w:val="none" w:sz="0" w:space="0" w:color="auto"/>
                              </w:divBdr>
                              <w:divsChild>
                                <w:div w:id="21177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32418">
      <w:bodyDiv w:val="1"/>
      <w:marLeft w:val="0"/>
      <w:marRight w:val="0"/>
      <w:marTop w:val="0"/>
      <w:marBottom w:val="0"/>
      <w:divBdr>
        <w:top w:val="none" w:sz="0" w:space="0" w:color="auto"/>
        <w:left w:val="none" w:sz="0" w:space="0" w:color="auto"/>
        <w:bottom w:val="none" w:sz="0" w:space="0" w:color="auto"/>
        <w:right w:val="none" w:sz="0" w:space="0" w:color="auto"/>
      </w:divBdr>
      <w:divsChild>
        <w:div w:id="351565626">
          <w:marLeft w:val="0"/>
          <w:marRight w:val="0"/>
          <w:marTop w:val="0"/>
          <w:marBottom w:val="0"/>
          <w:divBdr>
            <w:top w:val="none" w:sz="0" w:space="0" w:color="auto"/>
            <w:left w:val="none" w:sz="0" w:space="0" w:color="auto"/>
            <w:bottom w:val="none" w:sz="0" w:space="0" w:color="auto"/>
            <w:right w:val="none" w:sz="0" w:space="0" w:color="auto"/>
          </w:divBdr>
          <w:divsChild>
            <w:div w:id="1420253257">
              <w:marLeft w:val="0"/>
              <w:marRight w:val="0"/>
              <w:marTop w:val="0"/>
              <w:marBottom w:val="0"/>
              <w:divBdr>
                <w:top w:val="none" w:sz="0" w:space="0" w:color="auto"/>
                <w:left w:val="none" w:sz="0" w:space="0" w:color="auto"/>
                <w:bottom w:val="none" w:sz="0" w:space="0" w:color="auto"/>
                <w:right w:val="none" w:sz="0" w:space="0" w:color="auto"/>
              </w:divBdr>
              <w:divsChild>
                <w:div w:id="1954823184">
                  <w:marLeft w:val="0"/>
                  <w:marRight w:val="0"/>
                  <w:marTop w:val="0"/>
                  <w:marBottom w:val="0"/>
                  <w:divBdr>
                    <w:top w:val="none" w:sz="0" w:space="0" w:color="auto"/>
                    <w:left w:val="none" w:sz="0" w:space="0" w:color="auto"/>
                    <w:bottom w:val="none" w:sz="0" w:space="0" w:color="auto"/>
                    <w:right w:val="none" w:sz="0" w:space="0" w:color="auto"/>
                  </w:divBdr>
                  <w:divsChild>
                    <w:div w:id="641663870">
                      <w:marLeft w:val="0"/>
                      <w:marRight w:val="0"/>
                      <w:marTop w:val="0"/>
                      <w:marBottom w:val="0"/>
                      <w:divBdr>
                        <w:top w:val="none" w:sz="0" w:space="0" w:color="auto"/>
                        <w:left w:val="none" w:sz="0" w:space="0" w:color="auto"/>
                        <w:bottom w:val="none" w:sz="0" w:space="0" w:color="auto"/>
                        <w:right w:val="none" w:sz="0" w:space="0" w:color="auto"/>
                      </w:divBdr>
                      <w:divsChild>
                        <w:div w:id="1239167150">
                          <w:marLeft w:val="0"/>
                          <w:marRight w:val="0"/>
                          <w:marTop w:val="0"/>
                          <w:marBottom w:val="0"/>
                          <w:divBdr>
                            <w:top w:val="none" w:sz="0" w:space="0" w:color="auto"/>
                            <w:left w:val="none" w:sz="0" w:space="0" w:color="auto"/>
                            <w:bottom w:val="none" w:sz="0" w:space="0" w:color="auto"/>
                            <w:right w:val="none" w:sz="0" w:space="0" w:color="auto"/>
                          </w:divBdr>
                          <w:divsChild>
                            <w:div w:id="5526205">
                              <w:marLeft w:val="0"/>
                              <w:marRight w:val="0"/>
                              <w:marTop w:val="0"/>
                              <w:marBottom w:val="0"/>
                              <w:divBdr>
                                <w:top w:val="none" w:sz="0" w:space="0" w:color="auto"/>
                                <w:left w:val="none" w:sz="0" w:space="0" w:color="auto"/>
                                <w:bottom w:val="none" w:sz="0" w:space="0" w:color="auto"/>
                                <w:right w:val="none" w:sz="0" w:space="0" w:color="auto"/>
                              </w:divBdr>
                              <w:divsChild>
                                <w:div w:id="13556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98">
      <w:bodyDiv w:val="1"/>
      <w:marLeft w:val="0"/>
      <w:marRight w:val="0"/>
      <w:marTop w:val="0"/>
      <w:marBottom w:val="0"/>
      <w:divBdr>
        <w:top w:val="none" w:sz="0" w:space="0" w:color="auto"/>
        <w:left w:val="none" w:sz="0" w:space="0" w:color="auto"/>
        <w:bottom w:val="none" w:sz="0" w:space="0" w:color="auto"/>
        <w:right w:val="none" w:sz="0" w:space="0" w:color="auto"/>
      </w:divBdr>
      <w:divsChild>
        <w:div w:id="390152160">
          <w:marLeft w:val="0"/>
          <w:marRight w:val="0"/>
          <w:marTop w:val="0"/>
          <w:marBottom w:val="0"/>
          <w:divBdr>
            <w:top w:val="none" w:sz="0" w:space="0" w:color="auto"/>
            <w:left w:val="none" w:sz="0" w:space="0" w:color="auto"/>
            <w:bottom w:val="none" w:sz="0" w:space="0" w:color="auto"/>
            <w:right w:val="none" w:sz="0" w:space="0" w:color="auto"/>
          </w:divBdr>
          <w:divsChild>
            <w:div w:id="1903128891">
              <w:marLeft w:val="0"/>
              <w:marRight w:val="0"/>
              <w:marTop w:val="0"/>
              <w:marBottom w:val="0"/>
              <w:divBdr>
                <w:top w:val="none" w:sz="0" w:space="0" w:color="auto"/>
                <w:left w:val="none" w:sz="0" w:space="0" w:color="auto"/>
                <w:bottom w:val="none" w:sz="0" w:space="0" w:color="auto"/>
                <w:right w:val="none" w:sz="0" w:space="0" w:color="auto"/>
              </w:divBdr>
              <w:divsChild>
                <w:div w:id="1434351721">
                  <w:marLeft w:val="0"/>
                  <w:marRight w:val="0"/>
                  <w:marTop w:val="0"/>
                  <w:marBottom w:val="0"/>
                  <w:divBdr>
                    <w:top w:val="none" w:sz="0" w:space="0" w:color="auto"/>
                    <w:left w:val="none" w:sz="0" w:space="0" w:color="auto"/>
                    <w:bottom w:val="none" w:sz="0" w:space="0" w:color="auto"/>
                    <w:right w:val="none" w:sz="0" w:space="0" w:color="auto"/>
                  </w:divBdr>
                  <w:divsChild>
                    <w:div w:id="378477926">
                      <w:marLeft w:val="0"/>
                      <w:marRight w:val="0"/>
                      <w:marTop w:val="0"/>
                      <w:marBottom w:val="0"/>
                      <w:divBdr>
                        <w:top w:val="none" w:sz="0" w:space="0" w:color="auto"/>
                        <w:left w:val="none" w:sz="0" w:space="0" w:color="auto"/>
                        <w:bottom w:val="none" w:sz="0" w:space="0" w:color="auto"/>
                        <w:right w:val="none" w:sz="0" w:space="0" w:color="auto"/>
                      </w:divBdr>
                      <w:divsChild>
                        <w:div w:id="671177698">
                          <w:marLeft w:val="0"/>
                          <w:marRight w:val="0"/>
                          <w:marTop w:val="0"/>
                          <w:marBottom w:val="0"/>
                          <w:divBdr>
                            <w:top w:val="none" w:sz="0" w:space="0" w:color="auto"/>
                            <w:left w:val="none" w:sz="0" w:space="0" w:color="auto"/>
                            <w:bottom w:val="none" w:sz="0" w:space="0" w:color="auto"/>
                            <w:right w:val="none" w:sz="0" w:space="0" w:color="auto"/>
                          </w:divBdr>
                          <w:divsChild>
                            <w:div w:id="1367369646">
                              <w:marLeft w:val="0"/>
                              <w:marRight w:val="0"/>
                              <w:marTop w:val="0"/>
                              <w:marBottom w:val="0"/>
                              <w:divBdr>
                                <w:top w:val="none" w:sz="0" w:space="0" w:color="auto"/>
                                <w:left w:val="none" w:sz="0" w:space="0" w:color="auto"/>
                                <w:bottom w:val="none" w:sz="0" w:space="0" w:color="auto"/>
                                <w:right w:val="none" w:sz="0" w:space="0" w:color="auto"/>
                              </w:divBdr>
                              <w:divsChild>
                                <w:div w:id="20935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94222">
      <w:bodyDiv w:val="1"/>
      <w:marLeft w:val="0"/>
      <w:marRight w:val="0"/>
      <w:marTop w:val="0"/>
      <w:marBottom w:val="0"/>
      <w:divBdr>
        <w:top w:val="none" w:sz="0" w:space="0" w:color="auto"/>
        <w:left w:val="none" w:sz="0" w:space="0" w:color="auto"/>
        <w:bottom w:val="none" w:sz="0" w:space="0" w:color="auto"/>
        <w:right w:val="none" w:sz="0" w:space="0" w:color="auto"/>
      </w:divBdr>
    </w:div>
    <w:div w:id="522282311">
      <w:bodyDiv w:val="1"/>
      <w:marLeft w:val="0"/>
      <w:marRight w:val="0"/>
      <w:marTop w:val="0"/>
      <w:marBottom w:val="0"/>
      <w:divBdr>
        <w:top w:val="none" w:sz="0" w:space="0" w:color="auto"/>
        <w:left w:val="none" w:sz="0" w:space="0" w:color="auto"/>
        <w:bottom w:val="none" w:sz="0" w:space="0" w:color="auto"/>
        <w:right w:val="none" w:sz="0" w:space="0" w:color="auto"/>
      </w:divBdr>
      <w:divsChild>
        <w:div w:id="621351478">
          <w:marLeft w:val="0"/>
          <w:marRight w:val="0"/>
          <w:marTop w:val="0"/>
          <w:marBottom w:val="0"/>
          <w:divBdr>
            <w:top w:val="none" w:sz="0" w:space="0" w:color="auto"/>
            <w:left w:val="none" w:sz="0" w:space="0" w:color="auto"/>
            <w:bottom w:val="none" w:sz="0" w:space="0" w:color="auto"/>
            <w:right w:val="none" w:sz="0" w:space="0" w:color="auto"/>
          </w:divBdr>
          <w:divsChild>
            <w:div w:id="624194959">
              <w:marLeft w:val="0"/>
              <w:marRight w:val="0"/>
              <w:marTop w:val="0"/>
              <w:marBottom w:val="0"/>
              <w:divBdr>
                <w:top w:val="none" w:sz="0" w:space="0" w:color="auto"/>
                <w:left w:val="none" w:sz="0" w:space="0" w:color="auto"/>
                <w:bottom w:val="none" w:sz="0" w:space="0" w:color="auto"/>
                <w:right w:val="none" w:sz="0" w:space="0" w:color="auto"/>
              </w:divBdr>
              <w:divsChild>
                <w:div w:id="1978487024">
                  <w:marLeft w:val="0"/>
                  <w:marRight w:val="0"/>
                  <w:marTop w:val="0"/>
                  <w:marBottom w:val="0"/>
                  <w:divBdr>
                    <w:top w:val="none" w:sz="0" w:space="0" w:color="auto"/>
                    <w:left w:val="none" w:sz="0" w:space="0" w:color="auto"/>
                    <w:bottom w:val="none" w:sz="0" w:space="0" w:color="auto"/>
                    <w:right w:val="none" w:sz="0" w:space="0" w:color="auto"/>
                  </w:divBdr>
                  <w:divsChild>
                    <w:div w:id="189952998">
                      <w:marLeft w:val="0"/>
                      <w:marRight w:val="0"/>
                      <w:marTop w:val="0"/>
                      <w:marBottom w:val="0"/>
                      <w:divBdr>
                        <w:top w:val="none" w:sz="0" w:space="0" w:color="auto"/>
                        <w:left w:val="none" w:sz="0" w:space="0" w:color="auto"/>
                        <w:bottom w:val="none" w:sz="0" w:space="0" w:color="auto"/>
                        <w:right w:val="none" w:sz="0" w:space="0" w:color="auto"/>
                      </w:divBdr>
                      <w:divsChild>
                        <w:div w:id="915438084">
                          <w:marLeft w:val="0"/>
                          <w:marRight w:val="0"/>
                          <w:marTop w:val="0"/>
                          <w:marBottom w:val="0"/>
                          <w:divBdr>
                            <w:top w:val="none" w:sz="0" w:space="0" w:color="auto"/>
                            <w:left w:val="none" w:sz="0" w:space="0" w:color="auto"/>
                            <w:bottom w:val="none" w:sz="0" w:space="0" w:color="auto"/>
                            <w:right w:val="none" w:sz="0" w:space="0" w:color="auto"/>
                          </w:divBdr>
                          <w:divsChild>
                            <w:div w:id="826827624">
                              <w:marLeft w:val="0"/>
                              <w:marRight w:val="0"/>
                              <w:marTop w:val="0"/>
                              <w:marBottom w:val="0"/>
                              <w:divBdr>
                                <w:top w:val="none" w:sz="0" w:space="0" w:color="auto"/>
                                <w:left w:val="none" w:sz="0" w:space="0" w:color="auto"/>
                                <w:bottom w:val="none" w:sz="0" w:space="0" w:color="auto"/>
                                <w:right w:val="none" w:sz="0" w:space="0" w:color="auto"/>
                              </w:divBdr>
                              <w:divsChild>
                                <w:div w:id="5478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341340">
      <w:bodyDiv w:val="1"/>
      <w:marLeft w:val="0"/>
      <w:marRight w:val="0"/>
      <w:marTop w:val="0"/>
      <w:marBottom w:val="0"/>
      <w:divBdr>
        <w:top w:val="none" w:sz="0" w:space="0" w:color="auto"/>
        <w:left w:val="none" w:sz="0" w:space="0" w:color="auto"/>
        <w:bottom w:val="none" w:sz="0" w:space="0" w:color="auto"/>
        <w:right w:val="none" w:sz="0" w:space="0" w:color="auto"/>
      </w:divBdr>
      <w:divsChild>
        <w:div w:id="1973514842">
          <w:marLeft w:val="0"/>
          <w:marRight w:val="0"/>
          <w:marTop w:val="0"/>
          <w:marBottom w:val="0"/>
          <w:divBdr>
            <w:top w:val="none" w:sz="0" w:space="0" w:color="auto"/>
            <w:left w:val="none" w:sz="0" w:space="0" w:color="auto"/>
            <w:bottom w:val="none" w:sz="0" w:space="0" w:color="auto"/>
            <w:right w:val="none" w:sz="0" w:space="0" w:color="auto"/>
          </w:divBdr>
          <w:divsChild>
            <w:div w:id="1174414912">
              <w:marLeft w:val="0"/>
              <w:marRight w:val="0"/>
              <w:marTop w:val="0"/>
              <w:marBottom w:val="0"/>
              <w:divBdr>
                <w:top w:val="none" w:sz="0" w:space="0" w:color="auto"/>
                <w:left w:val="none" w:sz="0" w:space="0" w:color="auto"/>
                <w:bottom w:val="none" w:sz="0" w:space="0" w:color="auto"/>
                <w:right w:val="none" w:sz="0" w:space="0" w:color="auto"/>
              </w:divBdr>
              <w:divsChild>
                <w:div w:id="401683601">
                  <w:marLeft w:val="0"/>
                  <w:marRight w:val="0"/>
                  <w:marTop w:val="0"/>
                  <w:marBottom w:val="0"/>
                  <w:divBdr>
                    <w:top w:val="none" w:sz="0" w:space="0" w:color="auto"/>
                    <w:left w:val="none" w:sz="0" w:space="0" w:color="auto"/>
                    <w:bottom w:val="none" w:sz="0" w:space="0" w:color="auto"/>
                    <w:right w:val="none" w:sz="0" w:space="0" w:color="auto"/>
                  </w:divBdr>
                  <w:divsChild>
                    <w:div w:id="280651130">
                      <w:marLeft w:val="0"/>
                      <w:marRight w:val="0"/>
                      <w:marTop w:val="0"/>
                      <w:marBottom w:val="0"/>
                      <w:divBdr>
                        <w:top w:val="none" w:sz="0" w:space="0" w:color="auto"/>
                        <w:left w:val="none" w:sz="0" w:space="0" w:color="auto"/>
                        <w:bottom w:val="none" w:sz="0" w:space="0" w:color="auto"/>
                        <w:right w:val="none" w:sz="0" w:space="0" w:color="auto"/>
                      </w:divBdr>
                      <w:divsChild>
                        <w:div w:id="1880167432">
                          <w:marLeft w:val="0"/>
                          <w:marRight w:val="0"/>
                          <w:marTop w:val="0"/>
                          <w:marBottom w:val="0"/>
                          <w:divBdr>
                            <w:top w:val="none" w:sz="0" w:space="0" w:color="auto"/>
                            <w:left w:val="none" w:sz="0" w:space="0" w:color="auto"/>
                            <w:bottom w:val="none" w:sz="0" w:space="0" w:color="auto"/>
                            <w:right w:val="none" w:sz="0" w:space="0" w:color="auto"/>
                          </w:divBdr>
                          <w:divsChild>
                            <w:div w:id="1979070744">
                              <w:marLeft w:val="0"/>
                              <w:marRight w:val="0"/>
                              <w:marTop w:val="0"/>
                              <w:marBottom w:val="0"/>
                              <w:divBdr>
                                <w:top w:val="none" w:sz="0" w:space="0" w:color="auto"/>
                                <w:left w:val="none" w:sz="0" w:space="0" w:color="auto"/>
                                <w:bottom w:val="none" w:sz="0" w:space="0" w:color="auto"/>
                                <w:right w:val="none" w:sz="0" w:space="0" w:color="auto"/>
                              </w:divBdr>
                              <w:divsChild>
                                <w:div w:id="5863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951336">
      <w:bodyDiv w:val="1"/>
      <w:marLeft w:val="0"/>
      <w:marRight w:val="0"/>
      <w:marTop w:val="0"/>
      <w:marBottom w:val="0"/>
      <w:divBdr>
        <w:top w:val="none" w:sz="0" w:space="0" w:color="auto"/>
        <w:left w:val="none" w:sz="0" w:space="0" w:color="auto"/>
        <w:bottom w:val="none" w:sz="0" w:space="0" w:color="auto"/>
        <w:right w:val="none" w:sz="0" w:space="0" w:color="auto"/>
      </w:divBdr>
      <w:divsChild>
        <w:div w:id="1628774286">
          <w:marLeft w:val="0"/>
          <w:marRight w:val="0"/>
          <w:marTop w:val="0"/>
          <w:marBottom w:val="0"/>
          <w:divBdr>
            <w:top w:val="none" w:sz="0" w:space="0" w:color="auto"/>
            <w:left w:val="none" w:sz="0" w:space="0" w:color="auto"/>
            <w:bottom w:val="none" w:sz="0" w:space="0" w:color="auto"/>
            <w:right w:val="none" w:sz="0" w:space="0" w:color="auto"/>
          </w:divBdr>
          <w:divsChild>
            <w:div w:id="1272516188">
              <w:marLeft w:val="0"/>
              <w:marRight w:val="0"/>
              <w:marTop w:val="0"/>
              <w:marBottom w:val="0"/>
              <w:divBdr>
                <w:top w:val="none" w:sz="0" w:space="0" w:color="auto"/>
                <w:left w:val="none" w:sz="0" w:space="0" w:color="auto"/>
                <w:bottom w:val="none" w:sz="0" w:space="0" w:color="auto"/>
                <w:right w:val="none" w:sz="0" w:space="0" w:color="auto"/>
              </w:divBdr>
              <w:divsChild>
                <w:div w:id="338235952">
                  <w:marLeft w:val="0"/>
                  <w:marRight w:val="0"/>
                  <w:marTop w:val="0"/>
                  <w:marBottom w:val="0"/>
                  <w:divBdr>
                    <w:top w:val="none" w:sz="0" w:space="0" w:color="auto"/>
                    <w:left w:val="none" w:sz="0" w:space="0" w:color="auto"/>
                    <w:bottom w:val="none" w:sz="0" w:space="0" w:color="auto"/>
                    <w:right w:val="none" w:sz="0" w:space="0" w:color="auto"/>
                  </w:divBdr>
                  <w:divsChild>
                    <w:div w:id="1517232761">
                      <w:marLeft w:val="0"/>
                      <w:marRight w:val="0"/>
                      <w:marTop w:val="0"/>
                      <w:marBottom w:val="0"/>
                      <w:divBdr>
                        <w:top w:val="none" w:sz="0" w:space="0" w:color="auto"/>
                        <w:left w:val="none" w:sz="0" w:space="0" w:color="auto"/>
                        <w:bottom w:val="none" w:sz="0" w:space="0" w:color="auto"/>
                        <w:right w:val="none" w:sz="0" w:space="0" w:color="auto"/>
                      </w:divBdr>
                      <w:divsChild>
                        <w:div w:id="224803680">
                          <w:marLeft w:val="0"/>
                          <w:marRight w:val="0"/>
                          <w:marTop w:val="0"/>
                          <w:marBottom w:val="0"/>
                          <w:divBdr>
                            <w:top w:val="none" w:sz="0" w:space="0" w:color="auto"/>
                            <w:left w:val="none" w:sz="0" w:space="0" w:color="auto"/>
                            <w:bottom w:val="none" w:sz="0" w:space="0" w:color="auto"/>
                            <w:right w:val="none" w:sz="0" w:space="0" w:color="auto"/>
                          </w:divBdr>
                          <w:divsChild>
                            <w:div w:id="2133791929">
                              <w:marLeft w:val="0"/>
                              <w:marRight w:val="0"/>
                              <w:marTop w:val="0"/>
                              <w:marBottom w:val="0"/>
                              <w:divBdr>
                                <w:top w:val="none" w:sz="0" w:space="0" w:color="auto"/>
                                <w:left w:val="none" w:sz="0" w:space="0" w:color="auto"/>
                                <w:bottom w:val="none" w:sz="0" w:space="0" w:color="auto"/>
                                <w:right w:val="none" w:sz="0" w:space="0" w:color="auto"/>
                              </w:divBdr>
                              <w:divsChild>
                                <w:div w:id="435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183385">
      <w:bodyDiv w:val="1"/>
      <w:marLeft w:val="0"/>
      <w:marRight w:val="0"/>
      <w:marTop w:val="0"/>
      <w:marBottom w:val="0"/>
      <w:divBdr>
        <w:top w:val="none" w:sz="0" w:space="0" w:color="auto"/>
        <w:left w:val="none" w:sz="0" w:space="0" w:color="auto"/>
        <w:bottom w:val="none" w:sz="0" w:space="0" w:color="auto"/>
        <w:right w:val="none" w:sz="0" w:space="0" w:color="auto"/>
      </w:divBdr>
      <w:divsChild>
        <w:div w:id="1160654679">
          <w:marLeft w:val="0"/>
          <w:marRight w:val="0"/>
          <w:marTop w:val="0"/>
          <w:marBottom w:val="0"/>
          <w:divBdr>
            <w:top w:val="none" w:sz="0" w:space="0" w:color="auto"/>
            <w:left w:val="none" w:sz="0" w:space="0" w:color="auto"/>
            <w:bottom w:val="none" w:sz="0" w:space="0" w:color="auto"/>
            <w:right w:val="none" w:sz="0" w:space="0" w:color="auto"/>
          </w:divBdr>
          <w:divsChild>
            <w:div w:id="266890610">
              <w:marLeft w:val="0"/>
              <w:marRight w:val="0"/>
              <w:marTop w:val="0"/>
              <w:marBottom w:val="0"/>
              <w:divBdr>
                <w:top w:val="none" w:sz="0" w:space="0" w:color="auto"/>
                <w:left w:val="none" w:sz="0" w:space="0" w:color="auto"/>
                <w:bottom w:val="none" w:sz="0" w:space="0" w:color="auto"/>
                <w:right w:val="none" w:sz="0" w:space="0" w:color="auto"/>
              </w:divBdr>
              <w:divsChild>
                <w:div w:id="249508344">
                  <w:marLeft w:val="0"/>
                  <w:marRight w:val="0"/>
                  <w:marTop w:val="0"/>
                  <w:marBottom w:val="0"/>
                  <w:divBdr>
                    <w:top w:val="none" w:sz="0" w:space="0" w:color="auto"/>
                    <w:left w:val="none" w:sz="0" w:space="0" w:color="auto"/>
                    <w:bottom w:val="none" w:sz="0" w:space="0" w:color="auto"/>
                    <w:right w:val="none" w:sz="0" w:space="0" w:color="auto"/>
                  </w:divBdr>
                  <w:divsChild>
                    <w:div w:id="1988314050">
                      <w:marLeft w:val="0"/>
                      <w:marRight w:val="0"/>
                      <w:marTop w:val="0"/>
                      <w:marBottom w:val="0"/>
                      <w:divBdr>
                        <w:top w:val="none" w:sz="0" w:space="0" w:color="auto"/>
                        <w:left w:val="none" w:sz="0" w:space="0" w:color="auto"/>
                        <w:bottom w:val="none" w:sz="0" w:space="0" w:color="auto"/>
                        <w:right w:val="none" w:sz="0" w:space="0" w:color="auto"/>
                      </w:divBdr>
                      <w:divsChild>
                        <w:div w:id="2036694074">
                          <w:marLeft w:val="0"/>
                          <w:marRight w:val="0"/>
                          <w:marTop w:val="0"/>
                          <w:marBottom w:val="0"/>
                          <w:divBdr>
                            <w:top w:val="none" w:sz="0" w:space="0" w:color="auto"/>
                            <w:left w:val="none" w:sz="0" w:space="0" w:color="auto"/>
                            <w:bottom w:val="none" w:sz="0" w:space="0" w:color="auto"/>
                            <w:right w:val="none" w:sz="0" w:space="0" w:color="auto"/>
                          </w:divBdr>
                          <w:divsChild>
                            <w:div w:id="685331738">
                              <w:marLeft w:val="0"/>
                              <w:marRight w:val="0"/>
                              <w:marTop w:val="0"/>
                              <w:marBottom w:val="0"/>
                              <w:divBdr>
                                <w:top w:val="none" w:sz="0" w:space="0" w:color="auto"/>
                                <w:left w:val="none" w:sz="0" w:space="0" w:color="auto"/>
                                <w:bottom w:val="none" w:sz="0" w:space="0" w:color="auto"/>
                                <w:right w:val="none" w:sz="0" w:space="0" w:color="auto"/>
                              </w:divBdr>
                              <w:divsChild>
                                <w:div w:id="9836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11755">
      <w:bodyDiv w:val="1"/>
      <w:marLeft w:val="0"/>
      <w:marRight w:val="0"/>
      <w:marTop w:val="0"/>
      <w:marBottom w:val="0"/>
      <w:divBdr>
        <w:top w:val="none" w:sz="0" w:space="0" w:color="auto"/>
        <w:left w:val="none" w:sz="0" w:space="0" w:color="auto"/>
        <w:bottom w:val="none" w:sz="0" w:space="0" w:color="auto"/>
        <w:right w:val="none" w:sz="0" w:space="0" w:color="auto"/>
      </w:divBdr>
      <w:divsChild>
        <w:div w:id="241304648">
          <w:marLeft w:val="0"/>
          <w:marRight w:val="0"/>
          <w:marTop w:val="0"/>
          <w:marBottom w:val="0"/>
          <w:divBdr>
            <w:top w:val="none" w:sz="0" w:space="0" w:color="auto"/>
            <w:left w:val="none" w:sz="0" w:space="0" w:color="auto"/>
            <w:bottom w:val="none" w:sz="0" w:space="0" w:color="auto"/>
            <w:right w:val="none" w:sz="0" w:space="0" w:color="auto"/>
          </w:divBdr>
          <w:divsChild>
            <w:div w:id="1389260561">
              <w:marLeft w:val="0"/>
              <w:marRight w:val="0"/>
              <w:marTop w:val="0"/>
              <w:marBottom w:val="0"/>
              <w:divBdr>
                <w:top w:val="none" w:sz="0" w:space="0" w:color="auto"/>
                <w:left w:val="none" w:sz="0" w:space="0" w:color="auto"/>
                <w:bottom w:val="none" w:sz="0" w:space="0" w:color="auto"/>
                <w:right w:val="none" w:sz="0" w:space="0" w:color="auto"/>
              </w:divBdr>
              <w:divsChild>
                <w:div w:id="1162547877">
                  <w:marLeft w:val="0"/>
                  <w:marRight w:val="0"/>
                  <w:marTop w:val="0"/>
                  <w:marBottom w:val="0"/>
                  <w:divBdr>
                    <w:top w:val="none" w:sz="0" w:space="0" w:color="auto"/>
                    <w:left w:val="none" w:sz="0" w:space="0" w:color="auto"/>
                    <w:bottom w:val="none" w:sz="0" w:space="0" w:color="auto"/>
                    <w:right w:val="none" w:sz="0" w:space="0" w:color="auto"/>
                  </w:divBdr>
                  <w:divsChild>
                    <w:div w:id="1927496797">
                      <w:marLeft w:val="0"/>
                      <w:marRight w:val="0"/>
                      <w:marTop w:val="0"/>
                      <w:marBottom w:val="0"/>
                      <w:divBdr>
                        <w:top w:val="none" w:sz="0" w:space="0" w:color="auto"/>
                        <w:left w:val="none" w:sz="0" w:space="0" w:color="auto"/>
                        <w:bottom w:val="none" w:sz="0" w:space="0" w:color="auto"/>
                        <w:right w:val="none" w:sz="0" w:space="0" w:color="auto"/>
                      </w:divBdr>
                      <w:divsChild>
                        <w:div w:id="2109541183">
                          <w:marLeft w:val="0"/>
                          <w:marRight w:val="0"/>
                          <w:marTop w:val="0"/>
                          <w:marBottom w:val="0"/>
                          <w:divBdr>
                            <w:top w:val="none" w:sz="0" w:space="0" w:color="auto"/>
                            <w:left w:val="none" w:sz="0" w:space="0" w:color="auto"/>
                            <w:bottom w:val="none" w:sz="0" w:space="0" w:color="auto"/>
                            <w:right w:val="none" w:sz="0" w:space="0" w:color="auto"/>
                          </w:divBdr>
                          <w:divsChild>
                            <w:div w:id="1778016489">
                              <w:marLeft w:val="0"/>
                              <w:marRight w:val="0"/>
                              <w:marTop w:val="0"/>
                              <w:marBottom w:val="0"/>
                              <w:divBdr>
                                <w:top w:val="none" w:sz="0" w:space="0" w:color="auto"/>
                                <w:left w:val="none" w:sz="0" w:space="0" w:color="auto"/>
                                <w:bottom w:val="none" w:sz="0" w:space="0" w:color="auto"/>
                                <w:right w:val="none" w:sz="0" w:space="0" w:color="auto"/>
                              </w:divBdr>
                              <w:divsChild>
                                <w:div w:id="15667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828639">
      <w:bodyDiv w:val="1"/>
      <w:marLeft w:val="0"/>
      <w:marRight w:val="0"/>
      <w:marTop w:val="0"/>
      <w:marBottom w:val="0"/>
      <w:divBdr>
        <w:top w:val="none" w:sz="0" w:space="0" w:color="auto"/>
        <w:left w:val="none" w:sz="0" w:space="0" w:color="auto"/>
        <w:bottom w:val="none" w:sz="0" w:space="0" w:color="auto"/>
        <w:right w:val="none" w:sz="0" w:space="0" w:color="auto"/>
      </w:divBdr>
      <w:divsChild>
        <w:div w:id="1648510182">
          <w:marLeft w:val="0"/>
          <w:marRight w:val="0"/>
          <w:marTop w:val="0"/>
          <w:marBottom w:val="0"/>
          <w:divBdr>
            <w:top w:val="none" w:sz="0" w:space="0" w:color="auto"/>
            <w:left w:val="none" w:sz="0" w:space="0" w:color="auto"/>
            <w:bottom w:val="none" w:sz="0" w:space="0" w:color="auto"/>
            <w:right w:val="none" w:sz="0" w:space="0" w:color="auto"/>
          </w:divBdr>
          <w:divsChild>
            <w:div w:id="726415393">
              <w:marLeft w:val="0"/>
              <w:marRight w:val="0"/>
              <w:marTop w:val="0"/>
              <w:marBottom w:val="0"/>
              <w:divBdr>
                <w:top w:val="none" w:sz="0" w:space="0" w:color="auto"/>
                <w:left w:val="none" w:sz="0" w:space="0" w:color="auto"/>
                <w:bottom w:val="none" w:sz="0" w:space="0" w:color="auto"/>
                <w:right w:val="none" w:sz="0" w:space="0" w:color="auto"/>
              </w:divBdr>
              <w:divsChild>
                <w:div w:id="334769356">
                  <w:marLeft w:val="0"/>
                  <w:marRight w:val="0"/>
                  <w:marTop w:val="0"/>
                  <w:marBottom w:val="0"/>
                  <w:divBdr>
                    <w:top w:val="none" w:sz="0" w:space="0" w:color="auto"/>
                    <w:left w:val="none" w:sz="0" w:space="0" w:color="auto"/>
                    <w:bottom w:val="none" w:sz="0" w:space="0" w:color="auto"/>
                    <w:right w:val="none" w:sz="0" w:space="0" w:color="auto"/>
                  </w:divBdr>
                  <w:divsChild>
                    <w:div w:id="1642036056">
                      <w:marLeft w:val="0"/>
                      <w:marRight w:val="0"/>
                      <w:marTop w:val="0"/>
                      <w:marBottom w:val="0"/>
                      <w:divBdr>
                        <w:top w:val="none" w:sz="0" w:space="0" w:color="auto"/>
                        <w:left w:val="none" w:sz="0" w:space="0" w:color="auto"/>
                        <w:bottom w:val="none" w:sz="0" w:space="0" w:color="auto"/>
                        <w:right w:val="none" w:sz="0" w:space="0" w:color="auto"/>
                      </w:divBdr>
                      <w:divsChild>
                        <w:div w:id="1912277625">
                          <w:marLeft w:val="0"/>
                          <w:marRight w:val="0"/>
                          <w:marTop w:val="0"/>
                          <w:marBottom w:val="0"/>
                          <w:divBdr>
                            <w:top w:val="none" w:sz="0" w:space="0" w:color="auto"/>
                            <w:left w:val="none" w:sz="0" w:space="0" w:color="auto"/>
                            <w:bottom w:val="none" w:sz="0" w:space="0" w:color="auto"/>
                            <w:right w:val="none" w:sz="0" w:space="0" w:color="auto"/>
                          </w:divBdr>
                          <w:divsChild>
                            <w:div w:id="1480682763">
                              <w:marLeft w:val="0"/>
                              <w:marRight w:val="0"/>
                              <w:marTop w:val="0"/>
                              <w:marBottom w:val="0"/>
                              <w:divBdr>
                                <w:top w:val="none" w:sz="0" w:space="0" w:color="auto"/>
                                <w:left w:val="none" w:sz="0" w:space="0" w:color="auto"/>
                                <w:bottom w:val="none" w:sz="0" w:space="0" w:color="auto"/>
                                <w:right w:val="none" w:sz="0" w:space="0" w:color="auto"/>
                              </w:divBdr>
                              <w:divsChild>
                                <w:div w:id="2210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78178">
      <w:bodyDiv w:val="1"/>
      <w:marLeft w:val="0"/>
      <w:marRight w:val="0"/>
      <w:marTop w:val="0"/>
      <w:marBottom w:val="0"/>
      <w:divBdr>
        <w:top w:val="none" w:sz="0" w:space="0" w:color="auto"/>
        <w:left w:val="none" w:sz="0" w:space="0" w:color="auto"/>
        <w:bottom w:val="none" w:sz="0" w:space="0" w:color="auto"/>
        <w:right w:val="none" w:sz="0" w:space="0" w:color="auto"/>
      </w:divBdr>
      <w:divsChild>
        <w:div w:id="236132055">
          <w:marLeft w:val="0"/>
          <w:marRight w:val="0"/>
          <w:marTop w:val="0"/>
          <w:marBottom w:val="0"/>
          <w:divBdr>
            <w:top w:val="none" w:sz="0" w:space="0" w:color="auto"/>
            <w:left w:val="none" w:sz="0" w:space="0" w:color="auto"/>
            <w:bottom w:val="none" w:sz="0" w:space="0" w:color="auto"/>
            <w:right w:val="none" w:sz="0" w:space="0" w:color="auto"/>
          </w:divBdr>
          <w:divsChild>
            <w:div w:id="800852753">
              <w:marLeft w:val="0"/>
              <w:marRight w:val="0"/>
              <w:marTop w:val="0"/>
              <w:marBottom w:val="0"/>
              <w:divBdr>
                <w:top w:val="none" w:sz="0" w:space="0" w:color="auto"/>
                <w:left w:val="none" w:sz="0" w:space="0" w:color="auto"/>
                <w:bottom w:val="none" w:sz="0" w:space="0" w:color="auto"/>
                <w:right w:val="none" w:sz="0" w:space="0" w:color="auto"/>
              </w:divBdr>
              <w:divsChild>
                <w:div w:id="1138259961">
                  <w:marLeft w:val="0"/>
                  <w:marRight w:val="0"/>
                  <w:marTop w:val="0"/>
                  <w:marBottom w:val="0"/>
                  <w:divBdr>
                    <w:top w:val="none" w:sz="0" w:space="0" w:color="auto"/>
                    <w:left w:val="none" w:sz="0" w:space="0" w:color="auto"/>
                    <w:bottom w:val="none" w:sz="0" w:space="0" w:color="auto"/>
                    <w:right w:val="none" w:sz="0" w:space="0" w:color="auto"/>
                  </w:divBdr>
                  <w:divsChild>
                    <w:div w:id="2035033025">
                      <w:marLeft w:val="0"/>
                      <w:marRight w:val="0"/>
                      <w:marTop w:val="0"/>
                      <w:marBottom w:val="0"/>
                      <w:divBdr>
                        <w:top w:val="none" w:sz="0" w:space="0" w:color="auto"/>
                        <w:left w:val="none" w:sz="0" w:space="0" w:color="auto"/>
                        <w:bottom w:val="none" w:sz="0" w:space="0" w:color="auto"/>
                        <w:right w:val="none" w:sz="0" w:space="0" w:color="auto"/>
                      </w:divBdr>
                      <w:divsChild>
                        <w:div w:id="477188141">
                          <w:marLeft w:val="0"/>
                          <w:marRight w:val="0"/>
                          <w:marTop w:val="0"/>
                          <w:marBottom w:val="0"/>
                          <w:divBdr>
                            <w:top w:val="none" w:sz="0" w:space="0" w:color="auto"/>
                            <w:left w:val="none" w:sz="0" w:space="0" w:color="auto"/>
                            <w:bottom w:val="none" w:sz="0" w:space="0" w:color="auto"/>
                            <w:right w:val="none" w:sz="0" w:space="0" w:color="auto"/>
                          </w:divBdr>
                          <w:divsChild>
                            <w:div w:id="149758198">
                              <w:marLeft w:val="0"/>
                              <w:marRight w:val="0"/>
                              <w:marTop w:val="0"/>
                              <w:marBottom w:val="0"/>
                              <w:divBdr>
                                <w:top w:val="none" w:sz="0" w:space="0" w:color="auto"/>
                                <w:left w:val="none" w:sz="0" w:space="0" w:color="auto"/>
                                <w:bottom w:val="none" w:sz="0" w:space="0" w:color="auto"/>
                                <w:right w:val="none" w:sz="0" w:space="0" w:color="auto"/>
                              </w:divBdr>
                              <w:divsChild>
                                <w:div w:id="4265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580329">
      <w:bodyDiv w:val="1"/>
      <w:marLeft w:val="0"/>
      <w:marRight w:val="0"/>
      <w:marTop w:val="0"/>
      <w:marBottom w:val="0"/>
      <w:divBdr>
        <w:top w:val="none" w:sz="0" w:space="0" w:color="auto"/>
        <w:left w:val="none" w:sz="0" w:space="0" w:color="auto"/>
        <w:bottom w:val="none" w:sz="0" w:space="0" w:color="auto"/>
        <w:right w:val="none" w:sz="0" w:space="0" w:color="auto"/>
      </w:divBdr>
      <w:divsChild>
        <w:div w:id="150948985">
          <w:marLeft w:val="0"/>
          <w:marRight w:val="0"/>
          <w:marTop w:val="0"/>
          <w:marBottom w:val="0"/>
          <w:divBdr>
            <w:top w:val="none" w:sz="0" w:space="0" w:color="auto"/>
            <w:left w:val="none" w:sz="0" w:space="0" w:color="auto"/>
            <w:bottom w:val="none" w:sz="0" w:space="0" w:color="auto"/>
            <w:right w:val="none" w:sz="0" w:space="0" w:color="auto"/>
          </w:divBdr>
          <w:divsChild>
            <w:div w:id="189029996">
              <w:marLeft w:val="0"/>
              <w:marRight w:val="0"/>
              <w:marTop w:val="0"/>
              <w:marBottom w:val="0"/>
              <w:divBdr>
                <w:top w:val="none" w:sz="0" w:space="0" w:color="auto"/>
                <w:left w:val="none" w:sz="0" w:space="0" w:color="auto"/>
                <w:bottom w:val="none" w:sz="0" w:space="0" w:color="auto"/>
                <w:right w:val="none" w:sz="0" w:space="0" w:color="auto"/>
              </w:divBdr>
              <w:divsChild>
                <w:div w:id="1224563088">
                  <w:marLeft w:val="0"/>
                  <w:marRight w:val="0"/>
                  <w:marTop w:val="0"/>
                  <w:marBottom w:val="0"/>
                  <w:divBdr>
                    <w:top w:val="none" w:sz="0" w:space="0" w:color="auto"/>
                    <w:left w:val="none" w:sz="0" w:space="0" w:color="auto"/>
                    <w:bottom w:val="none" w:sz="0" w:space="0" w:color="auto"/>
                    <w:right w:val="none" w:sz="0" w:space="0" w:color="auto"/>
                  </w:divBdr>
                  <w:divsChild>
                    <w:div w:id="2140683880">
                      <w:marLeft w:val="0"/>
                      <w:marRight w:val="0"/>
                      <w:marTop w:val="0"/>
                      <w:marBottom w:val="0"/>
                      <w:divBdr>
                        <w:top w:val="none" w:sz="0" w:space="0" w:color="auto"/>
                        <w:left w:val="none" w:sz="0" w:space="0" w:color="auto"/>
                        <w:bottom w:val="none" w:sz="0" w:space="0" w:color="auto"/>
                        <w:right w:val="none" w:sz="0" w:space="0" w:color="auto"/>
                      </w:divBdr>
                      <w:divsChild>
                        <w:div w:id="1679113841">
                          <w:marLeft w:val="0"/>
                          <w:marRight w:val="0"/>
                          <w:marTop w:val="0"/>
                          <w:marBottom w:val="0"/>
                          <w:divBdr>
                            <w:top w:val="none" w:sz="0" w:space="0" w:color="auto"/>
                            <w:left w:val="none" w:sz="0" w:space="0" w:color="auto"/>
                            <w:bottom w:val="none" w:sz="0" w:space="0" w:color="auto"/>
                            <w:right w:val="none" w:sz="0" w:space="0" w:color="auto"/>
                          </w:divBdr>
                          <w:divsChild>
                            <w:div w:id="370109967">
                              <w:marLeft w:val="0"/>
                              <w:marRight w:val="0"/>
                              <w:marTop w:val="0"/>
                              <w:marBottom w:val="0"/>
                              <w:divBdr>
                                <w:top w:val="none" w:sz="0" w:space="0" w:color="auto"/>
                                <w:left w:val="none" w:sz="0" w:space="0" w:color="auto"/>
                                <w:bottom w:val="none" w:sz="0" w:space="0" w:color="auto"/>
                                <w:right w:val="none" w:sz="0" w:space="0" w:color="auto"/>
                              </w:divBdr>
                              <w:divsChild>
                                <w:div w:id="19459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18656">
      <w:bodyDiv w:val="1"/>
      <w:marLeft w:val="0"/>
      <w:marRight w:val="0"/>
      <w:marTop w:val="0"/>
      <w:marBottom w:val="0"/>
      <w:divBdr>
        <w:top w:val="none" w:sz="0" w:space="0" w:color="auto"/>
        <w:left w:val="none" w:sz="0" w:space="0" w:color="auto"/>
        <w:bottom w:val="none" w:sz="0" w:space="0" w:color="auto"/>
        <w:right w:val="none" w:sz="0" w:space="0" w:color="auto"/>
      </w:divBdr>
      <w:divsChild>
        <w:div w:id="560096348">
          <w:marLeft w:val="0"/>
          <w:marRight w:val="0"/>
          <w:marTop w:val="0"/>
          <w:marBottom w:val="0"/>
          <w:divBdr>
            <w:top w:val="none" w:sz="0" w:space="0" w:color="auto"/>
            <w:left w:val="none" w:sz="0" w:space="0" w:color="auto"/>
            <w:bottom w:val="none" w:sz="0" w:space="0" w:color="auto"/>
            <w:right w:val="none" w:sz="0" w:space="0" w:color="auto"/>
          </w:divBdr>
          <w:divsChild>
            <w:div w:id="1401824960">
              <w:marLeft w:val="0"/>
              <w:marRight w:val="0"/>
              <w:marTop w:val="0"/>
              <w:marBottom w:val="0"/>
              <w:divBdr>
                <w:top w:val="none" w:sz="0" w:space="0" w:color="auto"/>
                <w:left w:val="none" w:sz="0" w:space="0" w:color="auto"/>
                <w:bottom w:val="none" w:sz="0" w:space="0" w:color="auto"/>
                <w:right w:val="none" w:sz="0" w:space="0" w:color="auto"/>
              </w:divBdr>
              <w:divsChild>
                <w:div w:id="718473946">
                  <w:marLeft w:val="0"/>
                  <w:marRight w:val="0"/>
                  <w:marTop w:val="0"/>
                  <w:marBottom w:val="0"/>
                  <w:divBdr>
                    <w:top w:val="none" w:sz="0" w:space="0" w:color="auto"/>
                    <w:left w:val="none" w:sz="0" w:space="0" w:color="auto"/>
                    <w:bottom w:val="none" w:sz="0" w:space="0" w:color="auto"/>
                    <w:right w:val="none" w:sz="0" w:space="0" w:color="auto"/>
                  </w:divBdr>
                  <w:divsChild>
                    <w:div w:id="2106338461">
                      <w:marLeft w:val="0"/>
                      <w:marRight w:val="0"/>
                      <w:marTop w:val="0"/>
                      <w:marBottom w:val="0"/>
                      <w:divBdr>
                        <w:top w:val="none" w:sz="0" w:space="0" w:color="auto"/>
                        <w:left w:val="none" w:sz="0" w:space="0" w:color="auto"/>
                        <w:bottom w:val="none" w:sz="0" w:space="0" w:color="auto"/>
                        <w:right w:val="none" w:sz="0" w:space="0" w:color="auto"/>
                      </w:divBdr>
                      <w:divsChild>
                        <w:div w:id="1148284942">
                          <w:marLeft w:val="0"/>
                          <w:marRight w:val="0"/>
                          <w:marTop w:val="0"/>
                          <w:marBottom w:val="0"/>
                          <w:divBdr>
                            <w:top w:val="none" w:sz="0" w:space="0" w:color="auto"/>
                            <w:left w:val="none" w:sz="0" w:space="0" w:color="auto"/>
                            <w:bottom w:val="none" w:sz="0" w:space="0" w:color="auto"/>
                            <w:right w:val="none" w:sz="0" w:space="0" w:color="auto"/>
                          </w:divBdr>
                          <w:divsChild>
                            <w:div w:id="1612203451">
                              <w:marLeft w:val="0"/>
                              <w:marRight w:val="0"/>
                              <w:marTop w:val="0"/>
                              <w:marBottom w:val="0"/>
                              <w:divBdr>
                                <w:top w:val="none" w:sz="0" w:space="0" w:color="auto"/>
                                <w:left w:val="none" w:sz="0" w:space="0" w:color="auto"/>
                                <w:bottom w:val="none" w:sz="0" w:space="0" w:color="auto"/>
                                <w:right w:val="none" w:sz="0" w:space="0" w:color="auto"/>
                              </w:divBdr>
                              <w:divsChild>
                                <w:div w:id="17198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081813">
      <w:bodyDiv w:val="1"/>
      <w:marLeft w:val="0"/>
      <w:marRight w:val="0"/>
      <w:marTop w:val="0"/>
      <w:marBottom w:val="0"/>
      <w:divBdr>
        <w:top w:val="none" w:sz="0" w:space="0" w:color="auto"/>
        <w:left w:val="none" w:sz="0" w:space="0" w:color="auto"/>
        <w:bottom w:val="none" w:sz="0" w:space="0" w:color="auto"/>
        <w:right w:val="none" w:sz="0" w:space="0" w:color="auto"/>
      </w:divBdr>
    </w:div>
    <w:div w:id="1572084913">
      <w:bodyDiv w:val="1"/>
      <w:marLeft w:val="0"/>
      <w:marRight w:val="0"/>
      <w:marTop w:val="0"/>
      <w:marBottom w:val="0"/>
      <w:divBdr>
        <w:top w:val="none" w:sz="0" w:space="0" w:color="auto"/>
        <w:left w:val="none" w:sz="0" w:space="0" w:color="auto"/>
        <w:bottom w:val="none" w:sz="0" w:space="0" w:color="auto"/>
        <w:right w:val="none" w:sz="0" w:space="0" w:color="auto"/>
      </w:divBdr>
      <w:divsChild>
        <w:div w:id="319357117">
          <w:marLeft w:val="0"/>
          <w:marRight w:val="0"/>
          <w:marTop w:val="0"/>
          <w:marBottom w:val="0"/>
          <w:divBdr>
            <w:top w:val="none" w:sz="0" w:space="0" w:color="auto"/>
            <w:left w:val="none" w:sz="0" w:space="0" w:color="auto"/>
            <w:bottom w:val="none" w:sz="0" w:space="0" w:color="auto"/>
            <w:right w:val="none" w:sz="0" w:space="0" w:color="auto"/>
          </w:divBdr>
          <w:divsChild>
            <w:div w:id="861557876">
              <w:marLeft w:val="0"/>
              <w:marRight w:val="0"/>
              <w:marTop w:val="0"/>
              <w:marBottom w:val="0"/>
              <w:divBdr>
                <w:top w:val="none" w:sz="0" w:space="0" w:color="auto"/>
                <w:left w:val="none" w:sz="0" w:space="0" w:color="auto"/>
                <w:bottom w:val="none" w:sz="0" w:space="0" w:color="auto"/>
                <w:right w:val="none" w:sz="0" w:space="0" w:color="auto"/>
              </w:divBdr>
              <w:divsChild>
                <w:div w:id="1334257298">
                  <w:marLeft w:val="0"/>
                  <w:marRight w:val="0"/>
                  <w:marTop w:val="0"/>
                  <w:marBottom w:val="0"/>
                  <w:divBdr>
                    <w:top w:val="none" w:sz="0" w:space="0" w:color="auto"/>
                    <w:left w:val="none" w:sz="0" w:space="0" w:color="auto"/>
                    <w:bottom w:val="none" w:sz="0" w:space="0" w:color="auto"/>
                    <w:right w:val="none" w:sz="0" w:space="0" w:color="auto"/>
                  </w:divBdr>
                  <w:divsChild>
                    <w:div w:id="1747651583">
                      <w:marLeft w:val="0"/>
                      <w:marRight w:val="0"/>
                      <w:marTop w:val="0"/>
                      <w:marBottom w:val="0"/>
                      <w:divBdr>
                        <w:top w:val="none" w:sz="0" w:space="0" w:color="auto"/>
                        <w:left w:val="none" w:sz="0" w:space="0" w:color="auto"/>
                        <w:bottom w:val="none" w:sz="0" w:space="0" w:color="auto"/>
                        <w:right w:val="none" w:sz="0" w:space="0" w:color="auto"/>
                      </w:divBdr>
                      <w:divsChild>
                        <w:div w:id="677267203">
                          <w:marLeft w:val="0"/>
                          <w:marRight w:val="0"/>
                          <w:marTop w:val="0"/>
                          <w:marBottom w:val="0"/>
                          <w:divBdr>
                            <w:top w:val="none" w:sz="0" w:space="0" w:color="auto"/>
                            <w:left w:val="none" w:sz="0" w:space="0" w:color="auto"/>
                            <w:bottom w:val="none" w:sz="0" w:space="0" w:color="auto"/>
                            <w:right w:val="none" w:sz="0" w:space="0" w:color="auto"/>
                          </w:divBdr>
                          <w:divsChild>
                            <w:div w:id="1984118826">
                              <w:marLeft w:val="0"/>
                              <w:marRight w:val="0"/>
                              <w:marTop w:val="0"/>
                              <w:marBottom w:val="0"/>
                              <w:divBdr>
                                <w:top w:val="none" w:sz="0" w:space="0" w:color="auto"/>
                                <w:left w:val="none" w:sz="0" w:space="0" w:color="auto"/>
                                <w:bottom w:val="none" w:sz="0" w:space="0" w:color="auto"/>
                                <w:right w:val="none" w:sz="0" w:space="0" w:color="auto"/>
                              </w:divBdr>
                              <w:divsChild>
                                <w:div w:id="1932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723724">
      <w:bodyDiv w:val="1"/>
      <w:marLeft w:val="0"/>
      <w:marRight w:val="0"/>
      <w:marTop w:val="0"/>
      <w:marBottom w:val="0"/>
      <w:divBdr>
        <w:top w:val="none" w:sz="0" w:space="0" w:color="auto"/>
        <w:left w:val="none" w:sz="0" w:space="0" w:color="auto"/>
        <w:bottom w:val="none" w:sz="0" w:space="0" w:color="auto"/>
        <w:right w:val="none" w:sz="0" w:space="0" w:color="auto"/>
      </w:divBdr>
      <w:divsChild>
        <w:div w:id="163056970">
          <w:marLeft w:val="0"/>
          <w:marRight w:val="0"/>
          <w:marTop w:val="0"/>
          <w:marBottom w:val="0"/>
          <w:divBdr>
            <w:top w:val="none" w:sz="0" w:space="0" w:color="auto"/>
            <w:left w:val="none" w:sz="0" w:space="0" w:color="auto"/>
            <w:bottom w:val="none" w:sz="0" w:space="0" w:color="auto"/>
            <w:right w:val="none" w:sz="0" w:space="0" w:color="auto"/>
          </w:divBdr>
          <w:divsChild>
            <w:div w:id="1782530179">
              <w:marLeft w:val="0"/>
              <w:marRight w:val="0"/>
              <w:marTop w:val="0"/>
              <w:marBottom w:val="0"/>
              <w:divBdr>
                <w:top w:val="none" w:sz="0" w:space="0" w:color="auto"/>
                <w:left w:val="none" w:sz="0" w:space="0" w:color="auto"/>
                <w:bottom w:val="none" w:sz="0" w:space="0" w:color="auto"/>
                <w:right w:val="none" w:sz="0" w:space="0" w:color="auto"/>
              </w:divBdr>
              <w:divsChild>
                <w:div w:id="1757943105">
                  <w:marLeft w:val="0"/>
                  <w:marRight w:val="0"/>
                  <w:marTop w:val="0"/>
                  <w:marBottom w:val="0"/>
                  <w:divBdr>
                    <w:top w:val="none" w:sz="0" w:space="0" w:color="auto"/>
                    <w:left w:val="none" w:sz="0" w:space="0" w:color="auto"/>
                    <w:bottom w:val="none" w:sz="0" w:space="0" w:color="auto"/>
                    <w:right w:val="none" w:sz="0" w:space="0" w:color="auto"/>
                  </w:divBdr>
                  <w:divsChild>
                    <w:div w:id="2027823186">
                      <w:marLeft w:val="0"/>
                      <w:marRight w:val="0"/>
                      <w:marTop w:val="0"/>
                      <w:marBottom w:val="0"/>
                      <w:divBdr>
                        <w:top w:val="none" w:sz="0" w:space="0" w:color="auto"/>
                        <w:left w:val="none" w:sz="0" w:space="0" w:color="auto"/>
                        <w:bottom w:val="none" w:sz="0" w:space="0" w:color="auto"/>
                        <w:right w:val="none" w:sz="0" w:space="0" w:color="auto"/>
                      </w:divBdr>
                      <w:divsChild>
                        <w:div w:id="1252424636">
                          <w:marLeft w:val="0"/>
                          <w:marRight w:val="0"/>
                          <w:marTop w:val="0"/>
                          <w:marBottom w:val="0"/>
                          <w:divBdr>
                            <w:top w:val="none" w:sz="0" w:space="0" w:color="auto"/>
                            <w:left w:val="none" w:sz="0" w:space="0" w:color="auto"/>
                            <w:bottom w:val="none" w:sz="0" w:space="0" w:color="auto"/>
                            <w:right w:val="none" w:sz="0" w:space="0" w:color="auto"/>
                          </w:divBdr>
                          <w:divsChild>
                            <w:div w:id="2026856076">
                              <w:marLeft w:val="0"/>
                              <w:marRight w:val="0"/>
                              <w:marTop w:val="0"/>
                              <w:marBottom w:val="0"/>
                              <w:divBdr>
                                <w:top w:val="none" w:sz="0" w:space="0" w:color="auto"/>
                                <w:left w:val="none" w:sz="0" w:space="0" w:color="auto"/>
                                <w:bottom w:val="none" w:sz="0" w:space="0" w:color="auto"/>
                                <w:right w:val="none" w:sz="0" w:space="0" w:color="auto"/>
                              </w:divBdr>
                              <w:divsChild>
                                <w:div w:id="6289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510814">
      <w:bodyDiv w:val="1"/>
      <w:marLeft w:val="0"/>
      <w:marRight w:val="0"/>
      <w:marTop w:val="0"/>
      <w:marBottom w:val="0"/>
      <w:divBdr>
        <w:top w:val="none" w:sz="0" w:space="0" w:color="auto"/>
        <w:left w:val="none" w:sz="0" w:space="0" w:color="auto"/>
        <w:bottom w:val="none" w:sz="0" w:space="0" w:color="auto"/>
        <w:right w:val="none" w:sz="0" w:space="0" w:color="auto"/>
      </w:divBdr>
      <w:divsChild>
        <w:div w:id="80951373">
          <w:marLeft w:val="0"/>
          <w:marRight w:val="0"/>
          <w:marTop w:val="0"/>
          <w:marBottom w:val="0"/>
          <w:divBdr>
            <w:top w:val="none" w:sz="0" w:space="0" w:color="auto"/>
            <w:left w:val="none" w:sz="0" w:space="0" w:color="auto"/>
            <w:bottom w:val="none" w:sz="0" w:space="0" w:color="auto"/>
            <w:right w:val="none" w:sz="0" w:space="0" w:color="auto"/>
          </w:divBdr>
          <w:divsChild>
            <w:div w:id="1841654601">
              <w:marLeft w:val="0"/>
              <w:marRight w:val="0"/>
              <w:marTop w:val="0"/>
              <w:marBottom w:val="0"/>
              <w:divBdr>
                <w:top w:val="none" w:sz="0" w:space="0" w:color="auto"/>
                <w:left w:val="none" w:sz="0" w:space="0" w:color="auto"/>
                <w:bottom w:val="none" w:sz="0" w:space="0" w:color="auto"/>
                <w:right w:val="none" w:sz="0" w:space="0" w:color="auto"/>
              </w:divBdr>
              <w:divsChild>
                <w:div w:id="1062025880">
                  <w:marLeft w:val="0"/>
                  <w:marRight w:val="0"/>
                  <w:marTop w:val="0"/>
                  <w:marBottom w:val="0"/>
                  <w:divBdr>
                    <w:top w:val="none" w:sz="0" w:space="0" w:color="auto"/>
                    <w:left w:val="none" w:sz="0" w:space="0" w:color="auto"/>
                    <w:bottom w:val="none" w:sz="0" w:space="0" w:color="auto"/>
                    <w:right w:val="none" w:sz="0" w:space="0" w:color="auto"/>
                  </w:divBdr>
                  <w:divsChild>
                    <w:div w:id="1842039878">
                      <w:marLeft w:val="0"/>
                      <w:marRight w:val="0"/>
                      <w:marTop w:val="0"/>
                      <w:marBottom w:val="0"/>
                      <w:divBdr>
                        <w:top w:val="none" w:sz="0" w:space="0" w:color="auto"/>
                        <w:left w:val="none" w:sz="0" w:space="0" w:color="auto"/>
                        <w:bottom w:val="none" w:sz="0" w:space="0" w:color="auto"/>
                        <w:right w:val="none" w:sz="0" w:space="0" w:color="auto"/>
                      </w:divBdr>
                      <w:divsChild>
                        <w:div w:id="1400908993">
                          <w:marLeft w:val="0"/>
                          <w:marRight w:val="0"/>
                          <w:marTop w:val="0"/>
                          <w:marBottom w:val="0"/>
                          <w:divBdr>
                            <w:top w:val="none" w:sz="0" w:space="0" w:color="auto"/>
                            <w:left w:val="none" w:sz="0" w:space="0" w:color="auto"/>
                            <w:bottom w:val="none" w:sz="0" w:space="0" w:color="auto"/>
                            <w:right w:val="none" w:sz="0" w:space="0" w:color="auto"/>
                          </w:divBdr>
                          <w:divsChild>
                            <w:div w:id="550775783">
                              <w:marLeft w:val="0"/>
                              <w:marRight w:val="0"/>
                              <w:marTop w:val="0"/>
                              <w:marBottom w:val="0"/>
                              <w:divBdr>
                                <w:top w:val="none" w:sz="0" w:space="0" w:color="auto"/>
                                <w:left w:val="none" w:sz="0" w:space="0" w:color="auto"/>
                                <w:bottom w:val="none" w:sz="0" w:space="0" w:color="auto"/>
                                <w:right w:val="none" w:sz="0" w:space="0" w:color="auto"/>
                              </w:divBdr>
                              <w:divsChild>
                                <w:div w:id="20352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4920</Words>
  <Characters>28045</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SmPC</vt:lpstr>
      <vt:lpstr>SmPC</vt:lpstr>
    </vt:vector>
  </TitlesOfParts>
  <Company>Zentiva, a.s.</Company>
  <LinksUpToDate>false</LinksUpToDate>
  <CharactersWithSpaces>32900</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3670052</vt:i4>
      </vt:variant>
      <vt:variant>
        <vt:i4>0</vt:i4>
      </vt:variant>
      <vt:variant>
        <vt:i4>0</vt:i4>
      </vt:variant>
      <vt:variant>
        <vt:i4>5</vt:i4>
      </vt:variant>
      <vt:variant>
        <vt:lpwstr>http://www.mhra.gov.uk/home/groups/spcpil/documents/spcpil/con1462511048608.pdf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dc:title>
  <dc:subject>AMITRIPTYLIN-SLOVAKOFARMA</dc:subject>
  <dc:creator>Hermannová</dc:creator>
  <cp:lastModifiedBy>Marciová, Antónia</cp:lastModifiedBy>
  <cp:revision>3</cp:revision>
  <dcterms:created xsi:type="dcterms:W3CDTF">2017-11-13T14:57:00Z</dcterms:created>
  <dcterms:modified xsi:type="dcterms:W3CDTF">2017-11-13T14:57:00Z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-780829586</vt:i4>
  </property>
  <property fmtid="{D5CDD505-2E9C-101B-9397-08002B2CF9AE}" pid="4" name="_EmailSubject">
    <vt:lpwstr>[EXTERNAL] RE:  RE:  RE:  AMITRYPTILIN SLOVAKOFARMA 2017/04321-Z1B</vt:lpwstr>
  </property>
  <property fmtid="{D5CDD505-2E9C-101B-9397-08002B2CF9AE}" pid="5" name="_AuthorEmail">
    <vt:lpwstr>Helena.Mutkovicova@sanofi.com</vt:lpwstr>
  </property>
  <property fmtid="{D5CDD505-2E9C-101B-9397-08002B2CF9AE}" pid="6" name="_AuthorEmailDisplayName">
    <vt:lpwstr>Mutkovicova, Helena /SK</vt:lpwstr>
  </property>
  <property fmtid="{D5CDD505-2E9C-101B-9397-08002B2CF9AE}" pid="7" name="_ReviewingToolsShownOnce">
    <vt:lpwstr/>
  </property>
</Properties>
</file>