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32AE" w14:textId="2B881CCF" w:rsidR="00FB6E17" w:rsidRPr="00C507E3" w:rsidRDefault="00C507E3" w:rsidP="00017368">
      <w:pPr>
        <w:pStyle w:val="Nzov"/>
        <w:jc w:val="left"/>
        <w:rPr>
          <w:b w:val="0"/>
          <w:sz w:val="18"/>
          <w:szCs w:val="18"/>
          <w:lang w:val="sk-SK"/>
        </w:rPr>
      </w:pPr>
      <w:r w:rsidRPr="00C507E3">
        <w:rPr>
          <w:b w:val="0"/>
          <w:sz w:val="18"/>
          <w:szCs w:val="18"/>
          <w:lang w:val="sk-SK"/>
        </w:rPr>
        <w:t>Príloha č. 1 k notifikácii o zmene, ev. č.</w:t>
      </w:r>
      <w:r w:rsidR="00493BD8">
        <w:rPr>
          <w:b w:val="0"/>
          <w:sz w:val="18"/>
          <w:szCs w:val="18"/>
          <w:lang w:val="sk-SK"/>
        </w:rPr>
        <w:t>:</w:t>
      </w:r>
      <w:r w:rsidRPr="00C507E3">
        <w:rPr>
          <w:b w:val="0"/>
          <w:sz w:val="18"/>
          <w:szCs w:val="18"/>
          <w:lang w:val="sk-SK"/>
        </w:rPr>
        <w:t xml:space="preserve"> 2017/02204-Z1B</w:t>
      </w:r>
      <w:r w:rsidR="000D6D40">
        <w:rPr>
          <w:b w:val="0"/>
          <w:sz w:val="18"/>
          <w:szCs w:val="18"/>
          <w:lang w:val="sk-SK"/>
        </w:rPr>
        <w:t xml:space="preserve"> </w:t>
      </w:r>
    </w:p>
    <w:p w14:paraId="76890477" w14:textId="77777777" w:rsidR="00FB6E17" w:rsidRDefault="00FB6E17" w:rsidP="00017368">
      <w:pPr>
        <w:pStyle w:val="Nzov"/>
        <w:rPr>
          <w:rFonts w:ascii="Arial" w:hAnsi="Arial"/>
          <w:sz w:val="24"/>
          <w:lang w:val="sk-SK"/>
        </w:rPr>
      </w:pPr>
    </w:p>
    <w:p w14:paraId="017D3F79" w14:textId="77777777" w:rsidR="00FB6E17" w:rsidRPr="00532F83" w:rsidRDefault="00FB6E17" w:rsidP="00017368">
      <w:pPr>
        <w:pStyle w:val="Nzov"/>
        <w:rPr>
          <w:sz w:val="22"/>
          <w:szCs w:val="22"/>
          <w:lang w:val="sk-SK"/>
        </w:rPr>
      </w:pPr>
      <w:r w:rsidRPr="00532F83">
        <w:rPr>
          <w:sz w:val="22"/>
          <w:szCs w:val="22"/>
          <w:lang w:val="sk-SK"/>
        </w:rPr>
        <w:t>SÚHRN CHARAKTERISTICKÝCH VLASTNOSTÍ LIEKU</w:t>
      </w:r>
    </w:p>
    <w:p w14:paraId="3CF8AA59" w14:textId="77777777" w:rsidR="00FB6E17" w:rsidRPr="00532F83" w:rsidRDefault="00FB6E17" w:rsidP="00017368">
      <w:pPr>
        <w:jc w:val="both"/>
        <w:rPr>
          <w:szCs w:val="22"/>
        </w:rPr>
      </w:pPr>
    </w:p>
    <w:p w14:paraId="2AABE450" w14:textId="77777777" w:rsidR="00FB6E17" w:rsidRPr="00532F83" w:rsidRDefault="00FB6E17" w:rsidP="00532F83">
      <w:pPr>
        <w:jc w:val="right"/>
        <w:rPr>
          <w:szCs w:val="22"/>
        </w:rPr>
      </w:pPr>
    </w:p>
    <w:p w14:paraId="1F62970C" w14:textId="77777777" w:rsidR="00FB6E17" w:rsidRPr="00532F83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1.</w:t>
      </w:r>
      <w:r w:rsidRPr="00532F83">
        <w:rPr>
          <w:b/>
          <w:szCs w:val="22"/>
        </w:rPr>
        <w:tab/>
        <w:t>NÁZOV LIEKU</w:t>
      </w:r>
    </w:p>
    <w:p w14:paraId="244973DD" w14:textId="77777777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szCs w:val="22"/>
        </w:rPr>
        <w:tab/>
      </w:r>
    </w:p>
    <w:p w14:paraId="66AB004C" w14:textId="77777777" w:rsidR="000D6D40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>OFTAGEL 2,5 mg/g</w:t>
      </w:r>
      <w:r w:rsidR="00437470" w:rsidRPr="00532F83">
        <w:rPr>
          <w:szCs w:val="22"/>
        </w:rPr>
        <w:t xml:space="preserve"> </w:t>
      </w:r>
    </w:p>
    <w:p w14:paraId="30EEAA38" w14:textId="178262DB" w:rsidR="00FB6E17" w:rsidRPr="00532F83" w:rsidRDefault="00E0521E">
      <w:pPr>
        <w:ind w:left="0" w:firstLine="0"/>
        <w:jc w:val="both"/>
        <w:rPr>
          <w:szCs w:val="22"/>
        </w:rPr>
      </w:pPr>
      <w:r w:rsidRPr="00532F83">
        <w:rPr>
          <w:szCs w:val="22"/>
        </w:rPr>
        <w:t>očný gél</w:t>
      </w:r>
      <w:r w:rsidRPr="00532F83" w:rsidDel="00E0521E">
        <w:rPr>
          <w:szCs w:val="22"/>
        </w:rPr>
        <w:t xml:space="preserve"> </w:t>
      </w:r>
    </w:p>
    <w:p w14:paraId="4F050461" w14:textId="37962E7E" w:rsidR="00FB6E17" w:rsidRPr="00532F83" w:rsidRDefault="00FB6E17">
      <w:pPr>
        <w:ind w:left="0" w:firstLine="0"/>
        <w:jc w:val="both"/>
        <w:rPr>
          <w:szCs w:val="22"/>
        </w:rPr>
      </w:pPr>
    </w:p>
    <w:p w14:paraId="3F5C8EA7" w14:textId="77777777" w:rsidR="00FB6E17" w:rsidRPr="00532F83" w:rsidRDefault="00FB6E17">
      <w:pPr>
        <w:ind w:left="0" w:firstLine="0"/>
        <w:jc w:val="both"/>
        <w:rPr>
          <w:b/>
          <w:szCs w:val="22"/>
        </w:rPr>
      </w:pPr>
    </w:p>
    <w:p w14:paraId="5CD97FDF" w14:textId="6DE38CD6" w:rsidR="00FB6E17" w:rsidRPr="00532F83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2.</w:t>
      </w:r>
      <w:r w:rsidRPr="00532F83">
        <w:rPr>
          <w:b/>
          <w:szCs w:val="22"/>
        </w:rPr>
        <w:tab/>
        <w:t>KVALITATÍVNE A KVANTITATÍVNE ZLOŽENIE</w:t>
      </w:r>
    </w:p>
    <w:p w14:paraId="16704748" w14:textId="6118FCE7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b/>
          <w:szCs w:val="22"/>
        </w:rPr>
        <w:tab/>
      </w:r>
    </w:p>
    <w:p w14:paraId="6C6B457C" w14:textId="3DC3ECB9" w:rsidR="00FB6E17" w:rsidRPr="00532F83" w:rsidRDefault="00FB6E17" w:rsidP="00E313B4">
      <w:pPr>
        <w:ind w:left="0" w:firstLine="0"/>
        <w:jc w:val="both"/>
        <w:rPr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532F83">
          <w:rPr>
            <w:szCs w:val="22"/>
          </w:rPr>
          <w:t>1 g</w:t>
        </w:r>
      </w:smartTag>
      <w:r w:rsidRPr="00532F83">
        <w:rPr>
          <w:szCs w:val="22"/>
        </w:rPr>
        <w:t xml:space="preserve"> očného gélu obsahuje </w:t>
      </w:r>
      <w:r w:rsidR="00437470" w:rsidRPr="00532F83">
        <w:rPr>
          <w:szCs w:val="22"/>
        </w:rPr>
        <w:t xml:space="preserve">2,5 mg </w:t>
      </w:r>
      <w:r w:rsidR="000D6D40">
        <w:rPr>
          <w:szCs w:val="22"/>
        </w:rPr>
        <w:t>karboméru</w:t>
      </w:r>
      <w:r w:rsidR="00437470" w:rsidRPr="00532F83">
        <w:rPr>
          <w:szCs w:val="22"/>
        </w:rPr>
        <w:t xml:space="preserve"> 974P</w:t>
      </w:r>
      <w:r w:rsidR="00E0521E" w:rsidRPr="00532F83">
        <w:rPr>
          <w:szCs w:val="22"/>
        </w:rPr>
        <w:t>.</w:t>
      </w:r>
    </w:p>
    <w:p w14:paraId="6A5585F4" w14:textId="205D38F2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  </w:t>
      </w:r>
    </w:p>
    <w:p w14:paraId="6E00CEA9" w14:textId="7B777DA3" w:rsidR="00FB6E17" w:rsidRPr="00532F83" w:rsidRDefault="00437470">
      <w:pPr>
        <w:ind w:left="0" w:firstLine="0"/>
        <w:jc w:val="both"/>
        <w:rPr>
          <w:szCs w:val="22"/>
        </w:rPr>
      </w:pPr>
      <w:r w:rsidRPr="00532F83">
        <w:rPr>
          <w:szCs w:val="22"/>
          <w:u w:val="single"/>
        </w:rPr>
        <w:t xml:space="preserve">Pomocná </w:t>
      </w:r>
      <w:r w:rsidR="00FB6E17" w:rsidRPr="00532F83">
        <w:rPr>
          <w:szCs w:val="22"/>
          <w:u w:val="single"/>
        </w:rPr>
        <w:t>látk</w:t>
      </w:r>
      <w:r w:rsidRPr="00532F83">
        <w:rPr>
          <w:szCs w:val="22"/>
          <w:u w:val="single"/>
        </w:rPr>
        <w:t>a so známym účinkom</w:t>
      </w:r>
      <w:r w:rsidRPr="00532F83">
        <w:rPr>
          <w:szCs w:val="22"/>
        </w:rPr>
        <w:t>: benzalk</w:t>
      </w:r>
      <w:r w:rsidR="000D6D40">
        <w:rPr>
          <w:szCs w:val="22"/>
        </w:rPr>
        <w:t>ó</w:t>
      </w:r>
      <w:r w:rsidRPr="00532F83">
        <w:rPr>
          <w:szCs w:val="22"/>
        </w:rPr>
        <w:t>niumchlorid</w:t>
      </w:r>
      <w:r w:rsidR="00AA65A2">
        <w:rPr>
          <w:szCs w:val="22"/>
        </w:rPr>
        <w:t xml:space="preserve">, </w:t>
      </w:r>
      <w:r w:rsidR="00AA65A2" w:rsidRPr="00532F83">
        <w:t>0,06 mg/g</w:t>
      </w:r>
      <w:r w:rsidR="000D6D40" w:rsidRPr="00AA65A2">
        <w:rPr>
          <w:szCs w:val="22"/>
        </w:rPr>
        <w:t>.</w:t>
      </w:r>
    </w:p>
    <w:p w14:paraId="30050E40" w14:textId="77777777" w:rsidR="00437470" w:rsidRPr="00532F83" w:rsidRDefault="00437470">
      <w:pPr>
        <w:ind w:left="0" w:firstLine="0"/>
        <w:jc w:val="both"/>
        <w:rPr>
          <w:szCs w:val="22"/>
        </w:rPr>
      </w:pPr>
    </w:p>
    <w:p w14:paraId="4D00739B" w14:textId="321BD9B7" w:rsidR="00437470" w:rsidRPr="00532F83" w:rsidRDefault="00437470">
      <w:pPr>
        <w:ind w:left="0" w:firstLine="0"/>
        <w:jc w:val="both"/>
        <w:rPr>
          <w:szCs w:val="22"/>
        </w:rPr>
      </w:pPr>
      <w:r w:rsidRPr="00532F83">
        <w:rPr>
          <w:szCs w:val="22"/>
        </w:rPr>
        <w:t>Úplný zoznam pomocných látok</w:t>
      </w:r>
      <w:r w:rsidR="000D6D40">
        <w:rPr>
          <w:szCs w:val="22"/>
        </w:rPr>
        <w:t>, pozri časť</w:t>
      </w:r>
      <w:r w:rsidRPr="00532F83">
        <w:rPr>
          <w:szCs w:val="22"/>
        </w:rPr>
        <w:t xml:space="preserve"> 6.1</w:t>
      </w:r>
      <w:r w:rsidR="000D6D40">
        <w:rPr>
          <w:szCs w:val="22"/>
        </w:rPr>
        <w:t>.</w:t>
      </w:r>
    </w:p>
    <w:p w14:paraId="255FF0A7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6CA00D5C" w14:textId="77777777" w:rsidR="003830D9" w:rsidRPr="00532F83" w:rsidRDefault="003830D9">
      <w:pPr>
        <w:ind w:left="0" w:firstLine="0"/>
        <w:jc w:val="both"/>
        <w:rPr>
          <w:b/>
          <w:szCs w:val="22"/>
        </w:rPr>
      </w:pPr>
    </w:p>
    <w:p w14:paraId="532D6254" w14:textId="77777777" w:rsidR="00FB6E17" w:rsidRPr="00532F83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3.</w:t>
      </w:r>
      <w:r w:rsidRPr="00532F83">
        <w:rPr>
          <w:b/>
          <w:szCs w:val="22"/>
        </w:rPr>
        <w:tab/>
        <w:t>LIEKOVÁ FORMA</w:t>
      </w:r>
    </w:p>
    <w:p w14:paraId="0F221D8A" w14:textId="77777777" w:rsidR="00FB6E17" w:rsidRPr="00532F83" w:rsidRDefault="00FB6E17" w:rsidP="0090336E">
      <w:pPr>
        <w:ind w:left="0" w:firstLine="0"/>
        <w:jc w:val="both"/>
        <w:rPr>
          <w:szCs w:val="22"/>
        </w:rPr>
      </w:pPr>
    </w:p>
    <w:p w14:paraId="2AD3F5A0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>očný gél</w:t>
      </w:r>
    </w:p>
    <w:p w14:paraId="2082C156" w14:textId="1F4DEB73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>Vzhľad lieku: číry alebo mierne opaleskujúci</w:t>
      </w:r>
      <w:r w:rsidR="0090336E">
        <w:rPr>
          <w:szCs w:val="22"/>
        </w:rPr>
        <w:t>,</w:t>
      </w:r>
      <w:r w:rsidRPr="00532F83">
        <w:rPr>
          <w:szCs w:val="22"/>
        </w:rPr>
        <w:t xml:space="preserve"> viskózny gél</w:t>
      </w:r>
      <w:r w:rsidR="000D6D40">
        <w:rPr>
          <w:szCs w:val="22"/>
        </w:rPr>
        <w:t>.</w:t>
      </w:r>
    </w:p>
    <w:p w14:paraId="533FBB49" w14:textId="77777777" w:rsidR="00FB6E17" w:rsidRPr="00532F83" w:rsidRDefault="00FB6E17">
      <w:pPr>
        <w:ind w:left="0" w:firstLine="0"/>
        <w:jc w:val="both"/>
        <w:rPr>
          <w:color w:val="FF0000"/>
          <w:szCs w:val="22"/>
        </w:rPr>
      </w:pPr>
    </w:p>
    <w:p w14:paraId="4F00BE74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6A97474C" w14:textId="77777777" w:rsidR="00FB6E17" w:rsidRPr="00532F83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</w:t>
      </w:r>
      <w:r w:rsidRPr="00532F83">
        <w:rPr>
          <w:b/>
          <w:szCs w:val="22"/>
        </w:rPr>
        <w:tab/>
        <w:t>KLINICKÉ ÚDAJE</w:t>
      </w:r>
    </w:p>
    <w:p w14:paraId="489722AC" w14:textId="77777777" w:rsidR="00FB6E17" w:rsidRPr="00532F83" w:rsidRDefault="00FB6E17" w:rsidP="0090336E">
      <w:pPr>
        <w:ind w:left="0" w:firstLine="0"/>
        <w:jc w:val="both"/>
        <w:rPr>
          <w:szCs w:val="22"/>
        </w:rPr>
      </w:pPr>
    </w:p>
    <w:p w14:paraId="691A082F" w14:textId="717C12ED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4.1</w:t>
      </w:r>
      <w:r w:rsidRPr="00532F83">
        <w:rPr>
          <w:b/>
          <w:szCs w:val="22"/>
        </w:rPr>
        <w:tab/>
        <w:t>Terapeutické indikácie</w:t>
      </w:r>
    </w:p>
    <w:p w14:paraId="73C8B226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1CD8E4D1" w14:textId="3FEEF8F2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i/>
          <w:szCs w:val="22"/>
        </w:rPr>
        <w:t>Keratoconjunctivitis sicca</w:t>
      </w:r>
      <w:r w:rsidRPr="00532F83">
        <w:rPr>
          <w:szCs w:val="22"/>
        </w:rPr>
        <w:t xml:space="preserve"> a symptomatická liečba syndrómu suchého oka</w:t>
      </w:r>
      <w:r w:rsidR="000D6D40" w:rsidRPr="00114922">
        <w:rPr>
          <w:szCs w:val="22"/>
        </w:rPr>
        <w:t>.</w:t>
      </w:r>
    </w:p>
    <w:p w14:paraId="47CEECBC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685CB4B9" w14:textId="4DD136A7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4.2</w:t>
      </w:r>
      <w:r w:rsidRPr="00532F83">
        <w:rPr>
          <w:b/>
          <w:szCs w:val="22"/>
        </w:rPr>
        <w:tab/>
        <w:t>Dávkovanie a spôsob podávania</w:t>
      </w:r>
    </w:p>
    <w:p w14:paraId="7C3AB899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560BDADF" w14:textId="77777777" w:rsidR="000D6D40" w:rsidRPr="00114922" w:rsidRDefault="000D6D40" w:rsidP="000D6D40">
      <w:pPr>
        <w:rPr>
          <w:szCs w:val="22"/>
          <w:u w:val="single"/>
        </w:rPr>
      </w:pPr>
      <w:r w:rsidRPr="00114922">
        <w:rPr>
          <w:szCs w:val="22"/>
          <w:u w:val="single"/>
        </w:rPr>
        <w:t>Dávkovanie</w:t>
      </w:r>
    </w:p>
    <w:p w14:paraId="2DDDC6ED" w14:textId="77777777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szCs w:val="22"/>
        </w:rPr>
        <w:t>1 kvapka do oka 1 až 4-krát denne.</w:t>
      </w:r>
    </w:p>
    <w:p w14:paraId="302549FD" w14:textId="77777777" w:rsidR="00437470" w:rsidRPr="00532F83" w:rsidRDefault="00437470" w:rsidP="00E313B4">
      <w:pPr>
        <w:ind w:left="0" w:firstLine="0"/>
        <w:jc w:val="both"/>
        <w:rPr>
          <w:szCs w:val="22"/>
        </w:rPr>
      </w:pPr>
    </w:p>
    <w:p w14:paraId="21944B39" w14:textId="6E2A7D3B" w:rsidR="00437470" w:rsidRPr="00532F83" w:rsidRDefault="000D6D40">
      <w:pPr>
        <w:ind w:left="0" w:firstLine="0"/>
        <w:jc w:val="both"/>
        <w:rPr>
          <w:i/>
          <w:szCs w:val="22"/>
        </w:rPr>
      </w:pPr>
      <w:r w:rsidRPr="00114922">
        <w:rPr>
          <w:i/>
          <w:noProof/>
          <w:szCs w:val="22"/>
        </w:rPr>
        <w:t>Pediatrická</w:t>
      </w:r>
      <w:r w:rsidR="00437470" w:rsidRPr="00532F83">
        <w:rPr>
          <w:i/>
          <w:szCs w:val="22"/>
        </w:rPr>
        <w:t xml:space="preserve"> populácia</w:t>
      </w:r>
      <w:r w:rsidRPr="00114922">
        <w:rPr>
          <w:i/>
          <w:szCs w:val="22"/>
        </w:rPr>
        <w:t xml:space="preserve"> </w:t>
      </w:r>
    </w:p>
    <w:p w14:paraId="51169B27" w14:textId="30BED40B" w:rsidR="00437470" w:rsidRPr="00532F83" w:rsidRDefault="00437470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Bezpečnosť a účinnosť očného gélu </w:t>
      </w:r>
      <w:r w:rsidR="001C406B" w:rsidRPr="001C406B">
        <w:rPr>
          <w:szCs w:val="22"/>
        </w:rPr>
        <w:t>OFTAGEL</w:t>
      </w:r>
      <w:r w:rsidR="009977D8" w:rsidRPr="00532F83">
        <w:rPr>
          <w:szCs w:val="22"/>
        </w:rPr>
        <w:t xml:space="preserve"> </w:t>
      </w:r>
      <w:r w:rsidR="00551957" w:rsidRPr="00114922">
        <w:rPr>
          <w:szCs w:val="22"/>
        </w:rPr>
        <w:t xml:space="preserve">2,5 mg/g </w:t>
      </w:r>
      <w:r w:rsidR="009977D8" w:rsidRPr="00532F83">
        <w:rPr>
          <w:szCs w:val="22"/>
        </w:rPr>
        <w:t>u detí a </w:t>
      </w:r>
      <w:r w:rsidR="00D91FE0" w:rsidRPr="00532F83">
        <w:rPr>
          <w:szCs w:val="22"/>
        </w:rPr>
        <w:t>dospievajúci</w:t>
      </w:r>
      <w:r w:rsidR="009977D8" w:rsidRPr="00532F83">
        <w:rPr>
          <w:szCs w:val="22"/>
        </w:rPr>
        <w:t xml:space="preserve">ch </w:t>
      </w:r>
      <w:r w:rsidR="00532F83">
        <w:rPr>
          <w:szCs w:val="22"/>
        </w:rPr>
        <w:t>pri</w:t>
      </w:r>
      <w:r w:rsidR="009977D8" w:rsidRPr="00532F83">
        <w:rPr>
          <w:szCs w:val="22"/>
        </w:rPr>
        <w:t> dávkovaní odporúčanom dospelým bola určená na základe klinických skúsenost</w:t>
      </w:r>
      <w:r w:rsidR="00551957" w:rsidRPr="00114922">
        <w:rPr>
          <w:szCs w:val="22"/>
        </w:rPr>
        <w:t>í</w:t>
      </w:r>
      <w:r w:rsidR="009977D8" w:rsidRPr="00532F83">
        <w:rPr>
          <w:szCs w:val="22"/>
        </w:rPr>
        <w:t xml:space="preserve">, k dispozícii však nie sú žiadne údaje </w:t>
      </w:r>
      <w:r w:rsidR="00493BD8" w:rsidRPr="00114922">
        <w:rPr>
          <w:szCs w:val="22"/>
        </w:rPr>
        <w:t>z</w:t>
      </w:r>
      <w:r w:rsidR="009977D8" w:rsidRPr="00532F83">
        <w:rPr>
          <w:szCs w:val="22"/>
        </w:rPr>
        <w:t> klinick</w:t>
      </w:r>
      <w:r w:rsidR="00493BD8" w:rsidRPr="00114922">
        <w:rPr>
          <w:szCs w:val="22"/>
        </w:rPr>
        <w:t>ého</w:t>
      </w:r>
      <w:r w:rsidR="009977D8" w:rsidRPr="00532F83">
        <w:rPr>
          <w:szCs w:val="22"/>
        </w:rPr>
        <w:t xml:space="preserve"> skúšan</w:t>
      </w:r>
      <w:r w:rsidR="00493BD8" w:rsidRPr="00114922">
        <w:rPr>
          <w:szCs w:val="22"/>
        </w:rPr>
        <w:t>ia</w:t>
      </w:r>
      <w:r w:rsidR="009977D8" w:rsidRPr="00532F83">
        <w:rPr>
          <w:szCs w:val="22"/>
        </w:rPr>
        <w:t>.</w:t>
      </w:r>
    </w:p>
    <w:p w14:paraId="6B4B1203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39FEFE0B" w14:textId="23D967E4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4.3</w:t>
      </w:r>
      <w:r w:rsidRPr="00532F83">
        <w:rPr>
          <w:b/>
          <w:szCs w:val="22"/>
        </w:rPr>
        <w:tab/>
        <w:t>Kontraindikácie</w:t>
      </w:r>
    </w:p>
    <w:p w14:paraId="755C97DC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60C1CE89" w14:textId="7003C4AD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Precitlivenosť na </w:t>
      </w:r>
      <w:r w:rsidR="000D6D40" w:rsidRPr="00114922">
        <w:rPr>
          <w:szCs w:val="22"/>
        </w:rPr>
        <w:t>liečivo</w:t>
      </w:r>
      <w:r w:rsidR="009977D8" w:rsidRPr="00532F83">
        <w:rPr>
          <w:szCs w:val="22"/>
        </w:rPr>
        <w:t xml:space="preserve"> alebo na </w:t>
      </w:r>
      <w:r w:rsidRPr="00532F83">
        <w:rPr>
          <w:szCs w:val="22"/>
        </w:rPr>
        <w:t>ktorúkoľvek z</w:t>
      </w:r>
      <w:r w:rsidR="009977D8" w:rsidRPr="00532F83">
        <w:rPr>
          <w:szCs w:val="22"/>
        </w:rPr>
        <w:t> pomocných látok uvedených v časti 6.1</w:t>
      </w:r>
      <w:r w:rsidRPr="00532F83">
        <w:rPr>
          <w:szCs w:val="22"/>
        </w:rPr>
        <w:t>.</w:t>
      </w:r>
    </w:p>
    <w:p w14:paraId="061D51FD" w14:textId="77777777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>Nosenie mäkkých kontaktných šošoviek.</w:t>
      </w:r>
    </w:p>
    <w:p w14:paraId="2DDEFFD3" w14:textId="77777777" w:rsidR="00FB6E17" w:rsidRPr="00532F83" w:rsidRDefault="00FB6E17">
      <w:pPr>
        <w:ind w:left="0" w:firstLine="0"/>
        <w:rPr>
          <w:szCs w:val="22"/>
        </w:rPr>
      </w:pPr>
    </w:p>
    <w:p w14:paraId="5F08FBDF" w14:textId="5B9D2326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noProof/>
          <w:szCs w:val="22"/>
        </w:rPr>
      </w:pPr>
      <w:r w:rsidRPr="00532F83">
        <w:rPr>
          <w:b/>
          <w:szCs w:val="22"/>
        </w:rPr>
        <w:t>4.4</w:t>
      </w:r>
      <w:r w:rsidRPr="00532F83">
        <w:rPr>
          <w:b/>
          <w:szCs w:val="22"/>
        </w:rPr>
        <w:tab/>
        <w:t xml:space="preserve">Osobitné upozornenia </w:t>
      </w:r>
      <w:r w:rsidRPr="00532F83">
        <w:rPr>
          <w:b/>
          <w:noProof/>
          <w:szCs w:val="22"/>
        </w:rPr>
        <w:t>a opatrenia pri používaní</w:t>
      </w:r>
    </w:p>
    <w:p w14:paraId="137E7509" w14:textId="77777777" w:rsidR="005A38DC" w:rsidRPr="00532F83" w:rsidRDefault="005A38DC" w:rsidP="0090336E">
      <w:pPr>
        <w:ind w:left="0" w:firstLine="0"/>
        <w:jc w:val="both"/>
        <w:rPr>
          <w:b/>
          <w:noProof/>
          <w:szCs w:val="22"/>
        </w:rPr>
      </w:pPr>
    </w:p>
    <w:p w14:paraId="6F8284EC" w14:textId="2013FDDD" w:rsidR="00221519" w:rsidRDefault="00221519" w:rsidP="00532F83">
      <w:pPr>
        <w:pStyle w:val="Default"/>
        <w:jc w:val="both"/>
      </w:pPr>
      <w:r>
        <w:rPr>
          <w:sz w:val="22"/>
          <w:szCs w:val="22"/>
        </w:rPr>
        <w:t>OFTAGEL 2,5 mg/g obsahuje konzervačnú látku b</w:t>
      </w:r>
      <w:r w:rsidR="00FB6E17" w:rsidRPr="00532F83">
        <w:rPr>
          <w:sz w:val="22"/>
          <w:szCs w:val="22"/>
        </w:rPr>
        <w:t>enzalk</w:t>
      </w:r>
      <w:r w:rsidR="000D6D40" w:rsidRPr="00532F83">
        <w:rPr>
          <w:sz w:val="22"/>
          <w:szCs w:val="22"/>
        </w:rPr>
        <w:t>ó</w:t>
      </w:r>
      <w:r w:rsidR="00FB6E17" w:rsidRPr="00532F83">
        <w:rPr>
          <w:sz w:val="22"/>
          <w:szCs w:val="22"/>
        </w:rPr>
        <w:t>niumchlorid.</w:t>
      </w:r>
      <w:r>
        <w:rPr>
          <w:sz w:val="22"/>
          <w:szCs w:val="22"/>
        </w:rPr>
        <w:t xml:space="preserve"> </w:t>
      </w:r>
      <w:r>
        <w:t xml:space="preserve">Mäkké kontaktné šošovky môžu reagovať s benzalkóniumchloridom a môže sa zmeniť farba kontaktných šošoviek. </w:t>
      </w:r>
      <w:r w:rsidR="00C46133">
        <w:t xml:space="preserve">Benzalkóniumchlorid sa môže usádzať v kontaktných šošovkách, preto je potrebné zabrániť kontaktu s kontaktnými šošovkami. </w:t>
      </w:r>
      <w:r>
        <w:t xml:space="preserve">Pred použitím tohto lieku si </w:t>
      </w:r>
      <w:r w:rsidR="00037CDF">
        <w:t>pacient musí</w:t>
      </w:r>
      <w:r>
        <w:t xml:space="preserve"> vybrať kontaktné šošovky a naspäť ich vlož</w:t>
      </w:r>
      <w:r w:rsidR="00037CDF">
        <w:t>iť</w:t>
      </w:r>
      <w:r>
        <w:t xml:space="preserve"> po 15 minútach. Benzalkóniumchlorid môže tiež spôsobiť podráždenie oka, hlavne ak má</w:t>
      </w:r>
      <w:r w:rsidR="00037CDF">
        <w:t xml:space="preserve"> pacient</w:t>
      </w:r>
      <w:r>
        <w:t xml:space="preserve"> suché oči alebo poruchy rohovky (priehľadná vrstva v prednej časti oka). Ak má</w:t>
      </w:r>
      <w:r w:rsidR="00037CDF">
        <w:t xml:space="preserve"> pacient </w:t>
      </w:r>
      <w:r>
        <w:t xml:space="preserve">nezvyčajné pocity v oku, bodanie (štípanie) alebo bolesť v oku po použití tohto lieku, </w:t>
      </w:r>
      <w:r w:rsidR="00037CDF">
        <w:t>je potrebné informovať l</w:t>
      </w:r>
      <w:r>
        <w:t>ekár</w:t>
      </w:r>
      <w:r w:rsidR="00037CDF">
        <w:t>a</w:t>
      </w:r>
      <w:r>
        <w:t>.</w:t>
      </w:r>
    </w:p>
    <w:p w14:paraId="5E369AF1" w14:textId="27FA991F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 </w:t>
      </w:r>
    </w:p>
    <w:p w14:paraId="72734CB7" w14:textId="53D106EA" w:rsidR="003830D9" w:rsidRPr="00114922" w:rsidRDefault="00FB6E17" w:rsidP="00532F83">
      <w:pPr>
        <w:keepNext/>
        <w:keepLines/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4.5</w:t>
      </w:r>
      <w:r w:rsidRPr="00532F83">
        <w:rPr>
          <w:b/>
          <w:szCs w:val="22"/>
        </w:rPr>
        <w:tab/>
        <w:t>Liekové a iné interakcie</w:t>
      </w:r>
    </w:p>
    <w:p w14:paraId="24BD76AC" w14:textId="77777777" w:rsidR="005A38DC" w:rsidRPr="00532F83" w:rsidRDefault="005A38DC" w:rsidP="00532F83">
      <w:pPr>
        <w:keepNext/>
        <w:keepLines/>
        <w:ind w:left="0" w:firstLine="0"/>
        <w:jc w:val="both"/>
        <w:rPr>
          <w:b/>
          <w:szCs w:val="22"/>
        </w:rPr>
      </w:pPr>
    </w:p>
    <w:p w14:paraId="29A06664" w14:textId="31D1BA88" w:rsidR="00FB6E17" w:rsidRPr="00532F83" w:rsidRDefault="00FB6E17" w:rsidP="00532F83">
      <w:pPr>
        <w:keepNext/>
        <w:keepLines/>
        <w:ind w:left="0" w:firstLine="0"/>
        <w:jc w:val="both"/>
        <w:rPr>
          <w:szCs w:val="22"/>
        </w:rPr>
      </w:pPr>
      <w:r w:rsidRPr="00532F83">
        <w:rPr>
          <w:b/>
          <w:szCs w:val="22"/>
        </w:rPr>
        <w:t xml:space="preserve"> </w:t>
      </w:r>
      <w:r w:rsidRPr="00532F83">
        <w:rPr>
          <w:szCs w:val="22"/>
        </w:rPr>
        <w:t xml:space="preserve">Pokiaľ sa lokálne do oka aplikuje viac liekov, medzi jednotlivými aplikáciami musí byť odstup najmenej 15 minút. </w:t>
      </w:r>
      <w:r w:rsidR="001C406B" w:rsidRPr="001C406B">
        <w:rPr>
          <w:szCs w:val="22"/>
        </w:rPr>
        <w:t>OFTAGEL</w:t>
      </w:r>
      <w:r w:rsidRPr="00532F83">
        <w:rPr>
          <w:szCs w:val="22"/>
        </w:rPr>
        <w:t xml:space="preserve"> sa musí aplikovať vždy posledný. </w:t>
      </w:r>
    </w:p>
    <w:p w14:paraId="0984CE38" w14:textId="77777777" w:rsidR="00FB6E17" w:rsidRPr="00532F83" w:rsidRDefault="00FB6E17" w:rsidP="0090336E">
      <w:pPr>
        <w:ind w:left="0" w:firstLine="0"/>
        <w:jc w:val="both"/>
        <w:rPr>
          <w:szCs w:val="22"/>
        </w:rPr>
      </w:pPr>
    </w:p>
    <w:p w14:paraId="46E7DD2F" w14:textId="70AD3C3A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4.6</w:t>
      </w:r>
      <w:r w:rsidRPr="00532F83">
        <w:rPr>
          <w:b/>
          <w:szCs w:val="22"/>
        </w:rPr>
        <w:tab/>
      </w:r>
      <w:r w:rsidR="0090336E" w:rsidRPr="00114922">
        <w:rPr>
          <w:b/>
          <w:noProof/>
          <w:szCs w:val="22"/>
        </w:rPr>
        <w:t>Fertilita</w:t>
      </w:r>
      <w:r w:rsidR="009977D8" w:rsidRPr="00532F83">
        <w:rPr>
          <w:b/>
          <w:szCs w:val="22"/>
        </w:rPr>
        <w:t>,</w:t>
      </w:r>
      <w:r w:rsidRPr="00532F83">
        <w:rPr>
          <w:b/>
          <w:szCs w:val="22"/>
        </w:rPr>
        <w:t> </w:t>
      </w:r>
      <w:r w:rsidR="009977D8" w:rsidRPr="00532F83">
        <w:rPr>
          <w:b/>
          <w:szCs w:val="22"/>
        </w:rPr>
        <w:t xml:space="preserve">gravidita </w:t>
      </w:r>
      <w:r w:rsidRPr="00532F83">
        <w:rPr>
          <w:b/>
          <w:szCs w:val="22"/>
        </w:rPr>
        <w:t xml:space="preserve">a </w:t>
      </w:r>
      <w:r w:rsidR="009977D8" w:rsidRPr="00532F83">
        <w:rPr>
          <w:b/>
          <w:szCs w:val="22"/>
        </w:rPr>
        <w:t>laktácia</w:t>
      </w:r>
    </w:p>
    <w:p w14:paraId="70FFE9E9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25207D08" w14:textId="7AFFE9EE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U gravidných žien sa nerobili žiadne primerané a kontrolované štúdie s aplikáciou lieku </w:t>
      </w:r>
      <w:r w:rsidR="001C406B" w:rsidRPr="001C406B">
        <w:rPr>
          <w:szCs w:val="22"/>
        </w:rPr>
        <w:t>OFTAGEL</w:t>
      </w:r>
      <w:r w:rsidRPr="00532F83">
        <w:rPr>
          <w:szCs w:val="22"/>
        </w:rPr>
        <w:t xml:space="preserve"> očný gél. Liek sa môže použiť iba v prípadoch, keď potenciálny prínos pre matku prevýši riziko pre plod alebo dieťa.</w:t>
      </w:r>
    </w:p>
    <w:p w14:paraId="6A6963AF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</w:p>
    <w:p w14:paraId="68223139" w14:textId="1452D883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4.7</w:t>
      </w:r>
      <w:r w:rsidRPr="00532F83">
        <w:rPr>
          <w:b/>
          <w:szCs w:val="22"/>
        </w:rPr>
        <w:tab/>
        <w:t>Ovplyvnenie schopnosti viesť vozidlá a obsluhovať stroje</w:t>
      </w:r>
    </w:p>
    <w:p w14:paraId="32012547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33CF3F77" w14:textId="0B1D5FE0" w:rsidR="00FB6E17" w:rsidRPr="00532F83" w:rsidRDefault="001C406B" w:rsidP="0090336E">
      <w:pPr>
        <w:ind w:left="0" w:firstLine="0"/>
        <w:jc w:val="both"/>
        <w:rPr>
          <w:szCs w:val="22"/>
        </w:rPr>
      </w:pPr>
      <w:r w:rsidRPr="001C406B">
        <w:rPr>
          <w:szCs w:val="22"/>
        </w:rPr>
        <w:t>OFTAGEL</w:t>
      </w:r>
      <w:r w:rsidR="00FB6E17" w:rsidRPr="00532F83">
        <w:rPr>
          <w:szCs w:val="22"/>
        </w:rPr>
        <w:t xml:space="preserve"> očný gél môže prechodne narušiť ostrosť videnia. Pokiaľ pacient vidí bezprostredne po aplikácii lieku rozmazane, musí pred vedením motorového vozidla alebo prácou so strojmi počkať, kým bude opäť ostro vidieť. </w:t>
      </w:r>
    </w:p>
    <w:p w14:paraId="30C288B5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ab/>
      </w:r>
    </w:p>
    <w:p w14:paraId="32035561" w14:textId="4948D801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4.8</w:t>
      </w:r>
      <w:r w:rsidRPr="00532F83">
        <w:rPr>
          <w:b/>
          <w:szCs w:val="22"/>
        </w:rPr>
        <w:tab/>
        <w:t>Nežiaduce účinky</w:t>
      </w:r>
    </w:p>
    <w:p w14:paraId="4BE52D21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2B1BF90B" w14:textId="49A06473" w:rsidR="003830D9" w:rsidRPr="00532F83" w:rsidRDefault="003830D9" w:rsidP="0090336E">
      <w:pPr>
        <w:ind w:left="0" w:firstLine="0"/>
        <w:jc w:val="both"/>
        <w:rPr>
          <w:szCs w:val="22"/>
          <w:u w:val="single"/>
        </w:rPr>
      </w:pPr>
    </w:p>
    <w:p w14:paraId="6B2DD284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Bezprostredne po aplikácii sa môže prechodne vyskytnúť neostré videnie, mierne pichanie alebo lokálne podráždenie. </w:t>
      </w:r>
    </w:p>
    <w:p w14:paraId="57F202A5" w14:textId="77777777" w:rsidR="008B58EC" w:rsidRPr="00532F83" w:rsidRDefault="008B58EC">
      <w:pPr>
        <w:ind w:left="0" w:firstLine="0"/>
        <w:jc w:val="both"/>
        <w:rPr>
          <w:szCs w:val="22"/>
        </w:rPr>
      </w:pPr>
    </w:p>
    <w:p w14:paraId="7B42B9D8" w14:textId="77777777" w:rsidR="0090336E" w:rsidRPr="006917B7" w:rsidRDefault="0090336E" w:rsidP="0090336E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6917B7">
        <w:rPr>
          <w:noProof/>
          <w:szCs w:val="22"/>
          <w:u w:val="single"/>
        </w:rPr>
        <w:t>Hlásenie podozrení na nežiaduce reakcie</w:t>
      </w:r>
    </w:p>
    <w:p w14:paraId="1BFADE58" w14:textId="1269E36D" w:rsidR="008B58EC" w:rsidRPr="00532F83" w:rsidRDefault="0090336E" w:rsidP="0090336E">
      <w:pPr>
        <w:ind w:left="0" w:firstLine="0"/>
        <w:jc w:val="both"/>
        <w:rPr>
          <w:szCs w:val="22"/>
        </w:rPr>
      </w:pPr>
      <w:r w:rsidRPr="00532F83">
        <w:rPr>
          <w:noProof/>
          <w:szCs w:val="22"/>
          <w:lang w:eastAsia="cs-CZ"/>
        </w:rPr>
        <w:t>Hlásenie podozrení na nežiaduce reakcie po registrácii lieku je dôležité.</w:t>
      </w:r>
      <w:r w:rsidRPr="00532F83">
        <w:rPr>
          <w:szCs w:val="22"/>
          <w:lang w:eastAsia="cs-CZ"/>
        </w:rPr>
        <w:t xml:space="preserve"> </w:t>
      </w:r>
      <w:r w:rsidRPr="00532F83">
        <w:rPr>
          <w:noProof/>
          <w:szCs w:val="22"/>
          <w:lang w:eastAsia="cs-CZ"/>
        </w:rPr>
        <w:t>Umožňuje priebežné monitorovanie pomeru prínosu a rizika lieku.</w:t>
      </w:r>
      <w:r w:rsidRPr="00532F83">
        <w:rPr>
          <w:szCs w:val="22"/>
          <w:lang w:eastAsia="cs-CZ"/>
        </w:rPr>
        <w:t xml:space="preserve"> Od </w:t>
      </w:r>
      <w:r w:rsidRPr="00532F83">
        <w:rPr>
          <w:noProof/>
          <w:szCs w:val="22"/>
          <w:lang w:eastAsia="cs-CZ"/>
        </w:rPr>
        <w:t xml:space="preserve">zdravotníckych pracovníkov sa vyžaduje, aby hlásili akékoľvek podozrenia na nežiaduce reakcie na </w:t>
      </w:r>
      <w:r w:rsidRPr="00532F83">
        <w:rPr>
          <w:noProof/>
          <w:szCs w:val="22"/>
          <w:highlight w:val="lightGray"/>
          <w:lang w:eastAsia="cs-CZ"/>
        </w:rPr>
        <w:t>národné centrum hlásenia uvedené v </w:t>
      </w:r>
      <w:hyperlink r:id="rId8" w:history="1">
        <w:r w:rsidRPr="00532F83">
          <w:rPr>
            <w:rStyle w:val="Hypertextovprepojenie"/>
            <w:noProof/>
            <w:szCs w:val="22"/>
            <w:highlight w:val="lightGray"/>
            <w:lang w:eastAsia="cs-CZ"/>
          </w:rPr>
          <w:t>Prílohe V</w:t>
        </w:r>
      </w:hyperlink>
      <w:r w:rsidRPr="00532F83">
        <w:rPr>
          <w:noProof/>
          <w:szCs w:val="22"/>
          <w:lang w:eastAsia="cs-CZ"/>
        </w:rPr>
        <w:t>.</w:t>
      </w:r>
    </w:p>
    <w:p w14:paraId="0230A53F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</w:p>
    <w:p w14:paraId="1F401C1C" w14:textId="03469A74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4.9</w:t>
      </w:r>
      <w:r w:rsidRPr="00532F83">
        <w:rPr>
          <w:b/>
          <w:szCs w:val="22"/>
        </w:rPr>
        <w:tab/>
        <w:t>Predávkovanie</w:t>
      </w:r>
    </w:p>
    <w:p w14:paraId="7CCFD32C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350F4D0F" w14:textId="77777777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szCs w:val="22"/>
        </w:rPr>
        <w:t>Nie sú známe žiadne negatívne účinky spojené s predávkovaním.</w:t>
      </w:r>
    </w:p>
    <w:p w14:paraId="270BF91D" w14:textId="77777777" w:rsidR="00FB6E17" w:rsidRPr="00532F83" w:rsidRDefault="00FB6E17" w:rsidP="00E313B4">
      <w:pPr>
        <w:ind w:left="0" w:firstLine="0"/>
        <w:jc w:val="both"/>
        <w:rPr>
          <w:position w:val="2"/>
          <w:szCs w:val="22"/>
        </w:rPr>
      </w:pPr>
    </w:p>
    <w:p w14:paraId="11609E03" w14:textId="77777777" w:rsidR="00FB6E17" w:rsidRPr="00532F83" w:rsidRDefault="00FB6E17">
      <w:pPr>
        <w:ind w:left="0" w:firstLine="0"/>
        <w:jc w:val="both"/>
        <w:rPr>
          <w:position w:val="2"/>
          <w:szCs w:val="22"/>
        </w:rPr>
      </w:pPr>
    </w:p>
    <w:p w14:paraId="429A8FB6" w14:textId="77777777" w:rsidR="00FB6E17" w:rsidRPr="00532F83" w:rsidRDefault="00FB6E17" w:rsidP="00532F83">
      <w:pPr>
        <w:tabs>
          <w:tab w:val="left" w:pos="567"/>
        </w:tabs>
        <w:ind w:left="0" w:firstLine="0"/>
        <w:jc w:val="both"/>
        <w:rPr>
          <w:position w:val="2"/>
          <w:szCs w:val="22"/>
        </w:rPr>
      </w:pPr>
      <w:r w:rsidRPr="00532F83">
        <w:rPr>
          <w:b/>
          <w:position w:val="2"/>
          <w:szCs w:val="22"/>
        </w:rPr>
        <w:t>5.</w:t>
      </w:r>
      <w:r w:rsidRPr="00532F83">
        <w:rPr>
          <w:b/>
          <w:position w:val="2"/>
          <w:szCs w:val="22"/>
        </w:rPr>
        <w:tab/>
        <w:t>FARMAKOLOGICKÉ VLASTNOSTI</w:t>
      </w:r>
    </w:p>
    <w:p w14:paraId="3E8822EB" w14:textId="77777777" w:rsidR="00FB6E17" w:rsidRPr="00532F83" w:rsidRDefault="00FB6E17" w:rsidP="0090336E">
      <w:pPr>
        <w:ind w:left="0" w:firstLine="0"/>
        <w:jc w:val="both"/>
        <w:rPr>
          <w:position w:val="2"/>
          <w:szCs w:val="22"/>
        </w:rPr>
      </w:pPr>
    </w:p>
    <w:p w14:paraId="07B05722" w14:textId="469FFD0D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position w:val="2"/>
          <w:szCs w:val="22"/>
        </w:rPr>
      </w:pPr>
      <w:r w:rsidRPr="00532F83">
        <w:rPr>
          <w:b/>
          <w:position w:val="2"/>
          <w:szCs w:val="22"/>
        </w:rPr>
        <w:t>5.1</w:t>
      </w:r>
      <w:r w:rsidRPr="00532F83">
        <w:rPr>
          <w:b/>
          <w:position w:val="2"/>
          <w:szCs w:val="22"/>
        </w:rPr>
        <w:tab/>
        <w:t>Farmakodynamické vlastnosti</w:t>
      </w:r>
    </w:p>
    <w:p w14:paraId="45CDA215" w14:textId="77777777" w:rsidR="005A38DC" w:rsidRPr="00532F83" w:rsidRDefault="005A38DC" w:rsidP="0090336E">
      <w:pPr>
        <w:ind w:left="0" w:firstLine="0"/>
        <w:jc w:val="both"/>
        <w:rPr>
          <w:b/>
          <w:position w:val="2"/>
          <w:szCs w:val="22"/>
        </w:rPr>
      </w:pPr>
    </w:p>
    <w:p w14:paraId="41FF8D50" w14:textId="2825B6E3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Farmakoterapeutická skupina: </w:t>
      </w:r>
      <w:r w:rsidR="003A4F67" w:rsidRPr="00532F83">
        <w:rPr>
          <w:szCs w:val="22"/>
        </w:rPr>
        <w:t xml:space="preserve">oftalmologiká, </w:t>
      </w:r>
      <w:r w:rsidR="006917B7">
        <w:rPr>
          <w:szCs w:val="22"/>
        </w:rPr>
        <w:t>iné oftalmologiká</w:t>
      </w:r>
      <w:r w:rsidR="00F73BF9" w:rsidRPr="00532F83">
        <w:rPr>
          <w:szCs w:val="22"/>
        </w:rPr>
        <w:t xml:space="preserve">, </w:t>
      </w:r>
      <w:r w:rsidRPr="00532F83">
        <w:rPr>
          <w:szCs w:val="22"/>
        </w:rPr>
        <w:t>ATC  kód: S01XA20</w:t>
      </w:r>
    </w:p>
    <w:p w14:paraId="03DD18E6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</w:p>
    <w:p w14:paraId="5410D312" w14:textId="173B0BF1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>Najdôležitejšími vlastnosťami očného gélu, ktoré zodpovedajú za úľavu symptómov syndrómu suchého oka sú dlhý kontakt s rohovkou a dobré lubrikačné vlastnost</w:t>
      </w:r>
      <w:r w:rsidR="006917B7">
        <w:rPr>
          <w:szCs w:val="22"/>
        </w:rPr>
        <w:t>i</w:t>
      </w:r>
      <w:r w:rsidRPr="00532F83">
        <w:rPr>
          <w:szCs w:val="22"/>
        </w:rPr>
        <w:t xml:space="preserve"> lieku. Tieto vlastnosti očného gélu zabezpečuje karbomér. Karbomér je vysokomolekulárny karbovinylový polymér, ktorý zvyšuje viskozitu kvapky a bežne sa používa v očných instiláciách na terapiu syndrómu suchého oka. Kvapky tvoria ochranný a lubrikačný film na rohovke. </w:t>
      </w:r>
    </w:p>
    <w:p w14:paraId="247E3720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19159B72" w14:textId="4F45DA5E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5.2</w:t>
      </w:r>
      <w:r w:rsidRPr="00532F83">
        <w:rPr>
          <w:b/>
          <w:szCs w:val="22"/>
        </w:rPr>
        <w:tab/>
        <w:t>Farmakokinetické vlastnosti</w:t>
      </w:r>
    </w:p>
    <w:p w14:paraId="5EF3B0AC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2EA2AEA2" w14:textId="77777777" w:rsidR="00FB6E17" w:rsidRPr="00532F83" w:rsidRDefault="00FB6E17" w:rsidP="0090336E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Pozitívny účinok karboméru počas prolongovaného kontaktu sa dokázal v klinickej štúdii (fáza I). Kontaktný čas s rohovkou bol 12,5 až 45 minút. Vzhľadom na vysokú molekulovú hmotnosť a štruktúru karboméru, je nepravdepodobná penetrácia a kumulácia v očnom tkanive. </w:t>
      </w:r>
    </w:p>
    <w:p w14:paraId="3212587D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</w:p>
    <w:p w14:paraId="04D992DF" w14:textId="68682247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5.3</w:t>
      </w:r>
      <w:r w:rsidRPr="00532F83">
        <w:rPr>
          <w:b/>
          <w:szCs w:val="22"/>
        </w:rPr>
        <w:tab/>
        <w:t>Predklinické údaje o</w:t>
      </w:r>
      <w:r w:rsidR="005A38DC" w:rsidRPr="0090336E">
        <w:rPr>
          <w:b/>
          <w:szCs w:val="22"/>
        </w:rPr>
        <w:t> </w:t>
      </w:r>
      <w:r w:rsidRPr="00532F83">
        <w:rPr>
          <w:b/>
          <w:szCs w:val="22"/>
        </w:rPr>
        <w:t>bezpečnosti</w:t>
      </w:r>
    </w:p>
    <w:p w14:paraId="221091D0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334DB9ED" w14:textId="7DF7FFB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Lokálna tolerancia a bezpečnosť lieku </w:t>
      </w:r>
      <w:r w:rsidR="001C406B" w:rsidRPr="001C406B">
        <w:rPr>
          <w:szCs w:val="22"/>
        </w:rPr>
        <w:t>OFTAGEL</w:t>
      </w:r>
      <w:r w:rsidRPr="00532F83">
        <w:rPr>
          <w:szCs w:val="22"/>
        </w:rPr>
        <w:t xml:space="preserve"> </w:t>
      </w:r>
      <w:r w:rsidR="003A4F67" w:rsidRPr="00532F83">
        <w:rPr>
          <w:szCs w:val="22"/>
        </w:rPr>
        <w:t xml:space="preserve">očný gél </w:t>
      </w:r>
      <w:r w:rsidRPr="00532F83">
        <w:rPr>
          <w:szCs w:val="22"/>
        </w:rPr>
        <w:t>2,5 mg/</w:t>
      </w:r>
      <w:r w:rsidR="00F73BF9" w:rsidRPr="00532F83">
        <w:rPr>
          <w:szCs w:val="22"/>
        </w:rPr>
        <w:t>g</w:t>
      </w:r>
      <w:r w:rsidRPr="00532F83">
        <w:rPr>
          <w:szCs w:val="22"/>
        </w:rPr>
        <w:t xml:space="preserve"> sa študovala na králikoch po jednej dávke a v ďalšej štúdii, kde sa liek aplikoval 4 týždne</w:t>
      </w:r>
      <w:r w:rsidR="00E313B4">
        <w:rPr>
          <w:szCs w:val="22"/>
        </w:rPr>
        <w:t>,</w:t>
      </w:r>
      <w:r w:rsidRPr="00532F83">
        <w:rPr>
          <w:szCs w:val="22"/>
        </w:rPr>
        <w:t xml:space="preserve"> 4-krát denne. V žiadnej zo štúdií sa nevyskytla reakcia, vznik ktorej by mohol vyvolať liek. Liek bol celkovo dobre tolerovaný systémovo aj lokálne. </w:t>
      </w:r>
    </w:p>
    <w:p w14:paraId="47E27D0F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56E4789F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15F4533E" w14:textId="77777777" w:rsidR="00FB6E17" w:rsidRPr="00532F83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6.</w:t>
      </w:r>
      <w:r w:rsidRPr="00532F83">
        <w:rPr>
          <w:b/>
          <w:szCs w:val="22"/>
        </w:rPr>
        <w:tab/>
        <w:t>FARMACEUTICKÉ INFORMÁCIE</w:t>
      </w:r>
    </w:p>
    <w:p w14:paraId="592A1F14" w14:textId="77777777" w:rsidR="00FB6E17" w:rsidRPr="00532F83" w:rsidRDefault="00FB6E17" w:rsidP="0090336E">
      <w:pPr>
        <w:ind w:left="0" w:firstLine="0"/>
        <w:jc w:val="both"/>
        <w:rPr>
          <w:b/>
          <w:szCs w:val="22"/>
        </w:rPr>
      </w:pPr>
    </w:p>
    <w:p w14:paraId="3FF72CE4" w14:textId="2E1A0E56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6.1</w:t>
      </w:r>
      <w:r w:rsidRPr="00532F83">
        <w:rPr>
          <w:b/>
          <w:szCs w:val="22"/>
        </w:rPr>
        <w:tab/>
        <w:t>Zoznam pomocných látok</w:t>
      </w:r>
    </w:p>
    <w:p w14:paraId="612F1C0E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7B5B3494" w14:textId="38A4C0A6" w:rsidR="00FB6E17" w:rsidRPr="00114922" w:rsidRDefault="00E313B4" w:rsidP="00E313B4">
      <w:pPr>
        <w:ind w:left="0" w:firstLine="0"/>
        <w:jc w:val="both"/>
        <w:rPr>
          <w:szCs w:val="22"/>
        </w:rPr>
      </w:pPr>
      <w:r w:rsidRPr="00114922">
        <w:rPr>
          <w:szCs w:val="22"/>
        </w:rPr>
        <w:t>benzalkóniumchlorid</w:t>
      </w:r>
    </w:p>
    <w:p w14:paraId="480F5324" w14:textId="0DA0424A" w:rsidR="00E313B4" w:rsidRPr="00114922" w:rsidRDefault="00E313B4">
      <w:pPr>
        <w:ind w:left="0" w:firstLine="0"/>
        <w:jc w:val="both"/>
        <w:rPr>
          <w:szCs w:val="22"/>
        </w:rPr>
      </w:pPr>
      <w:r w:rsidRPr="00114922">
        <w:rPr>
          <w:szCs w:val="22"/>
        </w:rPr>
        <w:lastRenderedPageBreak/>
        <w:t>sorbitol</w:t>
      </w:r>
    </w:p>
    <w:p w14:paraId="7600894D" w14:textId="6D41767E" w:rsidR="00E313B4" w:rsidRPr="00114922" w:rsidRDefault="00E313B4">
      <w:pPr>
        <w:ind w:left="0" w:firstLine="0"/>
        <w:jc w:val="both"/>
        <w:rPr>
          <w:szCs w:val="22"/>
        </w:rPr>
      </w:pPr>
      <w:r w:rsidRPr="00114922">
        <w:rPr>
          <w:szCs w:val="22"/>
        </w:rPr>
        <w:t>monohydrát lyzínu</w:t>
      </w:r>
    </w:p>
    <w:p w14:paraId="3F6DAAE2" w14:textId="546C3120" w:rsidR="00E313B4" w:rsidRPr="00114922" w:rsidRDefault="00E313B4">
      <w:pPr>
        <w:ind w:left="0" w:firstLine="0"/>
        <w:jc w:val="both"/>
        <w:rPr>
          <w:szCs w:val="22"/>
        </w:rPr>
      </w:pPr>
      <w:r w:rsidRPr="00114922">
        <w:rPr>
          <w:szCs w:val="22"/>
        </w:rPr>
        <w:t>trihydrát octanu sodného</w:t>
      </w:r>
    </w:p>
    <w:p w14:paraId="036BAA2D" w14:textId="4892207A" w:rsidR="00E313B4" w:rsidRPr="00114922" w:rsidRDefault="00E313B4">
      <w:pPr>
        <w:ind w:left="0" w:firstLine="0"/>
        <w:jc w:val="both"/>
        <w:rPr>
          <w:szCs w:val="22"/>
        </w:rPr>
      </w:pPr>
      <w:r w:rsidRPr="00114922">
        <w:rPr>
          <w:szCs w:val="22"/>
        </w:rPr>
        <w:t>polyvinylalkohol</w:t>
      </w:r>
    </w:p>
    <w:p w14:paraId="55A57BFB" w14:textId="28F4CF6C" w:rsidR="00E313B4" w:rsidRPr="00532F83" w:rsidRDefault="00E313B4">
      <w:pPr>
        <w:ind w:left="0" w:firstLine="0"/>
        <w:jc w:val="both"/>
        <w:rPr>
          <w:szCs w:val="22"/>
        </w:rPr>
      </w:pPr>
      <w:r w:rsidRPr="00114922">
        <w:rPr>
          <w:szCs w:val="22"/>
        </w:rPr>
        <w:t>voda na injekciu</w:t>
      </w:r>
    </w:p>
    <w:p w14:paraId="74FD0D8B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2AFD9066" w14:textId="237F7E1E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6.2</w:t>
      </w:r>
      <w:r w:rsidRPr="00532F83">
        <w:rPr>
          <w:b/>
          <w:szCs w:val="22"/>
        </w:rPr>
        <w:tab/>
        <w:t>Inkompatibility</w:t>
      </w:r>
    </w:p>
    <w:p w14:paraId="675424B1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01FCB95B" w14:textId="1BF1EE8C" w:rsidR="00FB6E17" w:rsidRPr="00532F83" w:rsidRDefault="00656B7C" w:rsidP="00E313B4">
      <w:pPr>
        <w:ind w:left="0" w:firstLine="0"/>
        <w:jc w:val="both"/>
        <w:rPr>
          <w:szCs w:val="22"/>
        </w:rPr>
      </w:pPr>
      <w:r w:rsidRPr="00114922">
        <w:t>Nie sú známe</w:t>
      </w:r>
      <w:r w:rsidR="00E313B4" w:rsidRPr="00114922">
        <w:rPr>
          <w:szCs w:val="22"/>
        </w:rPr>
        <w:t>.</w:t>
      </w:r>
    </w:p>
    <w:p w14:paraId="575F8949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07229C54" w14:textId="2B593AAA" w:rsidR="00FB6E17" w:rsidRPr="00114922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6.3</w:t>
      </w:r>
      <w:r w:rsidRPr="00532F83">
        <w:rPr>
          <w:b/>
          <w:szCs w:val="22"/>
        </w:rPr>
        <w:tab/>
        <w:t>Čas použiteľnosti</w:t>
      </w:r>
    </w:p>
    <w:p w14:paraId="45C2E745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3E7A0F7E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>30 mesiacov. Čas použiteľnosti po prvom otvorení je 28 dní.</w:t>
      </w:r>
    </w:p>
    <w:p w14:paraId="6BB117E8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03EF15E6" w14:textId="56C6D5D0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6.4</w:t>
      </w:r>
      <w:r w:rsidRPr="00532F83">
        <w:rPr>
          <w:b/>
          <w:szCs w:val="22"/>
        </w:rPr>
        <w:tab/>
      </w:r>
      <w:r w:rsidR="00E313B4" w:rsidRPr="003021DE">
        <w:rPr>
          <w:b/>
          <w:szCs w:val="22"/>
        </w:rPr>
        <w:t>Špeciálne upozornenia na uchovávanie</w:t>
      </w:r>
    </w:p>
    <w:p w14:paraId="40B047E5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30B10C73" w14:textId="450FA2BE" w:rsidR="00E313B4" w:rsidRDefault="00E313B4" w:rsidP="00E313B4">
      <w:pPr>
        <w:ind w:left="0" w:firstLine="0"/>
        <w:jc w:val="both"/>
        <w:rPr>
          <w:szCs w:val="22"/>
        </w:rPr>
      </w:pPr>
      <w:r>
        <w:rPr>
          <w:szCs w:val="22"/>
        </w:rPr>
        <w:t>U</w:t>
      </w:r>
      <w:r w:rsidR="00FB6E17" w:rsidRPr="00532F83">
        <w:rPr>
          <w:szCs w:val="22"/>
        </w:rPr>
        <w:t>chováva</w:t>
      </w:r>
      <w:r>
        <w:rPr>
          <w:szCs w:val="22"/>
        </w:rPr>
        <w:t>jte</w:t>
      </w:r>
      <w:r w:rsidR="00FB6E17" w:rsidRPr="00532F83">
        <w:rPr>
          <w:szCs w:val="22"/>
        </w:rPr>
        <w:t xml:space="preserve"> pri teplote </w:t>
      </w:r>
      <w:r>
        <w:rPr>
          <w:szCs w:val="22"/>
        </w:rPr>
        <w:t>neprevyšujúcej</w:t>
      </w:r>
      <w:r w:rsidRPr="00532F83">
        <w:rPr>
          <w:szCs w:val="22"/>
        </w:rPr>
        <w:t xml:space="preserve"> </w:t>
      </w:r>
      <w:r w:rsidR="00FB6E17" w:rsidRPr="00532F83">
        <w:rPr>
          <w:szCs w:val="22"/>
        </w:rPr>
        <w:t>25 °C</w:t>
      </w:r>
      <w:r>
        <w:rPr>
          <w:szCs w:val="22"/>
        </w:rPr>
        <w:t>.</w:t>
      </w:r>
    </w:p>
    <w:p w14:paraId="3D24BF19" w14:textId="03E322AD" w:rsidR="00FB6E17" w:rsidRPr="00532F83" w:rsidRDefault="00E313B4" w:rsidP="00E313B4">
      <w:pPr>
        <w:ind w:left="0" w:firstLine="0"/>
        <w:jc w:val="both"/>
        <w:rPr>
          <w:szCs w:val="22"/>
        </w:rPr>
      </w:pPr>
      <w:r>
        <w:rPr>
          <w:szCs w:val="22"/>
        </w:rPr>
        <w:t xml:space="preserve">Uchovávajte v škatuľke na ochranu </w:t>
      </w:r>
      <w:r w:rsidR="00FB6E17" w:rsidRPr="00532F83">
        <w:rPr>
          <w:szCs w:val="22"/>
        </w:rPr>
        <w:t xml:space="preserve">pred svetlom. </w:t>
      </w:r>
    </w:p>
    <w:p w14:paraId="45C408F5" w14:textId="7A462856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Medzi aplikáciami sa </w:t>
      </w:r>
      <w:r w:rsidR="00E313B4">
        <w:rPr>
          <w:szCs w:val="22"/>
        </w:rPr>
        <w:t xml:space="preserve">má </w:t>
      </w:r>
      <w:r w:rsidRPr="00532F83">
        <w:rPr>
          <w:szCs w:val="22"/>
        </w:rPr>
        <w:t xml:space="preserve">fľaštička udržiavať hore dnom v škatuľke, </w:t>
      </w:r>
      <w:r w:rsidR="00E313B4">
        <w:rPr>
          <w:szCs w:val="22"/>
        </w:rPr>
        <w:t xml:space="preserve">čo </w:t>
      </w:r>
      <w:r w:rsidRPr="00532F83">
        <w:rPr>
          <w:szCs w:val="22"/>
        </w:rPr>
        <w:t>uľahčí instiláciu.</w:t>
      </w:r>
    </w:p>
    <w:p w14:paraId="0C9887E8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52A28E25" w14:textId="2943C4C5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6.5</w:t>
      </w:r>
      <w:r w:rsidRPr="00532F83">
        <w:rPr>
          <w:b/>
          <w:szCs w:val="22"/>
        </w:rPr>
        <w:tab/>
      </w:r>
      <w:r w:rsidR="00E313B4" w:rsidRPr="003021DE">
        <w:rPr>
          <w:b/>
          <w:szCs w:val="22"/>
        </w:rPr>
        <w:t>Druh obalu a obsah balenia</w:t>
      </w:r>
    </w:p>
    <w:p w14:paraId="494D9740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04835094" w14:textId="2CB6958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>Priehľadná fľaštička (LDPE), uzáver so závitom (HDPE)</w:t>
      </w:r>
      <w:r w:rsidR="00E313B4">
        <w:rPr>
          <w:szCs w:val="22"/>
        </w:rPr>
        <w:t>.</w:t>
      </w:r>
    </w:p>
    <w:p w14:paraId="3CB6F836" w14:textId="77777777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10 g"/>
        </w:smartTagPr>
        <w:r w:rsidRPr="00532F83">
          <w:rPr>
            <w:szCs w:val="22"/>
          </w:rPr>
          <w:t>10 g</w:t>
        </w:r>
      </w:smartTag>
      <w:r w:rsidRPr="00532F83">
        <w:rPr>
          <w:szCs w:val="22"/>
        </w:rPr>
        <w:t xml:space="preserve"> </w:t>
      </w:r>
    </w:p>
    <w:p w14:paraId="525CFD2B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54693462" w14:textId="6CE78D92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6.6</w:t>
      </w:r>
      <w:r w:rsidRPr="00532F83">
        <w:rPr>
          <w:b/>
          <w:szCs w:val="22"/>
        </w:rPr>
        <w:tab/>
      </w:r>
      <w:r w:rsidR="00E313B4" w:rsidRPr="00B13F68">
        <w:rPr>
          <w:b/>
          <w:bCs/>
          <w:noProof/>
        </w:rPr>
        <w:t>Špeciálne opatrenia na likvidáciu</w:t>
      </w:r>
      <w:r w:rsidR="00E313B4" w:rsidRPr="003021DE">
        <w:rPr>
          <w:b/>
          <w:szCs w:val="22"/>
        </w:rPr>
        <w:t xml:space="preserve"> </w:t>
      </w:r>
      <w:r w:rsidR="00E313B4" w:rsidRPr="00B13F68">
        <w:rPr>
          <w:b/>
          <w:bCs/>
          <w:noProof/>
        </w:rPr>
        <w:t>a iné zaobchádzanie s</w:t>
      </w:r>
      <w:r w:rsidR="00E313B4">
        <w:rPr>
          <w:b/>
          <w:bCs/>
          <w:noProof/>
        </w:rPr>
        <w:t> </w:t>
      </w:r>
      <w:r w:rsidR="00E313B4" w:rsidRPr="00B13F68">
        <w:rPr>
          <w:b/>
          <w:bCs/>
          <w:noProof/>
        </w:rPr>
        <w:t>liekom</w:t>
      </w:r>
    </w:p>
    <w:p w14:paraId="738EBD6E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4BED71A2" w14:textId="4AF7BAE4" w:rsidR="00FB6E17" w:rsidRPr="00532F83" w:rsidRDefault="00E313B4" w:rsidP="00E313B4">
      <w:pPr>
        <w:ind w:left="0" w:firstLine="0"/>
        <w:jc w:val="both"/>
        <w:rPr>
          <w:szCs w:val="22"/>
        </w:rPr>
      </w:pPr>
      <w:r>
        <w:rPr>
          <w:szCs w:val="22"/>
        </w:rPr>
        <w:t>Podrobné</w:t>
      </w:r>
      <w:r w:rsidRPr="00532F83">
        <w:rPr>
          <w:szCs w:val="22"/>
        </w:rPr>
        <w:t xml:space="preserve"> </w:t>
      </w:r>
      <w:r w:rsidR="00FB6E17" w:rsidRPr="00532F83">
        <w:rPr>
          <w:szCs w:val="22"/>
        </w:rPr>
        <w:t>inštrukcie sú uvedené v písomnej informácii pre používateľ</w:t>
      </w:r>
      <w:r>
        <w:rPr>
          <w:szCs w:val="22"/>
        </w:rPr>
        <w:t>a</w:t>
      </w:r>
      <w:r w:rsidR="00FB6E17" w:rsidRPr="00532F83">
        <w:rPr>
          <w:szCs w:val="22"/>
        </w:rPr>
        <w:t>.</w:t>
      </w:r>
    </w:p>
    <w:p w14:paraId="6F2D21B3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3172C5AA" w14:textId="77777777" w:rsidR="00D00804" w:rsidRPr="00532F83" w:rsidRDefault="00D00804">
      <w:pPr>
        <w:ind w:left="0" w:firstLine="0"/>
        <w:jc w:val="both"/>
        <w:rPr>
          <w:szCs w:val="22"/>
        </w:rPr>
      </w:pPr>
    </w:p>
    <w:p w14:paraId="1B15EB7E" w14:textId="1CC98DE7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7.</w:t>
      </w:r>
      <w:r w:rsidRPr="00532F83">
        <w:rPr>
          <w:b/>
          <w:szCs w:val="22"/>
        </w:rPr>
        <w:tab/>
        <w:t>DRŽITEĽ ROZHODNUTIA O</w:t>
      </w:r>
      <w:r w:rsidR="005A38DC" w:rsidRPr="0090336E">
        <w:rPr>
          <w:b/>
          <w:szCs w:val="22"/>
        </w:rPr>
        <w:t> </w:t>
      </w:r>
      <w:r w:rsidRPr="00532F83">
        <w:rPr>
          <w:b/>
          <w:szCs w:val="22"/>
        </w:rPr>
        <w:t>REGISTRÁCII</w:t>
      </w:r>
    </w:p>
    <w:p w14:paraId="26E3A6D2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703F0BF1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>SANTEN OY</w:t>
      </w:r>
    </w:p>
    <w:p w14:paraId="3DBA0D3E" w14:textId="77777777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>Niittyhaankatu 20</w:t>
      </w:r>
    </w:p>
    <w:p w14:paraId="0693BD4F" w14:textId="7B559EEC" w:rsidR="00E313B4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>FIN – 33721 Tampere</w:t>
      </w:r>
    </w:p>
    <w:p w14:paraId="259AE48F" w14:textId="1EBEB2EE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>Fínsko</w:t>
      </w:r>
    </w:p>
    <w:p w14:paraId="423EFE0B" w14:textId="77777777" w:rsidR="00FB6E17" w:rsidRPr="00532F83" w:rsidRDefault="00FB6E17">
      <w:pPr>
        <w:ind w:left="0" w:firstLine="0"/>
        <w:jc w:val="both"/>
        <w:rPr>
          <w:szCs w:val="22"/>
        </w:rPr>
      </w:pPr>
    </w:p>
    <w:p w14:paraId="05A4B967" w14:textId="77777777" w:rsidR="00D00804" w:rsidRPr="00532F83" w:rsidRDefault="00D00804">
      <w:pPr>
        <w:ind w:left="0" w:firstLine="0"/>
        <w:jc w:val="both"/>
        <w:rPr>
          <w:szCs w:val="22"/>
        </w:rPr>
      </w:pPr>
    </w:p>
    <w:p w14:paraId="1B6949E2" w14:textId="77777777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8.</w:t>
      </w:r>
      <w:r w:rsidRPr="00532F83">
        <w:rPr>
          <w:b/>
          <w:szCs w:val="22"/>
        </w:rPr>
        <w:tab/>
        <w:t>REGISTRAČNÉ ČÍSLO</w:t>
      </w:r>
    </w:p>
    <w:p w14:paraId="70632732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20DA471F" w14:textId="77777777" w:rsidR="00FB6E17" w:rsidRPr="00532F83" w:rsidRDefault="00FB6E17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>64/0063/04-S</w:t>
      </w:r>
    </w:p>
    <w:p w14:paraId="70E74527" w14:textId="77777777" w:rsidR="00FB6E17" w:rsidRPr="00532F83" w:rsidRDefault="00FB6E17">
      <w:pPr>
        <w:ind w:left="0" w:firstLine="0"/>
        <w:jc w:val="both"/>
        <w:rPr>
          <w:b/>
          <w:szCs w:val="22"/>
        </w:rPr>
      </w:pPr>
    </w:p>
    <w:p w14:paraId="7354E1A6" w14:textId="77777777" w:rsidR="00D00804" w:rsidRPr="00532F83" w:rsidRDefault="00D00804">
      <w:pPr>
        <w:ind w:left="0" w:firstLine="0"/>
        <w:jc w:val="both"/>
        <w:rPr>
          <w:b/>
          <w:szCs w:val="22"/>
        </w:rPr>
      </w:pPr>
    </w:p>
    <w:p w14:paraId="1A61A082" w14:textId="4B1F7142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9.</w:t>
      </w:r>
      <w:r w:rsidRPr="00532F83">
        <w:rPr>
          <w:b/>
          <w:szCs w:val="22"/>
        </w:rPr>
        <w:tab/>
        <w:t xml:space="preserve">DÁTUM </w:t>
      </w:r>
      <w:r w:rsidR="00E313B4" w:rsidRPr="003021DE">
        <w:rPr>
          <w:b/>
          <w:szCs w:val="22"/>
        </w:rPr>
        <w:t>PRVEJ</w:t>
      </w:r>
      <w:r w:rsidR="00E313B4" w:rsidRPr="00E313B4">
        <w:rPr>
          <w:b/>
          <w:szCs w:val="22"/>
        </w:rPr>
        <w:t xml:space="preserve"> </w:t>
      </w:r>
      <w:r w:rsidRPr="00532F83">
        <w:rPr>
          <w:b/>
          <w:szCs w:val="22"/>
        </w:rPr>
        <w:t>REGISTRÁCIE/</w:t>
      </w:r>
      <w:r w:rsidRPr="00532F83">
        <w:rPr>
          <w:b/>
          <w:noProof/>
          <w:szCs w:val="22"/>
        </w:rPr>
        <w:t>PREDĹŽENIA REGISTRÁCIE</w:t>
      </w:r>
      <w:r w:rsidRPr="00532F83">
        <w:rPr>
          <w:b/>
          <w:szCs w:val="22"/>
        </w:rPr>
        <w:t xml:space="preserve"> </w:t>
      </w:r>
    </w:p>
    <w:p w14:paraId="4B860B0F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66C39D70" w14:textId="647EF7E4" w:rsidR="00FB6E17" w:rsidRPr="00532F83" w:rsidRDefault="009F5889" w:rsidP="00E313B4">
      <w:pPr>
        <w:ind w:left="0" w:firstLine="0"/>
        <w:jc w:val="both"/>
        <w:rPr>
          <w:szCs w:val="22"/>
        </w:rPr>
      </w:pPr>
      <w:r w:rsidRPr="00532F83">
        <w:rPr>
          <w:szCs w:val="22"/>
        </w:rPr>
        <w:t xml:space="preserve">Dátum prvej registrácie: </w:t>
      </w:r>
      <w:r w:rsidR="00F73BF9" w:rsidRPr="00532F83">
        <w:rPr>
          <w:szCs w:val="22"/>
        </w:rPr>
        <w:t>0</w:t>
      </w:r>
      <w:r w:rsidR="00FB6E17" w:rsidRPr="00532F83">
        <w:rPr>
          <w:szCs w:val="22"/>
        </w:rPr>
        <w:t>5.</w:t>
      </w:r>
      <w:r w:rsidR="00532F83">
        <w:rPr>
          <w:szCs w:val="22"/>
        </w:rPr>
        <w:t xml:space="preserve"> </w:t>
      </w:r>
      <w:r w:rsidR="00656B7C">
        <w:rPr>
          <w:szCs w:val="22"/>
        </w:rPr>
        <w:t>apríla</w:t>
      </w:r>
      <w:r w:rsidR="00532F83">
        <w:rPr>
          <w:szCs w:val="22"/>
        </w:rPr>
        <w:t xml:space="preserve"> </w:t>
      </w:r>
      <w:r w:rsidR="00FB6E17" w:rsidRPr="00532F83">
        <w:rPr>
          <w:szCs w:val="22"/>
        </w:rPr>
        <w:t>2004</w:t>
      </w:r>
    </w:p>
    <w:p w14:paraId="797BD123" w14:textId="75F8E128" w:rsidR="009F5889" w:rsidRPr="00532F83" w:rsidRDefault="009F5889">
      <w:pPr>
        <w:ind w:left="0" w:firstLine="0"/>
        <w:jc w:val="both"/>
        <w:rPr>
          <w:szCs w:val="22"/>
        </w:rPr>
      </w:pPr>
      <w:r w:rsidRPr="00532F83">
        <w:rPr>
          <w:szCs w:val="22"/>
        </w:rPr>
        <w:t>Dátum posledného predĺženia</w:t>
      </w:r>
      <w:r w:rsidR="00E313B4">
        <w:rPr>
          <w:szCs w:val="22"/>
        </w:rPr>
        <w:t xml:space="preserve"> </w:t>
      </w:r>
      <w:r w:rsidR="00E313B4" w:rsidRPr="00B13F68">
        <w:rPr>
          <w:noProof/>
        </w:rPr>
        <w:t>registr</w:t>
      </w:r>
      <w:r w:rsidR="00E313B4" w:rsidRPr="003021DE">
        <w:rPr>
          <w:noProof/>
        </w:rPr>
        <w:t>ácie</w:t>
      </w:r>
      <w:r w:rsidRPr="00532F83">
        <w:rPr>
          <w:szCs w:val="22"/>
        </w:rPr>
        <w:t xml:space="preserve">: </w:t>
      </w:r>
      <w:r w:rsidR="00656B7C">
        <w:rPr>
          <w:szCs w:val="22"/>
        </w:rPr>
        <w:t>17</w:t>
      </w:r>
      <w:r w:rsidRPr="00532F83">
        <w:rPr>
          <w:szCs w:val="22"/>
        </w:rPr>
        <w:t>.</w:t>
      </w:r>
      <w:r w:rsidR="00532F83">
        <w:rPr>
          <w:szCs w:val="22"/>
        </w:rPr>
        <w:t xml:space="preserve"> </w:t>
      </w:r>
      <w:r w:rsidR="00656B7C">
        <w:rPr>
          <w:szCs w:val="22"/>
        </w:rPr>
        <w:t xml:space="preserve">decembra </w:t>
      </w:r>
      <w:r w:rsidRPr="00532F83">
        <w:rPr>
          <w:szCs w:val="22"/>
        </w:rPr>
        <w:t>200</w:t>
      </w:r>
      <w:r w:rsidR="00656B7C">
        <w:rPr>
          <w:szCs w:val="22"/>
        </w:rPr>
        <w:t>8</w:t>
      </w:r>
    </w:p>
    <w:p w14:paraId="1E132ACC" w14:textId="77777777" w:rsidR="00FB6E17" w:rsidRPr="00532F83" w:rsidRDefault="00FB6E17">
      <w:pPr>
        <w:ind w:left="0" w:firstLine="0"/>
        <w:jc w:val="both"/>
        <w:rPr>
          <w:b/>
          <w:szCs w:val="22"/>
        </w:rPr>
      </w:pPr>
    </w:p>
    <w:p w14:paraId="605D89FB" w14:textId="77777777" w:rsidR="00D00804" w:rsidRPr="00532F83" w:rsidRDefault="00D00804">
      <w:pPr>
        <w:ind w:left="0" w:firstLine="0"/>
        <w:jc w:val="both"/>
        <w:rPr>
          <w:b/>
          <w:szCs w:val="22"/>
        </w:rPr>
      </w:pPr>
    </w:p>
    <w:p w14:paraId="7F835306" w14:textId="640A4871" w:rsidR="00FB6E17" w:rsidRPr="0090336E" w:rsidRDefault="00FB6E17" w:rsidP="00532F83">
      <w:pPr>
        <w:tabs>
          <w:tab w:val="left" w:pos="567"/>
        </w:tabs>
        <w:ind w:left="0" w:firstLine="0"/>
        <w:jc w:val="both"/>
        <w:rPr>
          <w:b/>
          <w:szCs w:val="22"/>
        </w:rPr>
      </w:pPr>
      <w:r w:rsidRPr="00532F83">
        <w:rPr>
          <w:b/>
          <w:szCs w:val="22"/>
        </w:rPr>
        <w:t>10.</w:t>
      </w:r>
      <w:r w:rsidRPr="00532F83">
        <w:rPr>
          <w:b/>
          <w:szCs w:val="22"/>
        </w:rPr>
        <w:tab/>
        <w:t>DÁTUM REVÍZIE TEXTU</w:t>
      </w:r>
    </w:p>
    <w:p w14:paraId="3C27521E" w14:textId="77777777" w:rsidR="005A38DC" w:rsidRPr="00532F83" w:rsidRDefault="005A38DC" w:rsidP="0090336E">
      <w:pPr>
        <w:ind w:left="0" w:firstLine="0"/>
        <w:jc w:val="both"/>
        <w:rPr>
          <w:b/>
          <w:szCs w:val="22"/>
        </w:rPr>
      </w:pPr>
    </w:p>
    <w:p w14:paraId="7C1A1817" w14:textId="7C69FA9E" w:rsidR="00FB6E17" w:rsidRPr="00532F83" w:rsidRDefault="00656B7C" w:rsidP="00E313B4">
      <w:pPr>
        <w:ind w:left="0" w:firstLine="0"/>
        <w:jc w:val="both"/>
        <w:rPr>
          <w:szCs w:val="22"/>
        </w:rPr>
      </w:pPr>
      <w:r>
        <w:rPr>
          <w:szCs w:val="22"/>
        </w:rPr>
        <w:t>11/</w:t>
      </w:r>
      <w:r w:rsidR="009F5889" w:rsidRPr="00532F83">
        <w:rPr>
          <w:szCs w:val="22"/>
        </w:rPr>
        <w:t xml:space="preserve"> 2017</w:t>
      </w:r>
    </w:p>
    <w:p w14:paraId="101B25EA" w14:textId="77777777" w:rsidR="00FB6E17" w:rsidRPr="00532F83" w:rsidRDefault="00FB6E17">
      <w:pPr>
        <w:ind w:left="0" w:firstLine="0"/>
        <w:jc w:val="both"/>
        <w:rPr>
          <w:szCs w:val="22"/>
        </w:rPr>
      </w:pPr>
      <w:r w:rsidRPr="00532F83">
        <w:rPr>
          <w:szCs w:val="22"/>
        </w:rPr>
        <w:tab/>
      </w:r>
      <w:bookmarkStart w:id="0" w:name="_GoBack"/>
      <w:bookmarkEnd w:id="0"/>
    </w:p>
    <w:p w14:paraId="7C8A49B6" w14:textId="77777777" w:rsidR="00FB6E17" w:rsidRPr="0090336E" w:rsidRDefault="00FB6E17">
      <w:pPr>
        <w:ind w:firstLine="0"/>
        <w:rPr>
          <w:szCs w:val="22"/>
        </w:rPr>
      </w:pPr>
    </w:p>
    <w:p w14:paraId="48A2856B" w14:textId="77777777" w:rsidR="00FB6E17" w:rsidRPr="0090336E" w:rsidRDefault="00FB6E17" w:rsidP="00532F83">
      <w:pPr>
        <w:ind w:firstLine="0"/>
        <w:rPr>
          <w:szCs w:val="22"/>
        </w:rPr>
      </w:pPr>
    </w:p>
    <w:sectPr w:rsidR="00FB6E17" w:rsidRPr="0090336E" w:rsidSect="00B9371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10FD1" w14:textId="77777777" w:rsidR="0090336E" w:rsidRDefault="0090336E" w:rsidP="0090336E">
      <w:r>
        <w:separator/>
      </w:r>
    </w:p>
  </w:endnote>
  <w:endnote w:type="continuationSeparator" w:id="0">
    <w:p w14:paraId="482E33CA" w14:textId="77777777" w:rsidR="0090336E" w:rsidRDefault="0090336E" w:rsidP="0090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530973"/>
      <w:docPartObj>
        <w:docPartGallery w:val="Page Numbers (Bottom of Page)"/>
        <w:docPartUnique/>
      </w:docPartObj>
    </w:sdtPr>
    <w:sdtEndPr/>
    <w:sdtContent>
      <w:p w14:paraId="5B6E7455" w14:textId="213774F7" w:rsidR="0090336E" w:rsidRDefault="009033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83">
          <w:rPr>
            <w:noProof/>
          </w:rPr>
          <w:t>2</w:t>
        </w:r>
        <w:r>
          <w:fldChar w:fldCharType="end"/>
        </w:r>
      </w:p>
    </w:sdtContent>
  </w:sdt>
  <w:p w14:paraId="28A41E7F" w14:textId="77777777" w:rsidR="0090336E" w:rsidRDefault="009033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B4ADB" w14:textId="77777777" w:rsidR="0090336E" w:rsidRDefault="0090336E" w:rsidP="0090336E">
      <w:r>
        <w:separator/>
      </w:r>
    </w:p>
  </w:footnote>
  <w:footnote w:type="continuationSeparator" w:id="0">
    <w:p w14:paraId="00A78B9F" w14:textId="77777777" w:rsidR="0090336E" w:rsidRDefault="0090336E" w:rsidP="0090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7AE7"/>
    <w:multiLevelType w:val="hybridMultilevel"/>
    <w:tmpl w:val="216C6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B1671"/>
    <w:multiLevelType w:val="hybridMultilevel"/>
    <w:tmpl w:val="E9A02C8E"/>
    <w:lvl w:ilvl="0" w:tplc="BDBAF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revisionView w:formatting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66"/>
    <w:rsid w:val="00015C66"/>
    <w:rsid w:val="00015F88"/>
    <w:rsid w:val="00017368"/>
    <w:rsid w:val="00036FCC"/>
    <w:rsid w:val="00037CDF"/>
    <w:rsid w:val="00083545"/>
    <w:rsid w:val="000D6D40"/>
    <w:rsid w:val="00114922"/>
    <w:rsid w:val="00116F63"/>
    <w:rsid w:val="0017678F"/>
    <w:rsid w:val="001A17E3"/>
    <w:rsid w:val="001A7947"/>
    <w:rsid w:val="001C406B"/>
    <w:rsid w:val="00221519"/>
    <w:rsid w:val="00250CF1"/>
    <w:rsid w:val="002B3DA1"/>
    <w:rsid w:val="00311AD3"/>
    <w:rsid w:val="003830D9"/>
    <w:rsid w:val="003A4F67"/>
    <w:rsid w:val="003F71ED"/>
    <w:rsid w:val="00437470"/>
    <w:rsid w:val="0049273C"/>
    <w:rsid w:val="00493BD8"/>
    <w:rsid w:val="004B62E1"/>
    <w:rsid w:val="00532F83"/>
    <w:rsid w:val="00551957"/>
    <w:rsid w:val="00554632"/>
    <w:rsid w:val="005A38DC"/>
    <w:rsid w:val="006266F5"/>
    <w:rsid w:val="00632B1D"/>
    <w:rsid w:val="00656B7C"/>
    <w:rsid w:val="00665D1B"/>
    <w:rsid w:val="006917B7"/>
    <w:rsid w:val="00701C81"/>
    <w:rsid w:val="007038F5"/>
    <w:rsid w:val="00736F30"/>
    <w:rsid w:val="0077386F"/>
    <w:rsid w:val="008117FA"/>
    <w:rsid w:val="008140D7"/>
    <w:rsid w:val="00841DE0"/>
    <w:rsid w:val="0088670E"/>
    <w:rsid w:val="008B58EC"/>
    <w:rsid w:val="0090336E"/>
    <w:rsid w:val="00935100"/>
    <w:rsid w:val="009941CB"/>
    <w:rsid w:val="0099596C"/>
    <w:rsid w:val="009977D8"/>
    <w:rsid w:val="009F5889"/>
    <w:rsid w:val="00A92C21"/>
    <w:rsid w:val="00A92EF4"/>
    <w:rsid w:val="00AA65A2"/>
    <w:rsid w:val="00AC6EB4"/>
    <w:rsid w:val="00AD63BD"/>
    <w:rsid w:val="00B842D2"/>
    <w:rsid w:val="00B93714"/>
    <w:rsid w:val="00C30890"/>
    <w:rsid w:val="00C459EE"/>
    <w:rsid w:val="00C46133"/>
    <w:rsid w:val="00C507E3"/>
    <w:rsid w:val="00C543D6"/>
    <w:rsid w:val="00CA55E1"/>
    <w:rsid w:val="00CF2743"/>
    <w:rsid w:val="00D00804"/>
    <w:rsid w:val="00D0398A"/>
    <w:rsid w:val="00D24AC0"/>
    <w:rsid w:val="00D77097"/>
    <w:rsid w:val="00D91FE0"/>
    <w:rsid w:val="00DE45E7"/>
    <w:rsid w:val="00E0521E"/>
    <w:rsid w:val="00E248E1"/>
    <w:rsid w:val="00E313B4"/>
    <w:rsid w:val="00E92255"/>
    <w:rsid w:val="00EC6C19"/>
    <w:rsid w:val="00ED5FF8"/>
    <w:rsid w:val="00F00A32"/>
    <w:rsid w:val="00F042C8"/>
    <w:rsid w:val="00F225C6"/>
    <w:rsid w:val="00F73BF9"/>
    <w:rsid w:val="00F83197"/>
    <w:rsid w:val="00FB5215"/>
    <w:rsid w:val="00FB6E17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DEA9FF"/>
  <w15:docId w15:val="{1691C974-8DD9-453B-97C4-EA6AAA8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5C6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AD63BD"/>
    <w:pPr>
      <w:keepNext/>
      <w:ind w:left="0" w:firstLine="0"/>
      <w:outlineLvl w:val="1"/>
    </w:pPr>
    <w:rPr>
      <w:b/>
      <w:sz w:val="24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FB6E17"/>
    <w:pPr>
      <w:keepNext/>
      <w:ind w:left="0" w:firstLine="0"/>
      <w:jc w:val="both"/>
      <w:outlineLvl w:val="2"/>
    </w:pPr>
    <w:rPr>
      <w:b/>
      <w:bCs/>
      <w:sz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FB6E17"/>
    <w:pPr>
      <w:keepNext/>
      <w:ind w:left="0" w:firstLine="0"/>
      <w:jc w:val="both"/>
      <w:outlineLvl w:val="3"/>
    </w:pPr>
    <w:rPr>
      <w:sz w:val="28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B6E17"/>
    <w:pPr>
      <w:keepNext/>
      <w:ind w:left="0" w:firstLine="0"/>
      <w:jc w:val="both"/>
      <w:outlineLvl w:val="5"/>
    </w:pPr>
    <w:rPr>
      <w:b/>
      <w:bCs/>
      <w:i/>
      <w:iC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D63BD"/>
    <w:rPr>
      <w:rFonts w:ascii="Times New Roman" w:eastAsia="Times New Roman" w:hAnsi="Times New Roman" w:cs="Times New Roman"/>
      <w:b/>
      <w:sz w:val="24"/>
      <w:szCs w:val="20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11A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AD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AD3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A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AD3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1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1AD3"/>
    <w:rPr>
      <w:rFonts w:ascii="Tahoma" w:eastAsia="Times New Roman" w:hAnsi="Tahoma" w:cs="Tahoma"/>
      <w:sz w:val="16"/>
      <w:szCs w:val="16"/>
      <w:lang w:val="sk-SK" w:eastAsia="sk-SK"/>
    </w:rPr>
  </w:style>
  <w:style w:type="paragraph" w:styleId="Nzov">
    <w:name w:val="Title"/>
    <w:basedOn w:val="Normlny"/>
    <w:link w:val="NzovChar"/>
    <w:qFormat/>
    <w:rsid w:val="00FB6E17"/>
    <w:pPr>
      <w:ind w:left="0" w:firstLine="0"/>
      <w:jc w:val="center"/>
    </w:pPr>
    <w:rPr>
      <w:b/>
      <w:sz w:val="30"/>
      <w:szCs w:val="20"/>
      <w:lang w:val="en-US" w:eastAsia="cs-CZ"/>
    </w:rPr>
  </w:style>
  <w:style w:type="character" w:customStyle="1" w:styleId="NzovChar">
    <w:name w:val="Názov Char"/>
    <w:basedOn w:val="Predvolenpsmoodseku"/>
    <w:link w:val="Nzov"/>
    <w:rsid w:val="00FB6E17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FB6E17"/>
    <w:pPr>
      <w:tabs>
        <w:tab w:val="center" w:pos="4536"/>
        <w:tab w:val="right" w:pos="9072"/>
      </w:tabs>
      <w:ind w:left="0" w:firstLine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FB6E17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Zkladntext">
    <w:name w:val="Body Text"/>
    <w:basedOn w:val="Normlny"/>
    <w:link w:val="ZkladntextChar"/>
    <w:rsid w:val="00FB6E17"/>
    <w:pPr>
      <w:ind w:left="0" w:firstLine="0"/>
      <w:jc w:val="both"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B6E17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3Char">
    <w:name w:val="Nadpis 3 Char"/>
    <w:basedOn w:val="Predvolenpsmoodseku"/>
    <w:link w:val="Nadpis3"/>
    <w:rsid w:val="00FB6E17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FB6E17"/>
    <w:rPr>
      <w:rFonts w:ascii="Times New Roman" w:eastAsia="Times New Roman" w:hAnsi="Times New Roman" w:cs="Times New Roman"/>
      <w:sz w:val="28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FB6E17"/>
    <w:rPr>
      <w:rFonts w:ascii="Times New Roman" w:eastAsia="Times New Roman" w:hAnsi="Times New Roman" w:cs="Times New Roman"/>
      <w:b/>
      <w:bCs/>
      <w:i/>
      <w:iCs/>
      <w:sz w:val="24"/>
      <w:szCs w:val="24"/>
      <w:lang w:val="sk-SK" w:eastAsia="cs-CZ"/>
    </w:rPr>
  </w:style>
  <w:style w:type="paragraph" w:styleId="Zkladntext2">
    <w:name w:val="Body Text 2"/>
    <w:basedOn w:val="Normlny"/>
    <w:link w:val="Zkladntext2Char"/>
    <w:rsid w:val="00FB6E17"/>
    <w:pPr>
      <w:ind w:left="0" w:right="-2" w:firstLine="0"/>
    </w:pPr>
    <w:rPr>
      <w:rFonts w:ascii="Arial" w:hAnsi="Arial" w:cs="Arial"/>
      <w:bCs/>
      <w:sz w:val="20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B6E17"/>
    <w:rPr>
      <w:rFonts w:ascii="Arial" w:eastAsia="Times New Roman" w:hAnsi="Arial" w:cs="Arial"/>
      <w:bCs/>
      <w:sz w:val="20"/>
      <w:lang w:val="sk-SK" w:eastAsia="cs-CZ"/>
    </w:rPr>
  </w:style>
  <w:style w:type="paragraph" w:styleId="Zkladntext3">
    <w:name w:val="Body Text 3"/>
    <w:basedOn w:val="Normlny"/>
    <w:link w:val="Zkladntext3Char"/>
    <w:rsid w:val="00FB6E17"/>
    <w:pPr>
      <w:ind w:left="0" w:firstLine="0"/>
    </w:pPr>
    <w:rPr>
      <w:rFonts w:ascii="Arial" w:hAnsi="Arial" w:cs="Arial"/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B6E17"/>
    <w:rPr>
      <w:rFonts w:ascii="Arial" w:eastAsia="Times New Roman" w:hAnsi="Arial" w:cs="Arial"/>
      <w:sz w:val="20"/>
      <w:szCs w:val="24"/>
      <w:lang w:val="sk-SK" w:eastAsia="cs-CZ"/>
    </w:rPr>
  </w:style>
  <w:style w:type="paragraph" w:styleId="Hlavika">
    <w:name w:val="header"/>
    <w:basedOn w:val="Normlny"/>
    <w:link w:val="HlavikaChar"/>
    <w:rsid w:val="00FB6E17"/>
    <w:pPr>
      <w:tabs>
        <w:tab w:val="center" w:pos="4153"/>
        <w:tab w:val="right" w:pos="8306"/>
      </w:tabs>
      <w:autoSpaceDE w:val="0"/>
      <w:autoSpaceDN w:val="0"/>
      <w:ind w:left="0" w:firstLine="0"/>
      <w:jc w:val="both"/>
    </w:pPr>
    <w:rPr>
      <w:rFonts w:ascii="Arial" w:hAnsi="Arial" w:cs="Arial"/>
      <w:sz w:val="20"/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FB6E17"/>
    <w:rPr>
      <w:rFonts w:ascii="Arial" w:eastAsia="Times New Roman" w:hAnsi="Arial" w:cs="Arial"/>
      <w:sz w:val="20"/>
      <w:szCs w:val="24"/>
    </w:rPr>
  </w:style>
  <w:style w:type="paragraph" w:styleId="Odsekzoznamu">
    <w:name w:val="List Paragraph"/>
    <w:basedOn w:val="Normlny"/>
    <w:uiPriority w:val="34"/>
    <w:qFormat/>
    <w:rsid w:val="007038F5"/>
    <w:pPr>
      <w:ind w:left="720"/>
      <w:contextualSpacing/>
    </w:pPr>
  </w:style>
  <w:style w:type="paragraph" w:styleId="Revzia">
    <w:name w:val="Revision"/>
    <w:hidden/>
    <w:uiPriority w:val="99"/>
    <w:semiHidden/>
    <w:rsid w:val="00C507E3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customStyle="1" w:styleId="Default">
    <w:name w:val="Default"/>
    <w:rsid w:val="00903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Hypertextovprepojenie">
    <w:name w:val="Hyperlink"/>
    <w:rsid w:val="00903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6C01-F315-485A-94FD-55E30186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Dočolomanská, Petra</dc:creator>
  <cp:lastModifiedBy>Dočolomanská, Petra</cp:lastModifiedBy>
  <cp:revision>2</cp:revision>
  <dcterms:created xsi:type="dcterms:W3CDTF">2017-11-15T15:32:00Z</dcterms:created>
  <dcterms:modified xsi:type="dcterms:W3CDTF">2017-11-15T15:32:00Z</dcterms:modified>
</cp:coreProperties>
</file>