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88" w:rsidRDefault="00843488"/>
    <w:p w:rsidR="00252F75" w:rsidRPr="00A55E82" w:rsidRDefault="00252F75" w:rsidP="00252F75">
      <w:pPr>
        <w:pStyle w:val="CM10"/>
        <w:jc w:val="center"/>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SÚHRN CHARAKTERISTICKÝCH VLASTNOSTÍ LIEKU</w:t>
      </w:r>
    </w:p>
    <w:p w:rsidR="00252F75" w:rsidRPr="00A55E82" w:rsidRDefault="00252F75" w:rsidP="00252F75">
      <w:pPr>
        <w:pStyle w:val="CM10"/>
        <w:jc w:val="center"/>
        <w:rPr>
          <w:rFonts w:ascii="Times New Roman" w:hAnsi="Times New Roman" w:cs="Times New Roman"/>
          <w:b/>
          <w:bCs/>
          <w:color w:val="000000"/>
          <w:sz w:val="22"/>
          <w:szCs w:val="22"/>
        </w:rPr>
      </w:pPr>
    </w:p>
    <w:p w:rsidR="00252F75" w:rsidRPr="00A55E82" w:rsidRDefault="00252F75" w:rsidP="00252F75">
      <w:pPr>
        <w:pStyle w:val="CM10"/>
        <w:jc w:val="center"/>
        <w:rPr>
          <w:rFonts w:ascii="Times New Roman" w:hAnsi="Times New Roman" w:cs="Times New Roman"/>
          <w:color w:val="000000"/>
          <w:sz w:val="22"/>
          <w:szCs w:val="22"/>
        </w:rPr>
      </w:pPr>
    </w:p>
    <w:p w:rsidR="00252F75" w:rsidRPr="00A55E82" w:rsidRDefault="00252F75" w:rsidP="00252F75">
      <w:pPr>
        <w:pStyle w:val="CM10"/>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1.</w:t>
      </w:r>
      <w:bookmarkStart w:id="0" w:name="_GoBack"/>
      <w:bookmarkEnd w:id="0"/>
      <w:r w:rsidRPr="00A55E82">
        <w:rPr>
          <w:rFonts w:ascii="Times New Roman" w:hAnsi="Times New Roman" w:cs="Times New Roman"/>
          <w:b/>
          <w:bCs/>
          <w:color w:val="000000"/>
          <w:sz w:val="22"/>
          <w:szCs w:val="22"/>
        </w:rPr>
        <w:tab/>
        <w:t>NÁZOV LIEKU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BETOPTIC</w:t>
      </w:r>
    </w:p>
    <w:p w:rsidR="00252F75" w:rsidRDefault="00252F75" w:rsidP="00252F75">
      <w:pPr>
        <w:pStyle w:val="CM11"/>
        <w:rPr>
          <w:rFonts w:ascii="Times New Roman" w:hAnsi="Times New Roman" w:cs="Times New Roman"/>
          <w:color w:val="000000"/>
          <w:sz w:val="22"/>
          <w:szCs w:val="22"/>
        </w:rPr>
      </w:pPr>
      <w:r>
        <w:rPr>
          <w:rFonts w:ascii="Times New Roman" w:hAnsi="Times New Roman" w:cs="Times New Roman"/>
          <w:color w:val="000000"/>
          <w:sz w:val="22"/>
          <w:szCs w:val="22"/>
        </w:rPr>
        <w:t>5 mg/ml</w:t>
      </w:r>
    </w:p>
    <w:p w:rsidR="00252F75" w:rsidRPr="00EA4C4F" w:rsidRDefault="00252F75" w:rsidP="00252F75">
      <w:pPr>
        <w:pStyle w:val="Default"/>
        <w:rPr>
          <w:rFonts w:ascii="Times New Roman" w:hAnsi="Times New Roman" w:cs="Times New Roman"/>
          <w:sz w:val="22"/>
          <w:szCs w:val="22"/>
        </w:rPr>
      </w:pPr>
      <w:r w:rsidRPr="00D029F3">
        <w:rPr>
          <w:rFonts w:ascii="Times New Roman" w:hAnsi="Times New Roman" w:cs="Times New Roman"/>
          <w:sz w:val="22"/>
          <w:szCs w:val="22"/>
        </w:rPr>
        <w:t>očná roztoková instilácia</w:t>
      </w:r>
    </w:p>
    <w:p w:rsidR="00252F75" w:rsidRDefault="00252F75" w:rsidP="00252F75">
      <w:pPr>
        <w:pStyle w:val="CM11"/>
        <w:rPr>
          <w:rFonts w:ascii="Times New Roman" w:hAnsi="Times New Roman" w:cs="Times New Roman"/>
          <w:color w:val="000000"/>
          <w:sz w:val="22"/>
          <w:szCs w:val="22"/>
        </w:rPr>
      </w:pPr>
    </w:p>
    <w:p w:rsidR="00252F75" w:rsidRPr="00D029F3" w:rsidRDefault="00252F75" w:rsidP="00252F75">
      <w:pPr>
        <w:pStyle w:val="Default"/>
        <w:rPr>
          <w:rFonts w:ascii="Times New Roman" w:hAnsi="Times New Roman" w:cs="Times New Roman"/>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2.</w:t>
      </w:r>
      <w:r w:rsidRPr="00A55E82">
        <w:rPr>
          <w:rFonts w:ascii="Times New Roman" w:hAnsi="Times New Roman" w:cs="Times New Roman"/>
          <w:b/>
          <w:bCs/>
          <w:color w:val="000000"/>
          <w:sz w:val="22"/>
          <w:szCs w:val="22"/>
        </w:rPr>
        <w:tab/>
        <w:t>KVALITATÍVNE A KVANTITATÍVNE ZLOŽENIE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D029F3">
        <w:rPr>
          <w:rFonts w:ascii="Times New Roman" w:hAnsi="Times New Roman" w:cs="Times New Roman"/>
          <w:b/>
          <w:color w:val="000000"/>
          <w:sz w:val="22"/>
          <w:szCs w:val="22"/>
          <w:u w:val="single"/>
        </w:rPr>
        <w:t>1 ml Betopticu očnej roztokovej instilácie</w:t>
      </w:r>
      <w:r w:rsidRPr="00A55E82">
        <w:rPr>
          <w:rFonts w:ascii="Times New Roman" w:hAnsi="Times New Roman" w:cs="Times New Roman"/>
          <w:color w:val="000000"/>
          <w:sz w:val="22"/>
          <w:szCs w:val="22"/>
        </w:rPr>
        <w:t xml:space="preserve"> obsahuje</w:t>
      </w:r>
      <w:r>
        <w:rPr>
          <w:rFonts w:ascii="Times New Roman" w:hAnsi="Times New Roman" w:cs="Times New Roman"/>
          <w:color w:val="000000"/>
          <w:sz w:val="22"/>
          <w:szCs w:val="22"/>
        </w:rPr>
        <w:t xml:space="preserve"> </w:t>
      </w:r>
      <w:r w:rsidRPr="00A55E82">
        <w:rPr>
          <w:rFonts w:ascii="Times New Roman" w:hAnsi="Times New Roman" w:cs="Times New Roman"/>
          <w:color w:val="000000"/>
          <w:sz w:val="22"/>
          <w:szCs w:val="22"/>
        </w:rPr>
        <w:t>5 mg betaxolóliumchloridu.</w:t>
      </w:r>
    </w:p>
    <w:p w:rsidR="00252F75" w:rsidRPr="00D029F3"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D029F3">
        <w:rPr>
          <w:rFonts w:ascii="Times New Roman" w:hAnsi="Times New Roman" w:cs="Times New Roman"/>
          <w:sz w:val="22"/>
          <w:szCs w:val="22"/>
          <w:u w:val="single"/>
        </w:rPr>
        <w:t>Pomocná látka so známym účinkom:</w:t>
      </w:r>
      <w:r w:rsidRPr="00D029F3">
        <w:rPr>
          <w:rFonts w:ascii="Times New Roman" w:hAnsi="Times New Roman" w:cs="Times New Roman"/>
          <w:sz w:val="22"/>
          <w:szCs w:val="22"/>
        </w:rPr>
        <w:t xml:space="preserve"> benzalkóniumchlorid</w:t>
      </w:r>
      <w:r w:rsidRPr="00A55E82">
        <w:rPr>
          <w:rFonts w:ascii="Times New Roman" w:hAnsi="Times New Roman" w:cs="Times New Roman"/>
          <w:sz w:val="22"/>
          <w:szCs w:val="22"/>
        </w:rPr>
        <w:t xml:space="preserve"> 0,1 mg/ml</w:t>
      </w:r>
      <w:r w:rsidRPr="00D029F3">
        <w:rPr>
          <w:rFonts w:ascii="Times New Roman" w:hAnsi="Times New Roman" w:cs="Times New Roman"/>
          <w:sz w:val="22"/>
          <w:szCs w:val="22"/>
        </w:rPr>
        <w:t>.</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Úplný zoznam pomocných látok, pozri časť 6.1.</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3.</w:t>
      </w:r>
      <w:r w:rsidRPr="00A55E82">
        <w:rPr>
          <w:rFonts w:ascii="Times New Roman" w:hAnsi="Times New Roman" w:cs="Times New Roman"/>
          <w:b/>
          <w:bCs/>
          <w:color w:val="000000"/>
          <w:sz w:val="22"/>
          <w:szCs w:val="22"/>
        </w:rPr>
        <w:tab/>
        <w:t>LIEKOVÁ FORMA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Očná roztoková instilácia.</w:t>
      </w:r>
    </w:p>
    <w:p w:rsidR="00252F75" w:rsidRPr="00A55E82" w:rsidRDefault="00252F75" w:rsidP="00252F75">
      <w:pPr>
        <w:pStyle w:val="Default"/>
        <w:rPr>
          <w:rFonts w:ascii="Times New Roman" w:hAnsi="Times New Roman" w:cs="Times New Roman"/>
          <w:sz w:val="22"/>
          <w:szCs w:val="22"/>
        </w:rPr>
      </w:pPr>
      <w:r w:rsidRPr="00DF7085">
        <w:rPr>
          <w:rFonts w:ascii="Times New Roman" w:hAnsi="Times New Roman" w:cs="Times New Roman"/>
          <w:sz w:val="22"/>
          <w:szCs w:val="22"/>
        </w:rPr>
        <w:t>Číry bezfarebný</w:t>
      </w:r>
      <w:r w:rsidRPr="00A55E82">
        <w:rPr>
          <w:rFonts w:ascii="Times New Roman" w:hAnsi="Times New Roman" w:cs="Times New Roman"/>
          <w:sz w:val="22"/>
          <w:szCs w:val="22"/>
        </w:rPr>
        <w:t xml:space="preserve"> sterilný roztok s viacerými dávkami na topické očné použitie. Je to izotonický roztok s pH 7,4.</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CM11"/>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4.</w:t>
      </w:r>
      <w:r w:rsidRPr="00A55E82">
        <w:rPr>
          <w:rFonts w:ascii="Times New Roman" w:hAnsi="Times New Roman" w:cs="Times New Roman"/>
          <w:b/>
          <w:bCs/>
          <w:color w:val="000000"/>
          <w:sz w:val="22"/>
          <w:szCs w:val="22"/>
        </w:rPr>
        <w:tab/>
        <w:t>KLINICKÉ ÚDAJE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4.1</w:t>
      </w:r>
      <w:r w:rsidRPr="00A55E82">
        <w:rPr>
          <w:rFonts w:ascii="Times New Roman" w:hAnsi="Times New Roman" w:cs="Times New Roman"/>
          <w:b/>
          <w:bCs/>
          <w:color w:val="000000"/>
          <w:sz w:val="22"/>
          <w:szCs w:val="22"/>
        </w:rPr>
        <w:tab/>
        <w:t>Terapeutické indikácie</w:t>
      </w:r>
    </w:p>
    <w:p w:rsidR="00252F75" w:rsidRPr="00A55E82" w:rsidRDefault="00252F75" w:rsidP="00252F75">
      <w:pPr>
        <w:pStyle w:val="CM11"/>
        <w:rPr>
          <w:rFonts w:ascii="Times New Roman" w:hAnsi="Times New Roman" w:cs="Times New Roman"/>
          <w:b/>
          <w:bCs/>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Cs/>
          <w:color w:val="000000"/>
          <w:sz w:val="22"/>
          <w:szCs w:val="22"/>
        </w:rPr>
        <w:t>Betoptic</w:t>
      </w:r>
      <w:r w:rsidRPr="00A55E82">
        <w:rPr>
          <w:rFonts w:ascii="Times New Roman" w:hAnsi="Times New Roman" w:cs="Times New Roman"/>
          <w:b/>
          <w:bCs/>
          <w:color w:val="000000"/>
          <w:sz w:val="22"/>
          <w:szCs w:val="22"/>
        </w:rPr>
        <w:t xml:space="preserve"> </w:t>
      </w:r>
      <w:r w:rsidRPr="00A55E82">
        <w:rPr>
          <w:rFonts w:ascii="Times New Roman" w:hAnsi="Times New Roman" w:cs="Times New Roman"/>
          <w:color w:val="000000"/>
          <w:sz w:val="22"/>
          <w:szCs w:val="22"/>
        </w:rPr>
        <w:t>znižuje vnútroočný tlak a je indikovaný u pacientov s chronickým glaukómom s otvoreným uhlom alebo s očnou hypertenziou. Môže sa používať samotný alebo v kombinácii s ďalšími liekmi znižujúcimi vnútroočný tlak.</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4.2</w:t>
      </w:r>
      <w:r w:rsidRPr="00A55E82">
        <w:rPr>
          <w:rFonts w:ascii="Times New Roman" w:hAnsi="Times New Roman" w:cs="Times New Roman"/>
          <w:b/>
          <w:bCs/>
          <w:color w:val="000000"/>
          <w:sz w:val="22"/>
          <w:szCs w:val="22"/>
        </w:rPr>
        <w:tab/>
        <w:t>Dávkovanie a spôsob podávania</w:t>
      </w:r>
    </w:p>
    <w:p w:rsidR="00252F75" w:rsidRPr="00EC5985" w:rsidRDefault="00252F75" w:rsidP="00252F75">
      <w:pPr>
        <w:pStyle w:val="Default"/>
        <w:rPr>
          <w:rFonts w:ascii="Times New Roman" w:hAnsi="Times New Roman" w:cs="Times New Roman"/>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Odporúčaná dávka je jedna kvapka </w:t>
      </w:r>
      <w:r w:rsidRPr="00A55E82">
        <w:rPr>
          <w:rFonts w:ascii="Times New Roman" w:hAnsi="Times New Roman" w:cs="Times New Roman"/>
          <w:bCs/>
          <w:color w:val="000000"/>
          <w:sz w:val="22"/>
          <w:szCs w:val="22"/>
        </w:rPr>
        <w:t>Betopticu</w:t>
      </w:r>
      <w:r w:rsidRPr="00A55E82">
        <w:rPr>
          <w:rFonts w:ascii="Times New Roman" w:hAnsi="Times New Roman" w:cs="Times New Roman"/>
          <w:color w:val="000000"/>
          <w:sz w:val="22"/>
          <w:szCs w:val="22"/>
        </w:rPr>
        <w:t xml:space="preserve"> do postihnutého oka (očí) dvakrát denne. U niektorých pacientov môže trvať niekoľko týždňov, pokým sa stabilizuje odozva na zníženie vnútroočného tlaku.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Klinické sledovanie má zahŕňať vyšetrenie vnútroočného tlaku v priebehu prvého mesiaca liečby </w:t>
      </w:r>
      <w:r w:rsidRPr="00A55E82">
        <w:rPr>
          <w:rFonts w:ascii="Times New Roman" w:hAnsi="Times New Roman" w:cs="Times New Roman"/>
          <w:bCs/>
          <w:color w:val="000000"/>
          <w:sz w:val="22"/>
          <w:szCs w:val="22"/>
        </w:rPr>
        <w:t>Betoptic</w:t>
      </w:r>
      <w:r w:rsidRPr="00A55E82">
        <w:rPr>
          <w:rFonts w:ascii="Times New Roman" w:hAnsi="Times New Roman" w:cs="Times New Roman"/>
          <w:color w:val="000000"/>
          <w:sz w:val="22"/>
          <w:szCs w:val="22"/>
        </w:rPr>
        <w:t>om. Potom má byť vnútroočný tlak vyšetrovaný podľa posúdenia ošetrujúceho lekára.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Ak sa vnútroočný tlak pacienta primerane neupraví použitím betaxololu, môže sa začať súbežná liečba s pilokarpínom a ďalšími miotikami a/alebo adrenalínom a/alebo inhibítormi karboanhydrázy. Prípravok použitý na doplnkovú liečbu sa má používať minimálne jeden týždeň.</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Systémovú absorpciu je možné znížiť použitím nazolakrimálnej oklúzie alebo zatvorením očných viečok po aplikácii po dobu 2 minút. Toto opatrenie vedie k zníženiu systémových nežiaducich účinkov a k zvýšeniu lokálneho účinku liečiva.</w:t>
      </w:r>
    </w:p>
    <w:p w:rsidR="00252F75" w:rsidRDefault="00252F75" w:rsidP="00252F75">
      <w:pPr>
        <w:pStyle w:val="CM11"/>
        <w:rPr>
          <w:rFonts w:ascii="Times New Roman" w:hAnsi="Times New Roman" w:cs="Times New Roman"/>
          <w:color w:val="000000"/>
          <w:sz w:val="22"/>
          <w:szCs w:val="22"/>
        </w:rPr>
      </w:pPr>
    </w:p>
    <w:p w:rsidR="00252F75" w:rsidRPr="00D029F3" w:rsidRDefault="00252F75" w:rsidP="00252F75">
      <w:pPr>
        <w:pStyle w:val="Default"/>
        <w:rPr>
          <w:rFonts w:ascii="Times New Roman" w:hAnsi="Times New Roman" w:cs="Times New Roman"/>
          <w:i/>
        </w:rPr>
      </w:pPr>
      <w:r w:rsidRPr="00D029F3">
        <w:rPr>
          <w:rFonts w:ascii="Times New Roman" w:hAnsi="Times New Roman" w:cs="Times New Roman"/>
          <w:i/>
        </w:rPr>
        <w:t>Pediatrická populácia</w:t>
      </w:r>
    </w:p>
    <w:p w:rsidR="00252F75" w:rsidRPr="00A55E82" w:rsidRDefault="00252F75" w:rsidP="00252F75">
      <w:pPr>
        <w:pStyle w:val="CM5"/>
        <w:spacing w:line="240" w:lineRule="auto"/>
        <w:rPr>
          <w:rFonts w:ascii="Times New Roman" w:hAnsi="Times New Roman" w:cs="Times New Roman"/>
          <w:color w:val="000000"/>
          <w:sz w:val="22"/>
          <w:szCs w:val="22"/>
        </w:rPr>
      </w:pPr>
      <w:r w:rsidRPr="00A55E82">
        <w:rPr>
          <w:rFonts w:ascii="Times New Roman" w:hAnsi="Times New Roman" w:cs="Times New Roman"/>
          <w:color w:val="000000"/>
          <w:sz w:val="22"/>
          <w:szCs w:val="22"/>
        </w:rPr>
        <w:t>Bezpečnosť a účinnosť u detí sa neskúmala.</w:t>
      </w:r>
    </w:p>
    <w:p w:rsidR="00252F75" w:rsidRDefault="00252F75" w:rsidP="00252F75">
      <w:pPr>
        <w:pStyle w:val="Default"/>
        <w:rPr>
          <w:rFonts w:ascii="Times New Roman" w:hAnsi="Times New Roman" w:cs="Times New Roman"/>
          <w:sz w:val="22"/>
          <w:szCs w:val="22"/>
        </w:rPr>
      </w:pPr>
    </w:p>
    <w:p w:rsidR="00252F75" w:rsidRPr="00D029F3" w:rsidRDefault="00252F75" w:rsidP="00252F75">
      <w:pPr>
        <w:pStyle w:val="Default"/>
        <w:keepNext/>
        <w:keepLines/>
        <w:rPr>
          <w:rFonts w:ascii="Times New Roman" w:hAnsi="Times New Roman" w:cs="Times New Roman"/>
          <w:sz w:val="22"/>
          <w:szCs w:val="22"/>
          <w:u w:val="single"/>
        </w:rPr>
      </w:pPr>
      <w:r w:rsidRPr="00D029F3">
        <w:rPr>
          <w:rFonts w:ascii="Times New Roman" w:hAnsi="Times New Roman" w:cs="Times New Roman"/>
          <w:sz w:val="22"/>
          <w:szCs w:val="22"/>
          <w:u w:val="single"/>
        </w:rPr>
        <w:lastRenderedPageBreak/>
        <w:t>Spôsob podávania</w:t>
      </w:r>
    </w:p>
    <w:p w:rsidR="00252F75" w:rsidRDefault="00252F75" w:rsidP="00252F75">
      <w:pPr>
        <w:pStyle w:val="Default"/>
        <w:keepNext/>
        <w:keepLines/>
        <w:rPr>
          <w:rFonts w:ascii="Times New Roman" w:hAnsi="Times New Roman" w:cs="Times New Roman"/>
          <w:sz w:val="22"/>
          <w:szCs w:val="22"/>
        </w:rPr>
      </w:pPr>
      <w:r w:rsidRPr="00EC5985">
        <w:rPr>
          <w:rFonts w:ascii="Times New Roman" w:hAnsi="Times New Roman" w:cs="Times New Roman"/>
          <w:sz w:val="22"/>
          <w:szCs w:val="22"/>
        </w:rPr>
        <w:t>Iba na očné použitie.</w:t>
      </w:r>
    </w:p>
    <w:p w:rsidR="00252F75" w:rsidRDefault="00252F75" w:rsidP="00252F75">
      <w:pPr>
        <w:pStyle w:val="Default"/>
        <w:keepNext/>
        <w:keepLines/>
        <w:rPr>
          <w:rFonts w:ascii="Times New Roman" w:hAnsi="Times New Roman" w:cs="Times New Roman"/>
          <w:sz w:val="22"/>
          <w:szCs w:val="22"/>
        </w:rPr>
      </w:pPr>
      <w:r w:rsidRPr="00EC5985">
        <w:rPr>
          <w:rFonts w:ascii="Times New Roman" w:hAnsi="Times New Roman" w:cs="Times New Roman"/>
          <w:sz w:val="22"/>
          <w:szCs w:val="22"/>
        </w:rPr>
        <w:t>Ak je poistný krúžok po odstránení uzáveru uvoľnený, je potrebné ho odstrániť pred použitím lieku.</w:t>
      </w:r>
    </w:p>
    <w:p w:rsidR="00252F75" w:rsidRPr="00EC5985" w:rsidRDefault="00252F75" w:rsidP="00252F75">
      <w:pPr>
        <w:pStyle w:val="CM11"/>
        <w:keepNext/>
        <w:keepLines/>
        <w:rPr>
          <w:rFonts w:ascii="Times New Roman" w:hAnsi="Times New Roman" w:cs="Times New Roman"/>
          <w:color w:val="000000"/>
          <w:sz w:val="22"/>
          <w:szCs w:val="22"/>
        </w:rPr>
      </w:pPr>
      <w:r w:rsidRPr="001B5B73">
        <w:rPr>
          <w:rFonts w:ascii="Times New Roman" w:hAnsi="Times New Roman" w:cs="Times New Roman"/>
          <w:sz w:val="22"/>
          <w:szCs w:val="22"/>
        </w:rPr>
        <w:t>Ak sa používa viac ako jeden topický oftalmologický liek, lieky je potrebné podávať s časovým odstupom najmenej 5 minút. Očné masti sa majú podávať ako posledné.</w:t>
      </w:r>
    </w:p>
    <w:p w:rsidR="00252F75" w:rsidRPr="00A55E82" w:rsidRDefault="00252F75" w:rsidP="00252F75">
      <w:pPr>
        <w:pStyle w:val="CM5"/>
        <w:spacing w:line="240" w:lineRule="auto"/>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4.3</w:t>
      </w:r>
      <w:r w:rsidRPr="00A55E82">
        <w:rPr>
          <w:rFonts w:ascii="Times New Roman" w:hAnsi="Times New Roman" w:cs="Times New Roman"/>
          <w:b/>
          <w:bCs/>
          <w:color w:val="000000"/>
          <w:sz w:val="22"/>
          <w:szCs w:val="22"/>
        </w:rPr>
        <w:tab/>
        <w:t>Kontraindikácie</w:t>
      </w:r>
    </w:p>
    <w:p w:rsidR="00252F75" w:rsidRPr="00A55E82" w:rsidRDefault="00252F75" w:rsidP="00252F75">
      <w:pPr>
        <w:pStyle w:val="CM11"/>
        <w:rPr>
          <w:rFonts w:ascii="Times New Roman" w:hAnsi="Times New Roman" w:cs="Times New Roman"/>
          <w:color w:val="000000"/>
          <w:sz w:val="22"/>
          <w:szCs w:val="22"/>
        </w:rPr>
      </w:pPr>
    </w:p>
    <w:p w:rsidR="00252F75" w:rsidRPr="00DF7085" w:rsidRDefault="00252F75" w:rsidP="00252F75">
      <w:pPr>
        <w:pStyle w:val="CM11"/>
        <w:numPr>
          <w:ilvl w:val="0"/>
          <w:numId w:val="2"/>
        </w:numPr>
        <w:ind w:left="567" w:hanging="567"/>
        <w:rPr>
          <w:rFonts w:ascii="Times New Roman" w:hAnsi="Times New Roman" w:cs="Times New Roman"/>
          <w:color w:val="000000"/>
          <w:sz w:val="22"/>
          <w:szCs w:val="22"/>
        </w:rPr>
      </w:pPr>
      <w:r w:rsidRPr="00A55E82">
        <w:rPr>
          <w:rFonts w:ascii="Times New Roman" w:hAnsi="Times New Roman" w:cs="Times New Roman"/>
          <w:color w:val="000000"/>
          <w:sz w:val="22"/>
          <w:szCs w:val="22"/>
        </w:rPr>
        <w:t>Precitlivenosť na liečivo</w:t>
      </w:r>
      <w:r>
        <w:rPr>
          <w:rFonts w:ascii="Times New Roman" w:hAnsi="Times New Roman" w:cs="Times New Roman"/>
          <w:color w:val="000000"/>
          <w:sz w:val="22"/>
          <w:szCs w:val="22"/>
        </w:rPr>
        <w:t>, betablokátory</w:t>
      </w:r>
      <w:r w:rsidRPr="00A55E82">
        <w:rPr>
          <w:rFonts w:ascii="Times New Roman" w:hAnsi="Times New Roman" w:cs="Times New Roman"/>
          <w:color w:val="000000"/>
          <w:sz w:val="22"/>
          <w:szCs w:val="22"/>
        </w:rPr>
        <w:t xml:space="preserve"> alebo na ktorúkoľvek z pomocných látok </w:t>
      </w:r>
      <w:r w:rsidRPr="00DF7085">
        <w:rPr>
          <w:rFonts w:ascii="Times New Roman" w:hAnsi="Times New Roman" w:cs="Times New Roman"/>
          <w:color w:val="000000"/>
          <w:sz w:val="22"/>
          <w:szCs w:val="22"/>
        </w:rPr>
        <w:t>uvedených v časti 6.1.</w:t>
      </w:r>
    </w:p>
    <w:p w:rsidR="00252F75" w:rsidRPr="00DF7085" w:rsidRDefault="00252F75" w:rsidP="00252F75">
      <w:pPr>
        <w:pStyle w:val="CM11"/>
        <w:numPr>
          <w:ilvl w:val="0"/>
          <w:numId w:val="2"/>
        </w:numPr>
        <w:ind w:left="567" w:hanging="567"/>
        <w:rPr>
          <w:rFonts w:ascii="Times New Roman" w:hAnsi="Times New Roman" w:cs="Times New Roman"/>
          <w:color w:val="000000"/>
          <w:sz w:val="22"/>
          <w:szCs w:val="22"/>
        </w:rPr>
      </w:pPr>
      <w:r w:rsidRPr="00DF7085">
        <w:rPr>
          <w:rFonts w:ascii="Times New Roman" w:hAnsi="Times New Roman" w:cs="Times New Roman"/>
          <w:color w:val="000000"/>
          <w:sz w:val="22"/>
          <w:szCs w:val="22"/>
        </w:rPr>
        <w:t>Reaktívne ochorenie dýchacích ciest vrátane ťažkej formy astma bronchiale alebo ťažká forma astma bronchiale v anamnéze, ťažká forma obštrukčnej choroby pľúc.</w:t>
      </w:r>
    </w:p>
    <w:p w:rsidR="00252F75" w:rsidRPr="00A55E82" w:rsidRDefault="00252F75" w:rsidP="00252F75">
      <w:pPr>
        <w:pStyle w:val="CM11"/>
        <w:numPr>
          <w:ilvl w:val="0"/>
          <w:numId w:val="2"/>
        </w:numPr>
        <w:ind w:left="567" w:hanging="567"/>
        <w:rPr>
          <w:rFonts w:ascii="Times New Roman" w:hAnsi="Times New Roman" w:cs="Times New Roman"/>
          <w:color w:val="000000"/>
          <w:sz w:val="22"/>
          <w:szCs w:val="22"/>
        </w:rPr>
      </w:pPr>
      <w:r w:rsidRPr="00DF7085">
        <w:rPr>
          <w:rFonts w:ascii="Times New Roman" w:hAnsi="Times New Roman" w:cs="Times New Roman"/>
          <w:b/>
          <w:bCs/>
          <w:color w:val="000000"/>
          <w:sz w:val="22"/>
          <w:szCs w:val="22"/>
        </w:rPr>
        <w:t>S</w:t>
      </w:r>
      <w:r w:rsidRPr="00DF7085">
        <w:rPr>
          <w:rFonts w:ascii="Times New Roman" w:hAnsi="Times New Roman" w:cs="Times New Roman"/>
          <w:color w:val="000000"/>
          <w:sz w:val="22"/>
          <w:szCs w:val="22"/>
        </w:rPr>
        <w:t xml:space="preserve">ínusová bradykardia, </w:t>
      </w:r>
      <w:r w:rsidRPr="00FC2EFD">
        <w:rPr>
          <w:rFonts w:ascii="Times New Roman" w:hAnsi="Times New Roman" w:cs="Times New Roman"/>
          <w:color w:val="000000"/>
          <w:sz w:val="22"/>
          <w:szCs w:val="22"/>
        </w:rPr>
        <w:t>sick sinus syndróm sinoatriálna blokáda,</w:t>
      </w:r>
      <w:r w:rsidRPr="00DF7085">
        <w:rPr>
          <w:rFonts w:ascii="Times New Roman" w:hAnsi="Times New Roman" w:cs="Times New Roman"/>
          <w:color w:val="000000"/>
          <w:sz w:val="22"/>
          <w:szCs w:val="22"/>
        </w:rPr>
        <w:t xml:space="preserve"> atrioventrikulárny blok druhého alebo tretieho stupňa </w:t>
      </w:r>
      <w:r w:rsidRPr="00EC5985">
        <w:rPr>
          <w:rFonts w:ascii="Times New Roman" w:hAnsi="Times New Roman" w:cs="Times New Roman"/>
          <w:color w:val="000000"/>
          <w:sz w:val="22"/>
          <w:szCs w:val="22"/>
        </w:rPr>
        <w:t>nekontrolovaný kardiostimulátorom</w:t>
      </w:r>
      <w:r w:rsidRPr="00DF7085">
        <w:rPr>
          <w:rFonts w:ascii="Times New Roman" w:hAnsi="Times New Roman" w:cs="Times New Roman"/>
          <w:color w:val="000000"/>
          <w:sz w:val="22"/>
          <w:szCs w:val="22"/>
        </w:rPr>
        <w:t xml:space="preserve">, </w:t>
      </w:r>
      <w:r w:rsidRPr="00A55E82">
        <w:rPr>
          <w:rFonts w:ascii="Times New Roman" w:hAnsi="Times New Roman" w:cs="Times New Roman"/>
          <w:color w:val="000000"/>
          <w:sz w:val="22"/>
          <w:szCs w:val="22"/>
        </w:rPr>
        <w:t>zjavné zlyhanie srdca alebo kardiogénny šok.</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DF7085">
        <w:rPr>
          <w:rFonts w:ascii="Times New Roman" w:hAnsi="Times New Roman" w:cs="Times New Roman"/>
          <w:color w:val="000000"/>
          <w:sz w:val="22"/>
          <w:szCs w:val="22"/>
        </w:rPr>
        <w:t>Je potrebné zachovávať opatrnosť pri obmedzenej pulmonálnej funkcii (pozri časť 4.8).</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4.4</w:t>
      </w:r>
      <w:r w:rsidRPr="00A55E82">
        <w:rPr>
          <w:rFonts w:ascii="Times New Roman" w:hAnsi="Times New Roman" w:cs="Times New Roman"/>
          <w:b/>
          <w:bCs/>
          <w:color w:val="000000"/>
          <w:sz w:val="22"/>
          <w:szCs w:val="22"/>
        </w:rPr>
        <w:tab/>
        <w:t>Osobitné upozornenia a opatrenia pri používaní</w:t>
      </w:r>
    </w:p>
    <w:p w:rsidR="00252F75" w:rsidRPr="00A55E82" w:rsidRDefault="00252F75" w:rsidP="00252F75">
      <w:pPr>
        <w:pStyle w:val="CM11"/>
        <w:rPr>
          <w:rFonts w:ascii="Times New Roman" w:hAnsi="Times New Roman" w:cs="Times New Roman"/>
          <w:color w:val="000000"/>
          <w:sz w:val="22"/>
          <w:szCs w:val="22"/>
        </w:rPr>
      </w:pPr>
    </w:p>
    <w:p w:rsidR="00252F75" w:rsidRPr="00D029F3" w:rsidRDefault="00252F75" w:rsidP="00252F75">
      <w:pPr>
        <w:pStyle w:val="CM11"/>
        <w:rPr>
          <w:rFonts w:ascii="Times New Roman" w:hAnsi="Times New Roman" w:cs="Times New Roman"/>
          <w:b/>
          <w:color w:val="000000"/>
          <w:sz w:val="22"/>
          <w:szCs w:val="22"/>
        </w:rPr>
      </w:pPr>
      <w:r w:rsidRPr="00A55E82">
        <w:rPr>
          <w:rFonts w:ascii="Times New Roman" w:hAnsi="Times New Roman" w:cs="Times New Roman"/>
          <w:b/>
          <w:color w:val="000000"/>
          <w:sz w:val="22"/>
          <w:szCs w:val="22"/>
        </w:rPr>
        <w:t>Všeobecné</w:t>
      </w: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Rovnako ako ostatné lokálne aplikované látky používané v oftalmológii, i betaxolol je absorbovaný systémovo. Vzhľadom k beta-adrenergnej zložke, betaxololu, sa môžu vyskytnúť rovnaké typy kardiovaskulárnych, pľúcnych a iných nežiaducich reakcií ako u systémových beta-adrenergných blokátorov. </w:t>
      </w:r>
      <w:r w:rsidRPr="00DF7085">
        <w:rPr>
          <w:rFonts w:ascii="Times New Roman" w:hAnsi="Times New Roman" w:cs="Times New Roman"/>
          <w:color w:val="000000"/>
          <w:sz w:val="22"/>
          <w:szCs w:val="22"/>
        </w:rPr>
        <w:t>Incidencia systémových účinkov v súvislosti s lokálnym očným podaním je nižšia ako u systémového podania. Opatrenia k zníženiu systémovej absorpcie, pozri časť 4.2.</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b/>
          <w:sz w:val="22"/>
          <w:szCs w:val="22"/>
        </w:rPr>
        <w:t>Poruchy srdca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U pacientov s kardiovaskulárnymi ochoreniami (napr. koronárne ochorenie srdca, Prinzmetalova angína a zlyhanie srdca) a s hypotenziou má byť liečba betablokátormi kriticky posúdená a má byť zvážená liečba inými liečivami. U pacientov s kardiovaskulárnymi ochoreniami sa majú sledovať prejavy zhoršenia týchto ochorení a výskyt nežiaducich reakcií.</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DF7085">
        <w:rPr>
          <w:rFonts w:ascii="Times New Roman" w:hAnsi="Times New Roman" w:cs="Times New Roman"/>
          <w:sz w:val="22"/>
          <w:szCs w:val="22"/>
        </w:rPr>
        <w:t>Kvôli nežiaducemu vplyvu betablokátorov na prevodný čas sa pacientom s AV blokom 1. stupňa majú podávať betablokátory vždy s opatrnosťou.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color w:val="000000"/>
          <w:sz w:val="22"/>
          <w:szCs w:val="22"/>
        </w:rPr>
        <w:t>Poruchy ciev</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Pacienti s ťažkou periférnou cirkulačnou poruchou/ochorením (t.j. ťažké formy Raynaudovho ochorenia alebo Raynaudovho syndrómu) majú byť liečení s opatrnosťou.</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b/>
          <w:sz w:val="22"/>
          <w:szCs w:val="22"/>
        </w:rPr>
        <w:t>Respiračné poruchy</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U pacientov s astmou boli po podaní niektorých očných betablokátorov hlásené respiračné nežiaduce reakcie vrátane úmrtia pri bronchospazme.</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DF7085">
        <w:rPr>
          <w:rFonts w:ascii="Times New Roman" w:hAnsi="Times New Roman" w:cs="Times New Roman"/>
          <w:sz w:val="22"/>
          <w:szCs w:val="22"/>
        </w:rPr>
        <w:t>Pacienti s miernou/stredne ťažkou formou bronchiálnej astmy, s miernou alebo stredne ťažkou formou bronchiálnej astmy v anamnéze a s miernou alebo stredne ťažkou formou chro</w:t>
      </w:r>
      <w:r w:rsidRPr="006E4738">
        <w:rPr>
          <w:rFonts w:ascii="Times New Roman" w:hAnsi="Times New Roman" w:cs="Times New Roman"/>
          <w:sz w:val="22"/>
          <w:szCs w:val="22"/>
        </w:rPr>
        <w:t>nickej obštrukčnej choroby pľúc majú byť liečení s opatrnosťou.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Hypoglykémia/diabetes</w:t>
      </w: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Pacientom so spontánnou hypoglykémiou alebo pacientom s labilným diabetom sa majú podávať betablokátory s opatrnosťou, pretože môžu maskovať znaky a príznaky akútnej hypoglykémie.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keepNext/>
        <w:keepLines/>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Tyreotoxikóza</w:t>
      </w:r>
    </w:p>
    <w:p w:rsidR="00252F75" w:rsidRPr="00A55E82" w:rsidRDefault="00252F75" w:rsidP="00252F75">
      <w:pPr>
        <w:pStyle w:val="CM11"/>
        <w:keepNext/>
        <w:keepLines/>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Betablokátory môžu tiež maskovať znaky tyreotoxikózy. </w:t>
      </w:r>
      <w:r w:rsidRPr="00DF7085">
        <w:rPr>
          <w:rFonts w:ascii="Times New Roman" w:hAnsi="Times New Roman" w:cs="Times New Roman"/>
          <w:color w:val="000000"/>
          <w:sz w:val="22"/>
          <w:szCs w:val="22"/>
        </w:rPr>
        <w:t>U pacientov s podozrením na rozvoj tyreotoxikózy nesmie byť náhle prerušená liečba beta-adrenergným blokátorom, pretože by t</w:t>
      </w:r>
      <w:r w:rsidRPr="006E4738">
        <w:rPr>
          <w:rFonts w:ascii="Times New Roman" w:hAnsi="Times New Roman" w:cs="Times New Roman"/>
          <w:color w:val="000000"/>
          <w:sz w:val="22"/>
          <w:szCs w:val="22"/>
        </w:rPr>
        <w:t>o mohlo viesť k vzniku tyreotoxickej krízy.</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b/>
          <w:sz w:val="22"/>
          <w:szCs w:val="22"/>
        </w:rPr>
        <w:t>Svalová slabosť</w:t>
      </w:r>
    </w:p>
    <w:p w:rsidR="00252F75" w:rsidRPr="00D029F3"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 xml:space="preserve">Bolo hlásené, že beta-adrenergné blokátory zosilňujú svalovú slabosť v súlade s určitými </w:t>
      </w:r>
      <w:r w:rsidRPr="00A55E82">
        <w:rPr>
          <w:rFonts w:ascii="Times New Roman" w:hAnsi="Times New Roman" w:cs="Times New Roman"/>
          <w:sz w:val="22"/>
          <w:szCs w:val="22"/>
        </w:rPr>
        <w:lastRenderedPageBreak/>
        <w:t>myastenickými príznakmi (napr. diplopia, ptóza a celková slabosť).</w:t>
      </w:r>
    </w:p>
    <w:p w:rsidR="00252F75" w:rsidRPr="00A55E82" w:rsidRDefault="00252F75" w:rsidP="00252F75">
      <w:pPr>
        <w:pStyle w:val="Default"/>
        <w:rPr>
          <w:rFonts w:ascii="Times New Roman" w:hAnsi="Times New Roman" w:cs="Times New Roman"/>
          <w:sz w:val="22"/>
          <w:szCs w:val="22"/>
        </w:rPr>
      </w:pPr>
    </w:p>
    <w:p w:rsidR="00252F75" w:rsidRPr="00C8576D" w:rsidRDefault="00252F75" w:rsidP="00252F75">
      <w:pPr>
        <w:pStyle w:val="CM11"/>
        <w:rPr>
          <w:rFonts w:ascii="Times New Roman" w:hAnsi="Times New Roman" w:cs="Times New Roman"/>
          <w:color w:val="000000"/>
          <w:sz w:val="22"/>
          <w:szCs w:val="22"/>
        </w:rPr>
      </w:pPr>
      <w:r w:rsidRPr="00E11617">
        <w:rPr>
          <w:rFonts w:ascii="Times New Roman" w:hAnsi="Times New Roman" w:cs="Times New Roman"/>
          <w:b/>
          <w:color w:val="000000"/>
          <w:sz w:val="22"/>
          <w:szCs w:val="22"/>
        </w:rPr>
        <w:t>Korneálne poruchy</w:t>
      </w:r>
    </w:p>
    <w:p w:rsidR="00252F75" w:rsidRPr="00327EC5" w:rsidRDefault="00252F75" w:rsidP="00252F75">
      <w:pPr>
        <w:pStyle w:val="Default"/>
        <w:rPr>
          <w:rFonts w:ascii="Times New Roman" w:hAnsi="Times New Roman" w:cs="Times New Roman"/>
          <w:sz w:val="22"/>
          <w:szCs w:val="22"/>
        </w:rPr>
      </w:pPr>
      <w:r w:rsidRPr="00327EC5">
        <w:rPr>
          <w:rFonts w:ascii="Times New Roman" w:hAnsi="Times New Roman" w:cs="Times New Roman"/>
          <w:sz w:val="22"/>
          <w:szCs w:val="22"/>
        </w:rPr>
        <w:t>Očné betablokátory môžu vyvolať suchosť očí. Pacienti s korneálnym ochorením majú byť liečení s opatrnosťou.</w:t>
      </w:r>
    </w:p>
    <w:p w:rsidR="00252F75" w:rsidRPr="00215C07" w:rsidRDefault="00252F75" w:rsidP="00252F75">
      <w:pPr>
        <w:pStyle w:val="CM11"/>
        <w:rPr>
          <w:rFonts w:ascii="Times New Roman" w:hAnsi="Times New Roman" w:cs="Times New Roman"/>
          <w:color w:val="000000"/>
          <w:sz w:val="22"/>
          <w:szCs w:val="22"/>
          <w:highlight w:val="yellow"/>
        </w:rPr>
      </w:pPr>
    </w:p>
    <w:p w:rsidR="00252F75" w:rsidRPr="006E4738" w:rsidRDefault="00252F75" w:rsidP="00252F75">
      <w:pPr>
        <w:pStyle w:val="CM11"/>
        <w:rPr>
          <w:rFonts w:ascii="Times New Roman" w:hAnsi="Times New Roman" w:cs="Times New Roman"/>
          <w:color w:val="000000"/>
          <w:sz w:val="22"/>
          <w:szCs w:val="22"/>
        </w:rPr>
      </w:pPr>
      <w:r w:rsidRPr="006E4738">
        <w:rPr>
          <w:rFonts w:ascii="Times New Roman" w:hAnsi="Times New Roman" w:cs="Times New Roman"/>
          <w:b/>
          <w:color w:val="000000"/>
          <w:sz w:val="22"/>
          <w:szCs w:val="22"/>
        </w:rPr>
        <w:t>Ďalšie betablokátory</w:t>
      </w:r>
    </w:p>
    <w:p w:rsidR="00252F75" w:rsidRPr="00A55E82" w:rsidRDefault="00252F75" w:rsidP="00252F75">
      <w:pPr>
        <w:pStyle w:val="Default"/>
        <w:rPr>
          <w:rFonts w:ascii="Times New Roman" w:hAnsi="Times New Roman" w:cs="Times New Roman"/>
          <w:sz w:val="22"/>
          <w:szCs w:val="22"/>
        </w:rPr>
      </w:pPr>
      <w:r w:rsidRPr="00C40753">
        <w:rPr>
          <w:rFonts w:ascii="Times New Roman" w:hAnsi="Times New Roman" w:cs="Times New Roman"/>
          <w:sz w:val="22"/>
          <w:szCs w:val="22"/>
        </w:rPr>
        <w:t>Vplyv na vnútroočný tlak alebo známe účinky na systémovú beta-blokádu môžu byť zosilnené v prípade, že sa betaxolol podá pacientom, ktorí už užív</w:t>
      </w:r>
      <w:r w:rsidRPr="005D1B59">
        <w:rPr>
          <w:rFonts w:ascii="Times New Roman" w:hAnsi="Times New Roman" w:cs="Times New Roman"/>
          <w:sz w:val="22"/>
          <w:szCs w:val="22"/>
        </w:rPr>
        <w:t>ajú systémové betablokátory. Klinická odpoveď u týchto pacientov má byť dôkladne sledovaná. Používanie dvoch topických betablokátorov súbežne sa neodporúča (pozri časť 4.5).</w:t>
      </w:r>
    </w:p>
    <w:p w:rsidR="00252F75" w:rsidRPr="00A55E82" w:rsidRDefault="00252F75" w:rsidP="00252F75">
      <w:pPr>
        <w:pStyle w:val="Default"/>
        <w:rPr>
          <w:rFonts w:ascii="Times New Roman" w:hAnsi="Times New Roman" w:cs="Times New Roman"/>
          <w:b/>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b/>
          <w:sz w:val="22"/>
          <w:szCs w:val="22"/>
        </w:rPr>
        <w:t>Anafylaktické reakcie</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Pacienti s atopiou v anamnéze alebo ťažkou formou anafylaktickej reakcie na rôzne alergény v anamnéze, ktorým boli podané betablokátory, môžu byť zvýšene reaktívni pri opakovanom vystavení pôsobeniu týchto alergénov a nemusia odpovedať na obvyklú liečbu anafylaktickej reakcie dávkou adrenalínu.</w:t>
      </w:r>
    </w:p>
    <w:p w:rsidR="00252F75" w:rsidRPr="00A55E82" w:rsidRDefault="00252F75" w:rsidP="00252F75">
      <w:pPr>
        <w:pStyle w:val="CM11"/>
        <w:rPr>
          <w:rFonts w:ascii="Times New Roman" w:hAnsi="Times New Roman" w:cs="Times New Roman"/>
          <w:color w:val="000000"/>
          <w:sz w:val="22"/>
          <w:szCs w:val="22"/>
        </w:rPr>
      </w:pPr>
    </w:p>
    <w:p w:rsidR="00252F75" w:rsidRPr="006E4738" w:rsidRDefault="00252F75" w:rsidP="00252F75">
      <w:pPr>
        <w:pStyle w:val="CM11"/>
        <w:rPr>
          <w:rFonts w:ascii="Times New Roman" w:hAnsi="Times New Roman" w:cs="Times New Roman"/>
          <w:color w:val="000000"/>
          <w:sz w:val="22"/>
          <w:szCs w:val="22"/>
        </w:rPr>
      </w:pPr>
      <w:r w:rsidRPr="006E4738">
        <w:rPr>
          <w:rFonts w:ascii="Times New Roman" w:hAnsi="Times New Roman" w:cs="Times New Roman"/>
          <w:b/>
          <w:color w:val="000000"/>
          <w:sz w:val="22"/>
          <w:szCs w:val="22"/>
        </w:rPr>
        <w:t>Odchlípenie chorioidey</w:t>
      </w:r>
    </w:p>
    <w:p w:rsidR="00252F75" w:rsidRPr="00A55E82" w:rsidRDefault="00252F75" w:rsidP="00252F75">
      <w:pPr>
        <w:pStyle w:val="Default"/>
        <w:rPr>
          <w:rFonts w:ascii="Times New Roman" w:hAnsi="Times New Roman" w:cs="Times New Roman"/>
          <w:sz w:val="22"/>
          <w:szCs w:val="22"/>
        </w:rPr>
      </w:pPr>
      <w:r w:rsidRPr="00C40753">
        <w:rPr>
          <w:rFonts w:ascii="Times New Roman" w:hAnsi="Times New Roman" w:cs="Times New Roman"/>
          <w:sz w:val="22"/>
          <w:szCs w:val="22"/>
        </w:rPr>
        <w:t>Bolo hlásené odchlípenie chorioidey po filtračnom zákroku pri súbežnom podaní liekov potláčajúcich tvorbu komorovej tekutiny (napr. timolol, acetazolamid).</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Chirurgická anestézia</w:t>
      </w: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Očné betablokátory môžu blokovať systémové účinky beta-agonistov, napr. adrenalínu. Anesteziológ má byť informovaný, ak pacient používa betaxolol.</w:t>
      </w:r>
    </w:p>
    <w:p w:rsidR="00252F75" w:rsidRPr="00A55E82" w:rsidRDefault="00252F75" w:rsidP="00252F75">
      <w:pPr>
        <w:pStyle w:val="CM11"/>
        <w:rPr>
          <w:rFonts w:ascii="Times New Roman" w:hAnsi="Times New Roman" w:cs="Times New Roman"/>
          <w:color w:val="000000"/>
          <w:sz w:val="22"/>
          <w:szCs w:val="22"/>
        </w:rPr>
      </w:pPr>
    </w:p>
    <w:p w:rsidR="00252F75" w:rsidRPr="006E4738" w:rsidRDefault="00252F75" w:rsidP="00252F75">
      <w:pPr>
        <w:pStyle w:val="CM5"/>
        <w:spacing w:line="240" w:lineRule="auto"/>
        <w:rPr>
          <w:rFonts w:ascii="Times New Roman" w:hAnsi="Times New Roman" w:cs="Times New Roman"/>
          <w:color w:val="000000"/>
          <w:sz w:val="22"/>
          <w:szCs w:val="22"/>
        </w:rPr>
      </w:pPr>
      <w:r w:rsidRPr="006E4738">
        <w:rPr>
          <w:rFonts w:ascii="Times New Roman" w:hAnsi="Times New Roman" w:cs="Times New Roman"/>
          <w:b/>
          <w:bCs/>
          <w:color w:val="000000"/>
          <w:sz w:val="22"/>
          <w:szCs w:val="22"/>
        </w:rPr>
        <w:t>Očné</w:t>
      </w:r>
    </w:p>
    <w:p w:rsidR="00252F75" w:rsidRPr="00215C07" w:rsidRDefault="00252F75" w:rsidP="00252F75">
      <w:pPr>
        <w:pStyle w:val="CM5"/>
        <w:spacing w:line="240" w:lineRule="auto"/>
        <w:rPr>
          <w:rFonts w:ascii="Times New Roman" w:hAnsi="Times New Roman" w:cs="Times New Roman"/>
          <w:color w:val="000000"/>
          <w:sz w:val="22"/>
          <w:szCs w:val="22"/>
        </w:rPr>
      </w:pPr>
      <w:r w:rsidRPr="00C40753">
        <w:rPr>
          <w:rFonts w:ascii="Times New Roman" w:hAnsi="Times New Roman" w:cs="Times New Roman"/>
          <w:color w:val="000000"/>
          <w:sz w:val="22"/>
          <w:szCs w:val="22"/>
        </w:rPr>
        <w:t>U pacientov s glaukómom s uzavretým uhlom je bezprostredným cieľom liečby znovuotvorenie uhla vplyvom konstrikcie zrenice s miotickým činidlom. Betaxolol má malý alebo ži</w:t>
      </w:r>
      <w:r w:rsidRPr="005D1B59">
        <w:rPr>
          <w:rFonts w:ascii="Times New Roman" w:hAnsi="Times New Roman" w:cs="Times New Roman"/>
          <w:color w:val="000000"/>
          <w:sz w:val="22"/>
          <w:szCs w:val="22"/>
        </w:rPr>
        <w:t xml:space="preserve">adny účinok na zrenicu. Ak sa </w:t>
      </w:r>
      <w:r w:rsidRPr="000A119C">
        <w:rPr>
          <w:rFonts w:ascii="Times New Roman" w:hAnsi="Times New Roman" w:cs="Times New Roman"/>
          <w:bCs/>
          <w:color w:val="000000"/>
          <w:sz w:val="22"/>
          <w:szCs w:val="22"/>
        </w:rPr>
        <w:t>Betoptic</w:t>
      </w:r>
      <w:r w:rsidRPr="00215C07">
        <w:rPr>
          <w:rFonts w:ascii="Times New Roman" w:hAnsi="Times New Roman" w:cs="Times New Roman"/>
          <w:color w:val="000000"/>
          <w:sz w:val="22"/>
          <w:szCs w:val="22"/>
        </w:rPr>
        <w:t xml:space="preserve"> používa na zníženie vnútroočného tlaku pri glaukóme s uzavretým uhlom, má sa používať spolu s miotikom a nie samostatne.</w:t>
      </w:r>
    </w:p>
    <w:p w:rsidR="00252F75" w:rsidRPr="00E9007C" w:rsidRDefault="00252F75" w:rsidP="00252F75">
      <w:pPr>
        <w:pStyle w:val="CM5"/>
        <w:spacing w:line="240" w:lineRule="auto"/>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FC2EFD">
        <w:rPr>
          <w:rFonts w:ascii="Times New Roman" w:hAnsi="Times New Roman" w:cs="Times New Roman"/>
          <w:color w:val="000000"/>
          <w:sz w:val="22"/>
          <w:szCs w:val="22"/>
        </w:rPr>
        <w:t xml:space="preserve">Tak ako pri používaní iných antiglaukomatóznych liekov, u niektorých pacientov sa po predĺženej </w:t>
      </w:r>
      <w:r w:rsidRPr="006E4738">
        <w:rPr>
          <w:rFonts w:ascii="Times New Roman" w:hAnsi="Times New Roman" w:cs="Times New Roman"/>
          <w:color w:val="000000"/>
          <w:sz w:val="22"/>
          <w:szCs w:val="22"/>
        </w:rPr>
        <w:t>liečbe uvádza znížená vnímavosť na</w:t>
      </w:r>
      <w:r w:rsidRPr="006E4738">
        <w:rPr>
          <w:rFonts w:ascii="Times New Roman" w:hAnsi="Times New Roman" w:cs="Times New Roman"/>
          <w:b/>
          <w:bCs/>
          <w:color w:val="000000"/>
          <w:sz w:val="22"/>
          <w:szCs w:val="22"/>
        </w:rPr>
        <w:t xml:space="preserve"> </w:t>
      </w:r>
      <w:r w:rsidRPr="006E4738">
        <w:rPr>
          <w:rFonts w:ascii="Times New Roman" w:hAnsi="Times New Roman" w:cs="Times New Roman"/>
          <w:bCs/>
          <w:color w:val="000000"/>
          <w:sz w:val="22"/>
          <w:szCs w:val="22"/>
        </w:rPr>
        <w:t>Betoptic</w:t>
      </w:r>
      <w:r w:rsidRPr="00C40753">
        <w:rPr>
          <w:rFonts w:ascii="Times New Roman" w:hAnsi="Times New Roman" w:cs="Times New Roman"/>
          <w:bCs/>
          <w:color w:val="000000"/>
          <w:sz w:val="22"/>
          <w:szCs w:val="22"/>
        </w:rPr>
        <w:t>.</w:t>
      </w:r>
      <w:r w:rsidRPr="00C40753">
        <w:rPr>
          <w:rFonts w:ascii="Times New Roman" w:hAnsi="Times New Roman" w:cs="Times New Roman"/>
          <w:b/>
          <w:bCs/>
          <w:color w:val="000000"/>
          <w:sz w:val="22"/>
          <w:szCs w:val="22"/>
        </w:rPr>
        <w:t xml:space="preserve"> </w:t>
      </w:r>
      <w:r w:rsidRPr="00C40753">
        <w:rPr>
          <w:rFonts w:ascii="Times New Roman" w:hAnsi="Times New Roman" w:cs="Times New Roman"/>
          <w:color w:val="000000"/>
          <w:sz w:val="22"/>
          <w:szCs w:val="22"/>
        </w:rPr>
        <w:t>V jednej dlhodobej štúdii, v ktorej sa sledovalo 250 pacientov počas obdobia troch rokov, sa však po počiatočnej stabilizácii nepozoroval závažný rozdiel priemerného vnútroočného tlaku.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b/>
          <w:color w:val="000000"/>
          <w:sz w:val="22"/>
          <w:szCs w:val="22"/>
        </w:rPr>
      </w:pPr>
      <w:r w:rsidRPr="00A55E82">
        <w:rPr>
          <w:rFonts w:ascii="Times New Roman" w:hAnsi="Times New Roman" w:cs="Times New Roman"/>
          <w:b/>
          <w:color w:val="000000"/>
          <w:sz w:val="22"/>
          <w:szCs w:val="22"/>
        </w:rPr>
        <w:t>Kontaktné šošovky</w:t>
      </w: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Betoptic obsahuje benzalkóniumchlorid, ktorý môže vyvolať podráždenie očí a je známe, že vyvoláva zmenu sfarbenia mäkkých kontaktných šošoviek. </w:t>
      </w:r>
      <w:r>
        <w:rPr>
          <w:rFonts w:ascii="Times New Roman" w:hAnsi="Times New Roman" w:cs="Times New Roman"/>
          <w:color w:val="000000"/>
          <w:sz w:val="22"/>
          <w:szCs w:val="22"/>
        </w:rPr>
        <w:t>Je preto potrebné z</w:t>
      </w:r>
      <w:r w:rsidRPr="00A55E82">
        <w:rPr>
          <w:rFonts w:ascii="Times New Roman" w:hAnsi="Times New Roman" w:cs="Times New Roman"/>
          <w:color w:val="000000"/>
          <w:sz w:val="22"/>
          <w:szCs w:val="22"/>
        </w:rPr>
        <w:t>abrá</w:t>
      </w:r>
      <w:r>
        <w:rPr>
          <w:rFonts w:ascii="Times New Roman" w:hAnsi="Times New Roman" w:cs="Times New Roman"/>
          <w:color w:val="000000"/>
          <w:sz w:val="22"/>
          <w:szCs w:val="22"/>
        </w:rPr>
        <w:t>niť</w:t>
      </w:r>
      <w:r w:rsidRPr="00A55E82">
        <w:rPr>
          <w:rFonts w:ascii="Times New Roman" w:hAnsi="Times New Roman" w:cs="Times New Roman"/>
          <w:color w:val="000000"/>
          <w:sz w:val="22"/>
          <w:szCs w:val="22"/>
        </w:rPr>
        <w:t xml:space="preserve"> kontaktu s mäkkými kontaktnými šošovkami. Pacienti musia byť poučení, aby si pred aplikáciou Betopticu vybrali kontaktné šošovky a počkali najmenej 15 minút pred ich opakovaným vložením do oka.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4.5</w:t>
      </w:r>
      <w:r w:rsidRPr="00A55E82">
        <w:rPr>
          <w:rFonts w:ascii="Times New Roman" w:hAnsi="Times New Roman" w:cs="Times New Roman"/>
          <w:b/>
          <w:bCs/>
          <w:color w:val="000000"/>
          <w:sz w:val="22"/>
          <w:szCs w:val="22"/>
        </w:rPr>
        <w:tab/>
        <w:t>Liekové a iné interakcie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6E4738">
        <w:rPr>
          <w:rFonts w:ascii="Times New Roman" w:hAnsi="Times New Roman" w:cs="Times New Roman"/>
          <w:color w:val="000000"/>
          <w:sz w:val="22"/>
          <w:szCs w:val="22"/>
        </w:rPr>
        <w:t>Žiadne špecifické klinické štúdie zamerané na interakcie s liečivom neboli vykonané.</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 xml:space="preserve">Existuje možnosť vzniku aditívnych účinkov vedúcich k hypotenzii a/alebo k výraznej bradykardii v prípade súbežného podávania očných betablokátorov a perorálnych blokátorov kalciových kanálov, beta-adrenergných blokátorov, antiarytmík (vrátane amiodarónu), digitalisových glykozidov, </w:t>
      </w:r>
      <w:r w:rsidRPr="00C40753">
        <w:rPr>
          <w:rFonts w:ascii="Times New Roman" w:hAnsi="Times New Roman" w:cs="Times New Roman"/>
          <w:sz w:val="22"/>
          <w:szCs w:val="22"/>
        </w:rPr>
        <w:t>parasympatomimetík, guanetidínu</w:t>
      </w:r>
      <w:r w:rsidRPr="00A55E82">
        <w:rPr>
          <w:rFonts w:ascii="Times New Roman" w:hAnsi="Times New Roman" w:cs="Times New Roman"/>
          <w:sz w:val="22"/>
          <w:szCs w:val="22"/>
        </w:rPr>
        <w:t>.</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Betablokátory môžu znížiť odpoveď na adrenalín, ktorý sa používa na liečbu anafylaktických reakcií. Mimoriadna opatrnosť je potrebná u pacientov s atopiou alebo anafylaxiou v anamnéze.</w:t>
      </w:r>
    </w:p>
    <w:p w:rsidR="00252F75" w:rsidRPr="00A55E82" w:rsidRDefault="00252F75" w:rsidP="00252F75">
      <w:pPr>
        <w:pStyle w:val="CM11"/>
        <w:rPr>
          <w:rFonts w:ascii="Times New Roman" w:hAnsi="Times New Roman" w:cs="Times New Roman"/>
          <w:color w:val="000000"/>
          <w:sz w:val="22"/>
          <w:szCs w:val="22"/>
        </w:rPr>
      </w:pPr>
    </w:p>
    <w:p w:rsidR="00252F75" w:rsidRPr="00C40753" w:rsidRDefault="00252F75" w:rsidP="00252F75">
      <w:pPr>
        <w:pStyle w:val="CM5"/>
        <w:spacing w:line="240" w:lineRule="auto"/>
        <w:rPr>
          <w:rFonts w:ascii="Times New Roman" w:hAnsi="Times New Roman" w:cs="Times New Roman"/>
          <w:color w:val="000000"/>
          <w:sz w:val="22"/>
          <w:szCs w:val="22"/>
        </w:rPr>
      </w:pPr>
      <w:r w:rsidRPr="00C40753">
        <w:rPr>
          <w:rFonts w:ascii="Times New Roman" w:hAnsi="Times New Roman" w:cs="Times New Roman"/>
          <w:color w:val="000000"/>
          <w:sz w:val="22"/>
          <w:szCs w:val="22"/>
        </w:rPr>
        <w:t>Príležitostne boli hlásené prípady mydriázy, keď boli očné betablokátory používané spolu s adrenalínom (epinefrínom).</w:t>
      </w:r>
    </w:p>
    <w:p w:rsidR="00252F75" w:rsidRPr="00C40753" w:rsidRDefault="00252F75" w:rsidP="00252F75">
      <w:pPr>
        <w:pStyle w:val="CM5"/>
        <w:spacing w:line="240" w:lineRule="auto"/>
        <w:rPr>
          <w:rFonts w:ascii="Times New Roman" w:hAnsi="Times New Roman" w:cs="Times New Roman"/>
          <w:color w:val="000000"/>
          <w:sz w:val="22"/>
          <w:szCs w:val="22"/>
        </w:rPr>
      </w:pPr>
    </w:p>
    <w:p w:rsidR="00252F75" w:rsidRPr="00C40753" w:rsidRDefault="00252F75" w:rsidP="00252F75">
      <w:pPr>
        <w:pStyle w:val="CM11"/>
        <w:rPr>
          <w:rFonts w:ascii="Times New Roman" w:hAnsi="Times New Roman" w:cs="Times New Roman"/>
          <w:color w:val="000000"/>
          <w:sz w:val="22"/>
          <w:szCs w:val="22"/>
        </w:rPr>
      </w:pPr>
      <w:r w:rsidRPr="00C40753">
        <w:rPr>
          <w:rFonts w:ascii="Times New Roman" w:hAnsi="Times New Roman" w:cs="Times New Roman"/>
          <w:color w:val="000000"/>
          <w:sz w:val="22"/>
          <w:szCs w:val="22"/>
        </w:rPr>
        <w:t xml:space="preserve">Dôkladné pozorovanie pacientov sa odporúča pri podávaní betablokátora pacientom, ktorí dostávajú </w:t>
      </w:r>
      <w:r w:rsidRPr="00C40753">
        <w:rPr>
          <w:rFonts w:ascii="Times New Roman" w:hAnsi="Times New Roman" w:cs="Times New Roman"/>
          <w:color w:val="000000"/>
          <w:sz w:val="22"/>
          <w:szCs w:val="22"/>
        </w:rPr>
        <w:lastRenderedPageBreak/>
        <w:t>lieky spôsobujúce odčerpávanie katecholamínu, ako je rezerpín, z dôvodu možných</w:t>
      </w:r>
      <w:r w:rsidRPr="005D1B59">
        <w:rPr>
          <w:rFonts w:ascii="Times New Roman" w:hAnsi="Times New Roman" w:cs="Times New Roman"/>
          <w:color w:val="000000"/>
          <w:sz w:val="22"/>
          <w:szCs w:val="22"/>
        </w:rPr>
        <w:t xml:space="preserve"> aditívnych účinkov a vzniku hypotenzie a/alebo bradykardie.</w:t>
      </w:r>
    </w:p>
    <w:p w:rsidR="00252F75" w:rsidRPr="00C40753" w:rsidRDefault="00252F75" w:rsidP="00252F75">
      <w:pPr>
        <w:pStyle w:val="CM11"/>
        <w:rPr>
          <w:rFonts w:ascii="Times New Roman" w:hAnsi="Times New Roman" w:cs="Times New Roman"/>
          <w:color w:val="000000"/>
          <w:sz w:val="22"/>
          <w:szCs w:val="22"/>
        </w:rPr>
      </w:pPr>
    </w:p>
    <w:p w:rsidR="00252F75" w:rsidRDefault="00252F75" w:rsidP="00252F75">
      <w:pPr>
        <w:pStyle w:val="CM11"/>
        <w:rPr>
          <w:rFonts w:ascii="Times New Roman" w:hAnsi="Times New Roman"/>
          <w:color w:val="000000"/>
        </w:rPr>
      </w:pPr>
      <w:r w:rsidRPr="00C40753">
        <w:rPr>
          <w:rFonts w:ascii="Times New Roman" w:hAnsi="Times New Roman" w:cs="Times New Roman"/>
          <w:color w:val="000000"/>
          <w:sz w:val="22"/>
          <w:szCs w:val="22"/>
        </w:rPr>
        <w:t>Betaxolol je adrenergný blokátor; preto je potrebné zachovávať obozretnosť u pacientov, ktorí súbežne užívajú adrenergné psychotropné liečivá.</w:t>
      </w:r>
      <w:r>
        <w:rPr>
          <w:rFonts w:ascii="Times New Roman" w:hAnsi="Times New Roman" w:cs="Times New Roman"/>
          <w:color w:val="000000"/>
          <w:sz w:val="22"/>
          <w:szCs w:val="22"/>
        </w:rPr>
        <w:t xml:space="preserve"> </w:t>
      </w:r>
    </w:p>
    <w:p w:rsidR="00252F75" w:rsidRPr="00EC5985" w:rsidRDefault="00252F75" w:rsidP="00252F75">
      <w:pPr>
        <w:pStyle w:val="Default"/>
        <w:rPr>
          <w:rFonts w:ascii="Times New Roman" w:hAnsi="Times New Roman" w:cs="Times New Roman"/>
          <w:sz w:val="22"/>
          <w:szCs w:val="22"/>
        </w:rPr>
      </w:pPr>
    </w:p>
    <w:p w:rsidR="00252F75" w:rsidRPr="008108EE"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4.6</w:t>
      </w:r>
      <w:r w:rsidRPr="00A55E82">
        <w:rPr>
          <w:rFonts w:ascii="Times New Roman" w:hAnsi="Times New Roman" w:cs="Times New Roman"/>
          <w:b/>
          <w:bCs/>
          <w:color w:val="000000"/>
          <w:sz w:val="22"/>
          <w:szCs w:val="22"/>
        </w:rPr>
        <w:tab/>
        <w:t>Fertilita, gravidita a laktácia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u w:val="single"/>
        </w:rPr>
        <w:t>Fertilita</w:t>
      </w:r>
    </w:p>
    <w:p w:rsidR="00252F75" w:rsidRPr="00D029F3" w:rsidRDefault="00252F75" w:rsidP="00252F75">
      <w:pPr>
        <w:pStyle w:val="Default"/>
        <w:rPr>
          <w:rFonts w:ascii="Times New Roman" w:hAnsi="Times New Roman" w:cs="Times New Roman"/>
          <w:sz w:val="22"/>
          <w:szCs w:val="22"/>
        </w:rPr>
      </w:pPr>
      <w:r w:rsidRPr="00D029F3">
        <w:rPr>
          <w:rFonts w:ascii="Times New Roman" w:hAnsi="Times New Roman" w:cs="Times New Roman"/>
          <w:sz w:val="22"/>
          <w:szCs w:val="22"/>
        </w:rPr>
        <w:t>Neexistujú žiadne údaje o účinkoch Betopticu na fertilitu u ľudí.</w:t>
      </w:r>
    </w:p>
    <w:p w:rsidR="00252F75" w:rsidRPr="00A55E82" w:rsidRDefault="00252F75" w:rsidP="00252F75">
      <w:pPr>
        <w:pStyle w:val="CM11"/>
        <w:rPr>
          <w:rFonts w:ascii="Times New Roman" w:hAnsi="Times New Roman" w:cs="Times New Roman"/>
          <w:color w:val="000000"/>
          <w:sz w:val="22"/>
          <w:szCs w:val="22"/>
          <w:u w:val="single"/>
        </w:rPr>
      </w:pPr>
    </w:p>
    <w:p w:rsidR="00252F75" w:rsidRPr="00D029F3" w:rsidRDefault="00252F75" w:rsidP="00252F75">
      <w:pPr>
        <w:pStyle w:val="CM11"/>
        <w:rPr>
          <w:rFonts w:ascii="Times New Roman" w:hAnsi="Times New Roman" w:cs="Times New Roman"/>
          <w:color w:val="000000"/>
          <w:sz w:val="22"/>
          <w:szCs w:val="22"/>
          <w:u w:val="single"/>
        </w:rPr>
      </w:pPr>
      <w:r w:rsidRPr="00D029F3">
        <w:rPr>
          <w:rFonts w:ascii="Times New Roman" w:hAnsi="Times New Roman" w:cs="Times New Roman"/>
          <w:color w:val="000000"/>
          <w:sz w:val="22"/>
          <w:szCs w:val="22"/>
          <w:u w:val="single"/>
        </w:rPr>
        <w:t>Gravidita</w:t>
      </w: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Nie sú k dispozícii dostatočné údaje o podávaní betaxololu gravidným ženám. </w:t>
      </w:r>
      <w:r w:rsidRPr="00EC5985">
        <w:rPr>
          <w:rFonts w:ascii="Times New Roman" w:hAnsi="Times New Roman" w:cs="Times New Roman"/>
          <w:color w:val="000000"/>
          <w:sz w:val="22"/>
          <w:szCs w:val="22"/>
        </w:rPr>
        <w:t>K zníženiu systémovej absorpcie, pozri časť 4.2.</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Epidemiologické štúdie nepreukázali malformatívne účinky, ale bolo pozorované riziko spomalenia intrauterinného rastu v prípade perorálneho podania betablokátorov. Navyše boli znaky a príznaky beta-blokády (napr. bradykardia, hypotenzia, respiračná tieseň a hypoglykémia) pozorované u novorodencov, keď sa betablokátory podávali až do doby pôrodu. Betaxolol sa nemá používať počas gravidity, pokiaľ to nie je evidentne nevyhnutné. Ak sa však Betoptic podáva až do doby pôrodu, novorodenec má byť prvé dni života starostlivo monitorovaný.</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CM11"/>
        <w:rPr>
          <w:rFonts w:ascii="Times New Roman" w:hAnsi="Times New Roman" w:cs="Times New Roman"/>
          <w:color w:val="000000"/>
          <w:sz w:val="22"/>
          <w:szCs w:val="22"/>
        </w:rPr>
      </w:pPr>
      <w:r w:rsidRPr="00C40753">
        <w:rPr>
          <w:rFonts w:ascii="Times New Roman" w:hAnsi="Times New Roman" w:cs="Times New Roman"/>
          <w:color w:val="000000"/>
          <w:sz w:val="22"/>
          <w:szCs w:val="22"/>
        </w:rPr>
        <w:t>Reprodukčné štúdie sa uskutočnili s perorálne podávaným hydrochloridom betaxololu na potkanoch a králikoch. Preukázala sa súvislosť liečiva so stratou uhniezdeného oplodneného vajíčka u králikov v dávkových hladinách nad 12 mg/kg a u potkanov v dávkových hladinách nad 128 mg/kg. Pre hydrochlorid betaxololu sa však nepreukázali teratogénne účinky a nepozoro</w:t>
      </w:r>
      <w:r w:rsidRPr="005D1B59">
        <w:rPr>
          <w:rFonts w:ascii="Times New Roman" w:hAnsi="Times New Roman" w:cs="Times New Roman"/>
          <w:color w:val="000000"/>
          <w:sz w:val="22"/>
          <w:szCs w:val="22"/>
        </w:rPr>
        <w:t xml:space="preserve">vali sa ani žiadne ďalšie nežiaduce účinky na reprodukciu pri subtoxických dávkových hladinách. Avšak primerané a dobre riadené štúdie počas gravidity sa neuskutočnili. </w:t>
      </w:r>
      <w:r w:rsidRPr="000A119C">
        <w:rPr>
          <w:rFonts w:ascii="Times New Roman" w:hAnsi="Times New Roman" w:cs="Times New Roman"/>
          <w:bCs/>
          <w:color w:val="000000"/>
          <w:sz w:val="22"/>
          <w:szCs w:val="22"/>
        </w:rPr>
        <w:t>B</w:t>
      </w:r>
      <w:r w:rsidRPr="00215C07">
        <w:rPr>
          <w:rFonts w:ascii="Times New Roman" w:hAnsi="Times New Roman" w:cs="Times New Roman"/>
          <w:bCs/>
          <w:color w:val="000000"/>
          <w:sz w:val="22"/>
          <w:szCs w:val="22"/>
        </w:rPr>
        <w:t>etoptic</w:t>
      </w:r>
      <w:r w:rsidRPr="00215C07">
        <w:rPr>
          <w:rFonts w:ascii="Times New Roman" w:hAnsi="Times New Roman" w:cs="Times New Roman"/>
          <w:color w:val="000000"/>
          <w:sz w:val="22"/>
          <w:szCs w:val="22"/>
        </w:rPr>
        <w:t xml:space="preserve"> sa má používať počas gravidity len vtedy, ak očakávaný úžitok prevyšuje možné </w:t>
      </w:r>
      <w:r w:rsidRPr="00E9007C">
        <w:rPr>
          <w:rFonts w:ascii="Times New Roman" w:hAnsi="Times New Roman" w:cs="Times New Roman"/>
          <w:color w:val="000000"/>
          <w:sz w:val="22"/>
          <w:szCs w:val="22"/>
        </w:rPr>
        <w:t>riziko pre plod.</w:t>
      </w:r>
    </w:p>
    <w:p w:rsidR="00252F75" w:rsidRPr="00A55E82" w:rsidRDefault="00252F75" w:rsidP="00252F75">
      <w:pPr>
        <w:pStyle w:val="CM11"/>
        <w:rPr>
          <w:rFonts w:ascii="Times New Roman" w:hAnsi="Times New Roman" w:cs="Times New Roman"/>
          <w:color w:val="000000"/>
          <w:sz w:val="22"/>
          <w:szCs w:val="22"/>
        </w:rPr>
      </w:pPr>
    </w:p>
    <w:p w:rsidR="00252F75" w:rsidRPr="00D029F3" w:rsidRDefault="00252F75" w:rsidP="00252F75">
      <w:pPr>
        <w:pStyle w:val="CM1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Dojčenie</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 xml:space="preserve">Betablokátory sa vylučujú do materského mlieka, čo má potenciál spôsobiť vážne nežiaduce účinky na dojča. Avšak pri terapeutických dávkach betaxololu v očných instiláciách je nepravdepodobné, že by bolo v materskom mlieku prítomné také množstvo liečiva, aby vyvolalo klinické príznaky beta blokády u dojčaťa. </w:t>
      </w:r>
      <w:r w:rsidRPr="00EC5985">
        <w:rPr>
          <w:rFonts w:ascii="Times New Roman" w:hAnsi="Times New Roman" w:cs="Times New Roman"/>
          <w:sz w:val="22"/>
          <w:szCs w:val="22"/>
        </w:rPr>
        <w:t>K zníženiu systémovej absorpcie, pozri časť 4.2.</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4"/>
        <w:spacing w:line="240" w:lineRule="auto"/>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4.7</w:t>
      </w:r>
      <w:r w:rsidRPr="00A55E82">
        <w:rPr>
          <w:rFonts w:ascii="Times New Roman" w:hAnsi="Times New Roman" w:cs="Times New Roman"/>
          <w:b/>
          <w:bCs/>
          <w:color w:val="000000"/>
          <w:sz w:val="22"/>
          <w:szCs w:val="22"/>
        </w:rPr>
        <w:tab/>
        <w:t>Ovplyvnenie schopnosti viesť vozidlá a obsluhovať stroje</w:t>
      </w:r>
    </w:p>
    <w:p w:rsidR="00252F75" w:rsidRPr="00A55E82" w:rsidRDefault="00252F75" w:rsidP="00252F75">
      <w:pPr>
        <w:pStyle w:val="CM11"/>
        <w:rPr>
          <w:rFonts w:ascii="Times New Roman" w:hAnsi="Times New Roman" w:cs="Times New Roman"/>
          <w:color w:val="000000"/>
          <w:sz w:val="22"/>
          <w:szCs w:val="22"/>
        </w:rPr>
      </w:pPr>
    </w:p>
    <w:p w:rsidR="00252F75" w:rsidRDefault="00252F75" w:rsidP="00252F75">
      <w:pPr>
        <w:rPr>
          <w:rFonts w:ascii="Times New Roman" w:hAnsi="Times New Roman"/>
          <w:color w:val="000000"/>
        </w:rPr>
      </w:pPr>
      <w:r w:rsidRPr="00EC5985">
        <w:rPr>
          <w:rFonts w:ascii="Times New Roman" w:hAnsi="Times New Roman"/>
          <w:color w:val="000000"/>
        </w:rPr>
        <w:t>Betoptic</w:t>
      </w:r>
      <w:r w:rsidRPr="00D029F3">
        <w:rPr>
          <w:rFonts w:ascii="Times New Roman" w:hAnsi="Times New Roman"/>
          <w:color w:val="000000"/>
        </w:rPr>
        <w:t xml:space="preserve"> nemá žiadny alebo zanedbateľný vplyv na schopnosť viesť vozidlá a obsluhovať stroje.</w:t>
      </w:r>
    </w:p>
    <w:p w:rsidR="00252F75" w:rsidRPr="00D029F3" w:rsidRDefault="00252F75" w:rsidP="00252F75">
      <w:r w:rsidRPr="00A55E82">
        <w:rPr>
          <w:rFonts w:ascii="Times New Roman" w:hAnsi="Times New Roman"/>
          <w:color w:val="000000"/>
        </w:rPr>
        <w:t>Dočasné neostré videnie alebo iné poruchy zraku môžu ovplyvniť schopnosť viesť vozidlá alebo obsluhovať stroje. Ak sa po instilácii objaví neostré videnie, pacient musí pred vedením vozidiel alebo obsluhou strojov počkať, kým sa mu zrak nevyjasní.</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4.8</w:t>
      </w:r>
      <w:r w:rsidRPr="00A55E82">
        <w:rPr>
          <w:rFonts w:ascii="Times New Roman" w:hAnsi="Times New Roman" w:cs="Times New Roman"/>
          <w:b/>
          <w:bCs/>
          <w:color w:val="000000"/>
          <w:sz w:val="22"/>
          <w:szCs w:val="22"/>
        </w:rPr>
        <w:tab/>
        <w:t>Nežiaduce účinky</w:t>
      </w:r>
    </w:p>
    <w:p w:rsidR="00252F75" w:rsidRDefault="00252F75" w:rsidP="00252F75">
      <w:pPr>
        <w:pStyle w:val="CM11"/>
        <w:rPr>
          <w:rFonts w:ascii="Times New Roman" w:hAnsi="Times New Roman" w:cs="Times New Roman"/>
          <w:color w:val="000000"/>
          <w:sz w:val="22"/>
          <w:szCs w:val="22"/>
        </w:rPr>
      </w:pPr>
    </w:p>
    <w:p w:rsidR="00252F75" w:rsidRPr="00D029F3" w:rsidRDefault="00252F75" w:rsidP="00252F75">
      <w:pPr>
        <w:pStyle w:val="Default"/>
        <w:rPr>
          <w:rFonts w:ascii="Times New Roman" w:hAnsi="Times New Roman" w:cs="Times New Roman"/>
          <w:sz w:val="22"/>
          <w:szCs w:val="22"/>
        </w:rPr>
      </w:pPr>
      <w:r w:rsidRPr="00D029F3">
        <w:rPr>
          <w:rFonts w:ascii="Times New Roman" w:hAnsi="Times New Roman" w:cs="Times New Roman"/>
          <w:sz w:val="22"/>
          <w:szCs w:val="22"/>
        </w:rPr>
        <w:t>Súhrn bezpečnostného profilu</w:t>
      </w:r>
    </w:p>
    <w:p w:rsidR="00252F75" w:rsidRPr="00D029F3" w:rsidRDefault="00252F75" w:rsidP="00252F75">
      <w:pPr>
        <w:pStyle w:val="Default"/>
        <w:rPr>
          <w:rFonts w:ascii="Times New Roman" w:hAnsi="Times New Roman" w:cs="Times New Roman"/>
          <w:sz w:val="22"/>
          <w:szCs w:val="22"/>
        </w:rPr>
      </w:pPr>
    </w:p>
    <w:p w:rsidR="00252F75" w:rsidRPr="00D029F3" w:rsidRDefault="00252F75" w:rsidP="00252F75">
      <w:pPr>
        <w:pStyle w:val="Default"/>
        <w:rPr>
          <w:rFonts w:ascii="Times New Roman" w:hAnsi="Times New Roman" w:cs="Times New Roman"/>
          <w:sz w:val="22"/>
          <w:szCs w:val="22"/>
          <w:highlight w:val="yellow"/>
        </w:rPr>
      </w:pPr>
      <w:r w:rsidRPr="00D029F3">
        <w:rPr>
          <w:rFonts w:ascii="Times New Roman" w:hAnsi="Times New Roman" w:cs="Times New Roman"/>
          <w:sz w:val="22"/>
          <w:szCs w:val="22"/>
        </w:rPr>
        <w:t>Najčastejšie hlásenou nežiaducou reakciou, v klinických skúšaniach s Betopticom očnou roztokovou instiláciou bol očný diskomfort, vyskytujúci sa u 12,0 % pacientov.</w:t>
      </w:r>
    </w:p>
    <w:p w:rsidR="00252F75" w:rsidRPr="00EC5985"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 xml:space="preserve">Nasledujúce nežiaduce reakcie boli hlásené v priebehu klinických skúšaní </w:t>
      </w:r>
      <w:r>
        <w:rPr>
          <w:rFonts w:ascii="Times New Roman" w:hAnsi="Times New Roman" w:cs="Times New Roman"/>
          <w:sz w:val="22"/>
          <w:szCs w:val="22"/>
        </w:rPr>
        <w:t xml:space="preserve">a po uvedení lieku na trh </w:t>
      </w:r>
      <w:r w:rsidRPr="00A55E82">
        <w:rPr>
          <w:rFonts w:ascii="Times New Roman" w:hAnsi="Times New Roman" w:cs="Times New Roman"/>
          <w:sz w:val="22"/>
          <w:szCs w:val="22"/>
        </w:rPr>
        <w:t>s Betopticom a sú klasifikované podľa nasledujúcich pravidiel: veľmi časté (≥ 1/10), časté (≥ 1/100 až &lt; 1/10), menej časté (≥ 1/1 000 až &lt; 1/100), zriedkavé (≥ 1/10 000 až &lt; 1/1 000) a veľmi zriedkavé (&lt; 1/10 000)</w:t>
      </w:r>
      <w:r>
        <w:rPr>
          <w:rFonts w:ascii="Times New Roman" w:hAnsi="Times New Roman" w:cs="Times New Roman"/>
          <w:sz w:val="22"/>
          <w:szCs w:val="22"/>
        </w:rPr>
        <w:t xml:space="preserve"> alebo neznáme (frekvencia sa nedá odhadnúť z dostupných údajov)</w:t>
      </w:r>
      <w:r w:rsidRPr="00A55E82">
        <w:rPr>
          <w:rFonts w:ascii="Times New Roman" w:hAnsi="Times New Roman" w:cs="Times New Roman"/>
          <w:sz w:val="22"/>
          <w:szCs w:val="22"/>
        </w:rPr>
        <w:t>. V každej skupine frekvencie výskytu sa nežiaduce reakcie uvádzajú v zostupnom poradí závažnosti.</w:t>
      </w:r>
    </w:p>
    <w:p w:rsidR="00252F75" w:rsidRPr="00A55E82" w:rsidRDefault="00252F75" w:rsidP="00252F75">
      <w:pPr>
        <w:pStyle w:val="Default"/>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173"/>
      </w:tblGrid>
      <w:tr w:rsidR="00252F75" w:rsidRPr="00A55E82" w:rsidTr="005D0A4E">
        <w:trPr>
          <w:trHeight w:val="20"/>
          <w:tblHeader/>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b/>
                <w:bCs/>
                <w:lang w:eastAsia="en-US"/>
              </w:rPr>
            </w:pPr>
            <w:r w:rsidRPr="00A55E82">
              <w:rPr>
                <w:rFonts w:ascii="Times New Roman" w:eastAsia="SimSun" w:hAnsi="Times New Roman"/>
                <w:b/>
                <w:bCs/>
                <w:lang w:eastAsia="en-US"/>
              </w:rPr>
              <w:lastRenderedPageBreak/>
              <w:t>Trieda orgánových systémov</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jc w:val="center"/>
              <w:rPr>
                <w:rFonts w:ascii="Times New Roman" w:eastAsia="SimSun" w:hAnsi="Times New Roman"/>
                <w:b/>
                <w:bCs/>
                <w:lang w:eastAsia="en-US"/>
              </w:rPr>
            </w:pPr>
            <w:r w:rsidRPr="00A55E82">
              <w:rPr>
                <w:rFonts w:ascii="Times New Roman" w:eastAsia="SimSun" w:hAnsi="Times New Roman"/>
                <w:b/>
                <w:bCs/>
                <w:lang w:eastAsia="en-US"/>
              </w:rPr>
              <w:t>Odporúčaná terminológia MedDRA (verzia 13.0)</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A55E82">
              <w:rPr>
                <w:rFonts w:ascii="Times New Roman" w:eastAsia="SimSun" w:hAnsi="Times New Roman"/>
                <w:lang w:eastAsia="en-US"/>
              </w:rPr>
              <w:t>Psychické poruchy</w:t>
            </w:r>
          </w:p>
        </w:tc>
        <w:tc>
          <w:tcPr>
            <w:tcW w:w="2787"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sidRPr="00A55E82">
              <w:rPr>
                <w:rFonts w:ascii="Times New Roman" w:eastAsia="SimSun" w:hAnsi="Times New Roman"/>
                <w:lang w:eastAsia="en-US"/>
              </w:rPr>
              <w:t xml:space="preserve">: </w:t>
            </w:r>
            <w:r>
              <w:rPr>
                <w:rFonts w:ascii="Times New Roman" w:eastAsia="SimSun" w:hAnsi="Times New Roman"/>
                <w:lang w:eastAsia="en-US"/>
              </w:rPr>
              <w:t>úzkosť</w:t>
            </w:r>
          </w:p>
          <w:p w:rsidR="00252F75" w:rsidRPr="00BF3CDB" w:rsidRDefault="00252F75" w:rsidP="005D0A4E">
            <w:pPr>
              <w:spacing w:after="0" w:line="240" w:lineRule="auto"/>
              <w:rPr>
                <w:rFonts w:ascii="Times New Roman" w:eastAsia="SimSun" w:hAnsi="Times New Roman"/>
                <w:i/>
                <w:iCs/>
                <w:lang w:eastAsia="en-US"/>
              </w:rPr>
            </w:pPr>
            <w:r w:rsidRPr="00D029F3">
              <w:rPr>
                <w:rFonts w:ascii="Times New Roman" w:eastAsia="SimSun" w:hAnsi="Times New Roman"/>
                <w:i/>
                <w:lang w:eastAsia="en-US"/>
              </w:rPr>
              <w:t>Neznáme:</w:t>
            </w:r>
            <w:r w:rsidRPr="00101608">
              <w:rPr>
                <w:rFonts w:ascii="Times New Roman" w:eastAsia="SimSun" w:hAnsi="Times New Roman"/>
                <w:lang w:val="en-US" w:eastAsia="en-US"/>
              </w:rPr>
              <w:t xml:space="preserve"> insomnia, </w:t>
            </w:r>
            <w:r>
              <w:rPr>
                <w:rFonts w:ascii="Times New Roman" w:eastAsia="SimSun" w:hAnsi="Times New Roman"/>
                <w:lang w:val="en-US" w:eastAsia="en-US"/>
              </w:rPr>
              <w:t>depresia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A55E82">
              <w:rPr>
                <w:rFonts w:ascii="Times New Roman" w:eastAsia="SimSun" w:hAnsi="Times New Roman"/>
                <w:lang w:eastAsia="en-US"/>
              </w:rPr>
              <w:t>Poruchy nervového systému</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Časté</w:t>
            </w:r>
            <w:r w:rsidRPr="00A55E82">
              <w:rPr>
                <w:rFonts w:ascii="Times New Roman" w:eastAsia="SimSun" w:hAnsi="Times New Roman"/>
                <w:i/>
                <w:iCs/>
                <w:lang w:eastAsia="en-US"/>
              </w:rPr>
              <w:t>:</w:t>
            </w:r>
            <w:r w:rsidRPr="00A55E82">
              <w:rPr>
                <w:rFonts w:ascii="Times New Roman" w:eastAsia="SimSun" w:hAnsi="Times New Roman"/>
                <w:lang w:eastAsia="en-US"/>
              </w:rPr>
              <w:t xml:space="preserve"> </w:t>
            </w:r>
            <w:r>
              <w:rPr>
                <w:rFonts w:ascii="Times New Roman" w:eastAsia="SimSun" w:hAnsi="Times New Roman"/>
                <w:lang w:eastAsia="en-US"/>
              </w:rPr>
              <w:t>bolesť hlavy</w:t>
            </w:r>
          </w:p>
          <w:p w:rsidR="00252F75"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Pr>
                <w:rFonts w:ascii="Times New Roman" w:eastAsia="SimSun" w:hAnsi="Times New Roman"/>
                <w:lang w:eastAsia="en-US"/>
              </w:rPr>
              <w:t>: synk</w:t>
            </w:r>
            <w:r w:rsidRPr="00A55E82">
              <w:rPr>
                <w:rFonts w:ascii="Times New Roman" w:eastAsia="SimSun" w:hAnsi="Times New Roman"/>
                <w:lang w:eastAsia="en-US"/>
              </w:rPr>
              <w:t>op</w:t>
            </w:r>
            <w:r>
              <w:rPr>
                <w:rFonts w:ascii="Times New Roman" w:eastAsia="SimSun" w:hAnsi="Times New Roman"/>
                <w:lang w:eastAsia="en-US"/>
              </w:rPr>
              <w:t>a</w:t>
            </w:r>
          </w:p>
          <w:p w:rsidR="00252F75" w:rsidRPr="00A55E82" w:rsidRDefault="00252F75" w:rsidP="005D0A4E">
            <w:pPr>
              <w:spacing w:after="0" w:line="240" w:lineRule="auto"/>
              <w:rPr>
                <w:rFonts w:ascii="Times New Roman" w:eastAsia="SimSun" w:hAnsi="Times New Roman"/>
                <w:b/>
                <w:i/>
                <w:iCs/>
                <w:lang w:eastAsia="en-US"/>
              </w:rPr>
            </w:pPr>
            <w:r w:rsidRPr="0071153D">
              <w:rPr>
                <w:rFonts w:ascii="Times New Roman" w:eastAsia="SimSun" w:hAnsi="Times New Roman"/>
                <w:i/>
                <w:lang w:eastAsia="en-US"/>
              </w:rPr>
              <w:t>Neznáme:</w:t>
            </w:r>
            <w:r>
              <w:rPr>
                <w:rFonts w:ascii="Times New Roman" w:eastAsia="SimSun" w:hAnsi="Times New Roman"/>
                <w:lang w:val="en-US" w:eastAsia="en-US"/>
              </w:rPr>
              <w:t xml:space="preserve"> závrat</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A55E82">
              <w:rPr>
                <w:rFonts w:ascii="Times New Roman" w:eastAsia="SimSun" w:hAnsi="Times New Roman"/>
                <w:lang w:eastAsia="en-US"/>
              </w:rPr>
              <w:t>Poruchy oka</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Veľmi časté</w:t>
            </w:r>
            <w:r w:rsidRPr="00A55E82">
              <w:rPr>
                <w:rFonts w:ascii="Times New Roman" w:eastAsia="SimSun" w:hAnsi="Times New Roman"/>
                <w:i/>
                <w:iCs/>
                <w:lang w:eastAsia="en-US"/>
              </w:rPr>
              <w:t xml:space="preserve">: </w:t>
            </w:r>
            <w:r w:rsidRPr="00A55E82">
              <w:rPr>
                <w:rFonts w:ascii="Times New Roman" w:eastAsia="SimSun" w:hAnsi="Times New Roman"/>
                <w:lang w:eastAsia="en-US"/>
              </w:rPr>
              <w:t>očný diskomfort</w:t>
            </w:r>
          </w:p>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Časté</w:t>
            </w:r>
            <w:r w:rsidRPr="00A55E82">
              <w:rPr>
                <w:rFonts w:ascii="Times New Roman" w:eastAsia="SimSun" w:hAnsi="Times New Roman"/>
                <w:i/>
                <w:iCs/>
                <w:lang w:eastAsia="en-US"/>
              </w:rPr>
              <w:t>:</w:t>
            </w:r>
            <w:r w:rsidRPr="00A55E82">
              <w:rPr>
                <w:rFonts w:ascii="Times New Roman" w:eastAsia="SimSun" w:hAnsi="Times New Roman"/>
                <w:lang w:eastAsia="en-US"/>
              </w:rPr>
              <w:t xml:space="preserve"> neostré videnie, zvýšená lakrimácia</w:t>
            </w:r>
          </w:p>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Menej časté</w:t>
            </w:r>
            <w:r w:rsidRPr="00A55E82">
              <w:rPr>
                <w:rFonts w:ascii="Times New Roman" w:eastAsia="SimSun" w:hAnsi="Times New Roman"/>
                <w:lang w:eastAsia="en-US"/>
              </w:rPr>
              <w:t xml:space="preserve">: </w:t>
            </w:r>
            <w:r>
              <w:rPr>
                <w:rFonts w:ascii="Times New Roman" w:eastAsia="SimSun" w:hAnsi="Times New Roman"/>
                <w:lang w:eastAsia="en-US"/>
              </w:rPr>
              <w:t xml:space="preserve">bodkovitá </w:t>
            </w:r>
            <w:r w:rsidRPr="00A55E82">
              <w:rPr>
                <w:rFonts w:ascii="Times New Roman" w:eastAsia="SimSun" w:hAnsi="Times New Roman"/>
                <w:lang w:eastAsia="en-US"/>
              </w:rPr>
              <w:t>keratitída,</w:t>
            </w:r>
            <w:r w:rsidRPr="00A55E82">
              <w:rPr>
                <w:rFonts w:ascii="Times New Roman" w:eastAsia="SimSun" w:hAnsi="Times New Roman"/>
                <w:i/>
                <w:iCs/>
                <w:lang w:eastAsia="en-US"/>
              </w:rPr>
              <w:t xml:space="preserve"> </w:t>
            </w:r>
            <w:r w:rsidRPr="00A55E82">
              <w:rPr>
                <w:rFonts w:ascii="Times New Roman" w:eastAsia="SimSun" w:hAnsi="Times New Roman"/>
                <w:lang w:eastAsia="en-US"/>
              </w:rPr>
              <w:t>keratitída</w:t>
            </w:r>
            <w:r>
              <w:rPr>
                <w:rFonts w:ascii="Times New Roman" w:eastAsia="SimSun" w:hAnsi="Times New Roman"/>
                <w:lang w:eastAsia="en-US"/>
              </w:rPr>
              <w:t>, konjunktivitída, blefaritída</w:t>
            </w:r>
            <w:r w:rsidRPr="00A55E82">
              <w:rPr>
                <w:rFonts w:ascii="Times New Roman" w:eastAsia="SimSun" w:hAnsi="Times New Roman"/>
                <w:lang w:eastAsia="en-US"/>
              </w:rPr>
              <w:t xml:space="preserve">, </w:t>
            </w:r>
            <w:r>
              <w:rPr>
                <w:rFonts w:ascii="Times New Roman" w:eastAsia="SimSun" w:hAnsi="Times New Roman"/>
                <w:lang w:eastAsia="en-US"/>
              </w:rPr>
              <w:t>poškodenie zraku, fotofó</w:t>
            </w:r>
            <w:r w:rsidRPr="00A55E82">
              <w:rPr>
                <w:rFonts w:ascii="Times New Roman" w:eastAsia="SimSun" w:hAnsi="Times New Roman"/>
                <w:lang w:eastAsia="en-US"/>
              </w:rPr>
              <w:t xml:space="preserve">bia, bolesť očí, </w:t>
            </w:r>
            <w:r w:rsidRPr="00750C9D">
              <w:rPr>
                <w:rFonts w:ascii="Times New Roman" w:eastAsia="SimSun" w:hAnsi="Times New Roman"/>
                <w:lang w:eastAsia="en-US"/>
              </w:rPr>
              <w:t>suchosť očí</w:t>
            </w:r>
            <w:r>
              <w:rPr>
                <w:rFonts w:ascii="Times New Roman" w:eastAsia="SimSun" w:hAnsi="Times New Roman"/>
                <w:lang w:eastAsia="en-US"/>
              </w:rPr>
              <w:t xml:space="preserve">, astenópia, blefarospazmus, </w:t>
            </w:r>
            <w:r w:rsidRPr="00750C9D">
              <w:rPr>
                <w:rFonts w:ascii="Times New Roman" w:eastAsia="SimSun" w:hAnsi="Times New Roman"/>
                <w:lang w:eastAsia="en-US"/>
              </w:rPr>
              <w:t>očný pruritus</w:t>
            </w:r>
            <w:r w:rsidRPr="00A55E82">
              <w:rPr>
                <w:rFonts w:ascii="Times New Roman" w:eastAsia="SimSun" w:hAnsi="Times New Roman"/>
                <w:lang w:eastAsia="en-US"/>
              </w:rPr>
              <w:t xml:space="preserve">, </w:t>
            </w:r>
            <w:r>
              <w:rPr>
                <w:rFonts w:ascii="Times New Roman" w:eastAsia="SimSun" w:hAnsi="Times New Roman"/>
                <w:lang w:eastAsia="en-US"/>
              </w:rPr>
              <w:t>výtok z očí</w:t>
            </w:r>
            <w:r w:rsidRPr="00A55E82">
              <w:rPr>
                <w:rFonts w:ascii="Times New Roman" w:eastAsia="SimSun" w:hAnsi="Times New Roman"/>
                <w:lang w:eastAsia="en-US"/>
              </w:rPr>
              <w:t xml:space="preserve">, </w:t>
            </w:r>
            <w:r w:rsidRPr="00F412BC">
              <w:rPr>
                <w:rFonts w:ascii="Times New Roman" w:hAnsi="Times New Roman"/>
              </w:rPr>
              <w:t>tvorba krúst na okrajoch očných viečok</w:t>
            </w:r>
            <w:r w:rsidRPr="00A55E82">
              <w:rPr>
                <w:rFonts w:ascii="Times New Roman" w:eastAsia="SimSun" w:hAnsi="Times New Roman"/>
                <w:lang w:eastAsia="en-US"/>
              </w:rPr>
              <w:t xml:space="preserve">, </w:t>
            </w:r>
            <w:r w:rsidRPr="00750C9D">
              <w:rPr>
                <w:rFonts w:ascii="Times New Roman" w:eastAsia="SimSun" w:hAnsi="Times New Roman"/>
                <w:lang w:eastAsia="en-US"/>
              </w:rPr>
              <w:t>zápal očí</w:t>
            </w:r>
            <w:r w:rsidRPr="00A55E82">
              <w:rPr>
                <w:rFonts w:ascii="Times New Roman" w:eastAsia="SimSun" w:hAnsi="Times New Roman"/>
                <w:lang w:eastAsia="en-US"/>
              </w:rPr>
              <w:t xml:space="preserve">, </w:t>
            </w:r>
            <w:r w:rsidRPr="00101608">
              <w:rPr>
                <w:rFonts w:ascii="Times New Roman" w:eastAsia="SimSun" w:hAnsi="Times New Roman"/>
                <w:lang w:eastAsia="en-US"/>
              </w:rPr>
              <w:t>podráždenie očí</w:t>
            </w:r>
            <w:r w:rsidRPr="00A55E82">
              <w:rPr>
                <w:rFonts w:ascii="Times New Roman" w:eastAsia="SimSun" w:hAnsi="Times New Roman"/>
                <w:lang w:eastAsia="en-US"/>
              </w:rPr>
              <w:t xml:space="preserve">, </w:t>
            </w:r>
            <w:r>
              <w:rPr>
                <w:rFonts w:ascii="Times New Roman" w:eastAsia="SimSun" w:hAnsi="Times New Roman"/>
                <w:lang w:eastAsia="en-US"/>
              </w:rPr>
              <w:t>porucha spojoviek</w:t>
            </w:r>
            <w:r w:rsidRPr="00A55E82">
              <w:rPr>
                <w:rFonts w:ascii="Times New Roman" w:eastAsia="SimSun" w:hAnsi="Times New Roman"/>
                <w:lang w:eastAsia="en-US"/>
              </w:rPr>
              <w:t xml:space="preserve">, </w:t>
            </w:r>
            <w:r w:rsidRPr="00101608">
              <w:rPr>
                <w:rFonts w:ascii="Times New Roman" w:eastAsia="SimSun" w:hAnsi="Times New Roman"/>
                <w:lang w:eastAsia="en-US"/>
              </w:rPr>
              <w:t>opuch spojoviek</w:t>
            </w:r>
            <w:r w:rsidRPr="00A55E82">
              <w:rPr>
                <w:rFonts w:ascii="Times New Roman" w:eastAsia="SimSun" w:hAnsi="Times New Roman"/>
                <w:lang w:eastAsia="en-US"/>
              </w:rPr>
              <w:t xml:space="preserve">, </w:t>
            </w:r>
            <w:r w:rsidRPr="00101608">
              <w:rPr>
                <w:rFonts w:ascii="Times New Roman" w:eastAsia="SimSun" w:hAnsi="Times New Roman"/>
                <w:lang w:eastAsia="en-US"/>
              </w:rPr>
              <w:t>očná hyperémia</w:t>
            </w:r>
          </w:p>
          <w:p w:rsidR="00252F75"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sidRPr="00A55E82">
              <w:rPr>
                <w:rFonts w:ascii="Times New Roman" w:eastAsia="SimSun" w:hAnsi="Times New Roman"/>
                <w:i/>
                <w:iCs/>
                <w:lang w:eastAsia="en-US"/>
              </w:rPr>
              <w:t>:</w:t>
            </w:r>
            <w:r>
              <w:rPr>
                <w:rFonts w:ascii="Times New Roman" w:eastAsia="SimSun" w:hAnsi="Times New Roman"/>
                <w:lang w:eastAsia="en-US"/>
              </w:rPr>
              <w:t xml:space="preserve"> katarak</w:t>
            </w:r>
            <w:r w:rsidRPr="00A55E82">
              <w:rPr>
                <w:rFonts w:ascii="Times New Roman" w:eastAsia="SimSun" w:hAnsi="Times New Roman"/>
                <w:lang w:eastAsia="en-US"/>
              </w:rPr>
              <w:t>t</w:t>
            </w:r>
            <w:r>
              <w:rPr>
                <w:rFonts w:ascii="Times New Roman" w:eastAsia="SimSun" w:hAnsi="Times New Roman"/>
                <w:lang w:eastAsia="en-US"/>
              </w:rPr>
              <w:t>a</w:t>
            </w:r>
          </w:p>
          <w:p w:rsidR="00252F75" w:rsidRPr="00A55E82" w:rsidRDefault="00252F75" w:rsidP="005D0A4E">
            <w:pPr>
              <w:spacing w:after="0" w:line="240" w:lineRule="auto"/>
              <w:rPr>
                <w:rFonts w:ascii="Times New Roman" w:eastAsia="SimSun" w:hAnsi="Times New Roman"/>
                <w:b/>
                <w:lang w:eastAsia="en-US"/>
              </w:rPr>
            </w:pPr>
            <w:r w:rsidRPr="0071153D">
              <w:rPr>
                <w:rFonts w:ascii="Times New Roman" w:eastAsia="SimSun" w:hAnsi="Times New Roman"/>
                <w:i/>
                <w:lang w:eastAsia="en-US"/>
              </w:rPr>
              <w:t>Neznáme:</w:t>
            </w:r>
            <w:r w:rsidRPr="001222A0">
              <w:rPr>
                <w:rFonts w:ascii="Times New Roman" w:eastAsia="SimSun" w:hAnsi="Times New Roman"/>
                <w:lang w:eastAsia="en-US"/>
              </w:rPr>
              <w:t xml:space="preserve"> erytém očného viečka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lang w:eastAsia="en-US"/>
              </w:rPr>
              <w:t>Poruchy srdca a srdcovej činnosti</w:t>
            </w:r>
          </w:p>
        </w:tc>
        <w:tc>
          <w:tcPr>
            <w:tcW w:w="2787"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Menej časté</w:t>
            </w:r>
            <w:r w:rsidRPr="00A55E82">
              <w:rPr>
                <w:rFonts w:ascii="Times New Roman" w:eastAsia="SimSun" w:hAnsi="Times New Roman"/>
                <w:i/>
                <w:iCs/>
                <w:lang w:eastAsia="en-US"/>
              </w:rPr>
              <w:t xml:space="preserve">: </w:t>
            </w:r>
            <w:r>
              <w:rPr>
                <w:rFonts w:ascii="Times New Roman" w:eastAsia="SimSun" w:hAnsi="Times New Roman"/>
                <w:lang w:eastAsia="en-US"/>
              </w:rPr>
              <w:t>bradyk</w:t>
            </w:r>
            <w:r w:rsidRPr="00A55E82">
              <w:rPr>
                <w:rFonts w:ascii="Times New Roman" w:eastAsia="SimSun" w:hAnsi="Times New Roman"/>
                <w:lang w:eastAsia="en-US"/>
              </w:rPr>
              <w:t xml:space="preserve">ardia, </w:t>
            </w:r>
            <w:r>
              <w:rPr>
                <w:rFonts w:ascii="Times New Roman" w:eastAsia="SimSun" w:hAnsi="Times New Roman"/>
                <w:lang w:eastAsia="en-US"/>
              </w:rPr>
              <w:t>tachyk</w:t>
            </w:r>
            <w:r w:rsidRPr="00A55E82">
              <w:rPr>
                <w:rFonts w:ascii="Times New Roman" w:eastAsia="SimSun" w:hAnsi="Times New Roman"/>
                <w:lang w:eastAsia="en-US"/>
              </w:rPr>
              <w:t>ardia</w:t>
            </w:r>
          </w:p>
          <w:p w:rsidR="00252F75" w:rsidRPr="00A55E82" w:rsidRDefault="00252F75" w:rsidP="005D0A4E">
            <w:pPr>
              <w:spacing w:after="0" w:line="240" w:lineRule="auto"/>
              <w:rPr>
                <w:rFonts w:ascii="Times New Roman" w:eastAsia="SimSun" w:hAnsi="Times New Roman"/>
                <w:b/>
                <w:lang w:eastAsia="en-US"/>
              </w:rPr>
            </w:pPr>
            <w:r w:rsidRPr="0071153D">
              <w:rPr>
                <w:rFonts w:ascii="Times New Roman" w:eastAsia="SimSun" w:hAnsi="Times New Roman"/>
                <w:i/>
                <w:lang w:eastAsia="en-US"/>
              </w:rPr>
              <w:t>Neznáme:</w:t>
            </w:r>
            <w:r>
              <w:rPr>
                <w:rFonts w:ascii="Times New Roman" w:eastAsia="SimSun" w:hAnsi="Times New Roman"/>
                <w:lang w:val="en-US" w:eastAsia="en-US"/>
              </w:rPr>
              <w:t xml:space="preserve"> aryt</w:t>
            </w:r>
            <w:r w:rsidRPr="00101608">
              <w:rPr>
                <w:rFonts w:ascii="Times New Roman" w:eastAsia="SimSun" w:hAnsi="Times New Roman"/>
                <w:lang w:val="en-US" w:eastAsia="en-US"/>
              </w:rPr>
              <w:t>mia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lang w:eastAsia="en-US"/>
              </w:rPr>
              <w:t>Poruchy ciev</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i/>
                <w:iCs/>
                <w:lang w:eastAsia="en-US"/>
              </w:rPr>
            </w:pPr>
            <w:r>
              <w:rPr>
                <w:rFonts w:ascii="Times New Roman" w:eastAsia="SimSun" w:hAnsi="Times New Roman"/>
                <w:i/>
                <w:iCs/>
                <w:lang w:eastAsia="en-US"/>
              </w:rPr>
              <w:t>Zriedkavé</w:t>
            </w:r>
            <w:r w:rsidRPr="00A55E82">
              <w:rPr>
                <w:rFonts w:ascii="Times New Roman" w:eastAsia="SimSun" w:hAnsi="Times New Roman"/>
                <w:lang w:eastAsia="en-US"/>
              </w:rPr>
              <w:t>: hypoten</w:t>
            </w:r>
            <w:r>
              <w:rPr>
                <w:rFonts w:ascii="Times New Roman" w:eastAsia="SimSun" w:hAnsi="Times New Roman"/>
                <w:lang w:eastAsia="en-US"/>
              </w:rPr>
              <w:t>zia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101608">
              <w:rPr>
                <w:rFonts w:ascii="Times New Roman" w:eastAsia="SimSun" w:hAnsi="Times New Roman"/>
                <w:lang w:eastAsia="en-US"/>
              </w:rPr>
              <w:t>Poruchy dýchacej sústavy, hrudníka a mediastína</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Menej časté</w:t>
            </w:r>
            <w:r w:rsidRPr="00A55E82">
              <w:rPr>
                <w:rFonts w:ascii="Times New Roman" w:eastAsia="SimSun" w:hAnsi="Times New Roman"/>
                <w:lang w:eastAsia="en-US"/>
              </w:rPr>
              <w:t>:</w:t>
            </w:r>
            <w:r>
              <w:rPr>
                <w:rFonts w:ascii="Times New Roman" w:eastAsia="SimSun" w:hAnsi="Times New Roman"/>
                <w:lang w:eastAsia="en-US"/>
              </w:rPr>
              <w:t xml:space="preserve"> astma, dyspnoe</w:t>
            </w:r>
            <w:r w:rsidRPr="00A55E82">
              <w:rPr>
                <w:rFonts w:ascii="Times New Roman" w:eastAsia="SimSun" w:hAnsi="Times New Roman"/>
                <w:lang w:eastAsia="en-US"/>
              </w:rPr>
              <w:t xml:space="preserve">, </w:t>
            </w:r>
            <w:r>
              <w:rPr>
                <w:rFonts w:ascii="Times New Roman" w:eastAsia="SimSun" w:hAnsi="Times New Roman"/>
                <w:lang w:eastAsia="en-US"/>
              </w:rPr>
              <w:t>rinitída</w:t>
            </w:r>
          </w:p>
          <w:p w:rsidR="00252F75" w:rsidRPr="00A55E82" w:rsidRDefault="00252F75" w:rsidP="005D0A4E">
            <w:pPr>
              <w:spacing w:after="0" w:line="240" w:lineRule="auto"/>
              <w:rPr>
                <w:rFonts w:ascii="Times New Roman" w:eastAsia="SimSun" w:hAnsi="Times New Roman"/>
                <w:i/>
                <w:iCs/>
                <w:lang w:eastAsia="en-US"/>
              </w:rPr>
            </w:pPr>
            <w:r>
              <w:rPr>
                <w:rFonts w:ascii="Times New Roman" w:eastAsia="SimSun" w:hAnsi="Times New Roman"/>
                <w:i/>
                <w:iCs/>
                <w:lang w:eastAsia="en-US"/>
              </w:rPr>
              <w:t>Zriedkavé</w:t>
            </w:r>
            <w:r w:rsidRPr="00A55E82">
              <w:rPr>
                <w:rFonts w:ascii="Times New Roman" w:eastAsia="SimSun" w:hAnsi="Times New Roman"/>
                <w:i/>
                <w:iCs/>
                <w:lang w:eastAsia="en-US"/>
              </w:rPr>
              <w:t xml:space="preserve">: </w:t>
            </w:r>
            <w:r>
              <w:rPr>
                <w:rFonts w:ascii="Times New Roman" w:eastAsia="SimSun" w:hAnsi="Times New Roman"/>
                <w:lang w:eastAsia="en-US"/>
              </w:rPr>
              <w:t>kašeľ, rinor</w:t>
            </w:r>
            <w:r w:rsidRPr="00A55E82">
              <w:rPr>
                <w:rFonts w:ascii="Times New Roman" w:eastAsia="SimSun" w:hAnsi="Times New Roman"/>
                <w:lang w:eastAsia="en-US"/>
              </w:rPr>
              <w:t>ea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101608">
              <w:rPr>
                <w:rFonts w:ascii="Times New Roman" w:eastAsia="SimSun" w:hAnsi="Times New Roman"/>
                <w:lang w:eastAsia="en-US"/>
              </w:rPr>
              <w:t>Poruchy gastrointestinálneho traktu</w:t>
            </w:r>
          </w:p>
        </w:tc>
        <w:tc>
          <w:tcPr>
            <w:tcW w:w="2787"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Menej časté</w:t>
            </w:r>
            <w:r>
              <w:rPr>
                <w:rFonts w:ascii="Times New Roman" w:eastAsia="SimSun" w:hAnsi="Times New Roman"/>
                <w:lang w:eastAsia="en-US"/>
              </w:rPr>
              <w:t>: nauz</w:t>
            </w:r>
            <w:r w:rsidRPr="00A55E82">
              <w:rPr>
                <w:rFonts w:ascii="Times New Roman" w:eastAsia="SimSun" w:hAnsi="Times New Roman"/>
                <w:lang w:eastAsia="en-US"/>
              </w:rPr>
              <w:t>ea</w:t>
            </w:r>
          </w:p>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sidRPr="00A55E82">
              <w:rPr>
                <w:rFonts w:ascii="Times New Roman" w:eastAsia="SimSun" w:hAnsi="Times New Roman"/>
                <w:lang w:eastAsia="en-US"/>
              </w:rPr>
              <w:t xml:space="preserve">: </w:t>
            </w:r>
            <w:r>
              <w:rPr>
                <w:rFonts w:ascii="Times New Roman" w:eastAsia="SimSun" w:hAnsi="Times New Roman"/>
                <w:lang w:eastAsia="en-US"/>
              </w:rPr>
              <w:t>dysgeúz</w:t>
            </w:r>
            <w:r w:rsidRPr="00A55E82">
              <w:rPr>
                <w:rFonts w:ascii="Times New Roman" w:eastAsia="SimSun" w:hAnsi="Times New Roman"/>
                <w:lang w:eastAsia="en-US"/>
              </w:rPr>
              <w:t>ia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sidRPr="00101608">
              <w:rPr>
                <w:rFonts w:ascii="Times New Roman" w:eastAsia="SimSun" w:hAnsi="Times New Roman"/>
                <w:lang w:eastAsia="en-US"/>
              </w:rPr>
              <w:t>Poruchy kože a podkožného tkaniva</w:t>
            </w:r>
          </w:p>
        </w:tc>
        <w:tc>
          <w:tcPr>
            <w:tcW w:w="2787"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Pr>
                <w:rFonts w:ascii="Times New Roman" w:eastAsia="SimSun" w:hAnsi="Times New Roman"/>
                <w:lang w:eastAsia="en-US"/>
              </w:rPr>
              <w:t>: dermatitída</w:t>
            </w:r>
            <w:r w:rsidRPr="00A55E82">
              <w:rPr>
                <w:rFonts w:ascii="Times New Roman" w:eastAsia="SimSun" w:hAnsi="Times New Roman"/>
                <w:lang w:eastAsia="en-US"/>
              </w:rPr>
              <w:t xml:space="preserve">, </w:t>
            </w:r>
            <w:r>
              <w:rPr>
                <w:rFonts w:ascii="Times New Roman" w:eastAsia="SimSun" w:hAnsi="Times New Roman"/>
                <w:lang w:eastAsia="en-US"/>
              </w:rPr>
              <w:t>vyrážka</w:t>
            </w:r>
          </w:p>
          <w:p w:rsidR="00252F75" w:rsidRPr="00615FAF" w:rsidRDefault="00252F75" w:rsidP="005D0A4E">
            <w:pPr>
              <w:spacing w:after="0" w:line="240" w:lineRule="auto"/>
              <w:rPr>
                <w:rFonts w:ascii="Times New Roman" w:eastAsia="SimSun" w:hAnsi="Times New Roman"/>
                <w:lang w:eastAsia="en-US"/>
              </w:rPr>
            </w:pPr>
            <w:r w:rsidRPr="0071153D">
              <w:rPr>
                <w:rFonts w:ascii="Times New Roman" w:eastAsia="SimSun" w:hAnsi="Times New Roman"/>
                <w:i/>
                <w:lang w:eastAsia="en-US"/>
              </w:rPr>
              <w:t>Neznáme:</w:t>
            </w:r>
            <w:r>
              <w:rPr>
                <w:rFonts w:ascii="Times New Roman" w:eastAsia="SimSun" w:hAnsi="Times New Roman"/>
                <w:lang w:val="en-US" w:eastAsia="en-US"/>
              </w:rPr>
              <w:t xml:space="preserve"> alopé</w:t>
            </w:r>
            <w:r w:rsidRPr="00101608">
              <w:rPr>
                <w:rFonts w:ascii="Times New Roman" w:eastAsia="SimSun" w:hAnsi="Times New Roman"/>
                <w:lang w:val="en-US" w:eastAsia="en-US"/>
              </w:rPr>
              <w:t>cia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Pr="00A55E82" w:rsidRDefault="00252F75" w:rsidP="005D0A4E">
            <w:pPr>
              <w:spacing w:after="0" w:line="240" w:lineRule="auto"/>
              <w:rPr>
                <w:rFonts w:ascii="Times New Roman" w:eastAsia="SimSun" w:hAnsi="Times New Roman"/>
                <w:lang w:eastAsia="en-US"/>
              </w:rPr>
            </w:pPr>
            <w:r>
              <w:rPr>
                <w:rFonts w:ascii="Times New Roman" w:eastAsia="SimSun" w:hAnsi="Times New Roman"/>
                <w:lang w:eastAsia="en-US"/>
              </w:rPr>
              <w:t>Poruchy reprodukčného systému a prsníkov</w:t>
            </w:r>
          </w:p>
        </w:tc>
        <w:tc>
          <w:tcPr>
            <w:tcW w:w="2787" w:type="pct"/>
            <w:tcBorders>
              <w:top w:val="single" w:sz="4" w:space="0" w:color="auto"/>
              <w:left w:val="single" w:sz="4" w:space="0" w:color="auto"/>
              <w:bottom w:val="single" w:sz="4" w:space="0" w:color="auto"/>
              <w:right w:val="single" w:sz="4" w:space="0" w:color="auto"/>
            </w:tcBorders>
          </w:tcPr>
          <w:p w:rsidR="00252F75" w:rsidRPr="00101608" w:rsidRDefault="00252F75" w:rsidP="005D0A4E">
            <w:pPr>
              <w:spacing w:after="0" w:line="240" w:lineRule="auto"/>
              <w:rPr>
                <w:rFonts w:ascii="Times New Roman" w:eastAsia="SimSun" w:hAnsi="Times New Roman"/>
                <w:lang w:eastAsia="en-US"/>
              </w:rPr>
            </w:pPr>
            <w:r>
              <w:rPr>
                <w:rFonts w:ascii="Times New Roman" w:eastAsia="SimSun" w:hAnsi="Times New Roman"/>
                <w:i/>
                <w:iCs/>
                <w:lang w:eastAsia="en-US"/>
              </w:rPr>
              <w:t>Zriedkavé</w:t>
            </w:r>
            <w:r w:rsidRPr="00A55E82">
              <w:rPr>
                <w:rFonts w:ascii="Times New Roman" w:eastAsia="SimSun" w:hAnsi="Times New Roman"/>
                <w:i/>
                <w:iCs/>
                <w:lang w:eastAsia="en-US"/>
              </w:rPr>
              <w:t xml:space="preserve">: </w:t>
            </w:r>
            <w:r>
              <w:rPr>
                <w:rFonts w:ascii="Times New Roman" w:eastAsia="SimSun" w:hAnsi="Times New Roman"/>
                <w:lang w:eastAsia="en-US"/>
              </w:rPr>
              <w:t>zníženie libida</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lang w:eastAsia="en-US"/>
              </w:rPr>
            </w:pPr>
            <w:r w:rsidRPr="00101608">
              <w:rPr>
                <w:rFonts w:ascii="Times New Roman" w:eastAsia="SimSun" w:hAnsi="Times New Roman"/>
                <w:lang w:eastAsia="en-US"/>
              </w:rPr>
              <w:t>Poruchy imunitného systému</w:t>
            </w:r>
          </w:p>
        </w:tc>
        <w:tc>
          <w:tcPr>
            <w:tcW w:w="2787"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i/>
                <w:iCs/>
                <w:lang w:eastAsia="en-US"/>
              </w:rPr>
            </w:pPr>
            <w:r w:rsidRPr="0071153D">
              <w:rPr>
                <w:rFonts w:ascii="Times New Roman" w:eastAsia="SimSun" w:hAnsi="Times New Roman"/>
                <w:i/>
                <w:lang w:eastAsia="en-US"/>
              </w:rPr>
              <w:t>Neznáme:</w:t>
            </w:r>
            <w:r w:rsidRPr="00101608">
              <w:rPr>
                <w:rFonts w:ascii="Times New Roman" w:eastAsia="SimSun" w:hAnsi="Times New Roman"/>
                <w:lang w:eastAsia="en-US"/>
              </w:rPr>
              <w:t xml:space="preserve"> precitlivenosť</w:t>
            </w:r>
          </w:p>
        </w:tc>
      </w:tr>
      <w:tr w:rsidR="00252F75" w:rsidRPr="00A55E82" w:rsidTr="005D0A4E">
        <w:trPr>
          <w:trHeight w:val="20"/>
        </w:trPr>
        <w:tc>
          <w:tcPr>
            <w:tcW w:w="2213"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lang w:eastAsia="en-US"/>
              </w:rPr>
            </w:pPr>
            <w:r w:rsidRPr="001222A0">
              <w:rPr>
                <w:rFonts w:ascii="Times New Roman" w:eastAsia="SimSun" w:hAnsi="Times New Roman"/>
                <w:lang w:eastAsia="en-US"/>
              </w:rPr>
              <w:t>Celkové poruchy a reakcie v mieste podania</w:t>
            </w:r>
          </w:p>
        </w:tc>
        <w:tc>
          <w:tcPr>
            <w:tcW w:w="2787" w:type="pct"/>
            <w:tcBorders>
              <w:top w:val="single" w:sz="4" w:space="0" w:color="auto"/>
              <w:left w:val="single" w:sz="4" w:space="0" w:color="auto"/>
              <w:bottom w:val="single" w:sz="4" w:space="0" w:color="auto"/>
              <w:right w:val="single" w:sz="4" w:space="0" w:color="auto"/>
            </w:tcBorders>
          </w:tcPr>
          <w:p w:rsidR="00252F75" w:rsidRDefault="00252F75" w:rsidP="005D0A4E">
            <w:pPr>
              <w:spacing w:after="0" w:line="240" w:lineRule="auto"/>
              <w:rPr>
                <w:rFonts w:ascii="Times New Roman" w:eastAsia="SimSun" w:hAnsi="Times New Roman"/>
                <w:i/>
                <w:iCs/>
                <w:lang w:eastAsia="en-US"/>
              </w:rPr>
            </w:pPr>
            <w:r w:rsidRPr="0071153D">
              <w:rPr>
                <w:rFonts w:ascii="Times New Roman" w:eastAsia="SimSun" w:hAnsi="Times New Roman"/>
                <w:i/>
                <w:lang w:eastAsia="en-US"/>
              </w:rPr>
              <w:t>Neznáme:</w:t>
            </w:r>
            <w:r>
              <w:rPr>
                <w:rFonts w:ascii="Times New Roman" w:eastAsia="SimSun" w:hAnsi="Times New Roman"/>
                <w:lang w:val="en-US" w:eastAsia="en-US"/>
              </w:rPr>
              <w:t xml:space="preserve"> asté</w:t>
            </w:r>
            <w:r w:rsidRPr="00101608">
              <w:rPr>
                <w:rFonts w:ascii="Times New Roman" w:eastAsia="SimSun" w:hAnsi="Times New Roman"/>
                <w:lang w:val="en-US" w:eastAsia="en-US"/>
              </w:rPr>
              <w:t>nia</w:t>
            </w:r>
          </w:p>
        </w:tc>
      </w:tr>
    </w:tbl>
    <w:p w:rsidR="00252F75" w:rsidRPr="00A55E82" w:rsidRDefault="00252F75" w:rsidP="00252F75">
      <w:pPr>
        <w:pStyle w:val="Default"/>
        <w:rPr>
          <w:rFonts w:ascii="Times New Roman" w:hAnsi="Times New Roman" w:cs="Times New Roman"/>
          <w:sz w:val="22"/>
          <w:szCs w:val="22"/>
        </w:rPr>
      </w:pPr>
    </w:p>
    <w:p w:rsidR="00252F75" w:rsidRDefault="00252F75" w:rsidP="00252F75">
      <w:pPr>
        <w:pStyle w:val="Default"/>
        <w:rPr>
          <w:rFonts w:ascii="Times New Roman" w:hAnsi="Times New Roman" w:cs="Times New Roman"/>
          <w:sz w:val="22"/>
          <w:szCs w:val="22"/>
        </w:rPr>
      </w:pPr>
      <w:r w:rsidRPr="00E11617">
        <w:rPr>
          <w:rFonts w:ascii="Times New Roman" w:hAnsi="Times New Roman" w:cs="Times New Roman"/>
          <w:sz w:val="22"/>
          <w:szCs w:val="22"/>
        </w:rPr>
        <w:t>Rovnako ako ostatné lokálne aplikované látky používané v oftalmológii, i betaxolol je absorbovaný do systémového obehu. Preto môže vyvolať podobné nežiaduce účinky, ako boli zaznamenané u systémových betablokátorov. Incidencia systémových nežiaducich účinkov v súvislosti s lokálnym očným podaním je nižšia ako u systémového podania. Medzi očakávané nežiaduce účinky patria nežiaduce účinky pozorované u celej triedy očných betablokátorov.</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Údaje z klinických štúdií vrátane frekvencie (ak je dostupná).</w:t>
      </w:r>
    </w:p>
    <w:p w:rsidR="00252F75" w:rsidRPr="00A55E82" w:rsidRDefault="00252F75" w:rsidP="00252F75">
      <w:pPr>
        <w:pStyle w:val="Default"/>
        <w:rPr>
          <w:rFonts w:ascii="Times New Roman" w:hAnsi="Times New Roman" w:cs="Times New Roman"/>
          <w:sz w:val="22"/>
          <w:szCs w:val="22"/>
        </w:rPr>
      </w:pPr>
    </w:p>
    <w:p w:rsidR="00252F75"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Ďalšie nežiaduce účinky boli pozorované u očných betablokátorov a môžu sa vyskytovať po podaní Betopticu:</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imunitného systému</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Systémové alergické reakcie, vrátane angioedému, urtikárie, lokalizovaného alebo generalizovaného exantému, pruritu, anafylaktickej reakcie.</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metabolizmu a výživy</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Hypoglykémia.</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Psychické poruchy</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Nespavosť, depresia, nočné mory, strata pamäti.</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nervového systému</w:t>
      </w:r>
    </w:p>
    <w:p w:rsidR="00252F75"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Synkopa, cerebrovaskulárna príhoda, mozgová ischémia, zvýšený výskyt znakov a príznakov myasténie gravis, závrat, parestézia, bolesť hlavy.</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oka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Znaky a príznaky podráždenia očí (napr. pálenie, pichanie, svrbenie, slzenie, začervenanie), blefaritída, keratitída, neostré videnie a odchlípenie chorioidey po filtračnom zákroku (pozri časť 4.4), znížená citlivosť rohovky, such</w:t>
      </w:r>
      <w:r>
        <w:rPr>
          <w:rFonts w:ascii="Times New Roman" w:hAnsi="Times New Roman" w:cs="Times New Roman"/>
          <w:sz w:val="22"/>
          <w:szCs w:val="22"/>
        </w:rPr>
        <w:t>osť</w:t>
      </w:r>
      <w:r w:rsidRPr="00A55E82">
        <w:rPr>
          <w:rFonts w:ascii="Times New Roman" w:hAnsi="Times New Roman" w:cs="Times New Roman"/>
          <w:sz w:val="22"/>
          <w:szCs w:val="22"/>
        </w:rPr>
        <w:t xml:space="preserve"> oč</w:t>
      </w:r>
      <w:r>
        <w:rPr>
          <w:rFonts w:ascii="Times New Roman" w:hAnsi="Times New Roman" w:cs="Times New Roman"/>
          <w:sz w:val="22"/>
          <w:szCs w:val="22"/>
        </w:rPr>
        <w:t>í</w:t>
      </w:r>
      <w:r w:rsidRPr="00A55E82">
        <w:rPr>
          <w:rFonts w:ascii="Times New Roman" w:hAnsi="Times New Roman" w:cs="Times New Roman"/>
          <w:sz w:val="22"/>
          <w:szCs w:val="22"/>
        </w:rPr>
        <w:t>, korneálna erózia, ptóza, diplopia.</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srdca a srdcovej činnosti</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Bradykardia, bolesť na hrudi, palpitácie, edém, arytmia, kongestívne zlyhanie srdca, atrioventrikulárny blok, zástava srdca, srdcové zlyhanie.</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ciev</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Hypotenzia, Raynaudov fenomén, syndróm studených rúk a nôh.</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dýchacej sústavy, hrudníka a mediastína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Bronchospazmus (predovšetkým u pacientov s preexistujúcou bronchospastickou chorobou), dušnosť, kašeľ.</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gastrointestinálneho traktu</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Dysgeúzia, nauzea, dyspepsia, hnačka, suchosť v ústach, bolesť brucha, vracanie.</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kože a podkožného tkaniva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Alopécia, psoriaziformný exantém alebo exacerbácia psoriázy, kožná vyrážka.</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kostrovej a svalovej sústavy a spojivového tkaniva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Myalgia.</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Poruchy reprodukčného systému a prsníkov</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Sexuálna dysfunkcia, znížené libido.</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i/>
          <w:sz w:val="22"/>
          <w:szCs w:val="22"/>
        </w:rPr>
        <w:t>Celkové poruchy a reakcie v mieste podania</w:t>
      </w: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Asténia/únava.</w:t>
      </w:r>
    </w:p>
    <w:p w:rsidR="00252F75" w:rsidRPr="00A55E82" w:rsidRDefault="00252F75" w:rsidP="00252F75">
      <w:pPr>
        <w:pStyle w:val="CM11"/>
        <w:rPr>
          <w:rFonts w:ascii="Times New Roman" w:hAnsi="Times New Roman" w:cs="Times New Roman"/>
          <w:color w:val="000000"/>
          <w:sz w:val="22"/>
          <w:szCs w:val="22"/>
        </w:rPr>
      </w:pPr>
    </w:p>
    <w:p w:rsidR="00252F75" w:rsidRPr="000A119C" w:rsidRDefault="00252F75" w:rsidP="00252F75">
      <w:pPr>
        <w:pStyle w:val="Default"/>
        <w:rPr>
          <w:rFonts w:ascii="Times New Roman" w:hAnsi="Times New Roman" w:cs="Times New Roman"/>
          <w:sz w:val="22"/>
          <w:szCs w:val="22"/>
          <w:u w:val="single"/>
        </w:rPr>
      </w:pPr>
      <w:r w:rsidRPr="000A119C">
        <w:rPr>
          <w:rFonts w:ascii="Times New Roman" w:hAnsi="Times New Roman" w:cs="Times New Roman"/>
          <w:noProof/>
          <w:sz w:val="22"/>
          <w:szCs w:val="22"/>
          <w:u w:val="single"/>
        </w:rPr>
        <w:t>Hlásenie podozrení na nežiaduce reakcie</w:t>
      </w:r>
    </w:p>
    <w:p w:rsidR="00252F75" w:rsidRPr="00A55E82" w:rsidRDefault="00252F75" w:rsidP="00252F75">
      <w:pPr>
        <w:pStyle w:val="Default"/>
        <w:rPr>
          <w:rFonts w:ascii="Times New Roman" w:hAnsi="Times New Roman" w:cs="Times New Roman"/>
          <w:sz w:val="22"/>
          <w:szCs w:val="22"/>
        </w:rPr>
      </w:pPr>
      <w:r w:rsidRPr="000A119C">
        <w:rPr>
          <w:rFonts w:ascii="Times New Roman" w:hAnsi="Times New Roman" w:cs="Times New Roman"/>
          <w:noProof/>
          <w:sz w:val="22"/>
          <w:szCs w:val="22"/>
        </w:rPr>
        <w:t>Hlásenie podozrení na nežiaduce reakcie po registrácii lieku je dôležité.</w:t>
      </w:r>
      <w:r w:rsidRPr="000A119C">
        <w:rPr>
          <w:rFonts w:ascii="Times New Roman" w:hAnsi="Times New Roman" w:cs="Times New Roman"/>
          <w:sz w:val="22"/>
          <w:szCs w:val="22"/>
        </w:rPr>
        <w:t xml:space="preserve"> </w:t>
      </w:r>
      <w:r w:rsidRPr="000A119C">
        <w:rPr>
          <w:rFonts w:ascii="Times New Roman" w:hAnsi="Times New Roman" w:cs="Times New Roman"/>
          <w:noProof/>
          <w:sz w:val="22"/>
          <w:szCs w:val="22"/>
        </w:rPr>
        <w:t>Umožňuje priebežné monitorovanie pomeru prínosu</w:t>
      </w:r>
      <w:r w:rsidRPr="000A119C">
        <w:rPr>
          <w:rFonts w:ascii="Times New Roman" w:hAnsi="Times New Roman" w:cs="Times New Roman"/>
          <w:sz w:val="22"/>
          <w:szCs w:val="22"/>
        </w:rPr>
        <w:t xml:space="preserve"> a</w:t>
      </w:r>
      <w:r w:rsidRPr="000A119C">
        <w:rPr>
          <w:rFonts w:ascii="Times New Roman" w:hAnsi="Times New Roman" w:cs="Times New Roman"/>
          <w:noProof/>
          <w:sz w:val="22"/>
          <w:szCs w:val="22"/>
        </w:rPr>
        <w:t> rizika lieku.</w:t>
      </w:r>
      <w:r w:rsidRPr="000A119C">
        <w:rPr>
          <w:rFonts w:ascii="Times New Roman" w:hAnsi="Times New Roman" w:cs="Times New Roman"/>
          <w:sz w:val="22"/>
          <w:szCs w:val="22"/>
        </w:rPr>
        <w:t xml:space="preserve"> Od </w:t>
      </w:r>
      <w:r w:rsidRPr="000A119C">
        <w:rPr>
          <w:rFonts w:ascii="Times New Roman" w:hAnsi="Times New Roman" w:cs="Times New Roman"/>
          <w:noProof/>
          <w:sz w:val="22"/>
          <w:szCs w:val="22"/>
        </w:rPr>
        <w:t xml:space="preserve">zdravotníckych pracovníkov sa vyžaduje, aby hlásili akékoľvek podozrenia na nežiaduce reakcie </w:t>
      </w:r>
      <w:r w:rsidR="00037D3A">
        <w:rPr>
          <w:rFonts w:ascii="Times New Roman" w:hAnsi="Times New Roman" w:cs="Times New Roman"/>
          <w:noProof/>
          <w:sz w:val="22"/>
          <w:szCs w:val="22"/>
        </w:rPr>
        <w:t>na</w:t>
      </w:r>
      <w:r w:rsidRPr="000A119C">
        <w:rPr>
          <w:rFonts w:ascii="Times New Roman" w:hAnsi="Times New Roman" w:cs="Times New Roman"/>
          <w:noProof/>
          <w:sz w:val="22"/>
          <w:szCs w:val="22"/>
        </w:rPr>
        <w:t xml:space="preserve"> </w:t>
      </w:r>
      <w:r w:rsidRPr="008A2F47">
        <w:rPr>
          <w:rFonts w:ascii="Times New Roman" w:hAnsi="Times New Roman" w:cs="Times New Roman"/>
          <w:noProof/>
          <w:sz w:val="22"/>
          <w:szCs w:val="22"/>
          <w:highlight w:val="lightGray"/>
        </w:rPr>
        <w:t>národné</w:t>
      </w:r>
      <w:r w:rsidR="00037D3A" w:rsidRPr="008A2F47">
        <w:rPr>
          <w:rFonts w:ascii="Times New Roman" w:hAnsi="Times New Roman" w:cs="Times New Roman"/>
          <w:noProof/>
          <w:sz w:val="22"/>
          <w:szCs w:val="22"/>
          <w:highlight w:val="lightGray"/>
        </w:rPr>
        <w:t xml:space="preserve"> centrum</w:t>
      </w:r>
      <w:r w:rsidRPr="008A2F47">
        <w:rPr>
          <w:rFonts w:ascii="Times New Roman" w:hAnsi="Times New Roman" w:cs="Times New Roman"/>
          <w:noProof/>
          <w:sz w:val="22"/>
          <w:szCs w:val="22"/>
          <w:highlight w:val="lightGray"/>
        </w:rPr>
        <w:t xml:space="preserve"> hlásenia uvedené v </w:t>
      </w:r>
      <w:hyperlink r:id="rId8" w:history="1">
        <w:r w:rsidRPr="008A2F47">
          <w:rPr>
            <w:rStyle w:val="Hypertextovprepojenie"/>
            <w:rFonts w:ascii="Times New Roman" w:hAnsi="Times New Roman"/>
            <w:noProof/>
            <w:sz w:val="22"/>
            <w:szCs w:val="22"/>
            <w:highlight w:val="lightGray"/>
          </w:rPr>
          <w:t>P</w:t>
        </w:r>
        <w:r w:rsidRPr="008A2F47">
          <w:rPr>
            <w:rStyle w:val="Hypertextovprepojenie"/>
            <w:rFonts w:ascii="Times New Roman" w:hAnsi="Times New Roman"/>
            <w:sz w:val="22"/>
            <w:szCs w:val="22"/>
            <w:highlight w:val="lightGray"/>
          </w:rPr>
          <w:t xml:space="preserve">rílohe </w:t>
        </w:r>
        <w:r w:rsidRPr="008A2F47">
          <w:rPr>
            <w:rStyle w:val="Hypertextovprepojenie"/>
            <w:rFonts w:ascii="Times New Roman" w:hAnsi="Times New Roman"/>
            <w:noProof/>
            <w:sz w:val="22"/>
            <w:szCs w:val="22"/>
            <w:highlight w:val="lightGray"/>
          </w:rPr>
          <w:t>V</w:t>
        </w:r>
      </w:hyperlink>
      <w:r w:rsidRPr="008A2F47">
        <w:rPr>
          <w:rFonts w:ascii="Times New Roman" w:hAnsi="Times New Roman" w:cs="Times New Roman"/>
          <w:sz w:val="22"/>
          <w:szCs w:val="22"/>
          <w:highlight w:val="lightGray"/>
        </w:rPr>
        <w:t>.</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4.9</w:t>
      </w:r>
      <w:r w:rsidRPr="00A55E82">
        <w:rPr>
          <w:rFonts w:ascii="Times New Roman" w:hAnsi="Times New Roman" w:cs="Times New Roman"/>
          <w:b/>
          <w:bCs/>
          <w:color w:val="000000"/>
          <w:sz w:val="22"/>
          <w:szCs w:val="22"/>
        </w:rPr>
        <w:tab/>
        <w:t>Predávkovanie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Default"/>
        <w:rPr>
          <w:rFonts w:ascii="Times New Roman" w:hAnsi="Times New Roman" w:cs="Times New Roman"/>
          <w:sz w:val="22"/>
        </w:rPr>
      </w:pPr>
      <w:r w:rsidRPr="00A55E82">
        <w:rPr>
          <w:rFonts w:ascii="Times New Roman" w:hAnsi="Times New Roman" w:cs="Times New Roman"/>
          <w:sz w:val="22"/>
        </w:rPr>
        <w:t xml:space="preserve">V prípade náhodného požitia môžu </w:t>
      </w:r>
      <w:r>
        <w:rPr>
          <w:rFonts w:ascii="Times New Roman" w:hAnsi="Times New Roman" w:cs="Times New Roman"/>
          <w:sz w:val="22"/>
        </w:rPr>
        <w:t>príznaky</w:t>
      </w:r>
      <w:r w:rsidRPr="00A55E82">
        <w:rPr>
          <w:rFonts w:ascii="Times New Roman" w:hAnsi="Times New Roman" w:cs="Times New Roman"/>
          <w:sz w:val="22"/>
        </w:rPr>
        <w:t xml:space="preserve"> predávkovania z betablokády zahŕňať bradykardiu, hypotenziu, zlyhanie srdca a bronchospazmus.</w:t>
      </w:r>
    </w:p>
    <w:p w:rsidR="00252F75" w:rsidRPr="00A55E82" w:rsidRDefault="00252F75" w:rsidP="00252F75">
      <w:pPr>
        <w:pStyle w:val="Default"/>
        <w:rPr>
          <w:rFonts w:ascii="Times New Roman" w:hAnsi="Times New Roman" w:cs="Times New Roman"/>
          <w:sz w:val="22"/>
        </w:rPr>
      </w:pPr>
      <w:r w:rsidRPr="00A55E82">
        <w:rPr>
          <w:rFonts w:ascii="Times New Roman" w:hAnsi="Times New Roman" w:cs="Times New Roman"/>
          <w:sz w:val="22"/>
        </w:rPr>
        <w:t>Ak dôjde k predávkovaniu Betopticom, liečba má byť symptomatická a podporná.</w:t>
      </w:r>
    </w:p>
    <w:p w:rsidR="00252F75" w:rsidRPr="00A55E82" w:rsidRDefault="00252F75" w:rsidP="00252F75">
      <w:pPr>
        <w:pStyle w:val="CM11"/>
        <w:rPr>
          <w:rFonts w:ascii="Times New Roman" w:hAnsi="Times New Roman" w:cs="Times New Roman"/>
          <w:color w:val="000000"/>
          <w:sz w:val="22"/>
          <w:szCs w:val="22"/>
        </w:rPr>
      </w:pPr>
    </w:p>
    <w:p w:rsidR="00252F75" w:rsidRPr="00215C07" w:rsidRDefault="00252F75" w:rsidP="00252F75">
      <w:pPr>
        <w:pStyle w:val="CM11"/>
        <w:rPr>
          <w:rFonts w:ascii="Times New Roman" w:hAnsi="Times New Roman" w:cs="Times New Roman"/>
          <w:color w:val="000000"/>
          <w:sz w:val="22"/>
          <w:szCs w:val="22"/>
        </w:rPr>
      </w:pPr>
      <w:r w:rsidRPr="000A119C">
        <w:rPr>
          <w:rFonts w:ascii="Times New Roman" w:hAnsi="Times New Roman" w:cs="Times New Roman"/>
          <w:color w:val="000000"/>
          <w:sz w:val="22"/>
          <w:szCs w:val="22"/>
        </w:rPr>
        <w:t>Perorálna dávka LD50 liečiva je v rozsahu 350 až 920 mg/kg pre myši a v rozsahu 860 až 1 050 mg/kg pre potkany. Symptómy, ktoré sa dajú očakávať pri predávkovaní systémovo podávaným blokačným činidlom beta-1-adrenergného receptora, sú</w:t>
      </w:r>
      <w:r w:rsidRPr="00215C07">
        <w:rPr>
          <w:rFonts w:ascii="Times New Roman" w:hAnsi="Times New Roman" w:cs="Times New Roman"/>
          <w:color w:val="000000"/>
          <w:sz w:val="22"/>
          <w:szCs w:val="22"/>
        </w:rPr>
        <w:t xml:space="preserve"> hypotenzia, bradykardia a akútne zlyhanie srdca.</w:t>
      </w:r>
    </w:p>
    <w:p w:rsidR="00252F75" w:rsidRPr="00215C07" w:rsidRDefault="00252F75" w:rsidP="00252F75">
      <w:pPr>
        <w:pStyle w:val="CM11"/>
        <w:rPr>
          <w:rFonts w:ascii="Times New Roman" w:hAnsi="Times New Roman" w:cs="Times New Roman"/>
          <w:color w:val="000000"/>
          <w:sz w:val="22"/>
          <w:szCs w:val="22"/>
        </w:rPr>
      </w:pPr>
    </w:p>
    <w:p w:rsidR="00252F75" w:rsidRPr="009A77EA" w:rsidRDefault="00252F75" w:rsidP="00252F75">
      <w:pPr>
        <w:pStyle w:val="CM11"/>
        <w:rPr>
          <w:rFonts w:ascii="Times New Roman" w:hAnsi="Times New Roman" w:cs="Times New Roman"/>
          <w:color w:val="000000"/>
          <w:sz w:val="22"/>
          <w:szCs w:val="22"/>
        </w:rPr>
      </w:pPr>
      <w:r w:rsidRPr="00E9007C">
        <w:rPr>
          <w:rFonts w:ascii="Times New Roman" w:hAnsi="Times New Roman" w:cs="Times New Roman"/>
          <w:color w:val="000000"/>
          <w:sz w:val="22"/>
          <w:szCs w:val="22"/>
        </w:rPr>
        <w:t xml:space="preserve">Pri lokálnom predávkovaní </w:t>
      </w:r>
      <w:r w:rsidRPr="00E9007C">
        <w:rPr>
          <w:rFonts w:ascii="Times New Roman" w:hAnsi="Times New Roman" w:cs="Times New Roman"/>
          <w:bCs/>
          <w:color w:val="000000"/>
          <w:sz w:val="22"/>
          <w:szCs w:val="22"/>
        </w:rPr>
        <w:t>Betoptic</w:t>
      </w:r>
      <w:r w:rsidRPr="00FC2EFD">
        <w:rPr>
          <w:rFonts w:ascii="Times New Roman" w:hAnsi="Times New Roman" w:cs="Times New Roman"/>
          <w:bCs/>
          <w:color w:val="000000"/>
          <w:sz w:val="22"/>
          <w:szCs w:val="22"/>
        </w:rPr>
        <w:t>om</w:t>
      </w:r>
      <w:r w:rsidRPr="00FC2EFD">
        <w:rPr>
          <w:rFonts w:ascii="Times New Roman" w:hAnsi="Times New Roman" w:cs="Times New Roman"/>
          <w:color w:val="000000"/>
          <w:sz w:val="22"/>
          <w:szCs w:val="22"/>
        </w:rPr>
        <w:t xml:space="preserve"> sa tento môže vypláchnuť z oka (očí) </w:t>
      </w:r>
      <w:r w:rsidRPr="009A77EA">
        <w:rPr>
          <w:rFonts w:ascii="Times New Roman" w:hAnsi="Times New Roman" w:cs="Times New Roman"/>
          <w:color w:val="000000"/>
          <w:sz w:val="22"/>
          <w:szCs w:val="22"/>
        </w:rPr>
        <w:t>teplou tečúcou vodou.</w:t>
      </w:r>
    </w:p>
    <w:p w:rsidR="00252F75" w:rsidRPr="00EC5985"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FC2EFD">
        <w:rPr>
          <w:rFonts w:ascii="Times New Roman" w:hAnsi="Times New Roman" w:cs="Times New Roman"/>
          <w:color w:val="000000"/>
          <w:sz w:val="22"/>
          <w:szCs w:val="22"/>
        </w:rPr>
        <w:t>Dokonca pri spotrebovaní celého obsahu 5 ml liekovky, celková dávka betaxololu predstavuje 25 mg, čo zodpovedá odporúčanej perorálnej dennej dávke 10 až 20 mg betaxololu, podávanej perorálnou cestou na liečenie hypertenzie.</w:t>
      </w:r>
    </w:p>
    <w:p w:rsidR="00252F75" w:rsidRPr="00D029F3" w:rsidRDefault="00252F75" w:rsidP="00252F75">
      <w:pPr>
        <w:pStyle w:val="Default"/>
        <w:rPr>
          <w:rFonts w:ascii="Times New Roman" w:hAnsi="Times New Roman" w:cs="Times New Roman"/>
          <w:sz w:val="22"/>
        </w:rPr>
      </w:pPr>
    </w:p>
    <w:p w:rsidR="00252F75" w:rsidRPr="00D029F3" w:rsidRDefault="00252F75" w:rsidP="00252F75">
      <w:pPr>
        <w:pStyle w:val="CM11"/>
        <w:rPr>
          <w:rFonts w:ascii="Times New Roman" w:hAnsi="Times New Roman" w:cs="Times New Roman"/>
          <w:color w:val="000000"/>
          <w:sz w:val="20"/>
          <w:szCs w:val="22"/>
        </w:rPr>
      </w:pPr>
    </w:p>
    <w:p w:rsidR="00252F75" w:rsidRPr="00A55E82" w:rsidRDefault="00252F75" w:rsidP="00252F75">
      <w:pPr>
        <w:pStyle w:val="CM11"/>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5.</w:t>
      </w:r>
      <w:r w:rsidRPr="00A55E82">
        <w:rPr>
          <w:rFonts w:ascii="Times New Roman" w:hAnsi="Times New Roman" w:cs="Times New Roman"/>
          <w:b/>
          <w:bCs/>
          <w:color w:val="000000"/>
          <w:sz w:val="22"/>
          <w:szCs w:val="22"/>
        </w:rPr>
        <w:tab/>
        <w:t>FARMAKOLOGICKÉ VLASTNOSTI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5.1</w:t>
      </w:r>
      <w:r w:rsidRPr="00A55E82">
        <w:rPr>
          <w:rFonts w:ascii="Times New Roman" w:hAnsi="Times New Roman" w:cs="Times New Roman"/>
          <w:b/>
          <w:bCs/>
          <w:color w:val="000000"/>
          <w:sz w:val="22"/>
          <w:szCs w:val="22"/>
        </w:rPr>
        <w:tab/>
        <w:t>Farmakodynamické vlastnosti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Farmakoterapeutická skupina: </w:t>
      </w:r>
      <w:r>
        <w:rPr>
          <w:rFonts w:ascii="Times New Roman" w:hAnsi="Times New Roman" w:cs="Times New Roman"/>
          <w:color w:val="000000"/>
          <w:sz w:val="22"/>
          <w:szCs w:val="22"/>
        </w:rPr>
        <w:t>oftalmologiká; a</w:t>
      </w:r>
      <w:r w:rsidRPr="00A55E82">
        <w:rPr>
          <w:rFonts w:ascii="Times New Roman" w:hAnsi="Times New Roman" w:cs="Times New Roman"/>
          <w:color w:val="000000"/>
          <w:sz w:val="22"/>
          <w:szCs w:val="22"/>
        </w:rPr>
        <w:t>ntiglaukomatiká a</w:t>
      </w:r>
      <w:r>
        <w:rPr>
          <w:rFonts w:ascii="Times New Roman" w:hAnsi="Times New Roman" w:cs="Times New Roman"/>
          <w:color w:val="000000"/>
          <w:sz w:val="22"/>
          <w:szCs w:val="22"/>
        </w:rPr>
        <w:t> </w:t>
      </w:r>
      <w:r w:rsidRPr="00A55E82">
        <w:rPr>
          <w:rFonts w:ascii="Times New Roman" w:hAnsi="Times New Roman" w:cs="Times New Roman"/>
          <w:color w:val="000000"/>
          <w:sz w:val="22"/>
          <w:szCs w:val="22"/>
        </w:rPr>
        <w:t>miotiká</w:t>
      </w:r>
      <w:r>
        <w:rPr>
          <w:rFonts w:ascii="Times New Roman" w:hAnsi="Times New Roman" w:cs="Times New Roman"/>
          <w:color w:val="000000"/>
          <w:sz w:val="22"/>
          <w:szCs w:val="22"/>
        </w:rPr>
        <w:t>,</w:t>
      </w:r>
      <w:r w:rsidRPr="00A55E82">
        <w:rPr>
          <w:rFonts w:ascii="Times New Roman" w:hAnsi="Times New Roman" w:cs="Times New Roman"/>
          <w:color w:val="000000"/>
          <w:sz w:val="22"/>
          <w:szCs w:val="22"/>
        </w:rPr>
        <w:t xml:space="preserve"> ATC kód: S01ED02</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Betaxolol, kardioselektívny (beta-1-adrenergný) blokátor, nevykazuje signifikantnú aktivitu stabilizácie membrány (lokálne anestetikum) a nemá vlastný sympatomimetický účinok. Perorálne podávané beta-adrenergné blokátory znižujú výkon srdca u zdravých subjektov a u pacientov </w:t>
      </w:r>
      <w:r w:rsidRPr="00A55E82">
        <w:rPr>
          <w:rFonts w:ascii="Times New Roman" w:hAnsi="Times New Roman" w:cs="Times New Roman"/>
          <w:color w:val="000000"/>
          <w:sz w:val="22"/>
          <w:szCs w:val="22"/>
        </w:rPr>
        <w:lastRenderedPageBreak/>
        <w:t>s ochorením srdca. U pacientov so závažným zhoršením funkcie myokardu môžu antagonisty beta-adrenergných receptorov inhibovať sympatický účinok, potrebný na udržiavanie primeranej funkcie srdca.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5.2</w:t>
      </w:r>
      <w:r w:rsidRPr="00A55E82">
        <w:rPr>
          <w:rFonts w:ascii="Times New Roman" w:hAnsi="Times New Roman" w:cs="Times New Roman"/>
          <w:b/>
          <w:bCs/>
          <w:color w:val="000000"/>
          <w:sz w:val="22"/>
          <w:szCs w:val="22"/>
        </w:rPr>
        <w:tab/>
        <w:t>Farmakokinetické vlastnosti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Betaxolol nemá žiaden signifikantný účinok na pulmonálnu funkciu, ako sa stanovilo meraním FEV, nútenej vitálnej kapacity (Forced Vital Capacity, FVC), pomeru FEV/FVC, a počas pohybu sa nepozoroval žiadny dôkaz kardiovaskulárnej beta-adrenergnej blokády.</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Pri prolongovaných štúdiách uskutočnených s hydrochloridom betaxololu sa pri podávaní perorálnou cestou, u myší v dávke 6, 20 a 60 mg/kg/deň a u potkanov v dávke 3, 12 alebo 48 mg/kg/deň, nezistili žiadne karcinogénne účinky. Vyššie dávky sa neskúmali.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V niekoľkých </w:t>
      </w:r>
      <w:r w:rsidRPr="00A55E82">
        <w:rPr>
          <w:rFonts w:ascii="Times New Roman" w:hAnsi="Times New Roman" w:cs="Times New Roman"/>
          <w:i/>
          <w:iCs/>
          <w:color w:val="000000"/>
          <w:sz w:val="22"/>
          <w:szCs w:val="22"/>
        </w:rPr>
        <w:t>in vitro</w:t>
      </w:r>
      <w:r w:rsidRPr="00A55E82">
        <w:rPr>
          <w:rFonts w:ascii="Times New Roman" w:hAnsi="Times New Roman" w:cs="Times New Roman"/>
          <w:color w:val="000000"/>
          <w:sz w:val="22"/>
          <w:szCs w:val="22"/>
        </w:rPr>
        <w:t xml:space="preserve"> a</w:t>
      </w:r>
      <w:r w:rsidRPr="00A55E82">
        <w:rPr>
          <w:rFonts w:ascii="Times New Roman" w:hAnsi="Times New Roman" w:cs="Times New Roman"/>
          <w:i/>
          <w:iCs/>
          <w:color w:val="000000"/>
          <w:sz w:val="22"/>
          <w:szCs w:val="22"/>
        </w:rPr>
        <w:t xml:space="preserve"> in vivo </w:t>
      </w:r>
      <w:r w:rsidRPr="00A55E82">
        <w:rPr>
          <w:rFonts w:ascii="Times New Roman" w:hAnsi="Times New Roman" w:cs="Times New Roman"/>
          <w:color w:val="000000"/>
          <w:sz w:val="22"/>
          <w:szCs w:val="22"/>
        </w:rPr>
        <w:t>klinických štúdiách s baktériami a s bunkami cicavcov betaxolol nevykazoval žiadne mutagénne účinky.</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Pri instilácii do oka betaxolol spôsobuje zníženie zvýšeného vnútroočného tlaku či už spojeného s glaukómom alebo nie. Očne podávaný betaxolol má malý alebo žiadny účinok na konstrikciu zrenice a minimálny účinok, pokiaľ ide o kardiovaskulárne a pulmonálne parametre.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Zvýšený vnútroočný tlak predstavuje hlavný rizikový faktor pri glaukomatóznej strate zorného poľa. Čím vyššie hladiny vnútroočného tlaku, tým vyššia pravdepodobnosť poškodenia zrakového nervu a strata zorného poľa. Betaxolol má mechanizmus znižujúci zvýšený ako aj normálny vnútroočný tlak. Predpokladá sa, že tento účinok sa dosahuje znižovaním množstva produkcie komorového moku, ako sa demonštrovalo pomocou tonografie a komorovej fluorofotometrie. Nástup účinku betaxololu sa vo všeobecnosti dá zaznamenať v rozpätí 30 minút a maximálny účinok sa môže zvyčajne pozorovať 2 hodiny po lokálnom podaní. Jedna dávka poskytuje 12-hodinové zníženie vnútroočného tlaku.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Periférny vazorelaxačný účinok betaxololu sa pozoroval v </w:t>
      </w:r>
      <w:r w:rsidRPr="00A55E82">
        <w:rPr>
          <w:rFonts w:ascii="Times New Roman" w:hAnsi="Times New Roman" w:cs="Times New Roman"/>
          <w:i/>
          <w:iCs/>
          <w:color w:val="000000"/>
          <w:sz w:val="22"/>
          <w:szCs w:val="22"/>
        </w:rPr>
        <w:t xml:space="preserve">in vivo </w:t>
      </w:r>
      <w:r w:rsidRPr="00A55E82">
        <w:rPr>
          <w:rFonts w:ascii="Times New Roman" w:hAnsi="Times New Roman" w:cs="Times New Roman"/>
          <w:color w:val="000000"/>
          <w:sz w:val="22"/>
          <w:szCs w:val="22"/>
        </w:rPr>
        <w:t xml:space="preserve">štúdii na psoch, zatiaľ čo vazorelaxačný účinok a účinok blokády vápnikových kanálov vplyvom betaxololu sa demonštroval v niekoľkých </w:t>
      </w:r>
      <w:r w:rsidRPr="00A55E82">
        <w:rPr>
          <w:rFonts w:ascii="Times New Roman" w:hAnsi="Times New Roman" w:cs="Times New Roman"/>
          <w:i/>
          <w:iCs/>
          <w:color w:val="000000"/>
          <w:sz w:val="22"/>
          <w:szCs w:val="22"/>
        </w:rPr>
        <w:t>in vitro</w:t>
      </w:r>
      <w:r w:rsidRPr="00A55E82">
        <w:rPr>
          <w:rFonts w:ascii="Times New Roman" w:hAnsi="Times New Roman" w:cs="Times New Roman"/>
          <w:color w:val="000000"/>
          <w:sz w:val="22"/>
          <w:szCs w:val="22"/>
        </w:rPr>
        <w:t xml:space="preserve"> štúdiách s použitím ako neočných tak aj očných ciev z potkaních, morčacích, králičích, psích, bravčových a hovädzích modelov. Účinok betaxololu ako neuroprotektívneho činidla sa preukázal ako v </w:t>
      </w:r>
      <w:r w:rsidRPr="00A55E82">
        <w:rPr>
          <w:rFonts w:ascii="Times New Roman" w:hAnsi="Times New Roman" w:cs="Times New Roman"/>
          <w:i/>
          <w:iCs/>
          <w:color w:val="000000"/>
          <w:sz w:val="22"/>
          <w:szCs w:val="22"/>
        </w:rPr>
        <w:t>in vitro</w:t>
      </w:r>
      <w:r w:rsidRPr="00A55E82">
        <w:rPr>
          <w:rFonts w:ascii="Times New Roman" w:hAnsi="Times New Roman" w:cs="Times New Roman"/>
          <w:color w:val="000000"/>
          <w:sz w:val="22"/>
          <w:szCs w:val="22"/>
        </w:rPr>
        <w:t xml:space="preserve"> tak aj v </w:t>
      </w:r>
      <w:r w:rsidRPr="00A55E82">
        <w:rPr>
          <w:rFonts w:ascii="Times New Roman" w:hAnsi="Times New Roman" w:cs="Times New Roman"/>
          <w:i/>
          <w:iCs/>
          <w:color w:val="000000"/>
          <w:sz w:val="22"/>
          <w:szCs w:val="22"/>
        </w:rPr>
        <w:t>in vivo</w:t>
      </w:r>
      <w:r w:rsidRPr="00A55E82">
        <w:rPr>
          <w:rFonts w:ascii="Times New Roman" w:hAnsi="Times New Roman" w:cs="Times New Roman"/>
          <w:color w:val="000000"/>
          <w:sz w:val="22"/>
          <w:szCs w:val="22"/>
        </w:rPr>
        <w:t xml:space="preserve"> experimentoch na sietnici králikov, kortikálnych kultúrach potkanov a na sietnicových kultúrach kurčiat.</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4"/>
        <w:spacing w:line="240" w:lineRule="auto"/>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5.3</w:t>
      </w:r>
      <w:r w:rsidRPr="00A55E82">
        <w:rPr>
          <w:rFonts w:ascii="Times New Roman" w:hAnsi="Times New Roman" w:cs="Times New Roman"/>
          <w:b/>
          <w:bCs/>
          <w:color w:val="000000"/>
          <w:sz w:val="22"/>
          <w:szCs w:val="22"/>
        </w:rPr>
        <w:tab/>
        <w:t>Predklinické údaje o bezpečnosti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Údaje dosiahnuté počas regulovaných klinických pokusov s pacientmi s glaukómom s otvoreným uhlom a s očnou hypertenziou indikujú liečenie s timololom, neselektívnym betablokátorom. Okrem toho v priebehu liečby s betaxololom sa nepozoroval žiadny negatívny účinok, pokiaľ ide o zásobovanie zrakového nervu krvou. Betaxolol skôr udržiava alebo zlepšuje očný prietok/perfúziu krvi.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b/>
          <w:bCs/>
          <w:color w:val="000000"/>
          <w:sz w:val="22"/>
          <w:szCs w:val="22"/>
        </w:rPr>
      </w:pPr>
      <w:r w:rsidRPr="00A55E82">
        <w:rPr>
          <w:rFonts w:ascii="Times New Roman" w:hAnsi="Times New Roman" w:cs="Times New Roman"/>
          <w:b/>
          <w:bCs/>
          <w:color w:val="000000"/>
          <w:sz w:val="22"/>
          <w:szCs w:val="22"/>
        </w:rPr>
        <w:t>6.</w:t>
      </w:r>
      <w:r w:rsidRPr="00A55E82">
        <w:rPr>
          <w:rFonts w:ascii="Times New Roman" w:hAnsi="Times New Roman" w:cs="Times New Roman"/>
          <w:b/>
          <w:bCs/>
          <w:color w:val="000000"/>
          <w:sz w:val="22"/>
          <w:szCs w:val="22"/>
        </w:rPr>
        <w:tab/>
        <w:t>FARMACEUTICKÉ INFORMÁCIE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6.1</w:t>
      </w:r>
      <w:r w:rsidRPr="00A55E82">
        <w:rPr>
          <w:rFonts w:ascii="Times New Roman" w:hAnsi="Times New Roman" w:cs="Times New Roman"/>
          <w:b/>
          <w:bCs/>
          <w:color w:val="000000"/>
          <w:sz w:val="22"/>
          <w:szCs w:val="22"/>
        </w:rPr>
        <w:tab/>
        <w:t>Zoznam pomocných látok</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D029F3">
        <w:rPr>
          <w:rFonts w:ascii="Times New Roman" w:hAnsi="Times New Roman" w:cs="Times New Roman"/>
          <w:color w:val="000000"/>
          <w:sz w:val="22"/>
          <w:szCs w:val="22"/>
          <w:u w:val="single"/>
        </w:rPr>
        <w:t>Pomocné látky:</w:t>
      </w:r>
      <w:r w:rsidRPr="00A55E82">
        <w:rPr>
          <w:rFonts w:ascii="Times New Roman" w:hAnsi="Times New Roman" w:cs="Times New Roman"/>
          <w:color w:val="000000"/>
          <w:sz w:val="22"/>
          <w:szCs w:val="22"/>
        </w:rPr>
        <w:t xml:space="preserve"> Neaktívne zložky sú edetan disodný, chlorid sodný, hydroxid sodný a/alebo kyselina chlorovodíková na úpravu pH a čistená voda.</w:t>
      </w:r>
    </w:p>
    <w:p w:rsidR="00252F75" w:rsidRPr="00A55E82" w:rsidRDefault="00252F75" w:rsidP="00252F75">
      <w:pPr>
        <w:pStyle w:val="Default"/>
        <w:rPr>
          <w:rFonts w:ascii="Times New Roman" w:hAnsi="Times New Roman" w:cs="Times New Roman"/>
          <w:sz w:val="22"/>
          <w:szCs w:val="22"/>
        </w:rPr>
      </w:pPr>
      <w:r w:rsidRPr="00D029F3">
        <w:rPr>
          <w:rFonts w:ascii="Times New Roman" w:hAnsi="Times New Roman" w:cs="Times New Roman"/>
          <w:sz w:val="22"/>
          <w:szCs w:val="22"/>
          <w:u w:val="single"/>
        </w:rPr>
        <w:t>Konzervačná látka:</w:t>
      </w:r>
      <w:r w:rsidRPr="00D029F3">
        <w:rPr>
          <w:rFonts w:ascii="Times New Roman" w:hAnsi="Times New Roman" w:cs="Times New Roman"/>
          <w:sz w:val="22"/>
          <w:szCs w:val="22"/>
        </w:rPr>
        <w:t xml:space="preserve"> benzalkóniumchlorid</w:t>
      </w:r>
      <w:r w:rsidRPr="00A55E82">
        <w:rPr>
          <w:rFonts w:ascii="Times New Roman" w:hAnsi="Times New Roman" w:cs="Times New Roman"/>
          <w:sz w:val="22"/>
          <w:szCs w:val="22"/>
        </w:rPr>
        <w:t xml:space="preserve"> 0,1 mg/ml</w:t>
      </w:r>
      <w:r w:rsidRPr="00D029F3">
        <w:rPr>
          <w:rFonts w:ascii="Times New Roman" w:hAnsi="Times New Roman" w:cs="Times New Roman"/>
          <w:sz w:val="22"/>
          <w:szCs w:val="22"/>
        </w:rPr>
        <w:t>.</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6.2</w:t>
      </w:r>
      <w:r w:rsidRPr="00A55E82">
        <w:rPr>
          <w:rFonts w:ascii="Times New Roman" w:hAnsi="Times New Roman" w:cs="Times New Roman"/>
          <w:b/>
          <w:bCs/>
          <w:color w:val="000000"/>
          <w:sz w:val="22"/>
          <w:szCs w:val="22"/>
        </w:rPr>
        <w:tab/>
        <w:t>Inkompatibility</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Neaplikovateľné.</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6.3</w:t>
      </w:r>
      <w:r w:rsidRPr="00A55E82">
        <w:rPr>
          <w:rFonts w:ascii="Times New Roman" w:hAnsi="Times New Roman" w:cs="Times New Roman"/>
          <w:b/>
          <w:bCs/>
          <w:color w:val="000000"/>
          <w:sz w:val="22"/>
          <w:szCs w:val="22"/>
        </w:rPr>
        <w:tab/>
        <w:t>Čas použiteľnosti</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lastRenderedPageBreak/>
        <w:t>3 roky.</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6.4</w:t>
      </w:r>
      <w:r w:rsidRPr="00A55E82">
        <w:rPr>
          <w:rFonts w:ascii="Times New Roman" w:hAnsi="Times New Roman" w:cs="Times New Roman"/>
          <w:b/>
          <w:bCs/>
          <w:color w:val="000000"/>
          <w:sz w:val="22"/>
          <w:szCs w:val="22"/>
        </w:rPr>
        <w:tab/>
        <w:t>Špeciálne upozornenia na uchovávanie</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color w:val="000000"/>
          <w:sz w:val="22"/>
          <w:szCs w:val="22"/>
        </w:rPr>
        <w:t xml:space="preserve">Uchovávajte pri teplote 15 až </w:t>
      </w:r>
      <w:smartTag w:uri="urn:schemas-microsoft-com:office:smarttags" w:element="metricconverter">
        <w:smartTagPr>
          <w:attr w:name="ProductID" w:val="25ﾠﾰC"/>
        </w:smartTagPr>
        <w:r w:rsidRPr="00A55E82">
          <w:rPr>
            <w:rFonts w:ascii="Times New Roman" w:hAnsi="Times New Roman" w:cs="Times New Roman"/>
            <w:color w:val="000000"/>
            <w:sz w:val="22"/>
            <w:szCs w:val="22"/>
          </w:rPr>
          <w:t>25 °C</w:t>
        </w:r>
      </w:smartTag>
      <w:r w:rsidRPr="00A55E82">
        <w:rPr>
          <w:rFonts w:ascii="Times New Roman" w:hAnsi="Times New Roman" w:cs="Times New Roman"/>
          <w:color w:val="000000"/>
          <w:sz w:val="22"/>
          <w:szCs w:val="22"/>
        </w:rPr>
        <w:t>. Uchovávajte fľaštičku v pôvodnom obale. Spotrebujte do 28 dní od otvorenia.</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6.5</w:t>
      </w:r>
      <w:r w:rsidRPr="00A55E82">
        <w:rPr>
          <w:rFonts w:ascii="Times New Roman" w:hAnsi="Times New Roman" w:cs="Times New Roman"/>
          <w:b/>
          <w:bCs/>
          <w:color w:val="000000"/>
          <w:sz w:val="22"/>
          <w:szCs w:val="22"/>
        </w:rPr>
        <w:tab/>
        <w:t>Druh obalu a obsah balenia</w:t>
      </w:r>
    </w:p>
    <w:p w:rsidR="00252F75" w:rsidRPr="00A55E82" w:rsidRDefault="00252F75" w:rsidP="00252F75">
      <w:pPr>
        <w:pStyle w:val="CM11"/>
        <w:rPr>
          <w:rFonts w:ascii="Times New Roman" w:hAnsi="Times New Roman" w:cs="Times New Roman"/>
          <w:b/>
          <w:bCs/>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Cs/>
          <w:color w:val="000000"/>
          <w:sz w:val="22"/>
          <w:szCs w:val="22"/>
        </w:rPr>
        <w:t>Betoptic</w:t>
      </w:r>
      <w:r w:rsidRPr="00A55E82">
        <w:rPr>
          <w:rFonts w:ascii="Times New Roman" w:hAnsi="Times New Roman" w:cs="Times New Roman"/>
          <w:color w:val="000000"/>
          <w:sz w:val="22"/>
          <w:szCs w:val="22"/>
        </w:rPr>
        <w:t xml:space="preserve"> je balený v 5 ml bielej, nepriehľadnej fľaštičke s kvapkadlom z polyetylénu s nízkou hustotou, s uzáverom z polyetylénu s nízkou hustotou. Uzáver je z bieleho polypropylénu.</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r w:rsidRPr="00A55E82">
        <w:rPr>
          <w:rFonts w:ascii="Times New Roman" w:hAnsi="Times New Roman" w:cs="Times New Roman"/>
          <w:b/>
          <w:color w:val="000000"/>
          <w:sz w:val="22"/>
          <w:szCs w:val="22"/>
        </w:rPr>
        <w:t>6.6</w:t>
      </w:r>
      <w:r w:rsidRPr="00A55E82">
        <w:rPr>
          <w:rFonts w:ascii="Times New Roman" w:hAnsi="Times New Roman" w:cs="Times New Roman"/>
          <w:b/>
          <w:color w:val="000000"/>
          <w:sz w:val="22"/>
          <w:szCs w:val="22"/>
        </w:rPr>
        <w:tab/>
        <w:t>Špeciálne opatrenia na likvidáciu</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Žiadne zvláštne požiadavky na likvidáciu.</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rPr>
          <w:rFonts w:ascii="Times New Roman" w:hAnsi="Times New Roman" w:cs="Times New Roman"/>
          <w:sz w:val="22"/>
          <w:szCs w:val="22"/>
        </w:rPr>
      </w:pPr>
      <w:r w:rsidRPr="00A55E82">
        <w:rPr>
          <w:rFonts w:ascii="Times New Roman" w:hAnsi="Times New Roman" w:cs="Times New Roman"/>
          <w:sz w:val="22"/>
          <w:szCs w:val="22"/>
        </w:rPr>
        <w:t>Nepoužitý liek alebo odpad vzniknutý z lieku treba vrátiť do lekárne.</w:t>
      </w: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2"/>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7.</w:t>
      </w:r>
      <w:r w:rsidRPr="00A55E82">
        <w:rPr>
          <w:rFonts w:ascii="Times New Roman" w:hAnsi="Times New Roman" w:cs="Times New Roman"/>
          <w:b/>
          <w:bCs/>
          <w:color w:val="000000"/>
          <w:sz w:val="22"/>
          <w:szCs w:val="22"/>
        </w:rPr>
        <w:tab/>
        <w:t>DRŽITEĽ ROZHODNUTIA O REGISTRÁCII</w:t>
      </w:r>
    </w:p>
    <w:p w:rsidR="00252F75" w:rsidRPr="00A55E82" w:rsidRDefault="00252F75" w:rsidP="00252F75">
      <w:pPr>
        <w:pStyle w:val="CM11"/>
        <w:rPr>
          <w:rFonts w:ascii="Times New Roman" w:hAnsi="Times New Roman" w:cs="Times New Roman"/>
          <w:color w:val="000000"/>
          <w:sz w:val="22"/>
          <w:szCs w:val="22"/>
        </w:rPr>
      </w:pPr>
    </w:p>
    <w:p w:rsidR="00682277" w:rsidRPr="00682277" w:rsidRDefault="00682277" w:rsidP="00682277">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Novartis Slovakia s.r.o.</w:t>
      </w:r>
    </w:p>
    <w:p w:rsidR="00682277" w:rsidRPr="00682277" w:rsidRDefault="00682277" w:rsidP="00682277">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rsidR="00682277" w:rsidRPr="00682277" w:rsidRDefault="00682277" w:rsidP="00682277">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rsidR="00682277" w:rsidRDefault="00682277" w:rsidP="00682277">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1"/>
        <w:rPr>
          <w:rFonts w:ascii="Times New Roman" w:hAnsi="Times New Roman" w:cs="Times New Roman"/>
          <w:color w:val="000000"/>
          <w:sz w:val="22"/>
          <w:szCs w:val="22"/>
        </w:rPr>
      </w:pPr>
    </w:p>
    <w:p w:rsidR="00252F75" w:rsidRPr="00A55E82" w:rsidRDefault="00252F75" w:rsidP="00252F75">
      <w:pPr>
        <w:pStyle w:val="CM12"/>
        <w:rPr>
          <w:rFonts w:ascii="Times New Roman" w:hAnsi="Times New Roman" w:cs="Times New Roman"/>
          <w:color w:val="000000"/>
          <w:sz w:val="22"/>
          <w:szCs w:val="22"/>
        </w:rPr>
      </w:pPr>
      <w:r w:rsidRPr="00A55E82">
        <w:rPr>
          <w:rFonts w:ascii="Times New Roman" w:hAnsi="Times New Roman" w:cs="Times New Roman"/>
          <w:b/>
          <w:bCs/>
          <w:color w:val="000000"/>
          <w:sz w:val="22"/>
          <w:szCs w:val="22"/>
        </w:rPr>
        <w:t>8.</w:t>
      </w:r>
      <w:r w:rsidRPr="00A55E82">
        <w:rPr>
          <w:rFonts w:ascii="Times New Roman" w:hAnsi="Times New Roman" w:cs="Times New Roman"/>
          <w:b/>
          <w:bCs/>
          <w:color w:val="000000"/>
          <w:sz w:val="22"/>
          <w:szCs w:val="22"/>
        </w:rPr>
        <w:tab/>
        <w:t>REGISTRAČNÉ ČÍSLO</w:t>
      </w:r>
    </w:p>
    <w:p w:rsidR="00252F75" w:rsidRPr="00A55E82" w:rsidRDefault="00252F75" w:rsidP="00252F75">
      <w:pPr>
        <w:pStyle w:val="CM12"/>
        <w:rPr>
          <w:rFonts w:ascii="Times New Roman" w:hAnsi="Times New Roman" w:cs="Times New Roman"/>
          <w:color w:val="000000"/>
          <w:sz w:val="22"/>
          <w:szCs w:val="22"/>
        </w:rPr>
      </w:pPr>
    </w:p>
    <w:p w:rsidR="00252F75" w:rsidRPr="00A55E82" w:rsidRDefault="00252F75" w:rsidP="00252F75">
      <w:pPr>
        <w:pStyle w:val="CM12"/>
        <w:rPr>
          <w:rFonts w:ascii="Times New Roman" w:hAnsi="Times New Roman" w:cs="Times New Roman"/>
          <w:color w:val="000000"/>
          <w:sz w:val="22"/>
          <w:szCs w:val="22"/>
        </w:rPr>
      </w:pPr>
      <w:r w:rsidRPr="00A55E82">
        <w:rPr>
          <w:rFonts w:ascii="Times New Roman" w:hAnsi="Times New Roman" w:cs="Times New Roman"/>
          <w:color w:val="000000"/>
          <w:sz w:val="22"/>
          <w:szCs w:val="22"/>
        </w:rPr>
        <w:t>64/0203/88-C/S</w:t>
      </w:r>
    </w:p>
    <w:p w:rsidR="00252F75" w:rsidRPr="00A55E82" w:rsidRDefault="00252F75" w:rsidP="00252F75">
      <w:pPr>
        <w:pStyle w:val="CM12"/>
        <w:rPr>
          <w:rFonts w:ascii="Times New Roman" w:hAnsi="Times New Roman" w:cs="Times New Roman"/>
          <w:color w:val="000000"/>
          <w:sz w:val="22"/>
          <w:szCs w:val="22"/>
        </w:rPr>
      </w:pPr>
    </w:p>
    <w:p w:rsidR="00252F75" w:rsidRPr="00A55E82" w:rsidRDefault="00252F75" w:rsidP="00252F75">
      <w:pPr>
        <w:pStyle w:val="CM12"/>
        <w:rPr>
          <w:rFonts w:ascii="Times New Roman" w:hAnsi="Times New Roman" w:cs="Times New Roman"/>
          <w:color w:val="000000"/>
          <w:sz w:val="22"/>
          <w:szCs w:val="22"/>
        </w:rPr>
      </w:pPr>
    </w:p>
    <w:p w:rsidR="00252F75" w:rsidRPr="00A55E82" w:rsidRDefault="00252F75" w:rsidP="00252F75">
      <w:pPr>
        <w:pStyle w:val="Default"/>
        <w:numPr>
          <w:ilvl w:val="0"/>
          <w:numId w:val="1"/>
        </w:numPr>
        <w:ind w:hanging="720"/>
        <w:rPr>
          <w:rFonts w:ascii="Times New Roman" w:hAnsi="Times New Roman" w:cs="Times New Roman"/>
          <w:sz w:val="22"/>
          <w:szCs w:val="22"/>
        </w:rPr>
      </w:pPr>
      <w:r w:rsidRPr="00A55E82">
        <w:rPr>
          <w:rFonts w:ascii="Times New Roman" w:hAnsi="Times New Roman" w:cs="Times New Roman"/>
          <w:b/>
          <w:bCs/>
          <w:sz w:val="22"/>
          <w:szCs w:val="22"/>
        </w:rPr>
        <w:t>DÁTUM PRVEJ REGISTRÁCIE/PREDĹŽENIA REGISTRÁCIE</w:t>
      </w:r>
    </w:p>
    <w:p w:rsidR="00252F75" w:rsidRPr="000D0080" w:rsidRDefault="00252F75" w:rsidP="00252F75">
      <w:pPr>
        <w:pStyle w:val="Default"/>
        <w:rPr>
          <w:rFonts w:ascii="Times New Roman" w:hAnsi="Times New Roman" w:cs="Times New Roman"/>
          <w:bCs/>
          <w:sz w:val="22"/>
          <w:szCs w:val="22"/>
        </w:rPr>
      </w:pPr>
    </w:p>
    <w:p w:rsidR="00252F75" w:rsidRPr="00D029F3" w:rsidRDefault="00252F75" w:rsidP="00252F75">
      <w:pPr>
        <w:pStyle w:val="Zkladntext"/>
        <w:spacing w:after="0"/>
        <w:rPr>
          <w:sz w:val="22"/>
          <w:szCs w:val="22"/>
          <w:lang w:val="sk-SK"/>
        </w:rPr>
      </w:pPr>
      <w:r w:rsidRPr="00D029F3">
        <w:rPr>
          <w:sz w:val="22"/>
          <w:szCs w:val="22"/>
          <w:lang w:val="sk-SK"/>
        </w:rPr>
        <w:t>Dátum prvej registrácie: 30.12.1988</w:t>
      </w:r>
    </w:p>
    <w:p w:rsidR="00252F75" w:rsidRPr="00D029F3" w:rsidRDefault="00252F75" w:rsidP="00252F75">
      <w:pPr>
        <w:pStyle w:val="Zkladntext"/>
        <w:spacing w:after="0"/>
        <w:rPr>
          <w:b/>
          <w:sz w:val="22"/>
          <w:szCs w:val="22"/>
          <w:lang w:val="sk-SK"/>
        </w:rPr>
      </w:pPr>
      <w:r w:rsidRPr="00D029F3">
        <w:rPr>
          <w:noProof/>
          <w:sz w:val="22"/>
          <w:szCs w:val="22"/>
          <w:lang w:val="sk-SK"/>
        </w:rPr>
        <w:t>Dátum posledného predĺženia registrácie: 03.02.2004</w:t>
      </w:r>
    </w:p>
    <w:p w:rsidR="00252F75" w:rsidRPr="00A55E82" w:rsidRDefault="00252F75" w:rsidP="00252F75">
      <w:pPr>
        <w:pStyle w:val="Default"/>
        <w:rPr>
          <w:rFonts w:ascii="Times New Roman" w:hAnsi="Times New Roman" w:cs="Times New Roman"/>
          <w:bCs/>
          <w:sz w:val="22"/>
          <w:szCs w:val="22"/>
        </w:rPr>
      </w:pPr>
    </w:p>
    <w:p w:rsidR="00252F75" w:rsidRPr="00A55E82" w:rsidRDefault="00252F75" w:rsidP="00252F75">
      <w:pPr>
        <w:pStyle w:val="Default"/>
        <w:rPr>
          <w:rFonts w:ascii="Times New Roman" w:hAnsi="Times New Roman" w:cs="Times New Roman"/>
          <w:sz w:val="22"/>
          <w:szCs w:val="22"/>
        </w:rPr>
      </w:pPr>
    </w:p>
    <w:p w:rsidR="00252F75" w:rsidRPr="00A55E82" w:rsidRDefault="00252F75" w:rsidP="00252F75">
      <w:pPr>
        <w:pStyle w:val="Default"/>
        <w:numPr>
          <w:ilvl w:val="0"/>
          <w:numId w:val="1"/>
        </w:numPr>
        <w:ind w:hanging="720"/>
        <w:rPr>
          <w:rFonts w:ascii="Times New Roman" w:hAnsi="Times New Roman" w:cs="Times New Roman"/>
          <w:sz w:val="22"/>
          <w:szCs w:val="22"/>
        </w:rPr>
      </w:pPr>
      <w:r w:rsidRPr="00A55E82">
        <w:rPr>
          <w:rFonts w:ascii="Times New Roman" w:hAnsi="Times New Roman" w:cs="Times New Roman"/>
          <w:b/>
          <w:bCs/>
          <w:sz w:val="22"/>
          <w:szCs w:val="22"/>
        </w:rPr>
        <w:t>DÁTUM REVÍZIE TEXTU</w:t>
      </w:r>
    </w:p>
    <w:p w:rsidR="00252F75" w:rsidRPr="00A55E82" w:rsidRDefault="00252F75" w:rsidP="00252F75">
      <w:pPr>
        <w:pStyle w:val="Default"/>
        <w:rPr>
          <w:rFonts w:ascii="Times New Roman" w:hAnsi="Times New Roman" w:cs="Times New Roman"/>
          <w:sz w:val="22"/>
          <w:szCs w:val="22"/>
        </w:rPr>
      </w:pPr>
    </w:p>
    <w:p w:rsidR="00252F75" w:rsidRPr="00A55E82" w:rsidRDefault="00682277" w:rsidP="00252F75">
      <w:pPr>
        <w:pStyle w:val="CM2"/>
        <w:rPr>
          <w:rFonts w:ascii="Times New Roman" w:hAnsi="Times New Roman" w:cs="Times New Roman"/>
          <w:sz w:val="22"/>
          <w:szCs w:val="22"/>
        </w:rPr>
      </w:pPr>
      <w:r>
        <w:rPr>
          <w:rFonts w:ascii="Times New Roman" w:hAnsi="Times New Roman" w:cs="Times New Roman"/>
          <w:sz w:val="22"/>
          <w:szCs w:val="22"/>
        </w:rPr>
        <w:t>November</w:t>
      </w:r>
      <w:r w:rsidR="00252F75">
        <w:rPr>
          <w:rFonts w:ascii="Times New Roman" w:hAnsi="Times New Roman" w:cs="Times New Roman"/>
          <w:sz w:val="22"/>
          <w:szCs w:val="22"/>
        </w:rPr>
        <w:t xml:space="preserve"> 2017</w:t>
      </w:r>
    </w:p>
    <w:p w:rsidR="00252F75" w:rsidRPr="00A55E82" w:rsidRDefault="00252F75" w:rsidP="00252F75">
      <w:pPr>
        <w:spacing w:after="0" w:line="240" w:lineRule="auto"/>
      </w:pPr>
    </w:p>
    <w:p w:rsidR="00252F75" w:rsidRDefault="00252F75"/>
    <w:sectPr w:rsidR="00252F75" w:rsidSect="00252F75">
      <w:footerReference w:type="default" r:id="rId9"/>
      <w:headerReference w:type="first" r:id="rId10"/>
      <w:footerReference w:type="first" r:id="rId11"/>
      <w:pgSz w:w="11900" w:h="17340"/>
      <w:pgMar w:top="1134" w:right="1418" w:bottom="1134" w:left="1418" w:header="737" w:footer="737"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14" w:rsidRDefault="00F12D14" w:rsidP="00252F75">
      <w:pPr>
        <w:spacing w:after="0" w:line="240" w:lineRule="auto"/>
      </w:pPr>
      <w:r>
        <w:separator/>
      </w:r>
    </w:p>
  </w:endnote>
  <w:endnote w:type="continuationSeparator" w:id="0">
    <w:p w:rsidR="00F12D14" w:rsidRDefault="00F12D14" w:rsidP="0025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38435"/>
      <w:docPartObj>
        <w:docPartGallery w:val="Page Numbers (Bottom of Page)"/>
        <w:docPartUnique/>
      </w:docPartObj>
    </w:sdtPr>
    <w:sdtEndPr>
      <w:rPr>
        <w:rFonts w:ascii="Times New Roman" w:hAnsi="Times New Roman"/>
        <w:sz w:val="18"/>
        <w:szCs w:val="18"/>
      </w:rPr>
    </w:sdtEndPr>
    <w:sdtContent>
      <w:p w:rsidR="008A2F47" w:rsidRPr="008A2F47" w:rsidRDefault="008A2F47">
        <w:pPr>
          <w:pStyle w:val="Pta"/>
          <w:jc w:val="center"/>
          <w:rPr>
            <w:rFonts w:ascii="Times New Roman" w:hAnsi="Times New Roman"/>
            <w:sz w:val="18"/>
            <w:szCs w:val="18"/>
          </w:rPr>
        </w:pPr>
        <w:r w:rsidRPr="008A2F47">
          <w:rPr>
            <w:rFonts w:ascii="Times New Roman" w:hAnsi="Times New Roman"/>
            <w:sz w:val="18"/>
            <w:szCs w:val="18"/>
          </w:rPr>
          <w:fldChar w:fldCharType="begin"/>
        </w:r>
        <w:r w:rsidRPr="008A2F47">
          <w:rPr>
            <w:rFonts w:ascii="Times New Roman" w:hAnsi="Times New Roman"/>
            <w:sz w:val="18"/>
            <w:szCs w:val="18"/>
          </w:rPr>
          <w:instrText>PAGE   \* MERGEFORMAT</w:instrText>
        </w:r>
        <w:r w:rsidRPr="008A2F47">
          <w:rPr>
            <w:rFonts w:ascii="Times New Roman" w:hAnsi="Times New Roman"/>
            <w:sz w:val="18"/>
            <w:szCs w:val="18"/>
          </w:rPr>
          <w:fldChar w:fldCharType="separate"/>
        </w:r>
        <w:r>
          <w:rPr>
            <w:rFonts w:ascii="Times New Roman" w:hAnsi="Times New Roman"/>
            <w:noProof/>
            <w:sz w:val="18"/>
            <w:szCs w:val="18"/>
          </w:rPr>
          <w:t>6</w:t>
        </w:r>
        <w:r w:rsidRPr="008A2F47">
          <w:rPr>
            <w:rFonts w:ascii="Times New Roman" w:hAnsi="Times New Roman"/>
            <w:sz w:val="18"/>
            <w:szCs w:val="18"/>
          </w:rPr>
          <w:fldChar w:fldCharType="end"/>
        </w:r>
      </w:p>
    </w:sdtContent>
  </w:sdt>
  <w:p w:rsidR="008A2F47" w:rsidRDefault="008A2F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901501"/>
      <w:docPartObj>
        <w:docPartGallery w:val="Page Numbers (Bottom of Page)"/>
        <w:docPartUnique/>
      </w:docPartObj>
    </w:sdtPr>
    <w:sdtEndPr>
      <w:rPr>
        <w:rFonts w:ascii="Times New Roman" w:hAnsi="Times New Roman"/>
        <w:sz w:val="18"/>
        <w:szCs w:val="18"/>
      </w:rPr>
    </w:sdtEndPr>
    <w:sdtContent>
      <w:p w:rsidR="008A2F47" w:rsidRPr="008A2F47" w:rsidRDefault="008A2F47">
        <w:pPr>
          <w:pStyle w:val="Pta"/>
          <w:jc w:val="center"/>
          <w:rPr>
            <w:rFonts w:ascii="Times New Roman" w:hAnsi="Times New Roman"/>
            <w:sz w:val="18"/>
            <w:szCs w:val="18"/>
          </w:rPr>
        </w:pPr>
        <w:r w:rsidRPr="008A2F47">
          <w:rPr>
            <w:rFonts w:ascii="Times New Roman" w:hAnsi="Times New Roman"/>
            <w:sz w:val="18"/>
            <w:szCs w:val="18"/>
          </w:rPr>
          <w:fldChar w:fldCharType="begin"/>
        </w:r>
        <w:r w:rsidRPr="008A2F47">
          <w:rPr>
            <w:rFonts w:ascii="Times New Roman" w:hAnsi="Times New Roman"/>
            <w:sz w:val="18"/>
            <w:szCs w:val="18"/>
          </w:rPr>
          <w:instrText>PAGE   \* MERGEFORMAT</w:instrText>
        </w:r>
        <w:r w:rsidRPr="008A2F47">
          <w:rPr>
            <w:rFonts w:ascii="Times New Roman" w:hAnsi="Times New Roman"/>
            <w:sz w:val="18"/>
            <w:szCs w:val="18"/>
          </w:rPr>
          <w:fldChar w:fldCharType="separate"/>
        </w:r>
        <w:r>
          <w:rPr>
            <w:rFonts w:ascii="Times New Roman" w:hAnsi="Times New Roman"/>
            <w:noProof/>
            <w:sz w:val="18"/>
            <w:szCs w:val="18"/>
          </w:rPr>
          <w:t>1</w:t>
        </w:r>
        <w:r w:rsidRPr="008A2F47">
          <w:rPr>
            <w:rFonts w:ascii="Times New Roman" w:hAnsi="Times New Roman"/>
            <w:sz w:val="18"/>
            <w:szCs w:val="18"/>
          </w:rPr>
          <w:fldChar w:fldCharType="end"/>
        </w:r>
      </w:p>
    </w:sdtContent>
  </w:sdt>
  <w:p w:rsidR="008A2F47" w:rsidRDefault="008A2F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14" w:rsidRDefault="00F12D14" w:rsidP="00252F75">
      <w:pPr>
        <w:spacing w:after="0" w:line="240" w:lineRule="auto"/>
      </w:pPr>
      <w:r>
        <w:separator/>
      </w:r>
    </w:p>
  </w:footnote>
  <w:footnote w:type="continuationSeparator" w:id="0">
    <w:p w:rsidR="00F12D14" w:rsidRDefault="00F12D14" w:rsidP="00252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75" w:rsidRPr="00914F67" w:rsidRDefault="00845CC2" w:rsidP="00252F75">
    <w:pPr>
      <w:pStyle w:val="Nzov"/>
      <w:widowControl w:val="0"/>
      <w:spacing w:before="0"/>
      <w:jc w:val="left"/>
      <w:rPr>
        <w:b w:val="0"/>
      </w:rPr>
    </w:pPr>
    <w:r>
      <w:rPr>
        <w:b w:val="0"/>
        <w:sz w:val="18"/>
        <w:szCs w:val="18"/>
      </w:rPr>
      <w:t>Príloha č.2 k notifikácii o zmene, ev.č.: 2017/05870-ZIA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100"/>
    <w:multiLevelType w:val="hybridMultilevel"/>
    <w:tmpl w:val="49DCCD48"/>
    <w:lvl w:ilvl="0" w:tplc="5422FA26">
      <w:start w:val="9"/>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4CF182D"/>
    <w:multiLevelType w:val="hybridMultilevel"/>
    <w:tmpl w:val="F01E69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hyphenationZone w:val="425"/>
  <w:drawingGridHorizontalSpacing w:val="10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75"/>
    <w:rsid w:val="00037D3A"/>
    <w:rsid w:val="00252F75"/>
    <w:rsid w:val="0029098A"/>
    <w:rsid w:val="004F27E3"/>
    <w:rsid w:val="005351D8"/>
    <w:rsid w:val="00682277"/>
    <w:rsid w:val="00843488"/>
    <w:rsid w:val="00845CC2"/>
    <w:rsid w:val="008A2F47"/>
    <w:rsid w:val="00A43008"/>
    <w:rsid w:val="00E84FA4"/>
    <w:rsid w:val="00F12D14"/>
    <w:rsid w:val="00FD79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2F75"/>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2F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2F75"/>
  </w:style>
  <w:style w:type="paragraph" w:styleId="Pta">
    <w:name w:val="footer"/>
    <w:basedOn w:val="Normlny"/>
    <w:link w:val="PtaChar"/>
    <w:uiPriority w:val="99"/>
    <w:unhideWhenUsed/>
    <w:rsid w:val="00252F75"/>
    <w:pPr>
      <w:tabs>
        <w:tab w:val="center" w:pos="4536"/>
        <w:tab w:val="right" w:pos="9072"/>
      </w:tabs>
      <w:spacing w:after="0" w:line="240" w:lineRule="auto"/>
    </w:pPr>
  </w:style>
  <w:style w:type="character" w:customStyle="1" w:styleId="PtaChar">
    <w:name w:val="Päta Char"/>
    <w:basedOn w:val="Predvolenpsmoodseku"/>
    <w:link w:val="Pta"/>
    <w:uiPriority w:val="99"/>
    <w:rsid w:val="00252F75"/>
  </w:style>
  <w:style w:type="paragraph" w:styleId="Nzov">
    <w:name w:val="Title"/>
    <w:basedOn w:val="Normlny"/>
    <w:link w:val="NzovChar"/>
    <w:qFormat/>
    <w:rsid w:val="00252F75"/>
    <w:pPr>
      <w:spacing w:before="240" w:after="240" w:line="240" w:lineRule="auto"/>
      <w:jc w:val="center"/>
      <w:outlineLvl w:val="0"/>
    </w:pPr>
    <w:rPr>
      <w:rFonts w:ascii="Times New Roman" w:hAnsi="Times New Roman"/>
      <w:b/>
      <w:sz w:val="24"/>
      <w:szCs w:val="20"/>
      <w:lang w:val="en-US" w:eastAsia="en-GB"/>
    </w:rPr>
  </w:style>
  <w:style w:type="character" w:customStyle="1" w:styleId="NzovChar">
    <w:name w:val="Názov Char"/>
    <w:basedOn w:val="Predvolenpsmoodseku"/>
    <w:link w:val="Nzov"/>
    <w:rsid w:val="00252F75"/>
    <w:rPr>
      <w:rFonts w:ascii="Times New Roman" w:eastAsia="Times New Roman" w:hAnsi="Times New Roman" w:cs="Times New Roman"/>
      <w:b/>
      <w:sz w:val="24"/>
      <w:szCs w:val="20"/>
      <w:lang w:val="en-US" w:eastAsia="en-GB"/>
    </w:rPr>
  </w:style>
  <w:style w:type="paragraph" w:customStyle="1" w:styleId="Default">
    <w:name w:val="Default"/>
    <w:rsid w:val="00252F75"/>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M2">
    <w:name w:val="CM2"/>
    <w:basedOn w:val="Default"/>
    <w:next w:val="Default"/>
    <w:rsid w:val="00252F75"/>
    <w:rPr>
      <w:color w:val="auto"/>
    </w:rPr>
  </w:style>
  <w:style w:type="paragraph" w:customStyle="1" w:styleId="CM10">
    <w:name w:val="CM10"/>
    <w:basedOn w:val="Default"/>
    <w:next w:val="Default"/>
    <w:rsid w:val="00252F75"/>
    <w:rPr>
      <w:color w:val="auto"/>
    </w:rPr>
  </w:style>
  <w:style w:type="paragraph" w:customStyle="1" w:styleId="CM11">
    <w:name w:val="CM11"/>
    <w:basedOn w:val="Default"/>
    <w:next w:val="Default"/>
    <w:rsid w:val="00252F75"/>
    <w:rPr>
      <w:color w:val="auto"/>
    </w:rPr>
  </w:style>
  <w:style w:type="paragraph" w:customStyle="1" w:styleId="CM4">
    <w:name w:val="CM4"/>
    <w:basedOn w:val="Default"/>
    <w:next w:val="Default"/>
    <w:rsid w:val="00252F75"/>
    <w:pPr>
      <w:spacing w:line="346" w:lineRule="atLeast"/>
    </w:pPr>
    <w:rPr>
      <w:color w:val="auto"/>
    </w:rPr>
  </w:style>
  <w:style w:type="paragraph" w:customStyle="1" w:styleId="CM5">
    <w:name w:val="CM5"/>
    <w:basedOn w:val="Default"/>
    <w:next w:val="Default"/>
    <w:rsid w:val="00252F75"/>
    <w:pPr>
      <w:spacing w:line="348" w:lineRule="atLeast"/>
    </w:pPr>
    <w:rPr>
      <w:color w:val="auto"/>
    </w:rPr>
  </w:style>
  <w:style w:type="paragraph" w:customStyle="1" w:styleId="CM12">
    <w:name w:val="CM12"/>
    <w:basedOn w:val="Default"/>
    <w:next w:val="Default"/>
    <w:rsid w:val="00252F75"/>
    <w:rPr>
      <w:color w:val="auto"/>
    </w:rPr>
  </w:style>
  <w:style w:type="character" w:styleId="Hypertextovprepojenie">
    <w:name w:val="Hyperlink"/>
    <w:rsid w:val="00252F75"/>
    <w:rPr>
      <w:rFonts w:cs="Times New Roman"/>
      <w:color w:val="0000FF"/>
      <w:u w:val="single"/>
    </w:rPr>
  </w:style>
  <w:style w:type="paragraph" w:styleId="Zkladntext">
    <w:name w:val="Body Text"/>
    <w:basedOn w:val="Normlny"/>
    <w:link w:val="ZkladntextChar"/>
    <w:rsid w:val="00252F75"/>
    <w:pPr>
      <w:spacing w:after="60" w:line="240" w:lineRule="auto"/>
      <w:jc w:val="both"/>
    </w:pPr>
    <w:rPr>
      <w:rFonts w:ascii="Times New Roman" w:eastAsia="MS Mincho" w:hAnsi="Times New Roman"/>
      <w:sz w:val="24"/>
      <w:szCs w:val="24"/>
      <w:lang w:val="fr-FR" w:eastAsia="fr-FR"/>
    </w:rPr>
  </w:style>
  <w:style w:type="character" w:customStyle="1" w:styleId="ZkladntextChar">
    <w:name w:val="Základný text Char"/>
    <w:basedOn w:val="Predvolenpsmoodseku"/>
    <w:link w:val="Zkladntext"/>
    <w:rsid w:val="00252F75"/>
    <w:rPr>
      <w:rFonts w:ascii="Times New Roman" w:eastAsia="MS Mincho" w:hAnsi="Times New Roman" w:cs="Times New Roman"/>
      <w:sz w:val="24"/>
      <w:szCs w:val="24"/>
      <w:lang w:val="fr-FR" w:eastAsia="fr-FR"/>
    </w:rPr>
  </w:style>
  <w:style w:type="paragraph" w:styleId="Textbubliny">
    <w:name w:val="Balloon Text"/>
    <w:basedOn w:val="Normlny"/>
    <w:link w:val="TextbublinyChar"/>
    <w:uiPriority w:val="99"/>
    <w:semiHidden/>
    <w:unhideWhenUsed/>
    <w:rsid w:val="002909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098A"/>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2F75"/>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2F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2F75"/>
  </w:style>
  <w:style w:type="paragraph" w:styleId="Pta">
    <w:name w:val="footer"/>
    <w:basedOn w:val="Normlny"/>
    <w:link w:val="PtaChar"/>
    <w:uiPriority w:val="99"/>
    <w:unhideWhenUsed/>
    <w:rsid w:val="00252F75"/>
    <w:pPr>
      <w:tabs>
        <w:tab w:val="center" w:pos="4536"/>
        <w:tab w:val="right" w:pos="9072"/>
      </w:tabs>
      <w:spacing w:after="0" w:line="240" w:lineRule="auto"/>
    </w:pPr>
  </w:style>
  <w:style w:type="character" w:customStyle="1" w:styleId="PtaChar">
    <w:name w:val="Päta Char"/>
    <w:basedOn w:val="Predvolenpsmoodseku"/>
    <w:link w:val="Pta"/>
    <w:uiPriority w:val="99"/>
    <w:rsid w:val="00252F75"/>
  </w:style>
  <w:style w:type="paragraph" w:styleId="Nzov">
    <w:name w:val="Title"/>
    <w:basedOn w:val="Normlny"/>
    <w:link w:val="NzovChar"/>
    <w:qFormat/>
    <w:rsid w:val="00252F75"/>
    <w:pPr>
      <w:spacing w:before="240" w:after="240" w:line="240" w:lineRule="auto"/>
      <w:jc w:val="center"/>
      <w:outlineLvl w:val="0"/>
    </w:pPr>
    <w:rPr>
      <w:rFonts w:ascii="Times New Roman" w:hAnsi="Times New Roman"/>
      <w:b/>
      <w:sz w:val="24"/>
      <w:szCs w:val="20"/>
      <w:lang w:val="en-US" w:eastAsia="en-GB"/>
    </w:rPr>
  </w:style>
  <w:style w:type="character" w:customStyle="1" w:styleId="NzovChar">
    <w:name w:val="Názov Char"/>
    <w:basedOn w:val="Predvolenpsmoodseku"/>
    <w:link w:val="Nzov"/>
    <w:rsid w:val="00252F75"/>
    <w:rPr>
      <w:rFonts w:ascii="Times New Roman" w:eastAsia="Times New Roman" w:hAnsi="Times New Roman" w:cs="Times New Roman"/>
      <w:b/>
      <w:sz w:val="24"/>
      <w:szCs w:val="20"/>
      <w:lang w:val="en-US" w:eastAsia="en-GB"/>
    </w:rPr>
  </w:style>
  <w:style w:type="paragraph" w:customStyle="1" w:styleId="Default">
    <w:name w:val="Default"/>
    <w:rsid w:val="00252F75"/>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M2">
    <w:name w:val="CM2"/>
    <w:basedOn w:val="Default"/>
    <w:next w:val="Default"/>
    <w:rsid w:val="00252F75"/>
    <w:rPr>
      <w:color w:val="auto"/>
    </w:rPr>
  </w:style>
  <w:style w:type="paragraph" w:customStyle="1" w:styleId="CM10">
    <w:name w:val="CM10"/>
    <w:basedOn w:val="Default"/>
    <w:next w:val="Default"/>
    <w:rsid w:val="00252F75"/>
    <w:rPr>
      <w:color w:val="auto"/>
    </w:rPr>
  </w:style>
  <w:style w:type="paragraph" w:customStyle="1" w:styleId="CM11">
    <w:name w:val="CM11"/>
    <w:basedOn w:val="Default"/>
    <w:next w:val="Default"/>
    <w:rsid w:val="00252F75"/>
    <w:rPr>
      <w:color w:val="auto"/>
    </w:rPr>
  </w:style>
  <w:style w:type="paragraph" w:customStyle="1" w:styleId="CM4">
    <w:name w:val="CM4"/>
    <w:basedOn w:val="Default"/>
    <w:next w:val="Default"/>
    <w:rsid w:val="00252F75"/>
    <w:pPr>
      <w:spacing w:line="346" w:lineRule="atLeast"/>
    </w:pPr>
    <w:rPr>
      <w:color w:val="auto"/>
    </w:rPr>
  </w:style>
  <w:style w:type="paragraph" w:customStyle="1" w:styleId="CM5">
    <w:name w:val="CM5"/>
    <w:basedOn w:val="Default"/>
    <w:next w:val="Default"/>
    <w:rsid w:val="00252F75"/>
    <w:pPr>
      <w:spacing w:line="348" w:lineRule="atLeast"/>
    </w:pPr>
    <w:rPr>
      <w:color w:val="auto"/>
    </w:rPr>
  </w:style>
  <w:style w:type="paragraph" w:customStyle="1" w:styleId="CM12">
    <w:name w:val="CM12"/>
    <w:basedOn w:val="Default"/>
    <w:next w:val="Default"/>
    <w:rsid w:val="00252F75"/>
    <w:rPr>
      <w:color w:val="auto"/>
    </w:rPr>
  </w:style>
  <w:style w:type="character" w:styleId="Hypertextovprepojenie">
    <w:name w:val="Hyperlink"/>
    <w:rsid w:val="00252F75"/>
    <w:rPr>
      <w:rFonts w:cs="Times New Roman"/>
      <w:color w:val="0000FF"/>
      <w:u w:val="single"/>
    </w:rPr>
  </w:style>
  <w:style w:type="paragraph" w:styleId="Zkladntext">
    <w:name w:val="Body Text"/>
    <w:basedOn w:val="Normlny"/>
    <w:link w:val="ZkladntextChar"/>
    <w:rsid w:val="00252F75"/>
    <w:pPr>
      <w:spacing w:after="60" w:line="240" w:lineRule="auto"/>
      <w:jc w:val="both"/>
    </w:pPr>
    <w:rPr>
      <w:rFonts w:ascii="Times New Roman" w:eastAsia="MS Mincho" w:hAnsi="Times New Roman"/>
      <w:sz w:val="24"/>
      <w:szCs w:val="24"/>
      <w:lang w:val="fr-FR" w:eastAsia="fr-FR"/>
    </w:rPr>
  </w:style>
  <w:style w:type="character" w:customStyle="1" w:styleId="ZkladntextChar">
    <w:name w:val="Základný text Char"/>
    <w:basedOn w:val="Predvolenpsmoodseku"/>
    <w:link w:val="Zkladntext"/>
    <w:rsid w:val="00252F75"/>
    <w:rPr>
      <w:rFonts w:ascii="Times New Roman" w:eastAsia="MS Mincho" w:hAnsi="Times New Roman" w:cs="Times New Roman"/>
      <w:sz w:val="24"/>
      <w:szCs w:val="24"/>
      <w:lang w:val="fr-FR" w:eastAsia="fr-FR"/>
    </w:rPr>
  </w:style>
  <w:style w:type="paragraph" w:styleId="Textbubliny">
    <w:name w:val="Balloon Text"/>
    <w:basedOn w:val="Normlny"/>
    <w:link w:val="TextbublinyChar"/>
    <w:uiPriority w:val="99"/>
    <w:semiHidden/>
    <w:unhideWhenUsed/>
    <w:rsid w:val="002909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098A"/>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3000</Words>
  <Characters>17103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Malychová, Daniela</dc:creator>
  <cp:lastModifiedBy>Skladaná, Judita</cp:lastModifiedBy>
  <cp:revision>2</cp:revision>
  <cp:lastPrinted>2017-11-21T09:56:00Z</cp:lastPrinted>
  <dcterms:created xsi:type="dcterms:W3CDTF">2017-11-21T09:57:00Z</dcterms:created>
  <dcterms:modified xsi:type="dcterms:W3CDTF">2017-11-21T09:57:00Z</dcterms:modified>
</cp:coreProperties>
</file>