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808" w:rsidRDefault="009B0808" w:rsidP="003D4D81">
      <w:pPr>
        <w:pStyle w:val="Hlavika"/>
        <w:rPr>
          <w:bCs/>
          <w:sz w:val="18"/>
          <w:szCs w:val="18"/>
          <w:lang w:val="sk-SK"/>
        </w:rPr>
      </w:pPr>
      <w:bookmarkStart w:id="0" w:name="_GoBack"/>
      <w:bookmarkEnd w:id="0"/>
      <w:r w:rsidRPr="009B0808">
        <w:rPr>
          <w:bCs/>
          <w:sz w:val="18"/>
          <w:szCs w:val="18"/>
          <w:lang w:val="sk-SK"/>
        </w:rPr>
        <w:t>Príloha  č.1 k notifikácii o zmene, ev. č.: 2017/03936</w:t>
      </w:r>
    </w:p>
    <w:p w:rsidR="003D4D81" w:rsidRPr="003D4D81" w:rsidRDefault="003D4D81" w:rsidP="00F31591">
      <w:pPr>
        <w:jc w:val="center"/>
        <w:outlineLvl w:val="0"/>
        <w:rPr>
          <w:b/>
          <w:sz w:val="22"/>
          <w:szCs w:val="22"/>
          <w:lang w:val="sk-SK"/>
        </w:rPr>
      </w:pPr>
    </w:p>
    <w:p w:rsidR="00F31591" w:rsidRPr="003D4D81" w:rsidRDefault="00F31591" w:rsidP="00F31591">
      <w:pPr>
        <w:jc w:val="center"/>
        <w:outlineLvl w:val="0"/>
        <w:rPr>
          <w:sz w:val="22"/>
          <w:szCs w:val="22"/>
          <w:lang w:val="sk-SK"/>
        </w:rPr>
      </w:pPr>
      <w:r w:rsidRPr="003D4D81">
        <w:rPr>
          <w:b/>
          <w:sz w:val="22"/>
          <w:szCs w:val="22"/>
          <w:lang w:val="sk-SK"/>
        </w:rPr>
        <w:t>SÚHRN CHARAKTERISTICKÝCH VLASTNOSTÍ LIEKU</w:t>
      </w:r>
    </w:p>
    <w:p w:rsidR="00F31591" w:rsidRPr="003D4D81" w:rsidRDefault="00F31591" w:rsidP="00F31591">
      <w:pPr>
        <w:keepNext/>
        <w:tabs>
          <w:tab w:val="left" w:pos="567"/>
        </w:tabs>
        <w:suppressAutoHyphens/>
        <w:spacing w:after="0"/>
        <w:jc w:val="left"/>
        <w:rPr>
          <w:sz w:val="22"/>
          <w:szCs w:val="22"/>
          <w:lang w:val="sk-SK"/>
        </w:rPr>
      </w:pPr>
    </w:p>
    <w:p w:rsidR="00240D94" w:rsidRPr="003D4D81" w:rsidRDefault="00F31591" w:rsidP="00F31591">
      <w:pPr>
        <w:keepNext/>
        <w:tabs>
          <w:tab w:val="left" w:pos="567"/>
        </w:tabs>
        <w:suppressAutoHyphens/>
        <w:spacing w:after="0"/>
        <w:jc w:val="left"/>
        <w:rPr>
          <w:sz w:val="22"/>
          <w:szCs w:val="22"/>
          <w:lang w:val="sk-SK"/>
        </w:rPr>
      </w:pPr>
      <w:r w:rsidRPr="003D4D81">
        <w:rPr>
          <w:sz w:val="22"/>
          <w:szCs w:val="22"/>
          <w:lang w:val="sk-SK"/>
        </w:rPr>
        <w:t>1.</w:t>
      </w:r>
      <w:r w:rsidRPr="003D4D81">
        <w:rPr>
          <w:sz w:val="22"/>
          <w:szCs w:val="22"/>
          <w:lang w:val="sk-SK"/>
        </w:rPr>
        <w:tab/>
      </w:r>
      <w:r w:rsidR="00F875A4" w:rsidRPr="003D4D81">
        <w:rPr>
          <w:b/>
          <w:sz w:val="22"/>
          <w:szCs w:val="22"/>
          <w:lang w:val="sk-SK"/>
        </w:rPr>
        <w:t>NÁZOV LIEKU</w:t>
      </w:r>
    </w:p>
    <w:p w:rsidR="00262C35" w:rsidRPr="003D4D81" w:rsidRDefault="00262C35" w:rsidP="00572196">
      <w:pPr>
        <w:spacing w:after="0"/>
        <w:jc w:val="left"/>
        <w:rPr>
          <w:sz w:val="22"/>
          <w:szCs w:val="22"/>
          <w:lang w:val="sk-SK"/>
        </w:rPr>
      </w:pPr>
    </w:p>
    <w:p w:rsidR="00262C35" w:rsidRPr="003D4D81" w:rsidRDefault="00F31591" w:rsidP="00572196">
      <w:pPr>
        <w:spacing w:after="0"/>
        <w:jc w:val="left"/>
        <w:rPr>
          <w:sz w:val="22"/>
          <w:szCs w:val="22"/>
          <w:lang w:val="sk-SK"/>
        </w:rPr>
      </w:pPr>
      <w:r w:rsidRPr="003D4D81">
        <w:rPr>
          <w:sz w:val="22"/>
          <w:szCs w:val="22"/>
          <w:lang w:val="sk-SK"/>
        </w:rPr>
        <w:t>Ilibrift</w:t>
      </w:r>
      <w:r w:rsidR="00FC787D" w:rsidRPr="003D4D81">
        <w:rPr>
          <w:sz w:val="22"/>
          <w:szCs w:val="22"/>
          <w:lang w:val="sk-SK"/>
        </w:rPr>
        <w:t xml:space="preserve"> </w:t>
      </w:r>
      <w:r w:rsidR="00E537F4" w:rsidRPr="003D4D81">
        <w:rPr>
          <w:sz w:val="22"/>
          <w:szCs w:val="22"/>
          <w:lang w:val="sk-SK"/>
        </w:rPr>
        <w:t>5</w:t>
      </w:r>
      <w:r w:rsidR="00C230A9" w:rsidRPr="003D4D81">
        <w:rPr>
          <w:sz w:val="22"/>
          <w:szCs w:val="22"/>
          <w:lang w:val="sk-SK"/>
        </w:rPr>
        <w:t> mg</w:t>
      </w:r>
      <w:r w:rsidR="00787AA4" w:rsidRPr="003D4D81">
        <w:rPr>
          <w:sz w:val="22"/>
          <w:szCs w:val="22"/>
          <w:lang w:val="sk-SK"/>
        </w:rPr>
        <w:t xml:space="preserve"> </w:t>
      </w:r>
      <w:r w:rsidR="00767A50" w:rsidRPr="003D4D81">
        <w:rPr>
          <w:sz w:val="22"/>
          <w:szCs w:val="22"/>
          <w:lang w:val="sk-SK" w:eastAsia="en-GB"/>
        </w:rPr>
        <w:t>filmom obalené tablety</w:t>
      </w:r>
    </w:p>
    <w:p w:rsidR="00332432" w:rsidRPr="003D4D81" w:rsidRDefault="00F31591" w:rsidP="00572196">
      <w:pPr>
        <w:spacing w:after="0"/>
        <w:jc w:val="left"/>
        <w:rPr>
          <w:sz w:val="22"/>
          <w:szCs w:val="22"/>
          <w:lang w:val="sk-SK"/>
        </w:rPr>
      </w:pPr>
      <w:r w:rsidRPr="003D4D81">
        <w:rPr>
          <w:sz w:val="22"/>
          <w:szCs w:val="22"/>
          <w:shd w:val="clear" w:color="auto" w:fill="FFFFFF" w:themeFill="background1"/>
          <w:lang w:val="sk-SK"/>
        </w:rPr>
        <w:t>Ilibrift</w:t>
      </w:r>
      <w:r w:rsidR="0039353F" w:rsidRPr="003D4D81">
        <w:rPr>
          <w:sz w:val="22"/>
          <w:szCs w:val="22"/>
          <w:shd w:val="clear" w:color="auto" w:fill="FFFFFF" w:themeFill="background1"/>
          <w:lang w:val="sk-SK"/>
        </w:rPr>
        <w:t xml:space="preserve"> </w:t>
      </w:r>
      <w:r w:rsidR="00787AA4" w:rsidRPr="003D4D81">
        <w:rPr>
          <w:sz w:val="22"/>
          <w:szCs w:val="22"/>
          <w:shd w:val="clear" w:color="auto" w:fill="FFFFFF" w:themeFill="background1"/>
          <w:lang w:val="sk-SK"/>
        </w:rPr>
        <w:t>7</w:t>
      </w:r>
      <w:r w:rsidR="009A28FF" w:rsidRPr="003D4D81">
        <w:rPr>
          <w:sz w:val="22"/>
          <w:szCs w:val="22"/>
          <w:shd w:val="clear" w:color="auto" w:fill="FFFFFF" w:themeFill="background1"/>
          <w:lang w:val="sk-SK"/>
        </w:rPr>
        <w:t>,</w:t>
      </w:r>
      <w:r w:rsidR="00787AA4" w:rsidRPr="003D4D81">
        <w:rPr>
          <w:sz w:val="22"/>
          <w:szCs w:val="22"/>
          <w:shd w:val="clear" w:color="auto" w:fill="FFFFFF" w:themeFill="background1"/>
          <w:lang w:val="sk-SK"/>
        </w:rPr>
        <w:t>5</w:t>
      </w:r>
      <w:r w:rsidR="00C230A9" w:rsidRPr="003D4D81">
        <w:rPr>
          <w:sz w:val="22"/>
          <w:szCs w:val="22"/>
          <w:shd w:val="clear" w:color="auto" w:fill="FFFFFF" w:themeFill="background1"/>
          <w:lang w:val="sk-SK"/>
        </w:rPr>
        <w:t> mg</w:t>
      </w:r>
      <w:r w:rsidR="00332432" w:rsidRPr="003D4D81">
        <w:rPr>
          <w:sz w:val="22"/>
          <w:szCs w:val="22"/>
          <w:shd w:val="clear" w:color="auto" w:fill="FFFFFF" w:themeFill="background1"/>
          <w:lang w:val="sk-SK"/>
        </w:rPr>
        <w:t xml:space="preserve"> </w:t>
      </w:r>
      <w:r w:rsidR="008D507E" w:rsidRPr="003D4D81">
        <w:rPr>
          <w:sz w:val="22"/>
          <w:szCs w:val="22"/>
          <w:shd w:val="clear" w:color="auto" w:fill="FFFFFF" w:themeFill="background1"/>
          <w:lang w:val="sk-SK" w:eastAsia="en-GB"/>
        </w:rPr>
        <w:t>filmom obalené tablety</w:t>
      </w:r>
    </w:p>
    <w:p w:rsidR="006753C9" w:rsidRPr="003D4D81" w:rsidRDefault="006753C9" w:rsidP="00572196">
      <w:pPr>
        <w:spacing w:after="0"/>
        <w:jc w:val="left"/>
        <w:rPr>
          <w:sz w:val="22"/>
          <w:szCs w:val="22"/>
          <w:lang w:val="sk-SK"/>
        </w:rPr>
      </w:pPr>
    </w:p>
    <w:p w:rsidR="000D4816" w:rsidRPr="003D4D81" w:rsidRDefault="000D4816" w:rsidP="00572196">
      <w:pPr>
        <w:spacing w:after="0"/>
        <w:jc w:val="left"/>
        <w:rPr>
          <w:sz w:val="22"/>
          <w:szCs w:val="22"/>
          <w:lang w:val="sk-SK"/>
        </w:rPr>
      </w:pPr>
    </w:p>
    <w:p w:rsidR="00F875A4" w:rsidRPr="003D4D81" w:rsidRDefault="00F31591" w:rsidP="00F31591">
      <w:pPr>
        <w:keepNext/>
        <w:tabs>
          <w:tab w:val="left" w:pos="567"/>
        </w:tabs>
        <w:suppressAutoHyphens/>
        <w:spacing w:after="0"/>
        <w:jc w:val="left"/>
        <w:rPr>
          <w:sz w:val="22"/>
          <w:szCs w:val="22"/>
          <w:lang w:val="sk-SK"/>
        </w:rPr>
      </w:pPr>
      <w:r w:rsidRPr="003D4D81">
        <w:rPr>
          <w:b/>
          <w:sz w:val="22"/>
          <w:szCs w:val="22"/>
          <w:lang w:val="sk-SK"/>
        </w:rPr>
        <w:t>2.</w:t>
      </w:r>
      <w:r w:rsidRPr="003D4D81">
        <w:rPr>
          <w:b/>
          <w:sz w:val="22"/>
          <w:szCs w:val="22"/>
          <w:lang w:val="sk-SK"/>
        </w:rPr>
        <w:tab/>
      </w:r>
      <w:r w:rsidR="00F875A4" w:rsidRPr="003D4D81">
        <w:rPr>
          <w:b/>
          <w:sz w:val="22"/>
          <w:szCs w:val="22"/>
          <w:lang w:val="sk-SK"/>
        </w:rPr>
        <w:t>KVALITATÍVNE A</w:t>
      </w:r>
      <w:r w:rsidRPr="003D4D81">
        <w:rPr>
          <w:b/>
          <w:noProof/>
          <w:sz w:val="22"/>
          <w:szCs w:val="22"/>
          <w:lang w:val="sk-SK"/>
        </w:rPr>
        <w:t> </w:t>
      </w:r>
      <w:r w:rsidR="00F875A4" w:rsidRPr="003D4D81">
        <w:rPr>
          <w:b/>
          <w:sz w:val="22"/>
          <w:szCs w:val="22"/>
          <w:lang w:val="sk-SK"/>
        </w:rPr>
        <w:t>KVANTITATÍVNE ZLOŽENIE</w:t>
      </w:r>
    </w:p>
    <w:p w:rsidR="001B6FE2" w:rsidRPr="003D4D81" w:rsidRDefault="001B6FE2" w:rsidP="001B6FE2">
      <w:pPr>
        <w:pStyle w:val="EMA2SPC"/>
        <w:rPr>
          <w:lang w:val="sk-SK"/>
        </w:rPr>
      </w:pPr>
    </w:p>
    <w:p w:rsidR="007A34DE" w:rsidRPr="003D4D81" w:rsidRDefault="00F31591" w:rsidP="00572196">
      <w:pPr>
        <w:spacing w:after="0"/>
        <w:jc w:val="left"/>
        <w:rPr>
          <w:sz w:val="22"/>
          <w:szCs w:val="22"/>
          <w:lang w:val="sk-SK"/>
        </w:rPr>
      </w:pPr>
      <w:r w:rsidRPr="003D4D81">
        <w:rPr>
          <w:sz w:val="22"/>
          <w:szCs w:val="22"/>
          <w:lang w:val="sk-SK"/>
        </w:rPr>
        <w:t>Ilibrift</w:t>
      </w:r>
      <w:r w:rsidR="007A34DE" w:rsidRPr="003D4D81">
        <w:rPr>
          <w:sz w:val="22"/>
          <w:szCs w:val="22"/>
          <w:lang w:val="sk-SK"/>
        </w:rPr>
        <w:t xml:space="preserve"> 5</w:t>
      </w:r>
      <w:r w:rsidR="00C230A9" w:rsidRPr="003D4D81">
        <w:rPr>
          <w:sz w:val="22"/>
          <w:szCs w:val="22"/>
          <w:lang w:val="sk-SK"/>
        </w:rPr>
        <w:t> mg</w:t>
      </w:r>
      <w:r w:rsidR="007111D5" w:rsidRPr="003D4D81">
        <w:rPr>
          <w:sz w:val="22"/>
          <w:szCs w:val="22"/>
          <w:lang w:val="sk-SK"/>
        </w:rPr>
        <w:t xml:space="preserve"> </w:t>
      </w:r>
      <w:r w:rsidR="008D507E" w:rsidRPr="003D4D81">
        <w:rPr>
          <w:sz w:val="22"/>
          <w:szCs w:val="22"/>
          <w:lang w:val="sk-SK" w:eastAsia="en-GB"/>
        </w:rPr>
        <w:t>filmom obalené tablety</w:t>
      </w:r>
      <w:r w:rsidR="007A34DE" w:rsidRPr="003D4D81">
        <w:rPr>
          <w:sz w:val="22"/>
          <w:szCs w:val="22"/>
          <w:lang w:val="sk-SK"/>
        </w:rPr>
        <w:t>:</w:t>
      </w:r>
    </w:p>
    <w:p w:rsidR="00B22BA2" w:rsidRPr="003D4D81" w:rsidRDefault="008D507E" w:rsidP="00572196">
      <w:pPr>
        <w:spacing w:after="0"/>
        <w:jc w:val="left"/>
        <w:rPr>
          <w:sz w:val="22"/>
          <w:szCs w:val="22"/>
          <w:lang w:val="sk-SK"/>
        </w:rPr>
      </w:pPr>
      <w:r w:rsidRPr="003D4D81">
        <w:rPr>
          <w:sz w:val="22"/>
          <w:szCs w:val="22"/>
          <w:lang w:val="sk-SK" w:eastAsia="en-GB"/>
        </w:rPr>
        <w:t>Jedna filmom obalená tableta obsahuje 5</w:t>
      </w:r>
      <w:r w:rsidR="00C230A9" w:rsidRPr="003D4D81">
        <w:rPr>
          <w:sz w:val="22"/>
          <w:szCs w:val="22"/>
          <w:lang w:val="sk-SK" w:eastAsia="en-GB"/>
        </w:rPr>
        <w:t> mg</w:t>
      </w:r>
      <w:r w:rsidRPr="003D4D81">
        <w:rPr>
          <w:sz w:val="22"/>
          <w:szCs w:val="22"/>
          <w:lang w:val="sk-SK" w:eastAsia="en-GB"/>
        </w:rPr>
        <w:t xml:space="preserve"> ivabradínu</w:t>
      </w:r>
      <w:r w:rsidRPr="003D4D81">
        <w:rPr>
          <w:sz w:val="22"/>
          <w:szCs w:val="22"/>
          <w:lang w:val="sk-SK"/>
        </w:rPr>
        <w:t xml:space="preserve"> </w:t>
      </w:r>
      <w:r w:rsidR="00B22BA2" w:rsidRPr="003D4D81">
        <w:rPr>
          <w:sz w:val="22"/>
          <w:szCs w:val="22"/>
          <w:lang w:val="sk-SK"/>
        </w:rPr>
        <w:t>(</w:t>
      </w:r>
      <w:r w:rsidR="00F31591" w:rsidRPr="003D4D81">
        <w:rPr>
          <w:sz w:val="22"/>
          <w:szCs w:val="22"/>
          <w:lang w:val="sk-SK"/>
        </w:rPr>
        <w:t>čo zodpovedá 5,390</w:t>
      </w:r>
      <w:r w:rsidR="00C230A9" w:rsidRPr="003D4D81">
        <w:rPr>
          <w:sz w:val="22"/>
          <w:szCs w:val="22"/>
          <w:lang w:val="sk-SK"/>
        </w:rPr>
        <w:t> mg</w:t>
      </w:r>
      <w:r w:rsidR="00C545C2" w:rsidRPr="003D4D81">
        <w:rPr>
          <w:sz w:val="22"/>
          <w:szCs w:val="22"/>
          <w:lang w:val="sk-SK"/>
        </w:rPr>
        <w:t xml:space="preserve"> </w:t>
      </w:r>
      <w:r w:rsidR="00F31591" w:rsidRPr="003D4D81">
        <w:rPr>
          <w:sz w:val="22"/>
          <w:szCs w:val="22"/>
          <w:lang w:val="sk-SK"/>
        </w:rPr>
        <w:t>ivabradín</w:t>
      </w:r>
      <w:r w:rsidR="003D4D81" w:rsidRPr="003D4D81">
        <w:rPr>
          <w:sz w:val="22"/>
          <w:szCs w:val="22"/>
          <w:lang w:val="sk-SK"/>
        </w:rPr>
        <w:t>u</w:t>
      </w:r>
      <w:r w:rsidR="00476AB7" w:rsidRPr="003D4D81">
        <w:rPr>
          <w:sz w:val="22"/>
          <w:szCs w:val="22"/>
          <w:lang w:val="sk-SK"/>
        </w:rPr>
        <w:t xml:space="preserve"> </w:t>
      </w:r>
      <w:r w:rsidR="00C545C2" w:rsidRPr="003D4D81">
        <w:rPr>
          <w:sz w:val="22"/>
          <w:szCs w:val="22"/>
          <w:lang w:val="sk-SK"/>
        </w:rPr>
        <w:t>hydrochloridu</w:t>
      </w:r>
      <w:r w:rsidR="00B22BA2" w:rsidRPr="003D4D81">
        <w:rPr>
          <w:sz w:val="22"/>
          <w:szCs w:val="22"/>
          <w:lang w:val="sk-SK"/>
        </w:rPr>
        <w:t>).</w:t>
      </w:r>
    </w:p>
    <w:p w:rsidR="00B22BA2" w:rsidRPr="006411FF" w:rsidRDefault="00B22BA2" w:rsidP="00572196">
      <w:pPr>
        <w:spacing w:after="0"/>
        <w:jc w:val="left"/>
        <w:rPr>
          <w:sz w:val="22"/>
          <w:szCs w:val="22"/>
          <w:shd w:val="clear" w:color="auto" w:fill="D9D9D9"/>
          <w:lang w:val="sk-SK"/>
        </w:rPr>
      </w:pPr>
    </w:p>
    <w:p w:rsidR="006753C9" w:rsidRPr="003D4D81" w:rsidRDefault="00F31591" w:rsidP="00572196">
      <w:pPr>
        <w:spacing w:after="0"/>
        <w:jc w:val="left"/>
        <w:rPr>
          <w:sz w:val="22"/>
          <w:szCs w:val="22"/>
          <w:shd w:val="clear" w:color="auto" w:fill="D9D9D9"/>
          <w:lang w:val="sk-SK"/>
        </w:rPr>
      </w:pPr>
      <w:r w:rsidRPr="006411FF">
        <w:rPr>
          <w:sz w:val="22"/>
          <w:szCs w:val="22"/>
          <w:lang w:val="sk-SK"/>
        </w:rPr>
        <w:t>Ilibrift</w:t>
      </w:r>
      <w:r w:rsidR="0039353F" w:rsidRPr="006411FF">
        <w:rPr>
          <w:sz w:val="22"/>
          <w:szCs w:val="22"/>
          <w:lang w:val="sk-SK"/>
        </w:rPr>
        <w:t xml:space="preserve"> </w:t>
      </w:r>
      <w:r w:rsidR="00B22BA2" w:rsidRPr="006411FF">
        <w:rPr>
          <w:sz w:val="22"/>
          <w:szCs w:val="22"/>
          <w:lang w:val="sk-SK"/>
        </w:rPr>
        <w:t>7</w:t>
      </w:r>
      <w:r w:rsidR="009A28FF" w:rsidRPr="006411FF">
        <w:rPr>
          <w:sz w:val="22"/>
          <w:szCs w:val="22"/>
          <w:lang w:val="sk-SK"/>
        </w:rPr>
        <w:t>,</w:t>
      </w:r>
      <w:r w:rsidR="00B22BA2" w:rsidRPr="006411FF">
        <w:rPr>
          <w:sz w:val="22"/>
          <w:szCs w:val="22"/>
          <w:lang w:val="sk-SK"/>
        </w:rPr>
        <w:t>5</w:t>
      </w:r>
      <w:r w:rsidR="00C230A9" w:rsidRPr="006411FF">
        <w:rPr>
          <w:sz w:val="22"/>
          <w:szCs w:val="22"/>
          <w:lang w:val="sk-SK"/>
        </w:rPr>
        <w:t> mg</w:t>
      </w:r>
      <w:r w:rsidR="00B22BA2" w:rsidRPr="006411FF">
        <w:rPr>
          <w:sz w:val="22"/>
          <w:szCs w:val="22"/>
          <w:lang w:val="sk-SK"/>
        </w:rPr>
        <w:t xml:space="preserve"> </w:t>
      </w:r>
      <w:r w:rsidR="008D507E" w:rsidRPr="006411FF">
        <w:rPr>
          <w:sz w:val="22"/>
          <w:szCs w:val="22"/>
          <w:lang w:val="sk-SK"/>
        </w:rPr>
        <w:t>filmom</w:t>
      </w:r>
      <w:r w:rsidR="009A28FF" w:rsidRPr="006411FF">
        <w:rPr>
          <w:sz w:val="22"/>
          <w:szCs w:val="22"/>
          <w:lang w:val="sk-SK"/>
        </w:rPr>
        <w:t xml:space="preserve"> </w:t>
      </w:r>
      <w:r w:rsidR="008D507E" w:rsidRPr="006411FF">
        <w:rPr>
          <w:sz w:val="22"/>
          <w:szCs w:val="22"/>
          <w:lang w:val="sk-SK"/>
        </w:rPr>
        <w:t>obalené tablety</w:t>
      </w:r>
      <w:r w:rsidR="0052773D" w:rsidRPr="006411FF">
        <w:rPr>
          <w:sz w:val="22"/>
          <w:szCs w:val="22"/>
          <w:lang w:val="sk-SK"/>
        </w:rPr>
        <w:t>:</w:t>
      </w:r>
    </w:p>
    <w:p w:rsidR="00B22BA2" w:rsidRPr="003D4D81" w:rsidRDefault="008D507E" w:rsidP="00572196">
      <w:pPr>
        <w:spacing w:after="0"/>
        <w:jc w:val="left"/>
        <w:rPr>
          <w:sz w:val="22"/>
          <w:szCs w:val="22"/>
          <w:shd w:val="clear" w:color="auto" w:fill="D9D9D9"/>
          <w:lang w:val="sk-SK"/>
        </w:rPr>
      </w:pPr>
      <w:r w:rsidRPr="006411FF">
        <w:rPr>
          <w:sz w:val="22"/>
          <w:szCs w:val="22"/>
          <w:lang w:val="sk-SK"/>
        </w:rPr>
        <w:t>Jedna</w:t>
      </w:r>
      <w:r w:rsidR="00B22BA2" w:rsidRPr="006411FF">
        <w:rPr>
          <w:sz w:val="22"/>
          <w:szCs w:val="22"/>
          <w:lang w:val="sk-SK"/>
        </w:rPr>
        <w:t xml:space="preserve"> film</w:t>
      </w:r>
      <w:r w:rsidRPr="006411FF">
        <w:rPr>
          <w:sz w:val="22"/>
          <w:szCs w:val="22"/>
          <w:lang w:val="sk-SK"/>
        </w:rPr>
        <w:t>om</w:t>
      </w:r>
      <w:r w:rsidR="009A28FF" w:rsidRPr="006411FF">
        <w:rPr>
          <w:sz w:val="22"/>
          <w:szCs w:val="22"/>
          <w:lang w:val="sk-SK"/>
        </w:rPr>
        <w:t xml:space="preserve"> </w:t>
      </w:r>
      <w:r w:rsidRPr="006411FF">
        <w:rPr>
          <w:sz w:val="22"/>
          <w:szCs w:val="22"/>
          <w:lang w:val="sk-SK"/>
        </w:rPr>
        <w:t>obalená</w:t>
      </w:r>
      <w:r w:rsidR="00B22BA2" w:rsidRPr="006411FF">
        <w:rPr>
          <w:sz w:val="22"/>
          <w:szCs w:val="22"/>
          <w:lang w:val="sk-SK"/>
        </w:rPr>
        <w:t xml:space="preserve"> tablet</w:t>
      </w:r>
      <w:r w:rsidRPr="006411FF">
        <w:rPr>
          <w:sz w:val="22"/>
          <w:szCs w:val="22"/>
          <w:lang w:val="sk-SK"/>
        </w:rPr>
        <w:t>a</w:t>
      </w:r>
      <w:r w:rsidR="00B22BA2" w:rsidRPr="006411FF">
        <w:rPr>
          <w:sz w:val="22"/>
          <w:szCs w:val="22"/>
          <w:lang w:val="sk-SK"/>
        </w:rPr>
        <w:t xml:space="preserve"> </w:t>
      </w:r>
      <w:r w:rsidRPr="006411FF">
        <w:rPr>
          <w:sz w:val="22"/>
          <w:szCs w:val="22"/>
          <w:lang w:val="sk-SK"/>
        </w:rPr>
        <w:t>obsahuje</w:t>
      </w:r>
      <w:r w:rsidR="00B22BA2" w:rsidRPr="006411FF">
        <w:rPr>
          <w:sz w:val="22"/>
          <w:szCs w:val="22"/>
          <w:lang w:val="sk-SK"/>
        </w:rPr>
        <w:t xml:space="preserve"> 7</w:t>
      </w:r>
      <w:r w:rsidR="009A28FF" w:rsidRPr="006411FF">
        <w:rPr>
          <w:sz w:val="22"/>
          <w:szCs w:val="22"/>
          <w:lang w:val="sk-SK"/>
        </w:rPr>
        <w:t>,</w:t>
      </w:r>
      <w:r w:rsidR="00B22BA2" w:rsidRPr="006411FF">
        <w:rPr>
          <w:sz w:val="22"/>
          <w:szCs w:val="22"/>
          <w:lang w:val="sk-SK"/>
        </w:rPr>
        <w:t>5</w:t>
      </w:r>
      <w:r w:rsidR="00C230A9" w:rsidRPr="006411FF">
        <w:rPr>
          <w:sz w:val="22"/>
          <w:szCs w:val="22"/>
          <w:lang w:val="sk-SK"/>
        </w:rPr>
        <w:t> mg</w:t>
      </w:r>
      <w:r w:rsidR="00B22BA2" w:rsidRPr="006411FF">
        <w:rPr>
          <w:sz w:val="22"/>
          <w:szCs w:val="22"/>
          <w:lang w:val="sk-SK"/>
        </w:rPr>
        <w:t xml:space="preserve"> </w:t>
      </w:r>
      <w:r w:rsidRPr="006411FF">
        <w:rPr>
          <w:sz w:val="22"/>
          <w:szCs w:val="22"/>
          <w:lang w:val="sk-SK"/>
        </w:rPr>
        <w:t>ivabradínu</w:t>
      </w:r>
      <w:r w:rsidR="00B22BA2" w:rsidRPr="006411FF">
        <w:rPr>
          <w:sz w:val="22"/>
          <w:szCs w:val="22"/>
          <w:lang w:val="sk-SK"/>
        </w:rPr>
        <w:t xml:space="preserve"> (</w:t>
      </w:r>
      <w:r w:rsidR="00F31591" w:rsidRPr="006411FF">
        <w:rPr>
          <w:sz w:val="22"/>
          <w:szCs w:val="22"/>
          <w:lang w:val="sk-SK"/>
        </w:rPr>
        <w:t>čo zodpovedá 8,085</w:t>
      </w:r>
      <w:r w:rsidR="00C230A9" w:rsidRPr="006411FF">
        <w:rPr>
          <w:sz w:val="22"/>
          <w:szCs w:val="22"/>
          <w:lang w:val="sk-SK"/>
        </w:rPr>
        <w:t> mg</w:t>
      </w:r>
      <w:r w:rsidR="00F31591" w:rsidRPr="006411FF">
        <w:rPr>
          <w:sz w:val="22"/>
          <w:szCs w:val="22"/>
          <w:lang w:val="sk-SK"/>
        </w:rPr>
        <w:t xml:space="preserve"> ivabradín</w:t>
      </w:r>
      <w:r w:rsidR="003D4D81" w:rsidRPr="006411FF">
        <w:rPr>
          <w:sz w:val="22"/>
          <w:szCs w:val="22"/>
          <w:lang w:val="sk-SK"/>
        </w:rPr>
        <w:t>u</w:t>
      </w:r>
      <w:r w:rsidR="00476AB7" w:rsidRPr="006411FF">
        <w:rPr>
          <w:sz w:val="22"/>
          <w:szCs w:val="22"/>
          <w:lang w:val="sk-SK"/>
        </w:rPr>
        <w:t xml:space="preserve"> </w:t>
      </w:r>
      <w:r w:rsidR="00F31591" w:rsidRPr="006411FF">
        <w:rPr>
          <w:sz w:val="22"/>
          <w:szCs w:val="22"/>
          <w:lang w:val="sk-SK"/>
        </w:rPr>
        <w:t>hydrochloridu</w:t>
      </w:r>
      <w:r w:rsidR="00B22BA2" w:rsidRPr="006411FF">
        <w:rPr>
          <w:sz w:val="22"/>
          <w:szCs w:val="22"/>
          <w:lang w:val="sk-SK"/>
        </w:rPr>
        <w:t>).</w:t>
      </w:r>
    </w:p>
    <w:p w:rsidR="00B22BA2" w:rsidRPr="003D4D81" w:rsidRDefault="00B22BA2" w:rsidP="00572196">
      <w:pPr>
        <w:spacing w:after="0"/>
        <w:jc w:val="left"/>
        <w:rPr>
          <w:sz w:val="22"/>
          <w:szCs w:val="22"/>
          <w:lang w:val="sk-SK"/>
        </w:rPr>
      </w:pPr>
    </w:p>
    <w:p w:rsidR="00262C35" w:rsidRPr="003D4D81" w:rsidRDefault="00C545C2" w:rsidP="00572196">
      <w:pPr>
        <w:spacing w:after="0"/>
        <w:jc w:val="left"/>
        <w:rPr>
          <w:sz w:val="22"/>
          <w:szCs w:val="22"/>
          <w:lang w:val="sk-SK"/>
        </w:rPr>
      </w:pPr>
      <w:r w:rsidRPr="003D4D81">
        <w:rPr>
          <w:sz w:val="22"/>
          <w:szCs w:val="22"/>
          <w:lang w:val="sk-SK"/>
        </w:rPr>
        <w:t>Úplný zoznam pomocných látok, pozri časť 6.1.</w:t>
      </w:r>
    </w:p>
    <w:p w:rsidR="0013297D" w:rsidRPr="003D4D81" w:rsidRDefault="0013297D" w:rsidP="00572196">
      <w:pPr>
        <w:spacing w:after="0"/>
        <w:jc w:val="left"/>
        <w:rPr>
          <w:sz w:val="22"/>
          <w:szCs w:val="22"/>
          <w:lang w:val="sk-SK"/>
        </w:rPr>
      </w:pPr>
    </w:p>
    <w:p w:rsidR="00047B5D" w:rsidRPr="003D4D81" w:rsidRDefault="00047B5D" w:rsidP="00572196">
      <w:pPr>
        <w:spacing w:after="0"/>
        <w:jc w:val="left"/>
        <w:rPr>
          <w:sz w:val="22"/>
          <w:szCs w:val="22"/>
          <w:lang w:val="sk-SK"/>
        </w:rPr>
      </w:pPr>
    </w:p>
    <w:p w:rsidR="00F875A4" w:rsidRPr="003D4D81" w:rsidRDefault="00F31591" w:rsidP="00F31591">
      <w:pPr>
        <w:keepNext/>
        <w:tabs>
          <w:tab w:val="left" w:pos="567"/>
        </w:tabs>
        <w:suppressAutoHyphens/>
        <w:spacing w:after="0"/>
        <w:jc w:val="left"/>
        <w:rPr>
          <w:caps/>
          <w:sz w:val="22"/>
          <w:szCs w:val="22"/>
          <w:lang w:val="sk-SK"/>
        </w:rPr>
      </w:pPr>
      <w:r w:rsidRPr="003D4D81">
        <w:rPr>
          <w:b/>
          <w:sz w:val="22"/>
          <w:szCs w:val="22"/>
          <w:lang w:val="sk-SK"/>
        </w:rPr>
        <w:t>3.</w:t>
      </w:r>
      <w:r w:rsidRPr="003D4D81">
        <w:rPr>
          <w:b/>
          <w:sz w:val="22"/>
          <w:szCs w:val="22"/>
          <w:lang w:val="sk-SK"/>
        </w:rPr>
        <w:tab/>
      </w:r>
      <w:r w:rsidR="00F875A4" w:rsidRPr="003D4D81">
        <w:rPr>
          <w:b/>
          <w:sz w:val="22"/>
          <w:szCs w:val="22"/>
          <w:lang w:val="sk-SK"/>
        </w:rPr>
        <w:t>LIEKOVÁ FORMA</w:t>
      </w:r>
    </w:p>
    <w:p w:rsidR="00262C35" w:rsidRPr="003D4D81" w:rsidRDefault="00262C35" w:rsidP="00F875A4">
      <w:pPr>
        <w:pStyle w:val="EMA2SPC"/>
        <w:rPr>
          <w:lang w:val="sk-SK"/>
        </w:rPr>
      </w:pPr>
    </w:p>
    <w:p w:rsidR="00FE2878" w:rsidRPr="003D4D81" w:rsidRDefault="00C545C2" w:rsidP="00572196">
      <w:pPr>
        <w:spacing w:after="0"/>
        <w:jc w:val="left"/>
        <w:rPr>
          <w:sz w:val="22"/>
          <w:szCs w:val="22"/>
          <w:lang w:val="sk-SK" w:eastAsia="en-GB"/>
        </w:rPr>
      </w:pPr>
      <w:r w:rsidRPr="003D4D81">
        <w:rPr>
          <w:sz w:val="22"/>
          <w:szCs w:val="22"/>
          <w:lang w:val="sk-SK" w:eastAsia="en-GB"/>
        </w:rPr>
        <w:t>Filmom obalená tableta</w:t>
      </w:r>
    </w:p>
    <w:p w:rsidR="00C545C2" w:rsidRPr="003D4D81" w:rsidRDefault="00C545C2" w:rsidP="00572196">
      <w:pPr>
        <w:spacing w:after="0"/>
        <w:jc w:val="left"/>
        <w:rPr>
          <w:sz w:val="22"/>
          <w:szCs w:val="22"/>
          <w:lang w:val="sk-SK"/>
        </w:rPr>
      </w:pPr>
    </w:p>
    <w:p w:rsidR="00486B85" w:rsidRPr="003D4D81" w:rsidRDefault="00F31591" w:rsidP="00572196">
      <w:pPr>
        <w:spacing w:after="0"/>
        <w:jc w:val="left"/>
        <w:rPr>
          <w:sz w:val="22"/>
          <w:szCs w:val="22"/>
          <w:lang w:val="sk-SK"/>
        </w:rPr>
      </w:pPr>
      <w:r w:rsidRPr="003D4D81">
        <w:rPr>
          <w:sz w:val="22"/>
          <w:szCs w:val="22"/>
          <w:lang w:val="sk-SK"/>
        </w:rPr>
        <w:t>Ilibrift</w:t>
      </w:r>
      <w:r w:rsidR="00DD71BC" w:rsidRPr="003D4D81">
        <w:rPr>
          <w:sz w:val="22"/>
          <w:szCs w:val="22"/>
          <w:lang w:val="sk-SK"/>
        </w:rPr>
        <w:t xml:space="preserve"> </w:t>
      </w:r>
      <w:r w:rsidR="00486B85" w:rsidRPr="003D4D81">
        <w:rPr>
          <w:sz w:val="22"/>
          <w:szCs w:val="22"/>
          <w:lang w:val="sk-SK"/>
        </w:rPr>
        <w:t>5</w:t>
      </w:r>
      <w:r w:rsidR="00C230A9" w:rsidRPr="003D4D81">
        <w:rPr>
          <w:sz w:val="22"/>
          <w:szCs w:val="22"/>
          <w:lang w:val="sk-SK"/>
        </w:rPr>
        <w:t> mg</w:t>
      </w:r>
      <w:r w:rsidR="007111D5" w:rsidRPr="003D4D81">
        <w:rPr>
          <w:sz w:val="22"/>
          <w:szCs w:val="22"/>
          <w:lang w:val="sk-SK"/>
        </w:rPr>
        <w:t xml:space="preserve"> </w:t>
      </w:r>
      <w:r w:rsidR="00C545C2" w:rsidRPr="003D4D81">
        <w:rPr>
          <w:sz w:val="22"/>
          <w:szCs w:val="22"/>
          <w:lang w:val="sk-SK" w:eastAsia="en-GB"/>
        </w:rPr>
        <w:t>filmom obalené tablety</w:t>
      </w:r>
      <w:r w:rsidR="00486B85" w:rsidRPr="003D4D81">
        <w:rPr>
          <w:sz w:val="22"/>
          <w:szCs w:val="22"/>
          <w:lang w:val="sk-SK"/>
        </w:rPr>
        <w:t>:</w:t>
      </w:r>
    </w:p>
    <w:p w:rsidR="0039353F" w:rsidRPr="003D4D81" w:rsidDel="00EF4CF6" w:rsidRDefault="00C545C2" w:rsidP="00572196">
      <w:pPr>
        <w:spacing w:after="0"/>
        <w:jc w:val="left"/>
        <w:rPr>
          <w:sz w:val="22"/>
          <w:szCs w:val="22"/>
          <w:lang w:val="sk-SK"/>
        </w:rPr>
      </w:pPr>
      <w:r w:rsidRPr="003D4D81">
        <w:rPr>
          <w:sz w:val="22"/>
          <w:szCs w:val="22"/>
          <w:lang w:val="sk-SK" w:eastAsia="en-GB"/>
        </w:rPr>
        <w:t>Podlhovast</w:t>
      </w:r>
      <w:r w:rsidR="00112B27" w:rsidRPr="003D4D81">
        <w:rPr>
          <w:sz w:val="22"/>
          <w:szCs w:val="22"/>
          <w:lang w:val="sk-SK" w:eastAsia="en-GB"/>
        </w:rPr>
        <w:t>é</w:t>
      </w:r>
      <w:r w:rsidR="00486B85" w:rsidRPr="003D4D81">
        <w:rPr>
          <w:sz w:val="22"/>
          <w:szCs w:val="22"/>
          <w:lang w:val="sk-SK"/>
        </w:rPr>
        <w:t xml:space="preserve">, </w:t>
      </w:r>
      <w:r w:rsidR="000B2262" w:rsidRPr="003D4D81">
        <w:rPr>
          <w:sz w:val="22"/>
          <w:szCs w:val="22"/>
          <w:lang w:val="sk-SK"/>
        </w:rPr>
        <w:t>s</w:t>
      </w:r>
      <w:r w:rsidR="00F31591" w:rsidRPr="003D4D81">
        <w:rPr>
          <w:sz w:val="22"/>
          <w:szCs w:val="22"/>
          <w:lang w:val="sk-SK"/>
        </w:rPr>
        <w:t> </w:t>
      </w:r>
      <w:r w:rsidR="000B2262" w:rsidRPr="003D4D81">
        <w:rPr>
          <w:sz w:val="22"/>
          <w:szCs w:val="22"/>
          <w:lang w:val="sk-SK"/>
        </w:rPr>
        <w:t>deliacou ryhou na jednej strane a</w:t>
      </w:r>
      <w:r w:rsidR="00F31591" w:rsidRPr="003D4D81">
        <w:rPr>
          <w:sz w:val="22"/>
          <w:szCs w:val="22"/>
          <w:lang w:val="sk-SK"/>
        </w:rPr>
        <w:t> </w:t>
      </w:r>
      <w:r w:rsidR="000B2262" w:rsidRPr="003D4D81">
        <w:rPr>
          <w:sz w:val="22"/>
          <w:szCs w:val="22"/>
          <w:lang w:val="sk-SK"/>
        </w:rPr>
        <w:t>oboch hranách,</w:t>
      </w:r>
      <w:r w:rsidR="00486B85" w:rsidRPr="003D4D81">
        <w:rPr>
          <w:sz w:val="22"/>
          <w:szCs w:val="22"/>
          <w:lang w:val="sk-SK"/>
        </w:rPr>
        <w:t xml:space="preserve"> </w:t>
      </w:r>
      <w:r w:rsidR="00940D23" w:rsidRPr="003D4D81">
        <w:rPr>
          <w:sz w:val="22"/>
          <w:szCs w:val="22"/>
          <w:lang w:val="sk-SK"/>
        </w:rPr>
        <w:t>biel</w:t>
      </w:r>
      <w:r w:rsidR="00112B27" w:rsidRPr="003D4D81">
        <w:rPr>
          <w:sz w:val="22"/>
          <w:szCs w:val="22"/>
          <w:lang w:val="sk-SK"/>
        </w:rPr>
        <w:t>e</w:t>
      </w:r>
      <w:r w:rsidR="00940D23" w:rsidRPr="003D4D81">
        <w:rPr>
          <w:sz w:val="22"/>
          <w:szCs w:val="22"/>
          <w:lang w:val="sk-SK"/>
        </w:rPr>
        <w:t xml:space="preserve"> tablet</w:t>
      </w:r>
      <w:r w:rsidR="00112B27" w:rsidRPr="003D4D81">
        <w:rPr>
          <w:sz w:val="22"/>
          <w:szCs w:val="22"/>
          <w:lang w:val="sk-SK"/>
        </w:rPr>
        <w:t>y</w:t>
      </w:r>
      <w:r w:rsidR="00486B85" w:rsidRPr="003D4D81">
        <w:rPr>
          <w:sz w:val="22"/>
          <w:szCs w:val="22"/>
          <w:lang w:val="sk-SK"/>
        </w:rPr>
        <w:t xml:space="preserve"> </w:t>
      </w:r>
      <w:r w:rsidR="00940D23" w:rsidRPr="003D4D81">
        <w:rPr>
          <w:sz w:val="22"/>
          <w:szCs w:val="22"/>
          <w:lang w:val="sk-SK"/>
        </w:rPr>
        <w:t>s</w:t>
      </w:r>
      <w:r w:rsidR="00F31591" w:rsidRPr="003D4D81">
        <w:rPr>
          <w:sz w:val="22"/>
          <w:szCs w:val="22"/>
          <w:lang w:val="sk-SK"/>
        </w:rPr>
        <w:t> </w:t>
      </w:r>
      <w:r w:rsidR="00940D23" w:rsidRPr="003D4D81">
        <w:rPr>
          <w:sz w:val="22"/>
          <w:szCs w:val="22"/>
          <w:lang w:val="sk-SK"/>
        </w:rPr>
        <w:t>rozmermi</w:t>
      </w:r>
      <w:r w:rsidR="00486B85" w:rsidRPr="003D4D81">
        <w:rPr>
          <w:sz w:val="22"/>
          <w:szCs w:val="22"/>
          <w:lang w:val="sk-SK"/>
        </w:rPr>
        <w:t xml:space="preserve"> 4</w:t>
      </w:r>
      <w:r w:rsidR="00940D23" w:rsidRPr="003D4D81">
        <w:rPr>
          <w:sz w:val="22"/>
          <w:szCs w:val="22"/>
          <w:lang w:val="sk-SK"/>
        </w:rPr>
        <w:t>,</w:t>
      </w:r>
      <w:r w:rsidR="00486B85" w:rsidRPr="003D4D81">
        <w:rPr>
          <w:sz w:val="22"/>
          <w:szCs w:val="22"/>
          <w:lang w:val="sk-SK"/>
        </w:rPr>
        <w:t>8</w:t>
      </w:r>
      <w:r w:rsidR="00F31591" w:rsidRPr="003D4D81">
        <w:rPr>
          <w:sz w:val="22"/>
          <w:szCs w:val="22"/>
          <w:lang w:val="sk-SK"/>
        </w:rPr>
        <w:t>±0,3 </w:t>
      </w:r>
      <w:r w:rsidR="0052773D" w:rsidRPr="003D4D81">
        <w:rPr>
          <w:sz w:val="22"/>
          <w:szCs w:val="22"/>
          <w:lang w:val="sk-SK"/>
        </w:rPr>
        <w:t>×</w:t>
      </w:r>
      <w:r w:rsidR="00F31591" w:rsidRPr="003D4D81">
        <w:rPr>
          <w:sz w:val="22"/>
          <w:szCs w:val="22"/>
          <w:lang w:val="sk-SK"/>
        </w:rPr>
        <w:t> </w:t>
      </w:r>
      <w:r w:rsidR="00486B85" w:rsidRPr="003D4D81">
        <w:rPr>
          <w:sz w:val="22"/>
          <w:szCs w:val="22"/>
          <w:lang w:val="sk-SK"/>
        </w:rPr>
        <w:t>8</w:t>
      </w:r>
      <w:r w:rsidR="00940D23" w:rsidRPr="003D4D81">
        <w:rPr>
          <w:sz w:val="22"/>
          <w:szCs w:val="22"/>
          <w:lang w:val="sk-SK"/>
        </w:rPr>
        <w:t>,</w:t>
      </w:r>
      <w:r w:rsidR="00486B85" w:rsidRPr="003D4D81">
        <w:rPr>
          <w:sz w:val="22"/>
          <w:szCs w:val="22"/>
          <w:lang w:val="sk-SK"/>
        </w:rPr>
        <w:t>8</w:t>
      </w:r>
      <w:r w:rsidR="00F31591" w:rsidRPr="003D4D81">
        <w:rPr>
          <w:sz w:val="22"/>
          <w:szCs w:val="22"/>
          <w:lang w:val="sk-SK"/>
        </w:rPr>
        <w:t>±0,4 </w:t>
      </w:r>
      <w:r w:rsidR="00486B85" w:rsidRPr="003D4D81">
        <w:rPr>
          <w:sz w:val="22"/>
          <w:szCs w:val="22"/>
          <w:lang w:val="sk-SK"/>
        </w:rPr>
        <w:t xml:space="preserve">mm. </w:t>
      </w:r>
      <w:r w:rsidR="00940D23" w:rsidRPr="003D4D81">
        <w:rPr>
          <w:sz w:val="22"/>
          <w:szCs w:val="22"/>
          <w:lang w:val="sk-SK" w:eastAsia="en-GB"/>
        </w:rPr>
        <w:t>Tableta sa môže rozdeliť na rovnaké dávky.</w:t>
      </w:r>
    </w:p>
    <w:p w:rsidR="00486B85" w:rsidRPr="006411FF" w:rsidRDefault="00486B85" w:rsidP="00572196">
      <w:pPr>
        <w:spacing w:after="0"/>
        <w:jc w:val="left"/>
        <w:rPr>
          <w:sz w:val="22"/>
          <w:szCs w:val="22"/>
          <w:shd w:val="clear" w:color="auto" w:fill="D9D9D9"/>
          <w:lang w:val="sk-SK"/>
        </w:rPr>
      </w:pPr>
    </w:p>
    <w:p w:rsidR="00486B85" w:rsidRPr="006411FF" w:rsidRDefault="00F31591" w:rsidP="00572196">
      <w:pPr>
        <w:spacing w:after="0"/>
        <w:jc w:val="left"/>
        <w:rPr>
          <w:sz w:val="22"/>
          <w:szCs w:val="22"/>
          <w:shd w:val="clear" w:color="auto" w:fill="D9D9D9"/>
          <w:lang w:val="sk-SK"/>
        </w:rPr>
      </w:pPr>
      <w:r w:rsidRPr="006411FF">
        <w:rPr>
          <w:sz w:val="22"/>
          <w:szCs w:val="22"/>
          <w:lang w:val="sk-SK"/>
        </w:rPr>
        <w:t>Ilibrift</w:t>
      </w:r>
      <w:r w:rsidR="00DD71BC" w:rsidRPr="006411FF">
        <w:rPr>
          <w:sz w:val="22"/>
          <w:szCs w:val="22"/>
          <w:lang w:val="sk-SK"/>
        </w:rPr>
        <w:t xml:space="preserve"> </w:t>
      </w:r>
      <w:r w:rsidR="00B22BA2" w:rsidRPr="006411FF">
        <w:rPr>
          <w:sz w:val="22"/>
          <w:szCs w:val="22"/>
          <w:lang w:val="sk-SK"/>
        </w:rPr>
        <w:t>7</w:t>
      </w:r>
      <w:r w:rsidR="00940D23" w:rsidRPr="006411FF">
        <w:rPr>
          <w:sz w:val="22"/>
          <w:szCs w:val="22"/>
          <w:lang w:val="sk-SK"/>
        </w:rPr>
        <w:t>,</w:t>
      </w:r>
      <w:r w:rsidR="00B22BA2" w:rsidRPr="006411FF">
        <w:rPr>
          <w:sz w:val="22"/>
          <w:szCs w:val="22"/>
          <w:lang w:val="sk-SK"/>
        </w:rPr>
        <w:t>5</w:t>
      </w:r>
      <w:r w:rsidR="00C230A9" w:rsidRPr="006411FF">
        <w:rPr>
          <w:sz w:val="22"/>
          <w:szCs w:val="22"/>
          <w:lang w:val="sk-SK"/>
        </w:rPr>
        <w:t> mg</w:t>
      </w:r>
      <w:r w:rsidR="007111D5" w:rsidRPr="006411FF">
        <w:rPr>
          <w:sz w:val="22"/>
          <w:szCs w:val="22"/>
          <w:lang w:val="sk-SK"/>
        </w:rPr>
        <w:t xml:space="preserve"> </w:t>
      </w:r>
      <w:r w:rsidR="00C545C2" w:rsidRPr="006411FF">
        <w:rPr>
          <w:sz w:val="22"/>
          <w:szCs w:val="22"/>
          <w:lang w:val="sk-SK"/>
        </w:rPr>
        <w:t>filmom</w:t>
      </w:r>
      <w:r w:rsidR="009A28FF" w:rsidRPr="006411FF">
        <w:rPr>
          <w:sz w:val="22"/>
          <w:szCs w:val="22"/>
          <w:lang w:val="sk-SK"/>
        </w:rPr>
        <w:t xml:space="preserve"> </w:t>
      </w:r>
      <w:r w:rsidR="00C545C2" w:rsidRPr="006411FF">
        <w:rPr>
          <w:sz w:val="22"/>
          <w:szCs w:val="22"/>
          <w:lang w:val="sk-SK"/>
        </w:rPr>
        <w:t>obalené tablety</w:t>
      </w:r>
      <w:r w:rsidR="00ED5417" w:rsidRPr="006411FF">
        <w:rPr>
          <w:sz w:val="22"/>
          <w:szCs w:val="22"/>
          <w:lang w:val="sk-SK"/>
        </w:rPr>
        <w:t>:</w:t>
      </w:r>
    </w:p>
    <w:p w:rsidR="00DD71BC" w:rsidRPr="006411FF" w:rsidRDefault="00940D23" w:rsidP="00572196">
      <w:pPr>
        <w:spacing w:after="0"/>
        <w:jc w:val="left"/>
        <w:rPr>
          <w:sz w:val="22"/>
          <w:szCs w:val="22"/>
          <w:lang w:val="sk-SK"/>
        </w:rPr>
      </w:pPr>
      <w:r w:rsidRPr="006411FF">
        <w:rPr>
          <w:sz w:val="22"/>
          <w:szCs w:val="22"/>
          <w:lang w:val="sk-SK"/>
        </w:rPr>
        <w:t>Biel</w:t>
      </w:r>
      <w:r w:rsidR="00A47EDF" w:rsidRPr="006411FF">
        <w:rPr>
          <w:sz w:val="22"/>
          <w:szCs w:val="22"/>
          <w:lang w:val="sk-SK"/>
        </w:rPr>
        <w:t>e</w:t>
      </w:r>
      <w:r w:rsidRPr="006411FF">
        <w:rPr>
          <w:sz w:val="22"/>
          <w:szCs w:val="22"/>
          <w:lang w:val="sk-SK"/>
        </w:rPr>
        <w:t xml:space="preserve"> až takmer biel</w:t>
      </w:r>
      <w:r w:rsidR="00A47EDF" w:rsidRPr="006411FF">
        <w:rPr>
          <w:sz w:val="22"/>
          <w:szCs w:val="22"/>
          <w:lang w:val="sk-SK"/>
        </w:rPr>
        <w:t>e</w:t>
      </w:r>
      <w:r w:rsidR="00486B85" w:rsidRPr="006411FF">
        <w:rPr>
          <w:sz w:val="22"/>
          <w:szCs w:val="22"/>
          <w:lang w:val="sk-SK"/>
        </w:rPr>
        <w:t xml:space="preserve">, </w:t>
      </w:r>
      <w:r w:rsidR="00DC6F2E" w:rsidRPr="006411FF">
        <w:rPr>
          <w:sz w:val="22"/>
          <w:szCs w:val="22"/>
          <w:lang w:val="sk-SK"/>
        </w:rPr>
        <w:t>okrúhl</w:t>
      </w:r>
      <w:r w:rsidR="00A47EDF" w:rsidRPr="006411FF">
        <w:rPr>
          <w:sz w:val="22"/>
          <w:szCs w:val="22"/>
          <w:lang w:val="sk-SK"/>
        </w:rPr>
        <w:t>e</w:t>
      </w:r>
      <w:r w:rsidR="00DC6F2E" w:rsidRPr="006411FF">
        <w:rPr>
          <w:sz w:val="22"/>
          <w:szCs w:val="22"/>
          <w:lang w:val="sk-SK"/>
        </w:rPr>
        <w:t xml:space="preserve"> tablet</w:t>
      </w:r>
      <w:r w:rsidR="00A47EDF" w:rsidRPr="006411FF">
        <w:rPr>
          <w:sz w:val="22"/>
          <w:szCs w:val="22"/>
          <w:lang w:val="sk-SK"/>
        </w:rPr>
        <w:t>y</w:t>
      </w:r>
      <w:r w:rsidR="00DC6F2E" w:rsidRPr="006411FF">
        <w:rPr>
          <w:sz w:val="22"/>
          <w:szCs w:val="22"/>
          <w:lang w:val="sk-SK"/>
        </w:rPr>
        <w:t xml:space="preserve"> s</w:t>
      </w:r>
      <w:r w:rsidR="00F31591" w:rsidRPr="006411FF">
        <w:rPr>
          <w:sz w:val="22"/>
          <w:szCs w:val="22"/>
          <w:lang w:val="sk-SK"/>
        </w:rPr>
        <w:t> </w:t>
      </w:r>
      <w:r w:rsidR="00DC6F2E" w:rsidRPr="006411FF">
        <w:rPr>
          <w:sz w:val="22"/>
          <w:szCs w:val="22"/>
          <w:lang w:val="sk-SK"/>
        </w:rPr>
        <w:t>priemerom</w:t>
      </w:r>
      <w:r w:rsidR="00486B85" w:rsidRPr="006411FF">
        <w:rPr>
          <w:sz w:val="22"/>
          <w:szCs w:val="22"/>
          <w:lang w:val="sk-SK"/>
        </w:rPr>
        <w:t xml:space="preserve"> 7</w:t>
      </w:r>
      <w:r w:rsidR="00DC6F2E" w:rsidRPr="006411FF">
        <w:rPr>
          <w:sz w:val="22"/>
          <w:szCs w:val="22"/>
          <w:lang w:val="sk-SK"/>
        </w:rPr>
        <w:t>,</w:t>
      </w:r>
      <w:r w:rsidR="00486B85" w:rsidRPr="006411FF">
        <w:rPr>
          <w:sz w:val="22"/>
          <w:szCs w:val="22"/>
          <w:lang w:val="sk-SK"/>
        </w:rPr>
        <w:t>1</w:t>
      </w:r>
      <w:r w:rsidR="00F31591" w:rsidRPr="006411FF">
        <w:rPr>
          <w:sz w:val="22"/>
          <w:szCs w:val="22"/>
          <w:lang w:val="sk-SK"/>
        </w:rPr>
        <w:t>±0,4 </w:t>
      </w:r>
      <w:r w:rsidR="00486B85" w:rsidRPr="006411FF">
        <w:rPr>
          <w:sz w:val="22"/>
          <w:szCs w:val="22"/>
          <w:lang w:val="sk-SK"/>
        </w:rPr>
        <w:t>mm.</w:t>
      </w:r>
    </w:p>
    <w:p w:rsidR="00EF4CF6" w:rsidRPr="003D4D81" w:rsidRDefault="00EF4CF6" w:rsidP="00572196">
      <w:pPr>
        <w:spacing w:after="0"/>
        <w:jc w:val="left"/>
        <w:rPr>
          <w:sz w:val="22"/>
          <w:szCs w:val="22"/>
          <w:lang w:val="sk-SK"/>
        </w:rPr>
      </w:pPr>
    </w:p>
    <w:p w:rsidR="0039353F" w:rsidRPr="003D4D81" w:rsidRDefault="0039353F" w:rsidP="00572196">
      <w:pPr>
        <w:spacing w:after="0"/>
        <w:jc w:val="left"/>
        <w:rPr>
          <w:sz w:val="22"/>
          <w:szCs w:val="22"/>
          <w:lang w:val="sk-SK"/>
        </w:rPr>
      </w:pPr>
    </w:p>
    <w:p w:rsidR="00F875A4" w:rsidRPr="003D4D81" w:rsidRDefault="00F31591" w:rsidP="00F31591">
      <w:pPr>
        <w:keepNext/>
        <w:tabs>
          <w:tab w:val="left" w:pos="567"/>
        </w:tabs>
        <w:suppressAutoHyphens/>
        <w:spacing w:after="0"/>
        <w:jc w:val="left"/>
        <w:rPr>
          <w:caps/>
          <w:sz w:val="22"/>
          <w:szCs w:val="22"/>
          <w:lang w:val="sk-SK"/>
        </w:rPr>
      </w:pPr>
      <w:r w:rsidRPr="003D4D81">
        <w:rPr>
          <w:b/>
          <w:sz w:val="22"/>
          <w:szCs w:val="22"/>
          <w:lang w:val="sk-SK"/>
        </w:rPr>
        <w:t>4.</w:t>
      </w:r>
      <w:r w:rsidRPr="003D4D81">
        <w:rPr>
          <w:b/>
          <w:sz w:val="22"/>
          <w:szCs w:val="22"/>
          <w:lang w:val="sk-SK"/>
        </w:rPr>
        <w:tab/>
      </w:r>
      <w:r w:rsidR="00F875A4" w:rsidRPr="003D4D81">
        <w:rPr>
          <w:b/>
          <w:sz w:val="22"/>
          <w:szCs w:val="22"/>
          <w:lang w:val="sk-SK"/>
        </w:rPr>
        <w:t>KLINICKÉ ÚDAJE</w:t>
      </w:r>
    </w:p>
    <w:p w:rsidR="00262C35" w:rsidRPr="003D4D81" w:rsidRDefault="00262C35" w:rsidP="00F875A4">
      <w:pPr>
        <w:pStyle w:val="EMA2SPC"/>
        <w:rPr>
          <w:lang w:val="sk-SK"/>
        </w:rPr>
      </w:pPr>
    </w:p>
    <w:p w:rsidR="00F875A4" w:rsidRPr="003D4D81" w:rsidRDefault="00BE3580" w:rsidP="00BE3580">
      <w:pPr>
        <w:rPr>
          <w:b/>
          <w:bCs/>
          <w:lang w:val="sk-SK"/>
        </w:rPr>
      </w:pPr>
      <w:r w:rsidRPr="003D4D81">
        <w:rPr>
          <w:b/>
          <w:bCs/>
          <w:lang w:val="sk-SK"/>
        </w:rPr>
        <w:t>4.1</w:t>
      </w:r>
      <w:r w:rsidRPr="003D4D81">
        <w:rPr>
          <w:b/>
          <w:bCs/>
          <w:lang w:val="sk-SK"/>
        </w:rPr>
        <w:tab/>
      </w:r>
      <w:r w:rsidR="00F875A4" w:rsidRPr="003D4D81">
        <w:rPr>
          <w:b/>
          <w:bCs/>
          <w:lang w:val="sk-SK"/>
        </w:rPr>
        <w:t>Terapeutické indikácie</w:t>
      </w:r>
    </w:p>
    <w:p w:rsidR="000D4816" w:rsidRPr="003D4D81" w:rsidRDefault="000D4816" w:rsidP="00572196">
      <w:pPr>
        <w:spacing w:after="0"/>
        <w:jc w:val="left"/>
        <w:rPr>
          <w:b/>
          <w:sz w:val="22"/>
          <w:szCs w:val="22"/>
          <w:lang w:val="sk-SK"/>
        </w:rPr>
      </w:pPr>
    </w:p>
    <w:p w:rsidR="008765FF" w:rsidRPr="003D4D81" w:rsidRDefault="00DC6F2E" w:rsidP="00572196">
      <w:pPr>
        <w:spacing w:after="0"/>
        <w:jc w:val="left"/>
        <w:rPr>
          <w:sz w:val="22"/>
          <w:szCs w:val="22"/>
          <w:u w:val="single"/>
          <w:lang w:val="sk-SK"/>
        </w:rPr>
      </w:pPr>
      <w:r w:rsidRPr="003D4D81">
        <w:rPr>
          <w:sz w:val="22"/>
          <w:szCs w:val="22"/>
          <w:u w:val="single"/>
          <w:lang w:val="sk-SK"/>
        </w:rPr>
        <w:t xml:space="preserve">Symptomatická liečba chronickej stabilnej </w:t>
      </w:r>
      <w:r w:rsidR="00C230A9" w:rsidRPr="003D4D81">
        <w:rPr>
          <w:sz w:val="22"/>
          <w:szCs w:val="22"/>
          <w:u w:val="single"/>
          <w:lang w:val="sk-SK"/>
        </w:rPr>
        <w:t>angín</w:t>
      </w:r>
      <w:r w:rsidRPr="003D4D81">
        <w:rPr>
          <w:sz w:val="22"/>
          <w:szCs w:val="22"/>
          <w:u w:val="single"/>
          <w:lang w:val="sk-SK"/>
        </w:rPr>
        <w:t>y pectoris</w:t>
      </w:r>
    </w:p>
    <w:p w:rsidR="00B22BA2" w:rsidRPr="003D4D81" w:rsidRDefault="00DC6F2E" w:rsidP="00961CCC">
      <w:pPr>
        <w:autoSpaceDE w:val="0"/>
        <w:autoSpaceDN w:val="0"/>
        <w:adjustRightInd w:val="0"/>
        <w:spacing w:after="0"/>
        <w:jc w:val="left"/>
        <w:rPr>
          <w:sz w:val="22"/>
          <w:szCs w:val="22"/>
          <w:lang w:val="sk-SK"/>
        </w:rPr>
      </w:pPr>
      <w:r w:rsidRPr="003D4D81">
        <w:rPr>
          <w:sz w:val="22"/>
          <w:szCs w:val="22"/>
          <w:lang w:val="sk-SK" w:eastAsia="en-GB"/>
        </w:rPr>
        <w:t xml:space="preserve">Ivabradín je indikovaný na symptomatickú liečbu chronickej stabilnej </w:t>
      </w:r>
      <w:r w:rsidR="00C230A9" w:rsidRPr="003D4D81">
        <w:rPr>
          <w:sz w:val="22"/>
          <w:szCs w:val="22"/>
          <w:lang w:val="sk-SK" w:eastAsia="en-GB"/>
        </w:rPr>
        <w:t>angín</w:t>
      </w:r>
      <w:r w:rsidRPr="003D4D81">
        <w:rPr>
          <w:sz w:val="22"/>
          <w:szCs w:val="22"/>
          <w:lang w:val="sk-SK" w:eastAsia="en-GB"/>
        </w:rPr>
        <w:t>y pectoris u</w:t>
      </w:r>
      <w:r w:rsidR="00961CCC" w:rsidRPr="003D4D81">
        <w:rPr>
          <w:sz w:val="22"/>
          <w:szCs w:val="22"/>
          <w:lang w:val="sk-SK" w:eastAsia="en-GB"/>
        </w:rPr>
        <w:t> </w:t>
      </w:r>
      <w:r w:rsidRPr="003D4D81">
        <w:rPr>
          <w:sz w:val="22"/>
          <w:szCs w:val="22"/>
          <w:lang w:val="sk-SK" w:eastAsia="en-GB"/>
        </w:rPr>
        <w:t>dospelých</w:t>
      </w:r>
      <w:r w:rsidR="00961CCC" w:rsidRPr="003D4D81">
        <w:rPr>
          <w:sz w:val="22"/>
          <w:szCs w:val="22"/>
          <w:lang w:val="sk-SK" w:eastAsia="en-GB"/>
        </w:rPr>
        <w:t xml:space="preserve"> </w:t>
      </w:r>
      <w:r w:rsidRPr="003D4D81">
        <w:rPr>
          <w:sz w:val="22"/>
          <w:szCs w:val="22"/>
          <w:lang w:val="sk-SK" w:eastAsia="en-GB"/>
        </w:rPr>
        <w:t xml:space="preserve">s koronárnou chorobou srdca s normálnym sínusovým rytmom a srdcovou frekvenciou </w:t>
      </w:r>
      <w:r w:rsidR="00C230A9" w:rsidRPr="003D4D81">
        <w:rPr>
          <w:sz w:val="22"/>
          <w:szCs w:val="22"/>
          <w:lang w:val="sk-SK" w:eastAsia="en-GB"/>
        </w:rPr>
        <w:t>≥ </w:t>
      </w:r>
      <w:r w:rsidRPr="003D4D81">
        <w:rPr>
          <w:sz w:val="22"/>
          <w:szCs w:val="22"/>
          <w:lang w:val="sk-SK" w:eastAsia="en-GB"/>
        </w:rPr>
        <w:t>70</w:t>
      </w:r>
      <w:r w:rsidR="00C230A9" w:rsidRPr="003D4D81">
        <w:rPr>
          <w:sz w:val="22"/>
          <w:szCs w:val="22"/>
          <w:lang w:val="sk-SK" w:eastAsia="en-GB"/>
        </w:rPr>
        <w:t> úderov</w:t>
      </w:r>
      <w:r w:rsidRPr="003D4D81">
        <w:rPr>
          <w:sz w:val="22"/>
          <w:szCs w:val="22"/>
          <w:lang w:val="sk-SK" w:eastAsia="en-GB"/>
        </w:rPr>
        <w:t xml:space="preserve"> za</w:t>
      </w:r>
      <w:r w:rsidR="00961CCC" w:rsidRPr="003D4D81">
        <w:rPr>
          <w:sz w:val="22"/>
          <w:szCs w:val="22"/>
          <w:lang w:val="sk-SK" w:eastAsia="en-GB"/>
        </w:rPr>
        <w:t xml:space="preserve"> </w:t>
      </w:r>
      <w:r w:rsidRPr="003D4D81">
        <w:rPr>
          <w:sz w:val="22"/>
          <w:szCs w:val="22"/>
          <w:lang w:val="sk-SK" w:eastAsia="en-GB"/>
        </w:rPr>
        <w:t>minútu</w:t>
      </w:r>
      <w:r w:rsidR="00465010" w:rsidRPr="003D4D81">
        <w:rPr>
          <w:sz w:val="22"/>
          <w:szCs w:val="22"/>
          <w:lang w:val="sk-SK" w:eastAsia="en-GB"/>
        </w:rPr>
        <w:t xml:space="preserve"> (úderov/min)</w:t>
      </w:r>
      <w:r w:rsidRPr="003D4D81">
        <w:rPr>
          <w:sz w:val="22"/>
          <w:szCs w:val="22"/>
          <w:lang w:val="sk-SK" w:eastAsia="en-GB"/>
        </w:rPr>
        <w:t>. Ivabradín je indikovaný:</w:t>
      </w:r>
    </w:p>
    <w:p w:rsidR="00B22BA2" w:rsidRPr="003D4D81" w:rsidRDefault="00DC6F2E" w:rsidP="00DC6F2E">
      <w:pPr>
        <w:pStyle w:val="Odsekzoznamu"/>
        <w:numPr>
          <w:ilvl w:val="0"/>
          <w:numId w:val="2"/>
        </w:numPr>
        <w:spacing w:after="0"/>
        <w:contextualSpacing w:val="0"/>
        <w:jc w:val="left"/>
        <w:rPr>
          <w:sz w:val="22"/>
          <w:szCs w:val="22"/>
          <w:lang w:val="sk-SK"/>
        </w:rPr>
      </w:pPr>
      <w:r w:rsidRPr="003D4D81">
        <w:rPr>
          <w:sz w:val="22"/>
          <w:szCs w:val="22"/>
          <w:lang w:val="sk-SK"/>
        </w:rPr>
        <w:t>u dospelých neschopných tolerovať betablokátory alebo s kontraindikáciou pre použitie</w:t>
      </w:r>
      <w:r w:rsidR="00B22BA2" w:rsidRPr="003D4D81">
        <w:rPr>
          <w:sz w:val="22"/>
          <w:szCs w:val="22"/>
          <w:lang w:val="sk-SK"/>
        </w:rPr>
        <w:t xml:space="preserve"> </w:t>
      </w:r>
      <w:r w:rsidR="00E85561" w:rsidRPr="003D4D81">
        <w:rPr>
          <w:sz w:val="22"/>
          <w:szCs w:val="22"/>
          <w:lang w:val="sk-SK"/>
        </w:rPr>
        <w:t>beta</w:t>
      </w:r>
      <w:r w:rsidRPr="003D4D81">
        <w:rPr>
          <w:sz w:val="22"/>
          <w:szCs w:val="22"/>
          <w:lang w:val="sk-SK"/>
        </w:rPr>
        <w:t>blokátorov</w:t>
      </w:r>
    </w:p>
    <w:p w:rsidR="00B22BA2" w:rsidRPr="003D4D81" w:rsidRDefault="00DC6F2E" w:rsidP="00572196">
      <w:pPr>
        <w:spacing w:after="0"/>
        <w:ind w:left="567" w:hanging="425"/>
        <w:jc w:val="left"/>
        <w:rPr>
          <w:sz w:val="22"/>
          <w:szCs w:val="22"/>
          <w:lang w:val="sk-SK"/>
        </w:rPr>
      </w:pPr>
      <w:r w:rsidRPr="003D4D81">
        <w:rPr>
          <w:sz w:val="22"/>
          <w:szCs w:val="22"/>
          <w:lang w:val="sk-SK"/>
        </w:rPr>
        <w:t>alebo</w:t>
      </w:r>
    </w:p>
    <w:p w:rsidR="00B22BA2" w:rsidRPr="003D4D81" w:rsidRDefault="00DC6F2E" w:rsidP="00DC6F2E">
      <w:pPr>
        <w:pStyle w:val="Odsekzoznamu"/>
        <w:numPr>
          <w:ilvl w:val="0"/>
          <w:numId w:val="2"/>
        </w:numPr>
        <w:spacing w:after="0"/>
        <w:contextualSpacing w:val="0"/>
        <w:jc w:val="left"/>
        <w:rPr>
          <w:sz w:val="22"/>
          <w:szCs w:val="22"/>
          <w:lang w:val="sk-SK"/>
        </w:rPr>
      </w:pPr>
      <w:r w:rsidRPr="003D4D81">
        <w:rPr>
          <w:sz w:val="22"/>
          <w:szCs w:val="22"/>
          <w:lang w:val="sk-SK"/>
        </w:rPr>
        <w:t xml:space="preserve">v kombinácii s </w:t>
      </w:r>
      <w:r w:rsidR="00E85561" w:rsidRPr="003D4D81">
        <w:rPr>
          <w:sz w:val="22"/>
          <w:szCs w:val="22"/>
          <w:lang w:val="sk-SK"/>
        </w:rPr>
        <w:t>beta</w:t>
      </w:r>
      <w:r w:rsidRPr="003D4D81">
        <w:rPr>
          <w:sz w:val="22"/>
          <w:szCs w:val="22"/>
          <w:lang w:val="sk-SK"/>
        </w:rPr>
        <w:t xml:space="preserve">blokátormi u pacientov nedostatočne kontrolovaných optimálnou dávkou </w:t>
      </w:r>
      <w:r w:rsidR="00E85561" w:rsidRPr="003D4D81">
        <w:rPr>
          <w:sz w:val="22"/>
          <w:szCs w:val="22"/>
          <w:lang w:val="sk-SK"/>
        </w:rPr>
        <w:t>beta</w:t>
      </w:r>
      <w:r w:rsidRPr="003D4D81">
        <w:rPr>
          <w:sz w:val="22"/>
          <w:szCs w:val="22"/>
          <w:lang w:val="sk-SK"/>
        </w:rPr>
        <w:t>blokátorov</w:t>
      </w:r>
      <w:r w:rsidR="00B22BA2" w:rsidRPr="003D4D81">
        <w:rPr>
          <w:sz w:val="22"/>
          <w:szCs w:val="22"/>
          <w:lang w:val="sk-SK"/>
        </w:rPr>
        <w:t>.</w:t>
      </w:r>
    </w:p>
    <w:p w:rsidR="00402CD1" w:rsidRPr="003D4D81" w:rsidRDefault="00402CD1" w:rsidP="00572196">
      <w:pPr>
        <w:rPr>
          <w:sz w:val="22"/>
          <w:szCs w:val="22"/>
          <w:lang w:val="sk-SK"/>
        </w:rPr>
      </w:pPr>
    </w:p>
    <w:p w:rsidR="00B22BA2" w:rsidRPr="003D4D81" w:rsidRDefault="00AD2F8A" w:rsidP="00DF78FA">
      <w:pPr>
        <w:spacing w:after="0"/>
        <w:jc w:val="left"/>
        <w:rPr>
          <w:sz w:val="22"/>
          <w:szCs w:val="22"/>
          <w:u w:val="single"/>
          <w:lang w:val="sk-SK"/>
        </w:rPr>
      </w:pPr>
      <w:r w:rsidRPr="003D4D81">
        <w:rPr>
          <w:sz w:val="22"/>
          <w:szCs w:val="22"/>
          <w:u w:val="single"/>
          <w:lang w:val="sk-SK"/>
        </w:rPr>
        <w:t>Liečba chronického srdcového zlyhania</w:t>
      </w:r>
    </w:p>
    <w:p w:rsidR="00741091" w:rsidRPr="003D4D81" w:rsidRDefault="00E85561" w:rsidP="00E85561">
      <w:pPr>
        <w:spacing w:after="0"/>
        <w:jc w:val="left"/>
        <w:rPr>
          <w:sz w:val="22"/>
          <w:szCs w:val="22"/>
          <w:lang w:val="sk-SK"/>
        </w:rPr>
      </w:pPr>
      <w:r w:rsidRPr="003D4D81">
        <w:rPr>
          <w:sz w:val="22"/>
          <w:szCs w:val="22"/>
          <w:lang w:val="sk-SK"/>
        </w:rPr>
        <w:t>Ivabradín je indikovaný pri chronickom srdcovom zlyhaní NYHA trieda II až IV so systolickou</w:t>
      </w:r>
      <w:r w:rsidR="00961CCC" w:rsidRPr="003D4D81">
        <w:rPr>
          <w:sz w:val="22"/>
          <w:szCs w:val="22"/>
          <w:lang w:val="sk-SK"/>
        </w:rPr>
        <w:t xml:space="preserve"> </w:t>
      </w:r>
      <w:r w:rsidRPr="003D4D81">
        <w:rPr>
          <w:sz w:val="22"/>
          <w:szCs w:val="22"/>
          <w:lang w:val="sk-SK"/>
        </w:rPr>
        <w:t xml:space="preserve">dysfunkciou, u pacientov so sínusovým rytmom, u ktorých je srdcová frekvencia </w:t>
      </w:r>
      <w:r w:rsidR="00C230A9" w:rsidRPr="003D4D81">
        <w:rPr>
          <w:sz w:val="22"/>
          <w:szCs w:val="22"/>
          <w:lang w:val="sk-SK"/>
        </w:rPr>
        <w:t>≥ </w:t>
      </w:r>
      <w:r w:rsidRPr="003D4D81">
        <w:rPr>
          <w:sz w:val="22"/>
          <w:szCs w:val="22"/>
          <w:lang w:val="sk-SK"/>
        </w:rPr>
        <w:t>75</w:t>
      </w:r>
      <w:r w:rsidR="00C230A9" w:rsidRPr="003D4D81">
        <w:rPr>
          <w:sz w:val="22"/>
          <w:szCs w:val="22"/>
          <w:lang w:val="sk-SK"/>
        </w:rPr>
        <w:t> úderov</w:t>
      </w:r>
      <w:r w:rsidR="00465010" w:rsidRPr="003D4D81">
        <w:rPr>
          <w:sz w:val="22"/>
          <w:szCs w:val="22"/>
          <w:lang w:val="sk-SK" w:eastAsia="en-GB"/>
        </w:rPr>
        <w:t>/min</w:t>
      </w:r>
      <w:r w:rsidRPr="003D4D81">
        <w:rPr>
          <w:sz w:val="22"/>
          <w:szCs w:val="22"/>
          <w:lang w:val="sk-SK"/>
        </w:rPr>
        <w:t>, v kombinácii so štandardnou liečbou vrátane liečby betablokátormi, alebo ak liečba</w:t>
      </w:r>
      <w:r w:rsidR="00961CCC" w:rsidRPr="003D4D81">
        <w:rPr>
          <w:sz w:val="22"/>
          <w:szCs w:val="22"/>
          <w:lang w:val="sk-SK"/>
        </w:rPr>
        <w:t xml:space="preserve"> </w:t>
      </w:r>
      <w:r w:rsidRPr="003D4D81">
        <w:rPr>
          <w:sz w:val="22"/>
          <w:szCs w:val="22"/>
          <w:lang w:val="sk-SK"/>
        </w:rPr>
        <w:t>betablokátormi je kontraindikovaná alebo nie je tolerovaná (pozri časť 5.1).</w:t>
      </w:r>
    </w:p>
    <w:p w:rsidR="00402CD1" w:rsidRPr="003D4D81" w:rsidRDefault="00402CD1" w:rsidP="00572196">
      <w:pPr>
        <w:spacing w:after="0"/>
        <w:jc w:val="left"/>
        <w:rPr>
          <w:sz w:val="22"/>
          <w:szCs w:val="22"/>
          <w:lang w:val="sk-SK"/>
        </w:rPr>
      </w:pPr>
    </w:p>
    <w:p w:rsidR="00F875A4" w:rsidRPr="003D4D81" w:rsidRDefault="00BE3580" w:rsidP="00BE3580">
      <w:pPr>
        <w:rPr>
          <w:b/>
          <w:bCs/>
          <w:lang w:val="sk-SK"/>
        </w:rPr>
      </w:pPr>
      <w:r w:rsidRPr="003D4D81">
        <w:rPr>
          <w:b/>
          <w:bCs/>
          <w:lang w:val="sk-SK"/>
        </w:rPr>
        <w:t>4.2</w:t>
      </w:r>
      <w:r w:rsidRPr="003D4D81">
        <w:rPr>
          <w:b/>
          <w:bCs/>
          <w:lang w:val="sk-SK"/>
        </w:rPr>
        <w:tab/>
      </w:r>
      <w:r w:rsidR="00F875A4" w:rsidRPr="003D4D81">
        <w:rPr>
          <w:b/>
          <w:bCs/>
          <w:lang w:val="sk-SK"/>
        </w:rPr>
        <w:t>Dávkovanie a spôsob podávania</w:t>
      </w:r>
    </w:p>
    <w:p w:rsidR="00262C35" w:rsidRPr="003D4D81" w:rsidRDefault="00262C35" w:rsidP="00DF78FA">
      <w:pPr>
        <w:keepNext/>
        <w:keepLines/>
        <w:spacing w:after="0"/>
        <w:jc w:val="left"/>
        <w:rPr>
          <w:sz w:val="22"/>
          <w:szCs w:val="22"/>
          <w:lang w:val="sk-SK"/>
        </w:rPr>
      </w:pPr>
    </w:p>
    <w:p w:rsidR="00741091" w:rsidRPr="003D4D81" w:rsidRDefault="006E13F4" w:rsidP="00572196">
      <w:pPr>
        <w:spacing w:after="0"/>
        <w:jc w:val="left"/>
        <w:rPr>
          <w:sz w:val="22"/>
          <w:szCs w:val="22"/>
          <w:u w:val="single"/>
          <w:lang w:val="sk-SK"/>
        </w:rPr>
      </w:pPr>
      <w:r w:rsidRPr="003D4D81">
        <w:rPr>
          <w:sz w:val="22"/>
          <w:szCs w:val="22"/>
          <w:u w:val="single"/>
          <w:lang w:val="sk-SK"/>
        </w:rPr>
        <w:t>Dávkovanie</w:t>
      </w:r>
    </w:p>
    <w:p w:rsidR="00A00935" w:rsidRPr="003D4D81" w:rsidRDefault="006E13F4" w:rsidP="00572196">
      <w:pPr>
        <w:spacing w:after="0"/>
        <w:jc w:val="left"/>
        <w:rPr>
          <w:sz w:val="22"/>
          <w:szCs w:val="22"/>
          <w:lang w:val="sk-SK"/>
        </w:rPr>
      </w:pPr>
      <w:r w:rsidRPr="003D4D81">
        <w:rPr>
          <w:sz w:val="22"/>
          <w:szCs w:val="22"/>
          <w:lang w:val="sk-SK"/>
        </w:rPr>
        <w:t>Pre rôzne dávky sú dostupné filmom obalené tablety obsahujúce 5</w:t>
      </w:r>
      <w:r w:rsidR="00C230A9" w:rsidRPr="003D4D81">
        <w:rPr>
          <w:sz w:val="22"/>
          <w:szCs w:val="22"/>
          <w:lang w:val="sk-SK"/>
        </w:rPr>
        <w:t> mg</w:t>
      </w:r>
      <w:r w:rsidRPr="003D4D81">
        <w:rPr>
          <w:sz w:val="22"/>
          <w:szCs w:val="22"/>
          <w:lang w:val="sk-SK"/>
        </w:rPr>
        <w:t xml:space="preserve"> a 7,5</w:t>
      </w:r>
      <w:r w:rsidR="00C230A9" w:rsidRPr="003D4D81">
        <w:rPr>
          <w:sz w:val="22"/>
          <w:szCs w:val="22"/>
          <w:lang w:val="sk-SK"/>
        </w:rPr>
        <w:t> mg</w:t>
      </w:r>
      <w:r w:rsidRPr="003D4D81">
        <w:rPr>
          <w:sz w:val="22"/>
          <w:szCs w:val="22"/>
          <w:lang w:val="sk-SK"/>
        </w:rPr>
        <w:t xml:space="preserve"> ivabradínu.</w:t>
      </w:r>
    </w:p>
    <w:p w:rsidR="00A00935" w:rsidRPr="003D4D81" w:rsidRDefault="00A00935" w:rsidP="00572196">
      <w:pPr>
        <w:spacing w:after="0"/>
        <w:jc w:val="left"/>
        <w:rPr>
          <w:sz w:val="22"/>
          <w:szCs w:val="22"/>
          <w:lang w:val="sk-SK"/>
        </w:rPr>
      </w:pPr>
    </w:p>
    <w:p w:rsidR="00A00935" w:rsidRPr="003D4D81" w:rsidRDefault="006E13F4" w:rsidP="00572196">
      <w:pPr>
        <w:spacing w:after="0"/>
        <w:jc w:val="left"/>
        <w:rPr>
          <w:sz w:val="22"/>
          <w:szCs w:val="22"/>
          <w:u w:val="single"/>
          <w:lang w:val="sk-SK"/>
        </w:rPr>
      </w:pPr>
      <w:r w:rsidRPr="003D4D81">
        <w:rPr>
          <w:sz w:val="22"/>
          <w:szCs w:val="22"/>
          <w:u w:val="single"/>
          <w:lang w:val="sk-SK"/>
        </w:rPr>
        <w:t xml:space="preserve">Symptomatická liečba chronickej stabilnej </w:t>
      </w:r>
      <w:r w:rsidR="00C230A9" w:rsidRPr="003D4D81">
        <w:rPr>
          <w:sz w:val="22"/>
          <w:szCs w:val="22"/>
          <w:u w:val="single"/>
          <w:lang w:val="sk-SK"/>
        </w:rPr>
        <w:t>angín</w:t>
      </w:r>
      <w:r w:rsidRPr="003D4D81">
        <w:rPr>
          <w:sz w:val="22"/>
          <w:szCs w:val="22"/>
          <w:u w:val="single"/>
          <w:lang w:val="sk-SK"/>
        </w:rPr>
        <w:t>y pectoris</w:t>
      </w:r>
    </w:p>
    <w:p w:rsidR="00B512A8" w:rsidRPr="003D4D81" w:rsidRDefault="00B512A8" w:rsidP="00B512A8">
      <w:pPr>
        <w:widowControl w:val="0"/>
        <w:overflowPunct w:val="0"/>
        <w:autoSpaceDE w:val="0"/>
        <w:autoSpaceDN w:val="0"/>
        <w:adjustRightInd w:val="0"/>
        <w:spacing w:after="0"/>
        <w:jc w:val="left"/>
        <w:rPr>
          <w:sz w:val="22"/>
          <w:szCs w:val="22"/>
          <w:lang w:val="sk-SK"/>
        </w:rPr>
      </w:pPr>
      <w:r w:rsidRPr="003D4D81">
        <w:rPr>
          <w:sz w:val="22"/>
          <w:szCs w:val="22"/>
          <w:lang w:val="sk-SK"/>
        </w:rPr>
        <w:t>Odporúča sa, aby sa rozhodnutie začať alebo titrovať liečbu uskutočnilo s možnosťou postupných</w:t>
      </w:r>
      <w:r w:rsidR="00961CCC" w:rsidRPr="003D4D81">
        <w:rPr>
          <w:sz w:val="22"/>
          <w:szCs w:val="22"/>
          <w:lang w:val="sk-SK"/>
        </w:rPr>
        <w:t xml:space="preserve"> </w:t>
      </w:r>
      <w:r w:rsidRPr="003D4D81">
        <w:rPr>
          <w:sz w:val="22"/>
          <w:szCs w:val="22"/>
          <w:lang w:val="sk-SK"/>
        </w:rPr>
        <w:t>meraní srdcovej frekvencie, EKG alebo 24-hodinového ambulantného monitorovania.</w:t>
      </w:r>
    </w:p>
    <w:p w:rsidR="00B512A8" w:rsidRPr="003D4D81" w:rsidRDefault="00B512A8" w:rsidP="00B512A8">
      <w:pPr>
        <w:widowControl w:val="0"/>
        <w:overflowPunct w:val="0"/>
        <w:autoSpaceDE w:val="0"/>
        <w:autoSpaceDN w:val="0"/>
        <w:adjustRightInd w:val="0"/>
        <w:spacing w:after="0"/>
        <w:jc w:val="left"/>
        <w:rPr>
          <w:sz w:val="22"/>
          <w:szCs w:val="22"/>
          <w:lang w:val="sk-SK"/>
        </w:rPr>
      </w:pPr>
      <w:r w:rsidRPr="003D4D81">
        <w:rPr>
          <w:sz w:val="22"/>
          <w:szCs w:val="22"/>
          <w:lang w:val="sk-SK"/>
        </w:rPr>
        <w:t>U pacientov</w:t>
      </w:r>
      <w:r w:rsidR="00C230A9" w:rsidRPr="003D4D81">
        <w:rPr>
          <w:sz w:val="22"/>
          <w:szCs w:val="22"/>
          <w:lang w:val="sk-SK"/>
        </w:rPr>
        <w:t> ml</w:t>
      </w:r>
      <w:r w:rsidRPr="003D4D81">
        <w:rPr>
          <w:sz w:val="22"/>
          <w:szCs w:val="22"/>
          <w:lang w:val="sk-SK"/>
        </w:rPr>
        <w:t>adších ako 75 rokov začiatočná dávka ivabradínu nemá prekročiť 5</w:t>
      </w:r>
      <w:r w:rsidR="00C230A9" w:rsidRPr="003D4D81">
        <w:rPr>
          <w:sz w:val="22"/>
          <w:szCs w:val="22"/>
          <w:lang w:val="sk-SK"/>
        </w:rPr>
        <w:t> mg</w:t>
      </w:r>
      <w:r w:rsidRPr="003D4D81">
        <w:rPr>
          <w:sz w:val="22"/>
          <w:szCs w:val="22"/>
          <w:lang w:val="sk-SK"/>
        </w:rPr>
        <w:t xml:space="preserve"> dvakrát denne.</w:t>
      </w:r>
    </w:p>
    <w:p w:rsidR="00B512A8" w:rsidRPr="003D4D81" w:rsidRDefault="00B512A8" w:rsidP="00B512A8">
      <w:pPr>
        <w:widowControl w:val="0"/>
        <w:overflowPunct w:val="0"/>
        <w:autoSpaceDE w:val="0"/>
        <w:autoSpaceDN w:val="0"/>
        <w:adjustRightInd w:val="0"/>
        <w:spacing w:after="0"/>
        <w:jc w:val="left"/>
        <w:rPr>
          <w:sz w:val="22"/>
          <w:szCs w:val="22"/>
          <w:lang w:val="sk-SK"/>
        </w:rPr>
      </w:pPr>
      <w:r w:rsidRPr="003D4D81">
        <w:rPr>
          <w:sz w:val="22"/>
          <w:szCs w:val="22"/>
          <w:lang w:val="sk-SK"/>
        </w:rPr>
        <w:t>Po troch až štyroch týždňoch liečby, ak je pacient stále symptomatický, ak je začiatočná dávka dobre</w:t>
      </w:r>
      <w:r w:rsidR="00961CCC" w:rsidRPr="003D4D81">
        <w:rPr>
          <w:sz w:val="22"/>
          <w:szCs w:val="22"/>
          <w:lang w:val="sk-SK"/>
        </w:rPr>
        <w:t xml:space="preserve"> </w:t>
      </w:r>
      <w:r w:rsidRPr="003D4D81">
        <w:rPr>
          <w:sz w:val="22"/>
          <w:szCs w:val="22"/>
          <w:lang w:val="sk-SK"/>
        </w:rPr>
        <w:t>tolerovaná a ak pokojová srdcová frekvencia ostáva nad 60</w:t>
      </w:r>
      <w:r w:rsidR="00C230A9" w:rsidRPr="003D4D81">
        <w:rPr>
          <w:sz w:val="22"/>
          <w:szCs w:val="22"/>
          <w:lang w:val="sk-SK"/>
        </w:rPr>
        <w:t> úderov</w:t>
      </w:r>
      <w:r w:rsidR="00465010" w:rsidRPr="003D4D81">
        <w:rPr>
          <w:sz w:val="22"/>
          <w:szCs w:val="22"/>
          <w:lang w:val="sk-SK" w:eastAsia="en-GB"/>
        </w:rPr>
        <w:t>/min</w:t>
      </w:r>
      <w:r w:rsidRPr="003D4D81">
        <w:rPr>
          <w:sz w:val="22"/>
          <w:szCs w:val="22"/>
          <w:lang w:val="sk-SK"/>
        </w:rPr>
        <w:t>, môže byť u pacientov</w:t>
      </w:r>
      <w:r w:rsidR="00961CCC" w:rsidRPr="003D4D81">
        <w:rPr>
          <w:sz w:val="22"/>
          <w:szCs w:val="22"/>
          <w:lang w:val="sk-SK"/>
        </w:rPr>
        <w:t xml:space="preserve"> </w:t>
      </w:r>
      <w:r w:rsidRPr="003D4D81">
        <w:rPr>
          <w:sz w:val="22"/>
          <w:szCs w:val="22"/>
          <w:lang w:val="sk-SK"/>
        </w:rPr>
        <w:t>užívajúcich 2,5</w:t>
      </w:r>
      <w:r w:rsidR="00C230A9" w:rsidRPr="003D4D81">
        <w:rPr>
          <w:sz w:val="22"/>
          <w:szCs w:val="22"/>
          <w:lang w:val="sk-SK"/>
        </w:rPr>
        <w:t> mg</w:t>
      </w:r>
      <w:r w:rsidRPr="003D4D81">
        <w:rPr>
          <w:sz w:val="22"/>
          <w:szCs w:val="22"/>
          <w:lang w:val="sk-SK"/>
        </w:rPr>
        <w:t xml:space="preserve"> dvakrát denne alebo 5</w:t>
      </w:r>
      <w:r w:rsidR="00C230A9" w:rsidRPr="003D4D81">
        <w:rPr>
          <w:sz w:val="22"/>
          <w:szCs w:val="22"/>
          <w:lang w:val="sk-SK"/>
        </w:rPr>
        <w:t> mg</w:t>
      </w:r>
      <w:r w:rsidRPr="003D4D81">
        <w:rPr>
          <w:sz w:val="22"/>
          <w:szCs w:val="22"/>
          <w:lang w:val="sk-SK"/>
        </w:rPr>
        <w:t xml:space="preserve"> dvakrát denne, dávka zvýšená na ďalšiu vyššiu dávku.</w:t>
      </w:r>
    </w:p>
    <w:p w:rsidR="00B512A8" w:rsidRPr="003D4D81" w:rsidRDefault="00B512A8" w:rsidP="00B512A8">
      <w:pPr>
        <w:widowControl w:val="0"/>
        <w:overflowPunct w:val="0"/>
        <w:autoSpaceDE w:val="0"/>
        <w:autoSpaceDN w:val="0"/>
        <w:adjustRightInd w:val="0"/>
        <w:spacing w:after="0"/>
        <w:jc w:val="left"/>
        <w:rPr>
          <w:sz w:val="22"/>
          <w:szCs w:val="22"/>
          <w:lang w:val="sk-SK"/>
        </w:rPr>
      </w:pPr>
      <w:r w:rsidRPr="003D4D81">
        <w:rPr>
          <w:sz w:val="22"/>
          <w:szCs w:val="22"/>
          <w:lang w:val="sk-SK"/>
        </w:rPr>
        <w:t>Udržiavacia dávka nemá prekročiť 7,5</w:t>
      </w:r>
      <w:r w:rsidR="00C230A9" w:rsidRPr="003D4D81">
        <w:rPr>
          <w:sz w:val="22"/>
          <w:szCs w:val="22"/>
          <w:lang w:val="sk-SK"/>
        </w:rPr>
        <w:t> mg</w:t>
      </w:r>
      <w:r w:rsidRPr="003D4D81">
        <w:rPr>
          <w:sz w:val="22"/>
          <w:szCs w:val="22"/>
          <w:lang w:val="sk-SK"/>
        </w:rPr>
        <w:t xml:space="preserve"> dvakrát denne.</w:t>
      </w:r>
    </w:p>
    <w:p w:rsidR="00B512A8" w:rsidRPr="003D4D81" w:rsidRDefault="00B512A8" w:rsidP="00B512A8">
      <w:pPr>
        <w:widowControl w:val="0"/>
        <w:overflowPunct w:val="0"/>
        <w:autoSpaceDE w:val="0"/>
        <w:autoSpaceDN w:val="0"/>
        <w:adjustRightInd w:val="0"/>
        <w:spacing w:after="0"/>
        <w:jc w:val="left"/>
        <w:rPr>
          <w:sz w:val="22"/>
          <w:szCs w:val="22"/>
          <w:lang w:val="sk-SK"/>
        </w:rPr>
      </w:pPr>
      <w:r w:rsidRPr="003D4D81">
        <w:rPr>
          <w:sz w:val="22"/>
          <w:szCs w:val="22"/>
          <w:lang w:val="sk-SK"/>
        </w:rPr>
        <w:t>Ak počas 3</w:t>
      </w:r>
      <w:r w:rsidR="00C230A9" w:rsidRPr="003D4D81">
        <w:rPr>
          <w:sz w:val="22"/>
          <w:szCs w:val="22"/>
          <w:lang w:val="sk-SK"/>
        </w:rPr>
        <w:t> </w:t>
      </w:r>
      <w:r w:rsidRPr="003D4D81">
        <w:rPr>
          <w:sz w:val="22"/>
          <w:szCs w:val="22"/>
          <w:lang w:val="sk-SK"/>
        </w:rPr>
        <w:t xml:space="preserve">mesiacov od začatia liečby nenastane zlepšenie príznakov </w:t>
      </w:r>
      <w:r w:rsidR="00C230A9" w:rsidRPr="003D4D81">
        <w:rPr>
          <w:sz w:val="22"/>
          <w:szCs w:val="22"/>
          <w:lang w:val="sk-SK"/>
        </w:rPr>
        <w:t>angín</w:t>
      </w:r>
      <w:r w:rsidRPr="003D4D81">
        <w:rPr>
          <w:sz w:val="22"/>
          <w:szCs w:val="22"/>
          <w:lang w:val="sk-SK"/>
        </w:rPr>
        <w:t>y, liečba ivabradínom sa</w:t>
      </w:r>
      <w:r w:rsidR="00C230A9" w:rsidRPr="003D4D81">
        <w:rPr>
          <w:sz w:val="22"/>
          <w:szCs w:val="22"/>
          <w:lang w:val="sk-SK"/>
        </w:rPr>
        <w:t xml:space="preserve"> </w:t>
      </w:r>
      <w:r w:rsidRPr="003D4D81">
        <w:rPr>
          <w:sz w:val="22"/>
          <w:szCs w:val="22"/>
          <w:lang w:val="sk-SK"/>
        </w:rPr>
        <w:t>má prerušiť.</w:t>
      </w:r>
    </w:p>
    <w:p w:rsidR="00B512A8" w:rsidRPr="003D4D81" w:rsidRDefault="00B512A8" w:rsidP="00B512A8">
      <w:pPr>
        <w:widowControl w:val="0"/>
        <w:overflowPunct w:val="0"/>
        <w:autoSpaceDE w:val="0"/>
        <w:autoSpaceDN w:val="0"/>
        <w:adjustRightInd w:val="0"/>
        <w:spacing w:after="0"/>
        <w:jc w:val="left"/>
        <w:rPr>
          <w:sz w:val="22"/>
          <w:szCs w:val="22"/>
          <w:lang w:val="sk-SK"/>
        </w:rPr>
      </w:pPr>
      <w:r w:rsidRPr="003D4D81">
        <w:rPr>
          <w:sz w:val="22"/>
          <w:szCs w:val="22"/>
          <w:lang w:val="sk-SK"/>
        </w:rPr>
        <w:t>Navyše, má sa zvážiť prerušenie liečby, ak je symptomatická odpoveď nedostatočná a keď nedôjde ku</w:t>
      </w:r>
      <w:r w:rsidR="00961CCC" w:rsidRPr="003D4D81">
        <w:rPr>
          <w:sz w:val="22"/>
          <w:szCs w:val="22"/>
          <w:lang w:val="sk-SK"/>
        </w:rPr>
        <w:t xml:space="preserve"> </w:t>
      </w:r>
      <w:r w:rsidRPr="003D4D81">
        <w:rPr>
          <w:sz w:val="22"/>
          <w:szCs w:val="22"/>
          <w:lang w:val="sk-SK"/>
        </w:rPr>
        <w:t>klinicky významnej redukcii pokojovej srdcovej frekvencie počas troch mesiacov.</w:t>
      </w:r>
      <w:r w:rsidR="00961CCC" w:rsidRPr="003D4D81">
        <w:rPr>
          <w:sz w:val="22"/>
          <w:szCs w:val="22"/>
          <w:lang w:val="sk-SK"/>
        </w:rPr>
        <w:t xml:space="preserve"> </w:t>
      </w:r>
      <w:r w:rsidRPr="003D4D81">
        <w:rPr>
          <w:sz w:val="22"/>
          <w:szCs w:val="22"/>
          <w:lang w:val="sk-SK"/>
        </w:rPr>
        <w:t>Ak sa počas liečby srdcová frekvencia znižuje pod 50</w:t>
      </w:r>
      <w:r w:rsidR="00C230A9" w:rsidRPr="003D4D81">
        <w:rPr>
          <w:sz w:val="22"/>
          <w:szCs w:val="22"/>
          <w:lang w:val="sk-SK"/>
        </w:rPr>
        <w:t> úderov</w:t>
      </w:r>
      <w:r w:rsidR="00465010" w:rsidRPr="003D4D81">
        <w:rPr>
          <w:sz w:val="22"/>
          <w:szCs w:val="22"/>
          <w:lang w:val="sk-SK" w:eastAsia="en-GB"/>
        </w:rPr>
        <w:t>/min</w:t>
      </w:r>
      <w:r w:rsidR="00465010" w:rsidRPr="003D4D81">
        <w:rPr>
          <w:sz w:val="22"/>
          <w:szCs w:val="22"/>
          <w:lang w:val="sk-SK"/>
        </w:rPr>
        <w:t xml:space="preserve"> </w:t>
      </w:r>
      <w:r w:rsidRPr="003D4D81">
        <w:rPr>
          <w:sz w:val="22"/>
          <w:szCs w:val="22"/>
          <w:lang w:val="sk-SK"/>
        </w:rPr>
        <w:t>v pokoji, alebo</w:t>
      </w:r>
      <w:r w:rsidR="00961CCC" w:rsidRPr="003D4D81">
        <w:rPr>
          <w:sz w:val="22"/>
          <w:szCs w:val="22"/>
          <w:lang w:val="sk-SK"/>
        </w:rPr>
        <w:t xml:space="preserve"> </w:t>
      </w:r>
      <w:r w:rsidRPr="003D4D81">
        <w:rPr>
          <w:sz w:val="22"/>
          <w:szCs w:val="22"/>
          <w:lang w:val="sk-SK"/>
        </w:rPr>
        <w:t>pacient má príznaky spojené s bradykardiou ako závraty, únava alebo hypotenzia, dávka sa musí</w:t>
      </w:r>
      <w:r w:rsidR="00961CCC" w:rsidRPr="003D4D81">
        <w:rPr>
          <w:sz w:val="22"/>
          <w:szCs w:val="22"/>
          <w:lang w:val="sk-SK"/>
        </w:rPr>
        <w:t xml:space="preserve"> </w:t>
      </w:r>
      <w:r w:rsidRPr="003D4D81">
        <w:rPr>
          <w:sz w:val="22"/>
          <w:szCs w:val="22"/>
          <w:lang w:val="sk-SK"/>
        </w:rPr>
        <w:t xml:space="preserve">titrovať nadol, </w:t>
      </w:r>
      <w:r w:rsidR="006912A2" w:rsidRPr="003D4D81">
        <w:rPr>
          <w:sz w:val="22"/>
          <w:szCs w:val="22"/>
          <w:lang w:val="sk-SK"/>
        </w:rPr>
        <w:t>až na</w:t>
      </w:r>
      <w:r w:rsidRPr="003D4D81">
        <w:rPr>
          <w:sz w:val="22"/>
          <w:szCs w:val="22"/>
          <w:lang w:val="sk-SK"/>
        </w:rPr>
        <w:t xml:space="preserve"> </w:t>
      </w:r>
      <w:r w:rsidR="001B629B" w:rsidRPr="003D4D81">
        <w:rPr>
          <w:sz w:val="22"/>
          <w:szCs w:val="22"/>
          <w:lang w:val="sk-SK"/>
        </w:rPr>
        <w:t xml:space="preserve">najnižšiu dávku </w:t>
      </w:r>
      <w:r w:rsidRPr="003D4D81">
        <w:rPr>
          <w:sz w:val="22"/>
          <w:szCs w:val="22"/>
          <w:lang w:val="sk-SK"/>
        </w:rPr>
        <w:t>2,5</w:t>
      </w:r>
      <w:r w:rsidR="00C230A9" w:rsidRPr="003D4D81">
        <w:rPr>
          <w:sz w:val="22"/>
          <w:szCs w:val="22"/>
          <w:lang w:val="sk-SK"/>
        </w:rPr>
        <w:t> mg</w:t>
      </w:r>
      <w:r w:rsidRPr="003D4D81">
        <w:rPr>
          <w:sz w:val="22"/>
          <w:szCs w:val="22"/>
          <w:lang w:val="sk-SK"/>
        </w:rPr>
        <w:t xml:space="preserve"> dvakrát denne (jedna polovica 5</w:t>
      </w:r>
      <w:r w:rsidR="00C230A9" w:rsidRPr="003D4D81">
        <w:rPr>
          <w:sz w:val="22"/>
          <w:szCs w:val="22"/>
          <w:lang w:val="sk-SK"/>
        </w:rPr>
        <w:t> mg</w:t>
      </w:r>
      <w:r w:rsidRPr="003D4D81">
        <w:rPr>
          <w:sz w:val="22"/>
          <w:szCs w:val="22"/>
          <w:lang w:val="sk-SK"/>
        </w:rPr>
        <w:t xml:space="preserve"> tablety dvakrát</w:t>
      </w:r>
      <w:r w:rsidR="00961CCC" w:rsidRPr="003D4D81">
        <w:rPr>
          <w:sz w:val="22"/>
          <w:szCs w:val="22"/>
          <w:lang w:val="sk-SK"/>
        </w:rPr>
        <w:t xml:space="preserve"> </w:t>
      </w:r>
      <w:r w:rsidRPr="003D4D81">
        <w:rPr>
          <w:sz w:val="22"/>
          <w:szCs w:val="22"/>
          <w:lang w:val="sk-SK"/>
        </w:rPr>
        <w:t>denne). Po znížení dávky sa má srdcová frekvencia monitorovať (pozri časť 4.4). Liečba sa musí</w:t>
      </w:r>
      <w:r w:rsidR="00961CCC" w:rsidRPr="003D4D81">
        <w:rPr>
          <w:sz w:val="22"/>
          <w:szCs w:val="22"/>
          <w:lang w:val="sk-SK"/>
        </w:rPr>
        <w:t xml:space="preserve"> </w:t>
      </w:r>
      <w:r w:rsidRPr="003D4D81">
        <w:rPr>
          <w:sz w:val="22"/>
          <w:szCs w:val="22"/>
          <w:lang w:val="sk-SK"/>
        </w:rPr>
        <w:t>prerušiť, ak srdcová frekvencia ostáva pod 50</w:t>
      </w:r>
      <w:r w:rsidR="00C230A9" w:rsidRPr="003D4D81">
        <w:rPr>
          <w:sz w:val="22"/>
          <w:szCs w:val="22"/>
          <w:lang w:val="sk-SK"/>
        </w:rPr>
        <w:t> úderov</w:t>
      </w:r>
      <w:r w:rsidR="00465010" w:rsidRPr="003D4D81">
        <w:rPr>
          <w:sz w:val="22"/>
          <w:szCs w:val="22"/>
          <w:lang w:val="sk-SK" w:eastAsia="en-GB"/>
        </w:rPr>
        <w:t>/min</w:t>
      </w:r>
      <w:r w:rsidRPr="003D4D81">
        <w:rPr>
          <w:sz w:val="22"/>
          <w:szCs w:val="22"/>
          <w:lang w:val="sk-SK"/>
        </w:rPr>
        <w:t xml:space="preserve"> alebo ak napriek zníženiu dávky pretrvávajú</w:t>
      </w:r>
      <w:r w:rsidR="00961CCC" w:rsidRPr="003D4D81">
        <w:rPr>
          <w:sz w:val="22"/>
          <w:szCs w:val="22"/>
          <w:lang w:val="sk-SK"/>
        </w:rPr>
        <w:t xml:space="preserve"> </w:t>
      </w:r>
      <w:r w:rsidRPr="003D4D81">
        <w:rPr>
          <w:sz w:val="22"/>
          <w:szCs w:val="22"/>
          <w:lang w:val="sk-SK"/>
        </w:rPr>
        <w:t>príznaky bradykardie.</w:t>
      </w:r>
    </w:p>
    <w:p w:rsidR="00A00935" w:rsidRPr="003D4D81" w:rsidRDefault="00465010" w:rsidP="00465010">
      <w:pPr>
        <w:tabs>
          <w:tab w:val="left" w:pos="8571"/>
        </w:tabs>
        <w:spacing w:after="0"/>
        <w:jc w:val="left"/>
        <w:rPr>
          <w:sz w:val="22"/>
          <w:szCs w:val="22"/>
          <w:lang w:val="sk-SK"/>
        </w:rPr>
      </w:pPr>
      <w:r w:rsidRPr="003D4D81">
        <w:rPr>
          <w:sz w:val="22"/>
          <w:szCs w:val="22"/>
          <w:lang w:val="sk-SK"/>
        </w:rPr>
        <w:tab/>
      </w:r>
    </w:p>
    <w:p w:rsidR="00A00935" w:rsidRPr="003D4D81" w:rsidRDefault="00B512A8" w:rsidP="00572196">
      <w:pPr>
        <w:spacing w:after="0"/>
        <w:jc w:val="left"/>
        <w:rPr>
          <w:sz w:val="22"/>
          <w:szCs w:val="22"/>
          <w:u w:val="single"/>
          <w:lang w:val="sk-SK"/>
        </w:rPr>
      </w:pPr>
      <w:r w:rsidRPr="003D4D81">
        <w:rPr>
          <w:sz w:val="22"/>
          <w:szCs w:val="22"/>
          <w:u w:val="single"/>
          <w:lang w:val="sk-SK"/>
        </w:rPr>
        <w:t>Liečba chronického srdcového zlyhania</w:t>
      </w:r>
    </w:p>
    <w:p w:rsidR="00961CCC" w:rsidRPr="003D4D81" w:rsidRDefault="00B512A8" w:rsidP="00B512A8">
      <w:pPr>
        <w:autoSpaceDE w:val="0"/>
        <w:autoSpaceDN w:val="0"/>
        <w:adjustRightInd w:val="0"/>
        <w:spacing w:after="0"/>
        <w:jc w:val="left"/>
        <w:rPr>
          <w:sz w:val="22"/>
          <w:szCs w:val="22"/>
          <w:lang w:val="sk-SK" w:eastAsia="en-GB"/>
        </w:rPr>
      </w:pPr>
      <w:r w:rsidRPr="003D4D81">
        <w:rPr>
          <w:sz w:val="22"/>
          <w:szCs w:val="22"/>
          <w:lang w:val="sk-SK" w:eastAsia="en-GB"/>
        </w:rPr>
        <w:t xml:space="preserve">Liečba sa má začať len u pacientov so stabilným srdcovým zlyhaním. </w:t>
      </w:r>
    </w:p>
    <w:p w:rsidR="00B512A8" w:rsidRPr="003D4D81" w:rsidRDefault="00B512A8" w:rsidP="00B512A8">
      <w:pPr>
        <w:autoSpaceDE w:val="0"/>
        <w:autoSpaceDN w:val="0"/>
        <w:adjustRightInd w:val="0"/>
        <w:spacing w:after="0"/>
        <w:jc w:val="left"/>
        <w:rPr>
          <w:sz w:val="22"/>
          <w:szCs w:val="22"/>
          <w:lang w:val="sk-SK" w:eastAsia="en-GB"/>
        </w:rPr>
      </w:pPr>
      <w:r w:rsidRPr="003D4D81">
        <w:rPr>
          <w:sz w:val="22"/>
          <w:szCs w:val="22"/>
          <w:lang w:val="sk-SK" w:eastAsia="en-GB"/>
        </w:rPr>
        <w:t>Odporúča sa, aby ošetrujúci</w:t>
      </w:r>
      <w:r w:rsidR="00961CCC" w:rsidRPr="003D4D81">
        <w:rPr>
          <w:sz w:val="22"/>
          <w:szCs w:val="22"/>
          <w:lang w:val="sk-SK" w:eastAsia="en-GB"/>
        </w:rPr>
        <w:t xml:space="preserve"> </w:t>
      </w:r>
      <w:r w:rsidRPr="003D4D81">
        <w:rPr>
          <w:sz w:val="22"/>
          <w:szCs w:val="22"/>
          <w:lang w:val="sk-SK" w:eastAsia="en-GB"/>
        </w:rPr>
        <w:t>lekár mal skúsenosti s liečbou chronického srdcového zlyhania.</w:t>
      </w:r>
    </w:p>
    <w:p w:rsidR="00B512A8" w:rsidRPr="003D4D81" w:rsidRDefault="00B512A8" w:rsidP="00B512A8">
      <w:pPr>
        <w:autoSpaceDE w:val="0"/>
        <w:autoSpaceDN w:val="0"/>
        <w:adjustRightInd w:val="0"/>
        <w:spacing w:after="0"/>
        <w:jc w:val="left"/>
        <w:rPr>
          <w:sz w:val="22"/>
          <w:szCs w:val="22"/>
          <w:lang w:val="sk-SK" w:eastAsia="en-GB"/>
        </w:rPr>
      </w:pPr>
      <w:r w:rsidRPr="003D4D81">
        <w:rPr>
          <w:sz w:val="22"/>
          <w:szCs w:val="22"/>
          <w:lang w:val="sk-SK" w:eastAsia="en-GB"/>
        </w:rPr>
        <w:t>Zvyčajná odporúčaná úvodná dávka ivabradínu je 5</w:t>
      </w:r>
      <w:r w:rsidR="00C230A9" w:rsidRPr="003D4D81">
        <w:rPr>
          <w:sz w:val="22"/>
          <w:szCs w:val="22"/>
          <w:lang w:val="sk-SK" w:eastAsia="en-GB"/>
        </w:rPr>
        <w:t> mg</w:t>
      </w:r>
      <w:r w:rsidRPr="003D4D81">
        <w:rPr>
          <w:sz w:val="22"/>
          <w:szCs w:val="22"/>
          <w:lang w:val="sk-SK" w:eastAsia="en-GB"/>
        </w:rPr>
        <w:t xml:space="preserve"> dvakrát denne. Po 2 týždňoch liečby sa</w:t>
      </w:r>
      <w:r w:rsidR="00961CCC" w:rsidRPr="003D4D81">
        <w:rPr>
          <w:sz w:val="22"/>
          <w:szCs w:val="22"/>
          <w:lang w:val="sk-SK" w:eastAsia="en-GB"/>
        </w:rPr>
        <w:t xml:space="preserve"> </w:t>
      </w:r>
      <w:r w:rsidRPr="003D4D81">
        <w:rPr>
          <w:sz w:val="22"/>
          <w:szCs w:val="22"/>
          <w:lang w:val="sk-SK" w:eastAsia="en-GB"/>
        </w:rPr>
        <w:t>dávka môže zvýšiť na 7,5</w:t>
      </w:r>
      <w:r w:rsidR="00C230A9" w:rsidRPr="003D4D81">
        <w:rPr>
          <w:sz w:val="22"/>
          <w:szCs w:val="22"/>
          <w:lang w:val="sk-SK" w:eastAsia="en-GB"/>
        </w:rPr>
        <w:t> mg</w:t>
      </w:r>
      <w:r w:rsidRPr="003D4D81">
        <w:rPr>
          <w:sz w:val="22"/>
          <w:szCs w:val="22"/>
          <w:lang w:val="sk-SK" w:eastAsia="en-GB"/>
        </w:rPr>
        <w:t xml:space="preserve"> dvakrát denne, ak pokojová srdcová frekvencia je trvalo nad 60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alebo znížiť na 2,5</w:t>
      </w:r>
      <w:r w:rsidR="00C230A9" w:rsidRPr="003D4D81">
        <w:rPr>
          <w:sz w:val="22"/>
          <w:szCs w:val="22"/>
          <w:lang w:val="sk-SK" w:eastAsia="en-GB"/>
        </w:rPr>
        <w:t> mg</w:t>
      </w:r>
      <w:r w:rsidRPr="003D4D81">
        <w:rPr>
          <w:sz w:val="22"/>
          <w:szCs w:val="22"/>
          <w:lang w:val="sk-SK" w:eastAsia="en-GB"/>
        </w:rPr>
        <w:t xml:space="preserve"> dvakrát denne (jedna polovica 5</w:t>
      </w:r>
      <w:r w:rsidR="00C230A9" w:rsidRPr="003D4D81">
        <w:rPr>
          <w:sz w:val="22"/>
          <w:szCs w:val="22"/>
          <w:lang w:val="sk-SK" w:eastAsia="en-GB"/>
        </w:rPr>
        <w:t> mg</w:t>
      </w:r>
      <w:r w:rsidRPr="003D4D81">
        <w:rPr>
          <w:sz w:val="22"/>
          <w:szCs w:val="22"/>
          <w:lang w:val="sk-SK" w:eastAsia="en-GB"/>
        </w:rPr>
        <w:t xml:space="preserve"> tablety dvakrát denne), ak</w:t>
      </w:r>
      <w:r w:rsidR="00961CCC" w:rsidRPr="003D4D81">
        <w:rPr>
          <w:sz w:val="22"/>
          <w:szCs w:val="22"/>
          <w:lang w:val="sk-SK" w:eastAsia="en-GB"/>
        </w:rPr>
        <w:t xml:space="preserve"> </w:t>
      </w:r>
      <w:r w:rsidRPr="003D4D81">
        <w:rPr>
          <w:sz w:val="22"/>
          <w:szCs w:val="22"/>
          <w:lang w:val="sk-SK" w:eastAsia="en-GB"/>
        </w:rPr>
        <w:t>pokojová srdcová frekvencia je trvalo pod 50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alebo v prípade príznakov spojených</w:t>
      </w:r>
      <w:r w:rsidR="00961CCC" w:rsidRPr="003D4D81">
        <w:rPr>
          <w:sz w:val="22"/>
          <w:szCs w:val="22"/>
          <w:lang w:val="sk-SK" w:eastAsia="en-GB"/>
        </w:rPr>
        <w:t xml:space="preserve"> </w:t>
      </w:r>
      <w:r w:rsidRPr="003D4D81">
        <w:rPr>
          <w:sz w:val="22"/>
          <w:szCs w:val="22"/>
          <w:lang w:val="sk-SK" w:eastAsia="en-GB"/>
        </w:rPr>
        <w:t>s bradykardiou ako závrat, únava alebo hypotenzia. Ak je srdcová frekvencia medzi 50 a 60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dávka 5</w:t>
      </w:r>
      <w:r w:rsidR="00C230A9" w:rsidRPr="003D4D81">
        <w:rPr>
          <w:sz w:val="22"/>
          <w:szCs w:val="22"/>
          <w:lang w:val="sk-SK" w:eastAsia="en-GB"/>
        </w:rPr>
        <w:t> mg</w:t>
      </w:r>
      <w:r w:rsidRPr="003D4D81">
        <w:rPr>
          <w:sz w:val="22"/>
          <w:szCs w:val="22"/>
          <w:lang w:val="sk-SK" w:eastAsia="en-GB"/>
        </w:rPr>
        <w:t xml:space="preserve"> dvakrát denne má byť zachovaná.</w:t>
      </w:r>
    </w:p>
    <w:p w:rsidR="00B512A8" w:rsidRPr="003D4D81" w:rsidRDefault="00B512A8" w:rsidP="00B512A8">
      <w:pPr>
        <w:autoSpaceDE w:val="0"/>
        <w:autoSpaceDN w:val="0"/>
        <w:adjustRightInd w:val="0"/>
        <w:spacing w:after="0"/>
        <w:jc w:val="left"/>
        <w:rPr>
          <w:sz w:val="22"/>
          <w:szCs w:val="22"/>
          <w:lang w:val="sk-SK" w:eastAsia="en-GB"/>
        </w:rPr>
      </w:pPr>
      <w:r w:rsidRPr="003D4D81">
        <w:rPr>
          <w:sz w:val="22"/>
          <w:szCs w:val="22"/>
          <w:lang w:val="sk-SK" w:eastAsia="en-GB"/>
        </w:rPr>
        <w:t>Ak sa počas liečby srdcová frekvencia znižuje trvalo pod 50</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v pokoji alebo sa</w:t>
      </w:r>
      <w:r w:rsidR="00961CCC" w:rsidRPr="003D4D81">
        <w:rPr>
          <w:sz w:val="22"/>
          <w:szCs w:val="22"/>
          <w:lang w:val="sk-SK" w:eastAsia="en-GB"/>
        </w:rPr>
        <w:t xml:space="preserve"> </w:t>
      </w:r>
      <w:r w:rsidRPr="003D4D81">
        <w:rPr>
          <w:sz w:val="22"/>
          <w:szCs w:val="22"/>
          <w:lang w:val="sk-SK" w:eastAsia="en-GB"/>
        </w:rPr>
        <w:t>u pacienta objavia príznaky spojené s bradykardiou, dávka sa musí titrovať nadol na najbližšiu nižšiu</w:t>
      </w:r>
      <w:r w:rsidR="00961CCC" w:rsidRPr="003D4D81">
        <w:rPr>
          <w:sz w:val="22"/>
          <w:szCs w:val="22"/>
          <w:lang w:val="sk-SK" w:eastAsia="en-GB"/>
        </w:rPr>
        <w:t xml:space="preserve"> </w:t>
      </w:r>
      <w:r w:rsidRPr="003D4D81">
        <w:rPr>
          <w:sz w:val="22"/>
          <w:szCs w:val="22"/>
          <w:lang w:val="sk-SK" w:eastAsia="en-GB"/>
        </w:rPr>
        <w:t>dávku u</w:t>
      </w:r>
      <w:r w:rsidR="00C230A9" w:rsidRPr="003D4D81">
        <w:rPr>
          <w:sz w:val="22"/>
          <w:szCs w:val="22"/>
          <w:lang w:val="sk-SK" w:eastAsia="en-GB"/>
        </w:rPr>
        <w:t> </w:t>
      </w:r>
      <w:r w:rsidRPr="003D4D81">
        <w:rPr>
          <w:sz w:val="22"/>
          <w:szCs w:val="22"/>
          <w:lang w:val="sk-SK" w:eastAsia="en-GB"/>
        </w:rPr>
        <w:t>pacientov užívajúcich 7,5</w:t>
      </w:r>
      <w:r w:rsidR="00C230A9" w:rsidRPr="003D4D81">
        <w:rPr>
          <w:sz w:val="22"/>
          <w:szCs w:val="22"/>
          <w:lang w:val="sk-SK" w:eastAsia="en-GB"/>
        </w:rPr>
        <w:t> mg</w:t>
      </w:r>
      <w:r w:rsidRPr="003D4D81">
        <w:rPr>
          <w:sz w:val="22"/>
          <w:szCs w:val="22"/>
          <w:lang w:val="sk-SK" w:eastAsia="en-GB"/>
        </w:rPr>
        <w:t xml:space="preserve"> dvakrát denne alebo 5</w:t>
      </w:r>
      <w:r w:rsidR="00C230A9" w:rsidRPr="003D4D81">
        <w:rPr>
          <w:sz w:val="22"/>
          <w:szCs w:val="22"/>
          <w:lang w:val="sk-SK" w:eastAsia="en-GB"/>
        </w:rPr>
        <w:t> mg</w:t>
      </w:r>
      <w:r w:rsidRPr="003D4D81">
        <w:rPr>
          <w:sz w:val="22"/>
          <w:szCs w:val="22"/>
          <w:lang w:val="sk-SK" w:eastAsia="en-GB"/>
        </w:rPr>
        <w:t xml:space="preserve"> dvakrát denne. Ak sa srdcová</w:t>
      </w:r>
      <w:r w:rsidR="00961CCC" w:rsidRPr="003D4D81">
        <w:rPr>
          <w:sz w:val="22"/>
          <w:szCs w:val="22"/>
          <w:lang w:val="sk-SK" w:eastAsia="en-GB"/>
        </w:rPr>
        <w:t xml:space="preserve"> </w:t>
      </w:r>
      <w:r w:rsidRPr="003D4D81">
        <w:rPr>
          <w:sz w:val="22"/>
          <w:szCs w:val="22"/>
          <w:lang w:val="sk-SK" w:eastAsia="en-GB"/>
        </w:rPr>
        <w:t>frekvencia zvyšuje trvalo nad 60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xml:space="preserve"> v pokoji, dávka sa môže titrovať na najbližšiu</w:t>
      </w:r>
      <w:r w:rsidR="00961CCC" w:rsidRPr="003D4D81">
        <w:rPr>
          <w:sz w:val="22"/>
          <w:szCs w:val="22"/>
          <w:lang w:val="sk-SK" w:eastAsia="en-GB"/>
        </w:rPr>
        <w:t xml:space="preserve"> </w:t>
      </w:r>
      <w:r w:rsidRPr="003D4D81">
        <w:rPr>
          <w:sz w:val="22"/>
          <w:szCs w:val="22"/>
          <w:lang w:val="sk-SK" w:eastAsia="en-GB"/>
        </w:rPr>
        <w:t>vyššiu dávku u pacientov užívajúcich 2,5</w:t>
      </w:r>
      <w:r w:rsidR="00C230A9" w:rsidRPr="003D4D81">
        <w:rPr>
          <w:sz w:val="22"/>
          <w:szCs w:val="22"/>
          <w:lang w:val="sk-SK" w:eastAsia="en-GB"/>
        </w:rPr>
        <w:t> mg</w:t>
      </w:r>
      <w:r w:rsidRPr="003D4D81">
        <w:rPr>
          <w:sz w:val="22"/>
          <w:szCs w:val="22"/>
          <w:lang w:val="sk-SK" w:eastAsia="en-GB"/>
        </w:rPr>
        <w:t xml:space="preserve"> dvakrát denne alebo 5</w:t>
      </w:r>
      <w:r w:rsidR="00C230A9" w:rsidRPr="003D4D81">
        <w:rPr>
          <w:sz w:val="22"/>
          <w:szCs w:val="22"/>
          <w:lang w:val="sk-SK" w:eastAsia="en-GB"/>
        </w:rPr>
        <w:t> mg</w:t>
      </w:r>
      <w:r w:rsidRPr="003D4D81">
        <w:rPr>
          <w:sz w:val="22"/>
          <w:szCs w:val="22"/>
          <w:lang w:val="sk-SK" w:eastAsia="en-GB"/>
        </w:rPr>
        <w:t xml:space="preserve"> dvakrát denne.</w:t>
      </w:r>
    </w:p>
    <w:p w:rsidR="00B512A8" w:rsidRPr="003D4D81" w:rsidRDefault="00B512A8" w:rsidP="00961CCC">
      <w:pPr>
        <w:autoSpaceDE w:val="0"/>
        <w:autoSpaceDN w:val="0"/>
        <w:adjustRightInd w:val="0"/>
        <w:spacing w:after="0"/>
        <w:jc w:val="left"/>
        <w:rPr>
          <w:sz w:val="22"/>
          <w:szCs w:val="22"/>
          <w:lang w:val="sk-SK"/>
        </w:rPr>
      </w:pPr>
      <w:r w:rsidRPr="003D4D81">
        <w:rPr>
          <w:sz w:val="22"/>
          <w:szCs w:val="22"/>
          <w:lang w:val="sk-SK" w:eastAsia="en-GB"/>
        </w:rPr>
        <w:t>Liečba sa musí prerušiť, ak srdcová frekvencia je stále pod 50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xml:space="preserve"> alebo príznaky</w:t>
      </w:r>
      <w:r w:rsidR="00961CCC" w:rsidRPr="003D4D81">
        <w:rPr>
          <w:sz w:val="22"/>
          <w:szCs w:val="22"/>
          <w:lang w:val="sk-SK" w:eastAsia="en-GB"/>
        </w:rPr>
        <w:t xml:space="preserve"> </w:t>
      </w:r>
      <w:r w:rsidRPr="003D4D81">
        <w:rPr>
          <w:sz w:val="22"/>
          <w:szCs w:val="22"/>
          <w:lang w:val="sk-SK" w:eastAsia="en-GB"/>
        </w:rPr>
        <w:t>bradykardie pretrvávajú (pozri časť 4.4).</w:t>
      </w:r>
    </w:p>
    <w:p w:rsidR="00025FA9" w:rsidRPr="003D4D81" w:rsidRDefault="00025FA9" w:rsidP="00572196">
      <w:pPr>
        <w:spacing w:after="0"/>
        <w:jc w:val="left"/>
        <w:rPr>
          <w:sz w:val="22"/>
          <w:szCs w:val="22"/>
          <w:lang w:val="sk-SK"/>
        </w:rPr>
      </w:pPr>
    </w:p>
    <w:p w:rsidR="00A00935" w:rsidRPr="003D4D81" w:rsidRDefault="00B512A8" w:rsidP="00572196">
      <w:pPr>
        <w:spacing w:after="0"/>
        <w:jc w:val="left"/>
        <w:rPr>
          <w:sz w:val="22"/>
          <w:szCs w:val="22"/>
          <w:u w:val="single"/>
          <w:lang w:val="sk-SK"/>
        </w:rPr>
      </w:pPr>
      <w:r w:rsidRPr="003D4D81">
        <w:rPr>
          <w:sz w:val="22"/>
          <w:szCs w:val="22"/>
          <w:u w:val="single"/>
          <w:lang w:val="sk-SK"/>
        </w:rPr>
        <w:t>Osobitné skupiny pacientov</w:t>
      </w:r>
    </w:p>
    <w:p w:rsidR="00A00935" w:rsidRPr="003D4D81" w:rsidRDefault="00B512A8" w:rsidP="00572196">
      <w:pPr>
        <w:spacing w:after="0"/>
        <w:jc w:val="left"/>
        <w:rPr>
          <w:i/>
          <w:sz w:val="22"/>
          <w:szCs w:val="22"/>
          <w:lang w:val="sk-SK"/>
        </w:rPr>
      </w:pPr>
      <w:r w:rsidRPr="003D4D81">
        <w:rPr>
          <w:i/>
          <w:iCs/>
          <w:sz w:val="22"/>
          <w:szCs w:val="22"/>
          <w:lang w:val="sk-SK" w:eastAsia="en-GB"/>
        </w:rPr>
        <w:lastRenderedPageBreak/>
        <w:t>Staršie osoby</w:t>
      </w:r>
    </w:p>
    <w:p w:rsidR="00A00935" w:rsidRPr="003D4D81" w:rsidRDefault="00CB6B08" w:rsidP="00961CCC">
      <w:pPr>
        <w:autoSpaceDE w:val="0"/>
        <w:autoSpaceDN w:val="0"/>
        <w:adjustRightInd w:val="0"/>
        <w:spacing w:after="0"/>
        <w:jc w:val="left"/>
        <w:rPr>
          <w:sz w:val="22"/>
          <w:szCs w:val="22"/>
          <w:lang w:val="sk-SK"/>
        </w:rPr>
      </w:pPr>
      <w:r w:rsidRPr="003D4D81">
        <w:rPr>
          <w:sz w:val="22"/>
          <w:szCs w:val="22"/>
          <w:lang w:val="sk-SK" w:eastAsia="en-GB"/>
        </w:rPr>
        <w:t>U pacientov vo veku 75</w:t>
      </w:r>
      <w:r w:rsidR="00C230A9" w:rsidRPr="003D4D81">
        <w:rPr>
          <w:sz w:val="22"/>
          <w:szCs w:val="22"/>
          <w:lang w:val="sk-SK" w:eastAsia="en-GB"/>
        </w:rPr>
        <w:t> </w:t>
      </w:r>
      <w:r w:rsidRPr="003D4D81">
        <w:rPr>
          <w:sz w:val="22"/>
          <w:szCs w:val="22"/>
          <w:lang w:val="sk-SK" w:eastAsia="en-GB"/>
        </w:rPr>
        <w:t>rokov a starších sa má zvážiť nižšia začiatočná dávka (2,5</w:t>
      </w:r>
      <w:r w:rsidR="00C230A9" w:rsidRPr="003D4D81">
        <w:rPr>
          <w:sz w:val="22"/>
          <w:szCs w:val="22"/>
          <w:lang w:val="sk-SK" w:eastAsia="en-GB"/>
        </w:rPr>
        <w:t> mg</w:t>
      </w:r>
      <w:r w:rsidRPr="003D4D81">
        <w:rPr>
          <w:sz w:val="22"/>
          <w:szCs w:val="22"/>
          <w:lang w:val="sk-SK" w:eastAsia="en-GB"/>
        </w:rPr>
        <w:t xml:space="preserve"> dvakrát denne,</w:t>
      </w:r>
      <w:r w:rsidR="00961CCC" w:rsidRPr="003D4D81">
        <w:rPr>
          <w:sz w:val="22"/>
          <w:szCs w:val="22"/>
          <w:lang w:val="sk-SK" w:eastAsia="en-GB"/>
        </w:rPr>
        <w:t xml:space="preserve"> </w:t>
      </w:r>
      <w:r w:rsidRPr="003D4D81">
        <w:rPr>
          <w:sz w:val="22"/>
          <w:szCs w:val="22"/>
          <w:lang w:val="sk-SK" w:eastAsia="en-GB"/>
        </w:rPr>
        <w:t>t.j. jedna polovica 5</w:t>
      </w:r>
      <w:r w:rsidR="004555FF" w:rsidRPr="003D4D81">
        <w:rPr>
          <w:sz w:val="22"/>
          <w:szCs w:val="22"/>
          <w:lang w:val="sk-SK" w:eastAsia="en-GB"/>
        </w:rPr>
        <w:t>-</w:t>
      </w:r>
      <w:r w:rsidR="00C230A9" w:rsidRPr="003D4D81">
        <w:rPr>
          <w:sz w:val="22"/>
          <w:szCs w:val="22"/>
          <w:lang w:val="sk-SK" w:eastAsia="en-GB"/>
        </w:rPr>
        <w:t>mg</w:t>
      </w:r>
      <w:r w:rsidRPr="003D4D81">
        <w:rPr>
          <w:sz w:val="22"/>
          <w:szCs w:val="22"/>
          <w:lang w:val="sk-SK" w:eastAsia="en-GB"/>
        </w:rPr>
        <w:t xml:space="preserve"> tablety dvakrát denne) pred titráciou dávky nahor, ak je to nevyhnutné.</w:t>
      </w:r>
    </w:p>
    <w:p w:rsidR="00025FA9" w:rsidRPr="003D4D81" w:rsidRDefault="00025FA9" w:rsidP="00572196">
      <w:pPr>
        <w:spacing w:after="0"/>
        <w:jc w:val="left"/>
        <w:rPr>
          <w:sz w:val="22"/>
          <w:szCs w:val="22"/>
          <w:lang w:val="sk-SK"/>
        </w:rPr>
      </w:pPr>
    </w:p>
    <w:p w:rsidR="00A00935" w:rsidRPr="003D4D81" w:rsidRDefault="00CB6B08" w:rsidP="00BE3580">
      <w:pPr>
        <w:keepNext/>
        <w:spacing w:after="0"/>
        <w:jc w:val="left"/>
        <w:rPr>
          <w:i/>
          <w:sz w:val="22"/>
          <w:szCs w:val="22"/>
          <w:lang w:val="sk-SK"/>
        </w:rPr>
      </w:pPr>
      <w:r w:rsidRPr="003D4D81">
        <w:rPr>
          <w:i/>
          <w:iCs/>
          <w:sz w:val="22"/>
          <w:szCs w:val="22"/>
          <w:lang w:val="sk-SK" w:eastAsia="en-GB"/>
        </w:rPr>
        <w:t>Porucha funkcie obličiek</w:t>
      </w:r>
    </w:p>
    <w:p w:rsidR="00A00935" w:rsidRPr="003D4D81" w:rsidRDefault="00CB6B08" w:rsidP="00CB6B08">
      <w:pPr>
        <w:autoSpaceDE w:val="0"/>
        <w:autoSpaceDN w:val="0"/>
        <w:adjustRightInd w:val="0"/>
        <w:spacing w:after="0"/>
        <w:jc w:val="left"/>
        <w:rPr>
          <w:sz w:val="22"/>
          <w:szCs w:val="22"/>
          <w:lang w:val="sk-SK"/>
        </w:rPr>
      </w:pPr>
      <w:r w:rsidRPr="003D4D81">
        <w:rPr>
          <w:sz w:val="22"/>
          <w:szCs w:val="22"/>
          <w:lang w:val="sk-SK" w:eastAsia="en-GB"/>
        </w:rPr>
        <w:t>U pacientov s renálnou insuficienciou a s klírensom kreatinínu nad 15</w:t>
      </w:r>
      <w:r w:rsidR="00C230A9" w:rsidRPr="003D4D81">
        <w:rPr>
          <w:sz w:val="22"/>
          <w:szCs w:val="22"/>
          <w:lang w:val="sk-SK" w:eastAsia="en-GB"/>
        </w:rPr>
        <w:t> ml</w:t>
      </w:r>
      <w:r w:rsidRPr="003D4D81">
        <w:rPr>
          <w:sz w:val="22"/>
          <w:szCs w:val="22"/>
          <w:lang w:val="sk-SK" w:eastAsia="en-GB"/>
        </w:rPr>
        <w:t>/min nie je potrebná žiadna</w:t>
      </w:r>
      <w:r w:rsidR="00961CCC" w:rsidRPr="003D4D81">
        <w:rPr>
          <w:sz w:val="22"/>
          <w:szCs w:val="22"/>
          <w:lang w:val="sk-SK" w:eastAsia="en-GB"/>
        </w:rPr>
        <w:t xml:space="preserve"> </w:t>
      </w:r>
      <w:r w:rsidRPr="003D4D81">
        <w:rPr>
          <w:sz w:val="22"/>
          <w:szCs w:val="22"/>
          <w:lang w:val="sk-SK" w:eastAsia="en-GB"/>
        </w:rPr>
        <w:t xml:space="preserve">úprava dávky (pozri časť 5.2). </w:t>
      </w:r>
      <w:r w:rsidR="00E923BD" w:rsidRPr="003D4D81">
        <w:rPr>
          <w:sz w:val="22"/>
          <w:szCs w:val="22"/>
          <w:lang w:val="sk-SK" w:eastAsia="en-GB"/>
        </w:rPr>
        <w:t xml:space="preserve">O </w:t>
      </w:r>
      <w:r w:rsidRPr="003D4D81">
        <w:rPr>
          <w:sz w:val="22"/>
          <w:szCs w:val="22"/>
          <w:lang w:val="sk-SK" w:eastAsia="en-GB"/>
        </w:rPr>
        <w:t>pacientoch s klírensom kreatinínu pod 15</w:t>
      </w:r>
      <w:r w:rsidR="00C230A9" w:rsidRPr="003D4D81">
        <w:rPr>
          <w:sz w:val="22"/>
          <w:szCs w:val="22"/>
          <w:lang w:val="sk-SK" w:eastAsia="en-GB"/>
        </w:rPr>
        <w:t> ml</w:t>
      </w:r>
      <w:r w:rsidRPr="003D4D81">
        <w:rPr>
          <w:sz w:val="22"/>
          <w:szCs w:val="22"/>
          <w:lang w:val="sk-SK" w:eastAsia="en-GB"/>
        </w:rPr>
        <w:t>/min nie sú k dispozícii žiadne údaje. Ivabradín sa má preto používať v tejto populácii s opatrnosťou.</w:t>
      </w:r>
    </w:p>
    <w:p w:rsidR="00CB6B08" w:rsidRPr="003D4D81" w:rsidRDefault="00CB6B08" w:rsidP="00572196">
      <w:pPr>
        <w:spacing w:after="0"/>
        <w:jc w:val="left"/>
        <w:rPr>
          <w:sz w:val="22"/>
          <w:szCs w:val="22"/>
          <w:lang w:val="sk-SK"/>
        </w:rPr>
      </w:pPr>
    </w:p>
    <w:p w:rsidR="00A00935" w:rsidRPr="003D4D81" w:rsidRDefault="00CB6B08" w:rsidP="004842C0">
      <w:pPr>
        <w:spacing w:after="0"/>
        <w:jc w:val="left"/>
        <w:rPr>
          <w:i/>
          <w:sz w:val="22"/>
          <w:szCs w:val="22"/>
          <w:lang w:val="sk-SK"/>
        </w:rPr>
      </w:pPr>
      <w:r w:rsidRPr="003D4D81">
        <w:rPr>
          <w:i/>
          <w:iCs/>
          <w:sz w:val="22"/>
          <w:szCs w:val="22"/>
          <w:lang w:val="sk-SK" w:eastAsia="en-GB"/>
        </w:rPr>
        <w:t>Porucha funkcie pečene</w:t>
      </w:r>
    </w:p>
    <w:p w:rsidR="00A00935" w:rsidRPr="003D4D81" w:rsidRDefault="00CB6B08" w:rsidP="00961CCC">
      <w:pPr>
        <w:autoSpaceDE w:val="0"/>
        <w:autoSpaceDN w:val="0"/>
        <w:adjustRightInd w:val="0"/>
        <w:spacing w:after="0"/>
        <w:jc w:val="left"/>
        <w:rPr>
          <w:sz w:val="22"/>
          <w:szCs w:val="22"/>
          <w:lang w:val="sk-SK"/>
        </w:rPr>
      </w:pPr>
      <w:r w:rsidRPr="003D4D81">
        <w:rPr>
          <w:sz w:val="22"/>
          <w:szCs w:val="22"/>
          <w:lang w:val="sk-SK" w:eastAsia="en-GB"/>
        </w:rPr>
        <w:t>U pacientov s miernou poruchou funkcie pečene nie je potrebná žiadna úprava dávky. Pri použití</w:t>
      </w:r>
      <w:r w:rsidR="00961CCC" w:rsidRPr="003D4D81">
        <w:rPr>
          <w:sz w:val="22"/>
          <w:szCs w:val="22"/>
          <w:lang w:val="sk-SK" w:eastAsia="en-GB"/>
        </w:rPr>
        <w:t xml:space="preserve"> </w:t>
      </w:r>
      <w:r w:rsidRPr="003D4D81">
        <w:rPr>
          <w:sz w:val="22"/>
          <w:szCs w:val="22"/>
          <w:lang w:val="sk-SK" w:eastAsia="en-GB"/>
        </w:rPr>
        <w:t>ivabradínu u pacientov so stredne ťažkou poruchou funkcie pečene sa má postupovať opatrne. Použitie</w:t>
      </w:r>
      <w:r w:rsidR="00961CCC" w:rsidRPr="003D4D81">
        <w:rPr>
          <w:sz w:val="22"/>
          <w:szCs w:val="22"/>
          <w:lang w:val="sk-SK" w:eastAsia="en-GB"/>
        </w:rPr>
        <w:t xml:space="preserve"> </w:t>
      </w:r>
      <w:r w:rsidRPr="003D4D81">
        <w:rPr>
          <w:sz w:val="22"/>
          <w:szCs w:val="22"/>
          <w:lang w:val="sk-SK" w:eastAsia="en-GB"/>
        </w:rPr>
        <w:t>ivabradínu je kontraindikované u pacientov s ťažkou hepatálnou insuficienciou, keďže v</w:t>
      </w:r>
      <w:r w:rsidR="00961CCC" w:rsidRPr="003D4D81">
        <w:rPr>
          <w:sz w:val="22"/>
          <w:szCs w:val="22"/>
          <w:lang w:val="sk-SK" w:eastAsia="en-GB"/>
        </w:rPr>
        <w:t> </w:t>
      </w:r>
      <w:r w:rsidRPr="003D4D81">
        <w:rPr>
          <w:sz w:val="22"/>
          <w:szCs w:val="22"/>
          <w:lang w:val="sk-SK" w:eastAsia="en-GB"/>
        </w:rPr>
        <w:t>tejto</w:t>
      </w:r>
      <w:r w:rsidR="00961CCC" w:rsidRPr="003D4D81">
        <w:rPr>
          <w:sz w:val="22"/>
          <w:szCs w:val="22"/>
          <w:lang w:val="sk-SK" w:eastAsia="en-GB"/>
        </w:rPr>
        <w:t xml:space="preserve"> </w:t>
      </w:r>
      <w:r w:rsidRPr="003D4D81">
        <w:rPr>
          <w:sz w:val="22"/>
          <w:szCs w:val="22"/>
          <w:lang w:val="sk-SK" w:eastAsia="en-GB"/>
        </w:rPr>
        <w:t>populácii nebol skúmaný a predpokladá sa značné zvýšenie systémovej expozície (pozri časti 4.3 a</w:t>
      </w:r>
      <w:r w:rsidR="00961CCC" w:rsidRPr="003D4D81">
        <w:rPr>
          <w:sz w:val="22"/>
          <w:szCs w:val="22"/>
          <w:lang w:val="sk-SK" w:eastAsia="en-GB"/>
        </w:rPr>
        <w:t xml:space="preserve"> </w:t>
      </w:r>
      <w:r w:rsidRPr="003D4D81">
        <w:rPr>
          <w:sz w:val="22"/>
          <w:szCs w:val="22"/>
          <w:lang w:val="sk-SK" w:eastAsia="en-GB"/>
        </w:rPr>
        <w:t>5.2).</w:t>
      </w:r>
    </w:p>
    <w:p w:rsidR="00064F02" w:rsidRPr="003D4D81" w:rsidRDefault="00064F02" w:rsidP="00572196">
      <w:pPr>
        <w:spacing w:after="0"/>
        <w:jc w:val="left"/>
        <w:rPr>
          <w:sz w:val="22"/>
          <w:szCs w:val="22"/>
          <w:lang w:val="sk-SK"/>
        </w:rPr>
      </w:pPr>
    </w:p>
    <w:p w:rsidR="00A00935" w:rsidRPr="003D4D81" w:rsidRDefault="00CB6B08" w:rsidP="00572196">
      <w:pPr>
        <w:spacing w:after="0"/>
        <w:jc w:val="left"/>
        <w:rPr>
          <w:i/>
          <w:sz w:val="22"/>
          <w:szCs w:val="22"/>
          <w:lang w:val="sk-SK"/>
        </w:rPr>
      </w:pPr>
      <w:r w:rsidRPr="003D4D81">
        <w:rPr>
          <w:i/>
          <w:iCs/>
          <w:sz w:val="22"/>
          <w:szCs w:val="22"/>
          <w:lang w:val="sk-SK" w:eastAsia="en-GB"/>
        </w:rPr>
        <w:t>Pediatrická populácia</w:t>
      </w:r>
    </w:p>
    <w:p w:rsidR="00CB6B08" w:rsidRPr="003D4D81" w:rsidRDefault="00CB6B08" w:rsidP="00CB6B08">
      <w:pPr>
        <w:autoSpaceDE w:val="0"/>
        <w:autoSpaceDN w:val="0"/>
        <w:adjustRightInd w:val="0"/>
        <w:spacing w:after="0"/>
        <w:jc w:val="left"/>
        <w:rPr>
          <w:sz w:val="22"/>
          <w:szCs w:val="22"/>
          <w:lang w:val="sk-SK" w:eastAsia="en-GB"/>
        </w:rPr>
      </w:pPr>
      <w:r w:rsidRPr="003D4D81">
        <w:rPr>
          <w:sz w:val="22"/>
          <w:szCs w:val="22"/>
          <w:lang w:val="sk-SK" w:eastAsia="en-GB"/>
        </w:rPr>
        <w:t>Bezpečnosť a účinnosť ivabradínu pre liečbu chronického srdcového zlyhania u detí vo veku do 18</w:t>
      </w:r>
      <w:r w:rsidR="00C230A9" w:rsidRPr="003D4D81">
        <w:rPr>
          <w:sz w:val="22"/>
          <w:szCs w:val="22"/>
          <w:lang w:val="sk-SK" w:eastAsia="en-GB"/>
        </w:rPr>
        <w:t> </w:t>
      </w:r>
      <w:r w:rsidRPr="003D4D81">
        <w:rPr>
          <w:sz w:val="22"/>
          <w:szCs w:val="22"/>
          <w:lang w:val="sk-SK" w:eastAsia="en-GB"/>
        </w:rPr>
        <w:t>rokov neboli stanovené.</w:t>
      </w:r>
    </w:p>
    <w:p w:rsidR="00C52938" w:rsidRPr="003D4D81" w:rsidRDefault="00CB6B08" w:rsidP="00EE2932">
      <w:pPr>
        <w:autoSpaceDE w:val="0"/>
        <w:autoSpaceDN w:val="0"/>
        <w:adjustRightInd w:val="0"/>
        <w:spacing w:after="0"/>
        <w:jc w:val="left"/>
        <w:rPr>
          <w:sz w:val="22"/>
          <w:szCs w:val="22"/>
          <w:lang w:val="sk-SK"/>
        </w:rPr>
      </w:pPr>
      <w:r w:rsidRPr="003D4D81">
        <w:rPr>
          <w:sz w:val="22"/>
          <w:szCs w:val="22"/>
          <w:lang w:val="sk-SK" w:eastAsia="en-GB"/>
        </w:rPr>
        <w:t>V súčasnosti dostupné údaje sú opísané v častiach 5.1 a 5.2, ale neumožňujú uviesť odporúčania na</w:t>
      </w:r>
      <w:r w:rsidR="00EE2932" w:rsidRPr="003D4D81">
        <w:rPr>
          <w:sz w:val="22"/>
          <w:szCs w:val="22"/>
          <w:lang w:val="sk-SK" w:eastAsia="en-GB"/>
        </w:rPr>
        <w:t xml:space="preserve"> </w:t>
      </w:r>
      <w:r w:rsidRPr="003D4D81">
        <w:rPr>
          <w:sz w:val="22"/>
          <w:szCs w:val="22"/>
          <w:lang w:val="sk-SK" w:eastAsia="en-GB"/>
        </w:rPr>
        <w:t>dávkovanie.</w:t>
      </w:r>
    </w:p>
    <w:p w:rsidR="00064F02" w:rsidRPr="003D4D81" w:rsidRDefault="00064F02" w:rsidP="00572196">
      <w:pPr>
        <w:spacing w:after="0"/>
        <w:jc w:val="left"/>
        <w:rPr>
          <w:sz w:val="22"/>
          <w:szCs w:val="22"/>
          <w:lang w:val="sk-SK"/>
        </w:rPr>
      </w:pPr>
    </w:p>
    <w:p w:rsidR="00A00935" w:rsidRPr="003D4D81" w:rsidRDefault="00CB6B08" w:rsidP="00572196">
      <w:pPr>
        <w:spacing w:after="0"/>
        <w:jc w:val="left"/>
        <w:rPr>
          <w:sz w:val="22"/>
          <w:szCs w:val="22"/>
          <w:u w:val="single"/>
          <w:lang w:val="sk-SK"/>
        </w:rPr>
      </w:pPr>
      <w:r w:rsidRPr="003D4D81">
        <w:rPr>
          <w:sz w:val="22"/>
          <w:szCs w:val="22"/>
          <w:u w:val="single"/>
          <w:lang w:val="sk-SK"/>
        </w:rPr>
        <w:t>Spôsob podávania</w:t>
      </w:r>
    </w:p>
    <w:p w:rsidR="00741091" w:rsidRPr="003D4D81" w:rsidRDefault="00CB6B08" w:rsidP="00EE2932">
      <w:pPr>
        <w:autoSpaceDE w:val="0"/>
        <w:autoSpaceDN w:val="0"/>
        <w:adjustRightInd w:val="0"/>
        <w:spacing w:after="0"/>
        <w:jc w:val="left"/>
        <w:rPr>
          <w:sz w:val="22"/>
          <w:szCs w:val="22"/>
          <w:lang w:val="sk-SK"/>
        </w:rPr>
      </w:pPr>
      <w:r w:rsidRPr="003D4D81">
        <w:rPr>
          <w:sz w:val="22"/>
          <w:szCs w:val="22"/>
          <w:lang w:val="sk-SK" w:eastAsia="en-GB"/>
        </w:rPr>
        <w:t>Tablety sa musia užívať perorálne dvakrát denne, t.j. jedna tableta ráno a jedna tableta večer, počas</w:t>
      </w:r>
      <w:r w:rsidR="00EE2932" w:rsidRPr="003D4D81">
        <w:rPr>
          <w:sz w:val="22"/>
          <w:szCs w:val="22"/>
          <w:lang w:val="sk-SK" w:eastAsia="en-GB"/>
        </w:rPr>
        <w:t xml:space="preserve"> </w:t>
      </w:r>
      <w:r w:rsidRPr="003D4D81">
        <w:rPr>
          <w:sz w:val="22"/>
          <w:szCs w:val="22"/>
          <w:lang w:val="sk-SK" w:eastAsia="en-GB"/>
        </w:rPr>
        <w:t>jedla (pozri časť 5.2).</w:t>
      </w:r>
    </w:p>
    <w:p w:rsidR="001F5DE2" w:rsidRPr="003D4D81" w:rsidRDefault="001F5DE2" w:rsidP="00572196">
      <w:pPr>
        <w:spacing w:after="0"/>
        <w:jc w:val="left"/>
        <w:rPr>
          <w:sz w:val="22"/>
          <w:szCs w:val="22"/>
          <w:lang w:val="sk-SK"/>
        </w:rPr>
      </w:pPr>
    </w:p>
    <w:p w:rsidR="00262C35" w:rsidRPr="003D4D81" w:rsidRDefault="00BE3580" w:rsidP="00BE3580">
      <w:pPr>
        <w:rPr>
          <w:b/>
          <w:bCs/>
          <w:sz w:val="22"/>
          <w:szCs w:val="22"/>
          <w:lang w:val="sk-SK"/>
        </w:rPr>
      </w:pPr>
      <w:r w:rsidRPr="003D4D81">
        <w:rPr>
          <w:b/>
          <w:bCs/>
          <w:sz w:val="22"/>
          <w:szCs w:val="22"/>
          <w:lang w:val="sk-SK"/>
        </w:rPr>
        <w:t>4.3</w:t>
      </w:r>
      <w:r w:rsidRPr="003D4D81">
        <w:rPr>
          <w:b/>
          <w:bCs/>
          <w:sz w:val="22"/>
          <w:szCs w:val="22"/>
          <w:lang w:val="sk-SK"/>
        </w:rPr>
        <w:tab/>
      </w:r>
      <w:r w:rsidR="00F875A4" w:rsidRPr="003D4D81">
        <w:rPr>
          <w:b/>
          <w:bCs/>
          <w:sz w:val="22"/>
          <w:szCs w:val="22"/>
          <w:lang w:val="sk-SK"/>
        </w:rPr>
        <w:t>Kontraindikácie</w:t>
      </w:r>
    </w:p>
    <w:p w:rsidR="00262C35" w:rsidRPr="003D4D81" w:rsidRDefault="00262C35" w:rsidP="00572196">
      <w:pPr>
        <w:spacing w:after="0"/>
        <w:jc w:val="left"/>
        <w:rPr>
          <w:sz w:val="22"/>
          <w:szCs w:val="22"/>
          <w:lang w:val="sk-SK"/>
        </w:rPr>
      </w:pP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Precitlivenosť na liečivo alebo na ktorúkoľvek z pomocných látok uvedených v časti 6.1</w:t>
      </w:r>
      <w:r w:rsidR="00064F02" w:rsidRPr="003D4D81">
        <w:rPr>
          <w:sz w:val="22"/>
          <w:szCs w:val="22"/>
          <w:lang w:val="sk-SK"/>
        </w:rPr>
        <w:t>.</w:t>
      </w:r>
    </w:p>
    <w:p w:rsidR="00652E38"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Pokojová srdcová frekvencia pred liečbou menej ako 70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Kardiogénny šok.</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Akútny infarkt myokardu</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Ťažká hypotenzia (</w:t>
      </w:r>
      <w:r w:rsidR="00C230A9" w:rsidRPr="003D4D81">
        <w:rPr>
          <w:sz w:val="22"/>
          <w:szCs w:val="22"/>
          <w:lang w:val="sk-SK" w:eastAsia="en-GB"/>
        </w:rPr>
        <w:t>&lt; </w:t>
      </w:r>
      <w:r w:rsidRPr="003D4D81">
        <w:rPr>
          <w:sz w:val="22"/>
          <w:szCs w:val="22"/>
          <w:lang w:val="sk-SK" w:eastAsia="en-GB"/>
        </w:rPr>
        <w:t>90/50 mmHg)</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Ťažká hepatálna insuficiencia</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Syndróm chorého sínusu</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Sinoatriálna blokáda</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Nestabilné alebo akútne srdcové zlyhanie</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Závislosť od kardiostimulátora (srdcová frekvencia navodená výlučne kardiostimulátorom</w:t>
      </w:r>
      <w:r w:rsidR="00064F02" w:rsidRPr="003D4D81">
        <w:rPr>
          <w:sz w:val="22"/>
          <w:szCs w:val="22"/>
          <w:lang w:val="sk-SK"/>
        </w:rPr>
        <w:t>)</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 xml:space="preserve">Nestabilná </w:t>
      </w:r>
      <w:r w:rsidR="00C230A9" w:rsidRPr="003D4D81">
        <w:rPr>
          <w:sz w:val="22"/>
          <w:szCs w:val="22"/>
          <w:lang w:val="sk-SK" w:eastAsia="en-GB"/>
        </w:rPr>
        <w:t>angín</w:t>
      </w:r>
      <w:r w:rsidRPr="003D4D81">
        <w:rPr>
          <w:sz w:val="22"/>
          <w:szCs w:val="22"/>
          <w:lang w:val="sk-SK" w:eastAsia="en-GB"/>
        </w:rPr>
        <w:t>a pectoris</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AV blokáda III. stupňa</w:t>
      </w:r>
      <w:r w:rsidR="00ED4908" w:rsidRPr="003D4D81">
        <w:rPr>
          <w:sz w:val="22"/>
          <w:szCs w:val="22"/>
          <w:lang w:val="sk-SK"/>
        </w:rPr>
        <w:t>.</w:t>
      </w:r>
    </w:p>
    <w:p w:rsidR="00064F02" w:rsidRPr="003D4D81" w:rsidRDefault="00652E38"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Kombinácia so silnými inhibítormi cytochrómu P450</w:t>
      </w:r>
      <w:r w:rsidR="00C230A9" w:rsidRPr="003D4D81">
        <w:rPr>
          <w:sz w:val="22"/>
          <w:szCs w:val="22"/>
          <w:lang w:val="sk-SK" w:eastAsia="en-GB"/>
        </w:rPr>
        <w:t> </w:t>
      </w:r>
      <w:r w:rsidRPr="003D4D81">
        <w:rPr>
          <w:sz w:val="22"/>
          <w:szCs w:val="22"/>
          <w:lang w:val="sk-SK" w:eastAsia="en-GB"/>
        </w:rPr>
        <w:t>3A4, ako sú azolové antimykotiká</w:t>
      </w:r>
      <w:r w:rsidRPr="003D4D81">
        <w:rPr>
          <w:sz w:val="22"/>
          <w:szCs w:val="22"/>
          <w:lang w:val="sk-SK"/>
        </w:rPr>
        <w:t xml:space="preserve"> </w:t>
      </w:r>
      <w:r w:rsidR="00064F02" w:rsidRPr="003D4D81">
        <w:rPr>
          <w:sz w:val="22"/>
          <w:szCs w:val="22"/>
          <w:lang w:val="sk-SK"/>
        </w:rPr>
        <w:t>(</w:t>
      </w:r>
      <w:r w:rsidRPr="003D4D81">
        <w:rPr>
          <w:sz w:val="22"/>
          <w:szCs w:val="22"/>
          <w:lang w:val="sk-SK" w:eastAsia="en-GB"/>
        </w:rPr>
        <w:t>ketokonazol, itrakonazol</w:t>
      </w:r>
      <w:r w:rsidR="00064F02" w:rsidRPr="003D4D81">
        <w:rPr>
          <w:sz w:val="22"/>
          <w:szCs w:val="22"/>
          <w:lang w:val="sk-SK"/>
        </w:rPr>
        <w:t xml:space="preserve">), </w:t>
      </w:r>
      <w:r w:rsidRPr="003D4D81">
        <w:rPr>
          <w:sz w:val="22"/>
          <w:szCs w:val="22"/>
          <w:lang w:val="sk-SK" w:eastAsia="en-GB"/>
        </w:rPr>
        <w:t xml:space="preserve">makrolidové antibiotiká (klaritromycín, erytromycín </w:t>
      </w:r>
      <w:r w:rsidRPr="003D4D81">
        <w:rPr>
          <w:i/>
          <w:iCs/>
          <w:sz w:val="22"/>
          <w:szCs w:val="22"/>
          <w:lang w:val="sk-SK" w:eastAsia="en-GB"/>
        </w:rPr>
        <w:t>per os</w:t>
      </w:r>
      <w:r w:rsidR="00064F02" w:rsidRPr="003D4D81">
        <w:rPr>
          <w:sz w:val="22"/>
          <w:szCs w:val="22"/>
          <w:lang w:val="sk-SK"/>
        </w:rPr>
        <w:t xml:space="preserve">, </w:t>
      </w:r>
      <w:r w:rsidRPr="003D4D81">
        <w:rPr>
          <w:sz w:val="22"/>
          <w:szCs w:val="22"/>
          <w:lang w:val="sk-SK" w:eastAsia="en-GB"/>
        </w:rPr>
        <w:t>josamycín</w:t>
      </w:r>
      <w:r w:rsidR="00064F02" w:rsidRPr="003D4D81">
        <w:rPr>
          <w:sz w:val="22"/>
          <w:szCs w:val="22"/>
          <w:lang w:val="sk-SK"/>
        </w:rPr>
        <w:t xml:space="preserve">, </w:t>
      </w:r>
      <w:r w:rsidRPr="003D4D81">
        <w:rPr>
          <w:sz w:val="22"/>
          <w:szCs w:val="22"/>
          <w:lang w:val="sk-SK" w:eastAsia="en-GB"/>
        </w:rPr>
        <w:t>telitromycín),</w:t>
      </w:r>
      <w:r w:rsidR="00064F02" w:rsidRPr="003D4D81">
        <w:rPr>
          <w:sz w:val="22"/>
          <w:szCs w:val="22"/>
          <w:lang w:val="sk-SK"/>
        </w:rPr>
        <w:t xml:space="preserve"> </w:t>
      </w:r>
      <w:r w:rsidRPr="003D4D81">
        <w:rPr>
          <w:sz w:val="22"/>
          <w:szCs w:val="22"/>
          <w:lang w:val="sk-SK" w:eastAsia="en-GB"/>
        </w:rPr>
        <w:t>inhibítory HIV proteáz (nelfinavir, ritonavir</w:t>
      </w:r>
      <w:r w:rsidR="00064F02" w:rsidRPr="003D4D81">
        <w:rPr>
          <w:sz w:val="22"/>
          <w:szCs w:val="22"/>
          <w:lang w:val="sk-SK"/>
        </w:rPr>
        <w:t xml:space="preserve">) a </w:t>
      </w:r>
      <w:r w:rsidR="005B389A" w:rsidRPr="003D4D81">
        <w:rPr>
          <w:sz w:val="22"/>
          <w:szCs w:val="22"/>
          <w:lang w:val="sk-SK" w:eastAsia="en-GB"/>
        </w:rPr>
        <w:t>nefazod</w:t>
      </w:r>
      <w:r w:rsidR="004555FF" w:rsidRPr="003D4D81">
        <w:rPr>
          <w:sz w:val="22"/>
          <w:szCs w:val="22"/>
          <w:lang w:val="sk-SK" w:eastAsia="en-GB"/>
        </w:rPr>
        <w:t>ó</w:t>
      </w:r>
      <w:r w:rsidR="005B389A" w:rsidRPr="003D4D81">
        <w:rPr>
          <w:sz w:val="22"/>
          <w:szCs w:val="22"/>
          <w:lang w:val="sk-SK" w:eastAsia="en-GB"/>
        </w:rPr>
        <w:t>n</w:t>
      </w:r>
      <w:r w:rsidR="005B389A" w:rsidRPr="003D4D81">
        <w:rPr>
          <w:sz w:val="22"/>
          <w:szCs w:val="22"/>
          <w:lang w:val="sk-SK"/>
        </w:rPr>
        <w:t xml:space="preserve"> </w:t>
      </w:r>
      <w:r w:rsidR="00064F02" w:rsidRPr="003D4D81">
        <w:rPr>
          <w:sz w:val="22"/>
          <w:szCs w:val="22"/>
          <w:lang w:val="sk-SK"/>
        </w:rPr>
        <w:t>(</w:t>
      </w:r>
      <w:r w:rsidR="005B389A" w:rsidRPr="003D4D81">
        <w:rPr>
          <w:sz w:val="22"/>
          <w:szCs w:val="22"/>
          <w:lang w:val="sk-SK" w:eastAsia="en-GB"/>
        </w:rPr>
        <w:t>pozri časti 4.5 a 5.2</w:t>
      </w:r>
      <w:r w:rsidR="00064F02" w:rsidRPr="003D4D81">
        <w:rPr>
          <w:sz w:val="22"/>
          <w:szCs w:val="22"/>
          <w:lang w:val="sk-SK"/>
        </w:rPr>
        <w:t>)</w:t>
      </w:r>
      <w:r w:rsidR="00F9201D" w:rsidRPr="003D4D81">
        <w:rPr>
          <w:sz w:val="22"/>
          <w:szCs w:val="22"/>
          <w:lang w:val="sk-SK"/>
        </w:rPr>
        <w:t>.</w:t>
      </w:r>
    </w:p>
    <w:p w:rsidR="002D0840" w:rsidRPr="003D4D81" w:rsidRDefault="005B389A" w:rsidP="002426FB">
      <w:pPr>
        <w:widowControl w:val="0"/>
        <w:numPr>
          <w:ilvl w:val="0"/>
          <w:numId w:val="3"/>
        </w:numPr>
        <w:overflowPunct w:val="0"/>
        <w:autoSpaceDE w:val="0"/>
        <w:autoSpaceDN w:val="0"/>
        <w:adjustRightInd w:val="0"/>
        <w:spacing w:after="0"/>
        <w:ind w:left="426" w:right="340" w:hanging="284"/>
        <w:jc w:val="left"/>
        <w:rPr>
          <w:sz w:val="22"/>
          <w:szCs w:val="22"/>
          <w:lang w:val="sk-SK"/>
        </w:rPr>
      </w:pPr>
      <w:r w:rsidRPr="003D4D81">
        <w:rPr>
          <w:sz w:val="22"/>
          <w:szCs w:val="22"/>
          <w:lang w:val="sk-SK" w:eastAsia="en-GB"/>
        </w:rPr>
        <w:t>Kombinácia s verapamilom alebo diltiazemom, ktoré sú stredne silné CYP3A4 inhibítory s vlastnosťami znižujúcimi srdcovú frekvenciu (pozri časť 4.5)</w:t>
      </w:r>
      <w:r w:rsidR="002D0840" w:rsidRPr="003D4D81">
        <w:rPr>
          <w:sz w:val="22"/>
          <w:szCs w:val="22"/>
          <w:lang w:val="sk-SK"/>
        </w:rPr>
        <w:t xml:space="preserve">. </w:t>
      </w:r>
    </w:p>
    <w:p w:rsidR="00FC4537" w:rsidRPr="003D4D81" w:rsidRDefault="005B389A" w:rsidP="002426FB">
      <w:pPr>
        <w:pStyle w:val="Odsekzoznamu"/>
        <w:numPr>
          <w:ilvl w:val="0"/>
          <w:numId w:val="3"/>
        </w:numPr>
        <w:spacing w:after="0"/>
        <w:ind w:left="426" w:hanging="284"/>
        <w:contextualSpacing w:val="0"/>
        <w:jc w:val="left"/>
        <w:rPr>
          <w:sz w:val="22"/>
          <w:szCs w:val="22"/>
          <w:lang w:val="sk-SK"/>
        </w:rPr>
      </w:pPr>
      <w:r w:rsidRPr="003D4D81">
        <w:rPr>
          <w:sz w:val="22"/>
          <w:szCs w:val="22"/>
          <w:lang w:val="sk-SK" w:eastAsia="en-GB"/>
        </w:rPr>
        <w:t xml:space="preserve">Gravidita, </w:t>
      </w:r>
      <w:r w:rsidR="004555FF" w:rsidRPr="003D4D81">
        <w:rPr>
          <w:sz w:val="22"/>
          <w:szCs w:val="22"/>
          <w:lang w:val="sk-SK" w:eastAsia="en-GB"/>
        </w:rPr>
        <w:t>dojčenie</w:t>
      </w:r>
      <w:r w:rsidRPr="003D4D81">
        <w:rPr>
          <w:sz w:val="22"/>
          <w:szCs w:val="22"/>
          <w:lang w:val="sk-SK" w:eastAsia="en-GB"/>
        </w:rPr>
        <w:t xml:space="preserve"> a ženy v reprodukčnom veku, ktoré nepoužívajú účinnú antikoncepciu (pozri časť 4.6)</w:t>
      </w:r>
      <w:r w:rsidR="00ED4908" w:rsidRPr="003D4D81">
        <w:rPr>
          <w:sz w:val="22"/>
          <w:szCs w:val="22"/>
          <w:lang w:val="sk-SK"/>
        </w:rPr>
        <w:t>.</w:t>
      </w:r>
    </w:p>
    <w:p w:rsidR="00ED4908" w:rsidRPr="003D4D81" w:rsidRDefault="00ED4908" w:rsidP="00572196">
      <w:pPr>
        <w:spacing w:after="0"/>
        <w:jc w:val="left"/>
        <w:rPr>
          <w:sz w:val="22"/>
          <w:szCs w:val="22"/>
          <w:lang w:val="sk-SK"/>
        </w:rPr>
      </w:pPr>
    </w:p>
    <w:p w:rsidR="00F875A4" w:rsidRPr="003D4D81" w:rsidRDefault="00BE3580" w:rsidP="00BE3580">
      <w:pPr>
        <w:keepNext/>
        <w:keepLines/>
        <w:rPr>
          <w:b/>
          <w:bCs/>
          <w:lang w:val="sk-SK"/>
        </w:rPr>
      </w:pPr>
      <w:r w:rsidRPr="003D4D81">
        <w:rPr>
          <w:b/>
          <w:bCs/>
          <w:lang w:val="sk-SK"/>
        </w:rPr>
        <w:lastRenderedPageBreak/>
        <w:t>4.4</w:t>
      </w:r>
      <w:r w:rsidRPr="003D4D81">
        <w:rPr>
          <w:b/>
          <w:bCs/>
          <w:lang w:val="sk-SK"/>
        </w:rPr>
        <w:tab/>
      </w:r>
      <w:r w:rsidR="00F875A4" w:rsidRPr="003D4D81">
        <w:rPr>
          <w:b/>
          <w:bCs/>
          <w:lang w:val="sk-SK"/>
        </w:rPr>
        <w:t>Osobitné upozornenia a opatrenia pri používaní</w:t>
      </w:r>
    </w:p>
    <w:p w:rsidR="00262C35" w:rsidRPr="003D4D81" w:rsidRDefault="00262C35" w:rsidP="00BE3580">
      <w:pPr>
        <w:keepNext/>
        <w:keepLines/>
        <w:spacing w:after="0"/>
        <w:jc w:val="left"/>
        <w:rPr>
          <w:sz w:val="22"/>
          <w:szCs w:val="22"/>
          <w:lang w:val="sk-SK"/>
        </w:rPr>
      </w:pPr>
    </w:p>
    <w:p w:rsidR="002D0840" w:rsidRPr="003D4D81" w:rsidRDefault="000136EC" w:rsidP="00BE3580">
      <w:pPr>
        <w:keepNext/>
        <w:keepLines/>
        <w:spacing w:after="0"/>
        <w:jc w:val="left"/>
        <w:rPr>
          <w:sz w:val="22"/>
          <w:szCs w:val="22"/>
          <w:u w:val="single"/>
          <w:lang w:val="sk-SK"/>
        </w:rPr>
      </w:pPr>
      <w:r w:rsidRPr="003D4D81">
        <w:rPr>
          <w:sz w:val="22"/>
          <w:szCs w:val="22"/>
          <w:u w:val="single"/>
          <w:lang w:val="sk-SK"/>
        </w:rPr>
        <w:t>Osobitné upozornenia</w:t>
      </w:r>
    </w:p>
    <w:p w:rsidR="002D0840" w:rsidRPr="003D4D81" w:rsidRDefault="000136EC" w:rsidP="00BE3580">
      <w:pPr>
        <w:keepNext/>
        <w:keepLines/>
        <w:autoSpaceDE w:val="0"/>
        <w:autoSpaceDN w:val="0"/>
        <w:adjustRightInd w:val="0"/>
        <w:spacing w:after="0"/>
        <w:jc w:val="left"/>
        <w:rPr>
          <w:i/>
          <w:sz w:val="22"/>
          <w:szCs w:val="22"/>
          <w:lang w:val="sk-SK"/>
        </w:rPr>
      </w:pPr>
      <w:r w:rsidRPr="003D4D81">
        <w:rPr>
          <w:i/>
          <w:iCs/>
          <w:sz w:val="22"/>
          <w:szCs w:val="22"/>
          <w:lang w:val="sk-SK" w:eastAsia="en-GB"/>
        </w:rPr>
        <w:t>Nedostatočný prínos v klinických výsledkoch u pacientov so symptomatickou chronickou stabilnou</w:t>
      </w:r>
      <w:r w:rsidR="00EE2932" w:rsidRPr="003D4D81">
        <w:rPr>
          <w:i/>
          <w:iCs/>
          <w:sz w:val="22"/>
          <w:szCs w:val="22"/>
          <w:lang w:val="sk-SK" w:eastAsia="en-GB"/>
        </w:rPr>
        <w:t xml:space="preserve"> </w:t>
      </w:r>
      <w:r w:rsidR="00C230A9" w:rsidRPr="003D4D81">
        <w:rPr>
          <w:i/>
          <w:iCs/>
          <w:sz w:val="22"/>
          <w:szCs w:val="22"/>
          <w:lang w:val="sk-SK" w:eastAsia="en-GB"/>
        </w:rPr>
        <w:t>angín</w:t>
      </w:r>
      <w:r w:rsidRPr="003D4D81">
        <w:rPr>
          <w:i/>
          <w:iCs/>
          <w:sz w:val="22"/>
          <w:szCs w:val="22"/>
          <w:lang w:val="sk-SK" w:eastAsia="en-GB"/>
        </w:rPr>
        <w:t>ou pectoris</w:t>
      </w:r>
      <w:r w:rsidRPr="003D4D81">
        <w:rPr>
          <w:i/>
          <w:sz w:val="22"/>
          <w:szCs w:val="22"/>
          <w:lang w:val="sk-SK"/>
        </w:rPr>
        <w:t xml:space="preserve"> </w:t>
      </w:r>
    </w:p>
    <w:p w:rsidR="002D0840" w:rsidRPr="003D4D81" w:rsidRDefault="000136EC" w:rsidP="00EE2932">
      <w:pPr>
        <w:autoSpaceDE w:val="0"/>
        <w:autoSpaceDN w:val="0"/>
        <w:adjustRightInd w:val="0"/>
        <w:spacing w:after="0"/>
        <w:jc w:val="left"/>
        <w:rPr>
          <w:sz w:val="22"/>
          <w:szCs w:val="22"/>
          <w:lang w:val="sk-SK"/>
        </w:rPr>
      </w:pPr>
      <w:r w:rsidRPr="003D4D81">
        <w:rPr>
          <w:sz w:val="22"/>
          <w:szCs w:val="22"/>
          <w:lang w:val="sk-SK" w:eastAsia="en-GB"/>
        </w:rPr>
        <w:t xml:space="preserve">Ivabradín je indikovaný iba na symptomatickú liečbu chronickej stabilnej </w:t>
      </w:r>
      <w:r w:rsidR="00C230A9" w:rsidRPr="003D4D81">
        <w:rPr>
          <w:sz w:val="22"/>
          <w:szCs w:val="22"/>
          <w:lang w:val="sk-SK" w:eastAsia="en-GB"/>
        </w:rPr>
        <w:t>angín</w:t>
      </w:r>
      <w:r w:rsidRPr="003D4D81">
        <w:rPr>
          <w:sz w:val="22"/>
          <w:szCs w:val="22"/>
          <w:lang w:val="sk-SK" w:eastAsia="en-GB"/>
        </w:rPr>
        <w:t>y pectoris, pretože</w:t>
      </w:r>
      <w:r w:rsidR="00EE2932" w:rsidRPr="003D4D81">
        <w:rPr>
          <w:sz w:val="22"/>
          <w:szCs w:val="22"/>
          <w:lang w:val="sk-SK" w:eastAsia="en-GB"/>
        </w:rPr>
        <w:t xml:space="preserve"> </w:t>
      </w:r>
      <w:r w:rsidRPr="003D4D81">
        <w:rPr>
          <w:sz w:val="22"/>
          <w:szCs w:val="22"/>
          <w:lang w:val="sk-SK" w:eastAsia="en-GB"/>
        </w:rPr>
        <w:t>ivabradín nemá prínos pri kardiovaskulárnych výsledkoch (napr. infarkt myokardu alebo</w:t>
      </w:r>
      <w:r w:rsidR="00EE2932" w:rsidRPr="003D4D81">
        <w:rPr>
          <w:sz w:val="22"/>
          <w:szCs w:val="22"/>
          <w:lang w:val="sk-SK" w:eastAsia="en-GB"/>
        </w:rPr>
        <w:t xml:space="preserve"> </w:t>
      </w:r>
      <w:r w:rsidRPr="003D4D81">
        <w:rPr>
          <w:sz w:val="22"/>
          <w:szCs w:val="22"/>
          <w:lang w:val="sk-SK" w:eastAsia="en-GB"/>
        </w:rPr>
        <w:t>kardiovaskulárna smrť) (pozri časť 5.1).</w:t>
      </w:r>
    </w:p>
    <w:p w:rsidR="002D0840" w:rsidRPr="003D4D81" w:rsidRDefault="002D0840" w:rsidP="00572196">
      <w:pPr>
        <w:spacing w:after="0"/>
        <w:jc w:val="left"/>
        <w:rPr>
          <w:sz w:val="22"/>
          <w:szCs w:val="22"/>
          <w:lang w:val="sk-SK"/>
        </w:rPr>
      </w:pPr>
    </w:p>
    <w:p w:rsidR="002D0840" w:rsidRPr="003D4D81" w:rsidRDefault="000136EC" w:rsidP="004842C0">
      <w:pPr>
        <w:spacing w:after="0"/>
        <w:jc w:val="left"/>
        <w:rPr>
          <w:i/>
          <w:sz w:val="22"/>
          <w:szCs w:val="22"/>
          <w:lang w:val="sk-SK"/>
        </w:rPr>
      </w:pPr>
      <w:r w:rsidRPr="003D4D81">
        <w:rPr>
          <w:i/>
          <w:iCs/>
          <w:sz w:val="22"/>
          <w:szCs w:val="22"/>
          <w:lang w:val="sk-SK" w:eastAsia="en-GB"/>
        </w:rPr>
        <w:t>Meranie srdcovej frekvencie</w:t>
      </w:r>
    </w:p>
    <w:p w:rsidR="002D0840" w:rsidRPr="003D4D81" w:rsidRDefault="00CD555E" w:rsidP="00EE2932">
      <w:pPr>
        <w:autoSpaceDE w:val="0"/>
        <w:autoSpaceDN w:val="0"/>
        <w:adjustRightInd w:val="0"/>
        <w:spacing w:after="0"/>
        <w:jc w:val="left"/>
        <w:rPr>
          <w:sz w:val="22"/>
          <w:szCs w:val="22"/>
          <w:lang w:val="sk-SK"/>
        </w:rPr>
      </w:pPr>
      <w:r w:rsidRPr="003D4D81">
        <w:rPr>
          <w:sz w:val="22"/>
          <w:szCs w:val="22"/>
          <w:lang w:val="sk-SK" w:eastAsia="en-GB"/>
        </w:rPr>
        <w:t>Vzhľadom na to, že srdcová frekvencia môže v priebehu času značne kolísať, majú sa zvážiť</w:t>
      </w:r>
      <w:r w:rsidR="00EE2932" w:rsidRPr="003D4D81">
        <w:rPr>
          <w:sz w:val="22"/>
          <w:szCs w:val="22"/>
          <w:lang w:val="sk-SK" w:eastAsia="en-GB"/>
        </w:rPr>
        <w:t xml:space="preserve"> </w:t>
      </w:r>
      <w:r w:rsidRPr="003D4D81">
        <w:rPr>
          <w:sz w:val="22"/>
          <w:szCs w:val="22"/>
          <w:lang w:val="sk-SK" w:eastAsia="en-GB"/>
        </w:rPr>
        <w:t>opakované merania srdcovej frekvencie, EKG alebo 24-hodinové ambulantné monitorovanie, pri</w:t>
      </w:r>
      <w:r w:rsidR="00EE2932" w:rsidRPr="003D4D81">
        <w:rPr>
          <w:sz w:val="22"/>
          <w:szCs w:val="22"/>
          <w:lang w:val="sk-SK" w:eastAsia="en-GB"/>
        </w:rPr>
        <w:t xml:space="preserve"> </w:t>
      </w:r>
      <w:r w:rsidRPr="003D4D81">
        <w:rPr>
          <w:sz w:val="22"/>
          <w:szCs w:val="22"/>
          <w:lang w:val="sk-SK" w:eastAsia="en-GB"/>
        </w:rPr>
        <w:t>stanovení pokojovej srdcovej frekvencie pred začatím liečby ivabradínom a u pacientov liečených</w:t>
      </w:r>
      <w:r w:rsidR="00EE2932" w:rsidRPr="003D4D81">
        <w:rPr>
          <w:sz w:val="22"/>
          <w:szCs w:val="22"/>
          <w:lang w:val="sk-SK" w:eastAsia="en-GB"/>
        </w:rPr>
        <w:t xml:space="preserve"> </w:t>
      </w:r>
      <w:r w:rsidRPr="003D4D81">
        <w:rPr>
          <w:sz w:val="22"/>
          <w:szCs w:val="22"/>
          <w:lang w:val="sk-SK" w:eastAsia="en-GB"/>
        </w:rPr>
        <w:t>ivabradínom, u ktorých sa zvažuje titrácia. To sa týka aj pacientov s nízkou srdcovou frekvenciou,</w:t>
      </w:r>
      <w:r w:rsidR="00EE2932" w:rsidRPr="003D4D81">
        <w:rPr>
          <w:sz w:val="22"/>
          <w:szCs w:val="22"/>
          <w:lang w:val="sk-SK" w:eastAsia="en-GB"/>
        </w:rPr>
        <w:t xml:space="preserve"> </w:t>
      </w:r>
      <w:r w:rsidRPr="003D4D81">
        <w:rPr>
          <w:sz w:val="22"/>
          <w:szCs w:val="22"/>
          <w:lang w:val="sk-SK" w:eastAsia="en-GB"/>
        </w:rPr>
        <w:t>najmä ak sa srdcová frekvencia znižuje pod 50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alebo po znížení dávky (pozri časť</w:t>
      </w:r>
      <w:r w:rsidR="00EE2932" w:rsidRPr="003D4D81">
        <w:rPr>
          <w:sz w:val="22"/>
          <w:szCs w:val="22"/>
          <w:lang w:val="sk-SK" w:eastAsia="en-GB"/>
        </w:rPr>
        <w:t xml:space="preserve"> </w:t>
      </w:r>
      <w:r w:rsidRPr="003D4D81">
        <w:rPr>
          <w:sz w:val="22"/>
          <w:szCs w:val="22"/>
          <w:lang w:val="sk-SK" w:eastAsia="en-GB"/>
        </w:rPr>
        <w:t>4.2).</w:t>
      </w:r>
    </w:p>
    <w:p w:rsidR="002D0840" w:rsidRPr="003D4D81" w:rsidRDefault="002D0840" w:rsidP="00572196">
      <w:pPr>
        <w:spacing w:after="0"/>
        <w:jc w:val="left"/>
        <w:rPr>
          <w:b/>
          <w:sz w:val="22"/>
          <w:szCs w:val="22"/>
          <w:lang w:val="sk-SK"/>
        </w:rPr>
      </w:pPr>
    </w:p>
    <w:p w:rsidR="00ED4908" w:rsidRPr="003D4D81" w:rsidRDefault="00CD555E" w:rsidP="00572196">
      <w:pPr>
        <w:spacing w:after="0"/>
        <w:jc w:val="left"/>
        <w:rPr>
          <w:i/>
          <w:sz w:val="22"/>
          <w:szCs w:val="22"/>
          <w:lang w:val="sk-SK"/>
        </w:rPr>
      </w:pPr>
      <w:r w:rsidRPr="003D4D81">
        <w:rPr>
          <w:i/>
          <w:iCs/>
          <w:sz w:val="22"/>
          <w:szCs w:val="22"/>
          <w:lang w:val="sk-SK" w:eastAsia="en-GB"/>
        </w:rPr>
        <w:t>Srdcové arytmie</w:t>
      </w:r>
    </w:p>
    <w:p w:rsidR="00CD555E" w:rsidRPr="003D4D81" w:rsidRDefault="00CD555E" w:rsidP="00CD555E">
      <w:pPr>
        <w:autoSpaceDE w:val="0"/>
        <w:autoSpaceDN w:val="0"/>
        <w:adjustRightInd w:val="0"/>
        <w:spacing w:after="0"/>
        <w:jc w:val="left"/>
        <w:rPr>
          <w:sz w:val="22"/>
          <w:szCs w:val="22"/>
          <w:lang w:val="sk-SK" w:eastAsia="en-GB"/>
        </w:rPr>
      </w:pPr>
      <w:r w:rsidRPr="003D4D81">
        <w:rPr>
          <w:sz w:val="22"/>
          <w:szCs w:val="22"/>
          <w:lang w:val="sk-SK" w:eastAsia="en-GB"/>
        </w:rPr>
        <w:t>Ivabradín nie je účinný v liečbe alebo prevencii srdcových arytmií a pravdepodobne stráca svoju</w:t>
      </w:r>
      <w:r w:rsidR="00EE2932" w:rsidRPr="003D4D81">
        <w:rPr>
          <w:sz w:val="22"/>
          <w:szCs w:val="22"/>
          <w:lang w:val="sk-SK" w:eastAsia="en-GB"/>
        </w:rPr>
        <w:t xml:space="preserve"> </w:t>
      </w:r>
      <w:r w:rsidRPr="003D4D81">
        <w:rPr>
          <w:sz w:val="22"/>
          <w:szCs w:val="22"/>
          <w:lang w:val="sk-SK" w:eastAsia="en-GB"/>
        </w:rPr>
        <w:t>účinnosť, keď vznikne tachyarytmia (napr. komorová alebo supraventrikulárna tachykardia). Ivabradín</w:t>
      </w:r>
      <w:r w:rsidR="00EE2932" w:rsidRPr="003D4D81">
        <w:rPr>
          <w:sz w:val="22"/>
          <w:szCs w:val="22"/>
          <w:lang w:val="sk-SK" w:eastAsia="en-GB"/>
        </w:rPr>
        <w:t xml:space="preserve"> </w:t>
      </w:r>
      <w:r w:rsidRPr="003D4D81">
        <w:rPr>
          <w:sz w:val="22"/>
          <w:szCs w:val="22"/>
          <w:lang w:val="sk-SK" w:eastAsia="en-GB"/>
        </w:rPr>
        <w:t>sa preto neodporúča u pacientov s predsieňovou fibriláciou alebo inými srdcovými arytmiami, ktoré</w:t>
      </w:r>
      <w:r w:rsidR="00EE2932" w:rsidRPr="003D4D81">
        <w:rPr>
          <w:sz w:val="22"/>
          <w:szCs w:val="22"/>
          <w:lang w:val="sk-SK" w:eastAsia="en-GB"/>
        </w:rPr>
        <w:t xml:space="preserve"> </w:t>
      </w:r>
      <w:r w:rsidRPr="003D4D81">
        <w:rPr>
          <w:sz w:val="22"/>
          <w:szCs w:val="22"/>
          <w:lang w:val="sk-SK" w:eastAsia="en-GB"/>
        </w:rPr>
        <w:t>interferujú s funkciou sínusového uzla.</w:t>
      </w:r>
    </w:p>
    <w:p w:rsidR="00CD555E" w:rsidRPr="003D4D81" w:rsidRDefault="00CD555E" w:rsidP="00CD555E">
      <w:pPr>
        <w:autoSpaceDE w:val="0"/>
        <w:autoSpaceDN w:val="0"/>
        <w:adjustRightInd w:val="0"/>
        <w:spacing w:after="0"/>
        <w:jc w:val="left"/>
        <w:rPr>
          <w:sz w:val="22"/>
          <w:szCs w:val="22"/>
          <w:lang w:val="sk-SK" w:eastAsia="en-GB"/>
        </w:rPr>
      </w:pPr>
      <w:r w:rsidRPr="003D4D81">
        <w:rPr>
          <w:sz w:val="22"/>
          <w:szCs w:val="22"/>
          <w:lang w:val="sk-SK" w:eastAsia="en-GB"/>
        </w:rPr>
        <w:t>U pacientov liečených ivabradínom je zvýšené riziko vzniku predsieňovej fibrilácie (pozri časť 4.8).</w:t>
      </w:r>
      <w:r w:rsidR="00EE2932" w:rsidRPr="003D4D81">
        <w:rPr>
          <w:sz w:val="22"/>
          <w:szCs w:val="22"/>
          <w:lang w:val="sk-SK" w:eastAsia="en-GB"/>
        </w:rPr>
        <w:t xml:space="preserve"> </w:t>
      </w:r>
      <w:r w:rsidRPr="003D4D81">
        <w:rPr>
          <w:sz w:val="22"/>
          <w:szCs w:val="22"/>
          <w:lang w:val="sk-SK" w:eastAsia="en-GB"/>
        </w:rPr>
        <w:t>Predsieňová fibrilácia je častejšia u pacientov súbežne užívajúcich amiodarón alebo silné antiarytmiká</w:t>
      </w:r>
      <w:r w:rsidR="00EE2932" w:rsidRPr="003D4D81">
        <w:rPr>
          <w:sz w:val="22"/>
          <w:szCs w:val="22"/>
          <w:lang w:val="sk-SK" w:eastAsia="en-GB"/>
        </w:rPr>
        <w:t xml:space="preserve"> </w:t>
      </w:r>
      <w:r w:rsidRPr="003D4D81">
        <w:rPr>
          <w:sz w:val="22"/>
          <w:szCs w:val="22"/>
          <w:lang w:val="sk-SK" w:eastAsia="en-GB"/>
        </w:rPr>
        <w:t>triedy I. Odporúča sa pravidelne klinicky monitorovať pacientov liečených ivabradínom pre výskyt</w:t>
      </w:r>
      <w:r w:rsidR="00EE2932" w:rsidRPr="003D4D81">
        <w:rPr>
          <w:sz w:val="22"/>
          <w:szCs w:val="22"/>
          <w:lang w:val="sk-SK" w:eastAsia="en-GB"/>
        </w:rPr>
        <w:t xml:space="preserve"> </w:t>
      </w:r>
      <w:r w:rsidRPr="003D4D81">
        <w:rPr>
          <w:sz w:val="22"/>
          <w:szCs w:val="22"/>
          <w:lang w:val="sk-SK" w:eastAsia="en-GB"/>
        </w:rPr>
        <w:t>predsieňovej fibrilácie (trvalej alebo paroxyzmálnej), vrátane monitorovania EKG, ak je to klinicky</w:t>
      </w:r>
      <w:r w:rsidR="00EE2932" w:rsidRPr="003D4D81">
        <w:rPr>
          <w:sz w:val="22"/>
          <w:szCs w:val="22"/>
          <w:lang w:val="sk-SK" w:eastAsia="en-GB"/>
        </w:rPr>
        <w:t xml:space="preserve"> </w:t>
      </w:r>
      <w:r w:rsidRPr="003D4D81">
        <w:rPr>
          <w:sz w:val="22"/>
          <w:szCs w:val="22"/>
          <w:lang w:val="sk-SK" w:eastAsia="en-GB"/>
        </w:rPr>
        <w:t xml:space="preserve">indikované (napr. v prípade zhoršujúcej sa </w:t>
      </w:r>
      <w:r w:rsidR="00C230A9" w:rsidRPr="003D4D81">
        <w:rPr>
          <w:sz w:val="22"/>
          <w:szCs w:val="22"/>
          <w:lang w:val="sk-SK" w:eastAsia="en-GB"/>
        </w:rPr>
        <w:t>angín</w:t>
      </w:r>
      <w:r w:rsidRPr="003D4D81">
        <w:rPr>
          <w:sz w:val="22"/>
          <w:szCs w:val="22"/>
          <w:lang w:val="sk-SK" w:eastAsia="en-GB"/>
        </w:rPr>
        <w:t>y pectoris, palpitácií, nepravidelného pulzu).</w:t>
      </w:r>
    </w:p>
    <w:p w:rsidR="00CD555E" w:rsidRPr="003D4D81" w:rsidRDefault="00CD555E" w:rsidP="00CD555E">
      <w:pPr>
        <w:autoSpaceDE w:val="0"/>
        <w:autoSpaceDN w:val="0"/>
        <w:adjustRightInd w:val="0"/>
        <w:spacing w:after="0"/>
        <w:jc w:val="left"/>
        <w:rPr>
          <w:sz w:val="22"/>
          <w:szCs w:val="22"/>
          <w:lang w:val="sk-SK" w:eastAsia="en-GB"/>
        </w:rPr>
      </w:pPr>
      <w:r w:rsidRPr="003D4D81">
        <w:rPr>
          <w:sz w:val="22"/>
          <w:szCs w:val="22"/>
          <w:lang w:val="sk-SK" w:eastAsia="en-GB"/>
        </w:rPr>
        <w:t>Pacienti majú byť informovaní o prejavoch a príznakoch predsieňovej fibrilácie a majú byť poučení,</w:t>
      </w:r>
      <w:r w:rsidR="00EE2932" w:rsidRPr="003D4D81">
        <w:rPr>
          <w:sz w:val="22"/>
          <w:szCs w:val="22"/>
          <w:lang w:val="sk-SK" w:eastAsia="en-GB"/>
        </w:rPr>
        <w:t xml:space="preserve"> </w:t>
      </w:r>
      <w:r w:rsidRPr="003D4D81">
        <w:rPr>
          <w:sz w:val="22"/>
          <w:szCs w:val="22"/>
          <w:lang w:val="sk-SK" w:eastAsia="en-GB"/>
        </w:rPr>
        <w:t>aby kontaktovali lekára, ak sa tieto vyskytnú.</w:t>
      </w:r>
    </w:p>
    <w:p w:rsidR="00CD555E" w:rsidRPr="003D4D81" w:rsidRDefault="00CD555E" w:rsidP="00CD555E">
      <w:pPr>
        <w:autoSpaceDE w:val="0"/>
        <w:autoSpaceDN w:val="0"/>
        <w:adjustRightInd w:val="0"/>
        <w:spacing w:after="0"/>
        <w:jc w:val="left"/>
        <w:rPr>
          <w:sz w:val="22"/>
          <w:szCs w:val="22"/>
          <w:lang w:val="sk-SK" w:eastAsia="en-GB"/>
        </w:rPr>
      </w:pPr>
      <w:r w:rsidRPr="003D4D81">
        <w:rPr>
          <w:sz w:val="22"/>
          <w:szCs w:val="22"/>
          <w:lang w:val="sk-SK" w:eastAsia="en-GB"/>
        </w:rPr>
        <w:t>Ak sa predsieňová fibrilácia rozvinie počas liečby, má sa starostlivo prehodnotiť pomer prínosov</w:t>
      </w:r>
      <w:r w:rsidR="00EE2932" w:rsidRPr="003D4D81">
        <w:rPr>
          <w:sz w:val="22"/>
          <w:szCs w:val="22"/>
          <w:lang w:val="sk-SK" w:eastAsia="en-GB"/>
        </w:rPr>
        <w:t xml:space="preserve"> </w:t>
      </w:r>
      <w:r w:rsidRPr="003D4D81">
        <w:rPr>
          <w:sz w:val="22"/>
          <w:szCs w:val="22"/>
          <w:lang w:val="sk-SK" w:eastAsia="en-GB"/>
        </w:rPr>
        <w:t>a rizík pokračovania liečby ivabradínom.</w:t>
      </w:r>
    </w:p>
    <w:p w:rsidR="00CD555E" w:rsidRPr="003D4D81" w:rsidRDefault="00CD555E" w:rsidP="00EE2932">
      <w:pPr>
        <w:autoSpaceDE w:val="0"/>
        <w:autoSpaceDN w:val="0"/>
        <w:adjustRightInd w:val="0"/>
        <w:spacing w:after="0"/>
        <w:jc w:val="left"/>
        <w:rPr>
          <w:sz w:val="22"/>
          <w:szCs w:val="22"/>
          <w:lang w:val="sk-SK"/>
        </w:rPr>
      </w:pPr>
      <w:r w:rsidRPr="003D4D81">
        <w:rPr>
          <w:sz w:val="22"/>
          <w:szCs w:val="22"/>
          <w:lang w:val="sk-SK" w:eastAsia="en-GB"/>
        </w:rPr>
        <w:t>Pacienti s chronickým srdcovým zlyhaním s poruchami intraventrikulárn</w:t>
      </w:r>
      <w:r w:rsidR="00465010" w:rsidRPr="003D4D81">
        <w:rPr>
          <w:sz w:val="22"/>
          <w:szCs w:val="22"/>
          <w:lang w:val="sk-SK" w:eastAsia="en-GB"/>
        </w:rPr>
        <w:t>e</w:t>
      </w:r>
      <w:r w:rsidRPr="003D4D81">
        <w:rPr>
          <w:sz w:val="22"/>
          <w:szCs w:val="22"/>
          <w:lang w:val="sk-SK" w:eastAsia="en-GB"/>
        </w:rPr>
        <w:t>ho vedenia (blokáda ľavého</w:t>
      </w:r>
      <w:r w:rsidR="00EE2932" w:rsidRPr="003D4D81">
        <w:rPr>
          <w:sz w:val="22"/>
          <w:szCs w:val="22"/>
          <w:lang w:val="sk-SK" w:eastAsia="en-GB"/>
        </w:rPr>
        <w:t xml:space="preserve"> </w:t>
      </w:r>
      <w:r w:rsidRPr="003D4D81">
        <w:rPr>
          <w:sz w:val="22"/>
          <w:szCs w:val="22"/>
          <w:lang w:val="sk-SK" w:eastAsia="en-GB"/>
        </w:rPr>
        <w:t>ramienka, blokáda pravého ramienka) a ventrikulárnou dyssynchróniou sa majú dôkladne sledovať.</w:t>
      </w:r>
    </w:p>
    <w:p w:rsidR="00ED4908" w:rsidRPr="003D4D81" w:rsidRDefault="00ED4908" w:rsidP="00572196">
      <w:pPr>
        <w:spacing w:after="0"/>
        <w:jc w:val="left"/>
        <w:rPr>
          <w:sz w:val="22"/>
          <w:szCs w:val="22"/>
          <w:lang w:val="sk-SK"/>
        </w:rPr>
      </w:pPr>
    </w:p>
    <w:p w:rsidR="00CD555E" w:rsidRPr="003D4D81" w:rsidRDefault="00CD555E"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Použitie u pacientov s AV blokádou II. stupňa</w:t>
      </w:r>
    </w:p>
    <w:p w:rsidR="00ED4908" w:rsidRPr="003D4D81" w:rsidRDefault="00CD555E" w:rsidP="00CD555E">
      <w:pPr>
        <w:spacing w:after="0"/>
        <w:jc w:val="left"/>
        <w:rPr>
          <w:sz w:val="22"/>
          <w:szCs w:val="22"/>
          <w:lang w:val="sk-SK"/>
        </w:rPr>
      </w:pPr>
      <w:r w:rsidRPr="003D4D81">
        <w:rPr>
          <w:sz w:val="22"/>
          <w:szCs w:val="22"/>
          <w:lang w:val="sk-SK" w:eastAsia="en-GB"/>
        </w:rPr>
        <w:t>Ivabradín sa u pacientov s AV blokádou II. stupňa neodporúča</w:t>
      </w:r>
      <w:r w:rsidR="00ED4908" w:rsidRPr="003D4D81">
        <w:rPr>
          <w:sz w:val="22"/>
          <w:szCs w:val="22"/>
          <w:lang w:val="sk-SK"/>
        </w:rPr>
        <w:t>.</w:t>
      </w:r>
    </w:p>
    <w:p w:rsidR="00ED4908" w:rsidRPr="003D4D81" w:rsidRDefault="00CD555E" w:rsidP="00CD555E">
      <w:pPr>
        <w:tabs>
          <w:tab w:val="left" w:pos="3043"/>
        </w:tabs>
        <w:spacing w:after="0"/>
        <w:jc w:val="left"/>
        <w:rPr>
          <w:sz w:val="22"/>
          <w:szCs w:val="22"/>
          <w:lang w:val="sk-SK"/>
        </w:rPr>
      </w:pPr>
      <w:r w:rsidRPr="003D4D81">
        <w:rPr>
          <w:sz w:val="22"/>
          <w:szCs w:val="22"/>
          <w:lang w:val="sk-SK"/>
        </w:rPr>
        <w:tab/>
      </w:r>
    </w:p>
    <w:p w:rsidR="00CD555E" w:rsidRPr="003D4D81" w:rsidRDefault="00CD555E"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Použitie u pacientov s nízkou srdcovou frekvenciou</w:t>
      </w:r>
    </w:p>
    <w:p w:rsidR="00CD555E" w:rsidRPr="003D4D81" w:rsidRDefault="00CD555E" w:rsidP="00CD555E">
      <w:pPr>
        <w:autoSpaceDE w:val="0"/>
        <w:autoSpaceDN w:val="0"/>
        <w:adjustRightInd w:val="0"/>
        <w:spacing w:after="0"/>
        <w:jc w:val="left"/>
        <w:rPr>
          <w:sz w:val="22"/>
          <w:szCs w:val="22"/>
          <w:lang w:val="sk-SK" w:eastAsia="en-GB"/>
        </w:rPr>
      </w:pPr>
      <w:r w:rsidRPr="003D4D81">
        <w:rPr>
          <w:sz w:val="22"/>
          <w:szCs w:val="22"/>
          <w:lang w:val="sk-SK" w:eastAsia="en-GB"/>
        </w:rPr>
        <w:t>Liečba ivabradínom sa nesmie iniciovať u pacientov s pokojovou srdcovou frekvenciou pred liečbou</w:t>
      </w:r>
      <w:r w:rsidR="00EE2932" w:rsidRPr="003D4D81">
        <w:rPr>
          <w:sz w:val="22"/>
          <w:szCs w:val="22"/>
          <w:lang w:val="sk-SK" w:eastAsia="en-GB"/>
        </w:rPr>
        <w:t xml:space="preserve"> </w:t>
      </w:r>
      <w:r w:rsidRPr="003D4D81">
        <w:rPr>
          <w:sz w:val="22"/>
          <w:szCs w:val="22"/>
          <w:lang w:val="sk-SK" w:eastAsia="en-GB"/>
        </w:rPr>
        <w:t>pod 70</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(pozri časť 4.3).</w:t>
      </w:r>
    </w:p>
    <w:p w:rsidR="00ED4908" w:rsidRPr="003D4D81" w:rsidRDefault="00CD555E" w:rsidP="00EE2932">
      <w:pPr>
        <w:autoSpaceDE w:val="0"/>
        <w:autoSpaceDN w:val="0"/>
        <w:adjustRightInd w:val="0"/>
        <w:spacing w:after="0"/>
        <w:jc w:val="left"/>
        <w:rPr>
          <w:sz w:val="22"/>
          <w:szCs w:val="22"/>
          <w:lang w:val="sk-SK"/>
        </w:rPr>
      </w:pPr>
      <w:r w:rsidRPr="003D4D81">
        <w:rPr>
          <w:sz w:val="22"/>
          <w:szCs w:val="22"/>
          <w:lang w:val="sk-SK" w:eastAsia="en-GB"/>
        </w:rPr>
        <w:t>Ak sa počas liečby pokojová srdcová frekvencia stále znižuje pod 50</w:t>
      </w:r>
      <w:r w:rsidR="00C230A9" w:rsidRPr="003D4D81">
        <w:rPr>
          <w:sz w:val="22"/>
          <w:szCs w:val="22"/>
          <w:lang w:val="sk-SK" w:eastAsia="en-GB"/>
        </w:rPr>
        <w:t> úderov</w:t>
      </w:r>
      <w:r w:rsidRPr="003D4D81">
        <w:rPr>
          <w:sz w:val="22"/>
          <w:szCs w:val="22"/>
          <w:lang w:val="sk-SK" w:eastAsia="en-GB"/>
        </w:rPr>
        <w:t>/min, alebo pacient má</w:t>
      </w:r>
      <w:r w:rsidR="00EE2932" w:rsidRPr="003D4D81">
        <w:rPr>
          <w:sz w:val="22"/>
          <w:szCs w:val="22"/>
          <w:lang w:val="sk-SK" w:eastAsia="en-GB"/>
        </w:rPr>
        <w:t xml:space="preserve"> </w:t>
      </w:r>
      <w:r w:rsidRPr="003D4D81">
        <w:rPr>
          <w:sz w:val="22"/>
          <w:szCs w:val="22"/>
          <w:lang w:val="sk-SK" w:eastAsia="en-GB"/>
        </w:rPr>
        <w:t>príznaky spojené s bradykardiou ako závraty, únava alebo hypotenzia, dávka sa musí titrovať nadol,</w:t>
      </w:r>
      <w:r w:rsidR="00EE2932" w:rsidRPr="003D4D81">
        <w:rPr>
          <w:sz w:val="22"/>
          <w:szCs w:val="22"/>
          <w:lang w:val="sk-SK" w:eastAsia="en-GB"/>
        </w:rPr>
        <w:t xml:space="preserve"> </w:t>
      </w:r>
      <w:r w:rsidRPr="003D4D81">
        <w:rPr>
          <w:sz w:val="22"/>
          <w:szCs w:val="22"/>
          <w:lang w:val="sk-SK" w:eastAsia="en-GB"/>
        </w:rPr>
        <w:t>alebo sa liečba musí prerušiť, ak pretrváva srdcová frekvencia pod 50</w:t>
      </w:r>
      <w:r w:rsidR="00C230A9" w:rsidRPr="003D4D81">
        <w:rPr>
          <w:sz w:val="22"/>
          <w:szCs w:val="22"/>
          <w:lang w:val="sk-SK" w:eastAsia="en-GB"/>
        </w:rPr>
        <w:t> úderov</w:t>
      </w:r>
      <w:r w:rsidRPr="003D4D81">
        <w:rPr>
          <w:sz w:val="22"/>
          <w:szCs w:val="22"/>
          <w:lang w:val="sk-SK" w:eastAsia="en-GB"/>
        </w:rPr>
        <w:t>/min alebo príznaky</w:t>
      </w:r>
      <w:r w:rsidR="00EE2932" w:rsidRPr="003D4D81">
        <w:rPr>
          <w:sz w:val="22"/>
          <w:szCs w:val="22"/>
          <w:lang w:val="sk-SK" w:eastAsia="en-GB"/>
        </w:rPr>
        <w:t xml:space="preserve"> </w:t>
      </w:r>
      <w:r w:rsidRPr="003D4D81">
        <w:rPr>
          <w:sz w:val="22"/>
          <w:szCs w:val="22"/>
          <w:lang w:val="sk-SK" w:eastAsia="en-GB"/>
        </w:rPr>
        <w:t>bradykardie (pozri časť 4.2).</w:t>
      </w:r>
    </w:p>
    <w:p w:rsidR="00ED4908" w:rsidRPr="003D4D81" w:rsidRDefault="00ED4908" w:rsidP="00572196">
      <w:pPr>
        <w:spacing w:after="0"/>
        <w:jc w:val="left"/>
        <w:rPr>
          <w:sz w:val="22"/>
          <w:szCs w:val="22"/>
          <w:lang w:val="sk-SK"/>
        </w:rPr>
      </w:pPr>
    </w:p>
    <w:p w:rsidR="00CD555E" w:rsidRPr="003D4D81" w:rsidRDefault="00CD555E"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Kombinácia s blokátormi vápnikových kanálov</w:t>
      </w:r>
    </w:p>
    <w:p w:rsidR="00ED4908" w:rsidRPr="003D4D81" w:rsidRDefault="00CD555E" w:rsidP="00FD2A95">
      <w:pPr>
        <w:autoSpaceDE w:val="0"/>
        <w:autoSpaceDN w:val="0"/>
        <w:adjustRightInd w:val="0"/>
        <w:spacing w:after="0"/>
        <w:jc w:val="left"/>
        <w:rPr>
          <w:sz w:val="22"/>
          <w:szCs w:val="22"/>
          <w:lang w:val="sk-SK"/>
        </w:rPr>
      </w:pPr>
      <w:r w:rsidRPr="003D4D81">
        <w:rPr>
          <w:sz w:val="22"/>
          <w:szCs w:val="22"/>
          <w:lang w:val="sk-SK" w:eastAsia="en-GB"/>
        </w:rPr>
        <w:t>Súbežné užívanie ivabradínu s blokátormi vápnikových kanálov znižujúcimi srdcovú frekvenciu, ako</w:t>
      </w:r>
      <w:r w:rsidR="00FD2A95" w:rsidRPr="003D4D81">
        <w:rPr>
          <w:sz w:val="22"/>
          <w:szCs w:val="22"/>
          <w:lang w:val="sk-SK" w:eastAsia="en-GB"/>
        </w:rPr>
        <w:t xml:space="preserve"> </w:t>
      </w:r>
      <w:r w:rsidRPr="003D4D81">
        <w:rPr>
          <w:sz w:val="22"/>
          <w:szCs w:val="22"/>
          <w:lang w:val="sk-SK" w:eastAsia="en-GB"/>
        </w:rPr>
        <w:t>sú verapamil alebo diltiazem, je kontraindikované (pozri časti 4.3 a 4.5). Pri kombinácii ivabradínu</w:t>
      </w:r>
      <w:r w:rsidR="00FD2A95" w:rsidRPr="003D4D81">
        <w:rPr>
          <w:sz w:val="22"/>
          <w:szCs w:val="22"/>
          <w:lang w:val="sk-SK" w:eastAsia="en-GB"/>
        </w:rPr>
        <w:t xml:space="preserve"> </w:t>
      </w:r>
      <w:r w:rsidRPr="003D4D81">
        <w:rPr>
          <w:sz w:val="22"/>
          <w:szCs w:val="22"/>
          <w:lang w:val="sk-SK" w:eastAsia="en-GB"/>
        </w:rPr>
        <w:t>s nitrátmi a dihydropyridínovými blokátormi vápnikových kanálov, ako je amlodipín, sa nezistili</w:t>
      </w:r>
      <w:r w:rsidR="00FD2A95" w:rsidRPr="003D4D81">
        <w:rPr>
          <w:sz w:val="22"/>
          <w:szCs w:val="22"/>
          <w:lang w:val="sk-SK" w:eastAsia="en-GB"/>
        </w:rPr>
        <w:t xml:space="preserve"> </w:t>
      </w:r>
      <w:r w:rsidRPr="003D4D81">
        <w:rPr>
          <w:sz w:val="22"/>
          <w:szCs w:val="22"/>
          <w:lang w:val="sk-SK" w:eastAsia="en-GB"/>
        </w:rPr>
        <w:t xml:space="preserve">problémy týkajúce </w:t>
      </w:r>
      <w:r w:rsidRPr="003D4D81">
        <w:rPr>
          <w:sz w:val="22"/>
          <w:szCs w:val="22"/>
          <w:lang w:val="sk-SK" w:eastAsia="en-GB"/>
        </w:rPr>
        <w:lastRenderedPageBreak/>
        <w:t>sa bezpečnosti. Aditívna účinnosť ivabradínu v kombinácii s</w:t>
      </w:r>
      <w:r w:rsidR="00FD2A95" w:rsidRPr="003D4D81">
        <w:rPr>
          <w:sz w:val="22"/>
          <w:szCs w:val="22"/>
          <w:lang w:val="sk-SK" w:eastAsia="en-GB"/>
        </w:rPr>
        <w:t> </w:t>
      </w:r>
      <w:r w:rsidRPr="003D4D81">
        <w:rPr>
          <w:sz w:val="22"/>
          <w:szCs w:val="22"/>
          <w:lang w:val="sk-SK" w:eastAsia="en-GB"/>
        </w:rPr>
        <w:t>dihydropyridínovými</w:t>
      </w:r>
      <w:r w:rsidR="00FD2A95" w:rsidRPr="003D4D81">
        <w:rPr>
          <w:sz w:val="22"/>
          <w:szCs w:val="22"/>
          <w:lang w:val="sk-SK" w:eastAsia="en-GB"/>
        </w:rPr>
        <w:t xml:space="preserve"> </w:t>
      </w:r>
      <w:r w:rsidRPr="003D4D81">
        <w:rPr>
          <w:sz w:val="22"/>
          <w:szCs w:val="22"/>
          <w:lang w:val="sk-SK" w:eastAsia="en-GB"/>
        </w:rPr>
        <w:t>blokátormi vápnikových kanálov nebola stanovená (pozri časť 5.1).</w:t>
      </w:r>
    </w:p>
    <w:p w:rsidR="00ED4908" w:rsidRPr="003D4D81" w:rsidRDefault="00ED4908" w:rsidP="00572196">
      <w:pPr>
        <w:spacing w:after="0"/>
        <w:jc w:val="left"/>
        <w:rPr>
          <w:sz w:val="22"/>
          <w:szCs w:val="22"/>
          <w:lang w:val="sk-SK"/>
        </w:rPr>
      </w:pPr>
    </w:p>
    <w:p w:rsidR="00CD555E" w:rsidRPr="003D4D81" w:rsidRDefault="00CD555E"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Chronické srdcové zlyhanie</w:t>
      </w:r>
    </w:p>
    <w:p w:rsidR="00ED4908" w:rsidRPr="003D4D81" w:rsidRDefault="00CD555E" w:rsidP="00FD2A95">
      <w:pPr>
        <w:autoSpaceDE w:val="0"/>
        <w:autoSpaceDN w:val="0"/>
        <w:adjustRightInd w:val="0"/>
        <w:spacing w:after="0"/>
        <w:jc w:val="left"/>
        <w:rPr>
          <w:sz w:val="22"/>
          <w:szCs w:val="22"/>
          <w:lang w:val="sk-SK"/>
        </w:rPr>
      </w:pPr>
      <w:r w:rsidRPr="003D4D81">
        <w:rPr>
          <w:sz w:val="22"/>
          <w:szCs w:val="22"/>
          <w:lang w:val="sk-SK" w:eastAsia="en-GB"/>
        </w:rPr>
        <w:t>Pred zvažovaním liečby ivabradínom musí byť srdcové zlyhanie stabilné. Ivabradín sa má používať</w:t>
      </w:r>
      <w:r w:rsidR="00FD2A95" w:rsidRPr="003D4D81">
        <w:rPr>
          <w:sz w:val="22"/>
          <w:szCs w:val="22"/>
          <w:lang w:val="sk-SK" w:eastAsia="en-GB"/>
        </w:rPr>
        <w:t xml:space="preserve"> </w:t>
      </w:r>
      <w:r w:rsidRPr="003D4D81">
        <w:rPr>
          <w:sz w:val="22"/>
          <w:szCs w:val="22"/>
          <w:lang w:val="sk-SK" w:eastAsia="en-GB"/>
        </w:rPr>
        <w:t>s opatrnosťou u pacientov so srdcovým zlyhaním triedy IV podľa funkčnej klasifikácie NYHA</w:t>
      </w:r>
      <w:r w:rsidR="00FD2A95" w:rsidRPr="003D4D81">
        <w:rPr>
          <w:sz w:val="22"/>
          <w:szCs w:val="22"/>
          <w:lang w:val="sk-SK" w:eastAsia="en-GB"/>
        </w:rPr>
        <w:t xml:space="preserve"> </w:t>
      </w:r>
      <w:r w:rsidRPr="003D4D81">
        <w:rPr>
          <w:sz w:val="22"/>
          <w:szCs w:val="22"/>
          <w:lang w:val="sk-SK" w:eastAsia="en-GB"/>
        </w:rPr>
        <w:t>vzhľadom na obmedzené množstvo údajov u tejto populácie</w:t>
      </w:r>
      <w:r w:rsidR="00ED4908" w:rsidRPr="003D4D81">
        <w:rPr>
          <w:sz w:val="22"/>
          <w:szCs w:val="22"/>
          <w:lang w:val="sk-SK"/>
        </w:rPr>
        <w:t>.</w:t>
      </w:r>
    </w:p>
    <w:p w:rsidR="00ED4908" w:rsidRPr="003D4D81" w:rsidRDefault="00ED4908" w:rsidP="00572196">
      <w:pPr>
        <w:spacing w:after="0"/>
        <w:jc w:val="left"/>
        <w:rPr>
          <w:sz w:val="22"/>
          <w:szCs w:val="22"/>
          <w:lang w:val="sk-SK"/>
        </w:rPr>
      </w:pPr>
    </w:p>
    <w:p w:rsidR="00CD555E" w:rsidRPr="003D4D81" w:rsidRDefault="00CD555E"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Cievna mozgová príhoda</w:t>
      </w:r>
    </w:p>
    <w:p w:rsidR="00ED4908" w:rsidRPr="003D4D81" w:rsidRDefault="00CD555E" w:rsidP="00CD555E">
      <w:pPr>
        <w:autoSpaceDE w:val="0"/>
        <w:autoSpaceDN w:val="0"/>
        <w:adjustRightInd w:val="0"/>
        <w:spacing w:after="0"/>
        <w:jc w:val="left"/>
        <w:rPr>
          <w:sz w:val="22"/>
          <w:szCs w:val="22"/>
          <w:lang w:val="sk-SK"/>
        </w:rPr>
      </w:pPr>
      <w:r w:rsidRPr="003D4D81">
        <w:rPr>
          <w:sz w:val="22"/>
          <w:szCs w:val="22"/>
          <w:lang w:val="sk-SK" w:eastAsia="en-GB"/>
        </w:rPr>
        <w:t xml:space="preserve">Použitie ivabradínu sa neodporúča ihneď po cievnej mozgovej príhode, </w:t>
      </w:r>
      <w:r w:rsidR="00641F94" w:rsidRPr="003D4D81">
        <w:rPr>
          <w:sz w:val="22"/>
          <w:szCs w:val="22"/>
          <w:lang w:val="sk-SK" w:eastAsia="en-GB"/>
        </w:rPr>
        <w:t>pretože</w:t>
      </w:r>
      <w:r w:rsidRPr="003D4D81">
        <w:rPr>
          <w:sz w:val="22"/>
          <w:szCs w:val="22"/>
          <w:lang w:val="sk-SK" w:eastAsia="en-GB"/>
        </w:rPr>
        <w:t xml:space="preserve"> nie sú k dispozícii údaje pre takéto situácie</w:t>
      </w:r>
      <w:r w:rsidR="00ED4908" w:rsidRPr="003D4D81">
        <w:rPr>
          <w:sz w:val="22"/>
          <w:szCs w:val="22"/>
          <w:lang w:val="sk-SK"/>
        </w:rPr>
        <w:t>.</w:t>
      </w:r>
    </w:p>
    <w:p w:rsidR="00ED4908" w:rsidRPr="003D4D81" w:rsidRDefault="00ED4908" w:rsidP="00572196">
      <w:pPr>
        <w:spacing w:after="0"/>
        <w:jc w:val="left"/>
        <w:rPr>
          <w:sz w:val="22"/>
          <w:szCs w:val="22"/>
          <w:lang w:val="sk-SK"/>
        </w:rPr>
      </w:pPr>
    </w:p>
    <w:p w:rsidR="00CD555E" w:rsidRPr="003D4D81" w:rsidRDefault="00071C69"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 xml:space="preserve">Zrakové </w:t>
      </w:r>
      <w:r w:rsidR="00CD555E" w:rsidRPr="003D4D81">
        <w:rPr>
          <w:i/>
          <w:iCs/>
          <w:sz w:val="22"/>
          <w:szCs w:val="22"/>
          <w:lang w:val="sk-SK" w:eastAsia="en-GB"/>
        </w:rPr>
        <w:t>funkcie</w:t>
      </w:r>
    </w:p>
    <w:p w:rsidR="00ED4908" w:rsidRPr="003D4D81" w:rsidRDefault="00CD555E" w:rsidP="00CD555E">
      <w:pPr>
        <w:autoSpaceDE w:val="0"/>
        <w:autoSpaceDN w:val="0"/>
        <w:adjustRightInd w:val="0"/>
        <w:spacing w:after="0"/>
        <w:jc w:val="left"/>
        <w:rPr>
          <w:sz w:val="22"/>
          <w:szCs w:val="22"/>
          <w:lang w:val="sk-SK"/>
        </w:rPr>
      </w:pPr>
      <w:r w:rsidRPr="003D4D81">
        <w:rPr>
          <w:sz w:val="22"/>
          <w:szCs w:val="22"/>
          <w:lang w:val="sk-SK" w:eastAsia="en-GB"/>
        </w:rPr>
        <w:t xml:space="preserve">Ivabradín ovplyvňuje funkciu sietnice. Nie sú žiadne dôkazy o toxickom účinku dlhodobej liečby ivabradínom na sietnicu (pozri časť 5.1). Ak sa vyskytne akékoľvek neočakávané zhoršenie </w:t>
      </w:r>
      <w:r w:rsidR="00071C69" w:rsidRPr="003D4D81">
        <w:rPr>
          <w:sz w:val="22"/>
          <w:szCs w:val="22"/>
          <w:lang w:val="sk-SK" w:eastAsia="en-GB"/>
        </w:rPr>
        <w:t xml:space="preserve">zrakových </w:t>
      </w:r>
      <w:r w:rsidRPr="003D4D81">
        <w:rPr>
          <w:sz w:val="22"/>
          <w:szCs w:val="22"/>
          <w:lang w:val="sk-SK" w:eastAsia="en-GB"/>
        </w:rPr>
        <w:t>funkcií, má sa zvážiť prerušenie liečby. U pacientov s pigmentovou retinitídou sa má postupovať opatrne</w:t>
      </w:r>
      <w:r w:rsidR="00ED4908" w:rsidRPr="003D4D81">
        <w:rPr>
          <w:sz w:val="22"/>
          <w:szCs w:val="22"/>
          <w:lang w:val="sk-SK"/>
        </w:rPr>
        <w:t>.</w:t>
      </w:r>
    </w:p>
    <w:p w:rsidR="00ED4908" w:rsidRPr="003D4D81" w:rsidRDefault="00ED4908" w:rsidP="00572196">
      <w:pPr>
        <w:spacing w:after="0"/>
        <w:jc w:val="left"/>
        <w:rPr>
          <w:sz w:val="22"/>
          <w:szCs w:val="22"/>
          <w:lang w:val="sk-SK"/>
        </w:rPr>
      </w:pPr>
    </w:p>
    <w:p w:rsidR="00CD555E" w:rsidRPr="003D4D81" w:rsidRDefault="00CD555E" w:rsidP="00572196">
      <w:pPr>
        <w:spacing w:after="0"/>
        <w:jc w:val="left"/>
        <w:rPr>
          <w:sz w:val="22"/>
          <w:szCs w:val="22"/>
          <w:u w:val="single"/>
          <w:lang w:val="sk-SK"/>
        </w:rPr>
      </w:pPr>
      <w:r w:rsidRPr="003D4D81">
        <w:rPr>
          <w:sz w:val="22"/>
          <w:szCs w:val="22"/>
          <w:u w:val="single"/>
          <w:lang w:val="sk-SK"/>
        </w:rPr>
        <w:t xml:space="preserve">Opatrenia pri používaní </w:t>
      </w:r>
    </w:p>
    <w:p w:rsidR="00CD555E" w:rsidRPr="003D4D81" w:rsidRDefault="00CD555E" w:rsidP="00CD555E">
      <w:pPr>
        <w:autoSpaceDE w:val="0"/>
        <w:autoSpaceDN w:val="0"/>
        <w:adjustRightInd w:val="0"/>
        <w:spacing w:after="0"/>
        <w:jc w:val="left"/>
        <w:rPr>
          <w:i/>
          <w:iCs/>
          <w:sz w:val="22"/>
          <w:szCs w:val="22"/>
          <w:lang w:val="sk-SK" w:eastAsia="en-GB"/>
        </w:rPr>
      </w:pPr>
      <w:r w:rsidRPr="003D4D81">
        <w:rPr>
          <w:i/>
          <w:iCs/>
          <w:sz w:val="22"/>
          <w:szCs w:val="22"/>
          <w:lang w:val="sk-SK" w:eastAsia="en-GB"/>
        </w:rPr>
        <w:t>Pacienti s hypotenziou</w:t>
      </w:r>
    </w:p>
    <w:p w:rsidR="00ED4908" w:rsidRPr="003D4D81" w:rsidRDefault="00CD555E" w:rsidP="00CD555E">
      <w:pPr>
        <w:autoSpaceDE w:val="0"/>
        <w:autoSpaceDN w:val="0"/>
        <w:adjustRightInd w:val="0"/>
        <w:spacing w:after="0"/>
        <w:jc w:val="left"/>
        <w:rPr>
          <w:sz w:val="22"/>
          <w:szCs w:val="22"/>
          <w:lang w:val="sk-SK"/>
        </w:rPr>
      </w:pPr>
      <w:r w:rsidRPr="003D4D81">
        <w:rPr>
          <w:sz w:val="22"/>
          <w:szCs w:val="22"/>
          <w:lang w:val="sk-SK" w:eastAsia="en-GB"/>
        </w:rPr>
        <w:t xml:space="preserve">U pacientov s miernou až stredne ťažkou hypotenziou je dostupné obmedzené množstvo údajov, a preto sa má u týchto pacientov ivabradín používať s opatrnosťou. Ivabradín je kontraindikovaný u pacientov s ťažkou hypotenziou (krvný tlak </w:t>
      </w:r>
      <w:r w:rsidR="00C230A9" w:rsidRPr="003D4D81">
        <w:rPr>
          <w:sz w:val="22"/>
          <w:szCs w:val="22"/>
          <w:lang w:val="sk-SK" w:eastAsia="en-GB"/>
        </w:rPr>
        <w:t>&lt; </w:t>
      </w:r>
      <w:r w:rsidRPr="003D4D81">
        <w:rPr>
          <w:sz w:val="22"/>
          <w:szCs w:val="22"/>
          <w:lang w:val="sk-SK" w:eastAsia="en-GB"/>
        </w:rPr>
        <w:t>90/50 mmHg) (pozri časť 4.3).</w:t>
      </w:r>
    </w:p>
    <w:p w:rsidR="00ED4908" w:rsidRPr="003D4D81" w:rsidRDefault="00ED4908" w:rsidP="00572196">
      <w:pPr>
        <w:spacing w:after="0"/>
        <w:jc w:val="left"/>
        <w:rPr>
          <w:sz w:val="22"/>
          <w:szCs w:val="22"/>
          <w:lang w:val="sk-SK"/>
        </w:rPr>
      </w:pPr>
    </w:p>
    <w:p w:rsidR="00B20684" w:rsidRPr="003D4D81" w:rsidRDefault="00B20684" w:rsidP="00B20684">
      <w:pPr>
        <w:autoSpaceDE w:val="0"/>
        <w:autoSpaceDN w:val="0"/>
        <w:adjustRightInd w:val="0"/>
        <w:spacing w:after="0"/>
        <w:jc w:val="left"/>
        <w:rPr>
          <w:i/>
          <w:iCs/>
          <w:sz w:val="22"/>
          <w:szCs w:val="22"/>
          <w:lang w:val="sk-SK" w:eastAsia="en-GB"/>
        </w:rPr>
      </w:pPr>
      <w:r w:rsidRPr="003D4D81">
        <w:rPr>
          <w:i/>
          <w:iCs/>
          <w:sz w:val="22"/>
          <w:szCs w:val="22"/>
          <w:lang w:val="sk-SK" w:eastAsia="en-GB"/>
        </w:rPr>
        <w:t>Fibrilácia predsiení</w:t>
      </w:r>
      <w:r w:rsidR="00C230A9" w:rsidRPr="003D4D81">
        <w:rPr>
          <w:i/>
          <w:iCs/>
          <w:sz w:val="22"/>
          <w:szCs w:val="22"/>
          <w:lang w:val="sk-SK" w:eastAsia="en-GB"/>
        </w:rPr>
        <w:t> – </w:t>
      </w:r>
      <w:r w:rsidRPr="003D4D81">
        <w:rPr>
          <w:i/>
          <w:iCs/>
          <w:sz w:val="22"/>
          <w:szCs w:val="22"/>
          <w:lang w:val="sk-SK" w:eastAsia="en-GB"/>
        </w:rPr>
        <w:t>srdcové arytmie</w:t>
      </w:r>
    </w:p>
    <w:p w:rsidR="00ED4908" w:rsidRPr="003D4D81" w:rsidRDefault="00B20684" w:rsidP="00B20684">
      <w:pPr>
        <w:autoSpaceDE w:val="0"/>
        <w:autoSpaceDN w:val="0"/>
        <w:adjustRightInd w:val="0"/>
        <w:spacing w:after="0"/>
        <w:jc w:val="left"/>
        <w:rPr>
          <w:sz w:val="22"/>
          <w:szCs w:val="22"/>
          <w:lang w:val="sk-SK"/>
        </w:rPr>
      </w:pPr>
      <w:r w:rsidRPr="003D4D81">
        <w:rPr>
          <w:sz w:val="22"/>
          <w:szCs w:val="22"/>
          <w:lang w:val="sk-SK" w:eastAsia="en-GB"/>
        </w:rPr>
        <w:t xml:space="preserve">Nie sú žiadne dôkazy o riziku (nadmernej) bradykardie pri návrate k sínusovému rytmu, keď sa iniciuje farmakologická kardioverzia u pacientov liečených ivabradínom. </w:t>
      </w:r>
      <w:r w:rsidR="00071C69" w:rsidRPr="003D4D81">
        <w:rPr>
          <w:sz w:val="22"/>
          <w:szCs w:val="22"/>
          <w:lang w:val="sk-SK" w:eastAsia="en-GB"/>
        </w:rPr>
        <w:t xml:space="preserve">Keďže </w:t>
      </w:r>
      <w:r w:rsidRPr="003D4D81">
        <w:rPr>
          <w:sz w:val="22"/>
          <w:szCs w:val="22"/>
          <w:lang w:val="sk-SK" w:eastAsia="en-GB"/>
        </w:rPr>
        <w:t>nie je k dispozícii dostatočné množstvo údajov, neurgentná DC-kardioverzia by sa mala zvážiť 24 hodín po poslednej dávke ivabradínu</w:t>
      </w:r>
      <w:r w:rsidR="00ED4908" w:rsidRPr="003D4D81">
        <w:rPr>
          <w:sz w:val="22"/>
          <w:szCs w:val="22"/>
          <w:lang w:val="sk-SK"/>
        </w:rPr>
        <w:t>.</w:t>
      </w:r>
    </w:p>
    <w:p w:rsidR="00ED4908" w:rsidRPr="003D4D81" w:rsidRDefault="00ED4908" w:rsidP="00572196">
      <w:pPr>
        <w:spacing w:after="0"/>
        <w:jc w:val="left"/>
        <w:rPr>
          <w:sz w:val="22"/>
          <w:szCs w:val="22"/>
          <w:lang w:val="sk-SK"/>
        </w:rPr>
      </w:pPr>
    </w:p>
    <w:p w:rsidR="00B20684" w:rsidRPr="003D4D81" w:rsidRDefault="00B20684" w:rsidP="00B20684">
      <w:pPr>
        <w:autoSpaceDE w:val="0"/>
        <w:autoSpaceDN w:val="0"/>
        <w:adjustRightInd w:val="0"/>
        <w:spacing w:after="0"/>
        <w:jc w:val="left"/>
        <w:rPr>
          <w:i/>
          <w:iCs/>
          <w:sz w:val="22"/>
          <w:szCs w:val="22"/>
          <w:lang w:val="sk-SK" w:eastAsia="en-GB"/>
        </w:rPr>
      </w:pPr>
      <w:r w:rsidRPr="003D4D81">
        <w:rPr>
          <w:i/>
          <w:iCs/>
          <w:sz w:val="22"/>
          <w:szCs w:val="22"/>
          <w:lang w:val="sk-SK" w:eastAsia="en-GB"/>
        </w:rPr>
        <w:t>Použitie u pacientov s vrodeným syndrómom QT alebo liečených liekmi predlžujúcimi interval QT</w:t>
      </w:r>
    </w:p>
    <w:p w:rsidR="00B20684" w:rsidRPr="003D4D81" w:rsidRDefault="00B20684" w:rsidP="00B20684">
      <w:pPr>
        <w:autoSpaceDE w:val="0"/>
        <w:autoSpaceDN w:val="0"/>
        <w:adjustRightInd w:val="0"/>
        <w:spacing w:after="0"/>
        <w:jc w:val="left"/>
        <w:rPr>
          <w:sz w:val="22"/>
          <w:szCs w:val="22"/>
          <w:lang w:val="sk-SK" w:eastAsia="en-GB"/>
        </w:rPr>
      </w:pPr>
      <w:r w:rsidRPr="003D4D81">
        <w:rPr>
          <w:sz w:val="22"/>
          <w:szCs w:val="22"/>
          <w:lang w:val="sk-SK" w:eastAsia="en-GB"/>
        </w:rPr>
        <w:t>Je potrebné vyhnúť sa použitiu ivabradínu u pacientov s vrodeným syndrómom QT alebo liečených liekmi predlžujúcimi interval QT (pozri časť 4.5). Ak je táto kombinácia nutná, je potrebné dôsledné kardiálne monitorovanie.</w:t>
      </w:r>
    </w:p>
    <w:p w:rsidR="00ED4908" w:rsidRPr="003D4D81" w:rsidRDefault="00B20684" w:rsidP="00B20684">
      <w:pPr>
        <w:autoSpaceDE w:val="0"/>
        <w:autoSpaceDN w:val="0"/>
        <w:adjustRightInd w:val="0"/>
        <w:spacing w:after="0"/>
        <w:jc w:val="left"/>
        <w:rPr>
          <w:sz w:val="22"/>
          <w:szCs w:val="22"/>
          <w:lang w:val="sk-SK"/>
        </w:rPr>
      </w:pPr>
      <w:r w:rsidRPr="003D4D81">
        <w:rPr>
          <w:sz w:val="22"/>
          <w:szCs w:val="22"/>
          <w:lang w:val="sk-SK" w:eastAsia="en-GB"/>
        </w:rPr>
        <w:t xml:space="preserve">Zníženie srdcovej frekvencie, ktoré je spôsobené ivabradínom, môže vyvolať predĺženie intervalu QT, čo môže viesť k vzniku závažných arytmií, najmä </w:t>
      </w:r>
      <w:r w:rsidRPr="003D4D81">
        <w:rPr>
          <w:i/>
          <w:iCs/>
          <w:sz w:val="22"/>
          <w:szCs w:val="22"/>
          <w:lang w:val="sk-SK" w:eastAsia="en-GB"/>
        </w:rPr>
        <w:t>Torsade de pointes</w:t>
      </w:r>
      <w:r w:rsidRPr="003D4D81">
        <w:rPr>
          <w:sz w:val="22"/>
          <w:szCs w:val="22"/>
          <w:lang w:val="sk-SK" w:eastAsia="en-GB"/>
        </w:rPr>
        <w:t>.</w:t>
      </w:r>
    </w:p>
    <w:p w:rsidR="00ED4908" w:rsidRPr="003D4D81" w:rsidRDefault="00ED4908" w:rsidP="00572196">
      <w:pPr>
        <w:spacing w:after="0"/>
        <w:jc w:val="left"/>
        <w:rPr>
          <w:sz w:val="22"/>
          <w:szCs w:val="22"/>
          <w:lang w:val="sk-SK"/>
        </w:rPr>
      </w:pPr>
    </w:p>
    <w:p w:rsidR="00B20684" w:rsidRPr="003D4D81" w:rsidRDefault="00B20684" w:rsidP="00B20684">
      <w:pPr>
        <w:autoSpaceDE w:val="0"/>
        <w:autoSpaceDN w:val="0"/>
        <w:adjustRightInd w:val="0"/>
        <w:spacing w:after="0"/>
        <w:jc w:val="left"/>
        <w:rPr>
          <w:i/>
          <w:iCs/>
          <w:sz w:val="22"/>
          <w:szCs w:val="22"/>
          <w:lang w:val="sk-SK" w:eastAsia="en-GB"/>
        </w:rPr>
      </w:pPr>
      <w:r w:rsidRPr="003D4D81">
        <w:rPr>
          <w:i/>
          <w:iCs/>
          <w:sz w:val="22"/>
          <w:szCs w:val="22"/>
          <w:lang w:val="sk-SK" w:eastAsia="en-GB"/>
        </w:rPr>
        <w:t>Pacienti s hypertenziou vyžadujúci úpravu liečby krvného tlaku</w:t>
      </w:r>
    </w:p>
    <w:p w:rsidR="00EC0F14" w:rsidRPr="003D4D81" w:rsidRDefault="00B20684" w:rsidP="00B20684">
      <w:pPr>
        <w:autoSpaceDE w:val="0"/>
        <w:autoSpaceDN w:val="0"/>
        <w:adjustRightInd w:val="0"/>
        <w:spacing w:after="0"/>
        <w:jc w:val="left"/>
        <w:rPr>
          <w:sz w:val="22"/>
          <w:szCs w:val="22"/>
          <w:lang w:val="sk-SK" w:eastAsia="en-GB"/>
        </w:rPr>
      </w:pPr>
      <w:r w:rsidRPr="003D4D81">
        <w:rPr>
          <w:sz w:val="22"/>
          <w:szCs w:val="22"/>
          <w:lang w:val="sk-SK" w:eastAsia="en-GB"/>
        </w:rPr>
        <w:t>V štúdii SHIFT viac pacientov zaznamenalo epizódy zvýšeného krvného tlaku počas liečby ivabradínom (7,1</w:t>
      </w:r>
      <w:r w:rsidR="00C230A9" w:rsidRPr="003D4D81">
        <w:rPr>
          <w:sz w:val="22"/>
          <w:szCs w:val="22"/>
          <w:lang w:val="sk-SK" w:eastAsia="en-GB"/>
        </w:rPr>
        <w:t> %</w:t>
      </w:r>
      <w:r w:rsidRPr="003D4D81">
        <w:rPr>
          <w:sz w:val="22"/>
          <w:szCs w:val="22"/>
          <w:lang w:val="sk-SK" w:eastAsia="en-GB"/>
        </w:rPr>
        <w:t>) v porovnaní s pacientmi, ktorí dostávali placebo (6,1</w:t>
      </w:r>
      <w:r w:rsidR="00C230A9" w:rsidRPr="003D4D81">
        <w:rPr>
          <w:sz w:val="22"/>
          <w:szCs w:val="22"/>
          <w:lang w:val="sk-SK" w:eastAsia="en-GB"/>
        </w:rPr>
        <w:t> %</w:t>
      </w:r>
      <w:r w:rsidRPr="003D4D81">
        <w:rPr>
          <w:sz w:val="22"/>
          <w:szCs w:val="22"/>
          <w:lang w:val="sk-SK" w:eastAsia="en-GB"/>
        </w:rPr>
        <w:t>). Tieto epizódy sa vyskytli najčastejšie krátko po zmene liečby krvného tlaku, boli prechodné a nemali vplyv na liečebný účinok ivabradínu. Ak dochádza k zmene liečby u pacientov s chronickým srdcovým zlyhaním, ktorí sú liečení ivabradínom, krvný tlak sa má sledovať vo vhodných intervaloch (pozri časť 4.8).</w:t>
      </w:r>
    </w:p>
    <w:p w:rsidR="00B20684" w:rsidRPr="003D4D81" w:rsidRDefault="00B20684" w:rsidP="00B20684">
      <w:pPr>
        <w:autoSpaceDE w:val="0"/>
        <w:autoSpaceDN w:val="0"/>
        <w:adjustRightInd w:val="0"/>
        <w:spacing w:after="0"/>
        <w:jc w:val="left"/>
        <w:rPr>
          <w:sz w:val="22"/>
          <w:szCs w:val="22"/>
          <w:lang w:val="sk-SK"/>
        </w:rPr>
      </w:pPr>
    </w:p>
    <w:p w:rsidR="00F875A4" w:rsidRPr="003D4D81" w:rsidRDefault="00BE3580" w:rsidP="00BE3580">
      <w:pPr>
        <w:rPr>
          <w:b/>
          <w:bCs/>
          <w:sz w:val="22"/>
          <w:szCs w:val="22"/>
          <w:lang w:val="sk-SK"/>
        </w:rPr>
      </w:pPr>
      <w:r w:rsidRPr="003D4D81">
        <w:rPr>
          <w:b/>
          <w:bCs/>
          <w:sz w:val="22"/>
          <w:szCs w:val="22"/>
          <w:lang w:val="sk-SK"/>
        </w:rPr>
        <w:t>4.5</w:t>
      </w:r>
      <w:r w:rsidRPr="003D4D81">
        <w:rPr>
          <w:b/>
          <w:bCs/>
          <w:sz w:val="22"/>
          <w:szCs w:val="22"/>
          <w:lang w:val="sk-SK"/>
        </w:rPr>
        <w:tab/>
      </w:r>
      <w:r w:rsidR="00F875A4" w:rsidRPr="003D4D81">
        <w:rPr>
          <w:b/>
          <w:bCs/>
          <w:sz w:val="22"/>
          <w:szCs w:val="22"/>
          <w:lang w:val="sk-SK"/>
        </w:rPr>
        <w:t>Liekové a iné interakcie</w:t>
      </w:r>
    </w:p>
    <w:p w:rsidR="00262C35" w:rsidRPr="003D4D81" w:rsidRDefault="00262C35" w:rsidP="00F875A4">
      <w:pPr>
        <w:spacing w:after="0"/>
        <w:jc w:val="left"/>
        <w:rPr>
          <w:sz w:val="22"/>
          <w:szCs w:val="22"/>
          <w:lang w:val="sk-SK"/>
        </w:rPr>
      </w:pPr>
    </w:p>
    <w:p w:rsidR="00B16304" w:rsidRPr="003D4D81" w:rsidRDefault="00B20684" w:rsidP="00572196">
      <w:pPr>
        <w:spacing w:after="0"/>
        <w:jc w:val="left"/>
        <w:rPr>
          <w:sz w:val="22"/>
          <w:szCs w:val="22"/>
          <w:u w:val="single"/>
          <w:lang w:val="sk-SK"/>
        </w:rPr>
      </w:pPr>
      <w:r w:rsidRPr="003D4D81">
        <w:rPr>
          <w:sz w:val="22"/>
          <w:szCs w:val="22"/>
          <w:u w:val="single"/>
          <w:lang w:val="sk-SK"/>
        </w:rPr>
        <w:t xml:space="preserve">Farmakodynamické interakcie </w:t>
      </w:r>
    </w:p>
    <w:p w:rsidR="00B20684" w:rsidRPr="003D4D81" w:rsidRDefault="00B20684" w:rsidP="00572196">
      <w:pPr>
        <w:spacing w:after="0"/>
        <w:jc w:val="left"/>
        <w:rPr>
          <w:sz w:val="22"/>
          <w:szCs w:val="22"/>
          <w:lang w:val="sk-SK"/>
        </w:rPr>
      </w:pPr>
      <w:r w:rsidRPr="003D4D81">
        <w:rPr>
          <w:i/>
          <w:iCs/>
          <w:sz w:val="22"/>
          <w:szCs w:val="22"/>
          <w:lang w:val="sk-SK" w:eastAsia="en-GB"/>
        </w:rPr>
        <w:t>Súbežné použitie sa neodporúča</w:t>
      </w:r>
      <w:r w:rsidRPr="003D4D81">
        <w:rPr>
          <w:sz w:val="22"/>
          <w:szCs w:val="22"/>
          <w:lang w:val="sk-SK"/>
        </w:rPr>
        <w:t xml:space="preserve"> </w:t>
      </w:r>
    </w:p>
    <w:p w:rsidR="00B16304" w:rsidRPr="003D4D81" w:rsidRDefault="00B20684" w:rsidP="00572196">
      <w:pPr>
        <w:spacing w:after="0"/>
        <w:jc w:val="left"/>
        <w:rPr>
          <w:sz w:val="22"/>
          <w:szCs w:val="22"/>
          <w:lang w:val="sk-SK"/>
        </w:rPr>
      </w:pPr>
      <w:r w:rsidRPr="003D4D81">
        <w:rPr>
          <w:sz w:val="22"/>
          <w:szCs w:val="22"/>
          <w:lang w:val="sk-SK" w:eastAsia="en-GB"/>
        </w:rPr>
        <w:t>S liekmi predlžujúcimi interval QT</w:t>
      </w:r>
    </w:p>
    <w:p w:rsidR="00B16304" w:rsidRPr="003D4D81" w:rsidRDefault="00B20684" w:rsidP="002426FB">
      <w:pPr>
        <w:pStyle w:val="Odsekzoznamu"/>
        <w:numPr>
          <w:ilvl w:val="0"/>
          <w:numId w:val="4"/>
        </w:numPr>
        <w:spacing w:after="0"/>
        <w:ind w:left="426" w:hanging="284"/>
        <w:contextualSpacing w:val="0"/>
        <w:jc w:val="left"/>
        <w:rPr>
          <w:sz w:val="22"/>
          <w:szCs w:val="22"/>
          <w:lang w:val="sk-SK"/>
        </w:rPr>
      </w:pPr>
      <w:r w:rsidRPr="003D4D81">
        <w:rPr>
          <w:sz w:val="22"/>
          <w:szCs w:val="22"/>
          <w:lang w:val="sk-SK" w:eastAsia="en-GB"/>
        </w:rPr>
        <w:lastRenderedPageBreak/>
        <w:t xml:space="preserve">Kardiovaskulárne lieky predlžujúce interval QT (napr. chinidín, </w:t>
      </w:r>
      <w:r w:rsidR="00FF0116" w:rsidRPr="003D4D81">
        <w:rPr>
          <w:sz w:val="22"/>
          <w:szCs w:val="22"/>
          <w:lang w:val="sk-SK" w:eastAsia="en-GB"/>
        </w:rPr>
        <w:t>dizopyramid</w:t>
      </w:r>
      <w:r w:rsidRPr="003D4D81">
        <w:rPr>
          <w:sz w:val="22"/>
          <w:szCs w:val="22"/>
          <w:lang w:val="sk-SK" w:eastAsia="en-GB"/>
        </w:rPr>
        <w:t>, bepridil, sotalol</w:t>
      </w:r>
      <w:r w:rsidR="00B16304" w:rsidRPr="003D4D81">
        <w:rPr>
          <w:sz w:val="22"/>
          <w:szCs w:val="22"/>
          <w:lang w:val="sk-SK"/>
        </w:rPr>
        <w:t xml:space="preserve">, </w:t>
      </w:r>
      <w:r w:rsidRPr="003D4D81">
        <w:rPr>
          <w:sz w:val="22"/>
          <w:szCs w:val="22"/>
          <w:lang w:val="sk-SK" w:eastAsia="en-GB"/>
        </w:rPr>
        <w:t xml:space="preserve">ibutilid, </w:t>
      </w:r>
      <w:r w:rsidR="00FF0116" w:rsidRPr="003D4D81">
        <w:rPr>
          <w:sz w:val="22"/>
          <w:szCs w:val="22"/>
          <w:lang w:val="sk-SK" w:eastAsia="en-GB"/>
        </w:rPr>
        <w:t>amiodarón</w:t>
      </w:r>
      <w:r w:rsidR="00B16304" w:rsidRPr="003D4D81">
        <w:rPr>
          <w:sz w:val="22"/>
          <w:szCs w:val="22"/>
          <w:lang w:val="sk-SK"/>
        </w:rPr>
        <w:t>).</w:t>
      </w:r>
    </w:p>
    <w:p w:rsidR="00B16304" w:rsidRPr="003D4D81" w:rsidRDefault="00B20684" w:rsidP="002426FB">
      <w:pPr>
        <w:pStyle w:val="Odsekzoznamu"/>
        <w:numPr>
          <w:ilvl w:val="0"/>
          <w:numId w:val="4"/>
        </w:numPr>
        <w:spacing w:after="0"/>
        <w:ind w:left="426" w:hanging="284"/>
        <w:contextualSpacing w:val="0"/>
        <w:jc w:val="left"/>
        <w:rPr>
          <w:sz w:val="22"/>
          <w:szCs w:val="22"/>
          <w:lang w:val="sk-SK"/>
        </w:rPr>
      </w:pPr>
      <w:r w:rsidRPr="003D4D81">
        <w:rPr>
          <w:sz w:val="22"/>
          <w:szCs w:val="22"/>
          <w:lang w:val="sk-SK" w:eastAsia="en-GB"/>
        </w:rPr>
        <w:t>Nekardiovaskulárne lieky predlžujúce interval QT (napr. pimozid, ziprasidón, sertindol</w:t>
      </w:r>
      <w:r w:rsidR="00B16304" w:rsidRPr="003D4D81">
        <w:rPr>
          <w:sz w:val="22"/>
          <w:szCs w:val="22"/>
          <w:lang w:val="sk-SK"/>
        </w:rPr>
        <w:t xml:space="preserve">, </w:t>
      </w:r>
      <w:r w:rsidRPr="003D4D81">
        <w:rPr>
          <w:sz w:val="22"/>
          <w:szCs w:val="22"/>
          <w:lang w:val="sk-SK" w:eastAsia="en-GB"/>
        </w:rPr>
        <w:t>meflochín, halofantrín, pentamidín, cisaprid, intravenózny erytromycín).</w:t>
      </w:r>
    </w:p>
    <w:p w:rsidR="00B16304" w:rsidRPr="003D4D81" w:rsidRDefault="0026418C" w:rsidP="0026418C">
      <w:pPr>
        <w:autoSpaceDE w:val="0"/>
        <w:autoSpaceDN w:val="0"/>
        <w:adjustRightInd w:val="0"/>
        <w:spacing w:after="0"/>
        <w:jc w:val="left"/>
        <w:rPr>
          <w:sz w:val="22"/>
          <w:szCs w:val="22"/>
          <w:lang w:val="sk-SK"/>
        </w:rPr>
      </w:pPr>
      <w:r w:rsidRPr="003D4D81">
        <w:rPr>
          <w:sz w:val="22"/>
          <w:szCs w:val="22"/>
          <w:lang w:val="sk-SK" w:eastAsia="en-GB"/>
        </w:rPr>
        <w:t>Súbežnému použitiu kardiovaskulárnych a nekardiovaskulárnych liekov predlžujúcich interval QT</w:t>
      </w:r>
      <w:r w:rsidRPr="003D4D81">
        <w:rPr>
          <w:sz w:val="22"/>
          <w:szCs w:val="22"/>
          <w:lang w:val="sk-SK"/>
        </w:rPr>
        <w:t xml:space="preserve"> </w:t>
      </w:r>
      <w:r w:rsidRPr="003D4D81">
        <w:rPr>
          <w:sz w:val="22"/>
          <w:szCs w:val="22"/>
          <w:lang w:val="sk-SK" w:eastAsia="en-GB"/>
        </w:rPr>
        <w:t>s</w:t>
      </w:r>
      <w:r w:rsidR="00C230A9" w:rsidRPr="003D4D81">
        <w:rPr>
          <w:sz w:val="22"/>
          <w:szCs w:val="22"/>
          <w:lang w:val="sk-SK" w:eastAsia="en-GB"/>
        </w:rPr>
        <w:t> </w:t>
      </w:r>
      <w:r w:rsidRPr="003D4D81">
        <w:rPr>
          <w:sz w:val="22"/>
          <w:szCs w:val="22"/>
          <w:lang w:val="sk-SK" w:eastAsia="en-GB"/>
        </w:rPr>
        <w:t xml:space="preserve">ivabradínom sa má vyhnúť, pretože predĺženie intervalu QT môže byť </w:t>
      </w:r>
      <w:r w:rsidR="004555FF" w:rsidRPr="003D4D81">
        <w:rPr>
          <w:sz w:val="22"/>
          <w:szCs w:val="22"/>
          <w:lang w:val="sk-SK" w:eastAsia="en-GB"/>
        </w:rPr>
        <w:t>zhoršené</w:t>
      </w:r>
      <w:r w:rsidRPr="003D4D81">
        <w:rPr>
          <w:sz w:val="22"/>
          <w:szCs w:val="22"/>
          <w:lang w:val="sk-SK" w:eastAsia="en-GB"/>
        </w:rPr>
        <w:t xml:space="preserve"> znížením srdcovej frekvencie. Ak je táto kombinácia nevyhnutná, je potrebné dôsledné kardiálne monitorovanie</w:t>
      </w:r>
      <w:r w:rsidRPr="003D4D81">
        <w:rPr>
          <w:sz w:val="22"/>
          <w:szCs w:val="22"/>
          <w:lang w:val="sk-SK"/>
        </w:rPr>
        <w:t xml:space="preserve"> </w:t>
      </w:r>
      <w:r w:rsidRPr="003D4D81">
        <w:rPr>
          <w:sz w:val="22"/>
          <w:szCs w:val="22"/>
          <w:lang w:val="sk-SK" w:eastAsia="en-GB"/>
        </w:rPr>
        <w:t>(pozri časť 4.4</w:t>
      </w:r>
      <w:r w:rsidR="008E400B" w:rsidRPr="003D4D81">
        <w:rPr>
          <w:sz w:val="22"/>
          <w:szCs w:val="22"/>
          <w:lang w:val="sk-SK" w:eastAsia="en-GB"/>
        </w:rPr>
        <w:t>)</w:t>
      </w:r>
      <w:r w:rsidR="00B16304" w:rsidRPr="003D4D81">
        <w:rPr>
          <w:sz w:val="22"/>
          <w:szCs w:val="22"/>
          <w:lang w:val="sk-SK"/>
        </w:rPr>
        <w:t>.</w:t>
      </w:r>
    </w:p>
    <w:p w:rsidR="00B16304" w:rsidRPr="003D4D81" w:rsidRDefault="00B16304" w:rsidP="00572196">
      <w:pPr>
        <w:spacing w:after="0"/>
        <w:jc w:val="left"/>
        <w:rPr>
          <w:sz w:val="22"/>
          <w:szCs w:val="22"/>
          <w:lang w:val="sk-SK"/>
        </w:rPr>
      </w:pPr>
    </w:p>
    <w:p w:rsidR="0026418C" w:rsidRPr="003D4D81" w:rsidRDefault="0026418C" w:rsidP="00572196">
      <w:pPr>
        <w:spacing w:after="0"/>
        <w:jc w:val="left"/>
        <w:rPr>
          <w:sz w:val="22"/>
          <w:szCs w:val="22"/>
          <w:lang w:val="sk-SK"/>
        </w:rPr>
      </w:pPr>
      <w:r w:rsidRPr="003D4D81">
        <w:rPr>
          <w:i/>
          <w:iCs/>
          <w:sz w:val="22"/>
          <w:szCs w:val="22"/>
          <w:lang w:val="sk-SK" w:eastAsia="en-GB"/>
        </w:rPr>
        <w:t>Súbežné použitie so zvýšenou opatrnosťou</w:t>
      </w:r>
      <w:r w:rsidRPr="003D4D81">
        <w:rPr>
          <w:sz w:val="22"/>
          <w:szCs w:val="22"/>
          <w:lang w:val="sk-SK"/>
        </w:rPr>
        <w:t xml:space="preserve"> </w:t>
      </w:r>
    </w:p>
    <w:p w:rsidR="00B16304" w:rsidRPr="003D4D81" w:rsidRDefault="0026418C" w:rsidP="00572196">
      <w:pPr>
        <w:spacing w:after="0"/>
        <w:jc w:val="left"/>
        <w:rPr>
          <w:sz w:val="22"/>
          <w:szCs w:val="22"/>
          <w:lang w:val="sk-SK"/>
        </w:rPr>
      </w:pPr>
      <w:r w:rsidRPr="003D4D81">
        <w:rPr>
          <w:sz w:val="22"/>
          <w:szCs w:val="22"/>
          <w:lang w:val="sk-SK" w:eastAsia="en-GB"/>
        </w:rPr>
        <w:t>Diuretiká šetriace draslík (tiazidové diuretiká a slučkové diuretiká</w:t>
      </w:r>
      <w:r w:rsidR="00B16304" w:rsidRPr="003D4D81">
        <w:rPr>
          <w:sz w:val="22"/>
          <w:szCs w:val="22"/>
          <w:lang w:val="sk-SK"/>
        </w:rPr>
        <w:t>)</w:t>
      </w:r>
    </w:p>
    <w:p w:rsidR="00B16304" w:rsidRPr="003D4D81" w:rsidRDefault="0026418C" w:rsidP="0026418C">
      <w:pPr>
        <w:autoSpaceDE w:val="0"/>
        <w:autoSpaceDN w:val="0"/>
        <w:adjustRightInd w:val="0"/>
        <w:spacing w:after="0"/>
        <w:jc w:val="left"/>
        <w:rPr>
          <w:sz w:val="22"/>
          <w:szCs w:val="22"/>
          <w:lang w:val="sk-SK"/>
        </w:rPr>
      </w:pPr>
      <w:r w:rsidRPr="003D4D81">
        <w:rPr>
          <w:sz w:val="22"/>
          <w:szCs w:val="22"/>
          <w:lang w:val="sk-SK" w:eastAsia="en-GB"/>
        </w:rPr>
        <w:t>Hypokaliémia môže zvýšiť riziko vzniku arytmie. Keďže ivabradín môže spôsobiť bradykardiu, následná kombinácia hypokaliémie a bradykardie je predisponujúcim faktorom pre vznik závažných arytmií, najmä u pacientov so syndrómom dlhého intervalu QT, či už vrodeným alebo vyvolaným liečivom.</w:t>
      </w:r>
    </w:p>
    <w:p w:rsidR="00B16304" w:rsidRPr="003D4D81" w:rsidRDefault="00B16304" w:rsidP="00572196">
      <w:pPr>
        <w:spacing w:after="0"/>
        <w:jc w:val="left"/>
        <w:rPr>
          <w:sz w:val="22"/>
          <w:szCs w:val="22"/>
          <w:lang w:val="sk-SK"/>
        </w:rPr>
      </w:pPr>
    </w:p>
    <w:p w:rsidR="0026418C" w:rsidRPr="003D4D81" w:rsidRDefault="0026418C" w:rsidP="00572196">
      <w:pPr>
        <w:spacing w:after="0"/>
        <w:jc w:val="left"/>
        <w:rPr>
          <w:sz w:val="22"/>
          <w:szCs w:val="22"/>
          <w:u w:val="single"/>
          <w:lang w:val="sk-SK"/>
        </w:rPr>
      </w:pPr>
      <w:r w:rsidRPr="003D4D81">
        <w:rPr>
          <w:sz w:val="22"/>
          <w:szCs w:val="22"/>
          <w:u w:val="single"/>
          <w:lang w:val="sk-SK"/>
        </w:rPr>
        <w:t xml:space="preserve">Farmakokinetické interakcie </w:t>
      </w:r>
    </w:p>
    <w:p w:rsidR="00B16304" w:rsidRPr="003D4D81" w:rsidRDefault="006C41C3" w:rsidP="00572196">
      <w:pPr>
        <w:spacing w:after="0"/>
        <w:jc w:val="left"/>
        <w:rPr>
          <w:sz w:val="22"/>
          <w:szCs w:val="22"/>
          <w:lang w:val="sk-SK"/>
        </w:rPr>
      </w:pPr>
      <w:r w:rsidRPr="003D4D81">
        <w:rPr>
          <w:sz w:val="22"/>
          <w:szCs w:val="22"/>
          <w:lang w:val="sk-SK" w:eastAsia="en-GB"/>
        </w:rPr>
        <w:t>Cytochróm</w:t>
      </w:r>
      <w:r w:rsidRPr="003D4D81">
        <w:rPr>
          <w:sz w:val="22"/>
          <w:szCs w:val="22"/>
          <w:lang w:val="sk-SK"/>
        </w:rPr>
        <w:t xml:space="preserve"> </w:t>
      </w:r>
      <w:r w:rsidR="00B16304" w:rsidRPr="003D4D81">
        <w:rPr>
          <w:sz w:val="22"/>
          <w:szCs w:val="22"/>
          <w:lang w:val="sk-SK"/>
        </w:rPr>
        <w:t>P450</w:t>
      </w:r>
      <w:r w:rsidR="00C230A9" w:rsidRPr="003D4D81">
        <w:rPr>
          <w:sz w:val="22"/>
          <w:szCs w:val="22"/>
          <w:lang w:val="sk-SK"/>
        </w:rPr>
        <w:t> </w:t>
      </w:r>
      <w:r w:rsidR="00B16304" w:rsidRPr="003D4D81">
        <w:rPr>
          <w:sz w:val="22"/>
          <w:szCs w:val="22"/>
          <w:lang w:val="sk-SK"/>
        </w:rPr>
        <w:t>3A4 (CYP3A4)</w:t>
      </w:r>
    </w:p>
    <w:p w:rsidR="00B16304" w:rsidRPr="003D4D81" w:rsidRDefault="006C41C3" w:rsidP="006C41C3">
      <w:pPr>
        <w:autoSpaceDE w:val="0"/>
        <w:autoSpaceDN w:val="0"/>
        <w:adjustRightInd w:val="0"/>
        <w:spacing w:after="0"/>
        <w:jc w:val="left"/>
        <w:rPr>
          <w:sz w:val="22"/>
          <w:szCs w:val="22"/>
          <w:lang w:val="sk-SK"/>
        </w:rPr>
      </w:pPr>
      <w:r w:rsidRPr="003D4D81">
        <w:rPr>
          <w:sz w:val="22"/>
          <w:szCs w:val="22"/>
          <w:lang w:val="sk-SK" w:eastAsia="en-GB"/>
        </w:rPr>
        <w:t>Ivabradín je metabolizovaný výhradne cez CYP3A4 a je veľmi slabým inhibítorom tohto cytochrómu. Ukázalo sa, že ivabradín neovplyvňuje metabolizmus a plazmatické koncentrácie iných substrátov CYP3A4 (mierne, stredne silné a silné inhibítory). CYP3A4 inhibítory a induktory sú náchylné vzájomne pôsobiť s ivabradínom a ovplyvňovať jeho metabolizmus a farmakokinetiku do klinicky významnej miery. Štúdie liekových interakcií preukázali, že inhibítory CYP3A4 zvyšujú plazmatické koncentrácie ivabradínu, zatiaľ čo induktory ich znižujú. Zvýšené plazmatické koncentrácie ivabradínu môžu byť spojené s rizikom nadmernej bradykardie (pozri časť 4.4).</w:t>
      </w:r>
    </w:p>
    <w:p w:rsidR="00B16304" w:rsidRPr="003D4D81" w:rsidRDefault="00B16304" w:rsidP="00572196">
      <w:pPr>
        <w:spacing w:after="0"/>
        <w:jc w:val="left"/>
        <w:rPr>
          <w:sz w:val="22"/>
          <w:szCs w:val="22"/>
          <w:lang w:val="sk-SK"/>
        </w:rPr>
      </w:pPr>
    </w:p>
    <w:p w:rsidR="006C41C3" w:rsidRPr="003D4D81" w:rsidRDefault="006C41C3" w:rsidP="00572196">
      <w:pPr>
        <w:spacing w:after="0"/>
        <w:jc w:val="left"/>
        <w:rPr>
          <w:sz w:val="22"/>
          <w:szCs w:val="22"/>
          <w:lang w:val="sk-SK"/>
        </w:rPr>
      </w:pPr>
      <w:r w:rsidRPr="003D4D81">
        <w:rPr>
          <w:i/>
          <w:iCs/>
          <w:sz w:val="22"/>
          <w:szCs w:val="22"/>
          <w:lang w:val="sk-SK" w:eastAsia="en-GB"/>
        </w:rPr>
        <w:t>Kontraindikácie súbežného použitia</w:t>
      </w:r>
      <w:r w:rsidRPr="003D4D81">
        <w:rPr>
          <w:sz w:val="22"/>
          <w:szCs w:val="22"/>
          <w:lang w:val="sk-SK"/>
        </w:rPr>
        <w:t xml:space="preserve"> </w:t>
      </w:r>
    </w:p>
    <w:p w:rsidR="00B16304" w:rsidRPr="003D4D81" w:rsidRDefault="006C41C3" w:rsidP="001A7523">
      <w:pPr>
        <w:autoSpaceDE w:val="0"/>
        <w:autoSpaceDN w:val="0"/>
        <w:adjustRightInd w:val="0"/>
        <w:spacing w:after="0"/>
        <w:jc w:val="left"/>
        <w:rPr>
          <w:sz w:val="22"/>
          <w:szCs w:val="22"/>
          <w:lang w:val="sk-SK"/>
        </w:rPr>
      </w:pPr>
      <w:r w:rsidRPr="003D4D81">
        <w:rPr>
          <w:sz w:val="22"/>
          <w:szCs w:val="22"/>
          <w:lang w:val="sk-SK" w:eastAsia="en-GB"/>
        </w:rPr>
        <w:t>Súbežné použitie silných inhibítorov CYP3A4, ako sú azolové antimykotiká (ketokonazol,</w:t>
      </w:r>
      <w:r w:rsidR="00FD2A95" w:rsidRPr="003D4D81">
        <w:rPr>
          <w:sz w:val="22"/>
          <w:szCs w:val="22"/>
          <w:lang w:val="sk-SK" w:eastAsia="en-GB"/>
        </w:rPr>
        <w:t xml:space="preserve"> </w:t>
      </w:r>
      <w:r w:rsidRPr="003D4D81">
        <w:rPr>
          <w:sz w:val="22"/>
          <w:szCs w:val="22"/>
          <w:lang w:val="sk-SK" w:eastAsia="en-GB"/>
        </w:rPr>
        <w:t xml:space="preserve">itrakonazol), makrolidové antibiotiká (klaritromycín, erytromycín </w:t>
      </w:r>
      <w:r w:rsidRPr="003D4D81">
        <w:rPr>
          <w:i/>
          <w:iCs/>
          <w:sz w:val="22"/>
          <w:szCs w:val="22"/>
          <w:lang w:val="sk-SK" w:eastAsia="en-GB"/>
        </w:rPr>
        <w:t xml:space="preserve">per os, </w:t>
      </w:r>
      <w:r w:rsidRPr="003D4D81">
        <w:rPr>
          <w:sz w:val="22"/>
          <w:szCs w:val="22"/>
          <w:lang w:val="sk-SK" w:eastAsia="en-GB"/>
        </w:rPr>
        <w:t>josamycín, telitromycín),</w:t>
      </w:r>
      <w:r w:rsidR="001A7523" w:rsidRPr="003D4D81">
        <w:rPr>
          <w:sz w:val="22"/>
          <w:szCs w:val="22"/>
          <w:lang w:val="sk-SK" w:eastAsia="en-GB"/>
        </w:rPr>
        <w:t xml:space="preserve"> </w:t>
      </w:r>
      <w:r w:rsidRPr="003D4D81">
        <w:rPr>
          <w:sz w:val="22"/>
          <w:szCs w:val="22"/>
          <w:lang w:val="sk-SK" w:eastAsia="en-GB"/>
        </w:rPr>
        <w:t xml:space="preserve">inhibítory HIV proteáz (nelfinavir, ritonavir) a </w:t>
      </w:r>
      <w:r w:rsidR="00FF0116" w:rsidRPr="003D4D81">
        <w:rPr>
          <w:sz w:val="22"/>
          <w:szCs w:val="22"/>
          <w:lang w:val="sk-SK" w:eastAsia="en-GB"/>
        </w:rPr>
        <w:t>nefazodón</w:t>
      </w:r>
      <w:r w:rsidRPr="003D4D81">
        <w:rPr>
          <w:sz w:val="22"/>
          <w:szCs w:val="22"/>
          <w:lang w:val="sk-SK" w:eastAsia="en-GB"/>
        </w:rPr>
        <w:t>, je kontraindikované (pozri časť 4.3). Silné</w:t>
      </w:r>
      <w:r w:rsidR="001A7523" w:rsidRPr="003D4D81">
        <w:rPr>
          <w:sz w:val="22"/>
          <w:szCs w:val="22"/>
          <w:lang w:val="sk-SK" w:eastAsia="en-GB"/>
        </w:rPr>
        <w:t xml:space="preserve"> </w:t>
      </w:r>
      <w:r w:rsidRPr="003D4D81">
        <w:rPr>
          <w:sz w:val="22"/>
          <w:szCs w:val="22"/>
          <w:lang w:val="sk-SK" w:eastAsia="en-GB"/>
        </w:rPr>
        <w:t>inhibítory CYP3A4 ketokonazol (200</w:t>
      </w:r>
      <w:r w:rsidR="00C230A9" w:rsidRPr="003D4D81">
        <w:rPr>
          <w:sz w:val="22"/>
          <w:szCs w:val="22"/>
          <w:lang w:val="sk-SK" w:eastAsia="en-GB"/>
        </w:rPr>
        <w:t> mg</w:t>
      </w:r>
      <w:r w:rsidRPr="003D4D81">
        <w:rPr>
          <w:sz w:val="22"/>
          <w:szCs w:val="22"/>
          <w:lang w:val="sk-SK" w:eastAsia="en-GB"/>
        </w:rPr>
        <w:t xml:space="preserve"> jedenkrát denne) a josamycín (1</w:t>
      </w:r>
      <w:r w:rsidR="008E400B" w:rsidRPr="003D4D81">
        <w:rPr>
          <w:sz w:val="22"/>
          <w:szCs w:val="22"/>
          <w:lang w:val="sk-SK" w:eastAsia="en-GB"/>
        </w:rPr>
        <w:t> </w:t>
      </w:r>
      <w:r w:rsidRPr="003D4D81">
        <w:rPr>
          <w:sz w:val="22"/>
          <w:szCs w:val="22"/>
          <w:lang w:val="sk-SK" w:eastAsia="en-GB"/>
        </w:rPr>
        <w:t>g dvakrát denne) zvýšili</w:t>
      </w:r>
      <w:r w:rsidR="001A7523" w:rsidRPr="003D4D81">
        <w:rPr>
          <w:sz w:val="22"/>
          <w:szCs w:val="22"/>
          <w:lang w:val="sk-SK" w:eastAsia="en-GB"/>
        </w:rPr>
        <w:t xml:space="preserve"> </w:t>
      </w:r>
      <w:r w:rsidRPr="003D4D81">
        <w:rPr>
          <w:sz w:val="22"/>
          <w:szCs w:val="22"/>
          <w:lang w:val="sk-SK" w:eastAsia="en-GB"/>
        </w:rPr>
        <w:t>strednú plazmatickú expozíciu ivabradínom 7- až 8-násobne</w:t>
      </w:r>
      <w:r w:rsidR="00B16304" w:rsidRPr="003D4D81">
        <w:rPr>
          <w:sz w:val="22"/>
          <w:szCs w:val="22"/>
          <w:lang w:val="sk-SK"/>
        </w:rPr>
        <w:t>.</w:t>
      </w:r>
    </w:p>
    <w:p w:rsidR="00B16304" w:rsidRPr="003D4D81" w:rsidRDefault="00B16304" w:rsidP="00572196">
      <w:pPr>
        <w:spacing w:after="0"/>
        <w:jc w:val="left"/>
        <w:rPr>
          <w:sz w:val="22"/>
          <w:szCs w:val="22"/>
          <w:lang w:val="sk-SK"/>
        </w:rPr>
      </w:pPr>
    </w:p>
    <w:p w:rsidR="00B16304" w:rsidRPr="003D4D81" w:rsidRDefault="006C41C3" w:rsidP="001A7523">
      <w:pPr>
        <w:autoSpaceDE w:val="0"/>
        <w:autoSpaceDN w:val="0"/>
        <w:adjustRightInd w:val="0"/>
        <w:spacing w:after="0"/>
        <w:jc w:val="left"/>
        <w:rPr>
          <w:sz w:val="22"/>
          <w:szCs w:val="22"/>
          <w:lang w:val="sk-SK"/>
        </w:rPr>
      </w:pPr>
      <w:r w:rsidRPr="003D4D81">
        <w:rPr>
          <w:sz w:val="22"/>
          <w:szCs w:val="22"/>
          <w:lang w:val="sk-SK" w:eastAsia="en-GB"/>
        </w:rPr>
        <w:t>Stredne silné inhibítory CYP3A4: špecifické štúdie zamerané na interakcie u zdravých dobrovoľníkov</w:t>
      </w:r>
      <w:r w:rsidR="001A7523" w:rsidRPr="003D4D81">
        <w:rPr>
          <w:sz w:val="22"/>
          <w:szCs w:val="22"/>
          <w:lang w:val="sk-SK" w:eastAsia="en-GB"/>
        </w:rPr>
        <w:t xml:space="preserve"> </w:t>
      </w:r>
      <w:r w:rsidRPr="003D4D81">
        <w:rPr>
          <w:sz w:val="22"/>
          <w:szCs w:val="22"/>
          <w:lang w:val="sk-SK" w:eastAsia="en-GB"/>
        </w:rPr>
        <w:t>a pacientov ukázali, že kombinácia ivabradínu s látkami znižujúcimi srdcovú frekvenciu diltiazem</w:t>
      </w:r>
      <w:r w:rsidR="005B6EE7" w:rsidRPr="003D4D81">
        <w:rPr>
          <w:sz w:val="22"/>
          <w:szCs w:val="22"/>
          <w:lang w:val="sk-SK" w:eastAsia="en-GB"/>
        </w:rPr>
        <w:t>om</w:t>
      </w:r>
      <w:r w:rsidR="001A7523" w:rsidRPr="003D4D81">
        <w:rPr>
          <w:sz w:val="22"/>
          <w:szCs w:val="22"/>
          <w:lang w:val="sk-SK" w:eastAsia="en-GB"/>
        </w:rPr>
        <w:t xml:space="preserve"> </w:t>
      </w:r>
      <w:r w:rsidRPr="003D4D81">
        <w:rPr>
          <w:sz w:val="22"/>
          <w:szCs w:val="22"/>
          <w:lang w:val="sk-SK" w:eastAsia="en-GB"/>
        </w:rPr>
        <w:t>alebo verapamil</w:t>
      </w:r>
      <w:r w:rsidR="005B6EE7" w:rsidRPr="003D4D81">
        <w:rPr>
          <w:sz w:val="22"/>
          <w:szCs w:val="22"/>
          <w:lang w:val="sk-SK" w:eastAsia="en-GB"/>
        </w:rPr>
        <w:t>om</w:t>
      </w:r>
      <w:r w:rsidRPr="003D4D81">
        <w:rPr>
          <w:sz w:val="22"/>
          <w:szCs w:val="22"/>
          <w:lang w:val="sk-SK" w:eastAsia="en-GB"/>
        </w:rPr>
        <w:t xml:space="preserve"> viedla k zvýšeniu expozície ivabradínom (2- až 3-násobné zvýšenie v AUC)</w:t>
      </w:r>
      <w:r w:rsidR="001A7523" w:rsidRPr="003D4D81">
        <w:rPr>
          <w:sz w:val="22"/>
          <w:szCs w:val="22"/>
          <w:lang w:val="sk-SK" w:eastAsia="en-GB"/>
        </w:rPr>
        <w:t xml:space="preserve"> </w:t>
      </w:r>
      <w:r w:rsidRPr="003D4D81">
        <w:rPr>
          <w:sz w:val="22"/>
          <w:szCs w:val="22"/>
          <w:lang w:val="sk-SK" w:eastAsia="en-GB"/>
        </w:rPr>
        <w:t>a k ďalšiemu zníženiu srdcovej frekvencie o 5</w:t>
      </w:r>
      <w:r w:rsidR="00C230A9" w:rsidRPr="003D4D81">
        <w:rPr>
          <w:sz w:val="22"/>
          <w:szCs w:val="22"/>
          <w:lang w:val="sk-SK" w:eastAsia="en-GB"/>
        </w:rPr>
        <w:t> úderov</w:t>
      </w:r>
      <w:r w:rsidRPr="003D4D81">
        <w:rPr>
          <w:sz w:val="22"/>
          <w:szCs w:val="22"/>
          <w:lang w:val="sk-SK" w:eastAsia="en-GB"/>
        </w:rPr>
        <w:t>/min. Súbežné použitie ivabradínu s</w:t>
      </w:r>
      <w:r w:rsidR="001A7523" w:rsidRPr="003D4D81">
        <w:rPr>
          <w:sz w:val="22"/>
          <w:szCs w:val="22"/>
          <w:lang w:val="sk-SK" w:eastAsia="en-GB"/>
        </w:rPr>
        <w:t> </w:t>
      </w:r>
      <w:r w:rsidRPr="003D4D81">
        <w:rPr>
          <w:sz w:val="22"/>
          <w:szCs w:val="22"/>
          <w:lang w:val="sk-SK" w:eastAsia="en-GB"/>
        </w:rPr>
        <w:t>týmito</w:t>
      </w:r>
      <w:r w:rsidR="001A7523" w:rsidRPr="003D4D81">
        <w:rPr>
          <w:sz w:val="22"/>
          <w:szCs w:val="22"/>
          <w:lang w:val="sk-SK" w:eastAsia="en-GB"/>
        </w:rPr>
        <w:t xml:space="preserve"> </w:t>
      </w:r>
      <w:r w:rsidRPr="003D4D81">
        <w:rPr>
          <w:sz w:val="22"/>
          <w:szCs w:val="22"/>
          <w:lang w:val="sk-SK" w:eastAsia="en-GB"/>
        </w:rPr>
        <w:t>liekmi je kontraindikované (pozri časť 4.3).</w:t>
      </w:r>
    </w:p>
    <w:p w:rsidR="00B16304" w:rsidRPr="003D4D81" w:rsidRDefault="00B16304" w:rsidP="00572196">
      <w:pPr>
        <w:spacing w:after="0"/>
        <w:jc w:val="left"/>
        <w:rPr>
          <w:sz w:val="22"/>
          <w:szCs w:val="22"/>
          <w:lang w:val="sk-SK"/>
        </w:rPr>
      </w:pPr>
    </w:p>
    <w:p w:rsidR="006C41C3" w:rsidRPr="003D4D81" w:rsidRDefault="006C41C3" w:rsidP="00572196">
      <w:pPr>
        <w:widowControl w:val="0"/>
        <w:overflowPunct w:val="0"/>
        <w:autoSpaceDE w:val="0"/>
        <w:autoSpaceDN w:val="0"/>
        <w:adjustRightInd w:val="0"/>
        <w:spacing w:after="0"/>
        <w:ind w:left="2"/>
        <w:jc w:val="left"/>
        <w:rPr>
          <w:sz w:val="22"/>
          <w:szCs w:val="22"/>
          <w:lang w:val="sk-SK"/>
        </w:rPr>
      </w:pPr>
      <w:r w:rsidRPr="003D4D81">
        <w:rPr>
          <w:i/>
          <w:iCs/>
          <w:sz w:val="22"/>
          <w:szCs w:val="22"/>
          <w:lang w:val="sk-SK" w:eastAsia="en-GB"/>
        </w:rPr>
        <w:t>Súbežné použitie sa neodporúča</w:t>
      </w:r>
      <w:r w:rsidRPr="003D4D81">
        <w:rPr>
          <w:sz w:val="22"/>
          <w:szCs w:val="22"/>
          <w:lang w:val="sk-SK"/>
        </w:rPr>
        <w:t xml:space="preserve"> </w:t>
      </w:r>
    </w:p>
    <w:p w:rsidR="002D0840" w:rsidRPr="003D4D81" w:rsidRDefault="006C41C3" w:rsidP="001A7523">
      <w:pPr>
        <w:autoSpaceDE w:val="0"/>
        <w:autoSpaceDN w:val="0"/>
        <w:adjustRightInd w:val="0"/>
        <w:spacing w:after="0"/>
        <w:jc w:val="left"/>
        <w:rPr>
          <w:sz w:val="22"/>
          <w:szCs w:val="22"/>
          <w:lang w:val="sk-SK"/>
        </w:rPr>
      </w:pPr>
      <w:r w:rsidRPr="003D4D81">
        <w:rPr>
          <w:sz w:val="22"/>
          <w:szCs w:val="22"/>
          <w:lang w:val="sk-SK" w:eastAsia="en-GB"/>
        </w:rPr>
        <w:t xml:space="preserve">Grapefruitový džús: expozícia </w:t>
      </w:r>
      <w:r w:rsidR="00FF0116" w:rsidRPr="003D4D81">
        <w:rPr>
          <w:sz w:val="22"/>
          <w:szCs w:val="22"/>
          <w:lang w:val="sk-SK" w:eastAsia="en-GB"/>
        </w:rPr>
        <w:t xml:space="preserve">ivabradínu </w:t>
      </w:r>
      <w:r w:rsidRPr="003D4D81">
        <w:rPr>
          <w:sz w:val="22"/>
          <w:szCs w:val="22"/>
          <w:lang w:val="sk-SK" w:eastAsia="en-GB"/>
        </w:rPr>
        <w:t>sa dvojnásobne zvýšila po súčasnom podaní</w:t>
      </w:r>
      <w:r w:rsidR="001A7523" w:rsidRPr="003D4D81">
        <w:rPr>
          <w:sz w:val="22"/>
          <w:szCs w:val="22"/>
          <w:lang w:val="sk-SK" w:eastAsia="en-GB"/>
        </w:rPr>
        <w:t xml:space="preserve"> </w:t>
      </w:r>
      <w:r w:rsidRPr="003D4D81">
        <w:rPr>
          <w:sz w:val="22"/>
          <w:szCs w:val="22"/>
          <w:lang w:val="sk-SK" w:eastAsia="en-GB"/>
        </w:rPr>
        <w:t>grapefruitového džúsu. Preto</w:t>
      </w:r>
      <w:r w:rsidR="00FF0116" w:rsidRPr="003D4D81">
        <w:rPr>
          <w:sz w:val="22"/>
          <w:szCs w:val="22"/>
          <w:lang w:val="sk-SK" w:eastAsia="en-GB"/>
        </w:rPr>
        <w:t xml:space="preserve"> je potrebné vyhnúť sa</w:t>
      </w:r>
      <w:r w:rsidRPr="003D4D81">
        <w:rPr>
          <w:sz w:val="22"/>
          <w:szCs w:val="22"/>
          <w:lang w:val="sk-SK" w:eastAsia="en-GB"/>
        </w:rPr>
        <w:t xml:space="preserve"> </w:t>
      </w:r>
      <w:r w:rsidR="00FF0116" w:rsidRPr="003D4D81">
        <w:rPr>
          <w:sz w:val="22"/>
          <w:szCs w:val="22"/>
          <w:lang w:val="sk-SK" w:eastAsia="en-GB"/>
        </w:rPr>
        <w:t>konzumácii</w:t>
      </w:r>
      <w:r w:rsidRPr="003D4D81">
        <w:rPr>
          <w:sz w:val="22"/>
          <w:szCs w:val="22"/>
          <w:lang w:val="sk-SK" w:eastAsia="en-GB"/>
        </w:rPr>
        <w:t xml:space="preserve"> grapefruitového džúsu</w:t>
      </w:r>
      <w:r w:rsidR="002D0840" w:rsidRPr="003D4D81">
        <w:rPr>
          <w:sz w:val="22"/>
          <w:szCs w:val="22"/>
          <w:lang w:val="sk-SK"/>
        </w:rPr>
        <w:t>.</w:t>
      </w:r>
    </w:p>
    <w:p w:rsidR="002D0840" w:rsidRPr="003D4D81" w:rsidRDefault="002D0840" w:rsidP="00572196">
      <w:pPr>
        <w:spacing w:after="0"/>
        <w:jc w:val="left"/>
        <w:rPr>
          <w:sz w:val="22"/>
          <w:szCs w:val="22"/>
          <w:lang w:val="sk-SK"/>
        </w:rPr>
      </w:pPr>
    </w:p>
    <w:p w:rsidR="00B16304" w:rsidRPr="003D4D81" w:rsidRDefault="006C41C3" w:rsidP="00572196">
      <w:pPr>
        <w:spacing w:after="0"/>
        <w:jc w:val="left"/>
        <w:rPr>
          <w:i/>
          <w:sz w:val="22"/>
          <w:szCs w:val="22"/>
          <w:lang w:val="sk-SK"/>
        </w:rPr>
      </w:pPr>
      <w:r w:rsidRPr="003D4D81">
        <w:rPr>
          <w:i/>
          <w:iCs/>
          <w:sz w:val="22"/>
          <w:szCs w:val="22"/>
          <w:lang w:val="sk-SK" w:eastAsia="en-GB"/>
        </w:rPr>
        <w:t>Súbežné použitie so zvýšenou opatrnosťou</w:t>
      </w:r>
    </w:p>
    <w:p w:rsidR="00B16304" w:rsidRPr="003D4D81" w:rsidRDefault="006C41C3" w:rsidP="002426FB">
      <w:pPr>
        <w:pStyle w:val="Odsekzoznamu"/>
        <w:numPr>
          <w:ilvl w:val="0"/>
          <w:numId w:val="5"/>
        </w:numPr>
        <w:spacing w:after="0"/>
        <w:ind w:left="426" w:hanging="284"/>
        <w:contextualSpacing w:val="0"/>
        <w:jc w:val="left"/>
        <w:rPr>
          <w:sz w:val="22"/>
          <w:szCs w:val="22"/>
          <w:lang w:val="sk-SK"/>
        </w:rPr>
      </w:pPr>
      <w:r w:rsidRPr="003D4D81">
        <w:rPr>
          <w:sz w:val="22"/>
          <w:szCs w:val="22"/>
          <w:lang w:val="sk-SK" w:eastAsia="en-GB"/>
        </w:rPr>
        <w:t>Stredne silné inhibítory CYP3A4: súbežné použitie ivabradínu s inými stredne silnými inhibítormi</w:t>
      </w:r>
      <w:r w:rsidRPr="003D4D81">
        <w:rPr>
          <w:sz w:val="22"/>
          <w:szCs w:val="22"/>
          <w:lang w:val="sk-SK"/>
        </w:rPr>
        <w:t xml:space="preserve"> </w:t>
      </w:r>
      <w:r w:rsidRPr="003D4D81">
        <w:rPr>
          <w:sz w:val="22"/>
          <w:szCs w:val="22"/>
          <w:lang w:val="sk-SK" w:eastAsia="en-GB"/>
        </w:rPr>
        <w:t>CYP3A4 (napr. flukonazol) možno zvážiť pri začiatočnej dávke 2,5</w:t>
      </w:r>
      <w:r w:rsidR="00C230A9" w:rsidRPr="003D4D81">
        <w:rPr>
          <w:sz w:val="22"/>
          <w:szCs w:val="22"/>
          <w:lang w:val="sk-SK" w:eastAsia="en-GB"/>
        </w:rPr>
        <w:t> mg</w:t>
      </w:r>
      <w:r w:rsidRPr="003D4D81">
        <w:rPr>
          <w:sz w:val="22"/>
          <w:szCs w:val="22"/>
          <w:lang w:val="sk-SK" w:eastAsia="en-GB"/>
        </w:rPr>
        <w:t xml:space="preserve"> dvakrát denne, a ak je</w:t>
      </w:r>
      <w:r w:rsidRPr="003D4D81">
        <w:rPr>
          <w:sz w:val="22"/>
          <w:szCs w:val="22"/>
          <w:lang w:val="sk-SK"/>
        </w:rPr>
        <w:t xml:space="preserve"> </w:t>
      </w:r>
      <w:r w:rsidRPr="003D4D81">
        <w:rPr>
          <w:sz w:val="22"/>
          <w:szCs w:val="22"/>
          <w:lang w:val="sk-SK" w:eastAsia="en-GB"/>
        </w:rPr>
        <w:t>pokojová srdcová frekvencia nad 70</w:t>
      </w:r>
      <w:r w:rsidR="00C230A9" w:rsidRPr="003D4D81">
        <w:rPr>
          <w:sz w:val="22"/>
          <w:szCs w:val="22"/>
          <w:lang w:val="sk-SK" w:eastAsia="en-GB"/>
        </w:rPr>
        <w:t> úderov</w:t>
      </w:r>
      <w:r w:rsidRPr="003D4D81">
        <w:rPr>
          <w:sz w:val="22"/>
          <w:szCs w:val="22"/>
          <w:lang w:val="sk-SK" w:eastAsia="en-GB"/>
        </w:rPr>
        <w:t>/min, s monitorovaním srdcovej frekvencie</w:t>
      </w:r>
      <w:r w:rsidR="00B16304" w:rsidRPr="003D4D81">
        <w:rPr>
          <w:sz w:val="22"/>
          <w:szCs w:val="22"/>
          <w:lang w:val="sk-SK"/>
        </w:rPr>
        <w:t>.</w:t>
      </w:r>
    </w:p>
    <w:p w:rsidR="00B16304" w:rsidRPr="003D4D81" w:rsidRDefault="006C41C3" w:rsidP="002426FB">
      <w:pPr>
        <w:pStyle w:val="Odsekzoznamu"/>
        <w:numPr>
          <w:ilvl w:val="0"/>
          <w:numId w:val="5"/>
        </w:numPr>
        <w:spacing w:after="0"/>
        <w:ind w:left="426" w:hanging="284"/>
        <w:contextualSpacing w:val="0"/>
        <w:jc w:val="left"/>
        <w:rPr>
          <w:sz w:val="22"/>
          <w:szCs w:val="22"/>
          <w:lang w:val="sk-SK"/>
        </w:rPr>
      </w:pPr>
      <w:r w:rsidRPr="003D4D81">
        <w:rPr>
          <w:sz w:val="22"/>
          <w:szCs w:val="22"/>
          <w:lang w:val="sk-SK" w:eastAsia="en-GB"/>
        </w:rPr>
        <w:t xml:space="preserve">Induktory CYP3A4: induktory CYP3A4 (napr. rifampicín, barbituráty, fenytoín, </w:t>
      </w:r>
      <w:r w:rsidRPr="003D4D81">
        <w:rPr>
          <w:i/>
          <w:iCs/>
          <w:sz w:val="22"/>
          <w:szCs w:val="22"/>
          <w:lang w:val="sk-SK" w:eastAsia="en-GB"/>
        </w:rPr>
        <w:t>Hypericum</w:t>
      </w:r>
      <w:r w:rsidRPr="003D4D81">
        <w:rPr>
          <w:i/>
          <w:sz w:val="22"/>
          <w:szCs w:val="22"/>
          <w:lang w:val="sk-SK"/>
        </w:rPr>
        <w:t xml:space="preserve"> </w:t>
      </w:r>
      <w:r w:rsidRPr="003D4D81">
        <w:rPr>
          <w:i/>
          <w:iCs/>
          <w:sz w:val="22"/>
          <w:szCs w:val="22"/>
          <w:lang w:val="sk-SK" w:eastAsia="en-GB"/>
        </w:rPr>
        <w:t xml:space="preserve">perforatum </w:t>
      </w:r>
      <w:r w:rsidRPr="003D4D81">
        <w:rPr>
          <w:sz w:val="22"/>
          <w:szCs w:val="22"/>
          <w:lang w:val="sk-SK" w:eastAsia="en-GB"/>
        </w:rPr>
        <w:t>[ľubovník bodkovaný]) môžu znížiť expozíciu a aktivitu ivabradínu. Súbežné použitie</w:t>
      </w:r>
      <w:r w:rsidRPr="003D4D81">
        <w:rPr>
          <w:sz w:val="22"/>
          <w:szCs w:val="22"/>
          <w:lang w:val="sk-SK"/>
        </w:rPr>
        <w:t xml:space="preserve"> </w:t>
      </w:r>
      <w:r w:rsidRPr="003D4D81">
        <w:rPr>
          <w:sz w:val="22"/>
          <w:szCs w:val="22"/>
          <w:lang w:val="sk-SK" w:eastAsia="en-GB"/>
        </w:rPr>
        <w:lastRenderedPageBreak/>
        <w:t>liekov indukujúcich CYP3A4 si môže vyžiadať úpravu dávky ivabradínu. Ukázalo sa, že</w:t>
      </w:r>
      <w:r w:rsidRPr="003D4D81">
        <w:rPr>
          <w:sz w:val="22"/>
          <w:szCs w:val="22"/>
          <w:lang w:val="sk-SK"/>
        </w:rPr>
        <w:t xml:space="preserve"> </w:t>
      </w:r>
      <w:r w:rsidRPr="003D4D81">
        <w:rPr>
          <w:sz w:val="22"/>
          <w:szCs w:val="22"/>
          <w:lang w:val="sk-SK" w:eastAsia="en-GB"/>
        </w:rPr>
        <w:t>kombinácia ivabradínu 10</w:t>
      </w:r>
      <w:r w:rsidR="00C230A9" w:rsidRPr="003D4D81">
        <w:rPr>
          <w:sz w:val="22"/>
          <w:szCs w:val="22"/>
          <w:lang w:val="sk-SK" w:eastAsia="en-GB"/>
        </w:rPr>
        <w:t> mg</w:t>
      </w:r>
      <w:r w:rsidRPr="003D4D81">
        <w:rPr>
          <w:sz w:val="22"/>
          <w:szCs w:val="22"/>
          <w:lang w:val="sk-SK" w:eastAsia="en-GB"/>
        </w:rPr>
        <w:t xml:space="preserve"> dvakrát denne s ľubovníkom bodkovaným znižuje AUC ivabradínu</w:t>
      </w:r>
      <w:r w:rsidRPr="003D4D81">
        <w:rPr>
          <w:sz w:val="22"/>
          <w:szCs w:val="22"/>
          <w:lang w:val="sk-SK"/>
        </w:rPr>
        <w:t xml:space="preserve"> o</w:t>
      </w:r>
      <w:r w:rsidR="00B16304" w:rsidRPr="003D4D81">
        <w:rPr>
          <w:sz w:val="22"/>
          <w:szCs w:val="22"/>
          <w:lang w:val="sk-SK"/>
        </w:rPr>
        <w:t xml:space="preserve"> </w:t>
      </w:r>
      <w:r w:rsidRPr="003D4D81">
        <w:rPr>
          <w:sz w:val="22"/>
          <w:szCs w:val="22"/>
          <w:lang w:val="sk-SK" w:eastAsia="en-GB"/>
        </w:rPr>
        <w:t>polovicu. Príjem ľubovníka bodkovaného sa má počas liečby ivabradínom obmedziť</w:t>
      </w:r>
      <w:r w:rsidR="00B16304" w:rsidRPr="003D4D81">
        <w:rPr>
          <w:sz w:val="22"/>
          <w:szCs w:val="22"/>
          <w:lang w:val="sk-SK"/>
        </w:rPr>
        <w:t>.</w:t>
      </w:r>
    </w:p>
    <w:p w:rsidR="003830E5" w:rsidRPr="003D4D81" w:rsidRDefault="003830E5" w:rsidP="00572196">
      <w:pPr>
        <w:spacing w:after="0"/>
        <w:jc w:val="left"/>
        <w:rPr>
          <w:sz w:val="22"/>
          <w:szCs w:val="22"/>
          <w:lang w:val="sk-SK"/>
        </w:rPr>
      </w:pPr>
    </w:p>
    <w:p w:rsidR="00B16304" w:rsidRPr="003D4D81" w:rsidRDefault="006C41C3" w:rsidP="00572196">
      <w:pPr>
        <w:spacing w:after="0"/>
        <w:jc w:val="left"/>
        <w:rPr>
          <w:i/>
          <w:sz w:val="22"/>
          <w:szCs w:val="22"/>
          <w:lang w:val="sk-SK"/>
        </w:rPr>
      </w:pPr>
      <w:r w:rsidRPr="003D4D81">
        <w:rPr>
          <w:i/>
          <w:sz w:val="22"/>
          <w:szCs w:val="22"/>
          <w:lang w:val="sk-SK"/>
        </w:rPr>
        <w:t>Iné súbežné použitie</w:t>
      </w:r>
    </w:p>
    <w:p w:rsidR="009E6932" w:rsidRPr="003D4D81" w:rsidRDefault="009E6932" w:rsidP="009E6932">
      <w:pPr>
        <w:autoSpaceDE w:val="0"/>
        <w:autoSpaceDN w:val="0"/>
        <w:adjustRightInd w:val="0"/>
        <w:spacing w:after="0"/>
        <w:jc w:val="left"/>
        <w:rPr>
          <w:sz w:val="22"/>
          <w:szCs w:val="22"/>
          <w:lang w:val="sk-SK" w:eastAsia="en-GB"/>
        </w:rPr>
      </w:pPr>
      <w:r w:rsidRPr="003D4D81">
        <w:rPr>
          <w:sz w:val="22"/>
          <w:szCs w:val="22"/>
          <w:lang w:val="sk-SK" w:eastAsia="en-GB"/>
        </w:rPr>
        <w:t>Špecifické štúdie liekových interakcií nepreukázali klinicky významný účinok nasledujúcich liekov na farmakokinetiku a farmakodynamiku ivabradínu: inhibítory protónovej pumpy (omeprazol, lanzoprazol), sildenafil, inhibítory HMG CoA reduktázy (simvastatín), dihydropyridínové blokátory kalciových kanálov (amlodipín, lacidipín), digoxín a warfarín. Okrem toho sa nezistil žiadny klinicky významný účinok ivabradínu na farmakokinetiku simvastatínu, amlodipínu, lacidipínu, na farmakokinetiku a farmakodynamiku digoxínu, warfarínu a na farmakodynamiku acylpyrínu.</w:t>
      </w:r>
    </w:p>
    <w:p w:rsidR="00B16304" w:rsidRPr="003D4D81" w:rsidRDefault="009E6932" w:rsidP="009E6932">
      <w:pPr>
        <w:autoSpaceDE w:val="0"/>
        <w:autoSpaceDN w:val="0"/>
        <w:adjustRightInd w:val="0"/>
        <w:spacing w:after="0"/>
        <w:jc w:val="left"/>
        <w:rPr>
          <w:sz w:val="22"/>
          <w:szCs w:val="22"/>
          <w:lang w:val="sk-SK"/>
        </w:rPr>
      </w:pPr>
      <w:r w:rsidRPr="003D4D81">
        <w:rPr>
          <w:sz w:val="22"/>
          <w:szCs w:val="22"/>
          <w:lang w:val="sk-SK" w:eastAsia="en-GB"/>
        </w:rPr>
        <w:t>V pi</w:t>
      </w:r>
      <w:r w:rsidR="005B6EE7" w:rsidRPr="003D4D81">
        <w:rPr>
          <w:sz w:val="22"/>
          <w:szCs w:val="22"/>
          <w:lang w:val="sk-SK" w:eastAsia="en-GB"/>
        </w:rPr>
        <w:t>v</w:t>
      </w:r>
      <w:r w:rsidRPr="003D4D81">
        <w:rPr>
          <w:sz w:val="22"/>
          <w:szCs w:val="22"/>
          <w:lang w:val="sk-SK" w:eastAsia="en-GB"/>
        </w:rPr>
        <w:t>otných klinických štúdiách III. fázy boli nasledujúce lieky bežne kombinované s ivabradínom bez dôkazov týkajúcich sa bezpečnost</w:t>
      </w:r>
      <w:r w:rsidR="005B6EE7" w:rsidRPr="003D4D81">
        <w:rPr>
          <w:sz w:val="22"/>
          <w:szCs w:val="22"/>
          <w:lang w:val="sk-SK" w:eastAsia="en-GB"/>
        </w:rPr>
        <w:t>ného rizika</w:t>
      </w:r>
      <w:r w:rsidRPr="003D4D81">
        <w:rPr>
          <w:sz w:val="22"/>
          <w:szCs w:val="22"/>
          <w:lang w:val="sk-SK" w:eastAsia="en-GB"/>
        </w:rPr>
        <w:t xml:space="preserve">: inhibítory angiotenzín- konvertujúceho enzýmu, antagonisty angiotenzínu II, betablokátory, diuretiká, antagonisty aldosterónu, krátkodobo a dlhodobo pôsobiace nitráty, inhibítory HMG CoA reduktázy, fibráty, inhibítory protónovej pumpy, perorálne antidiabetiká, </w:t>
      </w:r>
      <w:r w:rsidR="003D4D81" w:rsidRPr="003D4D81">
        <w:rPr>
          <w:sz w:val="22"/>
          <w:szCs w:val="22"/>
          <w:lang w:val="sk-SK" w:eastAsia="en-GB"/>
        </w:rPr>
        <w:t>kyselina acetylsalicylová</w:t>
      </w:r>
      <w:r w:rsidRPr="003D4D81">
        <w:rPr>
          <w:sz w:val="22"/>
          <w:szCs w:val="22"/>
          <w:lang w:val="sk-SK" w:eastAsia="en-GB"/>
        </w:rPr>
        <w:t xml:space="preserve"> a ďalšie antiagregačné lieky</w:t>
      </w:r>
      <w:r w:rsidR="00B16304" w:rsidRPr="003D4D81">
        <w:rPr>
          <w:sz w:val="22"/>
          <w:szCs w:val="22"/>
          <w:lang w:val="sk-SK"/>
        </w:rPr>
        <w:t>.</w:t>
      </w:r>
    </w:p>
    <w:p w:rsidR="00B16304" w:rsidRPr="003D4D81" w:rsidRDefault="00B16304" w:rsidP="00572196">
      <w:pPr>
        <w:spacing w:after="0"/>
        <w:jc w:val="left"/>
        <w:rPr>
          <w:sz w:val="22"/>
          <w:szCs w:val="22"/>
          <w:lang w:val="sk-SK"/>
        </w:rPr>
      </w:pPr>
    </w:p>
    <w:p w:rsidR="00B16304" w:rsidRPr="003D4D81" w:rsidRDefault="009E6932" w:rsidP="00572196">
      <w:pPr>
        <w:spacing w:after="0"/>
        <w:jc w:val="left"/>
        <w:rPr>
          <w:sz w:val="22"/>
          <w:szCs w:val="22"/>
          <w:u w:val="single"/>
          <w:lang w:val="sk-SK"/>
        </w:rPr>
      </w:pPr>
      <w:r w:rsidRPr="003D4D81">
        <w:rPr>
          <w:sz w:val="22"/>
          <w:szCs w:val="22"/>
          <w:u w:val="single"/>
          <w:lang w:val="sk-SK"/>
        </w:rPr>
        <w:t>Pediatrická populácia</w:t>
      </w:r>
    </w:p>
    <w:p w:rsidR="00E87974" w:rsidRPr="003D4D81" w:rsidRDefault="009E6932" w:rsidP="00572196">
      <w:pPr>
        <w:spacing w:after="0"/>
        <w:jc w:val="left"/>
        <w:rPr>
          <w:sz w:val="22"/>
          <w:szCs w:val="22"/>
          <w:lang w:val="sk-SK"/>
        </w:rPr>
      </w:pPr>
      <w:r w:rsidRPr="003D4D81">
        <w:rPr>
          <w:sz w:val="22"/>
          <w:szCs w:val="22"/>
          <w:lang w:val="sk-SK" w:eastAsia="en-GB"/>
        </w:rPr>
        <w:t>Interakčné štúdie sa uskutočnili len u dospelých</w:t>
      </w:r>
      <w:r w:rsidR="00B16304" w:rsidRPr="003D4D81">
        <w:rPr>
          <w:sz w:val="22"/>
          <w:szCs w:val="22"/>
          <w:lang w:val="sk-SK"/>
        </w:rPr>
        <w:t>.</w:t>
      </w:r>
    </w:p>
    <w:p w:rsidR="00EC0F14" w:rsidRPr="003D4D81" w:rsidRDefault="00EC0F14" w:rsidP="00572196">
      <w:pPr>
        <w:spacing w:after="0"/>
        <w:jc w:val="left"/>
        <w:rPr>
          <w:sz w:val="22"/>
          <w:szCs w:val="22"/>
          <w:lang w:val="sk-SK"/>
        </w:rPr>
      </w:pPr>
    </w:p>
    <w:p w:rsidR="00F875A4" w:rsidRPr="003D4D81" w:rsidRDefault="00BE3580" w:rsidP="00BE3580">
      <w:pPr>
        <w:rPr>
          <w:b/>
          <w:bCs/>
          <w:sz w:val="22"/>
          <w:szCs w:val="22"/>
          <w:lang w:val="sk-SK"/>
        </w:rPr>
      </w:pPr>
      <w:r w:rsidRPr="003D4D81">
        <w:rPr>
          <w:b/>
          <w:bCs/>
          <w:sz w:val="22"/>
          <w:szCs w:val="22"/>
          <w:lang w:val="sk-SK"/>
        </w:rPr>
        <w:t>4.6</w:t>
      </w:r>
      <w:r w:rsidRPr="003D4D81">
        <w:rPr>
          <w:b/>
          <w:bCs/>
          <w:sz w:val="22"/>
          <w:szCs w:val="22"/>
          <w:lang w:val="sk-SK"/>
        </w:rPr>
        <w:tab/>
      </w:r>
      <w:r w:rsidR="00F875A4" w:rsidRPr="003D4D81">
        <w:rPr>
          <w:b/>
          <w:bCs/>
          <w:sz w:val="22"/>
          <w:szCs w:val="22"/>
          <w:lang w:val="sk-SK"/>
        </w:rPr>
        <w:t>Fertilita, gravidita a laktácia</w:t>
      </w:r>
    </w:p>
    <w:p w:rsidR="00262C35" w:rsidRPr="003D4D81" w:rsidRDefault="00262C35" w:rsidP="00572196">
      <w:pPr>
        <w:spacing w:after="0"/>
        <w:jc w:val="left"/>
        <w:rPr>
          <w:sz w:val="22"/>
          <w:szCs w:val="22"/>
          <w:lang w:val="sk-SK"/>
        </w:rPr>
      </w:pPr>
    </w:p>
    <w:p w:rsidR="003830E5" w:rsidRPr="003D4D81" w:rsidRDefault="0097372A" w:rsidP="00572196">
      <w:pPr>
        <w:spacing w:after="0"/>
        <w:jc w:val="left"/>
        <w:rPr>
          <w:sz w:val="22"/>
          <w:szCs w:val="22"/>
          <w:u w:val="single"/>
          <w:lang w:val="sk-SK"/>
        </w:rPr>
      </w:pPr>
      <w:r w:rsidRPr="003D4D81">
        <w:rPr>
          <w:sz w:val="22"/>
          <w:szCs w:val="22"/>
          <w:u w:val="single"/>
          <w:lang w:val="sk-SK"/>
        </w:rPr>
        <w:t>Ženy v reprodukčnom veku</w:t>
      </w:r>
    </w:p>
    <w:p w:rsidR="003830E5" w:rsidRPr="003D4D81" w:rsidRDefault="0097372A" w:rsidP="00572196">
      <w:pPr>
        <w:spacing w:after="0"/>
        <w:jc w:val="left"/>
        <w:rPr>
          <w:sz w:val="22"/>
          <w:szCs w:val="22"/>
          <w:lang w:val="sk-SK"/>
        </w:rPr>
      </w:pPr>
      <w:r w:rsidRPr="003D4D81">
        <w:rPr>
          <w:sz w:val="22"/>
          <w:szCs w:val="22"/>
          <w:lang w:val="sk-SK" w:eastAsia="en-GB"/>
        </w:rPr>
        <w:t>Ženy v reprodukčnom veku majú počas liečby používať účinnú antikoncepciu (pozri časť 4.3).</w:t>
      </w:r>
      <w:r w:rsidRPr="003D4D81">
        <w:rPr>
          <w:sz w:val="22"/>
          <w:szCs w:val="22"/>
          <w:lang w:val="sk-SK"/>
        </w:rPr>
        <w:t xml:space="preserve"> </w:t>
      </w:r>
    </w:p>
    <w:p w:rsidR="003830E5" w:rsidRPr="003D4D81" w:rsidRDefault="003830E5" w:rsidP="00572196">
      <w:pPr>
        <w:spacing w:after="0"/>
        <w:jc w:val="left"/>
        <w:rPr>
          <w:sz w:val="22"/>
          <w:szCs w:val="22"/>
          <w:lang w:val="sk-SK"/>
        </w:rPr>
      </w:pPr>
    </w:p>
    <w:p w:rsidR="003830E5" w:rsidRPr="003D4D81" w:rsidRDefault="0097372A" w:rsidP="00572196">
      <w:pPr>
        <w:spacing w:after="0"/>
        <w:jc w:val="left"/>
        <w:rPr>
          <w:sz w:val="22"/>
          <w:szCs w:val="22"/>
          <w:u w:val="single"/>
          <w:lang w:val="sk-SK"/>
        </w:rPr>
      </w:pPr>
      <w:r w:rsidRPr="003D4D81">
        <w:rPr>
          <w:sz w:val="22"/>
          <w:szCs w:val="22"/>
          <w:u w:val="single"/>
          <w:lang w:val="sk-SK"/>
        </w:rPr>
        <w:t>Gravidita</w:t>
      </w:r>
    </w:p>
    <w:p w:rsidR="0097372A" w:rsidRPr="003D4D81" w:rsidRDefault="0097372A" w:rsidP="0097372A">
      <w:pPr>
        <w:autoSpaceDE w:val="0"/>
        <w:autoSpaceDN w:val="0"/>
        <w:adjustRightInd w:val="0"/>
        <w:spacing w:after="0"/>
        <w:jc w:val="left"/>
        <w:rPr>
          <w:sz w:val="22"/>
          <w:szCs w:val="22"/>
          <w:lang w:val="sk-SK" w:eastAsia="en-GB"/>
        </w:rPr>
      </w:pPr>
      <w:r w:rsidRPr="003D4D81">
        <w:rPr>
          <w:sz w:val="22"/>
          <w:szCs w:val="22"/>
          <w:lang w:val="sk-SK" w:eastAsia="en-GB"/>
        </w:rPr>
        <w:t>Nie sú k dispozícii alebo je iba obmedzené množstvo údajov o použití ivabradínu u gravidných žien.</w:t>
      </w:r>
    </w:p>
    <w:p w:rsidR="003830E5" w:rsidRPr="003D4D81" w:rsidRDefault="0097372A" w:rsidP="0097372A">
      <w:pPr>
        <w:autoSpaceDE w:val="0"/>
        <w:autoSpaceDN w:val="0"/>
        <w:adjustRightInd w:val="0"/>
        <w:spacing w:after="0"/>
        <w:jc w:val="left"/>
        <w:rPr>
          <w:sz w:val="22"/>
          <w:szCs w:val="22"/>
          <w:lang w:val="sk-SK"/>
        </w:rPr>
      </w:pPr>
      <w:r w:rsidRPr="003D4D81">
        <w:rPr>
          <w:sz w:val="22"/>
          <w:szCs w:val="22"/>
          <w:lang w:val="sk-SK" w:eastAsia="en-GB"/>
        </w:rPr>
        <w:t>Štúdie na zvieratách preukázali reprodukčnú toxicitu. Tieto štúdie preukázali embryotoxické a teratogénne účinky (pozri časť 5.3). Potenciálne riziko pre ľudí nie je známe. Preto je ivabradín kontraindikovaný počas gravidity (pozri časť 4.3).</w:t>
      </w:r>
    </w:p>
    <w:p w:rsidR="003830E5" w:rsidRPr="003D4D81" w:rsidRDefault="003830E5" w:rsidP="00572196">
      <w:pPr>
        <w:spacing w:after="0"/>
        <w:jc w:val="left"/>
        <w:rPr>
          <w:sz w:val="22"/>
          <w:szCs w:val="22"/>
          <w:lang w:val="sk-SK"/>
        </w:rPr>
      </w:pPr>
    </w:p>
    <w:p w:rsidR="003830E5" w:rsidRPr="003D4D81" w:rsidRDefault="0097372A" w:rsidP="00572196">
      <w:pPr>
        <w:spacing w:after="0"/>
        <w:jc w:val="left"/>
        <w:rPr>
          <w:sz w:val="22"/>
          <w:szCs w:val="22"/>
          <w:u w:val="single"/>
          <w:lang w:val="sk-SK"/>
        </w:rPr>
      </w:pPr>
      <w:r w:rsidRPr="003D4D81">
        <w:rPr>
          <w:sz w:val="22"/>
          <w:szCs w:val="22"/>
          <w:u w:val="single"/>
          <w:lang w:val="sk-SK"/>
        </w:rPr>
        <w:t>Dojčenie</w:t>
      </w:r>
    </w:p>
    <w:p w:rsidR="003830E5" w:rsidRPr="003D4D81" w:rsidRDefault="0097372A" w:rsidP="0097372A">
      <w:pPr>
        <w:autoSpaceDE w:val="0"/>
        <w:autoSpaceDN w:val="0"/>
        <w:adjustRightInd w:val="0"/>
        <w:spacing w:after="0"/>
        <w:jc w:val="left"/>
        <w:rPr>
          <w:sz w:val="22"/>
          <w:szCs w:val="22"/>
          <w:lang w:val="sk-SK"/>
        </w:rPr>
      </w:pPr>
      <w:r w:rsidRPr="003D4D81">
        <w:rPr>
          <w:sz w:val="22"/>
          <w:szCs w:val="22"/>
          <w:lang w:val="sk-SK" w:eastAsia="en-GB"/>
        </w:rPr>
        <w:t>Sledovaním na zvieratách sa zistilo, že ivabradín sa vylučuje do</w:t>
      </w:r>
      <w:r w:rsidR="00C230A9" w:rsidRPr="003D4D81">
        <w:rPr>
          <w:sz w:val="22"/>
          <w:szCs w:val="22"/>
          <w:lang w:val="sk-SK" w:eastAsia="en-GB"/>
        </w:rPr>
        <w:t> ml</w:t>
      </w:r>
      <w:r w:rsidRPr="003D4D81">
        <w:rPr>
          <w:sz w:val="22"/>
          <w:szCs w:val="22"/>
          <w:lang w:val="sk-SK" w:eastAsia="en-GB"/>
        </w:rPr>
        <w:t>ieka. Preto je ivabradín kontraindikovaný počas dojčenia (pozri časť 4.3). Ženy, ktoré potrebujú liečbu ivabradínom</w:t>
      </w:r>
      <w:r w:rsidR="005B6EE7" w:rsidRPr="003D4D81">
        <w:rPr>
          <w:sz w:val="22"/>
          <w:szCs w:val="22"/>
          <w:lang w:val="sk-SK" w:eastAsia="en-GB"/>
        </w:rPr>
        <w:t>,</w:t>
      </w:r>
      <w:r w:rsidRPr="003D4D81">
        <w:rPr>
          <w:sz w:val="22"/>
          <w:szCs w:val="22"/>
          <w:lang w:val="sk-SK" w:eastAsia="en-GB"/>
        </w:rPr>
        <w:t xml:space="preserve"> musia ukončiť dojčenie a vybrať iný spôsob výživy dieťaťa</w:t>
      </w:r>
      <w:r w:rsidR="003830E5" w:rsidRPr="003D4D81">
        <w:rPr>
          <w:sz w:val="22"/>
          <w:szCs w:val="22"/>
          <w:lang w:val="sk-SK"/>
        </w:rPr>
        <w:t>.</w:t>
      </w:r>
    </w:p>
    <w:p w:rsidR="003830E5" w:rsidRPr="003D4D81" w:rsidRDefault="003830E5" w:rsidP="00572196">
      <w:pPr>
        <w:spacing w:after="0"/>
        <w:jc w:val="left"/>
        <w:rPr>
          <w:sz w:val="22"/>
          <w:szCs w:val="22"/>
          <w:lang w:val="sk-SK"/>
        </w:rPr>
      </w:pPr>
    </w:p>
    <w:p w:rsidR="003830E5" w:rsidRPr="003D4D81" w:rsidRDefault="0097372A" w:rsidP="00572196">
      <w:pPr>
        <w:spacing w:after="0"/>
        <w:jc w:val="left"/>
        <w:rPr>
          <w:sz w:val="22"/>
          <w:szCs w:val="22"/>
          <w:u w:val="single"/>
          <w:lang w:val="sk-SK"/>
        </w:rPr>
      </w:pPr>
      <w:r w:rsidRPr="003D4D81">
        <w:rPr>
          <w:sz w:val="22"/>
          <w:szCs w:val="22"/>
          <w:u w:val="single"/>
          <w:lang w:val="sk-SK"/>
        </w:rPr>
        <w:t>Fertilita</w:t>
      </w:r>
    </w:p>
    <w:p w:rsidR="00E87974" w:rsidRPr="003D4D81" w:rsidRDefault="0097372A" w:rsidP="00572196">
      <w:pPr>
        <w:spacing w:after="0"/>
        <w:jc w:val="left"/>
        <w:rPr>
          <w:sz w:val="22"/>
          <w:szCs w:val="22"/>
          <w:lang w:val="sk-SK"/>
        </w:rPr>
      </w:pPr>
      <w:r w:rsidRPr="003D4D81">
        <w:rPr>
          <w:sz w:val="22"/>
          <w:szCs w:val="22"/>
          <w:lang w:val="sk-SK" w:eastAsia="en-GB"/>
        </w:rPr>
        <w:t>Štúdie u potkanov nepreukázali žiadny vplyv na fertilitu samcov ani samíc (pozri časť 5.3).</w:t>
      </w:r>
    </w:p>
    <w:p w:rsidR="001F5DE2" w:rsidRPr="003D4D81" w:rsidRDefault="001F5DE2" w:rsidP="00572196">
      <w:pPr>
        <w:spacing w:after="0"/>
        <w:jc w:val="left"/>
        <w:rPr>
          <w:sz w:val="22"/>
          <w:szCs w:val="22"/>
          <w:lang w:val="sk-SK"/>
        </w:rPr>
      </w:pPr>
    </w:p>
    <w:p w:rsidR="00F875A4" w:rsidRPr="003D4D81" w:rsidRDefault="00BE3580" w:rsidP="00BE3580">
      <w:pPr>
        <w:rPr>
          <w:b/>
          <w:bCs/>
          <w:sz w:val="22"/>
          <w:szCs w:val="22"/>
          <w:lang w:val="sk-SK"/>
        </w:rPr>
      </w:pPr>
      <w:r w:rsidRPr="003D4D81">
        <w:rPr>
          <w:b/>
          <w:bCs/>
          <w:sz w:val="22"/>
          <w:szCs w:val="22"/>
          <w:lang w:val="sk-SK"/>
        </w:rPr>
        <w:t>4.7</w:t>
      </w:r>
      <w:r w:rsidRPr="003D4D81">
        <w:rPr>
          <w:b/>
          <w:bCs/>
          <w:sz w:val="22"/>
          <w:szCs w:val="22"/>
          <w:lang w:val="sk-SK"/>
        </w:rPr>
        <w:tab/>
      </w:r>
      <w:r w:rsidR="00F875A4" w:rsidRPr="003D4D81">
        <w:rPr>
          <w:b/>
          <w:bCs/>
          <w:sz w:val="22"/>
          <w:szCs w:val="22"/>
          <w:lang w:val="sk-SK"/>
        </w:rPr>
        <w:t>Ovplyvnenie schopnosti viesť vozidlá a obsluhovať stroje</w:t>
      </w:r>
    </w:p>
    <w:p w:rsidR="00262C35" w:rsidRPr="003D4D81" w:rsidRDefault="00262C35" w:rsidP="00572196">
      <w:pPr>
        <w:spacing w:after="0"/>
        <w:jc w:val="left"/>
        <w:rPr>
          <w:sz w:val="22"/>
          <w:szCs w:val="22"/>
          <w:lang w:val="sk-SK"/>
        </w:rPr>
      </w:pPr>
    </w:p>
    <w:p w:rsidR="0097372A" w:rsidRPr="003D4D81" w:rsidRDefault="0097372A" w:rsidP="0097372A">
      <w:pPr>
        <w:autoSpaceDE w:val="0"/>
        <w:autoSpaceDN w:val="0"/>
        <w:adjustRightInd w:val="0"/>
        <w:spacing w:after="0"/>
        <w:jc w:val="left"/>
        <w:rPr>
          <w:sz w:val="22"/>
          <w:szCs w:val="22"/>
          <w:lang w:val="sk-SK" w:eastAsia="en-GB"/>
        </w:rPr>
      </w:pPr>
      <w:r w:rsidRPr="003D4D81">
        <w:rPr>
          <w:sz w:val="22"/>
          <w:szCs w:val="22"/>
          <w:lang w:val="sk-SK" w:eastAsia="en-GB"/>
        </w:rPr>
        <w:t xml:space="preserve">Bola uskutočnená špecifická štúdia na posúdenie možného vplyvu ivabradínu na schopnosť viesť vozidlá u zdravých dobrovoľníkov, kde nebola preukázaná zmena v schopnosti viesť vozidlá. Avšak po uvedení lieku na trh boli hlásené prípady zníženej schopnosti viesť vozidlá kvôli </w:t>
      </w:r>
      <w:r w:rsidR="00601DBF" w:rsidRPr="003D4D81">
        <w:rPr>
          <w:sz w:val="22"/>
          <w:szCs w:val="22"/>
          <w:lang w:val="sk-SK" w:eastAsia="en-GB"/>
        </w:rPr>
        <w:t xml:space="preserve">zrakovým </w:t>
      </w:r>
      <w:r w:rsidRPr="003D4D81">
        <w:rPr>
          <w:sz w:val="22"/>
          <w:szCs w:val="22"/>
          <w:lang w:val="sk-SK" w:eastAsia="en-GB"/>
        </w:rPr>
        <w:t xml:space="preserve">príznakom. Ivabradín môže vyvolávať prechodné svetelné fenomény pozostávajúce hlavne z fosfénov (pozri časť 4.8). </w:t>
      </w:r>
    </w:p>
    <w:p w:rsidR="0097372A" w:rsidRPr="003D4D81" w:rsidRDefault="0097372A" w:rsidP="0097372A">
      <w:pPr>
        <w:autoSpaceDE w:val="0"/>
        <w:autoSpaceDN w:val="0"/>
        <w:adjustRightInd w:val="0"/>
        <w:spacing w:after="0"/>
        <w:jc w:val="left"/>
        <w:rPr>
          <w:sz w:val="22"/>
          <w:szCs w:val="22"/>
          <w:lang w:val="sk-SK" w:eastAsia="en-GB"/>
        </w:rPr>
      </w:pPr>
      <w:r w:rsidRPr="003D4D81">
        <w:rPr>
          <w:sz w:val="22"/>
          <w:szCs w:val="22"/>
          <w:lang w:val="sk-SK" w:eastAsia="en-GB"/>
        </w:rPr>
        <w:t>Možný výskyt takýchto svetelných fenoménov sa má brať do úvahy pri vedení vozidla alebo obsluhovaní strojov v situáciách, kde sa môžu vyskytnúť náhle zmeny v intenzite svetla, obzvlášť počas vedenia vozidla v noci.</w:t>
      </w:r>
    </w:p>
    <w:p w:rsidR="00D651BF" w:rsidRPr="003D4D81" w:rsidRDefault="0097372A" w:rsidP="0097372A">
      <w:pPr>
        <w:spacing w:after="0"/>
        <w:jc w:val="left"/>
        <w:rPr>
          <w:sz w:val="22"/>
          <w:szCs w:val="22"/>
          <w:lang w:val="sk-SK"/>
        </w:rPr>
      </w:pPr>
      <w:r w:rsidRPr="003D4D81">
        <w:rPr>
          <w:sz w:val="22"/>
          <w:szCs w:val="22"/>
          <w:lang w:val="sk-SK" w:eastAsia="en-GB"/>
        </w:rPr>
        <w:lastRenderedPageBreak/>
        <w:t>Ivabradín nemá žiadny vplyv na schopnosť obsluhovať stroje.</w:t>
      </w:r>
    </w:p>
    <w:p w:rsidR="002D0840" w:rsidRPr="003D4D81" w:rsidRDefault="002D0840" w:rsidP="00572196">
      <w:pPr>
        <w:spacing w:after="0"/>
        <w:jc w:val="left"/>
        <w:rPr>
          <w:sz w:val="22"/>
          <w:szCs w:val="22"/>
          <w:lang w:val="sk-SK"/>
        </w:rPr>
      </w:pPr>
    </w:p>
    <w:p w:rsidR="00F875A4" w:rsidRPr="003D4D81" w:rsidRDefault="00BE3580" w:rsidP="00BE3580">
      <w:pPr>
        <w:rPr>
          <w:b/>
          <w:bCs/>
          <w:lang w:val="sk-SK"/>
        </w:rPr>
      </w:pPr>
      <w:r w:rsidRPr="003D4D81">
        <w:rPr>
          <w:b/>
          <w:bCs/>
          <w:lang w:val="sk-SK"/>
        </w:rPr>
        <w:t>4.8</w:t>
      </w:r>
      <w:r w:rsidRPr="003D4D81">
        <w:rPr>
          <w:b/>
          <w:bCs/>
          <w:lang w:val="sk-SK"/>
        </w:rPr>
        <w:tab/>
      </w:r>
      <w:r w:rsidR="00F875A4" w:rsidRPr="003D4D81">
        <w:rPr>
          <w:b/>
          <w:bCs/>
          <w:lang w:val="sk-SK"/>
        </w:rPr>
        <w:t>Nežiaduce účinky</w:t>
      </w:r>
    </w:p>
    <w:p w:rsidR="00262C35" w:rsidRPr="003D4D81" w:rsidRDefault="00262C35" w:rsidP="004842C0">
      <w:pPr>
        <w:spacing w:after="0"/>
        <w:jc w:val="left"/>
        <w:rPr>
          <w:sz w:val="22"/>
          <w:szCs w:val="22"/>
          <w:lang w:val="sk-SK"/>
        </w:rPr>
      </w:pPr>
    </w:p>
    <w:p w:rsidR="003830E5" w:rsidRPr="003D4D81" w:rsidRDefault="0097372A" w:rsidP="004842C0">
      <w:pPr>
        <w:spacing w:after="0"/>
        <w:jc w:val="left"/>
        <w:rPr>
          <w:sz w:val="22"/>
          <w:szCs w:val="22"/>
          <w:u w:val="single"/>
          <w:lang w:val="sk-SK"/>
        </w:rPr>
      </w:pPr>
      <w:r w:rsidRPr="003D4D81">
        <w:rPr>
          <w:sz w:val="22"/>
          <w:szCs w:val="22"/>
          <w:u w:val="single"/>
          <w:lang w:val="sk-SK"/>
        </w:rPr>
        <w:t>Súhrn bezpečnostného profilu</w:t>
      </w:r>
    </w:p>
    <w:p w:rsidR="0097372A" w:rsidRPr="003D4D81" w:rsidRDefault="0097372A" w:rsidP="0097372A">
      <w:pPr>
        <w:autoSpaceDE w:val="0"/>
        <w:autoSpaceDN w:val="0"/>
        <w:adjustRightInd w:val="0"/>
        <w:spacing w:after="0"/>
        <w:jc w:val="left"/>
        <w:rPr>
          <w:sz w:val="22"/>
          <w:szCs w:val="22"/>
          <w:lang w:val="sk-SK" w:eastAsia="en-GB"/>
        </w:rPr>
      </w:pPr>
      <w:r w:rsidRPr="003D4D81">
        <w:rPr>
          <w:sz w:val="22"/>
          <w:szCs w:val="22"/>
          <w:lang w:val="sk-SK" w:eastAsia="en-GB"/>
        </w:rPr>
        <w:t>Ivabradín bol skúmaný v klinických štúdiách zahŕňajúcich takmer 45</w:t>
      </w:r>
      <w:r w:rsidR="00C230A9" w:rsidRPr="003D4D81">
        <w:rPr>
          <w:sz w:val="22"/>
          <w:szCs w:val="22"/>
          <w:lang w:val="sk-SK" w:eastAsia="en-GB"/>
        </w:rPr>
        <w:t> </w:t>
      </w:r>
      <w:r w:rsidRPr="003D4D81">
        <w:rPr>
          <w:sz w:val="22"/>
          <w:szCs w:val="22"/>
          <w:lang w:val="sk-SK" w:eastAsia="en-GB"/>
        </w:rPr>
        <w:t>000 účastníkov.</w:t>
      </w:r>
    </w:p>
    <w:p w:rsidR="003830E5" w:rsidRPr="003D4D81" w:rsidRDefault="0097372A" w:rsidP="0097372A">
      <w:pPr>
        <w:autoSpaceDE w:val="0"/>
        <w:autoSpaceDN w:val="0"/>
        <w:adjustRightInd w:val="0"/>
        <w:spacing w:after="0"/>
        <w:jc w:val="left"/>
        <w:rPr>
          <w:sz w:val="22"/>
          <w:szCs w:val="22"/>
          <w:lang w:val="sk-SK"/>
        </w:rPr>
      </w:pPr>
      <w:r w:rsidRPr="003D4D81">
        <w:rPr>
          <w:sz w:val="22"/>
          <w:szCs w:val="22"/>
          <w:lang w:val="sk-SK" w:eastAsia="en-GB"/>
        </w:rPr>
        <w:t>Najčastejšie nežiaduce reakcie ivabradínu, svetelné fenomény (fosfény) a bradykardia, sú závislé od dávky a súvisia s farmakologickým účinkom lieku</w:t>
      </w:r>
      <w:r w:rsidR="003830E5" w:rsidRPr="003D4D81">
        <w:rPr>
          <w:sz w:val="22"/>
          <w:szCs w:val="22"/>
          <w:lang w:val="sk-SK"/>
        </w:rPr>
        <w:t>.</w:t>
      </w:r>
    </w:p>
    <w:p w:rsidR="003830E5" w:rsidRPr="003D4D81" w:rsidRDefault="003830E5" w:rsidP="00572196">
      <w:pPr>
        <w:spacing w:after="0"/>
        <w:jc w:val="left"/>
        <w:rPr>
          <w:sz w:val="22"/>
          <w:szCs w:val="22"/>
          <w:lang w:val="sk-SK"/>
        </w:rPr>
      </w:pPr>
    </w:p>
    <w:p w:rsidR="003830E5" w:rsidRPr="003D4D81" w:rsidRDefault="0097372A" w:rsidP="00572196">
      <w:pPr>
        <w:spacing w:after="0"/>
        <w:jc w:val="left"/>
        <w:rPr>
          <w:sz w:val="22"/>
          <w:szCs w:val="22"/>
          <w:u w:val="single"/>
          <w:lang w:val="sk-SK"/>
        </w:rPr>
      </w:pPr>
      <w:r w:rsidRPr="003D4D81">
        <w:rPr>
          <w:sz w:val="22"/>
          <w:szCs w:val="22"/>
          <w:u w:val="single"/>
          <w:lang w:val="sk-SK"/>
        </w:rPr>
        <w:t>Tabuľkový zoznam nežiaducich reakcií</w:t>
      </w:r>
    </w:p>
    <w:p w:rsidR="00584231" w:rsidRPr="003D4D81" w:rsidRDefault="0097372A" w:rsidP="00C230A9">
      <w:pPr>
        <w:autoSpaceDE w:val="0"/>
        <w:autoSpaceDN w:val="0"/>
        <w:adjustRightInd w:val="0"/>
        <w:spacing w:after="0"/>
        <w:jc w:val="left"/>
        <w:rPr>
          <w:sz w:val="22"/>
          <w:szCs w:val="22"/>
          <w:lang w:val="sk-SK"/>
        </w:rPr>
      </w:pPr>
      <w:r w:rsidRPr="003D4D81">
        <w:rPr>
          <w:sz w:val="22"/>
          <w:szCs w:val="22"/>
          <w:lang w:val="sk-SK" w:eastAsia="en-GB"/>
        </w:rPr>
        <w:t>Počas klinických štúdií boli zaznamenané nasledujúce nežiaduce reakcie a sú usporiadané podľa</w:t>
      </w:r>
      <w:r w:rsidR="00C230A9" w:rsidRPr="003D4D81">
        <w:rPr>
          <w:sz w:val="22"/>
          <w:szCs w:val="22"/>
          <w:lang w:val="sk-SK" w:eastAsia="en-GB"/>
        </w:rPr>
        <w:t xml:space="preserve"> </w:t>
      </w:r>
      <w:r w:rsidRPr="003D4D81">
        <w:rPr>
          <w:sz w:val="22"/>
          <w:szCs w:val="22"/>
          <w:lang w:val="sk-SK" w:eastAsia="en-GB"/>
        </w:rPr>
        <w:t>nasledujúcej frekvencie: veľmi časté (≥1/10); časté (≥1/100 až &lt;1/10); menej časté (≥1/1</w:t>
      </w:r>
      <w:r w:rsidR="00C230A9" w:rsidRPr="003D4D81">
        <w:rPr>
          <w:sz w:val="22"/>
          <w:szCs w:val="22"/>
          <w:lang w:val="sk-SK" w:eastAsia="en-GB"/>
        </w:rPr>
        <w:t> </w:t>
      </w:r>
      <w:r w:rsidRPr="003D4D81">
        <w:rPr>
          <w:sz w:val="22"/>
          <w:szCs w:val="22"/>
          <w:lang w:val="sk-SK" w:eastAsia="en-GB"/>
        </w:rPr>
        <w:t>000 až</w:t>
      </w:r>
      <w:r w:rsidR="00C230A9" w:rsidRPr="003D4D81">
        <w:rPr>
          <w:sz w:val="22"/>
          <w:szCs w:val="22"/>
          <w:lang w:val="sk-SK" w:eastAsia="en-GB"/>
        </w:rPr>
        <w:t xml:space="preserve"> </w:t>
      </w:r>
      <w:r w:rsidRPr="003D4D81">
        <w:rPr>
          <w:sz w:val="22"/>
          <w:szCs w:val="22"/>
          <w:lang w:val="sk-SK" w:eastAsia="en-GB"/>
        </w:rPr>
        <w:t>&lt;1/100); zriedkavé (≥1/10</w:t>
      </w:r>
      <w:r w:rsidR="00C230A9" w:rsidRPr="003D4D81">
        <w:rPr>
          <w:sz w:val="22"/>
          <w:szCs w:val="22"/>
          <w:lang w:val="sk-SK" w:eastAsia="en-GB"/>
        </w:rPr>
        <w:t> </w:t>
      </w:r>
      <w:r w:rsidRPr="003D4D81">
        <w:rPr>
          <w:sz w:val="22"/>
          <w:szCs w:val="22"/>
          <w:lang w:val="sk-SK" w:eastAsia="en-GB"/>
        </w:rPr>
        <w:t>000 až &lt;1/1</w:t>
      </w:r>
      <w:r w:rsidR="00C230A9" w:rsidRPr="003D4D81">
        <w:rPr>
          <w:sz w:val="22"/>
          <w:szCs w:val="22"/>
          <w:lang w:val="sk-SK" w:eastAsia="en-GB"/>
        </w:rPr>
        <w:t> </w:t>
      </w:r>
      <w:r w:rsidRPr="003D4D81">
        <w:rPr>
          <w:sz w:val="22"/>
          <w:szCs w:val="22"/>
          <w:lang w:val="sk-SK" w:eastAsia="en-GB"/>
        </w:rPr>
        <w:t>000); veľmi zriedkavé (&lt;1/10</w:t>
      </w:r>
      <w:r w:rsidR="00C230A9" w:rsidRPr="003D4D81">
        <w:rPr>
          <w:sz w:val="22"/>
          <w:szCs w:val="22"/>
          <w:lang w:val="sk-SK" w:eastAsia="en-GB"/>
        </w:rPr>
        <w:t> </w:t>
      </w:r>
      <w:r w:rsidRPr="003D4D81">
        <w:rPr>
          <w:sz w:val="22"/>
          <w:szCs w:val="22"/>
          <w:lang w:val="sk-SK" w:eastAsia="en-GB"/>
        </w:rPr>
        <w:t>000), neznáme (z dostupných</w:t>
      </w:r>
      <w:r w:rsidR="00C230A9" w:rsidRPr="003D4D81">
        <w:rPr>
          <w:sz w:val="22"/>
          <w:szCs w:val="22"/>
          <w:lang w:val="sk-SK" w:eastAsia="en-GB"/>
        </w:rPr>
        <w:t xml:space="preserve"> </w:t>
      </w:r>
      <w:r w:rsidRPr="003D4D81">
        <w:rPr>
          <w:sz w:val="22"/>
          <w:szCs w:val="22"/>
          <w:lang w:val="sk-SK" w:eastAsia="en-GB"/>
        </w:rPr>
        <w:t>údajov).</w:t>
      </w:r>
    </w:p>
    <w:p w:rsidR="006B6209" w:rsidRPr="003D4D81" w:rsidRDefault="006B6209" w:rsidP="00572196">
      <w:pPr>
        <w:spacing w:after="0"/>
        <w:jc w:val="left"/>
        <w:rPr>
          <w:sz w:val="22"/>
          <w:szCs w:val="22"/>
          <w:lang w:val="sk-SK"/>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6"/>
        <w:gridCol w:w="1559"/>
        <w:gridCol w:w="4348"/>
      </w:tblGrid>
      <w:tr w:rsidR="00051FC9" w:rsidRPr="003D4D81" w:rsidTr="004842C0">
        <w:trPr>
          <w:jc w:val="center"/>
        </w:trPr>
        <w:tc>
          <w:tcPr>
            <w:tcW w:w="3876" w:type="dxa"/>
            <w:shd w:val="clear" w:color="auto" w:fill="auto"/>
          </w:tcPr>
          <w:p w:rsidR="00051FC9" w:rsidRPr="003D4D81" w:rsidRDefault="00C47050" w:rsidP="001979BA">
            <w:pPr>
              <w:spacing w:after="0"/>
              <w:jc w:val="left"/>
              <w:rPr>
                <w:b/>
                <w:sz w:val="22"/>
                <w:szCs w:val="22"/>
                <w:lang w:val="sk-SK"/>
              </w:rPr>
            </w:pPr>
            <w:r w:rsidRPr="003D4D81">
              <w:rPr>
                <w:b/>
                <w:sz w:val="22"/>
                <w:szCs w:val="22"/>
                <w:lang w:val="sk-SK"/>
              </w:rPr>
              <w:t>Trieda orgánových systémov</w:t>
            </w:r>
            <w:r w:rsidR="00F31591" w:rsidRPr="003D4D81">
              <w:rPr>
                <w:b/>
                <w:sz w:val="22"/>
                <w:szCs w:val="22"/>
                <w:lang w:val="sk-SK"/>
              </w:rPr>
              <w:t xml:space="preserve"> MedDRA</w:t>
            </w:r>
            <w:r w:rsidRPr="003D4D81">
              <w:rPr>
                <w:b/>
                <w:sz w:val="22"/>
                <w:szCs w:val="22"/>
                <w:lang w:val="sk-SK"/>
              </w:rPr>
              <w:t xml:space="preserve"> </w:t>
            </w:r>
          </w:p>
        </w:tc>
        <w:tc>
          <w:tcPr>
            <w:tcW w:w="1559" w:type="dxa"/>
            <w:shd w:val="clear" w:color="auto" w:fill="auto"/>
          </w:tcPr>
          <w:p w:rsidR="00051FC9" w:rsidRPr="003D4D81" w:rsidRDefault="00C47050" w:rsidP="00850FAE">
            <w:pPr>
              <w:spacing w:after="0"/>
              <w:jc w:val="left"/>
              <w:rPr>
                <w:b/>
                <w:sz w:val="22"/>
                <w:szCs w:val="22"/>
                <w:lang w:val="sk-SK"/>
              </w:rPr>
            </w:pPr>
            <w:r w:rsidRPr="003D4D81">
              <w:rPr>
                <w:b/>
                <w:sz w:val="22"/>
                <w:szCs w:val="22"/>
                <w:lang w:val="sk-SK"/>
              </w:rPr>
              <w:t>Frekvencia výskytu</w:t>
            </w:r>
          </w:p>
        </w:tc>
        <w:tc>
          <w:tcPr>
            <w:tcW w:w="4348" w:type="dxa"/>
            <w:shd w:val="clear" w:color="auto" w:fill="auto"/>
          </w:tcPr>
          <w:p w:rsidR="00051FC9" w:rsidRPr="003D4D81" w:rsidRDefault="00F31591" w:rsidP="00C47050">
            <w:pPr>
              <w:spacing w:after="0"/>
              <w:jc w:val="left"/>
              <w:rPr>
                <w:b/>
                <w:sz w:val="22"/>
                <w:szCs w:val="22"/>
                <w:lang w:val="sk-SK"/>
              </w:rPr>
            </w:pPr>
            <w:r w:rsidRPr="003D4D81">
              <w:rPr>
                <w:b/>
                <w:noProof/>
                <w:sz w:val="22"/>
                <w:szCs w:val="22"/>
                <w:lang w:val="sk-SK"/>
              </w:rPr>
              <w:t>Nežiaduca lieková reakcia</w:t>
            </w:r>
          </w:p>
        </w:tc>
      </w:tr>
      <w:tr w:rsidR="00051FC9" w:rsidRPr="003D4D81" w:rsidTr="004842C0">
        <w:trPr>
          <w:trHeight w:val="283"/>
          <w:jc w:val="center"/>
        </w:trPr>
        <w:tc>
          <w:tcPr>
            <w:tcW w:w="3876" w:type="dxa"/>
            <w:shd w:val="clear" w:color="auto" w:fill="auto"/>
          </w:tcPr>
          <w:p w:rsidR="00051FC9" w:rsidRPr="003D4D81" w:rsidRDefault="00C47050" w:rsidP="00C47050">
            <w:pPr>
              <w:spacing w:after="0"/>
              <w:ind w:right="-108"/>
              <w:jc w:val="left"/>
              <w:rPr>
                <w:b/>
                <w:sz w:val="22"/>
                <w:szCs w:val="22"/>
                <w:lang w:val="sk-SK"/>
              </w:rPr>
            </w:pPr>
            <w:r w:rsidRPr="003D4D81">
              <w:rPr>
                <w:b/>
                <w:sz w:val="22"/>
                <w:szCs w:val="22"/>
                <w:lang w:val="sk-SK"/>
              </w:rPr>
              <w:t>Poruchy krvi a lymfatického systému</w:t>
            </w:r>
          </w:p>
        </w:tc>
        <w:tc>
          <w:tcPr>
            <w:tcW w:w="1559" w:type="dxa"/>
            <w:shd w:val="clear" w:color="auto" w:fill="auto"/>
          </w:tcPr>
          <w:p w:rsidR="00051FC9"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p>
        </w:tc>
        <w:tc>
          <w:tcPr>
            <w:tcW w:w="4348" w:type="dxa"/>
            <w:shd w:val="clear" w:color="auto" w:fill="auto"/>
          </w:tcPr>
          <w:p w:rsidR="00051FC9" w:rsidRPr="003D4D81" w:rsidRDefault="00C230A9" w:rsidP="00572196">
            <w:pPr>
              <w:pStyle w:val="Default"/>
              <w:rPr>
                <w:sz w:val="22"/>
                <w:szCs w:val="22"/>
                <w:lang w:val="sk-SK" w:eastAsia="de-DE"/>
              </w:rPr>
            </w:pPr>
            <w:r w:rsidRPr="003D4D81">
              <w:rPr>
                <w:sz w:val="22"/>
                <w:szCs w:val="22"/>
                <w:lang w:val="sk-SK" w:eastAsia="en-GB"/>
              </w:rPr>
              <w:t>e</w:t>
            </w:r>
            <w:r w:rsidR="00DC7225" w:rsidRPr="003D4D81">
              <w:rPr>
                <w:sz w:val="22"/>
                <w:szCs w:val="22"/>
                <w:lang w:val="sk-SK" w:eastAsia="en-GB"/>
              </w:rPr>
              <w:t>ozinofília</w:t>
            </w:r>
          </w:p>
        </w:tc>
      </w:tr>
      <w:tr w:rsidR="003830E5" w:rsidRPr="003D4D81" w:rsidTr="004842C0">
        <w:trPr>
          <w:trHeight w:val="283"/>
          <w:jc w:val="center"/>
        </w:trPr>
        <w:tc>
          <w:tcPr>
            <w:tcW w:w="3876" w:type="dxa"/>
            <w:shd w:val="clear" w:color="auto" w:fill="auto"/>
          </w:tcPr>
          <w:p w:rsidR="003830E5" w:rsidRPr="003D4D81" w:rsidRDefault="00DC7225" w:rsidP="00850FAE">
            <w:pPr>
              <w:spacing w:after="0"/>
              <w:jc w:val="left"/>
              <w:rPr>
                <w:b/>
                <w:sz w:val="22"/>
                <w:szCs w:val="22"/>
                <w:lang w:val="sk-SK"/>
              </w:rPr>
            </w:pPr>
            <w:r w:rsidRPr="003D4D81">
              <w:rPr>
                <w:b/>
                <w:sz w:val="22"/>
                <w:szCs w:val="22"/>
                <w:lang w:val="sk-SK"/>
              </w:rPr>
              <w:t>Poruchy metabolizmu a výživy</w:t>
            </w:r>
          </w:p>
        </w:tc>
        <w:tc>
          <w:tcPr>
            <w:tcW w:w="1559" w:type="dxa"/>
            <w:shd w:val="clear" w:color="auto" w:fill="auto"/>
          </w:tcPr>
          <w:p w:rsidR="003830E5"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p>
        </w:tc>
        <w:tc>
          <w:tcPr>
            <w:tcW w:w="4348" w:type="dxa"/>
            <w:shd w:val="clear" w:color="auto" w:fill="auto"/>
          </w:tcPr>
          <w:p w:rsidR="003830E5" w:rsidRPr="003D4D81" w:rsidRDefault="00C230A9" w:rsidP="00850FAE">
            <w:pPr>
              <w:spacing w:after="0"/>
              <w:jc w:val="left"/>
              <w:rPr>
                <w:sz w:val="22"/>
                <w:szCs w:val="22"/>
                <w:lang w:val="sk-SK"/>
              </w:rPr>
            </w:pPr>
            <w:r w:rsidRPr="003D4D81">
              <w:rPr>
                <w:sz w:val="22"/>
                <w:szCs w:val="22"/>
                <w:lang w:val="sk-SK" w:eastAsia="en-GB"/>
              </w:rPr>
              <w:t>h</w:t>
            </w:r>
            <w:r w:rsidR="00DC7225" w:rsidRPr="003D4D81">
              <w:rPr>
                <w:sz w:val="22"/>
                <w:szCs w:val="22"/>
                <w:lang w:val="sk-SK" w:eastAsia="en-GB"/>
              </w:rPr>
              <w:t>yperurikémia</w:t>
            </w:r>
          </w:p>
        </w:tc>
      </w:tr>
      <w:tr w:rsidR="00C53899" w:rsidRPr="003D4D81" w:rsidTr="004842C0">
        <w:trPr>
          <w:trHeight w:val="737"/>
          <w:jc w:val="center"/>
        </w:trPr>
        <w:tc>
          <w:tcPr>
            <w:tcW w:w="3876" w:type="dxa"/>
            <w:vMerge w:val="restart"/>
            <w:shd w:val="clear" w:color="auto" w:fill="auto"/>
          </w:tcPr>
          <w:p w:rsidR="00C53899" w:rsidRPr="003D4D81" w:rsidRDefault="00DC7225" w:rsidP="00850FAE">
            <w:pPr>
              <w:spacing w:after="0"/>
              <w:jc w:val="left"/>
              <w:rPr>
                <w:b/>
                <w:sz w:val="22"/>
                <w:szCs w:val="22"/>
                <w:lang w:val="sk-SK"/>
              </w:rPr>
            </w:pPr>
            <w:r w:rsidRPr="003D4D81">
              <w:rPr>
                <w:b/>
                <w:sz w:val="22"/>
                <w:szCs w:val="22"/>
                <w:lang w:val="sk-SK"/>
              </w:rPr>
              <w:t>Poruchy nervového systému</w:t>
            </w:r>
          </w:p>
        </w:tc>
        <w:tc>
          <w:tcPr>
            <w:tcW w:w="1559" w:type="dxa"/>
            <w:shd w:val="clear" w:color="auto" w:fill="auto"/>
          </w:tcPr>
          <w:p w:rsidR="00C53899" w:rsidRPr="003D4D81" w:rsidRDefault="00C230A9" w:rsidP="00850FAE">
            <w:pPr>
              <w:spacing w:after="0"/>
              <w:jc w:val="left"/>
              <w:rPr>
                <w:sz w:val="22"/>
                <w:szCs w:val="22"/>
                <w:lang w:val="sk-SK"/>
              </w:rPr>
            </w:pPr>
            <w:r w:rsidRPr="003D4D81">
              <w:rPr>
                <w:sz w:val="22"/>
                <w:szCs w:val="22"/>
                <w:lang w:val="sk-SK" w:eastAsia="en-GB"/>
              </w:rPr>
              <w:t>č</w:t>
            </w:r>
            <w:r w:rsidR="00DC7225" w:rsidRPr="003D4D81">
              <w:rPr>
                <w:sz w:val="22"/>
                <w:szCs w:val="22"/>
                <w:lang w:val="sk-SK" w:eastAsia="en-GB"/>
              </w:rPr>
              <w:t>asté</w:t>
            </w:r>
          </w:p>
        </w:tc>
        <w:tc>
          <w:tcPr>
            <w:tcW w:w="4348" w:type="dxa"/>
            <w:shd w:val="clear" w:color="auto" w:fill="auto"/>
          </w:tcPr>
          <w:p w:rsidR="00584231" w:rsidRPr="003D4D81" w:rsidRDefault="00C230A9" w:rsidP="00850FAE">
            <w:pPr>
              <w:spacing w:after="0"/>
              <w:jc w:val="left"/>
              <w:rPr>
                <w:sz w:val="22"/>
                <w:szCs w:val="22"/>
                <w:lang w:val="sk-SK"/>
              </w:rPr>
            </w:pPr>
            <w:r w:rsidRPr="003D4D81">
              <w:rPr>
                <w:sz w:val="22"/>
                <w:szCs w:val="22"/>
                <w:lang w:val="sk-SK" w:eastAsia="en-GB"/>
              </w:rPr>
              <w:t>b</w:t>
            </w:r>
            <w:r w:rsidR="00DC7225" w:rsidRPr="003D4D81">
              <w:rPr>
                <w:sz w:val="22"/>
                <w:szCs w:val="22"/>
                <w:lang w:val="sk-SK" w:eastAsia="en-GB"/>
              </w:rPr>
              <w:t>olesť hlavy, obyčajne počas prvého</w:t>
            </w:r>
            <w:r w:rsidR="003830E5" w:rsidRPr="003D4D81">
              <w:rPr>
                <w:sz w:val="22"/>
                <w:szCs w:val="22"/>
                <w:lang w:val="sk-SK"/>
              </w:rPr>
              <w:t xml:space="preserve"> </w:t>
            </w:r>
            <w:r w:rsidR="00DC7225" w:rsidRPr="003D4D81">
              <w:rPr>
                <w:sz w:val="22"/>
                <w:szCs w:val="22"/>
                <w:lang w:val="sk-SK" w:eastAsia="en-GB"/>
              </w:rPr>
              <w:t>mesiaca liečby</w:t>
            </w:r>
          </w:p>
          <w:p w:rsidR="00C53899" w:rsidRPr="003D4D81" w:rsidRDefault="00C230A9" w:rsidP="00DC7225">
            <w:pPr>
              <w:spacing w:after="0"/>
              <w:ind w:right="-159"/>
              <w:jc w:val="left"/>
              <w:rPr>
                <w:sz w:val="22"/>
                <w:szCs w:val="22"/>
                <w:lang w:val="sk-SK"/>
              </w:rPr>
            </w:pPr>
            <w:r w:rsidRPr="003D4D81">
              <w:rPr>
                <w:sz w:val="22"/>
                <w:szCs w:val="22"/>
                <w:lang w:val="sk-SK" w:eastAsia="en-GB"/>
              </w:rPr>
              <w:t>z</w:t>
            </w:r>
            <w:r w:rsidR="00DC7225" w:rsidRPr="003D4D81">
              <w:rPr>
                <w:sz w:val="22"/>
                <w:szCs w:val="22"/>
                <w:lang w:val="sk-SK" w:eastAsia="en-GB"/>
              </w:rPr>
              <w:t>ávraty, pravdepodobne súvisiace s bradykardiou</w:t>
            </w:r>
          </w:p>
        </w:tc>
      </w:tr>
      <w:tr w:rsidR="00716F05" w:rsidRPr="003D4D81" w:rsidTr="004842C0">
        <w:trPr>
          <w:trHeight w:val="283"/>
          <w:jc w:val="center"/>
        </w:trPr>
        <w:tc>
          <w:tcPr>
            <w:tcW w:w="3876" w:type="dxa"/>
            <w:vMerge/>
            <w:shd w:val="clear" w:color="auto" w:fill="auto"/>
          </w:tcPr>
          <w:p w:rsidR="00716F05" w:rsidRPr="003D4D81" w:rsidRDefault="00716F05" w:rsidP="00850FAE">
            <w:pPr>
              <w:spacing w:after="0"/>
              <w:jc w:val="left"/>
              <w:rPr>
                <w:b/>
                <w:sz w:val="22"/>
                <w:szCs w:val="22"/>
                <w:lang w:val="sk-SK"/>
              </w:rPr>
            </w:pPr>
          </w:p>
        </w:tc>
        <w:tc>
          <w:tcPr>
            <w:tcW w:w="1559" w:type="dxa"/>
            <w:shd w:val="clear" w:color="auto" w:fill="auto"/>
          </w:tcPr>
          <w:p w:rsidR="00716F05" w:rsidRPr="003D4D81" w:rsidRDefault="00C230A9" w:rsidP="00DC7225">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r w:rsidR="00716F05" w:rsidRPr="003D4D81">
              <w:rPr>
                <w:sz w:val="22"/>
                <w:szCs w:val="22"/>
                <w:vertAlign w:val="superscript"/>
                <w:lang w:val="sk-SK"/>
              </w:rPr>
              <w:t>*</w:t>
            </w:r>
          </w:p>
        </w:tc>
        <w:tc>
          <w:tcPr>
            <w:tcW w:w="4348" w:type="dxa"/>
            <w:shd w:val="clear" w:color="auto" w:fill="auto"/>
          </w:tcPr>
          <w:p w:rsidR="00716F05" w:rsidRPr="003D4D81" w:rsidRDefault="00C230A9" w:rsidP="00DC7225">
            <w:pPr>
              <w:spacing w:after="0"/>
              <w:jc w:val="left"/>
              <w:rPr>
                <w:sz w:val="22"/>
                <w:szCs w:val="22"/>
                <w:lang w:val="sk-SK"/>
              </w:rPr>
            </w:pPr>
            <w:r w:rsidRPr="003D4D81">
              <w:rPr>
                <w:sz w:val="22"/>
                <w:szCs w:val="22"/>
                <w:lang w:val="sk-SK" w:eastAsia="en-GB"/>
              </w:rPr>
              <w:t>s</w:t>
            </w:r>
            <w:r w:rsidR="00DC7225" w:rsidRPr="003D4D81">
              <w:rPr>
                <w:sz w:val="22"/>
                <w:szCs w:val="22"/>
                <w:lang w:val="sk-SK" w:eastAsia="en-GB"/>
              </w:rPr>
              <w:t>ynkopa, pravdepodobne súvisiaca s bradykardiou</w:t>
            </w:r>
          </w:p>
        </w:tc>
      </w:tr>
      <w:tr w:rsidR="00C53899" w:rsidRPr="003D4D81" w:rsidTr="004842C0">
        <w:trPr>
          <w:trHeight w:val="283"/>
          <w:jc w:val="center"/>
        </w:trPr>
        <w:tc>
          <w:tcPr>
            <w:tcW w:w="3876" w:type="dxa"/>
            <w:vMerge w:val="restart"/>
            <w:shd w:val="clear" w:color="auto" w:fill="auto"/>
          </w:tcPr>
          <w:p w:rsidR="00C53899" w:rsidRPr="003D4D81" w:rsidRDefault="00DC7225" w:rsidP="00850FAE">
            <w:pPr>
              <w:spacing w:after="0"/>
              <w:jc w:val="left"/>
              <w:rPr>
                <w:b/>
                <w:sz w:val="22"/>
                <w:szCs w:val="22"/>
                <w:lang w:val="sk-SK"/>
              </w:rPr>
            </w:pPr>
            <w:r w:rsidRPr="003D4D81">
              <w:rPr>
                <w:b/>
                <w:sz w:val="22"/>
                <w:szCs w:val="22"/>
                <w:lang w:val="sk-SK"/>
              </w:rPr>
              <w:t>Poruchy oka</w:t>
            </w:r>
          </w:p>
        </w:tc>
        <w:tc>
          <w:tcPr>
            <w:tcW w:w="1559" w:type="dxa"/>
            <w:shd w:val="clear" w:color="auto" w:fill="auto"/>
          </w:tcPr>
          <w:p w:rsidR="00C53899" w:rsidRPr="003D4D81" w:rsidRDefault="00C230A9" w:rsidP="00850FAE">
            <w:pPr>
              <w:spacing w:after="0"/>
              <w:ind w:right="-55"/>
              <w:jc w:val="left"/>
              <w:rPr>
                <w:sz w:val="22"/>
                <w:szCs w:val="22"/>
                <w:lang w:val="sk-SK"/>
              </w:rPr>
            </w:pPr>
            <w:r w:rsidRPr="003D4D81">
              <w:rPr>
                <w:sz w:val="22"/>
                <w:szCs w:val="22"/>
                <w:lang w:val="sk-SK" w:eastAsia="en-GB"/>
              </w:rPr>
              <w:t>v</w:t>
            </w:r>
            <w:r w:rsidR="00DC7225" w:rsidRPr="003D4D81">
              <w:rPr>
                <w:sz w:val="22"/>
                <w:szCs w:val="22"/>
                <w:lang w:val="sk-SK" w:eastAsia="en-GB"/>
              </w:rPr>
              <w:t>eľmi časté</w:t>
            </w:r>
          </w:p>
        </w:tc>
        <w:tc>
          <w:tcPr>
            <w:tcW w:w="4348" w:type="dxa"/>
            <w:shd w:val="clear" w:color="auto" w:fill="auto"/>
          </w:tcPr>
          <w:p w:rsidR="00C53899" w:rsidRPr="003D4D81" w:rsidRDefault="00C230A9" w:rsidP="00FF2C65">
            <w:pPr>
              <w:spacing w:after="0"/>
              <w:jc w:val="left"/>
              <w:rPr>
                <w:sz w:val="22"/>
                <w:szCs w:val="22"/>
                <w:lang w:val="sk-SK"/>
              </w:rPr>
            </w:pPr>
            <w:r w:rsidRPr="003D4D81">
              <w:rPr>
                <w:sz w:val="22"/>
                <w:szCs w:val="22"/>
                <w:lang w:val="sk-SK" w:eastAsia="en-GB"/>
              </w:rPr>
              <w:t>s</w:t>
            </w:r>
            <w:r w:rsidR="00FF2C65" w:rsidRPr="003D4D81">
              <w:rPr>
                <w:sz w:val="22"/>
                <w:szCs w:val="22"/>
                <w:lang w:val="sk-SK" w:eastAsia="en-GB"/>
              </w:rPr>
              <w:t>vetelné fenomény (fosfény)</w:t>
            </w:r>
          </w:p>
        </w:tc>
      </w:tr>
      <w:tr w:rsidR="00C53899" w:rsidRPr="003D4D81" w:rsidTr="004842C0">
        <w:trPr>
          <w:trHeight w:val="283"/>
          <w:jc w:val="center"/>
        </w:trPr>
        <w:tc>
          <w:tcPr>
            <w:tcW w:w="3876" w:type="dxa"/>
            <w:vMerge/>
            <w:shd w:val="clear" w:color="auto" w:fill="auto"/>
          </w:tcPr>
          <w:p w:rsidR="00C53899" w:rsidRPr="003D4D81" w:rsidRDefault="00C53899" w:rsidP="00850FAE">
            <w:pPr>
              <w:spacing w:after="0"/>
              <w:jc w:val="left"/>
              <w:rPr>
                <w:b/>
                <w:sz w:val="22"/>
                <w:szCs w:val="22"/>
                <w:lang w:val="sk-SK"/>
              </w:rPr>
            </w:pPr>
          </w:p>
        </w:tc>
        <w:tc>
          <w:tcPr>
            <w:tcW w:w="1559" w:type="dxa"/>
            <w:shd w:val="clear" w:color="auto" w:fill="auto"/>
          </w:tcPr>
          <w:p w:rsidR="00C53899" w:rsidRPr="003D4D81" w:rsidRDefault="00C230A9" w:rsidP="00850FAE">
            <w:pPr>
              <w:spacing w:after="0"/>
              <w:jc w:val="left"/>
              <w:rPr>
                <w:sz w:val="22"/>
                <w:szCs w:val="22"/>
                <w:lang w:val="sk-SK"/>
              </w:rPr>
            </w:pPr>
            <w:r w:rsidRPr="003D4D81">
              <w:rPr>
                <w:sz w:val="22"/>
                <w:szCs w:val="22"/>
                <w:lang w:val="sk-SK" w:eastAsia="en-GB"/>
              </w:rPr>
              <w:t>č</w:t>
            </w:r>
            <w:r w:rsidR="00DC7225" w:rsidRPr="003D4D81">
              <w:rPr>
                <w:sz w:val="22"/>
                <w:szCs w:val="22"/>
                <w:lang w:val="sk-SK" w:eastAsia="en-GB"/>
              </w:rPr>
              <w:t>asté</w:t>
            </w:r>
          </w:p>
        </w:tc>
        <w:tc>
          <w:tcPr>
            <w:tcW w:w="4348" w:type="dxa"/>
            <w:shd w:val="clear" w:color="auto" w:fill="auto"/>
          </w:tcPr>
          <w:p w:rsidR="00C53899" w:rsidRPr="003D4D81" w:rsidRDefault="00C230A9" w:rsidP="00850FAE">
            <w:pPr>
              <w:spacing w:after="0"/>
              <w:jc w:val="left"/>
              <w:rPr>
                <w:sz w:val="22"/>
                <w:szCs w:val="22"/>
                <w:lang w:val="sk-SK"/>
              </w:rPr>
            </w:pPr>
            <w:r w:rsidRPr="003D4D81">
              <w:rPr>
                <w:sz w:val="22"/>
                <w:szCs w:val="22"/>
                <w:lang w:val="sk-SK" w:eastAsia="en-GB"/>
              </w:rPr>
              <w:t>r</w:t>
            </w:r>
            <w:r w:rsidR="00FF2C65" w:rsidRPr="003D4D81">
              <w:rPr>
                <w:sz w:val="22"/>
                <w:szCs w:val="22"/>
                <w:lang w:val="sk-SK" w:eastAsia="en-GB"/>
              </w:rPr>
              <w:t>ozmazané videnie</w:t>
            </w:r>
          </w:p>
        </w:tc>
      </w:tr>
      <w:tr w:rsidR="00C53899" w:rsidRPr="003D4D81" w:rsidTr="004842C0">
        <w:trPr>
          <w:trHeight w:val="510"/>
          <w:jc w:val="center"/>
        </w:trPr>
        <w:tc>
          <w:tcPr>
            <w:tcW w:w="3876" w:type="dxa"/>
            <w:vMerge/>
            <w:shd w:val="clear" w:color="auto" w:fill="auto"/>
          </w:tcPr>
          <w:p w:rsidR="00C53899" w:rsidRPr="003D4D81" w:rsidRDefault="00C53899" w:rsidP="00850FAE">
            <w:pPr>
              <w:spacing w:after="0"/>
              <w:jc w:val="left"/>
              <w:rPr>
                <w:b/>
                <w:sz w:val="22"/>
                <w:szCs w:val="22"/>
                <w:lang w:val="sk-SK"/>
              </w:rPr>
            </w:pPr>
          </w:p>
        </w:tc>
        <w:tc>
          <w:tcPr>
            <w:tcW w:w="1559" w:type="dxa"/>
            <w:shd w:val="clear" w:color="auto" w:fill="auto"/>
          </w:tcPr>
          <w:p w:rsidR="00C53899" w:rsidRPr="003D4D81" w:rsidRDefault="00C230A9" w:rsidP="00DC7225">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r w:rsidR="00716F05" w:rsidRPr="003D4D81">
              <w:rPr>
                <w:sz w:val="22"/>
                <w:szCs w:val="22"/>
                <w:vertAlign w:val="superscript"/>
                <w:lang w:val="sk-SK"/>
              </w:rPr>
              <w:t>*</w:t>
            </w:r>
          </w:p>
        </w:tc>
        <w:tc>
          <w:tcPr>
            <w:tcW w:w="4348" w:type="dxa"/>
            <w:shd w:val="clear" w:color="auto" w:fill="auto"/>
          </w:tcPr>
          <w:p w:rsidR="00C53899" w:rsidRPr="003D4D81" w:rsidRDefault="00C230A9" w:rsidP="00850FAE">
            <w:pPr>
              <w:spacing w:after="0"/>
              <w:jc w:val="left"/>
              <w:rPr>
                <w:sz w:val="22"/>
                <w:szCs w:val="22"/>
                <w:lang w:val="sk-SK"/>
              </w:rPr>
            </w:pPr>
            <w:r w:rsidRPr="003D4D81">
              <w:rPr>
                <w:sz w:val="22"/>
                <w:szCs w:val="22"/>
                <w:lang w:val="sk-SK" w:eastAsia="en-GB"/>
              </w:rPr>
              <w:t>d</w:t>
            </w:r>
            <w:r w:rsidR="00FF2C65" w:rsidRPr="003D4D81">
              <w:rPr>
                <w:sz w:val="22"/>
                <w:szCs w:val="22"/>
                <w:lang w:val="sk-SK" w:eastAsia="en-GB"/>
              </w:rPr>
              <w:t>iplopia</w:t>
            </w:r>
          </w:p>
          <w:p w:rsidR="00716F05" w:rsidRPr="003D4D81" w:rsidRDefault="00C230A9" w:rsidP="00850FAE">
            <w:pPr>
              <w:spacing w:after="0"/>
              <w:jc w:val="left"/>
              <w:rPr>
                <w:sz w:val="22"/>
                <w:szCs w:val="22"/>
                <w:lang w:val="sk-SK"/>
              </w:rPr>
            </w:pPr>
            <w:r w:rsidRPr="003D4D81">
              <w:rPr>
                <w:sz w:val="22"/>
                <w:szCs w:val="22"/>
                <w:lang w:val="sk-SK" w:eastAsia="en-GB"/>
              </w:rPr>
              <w:t>z</w:t>
            </w:r>
            <w:r w:rsidR="00FF2C65" w:rsidRPr="003D4D81">
              <w:rPr>
                <w:sz w:val="22"/>
                <w:szCs w:val="22"/>
                <w:lang w:val="sk-SK" w:eastAsia="en-GB"/>
              </w:rPr>
              <w:t>horšené videnie</w:t>
            </w:r>
          </w:p>
        </w:tc>
      </w:tr>
      <w:tr w:rsidR="00716F05" w:rsidRPr="003D4D81" w:rsidTr="004842C0">
        <w:trPr>
          <w:trHeight w:val="283"/>
          <w:jc w:val="center"/>
        </w:trPr>
        <w:tc>
          <w:tcPr>
            <w:tcW w:w="3876" w:type="dxa"/>
            <w:shd w:val="clear" w:color="auto" w:fill="auto"/>
          </w:tcPr>
          <w:p w:rsidR="00716F05" w:rsidRPr="003D4D81" w:rsidRDefault="00FF2C65" w:rsidP="00850FAE">
            <w:pPr>
              <w:spacing w:after="0"/>
              <w:jc w:val="left"/>
              <w:rPr>
                <w:b/>
                <w:sz w:val="22"/>
                <w:szCs w:val="22"/>
                <w:lang w:val="sk-SK"/>
              </w:rPr>
            </w:pPr>
            <w:r w:rsidRPr="003D4D81">
              <w:rPr>
                <w:b/>
                <w:sz w:val="22"/>
                <w:szCs w:val="22"/>
                <w:lang w:val="sk-SK"/>
              </w:rPr>
              <w:t>Poruchy ucha a labyrintu</w:t>
            </w:r>
          </w:p>
        </w:tc>
        <w:tc>
          <w:tcPr>
            <w:tcW w:w="1559" w:type="dxa"/>
            <w:shd w:val="clear" w:color="auto" w:fill="auto"/>
          </w:tcPr>
          <w:p w:rsidR="00716F05"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p>
        </w:tc>
        <w:tc>
          <w:tcPr>
            <w:tcW w:w="4348" w:type="dxa"/>
            <w:shd w:val="clear" w:color="auto" w:fill="auto"/>
          </w:tcPr>
          <w:p w:rsidR="00716F05" w:rsidRPr="003D4D81" w:rsidRDefault="00C230A9" w:rsidP="00850FAE">
            <w:pPr>
              <w:spacing w:after="0"/>
              <w:jc w:val="left"/>
              <w:rPr>
                <w:sz w:val="22"/>
                <w:szCs w:val="22"/>
                <w:lang w:val="sk-SK"/>
              </w:rPr>
            </w:pPr>
            <w:r w:rsidRPr="003D4D81">
              <w:rPr>
                <w:sz w:val="22"/>
                <w:szCs w:val="22"/>
                <w:lang w:val="sk-SK"/>
              </w:rPr>
              <w:t>v</w:t>
            </w:r>
            <w:r w:rsidR="00716F05" w:rsidRPr="003D4D81">
              <w:rPr>
                <w:sz w:val="22"/>
                <w:szCs w:val="22"/>
                <w:lang w:val="sk-SK"/>
              </w:rPr>
              <w:t>ertigo</w:t>
            </w:r>
          </w:p>
        </w:tc>
      </w:tr>
      <w:tr w:rsidR="008C4EB0" w:rsidRPr="003D4D81" w:rsidTr="004842C0">
        <w:trPr>
          <w:trHeight w:val="1247"/>
          <w:jc w:val="center"/>
        </w:trPr>
        <w:tc>
          <w:tcPr>
            <w:tcW w:w="3876" w:type="dxa"/>
            <w:vMerge w:val="restart"/>
            <w:shd w:val="clear" w:color="auto" w:fill="auto"/>
          </w:tcPr>
          <w:p w:rsidR="008C4EB0" w:rsidRPr="003D4D81" w:rsidRDefault="00FF2C65" w:rsidP="00850FAE">
            <w:pPr>
              <w:spacing w:after="0"/>
              <w:jc w:val="left"/>
              <w:rPr>
                <w:b/>
                <w:sz w:val="22"/>
                <w:szCs w:val="22"/>
                <w:lang w:val="sk-SK"/>
              </w:rPr>
            </w:pPr>
            <w:r w:rsidRPr="003D4D81">
              <w:rPr>
                <w:b/>
                <w:sz w:val="22"/>
                <w:szCs w:val="22"/>
                <w:lang w:val="sk-SK"/>
              </w:rPr>
              <w:t>Poruchy srdca a srdcovej činnosti</w:t>
            </w:r>
          </w:p>
        </w:tc>
        <w:tc>
          <w:tcPr>
            <w:tcW w:w="1559" w:type="dxa"/>
            <w:shd w:val="clear" w:color="auto" w:fill="auto"/>
          </w:tcPr>
          <w:p w:rsidR="008C4EB0" w:rsidRPr="003D4D81" w:rsidRDefault="00C230A9" w:rsidP="00850FAE">
            <w:pPr>
              <w:spacing w:after="0"/>
              <w:jc w:val="left"/>
              <w:rPr>
                <w:sz w:val="22"/>
                <w:szCs w:val="22"/>
                <w:lang w:val="sk-SK"/>
              </w:rPr>
            </w:pPr>
            <w:r w:rsidRPr="003D4D81">
              <w:rPr>
                <w:sz w:val="22"/>
                <w:szCs w:val="22"/>
                <w:lang w:val="sk-SK" w:eastAsia="en-GB"/>
              </w:rPr>
              <w:t>č</w:t>
            </w:r>
            <w:r w:rsidR="00DC7225" w:rsidRPr="003D4D81">
              <w:rPr>
                <w:sz w:val="22"/>
                <w:szCs w:val="22"/>
                <w:lang w:val="sk-SK" w:eastAsia="en-GB"/>
              </w:rPr>
              <w:t>asté</w:t>
            </w:r>
          </w:p>
        </w:tc>
        <w:tc>
          <w:tcPr>
            <w:tcW w:w="4348" w:type="dxa"/>
            <w:shd w:val="clear" w:color="auto" w:fill="auto"/>
          </w:tcPr>
          <w:p w:rsidR="008C4EB0" w:rsidRPr="003D4D81" w:rsidRDefault="00C230A9" w:rsidP="00850FAE">
            <w:pPr>
              <w:spacing w:after="0"/>
              <w:jc w:val="left"/>
              <w:rPr>
                <w:sz w:val="22"/>
                <w:szCs w:val="22"/>
                <w:lang w:val="sk-SK"/>
              </w:rPr>
            </w:pPr>
            <w:r w:rsidRPr="003D4D81">
              <w:rPr>
                <w:sz w:val="22"/>
                <w:szCs w:val="22"/>
                <w:lang w:val="sk-SK"/>
              </w:rPr>
              <w:t>b</w:t>
            </w:r>
            <w:r w:rsidR="008C4EB0" w:rsidRPr="003D4D81">
              <w:rPr>
                <w:sz w:val="22"/>
                <w:szCs w:val="22"/>
                <w:lang w:val="sk-SK"/>
              </w:rPr>
              <w:t>rady</w:t>
            </w:r>
            <w:r w:rsidR="00FF2C65" w:rsidRPr="003D4D81">
              <w:rPr>
                <w:sz w:val="22"/>
                <w:szCs w:val="22"/>
                <w:lang w:val="sk-SK"/>
              </w:rPr>
              <w:t>k</w:t>
            </w:r>
            <w:r w:rsidR="008C4EB0" w:rsidRPr="003D4D81">
              <w:rPr>
                <w:sz w:val="22"/>
                <w:szCs w:val="22"/>
                <w:lang w:val="sk-SK"/>
              </w:rPr>
              <w:t>ardia</w:t>
            </w:r>
          </w:p>
          <w:p w:rsidR="008C4EB0" w:rsidRPr="003D4D81" w:rsidRDefault="00FF2C65" w:rsidP="00850FAE">
            <w:pPr>
              <w:spacing w:after="0"/>
              <w:jc w:val="left"/>
              <w:rPr>
                <w:sz w:val="22"/>
                <w:szCs w:val="22"/>
                <w:lang w:val="sk-SK"/>
              </w:rPr>
            </w:pPr>
            <w:r w:rsidRPr="003D4D81">
              <w:rPr>
                <w:sz w:val="22"/>
                <w:szCs w:val="22"/>
                <w:lang w:val="sk-SK" w:eastAsia="en-GB"/>
              </w:rPr>
              <w:t>AV blokáda I. stupňa (na EKG predĺžený</w:t>
            </w:r>
            <w:r w:rsidRPr="003D4D81">
              <w:rPr>
                <w:sz w:val="22"/>
                <w:szCs w:val="22"/>
                <w:lang w:val="sk-SK"/>
              </w:rPr>
              <w:t xml:space="preserve"> </w:t>
            </w:r>
            <w:r w:rsidRPr="003D4D81">
              <w:rPr>
                <w:sz w:val="22"/>
                <w:szCs w:val="22"/>
                <w:lang w:val="sk-SK" w:eastAsia="en-GB"/>
              </w:rPr>
              <w:t>interval PQ</w:t>
            </w:r>
            <w:r w:rsidR="008C4EB0" w:rsidRPr="003D4D81">
              <w:rPr>
                <w:sz w:val="22"/>
                <w:szCs w:val="22"/>
                <w:lang w:val="sk-SK"/>
              </w:rPr>
              <w:t>)</w:t>
            </w:r>
          </w:p>
          <w:p w:rsidR="008C4EB0" w:rsidRPr="003D4D81" w:rsidRDefault="00C230A9" w:rsidP="00850FAE">
            <w:pPr>
              <w:spacing w:after="0"/>
              <w:jc w:val="left"/>
              <w:rPr>
                <w:sz w:val="22"/>
                <w:szCs w:val="22"/>
                <w:lang w:val="sk-SK"/>
              </w:rPr>
            </w:pPr>
            <w:r w:rsidRPr="003D4D81">
              <w:rPr>
                <w:sz w:val="22"/>
                <w:szCs w:val="22"/>
                <w:lang w:val="sk-SK" w:eastAsia="en-GB"/>
              </w:rPr>
              <w:t>k</w:t>
            </w:r>
            <w:r w:rsidR="00FF2C65" w:rsidRPr="003D4D81">
              <w:rPr>
                <w:sz w:val="22"/>
                <w:szCs w:val="22"/>
                <w:lang w:val="sk-SK" w:eastAsia="en-GB"/>
              </w:rPr>
              <w:t>omorové extrasystoly</w:t>
            </w:r>
            <w:r w:rsidR="00FF2C65" w:rsidRPr="003D4D81">
              <w:rPr>
                <w:sz w:val="22"/>
                <w:szCs w:val="22"/>
                <w:lang w:val="sk-SK"/>
              </w:rPr>
              <w:t xml:space="preserve"> </w:t>
            </w:r>
          </w:p>
          <w:p w:rsidR="001F5DE2" w:rsidRPr="003D4D81" w:rsidRDefault="00C230A9" w:rsidP="00FF2C65">
            <w:pPr>
              <w:spacing w:after="0"/>
              <w:jc w:val="left"/>
              <w:rPr>
                <w:sz w:val="22"/>
                <w:szCs w:val="22"/>
                <w:lang w:val="sk-SK"/>
              </w:rPr>
            </w:pPr>
            <w:r w:rsidRPr="003D4D81">
              <w:rPr>
                <w:sz w:val="22"/>
                <w:szCs w:val="22"/>
                <w:lang w:val="sk-SK" w:eastAsia="en-GB"/>
              </w:rPr>
              <w:t>f</w:t>
            </w:r>
            <w:r w:rsidR="00FF2C65" w:rsidRPr="003D4D81">
              <w:rPr>
                <w:sz w:val="22"/>
                <w:szCs w:val="22"/>
                <w:lang w:val="sk-SK" w:eastAsia="en-GB"/>
              </w:rPr>
              <w:t>ibrilácia predsiení</w:t>
            </w:r>
          </w:p>
        </w:tc>
      </w:tr>
      <w:tr w:rsidR="008C4EB0" w:rsidRPr="003D4D81" w:rsidTr="004842C0">
        <w:trPr>
          <w:trHeight w:val="510"/>
          <w:jc w:val="center"/>
        </w:trPr>
        <w:tc>
          <w:tcPr>
            <w:tcW w:w="3876" w:type="dxa"/>
            <w:vMerge/>
            <w:shd w:val="clear" w:color="auto" w:fill="auto"/>
          </w:tcPr>
          <w:p w:rsidR="008C4EB0" w:rsidRPr="003D4D81" w:rsidRDefault="008C4EB0" w:rsidP="00850FAE">
            <w:pPr>
              <w:spacing w:after="0"/>
              <w:jc w:val="left"/>
              <w:rPr>
                <w:b/>
                <w:sz w:val="22"/>
                <w:szCs w:val="22"/>
                <w:lang w:val="sk-SK"/>
              </w:rPr>
            </w:pPr>
          </w:p>
        </w:tc>
        <w:tc>
          <w:tcPr>
            <w:tcW w:w="1559" w:type="dxa"/>
            <w:shd w:val="clear" w:color="auto" w:fill="auto"/>
          </w:tcPr>
          <w:p w:rsidR="008C4EB0"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p>
        </w:tc>
        <w:tc>
          <w:tcPr>
            <w:tcW w:w="4348" w:type="dxa"/>
            <w:shd w:val="clear" w:color="auto" w:fill="auto"/>
          </w:tcPr>
          <w:p w:rsidR="008C4EB0" w:rsidRPr="003D4D81" w:rsidRDefault="00C230A9" w:rsidP="00850FAE">
            <w:pPr>
              <w:spacing w:after="0"/>
              <w:ind w:left="176" w:hanging="176"/>
              <w:jc w:val="left"/>
              <w:rPr>
                <w:sz w:val="22"/>
                <w:szCs w:val="22"/>
                <w:lang w:val="sk-SK"/>
              </w:rPr>
            </w:pPr>
            <w:r w:rsidRPr="003D4D81">
              <w:rPr>
                <w:sz w:val="22"/>
                <w:szCs w:val="22"/>
                <w:lang w:val="sk-SK" w:eastAsia="en-GB"/>
              </w:rPr>
              <w:t>p</w:t>
            </w:r>
            <w:r w:rsidR="00FF2C65" w:rsidRPr="003D4D81">
              <w:rPr>
                <w:sz w:val="22"/>
                <w:szCs w:val="22"/>
                <w:lang w:val="sk-SK" w:eastAsia="en-GB"/>
              </w:rPr>
              <w:t>alpitácie</w:t>
            </w:r>
          </w:p>
          <w:p w:rsidR="008C4EB0" w:rsidRPr="003D4D81" w:rsidRDefault="00C230A9" w:rsidP="00FF2C65">
            <w:pPr>
              <w:spacing w:after="0"/>
              <w:ind w:left="176" w:hanging="176"/>
              <w:jc w:val="left"/>
              <w:rPr>
                <w:sz w:val="22"/>
                <w:szCs w:val="22"/>
                <w:lang w:val="sk-SK"/>
              </w:rPr>
            </w:pPr>
            <w:r w:rsidRPr="003D4D81">
              <w:rPr>
                <w:sz w:val="22"/>
                <w:szCs w:val="22"/>
                <w:lang w:val="sk-SK" w:eastAsia="en-GB"/>
              </w:rPr>
              <w:t>s</w:t>
            </w:r>
            <w:r w:rsidR="00FF2C65" w:rsidRPr="003D4D81">
              <w:rPr>
                <w:sz w:val="22"/>
                <w:szCs w:val="22"/>
                <w:lang w:val="sk-SK" w:eastAsia="en-GB"/>
              </w:rPr>
              <w:t>upraventrikulárne extrasystoly</w:t>
            </w:r>
          </w:p>
        </w:tc>
      </w:tr>
      <w:tr w:rsidR="008C4EB0" w:rsidRPr="003D4D81" w:rsidTr="004842C0">
        <w:trPr>
          <w:trHeight w:val="510"/>
          <w:jc w:val="center"/>
        </w:trPr>
        <w:tc>
          <w:tcPr>
            <w:tcW w:w="3876" w:type="dxa"/>
            <w:vMerge/>
            <w:shd w:val="clear" w:color="auto" w:fill="auto"/>
          </w:tcPr>
          <w:p w:rsidR="008C4EB0" w:rsidRPr="003D4D81" w:rsidRDefault="008C4EB0" w:rsidP="00850FAE">
            <w:pPr>
              <w:spacing w:after="0"/>
              <w:jc w:val="left"/>
              <w:rPr>
                <w:b/>
                <w:sz w:val="22"/>
                <w:szCs w:val="22"/>
                <w:lang w:val="sk-SK"/>
              </w:rPr>
            </w:pPr>
          </w:p>
        </w:tc>
        <w:tc>
          <w:tcPr>
            <w:tcW w:w="1559" w:type="dxa"/>
            <w:shd w:val="clear" w:color="auto" w:fill="auto"/>
          </w:tcPr>
          <w:p w:rsidR="008C4EB0" w:rsidRPr="003D4D81" w:rsidRDefault="00C230A9" w:rsidP="00850FAE">
            <w:pPr>
              <w:spacing w:after="0"/>
              <w:jc w:val="left"/>
              <w:rPr>
                <w:sz w:val="22"/>
                <w:szCs w:val="22"/>
                <w:lang w:val="sk-SK"/>
              </w:rPr>
            </w:pPr>
            <w:r w:rsidRPr="003D4D81">
              <w:rPr>
                <w:sz w:val="22"/>
                <w:szCs w:val="22"/>
                <w:lang w:val="sk-SK" w:eastAsia="en-GB"/>
              </w:rPr>
              <w:t>v</w:t>
            </w:r>
            <w:r w:rsidR="00DC7225" w:rsidRPr="003D4D81">
              <w:rPr>
                <w:sz w:val="22"/>
                <w:szCs w:val="22"/>
                <w:lang w:val="sk-SK" w:eastAsia="en-GB"/>
              </w:rPr>
              <w:t>eľmi zriedkavé</w:t>
            </w:r>
          </w:p>
        </w:tc>
        <w:tc>
          <w:tcPr>
            <w:tcW w:w="4348" w:type="dxa"/>
            <w:shd w:val="clear" w:color="auto" w:fill="auto"/>
          </w:tcPr>
          <w:p w:rsidR="008C4EB0" w:rsidRPr="003D4D81" w:rsidRDefault="00FF2C65" w:rsidP="00850FAE">
            <w:pPr>
              <w:spacing w:after="0"/>
              <w:jc w:val="left"/>
              <w:rPr>
                <w:sz w:val="22"/>
                <w:szCs w:val="22"/>
                <w:lang w:val="sk-SK"/>
              </w:rPr>
            </w:pPr>
            <w:r w:rsidRPr="003D4D81">
              <w:rPr>
                <w:sz w:val="22"/>
                <w:szCs w:val="22"/>
                <w:lang w:val="sk-SK" w:eastAsia="en-GB"/>
              </w:rPr>
              <w:t>AV blokáda 2. stupňa, AV blokáda 3. stupňa</w:t>
            </w:r>
          </w:p>
          <w:p w:rsidR="008C4EB0" w:rsidRPr="003D4D81" w:rsidRDefault="00C230A9" w:rsidP="00FF2C65">
            <w:pPr>
              <w:spacing w:after="0"/>
              <w:jc w:val="left"/>
              <w:rPr>
                <w:sz w:val="22"/>
                <w:szCs w:val="22"/>
                <w:lang w:val="sk-SK"/>
              </w:rPr>
            </w:pPr>
            <w:r w:rsidRPr="003D4D81">
              <w:rPr>
                <w:sz w:val="22"/>
                <w:szCs w:val="22"/>
                <w:lang w:val="sk-SK" w:eastAsia="en-GB"/>
              </w:rPr>
              <w:t>s</w:t>
            </w:r>
            <w:r w:rsidR="00FF2C65" w:rsidRPr="003D4D81">
              <w:rPr>
                <w:sz w:val="22"/>
                <w:szCs w:val="22"/>
                <w:lang w:val="sk-SK" w:eastAsia="en-GB"/>
              </w:rPr>
              <w:t>yndróm chorého sínusu</w:t>
            </w:r>
          </w:p>
        </w:tc>
      </w:tr>
      <w:tr w:rsidR="000D07D7" w:rsidRPr="003D4D81" w:rsidTr="004842C0">
        <w:trPr>
          <w:trHeight w:val="283"/>
          <w:jc w:val="center"/>
        </w:trPr>
        <w:tc>
          <w:tcPr>
            <w:tcW w:w="3876" w:type="dxa"/>
            <w:vMerge w:val="restart"/>
            <w:shd w:val="clear" w:color="auto" w:fill="auto"/>
          </w:tcPr>
          <w:p w:rsidR="000D07D7" w:rsidRPr="003D4D81" w:rsidRDefault="00FF2C65" w:rsidP="00FF2C65">
            <w:pPr>
              <w:spacing w:after="0"/>
              <w:jc w:val="left"/>
              <w:rPr>
                <w:b/>
                <w:sz w:val="22"/>
                <w:szCs w:val="22"/>
                <w:lang w:val="sk-SK"/>
              </w:rPr>
            </w:pPr>
            <w:r w:rsidRPr="003D4D81">
              <w:rPr>
                <w:b/>
                <w:sz w:val="22"/>
                <w:szCs w:val="22"/>
                <w:lang w:val="sk-SK"/>
              </w:rPr>
              <w:t>Poruchy ciev</w:t>
            </w:r>
          </w:p>
        </w:tc>
        <w:tc>
          <w:tcPr>
            <w:tcW w:w="1559" w:type="dxa"/>
            <w:shd w:val="clear" w:color="auto" w:fill="auto"/>
          </w:tcPr>
          <w:p w:rsidR="000D07D7" w:rsidRPr="003D4D81" w:rsidRDefault="00C230A9" w:rsidP="00850FAE">
            <w:pPr>
              <w:spacing w:after="0"/>
              <w:jc w:val="left"/>
              <w:rPr>
                <w:sz w:val="22"/>
                <w:szCs w:val="22"/>
                <w:lang w:val="sk-SK"/>
              </w:rPr>
            </w:pPr>
            <w:r w:rsidRPr="003D4D81">
              <w:rPr>
                <w:sz w:val="22"/>
                <w:szCs w:val="22"/>
                <w:lang w:val="sk-SK" w:eastAsia="en-GB"/>
              </w:rPr>
              <w:t>č</w:t>
            </w:r>
            <w:r w:rsidR="00DC7225" w:rsidRPr="003D4D81">
              <w:rPr>
                <w:sz w:val="22"/>
                <w:szCs w:val="22"/>
                <w:lang w:val="sk-SK" w:eastAsia="en-GB"/>
              </w:rPr>
              <w:t>asté</w:t>
            </w:r>
          </w:p>
        </w:tc>
        <w:tc>
          <w:tcPr>
            <w:tcW w:w="4348" w:type="dxa"/>
            <w:shd w:val="clear" w:color="auto" w:fill="auto"/>
          </w:tcPr>
          <w:p w:rsidR="000D07D7" w:rsidRPr="003D4D81" w:rsidRDefault="00C230A9" w:rsidP="00850FAE">
            <w:pPr>
              <w:spacing w:after="0"/>
              <w:jc w:val="left"/>
              <w:rPr>
                <w:sz w:val="22"/>
                <w:szCs w:val="22"/>
                <w:lang w:val="sk-SK"/>
              </w:rPr>
            </w:pPr>
            <w:r w:rsidRPr="003D4D81">
              <w:rPr>
                <w:sz w:val="22"/>
                <w:szCs w:val="22"/>
                <w:lang w:val="sk-SK" w:eastAsia="en-GB"/>
              </w:rPr>
              <w:t>n</w:t>
            </w:r>
            <w:r w:rsidR="00FF2C65" w:rsidRPr="003D4D81">
              <w:rPr>
                <w:sz w:val="22"/>
                <w:szCs w:val="22"/>
                <w:lang w:val="sk-SK" w:eastAsia="en-GB"/>
              </w:rPr>
              <w:t>ekontrolovaný krvný tlak</w:t>
            </w:r>
          </w:p>
        </w:tc>
      </w:tr>
      <w:tr w:rsidR="00CD2DF9" w:rsidRPr="003D4D81" w:rsidTr="004842C0">
        <w:trPr>
          <w:trHeight w:val="283"/>
          <w:jc w:val="center"/>
        </w:trPr>
        <w:tc>
          <w:tcPr>
            <w:tcW w:w="3876" w:type="dxa"/>
            <w:vMerge/>
            <w:shd w:val="clear" w:color="auto" w:fill="auto"/>
          </w:tcPr>
          <w:p w:rsidR="00CD2DF9" w:rsidRPr="003D4D81" w:rsidRDefault="00CD2DF9" w:rsidP="00850FAE">
            <w:pPr>
              <w:spacing w:after="0"/>
              <w:jc w:val="left"/>
              <w:rPr>
                <w:b/>
                <w:sz w:val="22"/>
                <w:szCs w:val="22"/>
                <w:lang w:val="sk-SK"/>
              </w:rPr>
            </w:pPr>
          </w:p>
        </w:tc>
        <w:tc>
          <w:tcPr>
            <w:tcW w:w="1559" w:type="dxa"/>
            <w:shd w:val="clear" w:color="auto" w:fill="auto"/>
          </w:tcPr>
          <w:p w:rsidR="00CD2DF9" w:rsidRPr="003D4D81" w:rsidRDefault="00C230A9" w:rsidP="00DC7225">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r w:rsidR="00CD2DF9" w:rsidRPr="003D4D81">
              <w:rPr>
                <w:sz w:val="22"/>
                <w:szCs w:val="22"/>
                <w:vertAlign w:val="superscript"/>
                <w:lang w:val="sk-SK"/>
              </w:rPr>
              <w:t>*</w:t>
            </w:r>
          </w:p>
        </w:tc>
        <w:tc>
          <w:tcPr>
            <w:tcW w:w="4348" w:type="dxa"/>
            <w:shd w:val="clear" w:color="auto" w:fill="auto"/>
          </w:tcPr>
          <w:p w:rsidR="00CD2DF9" w:rsidRPr="003D4D81" w:rsidRDefault="00C230A9" w:rsidP="00FF2C65">
            <w:pPr>
              <w:spacing w:after="0"/>
              <w:jc w:val="left"/>
              <w:rPr>
                <w:sz w:val="22"/>
                <w:szCs w:val="22"/>
                <w:lang w:val="sk-SK"/>
              </w:rPr>
            </w:pPr>
            <w:r w:rsidRPr="003D4D81">
              <w:rPr>
                <w:sz w:val="22"/>
                <w:szCs w:val="22"/>
                <w:lang w:val="sk-SK" w:eastAsia="en-GB"/>
              </w:rPr>
              <w:t>h</w:t>
            </w:r>
            <w:r w:rsidR="00FF2C65" w:rsidRPr="003D4D81">
              <w:rPr>
                <w:sz w:val="22"/>
                <w:szCs w:val="22"/>
                <w:lang w:val="sk-SK" w:eastAsia="en-GB"/>
              </w:rPr>
              <w:t>ypotenzia, pravdepodobne súvisiaca s bradykardiou</w:t>
            </w:r>
          </w:p>
        </w:tc>
      </w:tr>
      <w:tr w:rsidR="00CD2DF9" w:rsidRPr="003D4D81" w:rsidTr="004842C0">
        <w:trPr>
          <w:trHeight w:val="510"/>
          <w:jc w:val="center"/>
        </w:trPr>
        <w:tc>
          <w:tcPr>
            <w:tcW w:w="3876" w:type="dxa"/>
            <w:shd w:val="clear" w:color="auto" w:fill="auto"/>
          </w:tcPr>
          <w:p w:rsidR="00CD2DF9" w:rsidRPr="003D4D81" w:rsidRDefault="00FF2C65" w:rsidP="00FF2C65">
            <w:pPr>
              <w:spacing w:after="0"/>
              <w:jc w:val="left"/>
              <w:rPr>
                <w:b/>
                <w:sz w:val="22"/>
                <w:szCs w:val="22"/>
                <w:lang w:val="sk-SK"/>
              </w:rPr>
            </w:pPr>
            <w:r w:rsidRPr="003D4D81">
              <w:rPr>
                <w:b/>
                <w:sz w:val="22"/>
                <w:szCs w:val="22"/>
                <w:lang w:val="sk-SK"/>
              </w:rPr>
              <w:t>Poruchy dýchacej sústavy,</w:t>
            </w:r>
            <w:r w:rsidRPr="003D4D81">
              <w:rPr>
                <w:sz w:val="22"/>
                <w:szCs w:val="22"/>
                <w:lang w:val="sk-SK"/>
              </w:rPr>
              <w:t xml:space="preserve"> </w:t>
            </w:r>
            <w:r w:rsidRPr="003D4D81">
              <w:rPr>
                <w:b/>
                <w:sz w:val="22"/>
                <w:szCs w:val="22"/>
                <w:lang w:val="sk-SK"/>
              </w:rPr>
              <w:t>hrudníka a mediastína</w:t>
            </w: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p>
        </w:tc>
        <w:tc>
          <w:tcPr>
            <w:tcW w:w="4348"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d</w:t>
            </w:r>
            <w:r w:rsidR="00FF2C65" w:rsidRPr="003D4D81">
              <w:rPr>
                <w:sz w:val="22"/>
                <w:szCs w:val="22"/>
                <w:lang w:val="sk-SK" w:eastAsia="en-GB"/>
              </w:rPr>
              <w:t>ýchavičnosť</w:t>
            </w:r>
          </w:p>
        </w:tc>
      </w:tr>
      <w:tr w:rsidR="00CD2DF9" w:rsidRPr="003D4D81" w:rsidTr="004842C0">
        <w:trPr>
          <w:trHeight w:val="1020"/>
          <w:jc w:val="center"/>
        </w:trPr>
        <w:tc>
          <w:tcPr>
            <w:tcW w:w="3876" w:type="dxa"/>
            <w:shd w:val="clear" w:color="auto" w:fill="auto"/>
          </w:tcPr>
          <w:p w:rsidR="00FF2C65" w:rsidRPr="003D4D81" w:rsidRDefault="00FF2C65" w:rsidP="00FF2C65">
            <w:pPr>
              <w:spacing w:after="0"/>
              <w:jc w:val="left"/>
              <w:rPr>
                <w:b/>
                <w:sz w:val="22"/>
                <w:szCs w:val="22"/>
                <w:lang w:val="sk-SK"/>
              </w:rPr>
            </w:pPr>
            <w:r w:rsidRPr="003D4D81">
              <w:rPr>
                <w:b/>
                <w:sz w:val="22"/>
                <w:szCs w:val="22"/>
                <w:lang w:val="sk-SK"/>
              </w:rPr>
              <w:t>Poruchy gastrointestinálneho</w:t>
            </w:r>
          </w:p>
          <w:p w:rsidR="00CD2DF9" w:rsidRPr="003D4D81" w:rsidRDefault="00FF2C65" w:rsidP="00FF2C65">
            <w:pPr>
              <w:spacing w:after="0"/>
              <w:jc w:val="left"/>
              <w:rPr>
                <w:b/>
                <w:sz w:val="22"/>
                <w:szCs w:val="22"/>
                <w:lang w:val="sk-SK"/>
              </w:rPr>
            </w:pPr>
            <w:r w:rsidRPr="003D4D81">
              <w:rPr>
                <w:b/>
                <w:sz w:val="22"/>
                <w:szCs w:val="22"/>
                <w:lang w:val="sk-SK"/>
              </w:rPr>
              <w:t>traktu</w:t>
            </w: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p>
        </w:tc>
        <w:tc>
          <w:tcPr>
            <w:tcW w:w="4348" w:type="dxa"/>
            <w:shd w:val="clear" w:color="auto" w:fill="auto"/>
          </w:tcPr>
          <w:p w:rsidR="00CD2DF9" w:rsidRPr="003D4D81" w:rsidRDefault="00C230A9" w:rsidP="00850FAE">
            <w:pPr>
              <w:spacing w:after="0"/>
              <w:jc w:val="left"/>
              <w:rPr>
                <w:sz w:val="22"/>
                <w:szCs w:val="22"/>
                <w:lang w:val="sk-SK"/>
              </w:rPr>
            </w:pPr>
            <w:r w:rsidRPr="003D4D81">
              <w:rPr>
                <w:sz w:val="22"/>
                <w:szCs w:val="22"/>
                <w:lang w:val="sk-SK"/>
              </w:rPr>
              <w:t>n</w:t>
            </w:r>
            <w:r w:rsidR="00FF2C65" w:rsidRPr="003D4D81">
              <w:rPr>
                <w:sz w:val="22"/>
                <w:szCs w:val="22"/>
                <w:lang w:val="sk-SK"/>
              </w:rPr>
              <w:t>auz</w:t>
            </w:r>
            <w:r w:rsidR="00CD2DF9" w:rsidRPr="003D4D81">
              <w:rPr>
                <w:sz w:val="22"/>
                <w:szCs w:val="22"/>
                <w:lang w:val="sk-SK"/>
              </w:rPr>
              <w:t>ea</w:t>
            </w:r>
          </w:p>
          <w:p w:rsidR="00CD2DF9" w:rsidRPr="003D4D81" w:rsidRDefault="00C230A9" w:rsidP="00850FAE">
            <w:pPr>
              <w:spacing w:after="0"/>
              <w:jc w:val="left"/>
              <w:rPr>
                <w:sz w:val="22"/>
                <w:szCs w:val="22"/>
                <w:lang w:val="sk-SK"/>
              </w:rPr>
            </w:pPr>
            <w:r w:rsidRPr="003D4D81">
              <w:rPr>
                <w:sz w:val="22"/>
                <w:szCs w:val="22"/>
                <w:lang w:val="sk-SK" w:eastAsia="en-GB"/>
              </w:rPr>
              <w:t>z</w:t>
            </w:r>
            <w:r w:rsidR="00FF2C65" w:rsidRPr="003D4D81">
              <w:rPr>
                <w:sz w:val="22"/>
                <w:szCs w:val="22"/>
                <w:lang w:val="sk-SK" w:eastAsia="en-GB"/>
              </w:rPr>
              <w:t>ápcha</w:t>
            </w:r>
          </w:p>
          <w:p w:rsidR="00CD2DF9" w:rsidRPr="003D4D81" w:rsidRDefault="00C230A9" w:rsidP="00850FAE">
            <w:pPr>
              <w:spacing w:after="0"/>
              <w:jc w:val="left"/>
              <w:rPr>
                <w:sz w:val="22"/>
                <w:szCs w:val="22"/>
                <w:lang w:val="sk-SK"/>
              </w:rPr>
            </w:pPr>
            <w:r w:rsidRPr="003D4D81">
              <w:rPr>
                <w:sz w:val="22"/>
                <w:szCs w:val="22"/>
                <w:lang w:val="sk-SK" w:eastAsia="en-GB"/>
              </w:rPr>
              <w:t>h</w:t>
            </w:r>
            <w:r w:rsidR="00FF2C65" w:rsidRPr="003D4D81">
              <w:rPr>
                <w:sz w:val="22"/>
                <w:szCs w:val="22"/>
                <w:lang w:val="sk-SK" w:eastAsia="en-GB"/>
              </w:rPr>
              <w:t>načka</w:t>
            </w:r>
          </w:p>
          <w:p w:rsidR="00CD2DF9" w:rsidRPr="003D4D81" w:rsidRDefault="00C230A9" w:rsidP="00850FAE">
            <w:pPr>
              <w:spacing w:after="0"/>
              <w:jc w:val="left"/>
              <w:rPr>
                <w:sz w:val="22"/>
                <w:szCs w:val="22"/>
                <w:lang w:val="sk-SK"/>
              </w:rPr>
            </w:pPr>
            <w:r w:rsidRPr="003D4D81">
              <w:rPr>
                <w:sz w:val="22"/>
                <w:szCs w:val="22"/>
                <w:lang w:val="sk-SK" w:eastAsia="en-GB"/>
              </w:rPr>
              <w:t>b</w:t>
            </w:r>
            <w:r w:rsidR="00FF2C65" w:rsidRPr="003D4D81">
              <w:rPr>
                <w:sz w:val="22"/>
                <w:szCs w:val="22"/>
                <w:lang w:val="sk-SK" w:eastAsia="en-GB"/>
              </w:rPr>
              <w:t>olesť brucha</w:t>
            </w:r>
            <w:r w:rsidR="00CD2DF9" w:rsidRPr="003D4D81">
              <w:rPr>
                <w:sz w:val="22"/>
                <w:szCs w:val="22"/>
                <w:vertAlign w:val="superscript"/>
                <w:lang w:val="sk-SK"/>
              </w:rPr>
              <w:t>*</w:t>
            </w:r>
          </w:p>
        </w:tc>
      </w:tr>
      <w:tr w:rsidR="00CD2DF9" w:rsidRPr="003D4D81" w:rsidTr="004842C0">
        <w:trPr>
          <w:trHeight w:val="510"/>
          <w:jc w:val="center"/>
        </w:trPr>
        <w:tc>
          <w:tcPr>
            <w:tcW w:w="3876" w:type="dxa"/>
            <w:vMerge w:val="restart"/>
            <w:shd w:val="clear" w:color="auto" w:fill="auto"/>
          </w:tcPr>
          <w:p w:rsidR="00FF2C65" w:rsidRPr="003D4D81" w:rsidRDefault="00FF2C65" w:rsidP="00FF2C65">
            <w:pPr>
              <w:spacing w:after="0"/>
              <w:jc w:val="left"/>
              <w:rPr>
                <w:b/>
                <w:sz w:val="22"/>
                <w:szCs w:val="22"/>
                <w:lang w:val="sk-SK"/>
              </w:rPr>
            </w:pPr>
            <w:r w:rsidRPr="003D4D81">
              <w:rPr>
                <w:b/>
                <w:sz w:val="22"/>
                <w:szCs w:val="22"/>
                <w:lang w:val="sk-SK"/>
              </w:rPr>
              <w:lastRenderedPageBreak/>
              <w:t>Poruchy kože a podkožného</w:t>
            </w:r>
          </w:p>
          <w:p w:rsidR="00CD2DF9" w:rsidRPr="003D4D81" w:rsidRDefault="00FF2C65" w:rsidP="00FF2C65">
            <w:pPr>
              <w:spacing w:after="0"/>
              <w:jc w:val="left"/>
              <w:rPr>
                <w:b/>
                <w:sz w:val="22"/>
                <w:szCs w:val="22"/>
                <w:lang w:val="sk-SK"/>
              </w:rPr>
            </w:pPr>
            <w:r w:rsidRPr="003D4D81">
              <w:rPr>
                <w:b/>
                <w:sz w:val="22"/>
                <w:szCs w:val="22"/>
                <w:lang w:val="sk-SK"/>
              </w:rPr>
              <w:t>tkaniva</w:t>
            </w: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m</w:t>
            </w:r>
            <w:r w:rsidR="00C47050" w:rsidRPr="003D4D81">
              <w:rPr>
                <w:sz w:val="22"/>
                <w:szCs w:val="22"/>
                <w:lang w:val="sk-SK" w:eastAsia="en-GB"/>
              </w:rPr>
              <w:t>enej časté</w:t>
            </w:r>
            <w:r w:rsidR="00C47050" w:rsidRPr="003D4D81">
              <w:rPr>
                <w:sz w:val="22"/>
                <w:szCs w:val="22"/>
                <w:vertAlign w:val="superscript"/>
                <w:lang w:val="sk-SK"/>
              </w:rPr>
              <w:t xml:space="preserve"> </w:t>
            </w:r>
            <w:r w:rsidR="00CD2DF9" w:rsidRPr="003D4D81">
              <w:rPr>
                <w:sz w:val="22"/>
                <w:szCs w:val="22"/>
                <w:vertAlign w:val="superscript"/>
                <w:lang w:val="sk-SK"/>
              </w:rPr>
              <w:t>*</w:t>
            </w:r>
          </w:p>
        </w:tc>
        <w:tc>
          <w:tcPr>
            <w:tcW w:w="4348"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a</w:t>
            </w:r>
            <w:r w:rsidR="00C32C85" w:rsidRPr="003D4D81">
              <w:rPr>
                <w:sz w:val="22"/>
                <w:szCs w:val="22"/>
                <w:lang w:val="sk-SK" w:eastAsia="en-GB"/>
              </w:rPr>
              <w:t>ngioedém</w:t>
            </w:r>
          </w:p>
          <w:p w:rsidR="00CD2DF9" w:rsidRPr="003D4D81" w:rsidRDefault="00C230A9" w:rsidP="00850FAE">
            <w:pPr>
              <w:spacing w:after="0"/>
              <w:jc w:val="left"/>
              <w:rPr>
                <w:sz w:val="22"/>
                <w:szCs w:val="22"/>
                <w:lang w:val="sk-SK"/>
              </w:rPr>
            </w:pPr>
            <w:r w:rsidRPr="003D4D81">
              <w:rPr>
                <w:sz w:val="22"/>
                <w:szCs w:val="22"/>
                <w:lang w:val="sk-SK" w:eastAsia="en-GB"/>
              </w:rPr>
              <w:t>v</w:t>
            </w:r>
            <w:r w:rsidR="00C32C85" w:rsidRPr="003D4D81">
              <w:rPr>
                <w:sz w:val="22"/>
                <w:szCs w:val="22"/>
                <w:lang w:val="sk-SK" w:eastAsia="en-GB"/>
              </w:rPr>
              <w:t>yrážka</w:t>
            </w:r>
          </w:p>
        </w:tc>
      </w:tr>
      <w:tr w:rsidR="00CD2DF9" w:rsidRPr="003D4D81" w:rsidTr="004842C0">
        <w:trPr>
          <w:trHeight w:val="737"/>
          <w:jc w:val="center"/>
        </w:trPr>
        <w:tc>
          <w:tcPr>
            <w:tcW w:w="3876" w:type="dxa"/>
            <w:vMerge/>
            <w:shd w:val="clear" w:color="auto" w:fill="auto"/>
          </w:tcPr>
          <w:p w:rsidR="00CD2DF9" w:rsidRPr="003D4D81" w:rsidRDefault="00CD2DF9" w:rsidP="00850FAE">
            <w:pPr>
              <w:spacing w:after="0"/>
              <w:jc w:val="left"/>
              <w:rPr>
                <w:b/>
                <w:sz w:val="22"/>
                <w:szCs w:val="22"/>
                <w:lang w:val="sk-SK"/>
              </w:rPr>
            </w:pP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z</w:t>
            </w:r>
            <w:r w:rsidR="00DC7225" w:rsidRPr="003D4D81">
              <w:rPr>
                <w:sz w:val="22"/>
                <w:szCs w:val="22"/>
                <w:lang w:val="sk-SK" w:eastAsia="en-GB"/>
              </w:rPr>
              <w:t>riedkavé</w:t>
            </w:r>
            <w:r w:rsidR="00DC7225" w:rsidRPr="003D4D81">
              <w:rPr>
                <w:sz w:val="22"/>
                <w:szCs w:val="22"/>
                <w:vertAlign w:val="superscript"/>
                <w:lang w:val="sk-SK"/>
              </w:rPr>
              <w:t xml:space="preserve"> </w:t>
            </w:r>
            <w:r w:rsidR="00CD2DF9" w:rsidRPr="003D4D81">
              <w:rPr>
                <w:sz w:val="22"/>
                <w:szCs w:val="22"/>
                <w:vertAlign w:val="superscript"/>
                <w:lang w:val="sk-SK"/>
              </w:rPr>
              <w:t>*</w:t>
            </w:r>
          </w:p>
        </w:tc>
        <w:tc>
          <w:tcPr>
            <w:tcW w:w="4348"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e</w:t>
            </w:r>
            <w:r w:rsidR="00C32C85" w:rsidRPr="003D4D81">
              <w:rPr>
                <w:sz w:val="22"/>
                <w:szCs w:val="22"/>
                <w:lang w:val="sk-SK" w:eastAsia="en-GB"/>
              </w:rPr>
              <w:t>rytém</w:t>
            </w:r>
          </w:p>
          <w:p w:rsidR="00CD2DF9" w:rsidRPr="003D4D81" w:rsidRDefault="00C230A9" w:rsidP="00850FAE">
            <w:pPr>
              <w:spacing w:after="0"/>
              <w:jc w:val="left"/>
              <w:rPr>
                <w:sz w:val="22"/>
                <w:szCs w:val="22"/>
                <w:lang w:val="sk-SK"/>
              </w:rPr>
            </w:pPr>
            <w:r w:rsidRPr="003D4D81">
              <w:rPr>
                <w:sz w:val="22"/>
                <w:szCs w:val="22"/>
                <w:lang w:val="sk-SK" w:eastAsia="en-GB"/>
              </w:rPr>
              <w:t>p</w:t>
            </w:r>
            <w:r w:rsidR="00C32C85" w:rsidRPr="003D4D81">
              <w:rPr>
                <w:sz w:val="22"/>
                <w:szCs w:val="22"/>
                <w:lang w:val="sk-SK" w:eastAsia="en-GB"/>
              </w:rPr>
              <w:t>ruritus</w:t>
            </w:r>
          </w:p>
          <w:p w:rsidR="00CD2DF9" w:rsidRPr="003D4D81" w:rsidRDefault="00C230A9" w:rsidP="00850FAE">
            <w:pPr>
              <w:spacing w:after="0"/>
              <w:jc w:val="left"/>
              <w:rPr>
                <w:sz w:val="22"/>
                <w:szCs w:val="22"/>
                <w:lang w:val="sk-SK"/>
              </w:rPr>
            </w:pPr>
            <w:r w:rsidRPr="003D4D81">
              <w:rPr>
                <w:sz w:val="22"/>
                <w:szCs w:val="22"/>
                <w:lang w:val="sk-SK" w:eastAsia="en-GB"/>
              </w:rPr>
              <w:t>u</w:t>
            </w:r>
            <w:r w:rsidR="00C32C85" w:rsidRPr="003D4D81">
              <w:rPr>
                <w:sz w:val="22"/>
                <w:szCs w:val="22"/>
                <w:lang w:val="sk-SK" w:eastAsia="en-GB"/>
              </w:rPr>
              <w:t>rtikária</w:t>
            </w:r>
          </w:p>
        </w:tc>
      </w:tr>
      <w:tr w:rsidR="00CD2DF9" w:rsidRPr="003D4D81" w:rsidTr="004842C0">
        <w:trPr>
          <w:trHeight w:val="510"/>
          <w:jc w:val="center"/>
        </w:trPr>
        <w:tc>
          <w:tcPr>
            <w:tcW w:w="3876" w:type="dxa"/>
            <w:shd w:val="clear" w:color="auto" w:fill="auto"/>
          </w:tcPr>
          <w:p w:rsidR="00CD2DF9" w:rsidRPr="003D4D81" w:rsidRDefault="00C32C85" w:rsidP="00C32C85">
            <w:pPr>
              <w:spacing w:after="0"/>
              <w:jc w:val="left"/>
              <w:rPr>
                <w:b/>
                <w:sz w:val="22"/>
                <w:szCs w:val="22"/>
                <w:lang w:val="sk-SK"/>
              </w:rPr>
            </w:pPr>
            <w:r w:rsidRPr="003D4D81">
              <w:rPr>
                <w:b/>
                <w:sz w:val="22"/>
                <w:szCs w:val="22"/>
                <w:lang w:val="sk-SK"/>
              </w:rPr>
              <w:t>Poruchy kostrovej a svalovej sústavy a spojivového tkaniva</w:t>
            </w: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m</w:t>
            </w:r>
            <w:r w:rsidR="00DC7225" w:rsidRPr="003D4D81">
              <w:rPr>
                <w:sz w:val="22"/>
                <w:szCs w:val="22"/>
                <w:lang w:val="sk-SK" w:eastAsia="en-GB"/>
              </w:rPr>
              <w:t>enej časté</w:t>
            </w:r>
          </w:p>
        </w:tc>
        <w:tc>
          <w:tcPr>
            <w:tcW w:w="4348" w:type="dxa"/>
            <w:shd w:val="clear" w:color="auto" w:fill="auto"/>
          </w:tcPr>
          <w:p w:rsidR="00CD2DF9" w:rsidRPr="003D4D81" w:rsidRDefault="00C230A9" w:rsidP="00C32C85">
            <w:pPr>
              <w:spacing w:after="0"/>
              <w:jc w:val="left"/>
              <w:rPr>
                <w:sz w:val="22"/>
                <w:szCs w:val="22"/>
                <w:lang w:val="sk-SK"/>
              </w:rPr>
            </w:pPr>
            <w:r w:rsidRPr="003D4D81">
              <w:rPr>
                <w:sz w:val="22"/>
                <w:szCs w:val="22"/>
                <w:lang w:val="sk-SK" w:eastAsia="en-GB"/>
              </w:rPr>
              <w:t>s</w:t>
            </w:r>
            <w:r w:rsidR="00C32C85" w:rsidRPr="003D4D81">
              <w:rPr>
                <w:sz w:val="22"/>
                <w:szCs w:val="22"/>
                <w:lang w:val="sk-SK" w:eastAsia="en-GB"/>
              </w:rPr>
              <w:t>valové kŕče</w:t>
            </w:r>
          </w:p>
        </w:tc>
      </w:tr>
      <w:tr w:rsidR="00CD2DF9" w:rsidRPr="003D4D81" w:rsidTr="004842C0">
        <w:trPr>
          <w:trHeight w:val="510"/>
          <w:jc w:val="center"/>
        </w:trPr>
        <w:tc>
          <w:tcPr>
            <w:tcW w:w="3876" w:type="dxa"/>
            <w:vMerge w:val="restart"/>
            <w:shd w:val="clear" w:color="auto" w:fill="auto"/>
          </w:tcPr>
          <w:p w:rsidR="00CD2DF9" w:rsidRPr="003D4D81" w:rsidRDefault="00C32C85" w:rsidP="00C32C85">
            <w:pPr>
              <w:spacing w:after="0"/>
              <w:jc w:val="left"/>
              <w:rPr>
                <w:b/>
                <w:sz w:val="22"/>
                <w:szCs w:val="22"/>
                <w:lang w:val="sk-SK"/>
              </w:rPr>
            </w:pPr>
            <w:r w:rsidRPr="003D4D81">
              <w:rPr>
                <w:b/>
                <w:sz w:val="22"/>
                <w:szCs w:val="22"/>
                <w:lang w:val="sk-SK"/>
              </w:rPr>
              <w:t>Celkové poruchy a reakcie v mieste podania</w:t>
            </w: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m</w:t>
            </w:r>
            <w:r w:rsidR="00DC7225" w:rsidRPr="003D4D81">
              <w:rPr>
                <w:sz w:val="22"/>
                <w:szCs w:val="22"/>
                <w:lang w:val="sk-SK" w:eastAsia="en-GB"/>
              </w:rPr>
              <w:t>enej časté</w:t>
            </w:r>
            <w:r w:rsidR="00DC7225" w:rsidRPr="003D4D81">
              <w:rPr>
                <w:sz w:val="22"/>
                <w:szCs w:val="22"/>
                <w:vertAlign w:val="superscript"/>
                <w:lang w:val="sk-SK"/>
              </w:rPr>
              <w:t xml:space="preserve"> </w:t>
            </w:r>
            <w:r w:rsidR="00CD2DF9" w:rsidRPr="003D4D81">
              <w:rPr>
                <w:sz w:val="22"/>
                <w:szCs w:val="22"/>
                <w:vertAlign w:val="superscript"/>
                <w:lang w:val="sk-SK"/>
              </w:rPr>
              <w:t>*</w:t>
            </w:r>
          </w:p>
        </w:tc>
        <w:tc>
          <w:tcPr>
            <w:tcW w:w="4348" w:type="dxa"/>
            <w:shd w:val="clear" w:color="auto" w:fill="auto"/>
          </w:tcPr>
          <w:p w:rsidR="00CD2DF9" w:rsidRPr="003D4D81" w:rsidRDefault="00C230A9" w:rsidP="00C32C85">
            <w:pPr>
              <w:autoSpaceDE w:val="0"/>
              <w:autoSpaceDN w:val="0"/>
              <w:adjustRightInd w:val="0"/>
              <w:spacing w:after="0"/>
              <w:jc w:val="left"/>
              <w:rPr>
                <w:sz w:val="22"/>
                <w:szCs w:val="22"/>
                <w:lang w:val="sk-SK"/>
              </w:rPr>
            </w:pPr>
            <w:r w:rsidRPr="003D4D81">
              <w:rPr>
                <w:sz w:val="22"/>
                <w:szCs w:val="22"/>
                <w:lang w:val="sk-SK" w:eastAsia="en-GB"/>
              </w:rPr>
              <w:t>a</w:t>
            </w:r>
            <w:r w:rsidR="00C32C85" w:rsidRPr="003D4D81">
              <w:rPr>
                <w:sz w:val="22"/>
                <w:szCs w:val="22"/>
                <w:lang w:val="sk-SK" w:eastAsia="en-GB"/>
              </w:rPr>
              <w:t>sténia, pravdepodobne súvisiaca s bradykardiou</w:t>
            </w:r>
          </w:p>
          <w:p w:rsidR="00CD2DF9" w:rsidRPr="003D4D81" w:rsidRDefault="00C230A9" w:rsidP="00C32C85">
            <w:pPr>
              <w:autoSpaceDE w:val="0"/>
              <w:autoSpaceDN w:val="0"/>
              <w:adjustRightInd w:val="0"/>
              <w:spacing w:after="0"/>
              <w:jc w:val="left"/>
              <w:rPr>
                <w:sz w:val="22"/>
                <w:szCs w:val="22"/>
                <w:lang w:val="sk-SK"/>
              </w:rPr>
            </w:pPr>
            <w:r w:rsidRPr="003D4D81">
              <w:rPr>
                <w:sz w:val="22"/>
                <w:szCs w:val="22"/>
                <w:lang w:val="sk-SK" w:eastAsia="en-GB"/>
              </w:rPr>
              <w:t>ú</w:t>
            </w:r>
            <w:r w:rsidR="00C32C85" w:rsidRPr="003D4D81">
              <w:rPr>
                <w:sz w:val="22"/>
                <w:szCs w:val="22"/>
                <w:lang w:val="sk-SK" w:eastAsia="en-GB"/>
              </w:rPr>
              <w:t>nava, pravdepodobne súvisiaca s bradykardiou</w:t>
            </w:r>
          </w:p>
        </w:tc>
      </w:tr>
      <w:tr w:rsidR="00800818" w:rsidRPr="003D4D81" w:rsidTr="004842C0">
        <w:trPr>
          <w:trHeight w:val="283"/>
          <w:jc w:val="center"/>
        </w:trPr>
        <w:tc>
          <w:tcPr>
            <w:tcW w:w="3876" w:type="dxa"/>
            <w:vMerge/>
            <w:shd w:val="clear" w:color="auto" w:fill="auto"/>
          </w:tcPr>
          <w:p w:rsidR="00800818" w:rsidRPr="003D4D81" w:rsidRDefault="00800818" w:rsidP="00850FAE">
            <w:pPr>
              <w:spacing w:after="0"/>
              <w:jc w:val="left"/>
              <w:rPr>
                <w:b/>
                <w:sz w:val="22"/>
                <w:szCs w:val="22"/>
                <w:lang w:val="sk-SK"/>
              </w:rPr>
            </w:pPr>
          </w:p>
        </w:tc>
        <w:tc>
          <w:tcPr>
            <w:tcW w:w="1559" w:type="dxa"/>
            <w:shd w:val="clear" w:color="auto" w:fill="auto"/>
          </w:tcPr>
          <w:p w:rsidR="00800818" w:rsidRPr="003D4D81" w:rsidRDefault="00C230A9" w:rsidP="00850FAE">
            <w:pPr>
              <w:spacing w:after="0"/>
              <w:jc w:val="left"/>
              <w:rPr>
                <w:sz w:val="22"/>
                <w:szCs w:val="22"/>
                <w:lang w:val="sk-SK"/>
              </w:rPr>
            </w:pPr>
            <w:r w:rsidRPr="003D4D81">
              <w:rPr>
                <w:sz w:val="22"/>
                <w:szCs w:val="22"/>
                <w:lang w:val="sk-SK" w:eastAsia="en-GB"/>
              </w:rPr>
              <w:t>z</w:t>
            </w:r>
            <w:r w:rsidR="00DC7225" w:rsidRPr="003D4D81">
              <w:rPr>
                <w:sz w:val="22"/>
                <w:szCs w:val="22"/>
                <w:lang w:val="sk-SK" w:eastAsia="en-GB"/>
              </w:rPr>
              <w:t>riedkavé</w:t>
            </w:r>
            <w:r w:rsidR="00DC7225" w:rsidRPr="003D4D81">
              <w:rPr>
                <w:sz w:val="22"/>
                <w:szCs w:val="22"/>
                <w:vertAlign w:val="superscript"/>
                <w:lang w:val="sk-SK"/>
              </w:rPr>
              <w:t xml:space="preserve"> </w:t>
            </w:r>
            <w:r w:rsidR="00CD2DF9" w:rsidRPr="003D4D81">
              <w:rPr>
                <w:sz w:val="22"/>
                <w:szCs w:val="22"/>
                <w:vertAlign w:val="superscript"/>
                <w:lang w:val="sk-SK"/>
              </w:rPr>
              <w:t>*</w:t>
            </w:r>
          </w:p>
        </w:tc>
        <w:tc>
          <w:tcPr>
            <w:tcW w:w="4348" w:type="dxa"/>
            <w:shd w:val="clear" w:color="auto" w:fill="auto"/>
          </w:tcPr>
          <w:p w:rsidR="00800818" w:rsidRPr="003D4D81" w:rsidRDefault="00C230A9" w:rsidP="00601DBF">
            <w:pPr>
              <w:autoSpaceDE w:val="0"/>
              <w:autoSpaceDN w:val="0"/>
              <w:adjustRightInd w:val="0"/>
              <w:spacing w:after="0"/>
              <w:jc w:val="left"/>
              <w:rPr>
                <w:sz w:val="22"/>
                <w:szCs w:val="22"/>
                <w:lang w:val="sk-SK"/>
              </w:rPr>
            </w:pPr>
            <w:r w:rsidRPr="003D4D81">
              <w:rPr>
                <w:sz w:val="22"/>
                <w:szCs w:val="22"/>
                <w:lang w:val="sk-SK" w:eastAsia="en-GB"/>
              </w:rPr>
              <w:t>c</w:t>
            </w:r>
            <w:r w:rsidR="00601DBF" w:rsidRPr="003D4D81">
              <w:rPr>
                <w:sz w:val="22"/>
                <w:szCs w:val="22"/>
                <w:lang w:val="sk-SK" w:eastAsia="en-GB"/>
              </w:rPr>
              <w:t>elková n</w:t>
            </w:r>
            <w:r w:rsidR="00C32C85" w:rsidRPr="003D4D81">
              <w:rPr>
                <w:sz w:val="22"/>
                <w:szCs w:val="22"/>
                <w:lang w:val="sk-SK" w:eastAsia="en-GB"/>
              </w:rPr>
              <w:t>evoľnosť, pravdepodobne súvisiaca s bradykardiou</w:t>
            </w:r>
          </w:p>
        </w:tc>
      </w:tr>
      <w:tr w:rsidR="00CD2DF9" w:rsidRPr="003D4D81" w:rsidTr="004842C0">
        <w:trPr>
          <w:trHeight w:val="510"/>
          <w:jc w:val="center"/>
        </w:trPr>
        <w:tc>
          <w:tcPr>
            <w:tcW w:w="3876" w:type="dxa"/>
            <w:shd w:val="clear" w:color="auto" w:fill="auto"/>
          </w:tcPr>
          <w:p w:rsidR="00CD2DF9" w:rsidRPr="003D4D81" w:rsidRDefault="00C32C85" w:rsidP="00C32C85">
            <w:pPr>
              <w:spacing w:after="0"/>
              <w:jc w:val="left"/>
              <w:rPr>
                <w:b/>
                <w:sz w:val="22"/>
                <w:szCs w:val="22"/>
                <w:lang w:val="sk-SK"/>
              </w:rPr>
            </w:pPr>
            <w:r w:rsidRPr="003D4D81">
              <w:rPr>
                <w:b/>
                <w:sz w:val="22"/>
                <w:szCs w:val="22"/>
                <w:lang w:val="sk-SK"/>
              </w:rPr>
              <w:t>Laboratórne a funkčné vyšetrenia</w:t>
            </w:r>
          </w:p>
        </w:tc>
        <w:tc>
          <w:tcPr>
            <w:tcW w:w="1559"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m</w:t>
            </w:r>
            <w:r w:rsidR="00DC7225" w:rsidRPr="003D4D81">
              <w:rPr>
                <w:sz w:val="22"/>
                <w:szCs w:val="22"/>
                <w:lang w:val="sk-SK" w:eastAsia="en-GB"/>
              </w:rPr>
              <w:t>enej časté</w:t>
            </w:r>
          </w:p>
        </w:tc>
        <w:tc>
          <w:tcPr>
            <w:tcW w:w="4348" w:type="dxa"/>
            <w:shd w:val="clear" w:color="auto" w:fill="auto"/>
          </w:tcPr>
          <w:p w:rsidR="00CD2DF9" w:rsidRPr="003D4D81" w:rsidRDefault="00C230A9" w:rsidP="00850FAE">
            <w:pPr>
              <w:spacing w:after="0"/>
              <w:jc w:val="left"/>
              <w:rPr>
                <w:sz w:val="22"/>
                <w:szCs w:val="22"/>
                <w:lang w:val="sk-SK"/>
              </w:rPr>
            </w:pPr>
            <w:r w:rsidRPr="003D4D81">
              <w:rPr>
                <w:sz w:val="22"/>
                <w:szCs w:val="22"/>
                <w:lang w:val="sk-SK" w:eastAsia="en-GB"/>
              </w:rPr>
              <w:t>z</w:t>
            </w:r>
            <w:r w:rsidR="00C32C85" w:rsidRPr="003D4D81">
              <w:rPr>
                <w:sz w:val="22"/>
                <w:szCs w:val="22"/>
                <w:lang w:val="sk-SK" w:eastAsia="en-GB"/>
              </w:rPr>
              <w:t>výšená hladina kreatinínu v krvi</w:t>
            </w:r>
          </w:p>
          <w:p w:rsidR="00CD2DF9" w:rsidRPr="003D4D81" w:rsidRDefault="00C230A9" w:rsidP="00850FAE">
            <w:pPr>
              <w:spacing w:after="0"/>
              <w:jc w:val="left"/>
              <w:rPr>
                <w:sz w:val="22"/>
                <w:szCs w:val="22"/>
                <w:lang w:val="sk-SK"/>
              </w:rPr>
            </w:pPr>
            <w:r w:rsidRPr="003D4D81">
              <w:rPr>
                <w:sz w:val="22"/>
                <w:szCs w:val="22"/>
                <w:lang w:val="sk-SK" w:eastAsia="en-GB"/>
              </w:rPr>
              <w:t>p</w:t>
            </w:r>
            <w:r w:rsidR="00C32C85" w:rsidRPr="003D4D81">
              <w:rPr>
                <w:sz w:val="22"/>
                <w:szCs w:val="22"/>
                <w:lang w:val="sk-SK" w:eastAsia="en-GB"/>
              </w:rPr>
              <w:t>redĺžený interval QT na EKG</w:t>
            </w:r>
          </w:p>
        </w:tc>
      </w:tr>
    </w:tbl>
    <w:p w:rsidR="00CD2DF9" w:rsidRPr="003D4D81" w:rsidRDefault="00CD2DF9" w:rsidP="00C32C85">
      <w:pPr>
        <w:autoSpaceDE w:val="0"/>
        <w:autoSpaceDN w:val="0"/>
        <w:adjustRightInd w:val="0"/>
        <w:spacing w:after="0"/>
        <w:jc w:val="left"/>
        <w:rPr>
          <w:sz w:val="22"/>
          <w:szCs w:val="22"/>
          <w:lang w:val="sk-SK"/>
        </w:rPr>
      </w:pPr>
      <w:r w:rsidRPr="003D4D81">
        <w:rPr>
          <w:sz w:val="22"/>
          <w:szCs w:val="22"/>
          <w:vertAlign w:val="superscript"/>
          <w:lang w:val="sk-SK"/>
        </w:rPr>
        <w:t>*</w:t>
      </w:r>
      <w:r w:rsidRPr="003D4D81">
        <w:rPr>
          <w:sz w:val="22"/>
          <w:szCs w:val="22"/>
          <w:lang w:val="sk-SK"/>
        </w:rPr>
        <w:t xml:space="preserve"> </w:t>
      </w:r>
      <w:r w:rsidR="00C32C85" w:rsidRPr="003D4D81">
        <w:rPr>
          <w:sz w:val="22"/>
          <w:szCs w:val="22"/>
          <w:lang w:val="sk-SK" w:eastAsia="en-GB"/>
        </w:rPr>
        <w:t>Frekvencia vypočítaná z klinických štúdií, v ktorých boli nežiaduce účinky zaznamenané zo spontánnych hlásení</w:t>
      </w:r>
      <w:r w:rsidR="00D97863" w:rsidRPr="003D4D81">
        <w:rPr>
          <w:sz w:val="22"/>
          <w:szCs w:val="22"/>
          <w:lang w:val="sk-SK"/>
        </w:rPr>
        <w:t>.</w:t>
      </w:r>
    </w:p>
    <w:p w:rsidR="00D97863" w:rsidRPr="003D4D81" w:rsidRDefault="00D97863" w:rsidP="00572196">
      <w:pPr>
        <w:spacing w:after="0"/>
        <w:jc w:val="left"/>
        <w:rPr>
          <w:sz w:val="22"/>
          <w:szCs w:val="22"/>
          <w:lang w:val="sk-SK"/>
        </w:rPr>
      </w:pPr>
    </w:p>
    <w:p w:rsidR="00CD2DF9" w:rsidRPr="003D4D81" w:rsidRDefault="00C32C85" w:rsidP="00572196">
      <w:pPr>
        <w:spacing w:after="0"/>
        <w:jc w:val="left"/>
        <w:rPr>
          <w:sz w:val="22"/>
          <w:szCs w:val="22"/>
          <w:u w:val="single"/>
          <w:lang w:val="sk-SK"/>
        </w:rPr>
      </w:pPr>
      <w:r w:rsidRPr="003D4D81">
        <w:rPr>
          <w:sz w:val="22"/>
          <w:szCs w:val="22"/>
          <w:u w:val="single"/>
          <w:lang w:val="sk-SK"/>
        </w:rPr>
        <w:t>Popis vybraných nežiaducich reakcií</w:t>
      </w:r>
    </w:p>
    <w:p w:rsidR="00CD2DF9" w:rsidRPr="003D4D81" w:rsidRDefault="00C32C85" w:rsidP="00C32C85">
      <w:pPr>
        <w:autoSpaceDE w:val="0"/>
        <w:autoSpaceDN w:val="0"/>
        <w:adjustRightInd w:val="0"/>
        <w:spacing w:after="0"/>
        <w:jc w:val="left"/>
        <w:rPr>
          <w:sz w:val="22"/>
          <w:szCs w:val="22"/>
          <w:lang w:val="sk-SK"/>
        </w:rPr>
      </w:pPr>
      <w:r w:rsidRPr="003D4D81">
        <w:rPr>
          <w:sz w:val="22"/>
          <w:szCs w:val="22"/>
          <w:lang w:val="sk-SK" w:eastAsia="en-GB"/>
        </w:rPr>
        <w:t>Svetelné fenomény (fosfény) boli hlásené u 14,5</w:t>
      </w:r>
      <w:r w:rsidR="00C230A9" w:rsidRPr="003D4D81">
        <w:rPr>
          <w:sz w:val="22"/>
          <w:szCs w:val="22"/>
          <w:lang w:val="sk-SK" w:eastAsia="en-GB"/>
        </w:rPr>
        <w:t> %</w:t>
      </w:r>
      <w:r w:rsidRPr="003D4D81">
        <w:rPr>
          <w:sz w:val="22"/>
          <w:szCs w:val="22"/>
          <w:lang w:val="sk-SK" w:eastAsia="en-GB"/>
        </w:rPr>
        <w:t xml:space="preserve"> pacientov, popisované ako prechodné zvýšenie jasu v</w:t>
      </w:r>
      <w:r w:rsidR="00C230A9" w:rsidRPr="003D4D81">
        <w:rPr>
          <w:sz w:val="22"/>
          <w:szCs w:val="22"/>
          <w:lang w:val="sk-SK" w:eastAsia="en-GB"/>
        </w:rPr>
        <w:t> </w:t>
      </w:r>
      <w:r w:rsidRPr="003D4D81">
        <w:rPr>
          <w:sz w:val="22"/>
          <w:szCs w:val="22"/>
          <w:lang w:val="sk-SK" w:eastAsia="en-GB"/>
        </w:rPr>
        <w:t xml:space="preserve">ohraničenej oblasti </w:t>
      </w:r>
      <w:r w:rsidR="00601DBF" w:rsidRPr="003D4D81">
        <w:rPr>
          <w:sz w:val="22"/>
          <w:szCs w:val="22"/>
          <w:lang w:val="sk-SK" w:eastAsia="en-GB"/>
        </w:rPr>
        <w:t xml:space="preserve">zrakového </w:t>
      </w:r>
      <w:r w:rsidRPr="003D4D81">
        <w:rPr>
          <w:sz w:val="22"/>
          <w:szCs w:val="22"/>
          <w:lang w:val="sk-SK" w:eastAsia="en-GB"/>
        </w:rPr>
        <w:t>poľa. Zvyčajne sú vyvolávané náhlymi zmenami v intenzite svetla. Fosfény môžu byť taktiež popisované ako prstenec svetla (halo), rozloženie obrazu (stroboskopické alebo kaleidoskopické efekty), farebné jasné svetlá, alebo mnohopočetný obraz (retinálna perzistencia). Nástup fosfénov sa vyskytuje zvyčajne počas prvých dvoch mesiacov liečby, potom sa môžu objavovať opakovane. Zvyčajne sa zaznamenali fosfény s</w:t>
      </w:r>
      <w:r w:rsidR="00F95B0E" w:rsidRPr="003D4D81">
        <w:rPr>
          <w:sz w:val="22"/>
          <w:szCs w:val="22"/>
          <w:lang w:val="sk-SK" w:eastAsia="en-GB"/>
        </w:rPr>
        <w:t xml:space="preserve"> </w:t>
      </w:r>
      <w:r w:rsidRPr="003D4D81">
        <w:rPr>
          <w:sz w:val="22"/>
          <w:szCs w:val="22"/>
          <w:lang w:val="sk-SK" w:eastAsia="en-GB"/>
        </w:rPr>
        <w:t xml:space="preserve">miernou </w:t>
      </w:r>
      <w:r w:rsidR="00F95B0E" w:rsidRPr="006411FF">
        <w:rPr>
          <w:sz w:val="22"/>
          <w:szCs w:val="22"/>
          <w:lang w:val="sk-SK"/>
        </w:rPr>
        <w:t>až stredne silnou</w:t>
      </w:r>
      <w:r w:rsidR="00F95B0E" w:rsidRPr="003D4D81">
        <w:rPr>
          <w:sz w:val="22"/>
          <w:szCs w:val="22"/>
          <w:lang w:val="sk-SK" w:eastAsia="en-GB"/>
        </w:rPr>
        <w:t xml:space="preserve"> </w:t>
      </w:r>
      <w:r w:rsidRPr="003D4D81">
        <w:rPr>
          <w:sz w:val="22"/>
          <w:szCs w:val="22"/>
          <w:lang w:val="sk-SK" w:eastAsia="en-GB"/>
        </w:rPr>
        <w:t>intenzitou. Všetky fosfény ustúpili počas liečby alebo po nej, väčšina z nich (77,5</w:t>
      </w:r>
      <w:r w:rsidR="00C230A9" w:rsidRPr="003D4D81">
        <w:rPr>
          <w:sz w:val="22"/>
          <w:szCs w:val="22"/>
          <w:lang w:val="sk-SK" w:eastAsia="en-GB"/>
        </w:rPr>
        <w:t> %</w:t>
      </w:r>
      <w:r w:rsidRPr="003D4D81">
        <w:rPr>
          <w:sz w:val="22"/>
          <w:szCs w:val="22"/>
          <w:lang w:val="sk-SK" w:eastAsia="en-GB"/>
        </w:rPr>
        <w:t>) ustúpila počas liečby. V súvislosti s fosfénmi menej ako 1</w:t>
      </w:r>
      <w:r w:rsidR="00C230A9" w:rsidRPr="003D4D81">
        <w:rPr>
          <w:sz w:val="22"/>
          <w:szCs w:val="22"/>
          <w:lang w:val="sk-SK" w:eastAsia="en-GB"/>
        </w:rPr>
        <w:t> %</w:t>
      </w:r>
      <w:r w:rsidRPr="003D4D81">
        <w:rPr>
          <w:sz w:val="22"/>
          <w:szCs w:val="22"/>
          <w:lang w:val="sk-SK" w:eastAsia="en-GB"/>
        </w:rPr>
        <w:t xml:space="preserve"> pacientov zmenilo svoj bežný denný režim alebo prerušilo liečbu.</w:t>
      </w:r>
    </w:p>
    <w:p w:rsidR="001560F4" w:rsidRPr="003D4D81" w:rsidRDefault="001560F4" w:rsidP="00572196">
      <w:pPr>
        <w:spacing w:after="0"/>
        <w:jc w:val="left"/>
        <w:rPr>
          <w:sz w:val="22"/>
          <w:szCs w:val="22"/>
          <w:lang w:val="sk-SK"/>
        </w:rPr>
      </w:pPr>
    </w:p>
    <w:p w:rsidR="00CD2DF9" w:rsidRPr="003D4D81" w:rsidRDefault="00C32C85" w:rsidP="00C32C85">
      <w:pPr>
        <w:autoSpaceDE w:val="0"/>
        <w:autoSpaceDN w:val="0"/>
        <w:adjustRightInd w:val="0"/>
        <w:spacing w:after="0"/>
        <w:jc w:val="left"/>
        <w:rPr>
          <w:sz w:val="22"/>
          <w:szCs w:val="22"/>
          <w:lang w:val="sk-SK"/>
        </w:rPr>
      </w:pPr>
      <w:r w:rsidRPr="003D4D81">
        <w:rPr>
          <w:sz w:val="22"/>
          <w:szCs w:val="22"/>
          <w:lang w:val="sk-SK" w:eastAsia="en-GB"/>
        </w:rPr>
        <w:t>Bradykardia bola hlásená u 3,3</w:t>
      </w:r>
      <w:r w:rsidR="00C230A9" w:rsidRPr="003D4D81">
        <w:rPr>
          <w:sz w:val="22"/>
          <w:szCs w:val="22"/>
          <w:lang w:val="sk-SK" w:eastAsia="en-GB"/>
        </w:rPr>
        <w:t> %</w:t>
      </w:r>
      <w:r w:rsidRPr="003D4D81">
        <w:rPr>
          <w:sz w:val="22"/>
          <w:szCs w:val="22"/>
          <w:lang w:val="sk-SK" w:eastAsia="en-GB"/>
        </w:rPr>
        <w:t xml:space="preserve"> pacientov, najmä počas prvých 2 až 3 mesiacov po začatí liečby. 0,5</w:t>
      </w:r>
      <w:r w:rsidR="00C230A9" w:rsidRPr="003D4D81">
        <w:rPr>
          <w:sz w:val="22"/>
          <w:szCs w:val="22"/>
          <w:lang w:val="sk-SK" w:eastAsia="en-GB"/>
        </w:rPr>
        <w:t> %</w:t>
      </w:r>
      <w:r w:rsidRPr="003D4D81">
        <w:rPr>
          <w:sz w:val="22"/>
          <w:szCs w:val="22"/>
          <w:lang w:val="sk-SK" w:eastAsia="en-GB"/>
        </w:rPr>
        <w:t xml:space="preserve"> pacientov pocítilo ťažkú bradykardiu pod alebo rovnú 40</w:t>
      </w:r>
      <w:r w:rsidR="00C230A9" w:rsidRPr="003D4D81">
        <w:rPr>
          <w:sz w:val="22"/>
          <w:szCs w:val="22"/>
          <w:lang w:val="sk-SK" w:eastAsia="en-GB"/>
        </w:rPr>
        <w:t> </w:t>
      </w:r>
      <w:r w:rsidRPr="003D4D81">
        <w:rPr>
          <w:sz w:val="22"/>
          <w:szCs w:val="22"/>
          <w:lang w:val="sk-SK" w:eastAsia="en-GB"/>
        </w:rPr>
        <w:t>údero</w:t>
      </w:r>
      <w:r w:rsidR="00C230A9" w:rsidRPr="003D4D81">
        <w:rPr>
          <w:sz w:val="22"/>
          <w:szCs w:val="22"/>
          <w:lang w:val="sk-SK" w:eastAsia="en-GB"/>
        </w:rPr>
        <w:t>v</w:t>
      </w:r>
      <w:r w:rsidRPr="003D4D81">
        <w:rPr>
          <w:sz w:val="22"/>
          <w:szCs w:val="22"/>
          <w:lang w:val="sk-SK" w:eastAsia="en-GB"/>
        </w:rPr>
        <w:t>/min</w:t>
      </w:r>
      <w:r w:rsidR="00CD2DF9" w:rsidRPr="003D4D81">
        <w:rPr>
          <w:sz w:val="22"/>
          <w:szCs w:val="22"/>
          <w:lang w:val="sk-SK"/>
        </w:rPr>
        <w:t>.</w:t>
      </w:r>
    </w:p>
    <w:p w:rsidR="00D97863" w:rsidRPr="003D4D81" w:rsidRDefault="00D97863" w:rsidP="00572196">
      <w:pPr>
        <w:spacing w:after="0"/>
        <w:jc w:val="left"/>
        <w:rPr>
          <w:sz w:val="22"/>
          <w:szCs w:val="22"/>
          <w:lang w:val="sk-SK"/>
        </w:rPr>
      </w:pPr>
    </w:p>
    <w:p w:rsidR="002D0840" w:rsidRPr="003D4D81" w:rsidRDefault="00C32C85" w:rsidP="00C32C85">
      <w:pPr>
        <w:autoSpaceDE w:val="0"/>
        <w:autoSpaceDN w:val="0"/>
        <w:adjustRightInd w:val="0"/>
        <w:spacing w:after="0"/>
        <w:jc w:val="left"/>
        <w:rPr>
          <w:sz w:val="22"/>
          <w:szCs w:val="22"/>
          <w:lang w:val="sk-SK"/>
        </w:rPr>
      </w:pPr>
      <w:r w:rsidRPr="003D4D81">
        <w:rPr>
          <w:sz w:val="22"/>
          <w:szCs w:val="22"/>
          <w:lang w:val="sk-SK" w:eastAsia="en-GB"/>
        </w:rPr>
        <w:t>V štúdii SIGNIFY bola pozorovaná predsieňová fibrilácia u 5,3</w:t>
      </w:r>
      <w:r w:rsidR="00C230A9" w:rsidRPr="003D4D81">
        <w:rPr>
          <w:sz w:val="22"/>
          <w:szCs w:val="22"/>
          <w:lang w:val="sk-SK" w:eastAsia="en-GB"/>
        </w:rPr>
        <w:t> %</w:t>
      </w:r>
      <w:r w:rsidRPr="003D4D81">
        <w:rPr>
          <w:sz w:val="22"/>
          <w:szCs w:val="22"/>
          <w:lang w:val="sk-SK" w:eastAsia="en-GB"/>
        </w:rPr>
        <w:t xml:space="preserve"> pacientov užívajúcich ivabradín v</w:t>
      </w:r>
      <w:r w:rsidR="00C230A9" w:rsidRPr="003D4D81">
        <w:rPr>
          <w:sz w:val="22"/>
          <w:szCs w:val="22"/>
          <w:lang w:val="sk-SK" w:eastAsia="en-GB"/>
        </w:rPr>
        <w:t> </w:t>
      </w:r>
      <w:r w:rsidRPr="003D4D81">
        <w:rPr>
          <w:sz w:val="22"/>
          <w:szCs w:val="22"/>
          <w:lang w:val="sk-SK" w:eastAsia="en-GB"/>
        </w:rPr>
        <w:t>porovnaní s 3,8</w:t>
      </w:r>
      <w:r w:rsidR="00C230A9" w:rsidRPr="003D4D81">
        <w:rPr>
          <w:sz w:val="22"/>
          <w:szCs w:val="22"/>
          <w:lang w:val="sk-SK" w:eastAsia="en-GB"/>
        </w:rPr>
        <w:t> %</w:t>
      </w:r>
      <w:r w:rsidRPr="003D4D81">
        <w:rPr>
          <w:sz w:val="22"/>
          <w:szCs w:val="22"/>
          <w:lang w:val="sk-SK" w:eastAsia="en-GB"/>
        </w:rPr>
        <w:t xml:space="preserve"> v skupine s placebom. V združenej analýze všetkých dvojito zaslepených kontrolovaných klinických skúšaní fázy II/III trvajúcich najmenej 3 mesiace zahŕňajúcich viac ako 40</w:t>
      </w:r>
      <w:r w:rsidR="00C230A9" w:rsidRPr="003D4D81">
        <w:rPr>
          <w:sz w:val="22"/>
          <w:szCs w:val="22"/>
          <w:lang w:val="sk-SK" w:eastAsia="en-GB"/>
        </w:rPr>
        <w:t> </w:t>
      </w:r>
      <w:r w:rsidRPr="003D4D81">
        <w:rPr>
          <w:sz w:val="22"/>
          <w:szCs w:val="22"/>
          <w:lang w:val="sk-SK" w:eastAsia="en-GB"/>
        </w:rPr>
        <w:t>000</w:t>
      </w:r>
      <w:r w:rsidR="00C230A9" w:rsidRPr="003D4D81">
        <w:rPr>
          <w:sz w:val="22"/>
          <w:szCs w:val="22"/>
          <w:lang w:val="sk-SK" w:eastAsia="en-GB"/>
        </w:rPr>
        <w:t> </w:t>
      </w:r>
      <w:r w:rsidRPr="003D4D81">
        <w:rPr>
          <w:sz w:val="22"/>
          <w:szCs w:val="22"/>
          <w:lang w:val="sk-SK" w:eastAsia="en-GB"/>
        </w:rPr>
        <w:t>pacientov bol výskyt predsieňovej fibrilácie 4,86</w:t>
      </w:r>
      <w:r w:rsidR="00C230A9" w:rsidRPr="003D4D81">
        <w:rPr>
          <w:sz w:val="22"/>
          <w:szCs w:val="22"/>
          <w:lang w:val="sk-SK" w:eastAsia="en-GB"/>
        </w:rPr>
        <w:t> %</w:t>
      </w:r>
      <w:r w:rsidRPr="003D4D81">
        <w:rPr>
          <w:sz w:val="22"/>
          <w:szCs w:val="22"/>
          <w:lang w:val="sk-SK" w:eastAsia="en-GB"/>
        </w:rPr>
        <w:t xml:space="preserve"> u pacientov liečených ivabradínom v</w:t>
      </w:r>
      <w:r w:rsidR="00C230A9" w:rsidRPr="003D4D81">
        <w:rPr>
          <w:sz w:val="22"/>
          <w:szCs w:val="22"/>
          <w:lang w:val="sk-SK" w:eastAsia="en-GB"/>
        </w:rPr>
        <w:t> </w:t>
      </w:r>
      <w:r w:rsidRPr="003D4D81">
        <w:rPr>
          <w:sz w:val="22"/>
          <w:szCs w:val="22"/>
          <w:lang w:val="sk-SK" w:eastAsia="en-GB"/>
        </w:rPr>
        <w:t>porovnaní s 4,08</w:t>
      </w:r>
      <w:r w:rsidR="00C230A9" w:rsidRPr="003D4D81">
        <w:rPr>
          <w:sz w:val="22"/>
          <w:szCs w:val="22"/>
          <w:lang w:val="sk-SK" w:eastAsia="en-GB"/>
        </w:rPr>
        <w:t> %</w:t>
      </w:r>
      <w:r w:rsidRPr="003D4D81">
        <w:rPr>
          <w:sz w:val="22"/>
          <w:szCs w:val="22"/>
          <w:lang w:val="sk-SK" w:eastAsia="en-GB"/>
        </w:rPr>
        <w:t xml:space="preserve"> u kontrolnej skupiny, čo zodpovedá pomeru rizika</w:t>
      </w:r>
      <w:r w:rsidR="00F31591" w:rsidRPr="003D4D81">
        <w:rPr>
          <w:sz w:val="22"/>
          <w:szCs w:val="22"/>
          <w:lang w:val="sk-SK" w:eastAsia="en-GB"/>
        </w:rPr>
        <w:t xml:space="preserve"> (HR)</w:t>
      </w:r>
      <w:r w:rsidRPr="003D4D81">
        <w:rPr>
          <w:sz w:val="22"/>
          <w:szCs w:val="22"/>
          <w:lang w:val="sk-SK" w:eastAsia="en-GB"/>
        </w:rPr>
        <w:t xml:space="preserve"> 1,26, 95</w:t>
      </w:r>
      <w:r w:rsidR="00C230A9" w:rsidRPr="003D4D81">
        <w:rPr>
          <w:sz w:val="22"/>
          <w:szCs w:val="22"/>
          <w:lang w:val="sk-SK" w:eastAsia="en-GB"/>
        </w:rPr>
        <w:t> %</w:t>
      </w:r>
      <w:r w:rsidRPr="003D4D81">
        <w:rPr>
          <w:sz w:val="22"/>
          <w:szCs w:val="22"/>
          <w:lang w:val="sk-SK" w:eastAsia="en-GB"/>
        </w:rPr>
        <w:t xml:space="preserve"> IS [1,15</w:t>
      </w:r>
      <w:r w:rsidR="00C230A9" w:rsidRPr="003D4D81">
        <w:rPr>
          <w:sz w:val="22"/>
          <w:szCs w:val="22"/>
          <w:lang w:val="sk-SK" w:eastAsia="en-GB"/>
        </w:rPr>
        <w:t> – </w:t>
      </w:r>
      <w:r w:rsidRPr="003D4D81">
        <w:rPr>
          <w:sz w:val="22"/>
          <w:szCs w:val="22"/>
          <w:lang w:val="sk-SK" w:eastAsia="en-GB"/>
        </w:rPr>
        <w:t>1,39].</w:t>
      </w:r>
    </w:p>
    <w:p w:rsidR="002D0840" w:rsidRPr="003D4D81" w:rsidRDefault="002D0840" w:rsidP="00572196">
      <w:pPr>
        <w:spacing w:after="0"/>
        <w:jc w:val="left"/>
        <w:rPr>
          <w:sz w:val="22"/>
          <w:szCs w:val="22"/>
          <w:lang w:val="sk-SK"/>
        </w:rPr>
      </w:pPr>
    </w:p>
    <w:p w:rsidR="00CD2DF9" w:rsidRPr="003D4D81" w:rsidRDefault="00721AC7" w:rsidP="00572196">
      <w:pPr>
        <w:spacing w:after="0"/>
        <w:jc w:val="left"/>
        <w:rPr>
          <w:sz w:val="22"/>
          <w:szCs w:val="22"/>
          <w:u w:val="single"/>
          <w:lang w:val="sk-SK"/>
        </w:rPr>
      </w:pPr>
      <w:r w:rsidRPr="003D4D81">
        <w:rPr>
          <w:sz w:val="22"/>
          <w:szCs w:val="22"/>
          <w:u w:val="single"/>
          <w:lang w:val="sk-SK"/>
        </w:rPr>
        <w:t>Hlásenie podozrení na nežiaduce reakcie</w:t>
      </w:r>
    </w:p>
    <w:p w:rsidR="00FD2E38" w:rsidRPr="003D4D81" w:rsidRDefault="00721AC7" w:rsidP="00572196">
      <w:pPr>
        <w:spacing w:after="0"/>
        <w:jc w:val="left"/>
        <w:rPr>
          <w:sz w:val="22"/>
          <w:szCs w:val="22"/>
          <w:lang w:val="sk-SK"/>
        </w:rPr>
      </w:pPr>
      <w:r w:rsidRPr="003D4D81">
        <w:rPr>
          <w:rFonts w:eastAsia="Times New Roman"/>
          <w:sz w:val="22"/>
          <w:szCs w:val="22"/>
          <w:lang w:val="sk-SK" w:eastAsia="sk-SK" w:bidi="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3D4D81">
        <w:rPr>
          <w:rFonts w:eastAsia="Times New Roman"/>
          <w:sz w:val="22"/>
          <w:szCs w:val="22"/>
          <w:highlight w:val="lightGray"/>
          <w:lang w:val="sk-SK" w:eastAsia="sk-SK" w:bidi="sk-SK"/>
        </w:rPr>
        <w:t>národné centrum hlásenia uvedené v </w:t>
      </w:r>
      <w:hyperlink r:id="rId10" w:history="1">
        <w:r w:rsidRPr="003D4D81">
          <w:rPr>
            <w:rFonts w:eastAsia="Times New Roman"/>
            <w:sz w:val="22"/>
            <w:szCs w:val="22"/>
            <w:highlight w:val="lightGray"/>
            <w:lang w:val="sk-SK" w:eastAsia="sk-SK" w:bidi="sk-SK"/>
          </w:rPr>
          <w:t xml:space="preserve"> </w:t>
        </w:r>
        <w:r w:rsidRPr="003D4D81">
          <w:rPr>
            <w:rStyle w:val="Hypertextovprepojenie"/>
            <w:sz w:val="22"/>
            <w:szCs w:val="22"/>
            <w:highlight w:val="lightGray"/>
            <w:lang w:val="sk-SK"/>
          </w:rPr>
          <w:t xml:space="preserve">Prílohe </w:t>
        </w:r>
        <w:r w:rsidR="00EC54A4" w:rsidRPr="003D4D81">
          <w:rPr>
            <w:rStyle w:val="Hypertextovprepojenie"/>
            <w:sz w:val="22"/>
            <w:szCs w:val="22"/>
            <w:highlight w:val="lightGray"/>
            <w:lang w:val="sk-SK"/>
          </w:rPr>
          <w:t>V</w:t>
        </w:r>
      </w:hyperlink>
      <w:r w:rsidR="00CD2DF9" w:rsidRPr="003D4D81">
        <w:rPr>
          <w:sz w:val="22"/>
          <w:szCs w:val="22"/>
          <w:lang w:val="sk-SK"/>
        </w:rPr>
        <w:t>.</w:t>
      </w:r>
    </w:p>
    <w:p w:rsidR="00EC0F14" w:rsidRPr="003D4D81" w:rsidRDefault="00EC0F14" w:rsidP="00C230A9">
      <w:pPr>
        <w:spacing w:after="0"/>
        <w:jc w:val="left"/>
        <w:rPr>
          <w:sz w:val="22"/>
          <w:szCs w:val="22"/>
          <w:lang w:val="sk-SK"/>
        </w:rPr>
      </w:pPr>
    </w:p>
    <w:p w:rsidR="00857752" w:rsidRPr="003D4D81" w:rsidRDefault="00857752" w:rsidP="00C230A9">
      <w:pPr>
        <w:spacing w:after="0"/>
        <w:rPr>
          <w:bCs/>
          <w:sz w:val="22"/>
          <w:szCs w:val="22"/>
          <w:lang w:val="sk-SK"/>
        </w:rPr>
      </w:pPr>
    </w:p>
    <w:p w:rsidR="000F03E3" w:rsidRPr="003D4D81" w:rsidRDefault="000F03E3" w:rsidP="00C230A9">
      <w:pPr>
        <w:spacing w:after="0"/>
        <w:rPr>
          <w:b/>
          <w:bCs/>
          <w:lang w:val="sk-SK"/>
        </w:rPr>
      </w:pPr>
      <w:r w:rsidRPr="003D4D81">
        <w:rPr>
          <w:b/>
          <w:bCs/>
          <w:lang w:val="sk-SK"/>
        </w:rPr>
        <w:t>4.9</w:t>
      </w:r>
      <w:r w:rsidR="002D0840" w:rsidRPr="003D4D81">
        <w:rPr>
          <w:b/>
          <w:bCs/>
          <w:lang w:val="sk-SK"/>
        </w:rPr>
        <w:tab/>
      </w:r>
      <w:r w:rsidR="00F875A4" w:rsidRPr="003D4D81">
        <w:rPr>
          <w:b/>
          <w:bCs/>
          <w:lang w:val="sk-SK"/>
        </w:rPr>
        <w:t>Predávkovanie</w:t>
      </w:r>
    </w:p>
    <w:p w:rsidR="00FD2E38" w:rsidRPr="003D4D81" w:rsidRDefault="00FD2E38" w:rsidP="00C230A9">
      <w:pPr>
        <w:spacing w:after="0"/>
        <w:rPr>
          <w:b/>
          <w:bCs/>
          <w:lang w:val="sk-SK"/>
        </w:rPr>
      </w:pPr>
    </w:p>
    <w:p w:rsidR="00D97863" w:rsidRPr="003D4D81" w:rsidRDefault="00721AC7" w:rsidP="00C230A9">
      <w:pPr>
        <w:spacing w:after="0"/>
        <w:jc w:val="left"/>
        <w:rPr>
          <w:sz w:val="22"/>
          <w:szCs w:val="22"/>
          <w:u w:val="single"/>
          <w:lang w:val="sk-SK"/>
        </w:rPr>
      </w:pPr>
      <w:r w:rsidRPr="003D4D81">
        <w:rPr>
          <w:sz w:val="22"/>
          <w:szCs w:val="22"/>
          <w:u w:val="single"/>
          <w:lang w:val="sk-SK"/>
        </w:rPr>
        <w:t>Príznaky</w:t>
      </w:r>
    </w:p>
    <w:p w:rsidR="00D97863" w:rsidRPr="003D4D81" w:rsidRDefault="00721AC7" w:rsidP="00C230A9">
      <w:pPr>
        <w:spacing w:after="0"/>
        <w:jc w:val="left"/>
        <w:rPr>
          <w:sz w:val="22"/>
          <w:szCs w:val="22"/>
          <w:lang w:val="sk-SK"/>
        </w:rPr>
      </w:pPr>
      <w:r w:rsidRPr="003D4D81">
        <w:rPr>
          <w:sz w:val="22"/>
          <w:szCs w:val="22"/>
          <w:lang w:val="sk-SK" w:eastAsia="en-GB"/>
        </w:rPr>
        <w:t>Predávkovanie môže viesť k ťažkej a prolongovanej bradykardii (pozri časť 4.8).</w:t>
      </w:r>
    </w:p>
    <w:p w:rsidR="00D97863" w:rsidRPr="003D4D81" w:rsidRDefault="00D97863" w:rsidP="00572196">
      <w:pPr>
        <w:spacing w:after="0"/>
        <w:jc w:val="left"/>
        <w:rPr>
          <w:sz w:val="22"/>
          <w:szCs w:val="22"/>
          <w:lang w:val="sk-SK"/>
        </w:rPr>
      </w:pPr>
    </w:p>
    <w:p w:rsidR="00D97863" w:rsidRPr="003D4D81" w:rsidRDefault="00721AC7" w:rsidP="00572196">
      <w:pPr>
        <w:spacing w:after="0"/>
        <w:jc w:val="left"/>
        <w:rPr>
          <w:sz w:val="22"/>
          <w:szCs w:val="22"/>
          <w:u w:val="single"/>
          <w:lang w:val="sk-SK"/>
        </w:rPr>
      </w:pPr>
      <w:r w:rsidRPr="003D4D81">
        <w:rPr>
          <w:sz w:val="22"/>
          <w:szCs w:val="22"/>
          <w:u w:val="single"/>
          <w:lang w:val="sk-SK"/>
        </w:rPr>
        <w:lastRenderedPageBreak/>
        <w:t>Liečba</w:t>
      </w:r>
    </w:p>
    <w:p w:rsidR="00526285" w:rsidRPr="003D4D81" w:rsidRDefault="00721AC7" w:rsidP="00721AC7">
      <w:pPr>
        <w:autoSpaceDE w:val="0"/>
        <w:autoSpaceDN w:val="0"/>
        <w:adjustRightInd w:val="0"/>
        <w:spacing w:after="0"/>
        <w:jc w:val="left"/>
        <w:rPr>
          <w:sz w:val="22"/>
          <w:szCs w:val="22"/>
          <w:lang w:val="sk-SK"/>
        </w:rPr>
      </w:pPr>
      <w:r w:rsidRPr="003D4D81">
        <w:rPr>
          <w:sz w:val="22"/>
          <w:szCs w:val="22"/>
          <w:lang w:val="sk-SK" w:eastAsia="en-GB"/>
        </w:rPr>
        <w:t>Ťažká bradykardia sa má liečiť symptomaticky v špecializovanom zariadení. V prípade bradykardie s nedostačujúcou hemodynamickou toleranciou sa má zvážiť symptomatická liečba zahŕňajúca intravenózne podanie beta-sympatomimetika, ako je izoprenalín. Ak je to nutné, môže byť zavedená dočasná elektrická stimulácia srdca</w:t>
      </w:r>
      <w:r w:rsidR="00D97863" w:rsidRPr="003D4D81">
        <w:rPr>
          <w:sz w:val="22"/>
          <w:szCs w:val="22"/>
          <w:lang w:val="sk-SK"/>
        </w:rPr>
        <w:t>.</w:t>
      </w:r>
    </w:p>
    <w:p w:rsidR="00526285" w:rsidRPr="003D4D81" w:rsidRDefault="00526285" w:rsidP="00572196">
      <w:pPr>
        <w:spacing w:after="0"/>
        <w:jc w:val="left"/>
        <w:rPr>
          <w:sz w:val="22"/>
          <w:szCs w:val="22"/>
          <w:lang w:val="sk-SK"/>
        </w:rPr>
      </w:pPr>
    </w:p>
    <w:p w:rsidR="006337A0" w:rsidRPr="003D4D81" w:rsidRDefault="006337A0" w:rsidP="00572196">
      <w:pPr>
        <w:spacing w:after="0"/>
        <w:jc w:val="left"/>
        <w:rPr>
          <w:sz w:val="22"/>
          <w:szCs w:val="22"/>
          <w:lang w:val="sk-SK"/>
        </w:rPr>
      </w:pPr>
    </w:p>
    <w:p w:rsidR="00E914C6" w:rsidRPr="003D4D81" w:rsidRDefault="00E914C6" w:rsidP="00E914C6">
      <w:pPr>
        <w:keepNext/>
        <w:rPr>
          <w:sz w:val="22"/>
          <w:szCs w:val="22"/>
          <w:lang w:val="sk-SK"/>
        </w:rPr>
      </w:pPr>
      <w:r w:rsidRPr="003D4D81">
        <w:rPr>
          <w:b/>
          <w:sz w:val="22"/>
          <w:szCs w:val="22"/>
          <w:lang w:val="sk-SK"/>
        </w:rPr>
        <w:t>5.</w:t>
      </w:r>
      <w:r w:rsidRPr="003D4D81">
        <w:rPr>
          <w:b/>
          <w:sz w:val="22"/>
          <w:szCs w:val="22"/>
          <w:lang w:val="sk-SK"/>
        </w:rPr>
        <w:tab/>
      </w:r>
      <w:r w:rsidR="00767A50" w:rsidRPr="003D4D81">
        <w:rPr>
          <w:b/>
          <w:sz w:val="22"/>
          <w:szCs w:val="22"/>
          <w:lang w:val="sk-SK"/>
        </w:rPr>
        <w:t>FARMAKOLOGICKÉ VLASTNOSTI</w:t>
      </w:r>
    </w:p>
    <w:p w:rsidR="00262C35" w:rsidRPr="003D4D81" w:rsidRDefault="00262C35"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5.1</w:t>
      </w:r>
      <w:r w:rsidR="002D0840" w:rsidRPr="003D4D81">
        <w:rPr>
          <w:b/>
          <w:sz w:val="22"/>
          <w:szCs w:val="22"/>
          <w:lang w:val="sk-SK"/>
        </w:rPr>
        <w:tab/>
      </w:r>
      <w:r w:rsidR="00767A50" w:rsidRPr="003D4D81">
        <w:rPr>
          <w:b/>
          <w:sz w:val="22"/>
          <w:szCs w:val="22"/>
          <w:lang w:val="sk-SK"/>
        </w:rPr>
        <w:t>Farmakodynamické vlastnosti</w:t>
      </w:r>
    </w:p>
    <w:p w:rsidR="00262C35" w:rsidRPr="003D4D81" w:rsidRDefault="00262C35" w:rsidP="00572196">
      <w:pPr>
        <w:spacing w:after="0"/>
        <w:jc w:val="left"/>
        <w:rPr>
          <w:sz w:val="22"/>
          <w:szCs w:val="22"/>
          <w:lang w:val="sk-SK"/>
        </w:rPr>
      </w:pPr>
    </w:p>
    <w:p w:rsidR="001A7523" w:rsidRPr="003D4D81" w:rsidRDefault="001A7523" w:rsidP="00572196">
      <w:pPr>
        <w:spacing w:after="0"/>
        <w:jc w:val="left"/>
        <w:rPr>
          <w:sz w:val="22"/>
          <w:szCs w:val="22"/>
          <w:lang w:val="sk-SK" w:eastAsia="en-GB"/>
        </w:rPr>
      </w:pPr>
      <w:r w:rsidRPr="003D4D81">
        <w:rPr>
          <w:sz w:val="22"/>
          <w:szCs w:val="22"/>
          <w:lang w:val="sk-SK" w:eastAsia="en-GB"/>
        </w:rPr>
        <w:t xml:space="preserve">Farmakoterapeutická skupina: Kardiaká, iné kardiaká; </w:t>
      </w:r>
    </w:p>
    <w:p w:rsidR="00097DF2" w:rsidRPr="003D4D81" w:rsidRDefault="001A7523" w:rsidP="00572196">
      <w:pPr>
        <w:spacing w:after="0"/>
        <w:jc w:val="left"/>
        <w:rPr>
          <w:sz w:val="22"/>
          <w:szCs w:val="22"/>
          <w:lang w:val="sk-SK" w:eastAsia="en-GB"/>
        </w:rPr>
      </w:pPr>
      <w:r w:rsidRPr="003D4D81">
        <w:rPr>
          <w:sz w:val="22"/>
          <w:szCs w:val="22"/>
          <w:lang w:val="sk-SK" w:eastAsia="en-GB"/>
        </w:rPr>
        <w:t>ATC kód: C01EB17</w:t>
      </w:r>
    </w:p>
    <w:p w:rsidR="001A7523" w:rsidRPr="003D4D81" w:rsidRDefault="001A7523" w:rsidP="00572196">
      <w:pPr>
        <w:spacing w:after="0"/>
        <w:jc w:val="left"/>
        <w:rPr>
          <w:sz w:val="22"/>
          <w:szCs w:val="22"/>
          <w:lang w:val="sk-SK"/>
        </w:rPr>
      </w:pPr>
    </w:p>
    <w:p w:rsidR="00097DF2" w:rsidRPr="003D4D81" w:rsidRDefault="001A7523" w:rsidP="00572196">
      <w:pPr>
        <w:spacing w:after="0"/>
        <w:jc w:val="left"/>
        <w:rPr>
          <w:sz w:val="22"/>
          <w:szCs w:val="22"/>
          <w:u w:val="single"/>
          <w:lang w:val="sk-SK"/>
        </w:rPr>
      </w:pPr>
      <w:r w:rsidRPr="003D4D81">
        <w:rPr>
          <w:sz w:val="22"/>
          <w:szCs w:val="22"/>
          <w:u w:val="single"/>
          <w:lang w:val="sk-SK"/>
        </w:rPr>
        <w:t>Mechanizmus účinku</w:t>
      </w:r>
    </w:p>
    <w:p w:rsidR="00097DF2" w:rsidRPr="003D4D81" w:rsidRDefault="00601DBF" w:rsidP="001A7523">
      <w:pPr>
        <w:autoSpaceDE w:val="0"/>
        <w:autoSpaceDN w:val="0"/>
        <w:adjustRightInd w:val="0"/>
        <w:spacing w:after="0"/>
        <w:jc w:val="left"/>
        <w:rPr>
          <w:sz w:val="22"/>
          <w:szCs w:val="22"/>
          <w:lang w:val="sk-SK"/>
        </w:rPr>
      </w:pPr>
      <w:r w:rsidRPr="003D4D81">
        <w:rPr>
          <w:rFonts w:eastAsia="Times New Roman"/>
          <w:sz w:val="22"/>
          <w:szCs w:val="22"/>
          <w:lang w:val="sk-SK"/>
        </w:rPr>
        <w:t>Ivabradín je látka, ktorej účinok na srdce</w:t>
      </w:r>
      <w:r w:rsidR="001A7523" w:rsidRPr="003D4D81">
        <w:rPr>
          <w:sz w:val="22"/>
          <w:szCs w:val="22"/>
          <w:lang w:val="sk-SK" w:eastAsia="en-GB"/>
        </w:rPr>
        <w:t xml:space="preserve"> spočíva </w:t>
      </w:r>
      <w:r w:rsidR="0048574D" w:rsidRPr="003D4D81">
        <w:rPr>
          <w:sz w:val="22"/>
          <w:szCs w:val="22"/>
          <w:lang w:val="sk-SK" w:eastAsia="en-GB"/>
        </w:rPr>
        <w:t xml:space="preserve">výlučne </w:t>
      </w:r>
      <w:r w:rsidR="001A7523" w:rsidRPr="003D4D81">
        <w:rPr>
          <w:sz w:val="22"/>
          <w:szCs w:val="22"/>
          <w:lang w:val="sk-SK" w:eastAsia="en-GB"/>
        </w:rPr>
        <w:t xml:space="preserve">v znižovaní srdcovej frekvencie. Tento účinok je sprostredkovaný selektívnou a špecifickou inhibíciou </w:t>
      </w:r>
      <w:r w:rsidR="0048574D" w:rsidRPr="003D4D81">
        <w:rPr>
          <w:rFonts w:eastAsia="Times New Roman"/>
          <w:spacing w:val="-8"/>
          <w:sz w:val="22"/>
          <w:szCs w:val="22"/>
          <w:lang w:val="sk-SK"/>
        </w:rPr>
        <w:t>srdcového pacemakerového</w:t>
      </w:r>
      <w:r w:rsidR="001A7523" w:rsidRPr="003D4D81">
        <w:rPr>
          <w:sz w:val="22"/>
          <w:szCs w:val="22"/>
          <w:lang w:val="sk-SK" w:eastAsia="en-GB"/>
        </w:rPr>
        <w:t xml:space="preserve"> </w:t>
      </w:r>
      <w:r w:rsidR="00201A3D" w:rsidRPr="003D4D81">
        <w:rPr>
          <w:sz w:val="22"/>
          <w:szCs w:val="22"/>
          <w:lang w:val="sk-SK"/>
        </w:rPr>
        <w:t>I</w:t>
      </w:r>
      <w:r w:rsidR="00201A3D" w:rsidRPr="003D4D81">
        <w:rPr>
          <w:sz w:val="22"/>
          <w:szCs w:val="22"/>
          <w:vertAlign w:val="subscript"/>
          <w:lang w:val="sk-SK"/>
        </w:rPr>
        <w:t>f</w:t>
      </w:r>
      <w:r w:rsidR="00201A3D" w:rsidRPr="003D4D81">
        <w:rPr>
          <w:sz w:val="22"/>
          <w:szCs w:val="22"/>
          <w:lang w:val="sk-SK"/>
        </w:rPr>
        <w:t xml:space="preserve"> </w:t>
      </w:r>
      <w:r w:rsidR="001A7523" w:rsidRPr="003D4D81">
        <w:rPr>
          <w:sz w:val="22"/>
          <w:szCs w:val="22"/>
          <w:lang w:val="sk-SK" w:eastAsia="en-GB"/>
        </w:rPr>
        <w:t>prúdu, ktorý riadi spontánnu diastolickú depolarizáciu v bunkách sínusového uzla</w:t>
      </w:r>
      <w:r w:rsidR="00F95B0E" w:rsidRPr="003D4D81">
        <w:rPr>
          <w:sz w:val="22"/>
          <w:szCs w:val="22"/>
          <w:lang w:val="sk-SK" w:eastAsia="en-GB"/>
        </w:rPr>
        <w:t>, a tým reguluje srdcovú frekvenciu</w:t>
      </w:r>
      <w:r w:rsidR="001A7523" w:rsidRPr="003D4D81">
        <w:rPr>
          <w:sz w:val="22"/>
          <w:szCs w:val="22"/>
          <w:lang w:val="sk-SK" w:eastAsia="en-GB"/>
        </w:rPr>
        <w:t xml:space="preserve">. Kardiálne účinky sú špecifické pre sínusový uzol bez vplyvu na intraatriálne, atrioventrikulárne alebo intraventrikulárne prevodové časy, alebo </w:t>
      </w:r>
      <w:r w:rsidR="00F95B0E" w:rsidRPr="003D4D81">
        <w:rPr>
          <w:sz w:val="22"/>
          <w:szCs w:val="22"/>
          <w:lang w:val="sk-SK"/>
        </w:rPr>
        <w:t>bez vplyvu</w:t>
      </w:r>
      <w:r w:rsidR="00F95B0E" w:rsidRPr="003D4D81">
        <w:rPr>
          <w:sz w:val="22"/>
          <w:szCs w:val="22"/>
          <w:lang w:val="sk-SK" w:eastAsia="en-GB"/>
        </w:rPr>
        <w:t xml:space="preserve"> </w:t>
      </w:r>
      <w:r w:rsidR="001A7523" w:rsidRPr="003D4D81">
        <w:rPr>
          <w:sz w:val="22"/>
          <w:szCs w:val="22"/>
          <w:lang w:val="sk-SK" w:eastAsia="en-GB"/>
        </w:rPr>
        <w:t>na kontraktilitu myokardu alebo repolarizáciu komôr</w:t>
      </w:r>
      <w:r w:rsidR="00097DF2" w:rsidRPr="003D4D81">
        <w:rPr>
          <w:sz w:val="22"/>
          <w:szCs w:val="22"/>
          <w:lang w:val="sk-SK"/>
        </w:rPr>
        <w:t>.</w:t>
      </w:r>
    </w:p>
    <w:p w:rsidR="001560F4" w:rsidRPr="003D4D81" w:rsidRDefault="001560F4" w:rsidP="00572196">
      <w:pPr>
        <w:spacing w:after="0"/>
        <w:jc w:val="left"/>
        <w:rPr>
          <w:sz w:val="22"/>
          <w:szCs w:val="22"/>
          <w:lang w:val="sk-SK"/>
        </w:rPr>
      </w:pPr>
    </w:p>
    <w:p w:rsidR="00097DF2" w:rsidRPr="003D4D81" w:rsidRDefault="001A7523" w:rsidP="001A7523">
      <w:pPr>
        <w:autoSpaceDE w:val="0"/>
        <w:autoSpaceDN w:val="0"/>
        <w:adjustRightInd w:val="0"/>
        <w:spacing w:after="0"/>
        <w:jc w:val="left"/>
        <w:rPr>
          <w:sz w:val="22"/>
          <w:szCs w:val="22"/>
          <w:lang w:val="sk-SK"/>
        </w:rPr>
      </w:pPr>
      <w:r w:rsidRPr="003D4D81">
        <w:rPr>
          <w:sz w:val="22"/>
          <w:szCs w:val="22"/>
          <w:lang w:val="sk-SK" w:eastAsia="en-GB"/>
        </w:rPr>
        <w:t xml:space="preserve">Ivabradín môže tiež súčasne pôsobiť na </w:t>
      </w:r>
      <w:r w:rsidR="00201A3D" w:rsidRPr="003D4D81">
        <w:rPr>
          <w:sz w:val="22"/>
          <w:szCs w:val="22"/>
          <w:lang w:val="sk-SK"/>
        </w:rPr>
        <w:t>I</w:t>
      </w:r>
      <w:r w:rsidR="00201A3D" w:rsidRPr="003D4D81">
        <w:rPr>
          <w:sz w:val="22"/>
          <w:szCs w:val="22"/>
          <w:vertAlign w:val="subscript"/>
          <w:lang w:val="sk-SK"/>
        </w:rPr>
        <w:t>h</w:t>
      </w:r>
      <w:r w:rsidR="00201A3D" w:rsidRPr="003D4D81">
        <w:rPr>
          <w:sz w:val="22"/>
          <w:szCs w:val="22"/>
          <w:lang w:val="sk-SK"/>
        </w:rPr>
        <w:t xml:space="preserve"> </w:t>
      </w:r>
      <w:r w:rsidRPr="003D4D81">
        <w:rPr>
          <w:sz w:val="22"/>
          <w:szCs w:val="22"/>
          <w:lang w:val="sk-SK" w:eastAsia="en-GB"/>
        </w:rPr>
        <w:t xml:space="preserve">prúd v sietnici, ktorý sa veľmi podobá na srdcový </w:t>
      </w:r>
      <w:r w:rsidRPr="003D4D81">
        <w:rPr>
          <w:sz w:val="22"/>
          <w:szCs w:val="22"/>
          <w:lang w:val="sk-SK"/>
        </w:rPr>
        <w:t>I</w:t>
      </w:r>
      <w:r w:rsidRPr="003D4D81">
        <w:rPr>
          <w:sz w:val="22"/>
          <w:szCs w:val="22"/>
          <w:vertAlign w:val="subscript"/>
          <w:lang w:val="sk-SK"/>
        </w:rPr>
        <w:t>f</w:t>
      </w:r>
      <w:r w:rsidRPr="003D4D81">
        <w:rPr>
          <w:sz w:val="22"/>
          <w:szCs w:val="22"/>
          <w:lang w:val="sk-SK" w:eastAsia="en-GB"/>
        </w:rPr>
        <w:t xml:space="preserve"> prúd. </w:t>
      </w:r>
      <w:r w:rsidR="0048574D" w:rsidRPr="003D4D81">
        <w:rPr>
          <w:rFonts w:eastAsia="Times New Roman"/>
          <w:sz w:val="22"/>
          <w:szCs w:val="22"/>
          <w:lang w:val="sk-SK"/>
        </w:rPr>
        <w:t>Podieľa sa na dočasnej zmene</w:t>
      </w:r>
      <w:r w:rsidR="0048574D" w:rsidRPr="003D4D81">
        <w:rPr>
          <w:rFonts w:eastAsia="Times New Roman"/>
          <w:spacing w:val="-6"/>
          <w:sz w:val="22"/>
          <w:szCs w:val="22"/>
          <w:lang w:val="sk-SK"/>
        </w:rPr>
        <w:t xml:space="preserve"> </w:t>
      </w:r>
      <w:r w:rsidR="0048574D" w:rsidRPr="003D4D81">
        <w:rPr>
          <w:rFonts w:eastAsia="Times New Roman"/>
          <w:sz w:val="22"/>
          <w:szCs w:val="22"/>
          <w:lang w:val="sk-SK"/>
        </w:rPr>
        <w:t>rozlišovacej</w:t>
      </w:r>
      <w:r w:rsidR="0048574D" w:rsidRPr="003D4D81">
        <w:rPr>
          <w:rFonts w:eastAsia="Times New Roman"/>
          <w:spacing w:val="-10"/>
          <w:sz w:val="22"/>
          <w:szCs w:val="22"/>
          <w:lang w:val="sk-SK"/>
        </w:rPr>
        <w:t xml:space="preserve"> </w:t>
      </w:r>
      <w:r w:rsidR="0048574D" w:rsidRPr="003D4D81">
        <w:rPr>
          <w:rFonts w:eastAsia="Times New Roman"/>
          <w:sz w:val="22"/>
          <w:szCs w:val="22"/>
          <w:lang w:val="sk-SK"/>
        </w:rPr>
        <w:t>schopno</w:t>
      </w:r>
      <w:r w:rsidR="0048574D" w:rsidRPr="003D4D81">
        <w:rPr>
          <w:rFonts w:eastAsia="Times New Roman"/>
          <w:spacing w:val="-2"/>
          <w:sz w:val="22"/>
          <w:szCs w:val="22"/>
          <w:lang w:val="sk-SK"/>
        </w:rPr>
        <w:t>s</w:t>
      </w:r>
      <w:r w:rsidR="0048574D" w:rsidRPr="003D4D81">
        <w:rPr>
          <w:rFonts w:eastAsia="Times New Roman"/>
          <w:sz w:val="22"/>
          <w:szCs w:val="22"/>
          <w:lang w:val="sk-SK"/>
        </w:rPr>
        <w:t>ti</w:t>
      </w:r>
      <w:r w:rsidR="0048574D" w:rsidRPr="003D4D81">
        <w:rPr>
          <w:rFonts w:eastAsia="Times New Roman"/>
          <w:spacing w:val="-9"/>
          <w:sz w:val="22"/>
          <w:szCs w:val="22"/>
          <w:lang w:val="sk-SK"/>
        </w:rPr>
        <w:t xml:space="preserve"> </w:t>
      </w:r>
      <w:r w:rsidR="0048574D" w:rsidRPr="003D4D81">
        <w:rPr>
          <w:rFonts w:eastAsia="Times New Roman"/>
          <w:sz w:val="22"/>
          <w:szCs w:val="22"/>
          <w:lang w:val="sk-SK"/>
        </w:rPr>
        <w:t>zrakového</w:t>
      </w:r>
      <w:r w:rsidR="0048574D" w:rsidRPr="003D4D81">
        <w:rPr>
          <w:rFonts w:eastAsia="Times New Roman"/>
          <w:spacing w:val="-9"/>
          <w:sz w:val="22"/>
          <w:szCs w:val="22"/>
          <w:lang w:val="sk-SK"/>
        </w:rPr>
        <w:t xml:space="preserve"> </w:t>
      </w:r>
      <w:r w:rsidR="0048574D" w:rsidRPr="003D4D81">
        <w:rPr>
          <w:rFonts w:eastAsia="Times New Roman"/>
          <w:sz w:val="22"/>
          <w:szCs w:val="22"/>
          <w:lang w:val="sk-SK"/>
        </w:rPr>
        <w:t>s</w:t>
      </w:r>
      <w:r w:rsidR="0048574D" w:rsidRPr="003D4D81">
        <w:rPr>
          <w:rFonts w:eastAsia="Times New Roman"/>
          <w:spacing w:val="2"/>
          <w:sz w:val="22"/>
          <w:szCs w:val="22"/>
          <w:lang w:val="sk-SK"/>
        </w:rPr>
        <w:t>y</w:t>
      </w:r>
      <w:r w:rsidR="0048574D" w:rsidRPr="003D4D81">
        <w:rPr>
          <w:rFonts w:eastAsia="Times New Roman"/>
          <w:sz w:val="22"/>
          <w:szCs w:val="22"/>
          <w:lang w:val="sk-SK"/>
        </w:rPr>
        <w:t>sté</w:t>
      </w:r>
      <w:r w:rsidR="0048574D" w:rsidRPr="003D4D81">
        <w:rPr>
          <w:rFonts w:eastAsia="Times New Roman"/>
          <w:spacing w:val="-1"/>
          <w:sz w:val="22"/>
          <w:szCs w:val="22"/>
          <w:lang w:val="sk-SK"/>
        </w:rPr>
        <w:t>m</w:t>
      </w:r>
      <w:r w:rsidR="0048574D" w:rsidRPr="003D4D81">
        <w:rPr>
          <w:rFonts w:eastAsia="Times New Roman"/>
          <w:sz w:val="22"/>
          <w:szCs w:val="22"/>
          <w:lang w:val="sk-SK"/>
        </w:rPr>
        <w:t>u</w:t>
      </w:r>
      <w:r w:rsidR="0048574D" w:rsidRPr="003D4D81">
        <w:rPr>
          <w:rFonts w:eastAsia="Times New Roman"/>
          <w:spacing w:val="-7"/>
          <w:sz w:val="22"/>
          <w:szCs w:val="22"/>
          <w:lang w:val="sk-SK"/>
        </w:rPr>
        <w:t xml:space="preserve"> </w:t>
      </w:r>
      <w:r w:rsidR="0048574D" w:rsidRPr="003D4D81">
        <w:rPr>
          <w:rFonts w:eastAsia="Times New Roman"/>
          <w:sz w:val="22"/>
          <w:szCs w:val="22"/>
          <w:lang w:val="sk-SK"/>
        </w:rPr>
        <w:t>skrátením</w:t>
      </w:r>
      <w:r w:rsidRPr="003D4D81">
        <w:rPr>
          <w:sz w:val="22"/>
          <w:szCs w:val="22"/>
          <w:lang w:val="sk-SK" w:eastAsia="en-GB"/>
        </w:rPr>
        <w:t xml:space="preserve"> odpovede sietnice na jasné svetelné podnety. Pri určitých vyvolávajúcich okolnostiach (</w:t>
      </w:r>
      <w:r w:rsidR="0048574D" w:rsidRPr="003D4D81">
        <w:rPr>
          <w:sz w:val="22"/>
          <w:szCs w:val="22"/>
          <w:lang w:val="sk-SK" w:eastAsia="en-GB"/>
        </w:rPr>
        <w:t xml:space="preserve">napr. </w:t>
      </w:r>
      <w:r w:rsidRPr="003D4D81">
        <w:rPr>
          <w:sz w:val="22"/>
          <w:szCs w:val="22"/>
          <w:lang w:val="sk-SK" w:eastAsia="en-GB"/>
        </w:rPr>
        <w:t xml:space="preserve">náhle zmeny </w:t>
      </w:r>
      <w:r w:rsidR="0048574D" w:rsidRPr="003D4D81">
        <w:rPr>
          <w:sz w:val="22"/>
          <w:szCs w:val="22"/>
          <w:lang w:val="sk-SK" w:eastAsia="en-GB"/>
        </w:rPr>
        <w:t>intenzity svetla</w:t>
      </w:r>
      <w:r w:rsidRPr="003D4D81">
        <w:rPr>
          <w:sz w:val="22"/>
          <w:szCs w:val="22"/>
          <w:lang w:val="sk-SK" w:eastAsia="en-GB"/>
        </w:rPr>
        <w:t xml:space="preserve">) spôsobuje parciálna inhibícia </w:t>
      </w:r>
      <w:r w:rsidR="00201A3D" w:rsidRPr="003D4D81">
        <w:rPr>
          <w:sz w:val="22"/>
          <w:szCs w:val="22"/>
          <w:lang w:val="sk-SK"/>
        </w:rPr>
        <w:t>I</w:t>
      </w:r>
      <w:r w:rsidR="00201A3D" w:rsidRPr="003D4D81">
        <w:rPr>
          <w:sz w:val="22"/>
          <w:szCs w:val="22"/>
          <w:vertAlign w:val="subscript"/>
          <w:lang w:val="sk-SK"/>
        </w:rPr>
        <w:t>h</w:t>
      </w:r>
      <w:r w:rsidR="00201A3D" w:rsidRPr="003D4D81">
        <w:rPr>
          <w:sz w:val="22"/>
          <w:szCs w:val="22"/>
          <w:lang w:val="sk-SK"/>
        </w:rPr>
        <w:t xml:space="preserve"> </w:t>
      </w:r>
      <w:r w:rsidRPr="003D4D81">
        <w:rPr>
          <w:sz w:val="22"/>
          <w:szCs w:val="22"/>
          <w:lang w:val="sk-SK" w:eastAsia="en-GB"/>
        </w:rPr>
        <w:t xml:space="preserve">prúdu ivabradínom svetelné fenomény, ktoré môžu pacienti príležitostne vnímať. Svetelné fenomény (fosfény) sú popisované ako prechodné zvýšenie jasu v ohraničenej oblasti </w:t>
      </w:r>
      <w:r w:rsidR="0048574D" w:rsidRPr="003D4D81">
        <w:rPr>
          <w:sz w:val="22"/>
          <w:szCs w:val="22"/>
          <w:lang w:val="sk-SK" w:eastAsia="en-GB"/>
        </w:rPr>
        <w:t xml:space="preserve">zrakového </w:t>
      </w:r>
      <w:r w:rsidRPr="003D4D81">
        <w:rPr>
          <w:sz w:val="22"/>
          <w:szCs w:val="22"/>
          <w:lang w:val="sk-SK" w:eastAsia="en-GB"/>
        </w:rPr>
        <w:t>poľa (pozri časť 4.8).</w:t>
      </w:r>
    </w:p>
    <w:p w:rsidR="00462C50" w:rsidRPr="003D4D81" w:rsidRDefault="00462C50" w:rsidP="00572196">
      <w:pPr>
        <w:spacing w:after="0"/>
        <w:jc w:val="left"/>
        <w:rPr>
          <w:sz w:val="22"/>
          <w:szCs w:val="22"/>
          <w:lang w:val="sk-SK"/>
        </w:rPr>
      </w:pPr>
    </w:p>
    <w:p w:rsidR="00097DF2" w:rsidRPr="003D4D81" w:rsidRDefault="001A7523" w:rsidP="00572196">
      <w:pPr>
        <w:spacing w:after="0"/>
        <w:jc w:val="left"/>
        <w:rPr>
          <w:sz w:val="22"/>
          <w:szCs w:val="22"/>
          <w:u w:val="single"/>
          <w:lang w:val="sk-SK"/>
        </w:rPr>
      </w:pPr>
      <w:r w:rsidRPr="003D4D81">
        <w:rPr>
          <w:sz w:val="22"/>
          <w:szCs w:val="22"/>
          <w:u w:val="single"/>
          <w:lang w:val="sk-SK"/>
        </w:rPr>
        <w:t>Farmakodynamický účinok</w:t>
      </w:r>
    </w:p>
    <w:p w:rsidR="00097DF2" w:rsidRPr="003D4D81" w:rsidRDefault="001A7523" w:rsidP="001A7523">
      <w:pPr>
        <w:autoSpaceDE w:val="0"/>
        <w:autoSpaceDN w:val="0"/>
        <w:adjustRightInd w:val="0"/>
        <w:spacing w:after="0"/>
        <w:jc w:val="left"/>
        <w:rPr>
          <w:sz w:val="22"/>
          <w:szCs w:val="22"/>
          <w:lang w:val="sk-SK"/>
        </w:rPr>
      </w:pPr>
      <w:r w:rsidRPr="003D4D81">
        <w:rPr>
          <w:sz w:val="22"/>
          <w:szCs w:val="22"/>
          <w:lang w:val="sk-SK" w:eastAsia="en-GB"/>
        </w:rPr>
        <w:t>Hlavnou farmakodynamickou vlastnosťou ivabradínu u ľudí je špecifické zníženie srdcovej frekvencie závislé od dávky. Analýza zníženia srdcovej frekvencie s dávkami do 20</w:t>
      </w:r>
      <w:r w:rsidR="00C230A9" w:rsidRPr="003D4D81">
        <w:rPr>
          <w:sz w:val="22"/>
          <w:szCs w:val="22"/>
          <w:lang w:val="sk-SK" w:eastAsia="en-GB"/>
        </w:rPr>
        <w:t> mg</w:t>
      </w:r>
      <w:r w:rsidRPr="003D4D81">
        <w:rPr>
          <w:sz w:val="22"/>
          <w:szCs w:val="22"/>
          <w:lang w:val="sk-SK" w:eastAsia="en-GB"/>
        </w:rPr>
        <w:t xml:space="preserve"> dvakrát denne naznačuje smer k plató efektu, ktorý je v zhode so zníženým rizikom ťažkej bradykardie pod 40</w:t>
      </w:r>
      <w:r w:rsidR="00C230A9" w:rsidRPr="003D4D81">
        <w:rPr>
          <w:sz w:val="22"/>
          <w:szCs w:val="22"/>
          <w:lang w:val="sk-SK" w:eastAsia="en-GB"/>
        </w:rPr>
        <w:t> úderov</w:t>
      </w:r>
      <w:r w:rsidRPr="003D4D81">
        <w:rPr>
          <w:sz w:val="22"/>
          <w:szCs w:val="22"/>
          <w:lang w:val="sk-SK" w:eastAsia="en-GB"/>
        </w:rPr>
        <w:t>/min (pozri časť 4.8).</w:t>
      </w:r>
    </w:p>
    <w:p w:rsidR="00097DF2" w:rsidRPr="003D4D81" w:rsidRDefault="001A7523" w:rsidP="001A7523">
      <w:pPr>
        <w:autoSpaceDE w:val="0"/>
        <w:autoSpaceDN w:val="0"/>
        <w:adjustRightInd w:val="0"/>
        <w:spacing w:after="0"/>
        <w:jc w:val="left"/>
        <w:rPr>
          <w:sz w:val="22"/>
          <w:szCs w:val="22"/>
          <w:lang w:val="sk-SK"/>
        </w:rPr>
      </w:pPr>
      <w:r w:rsidRPr="003D4D81">
        <w:rPr>
          <w:sz w:val="22"/>
          <w:szCs w:val="22"/>
          <w:lang w:val="sk-SK" w:eastAsia="en-GB"/>
        </w:rPr>
        <w:t>Pri bežných odporučených dávkach je zníženie srdcovej frekvencie v pokoji a počas záťaže približne 10</w:t>
      </w:r>
      <w:r w:rsidR="00C230A9" w:rsidRPr="003D4D81">
        <w:rPr>
          <w:sz w:val="22"/>
          <w:szCs w:val="22"/>
          <w:lang w:val="sk-SK" w:eastAsia="en-GB"/>
        </w:rPr>
        <w:t> úderov</w:t>
      </w:r>
      <w:r w:rsidRPr="003D4D81">
        <w:rPr>
          <w:sz w:val="22"/>
          <w:szCs w:val="22"/>
          <w:lang w:val="sk-SK" w:eastAsia="en-GB"/>
        </w:rPr>
        <w:t>/min. To vedie k zníženiu pracovnej záťaže srdca a spotreby kyslíka myokardom. Ivabradín neovplyvňuje intrakardiálne vedenie, kontraktilitu (nemá negatívny inotropný účinok) alebo komorovú repolarizáciu</w:t>
      </w:r>
      <w:r w:rsidR="00097DF2" w:rsidRPr="003D4D81">
        <w:rPr>
          <w:sz w:val="22"/>
          <w:szCs w:val="22"/>
          <w:lang w:val="sk-SK"/>
        </w:rPr>
        <w:t>:</w:t>
      </w:r>
    </w:p>
    <w:p w:rsidR="00097DF2" w:rsidRPr="003D4D81" w:rsidRDefault="001A7523" w:rsidP="002426FB">
      <w:pPr>
        <w:pStyle w:val="Odsekzoznamu"/>
        <w:numPr>
          <w:ilvl w:val="0"/>
          <w:numId w:val="8"/>
        </w:numPr>
        <w:spacing w:after="0"/>
        <w:ind w:left="426" w:hanging="284"/>
        <w:contextualSpacing w:val="0"/>
        <w:jc w:val="left"/>
        <w:rPr>
          <w:sz w:val="22"/>
          <w:szCs w:val="22"/>
          <w:lang w:val="sk-SK"/>
        </w:rPr>
      </w:pPr>
      <w:r w:rsidRPr="003D4D81">
        <w:rPr>
          <w:sz w:val="22"/>
          <w:szCs w:val="22"/>
          <w:lang w:val="sk-SK" w:eastAsia="en-GB"/>
        </w:rPr>
        <w:t>V klinických elektrofyziologických štúdiách nemal ivabradín žiadny účinok na atrioventrikulárne</w:t>
      </w:r>
      <w:r w:rsidRPr="003D4D81">
        <w:rPr>
          <w:sz w:val="22"/>
          <w:szCs w:val="22"/>
          <w:lang w:val="sk-SK"/>
        </w:rPr>
        <w:t xml:space="preserve"> </w:t>
      </w:r>
      <w:r w:rsidRPr="003D4D81">
        <w:rPr>
          <w:sz w:val="22"/>
          <w:szCs w:val="22"/>
          <w:lang w:val="sk-SK" w:eastAsia="en-GB"/>
        </w:rPr>
        <w:t>alebo intraventrikulárne prevodové časy alebo korigované intervaly QT</w:t>
      </w:r>
      <w:r w:rsidR="00462C50" w:rsidRPr="003D4D81">
        <w:rPr>
          <w:sz w:val="22"/>
          <w:szCs w:val="22"/>
          <w:lang w:val="sk-SK"/>
        </w:rPr>
        <w:t>.</w:t>
      </w:r>
    </w:p>
    <w:p w:rsidR="00097DF2" w:rsidRPr="003D4D81" w:rsidRDefault="001A7523" w:rsidP="002426FB">
      <w:pPr>
        <w:pStyle w:val="Odsekzoznamu"/>
        <w:numPr>
          <w:ilvl w:val="0"/>
          <w:numId w:val="8"/>
        </w:numPr>
        <w:spacing w:after="0"/>
        <w:ind w:left="426" w:hanging="284"/>
        <w:contextualSpacing w:val="0"/>
        <w:jc w:val="left"/>
        <w:rPr>
          <w:sz w:val="22"/>
          <w:szCs w:val="22"/>
          <w:lang w:val="sk-SK"/>
        </w:rPr>
      </w:pPr>
      <w:r w:rsidRPr="003D4D81">
        <w:rPr>
          <w:sz w:val="22"/>
          <w:szCs w:val="22"/>
          <w:lang w:val="sk-SK" w:eastAsia="en-GB"/>
        </w:rPr>
        <w:t>U pacientov s dysfunkciou ľavej komory (ejekčná frakcia ľavej komory (EF ĽK) medzi 30 a 45</w:t>
      </w:r>
      <w:r w:rsidR="00C230A9" w:rsidRPr="003D4D81">
        <w:rPr>
          <w:sz w:val="22"/>
          <w:szCs w:val="22"/>
          <w:lang w:val="sk-SK" w:eastAsia="en-GB"/>
        </w:rPr>
        <w:t> %</w:t>
      </w:r>
      <w:r w:rsidRPr="003D4D81">
        <w:rPr>
          <w:sz w:val="22"/>
          <w:szCs w:val="22"/>
          <w:lang w:val="sk-SK" w:eastAsia="en-GB"/>
        </w:rPr>
        <w:t>)</w:t>
      </w:r>
      <w:r w:rsidRPr="003D4D81">
        <w:rPr>
          <w:sz w:val="22"/>
          <w:szCs w:val="22"/>
          <w:lang w:val="sk-SK"/>
        </w:rPr>
        <w:t xml:space="preserve"> </w:t>
      </w:r>
      <w:r w:rsidRPr="003D4D81">
        <w:rPr>
          <w:sz w:val="22"/>
          <w:szCs w:val="22"/>
          <w:lang w:val="sk-SK" w:eastAsia="en-GB"/>
        </w:rPr>
        <w:t>nemal ivabradín žiadny škodlivý účinok na EF ĽK</w:t>
      </w:r>
      <w:r w:rsidR="00097DF2" w:rsidRPr="003D4D81">
        <w:rPr>
          <w:sz w:val="22"/>
          <w:szCs w:val="22"/>
          <w:lang w:val="sk-SK"/>
        </w:rPr>
        <w:t>.</w:t>
      </w:r>
    </w:p>
    <w:p w:rsidR="00462C50" w:rsidRPr="003D4D81" w:rsidRDefault="00462C50" w:rsidP="00572196">
      <w:pPr>
        <w:spacing w:after="0"/>
        <w:jc w:val="left"/>
        <w:rPr>
          <w:sz w:val="22"/>
          <w:szCs w:val="22"/>
          <w:lang w:val="sk-SK"/>
        </w:rPr>
      </w:pPr>
    </w:p>
    <w:p w:rsidR="00857752" w:rsidRPr="003D4D81" w:rsidRDefault="00857752" w:rsidP="00572196">
      <w:pPr>
        <w:spacing w:after="0"/>
        <w:jc w:val="left"/>
        <w:rPr>
          <w:sz w:val="22"/>
          <w:szCs w:val="22"/>
          <w:u w:val="single"/>
          <w:lang w:val="sk-SK"/>
        </w:rPr>
      </w:pPr>
    </w:p>
    <w:p w:rsidR="00886145" w:rsidRPr="003D4D81" w:rsidRDefault="00886145" w:rsidP="00572196">
      <w:pPr>
        <w:spacing w:after="0"/>
        <w:jc w:val="left"/>
        <w:rPr>
          <w:sz w:val="22"/>
          <w:szCs w:val="22"/>
          <w:u w:val="single"/>
          <w:lang w:val="sk-SK"/>
        </w:rPr>
      </w:pPr>
      <w:r w:rsidRPr="003D4D81">
        <w:rPr>
          <w:sz w:val="22"/>
          <w:szCs w:val="22"/>
          <w:u w:val="single"/>
          <w:lang w:val="sk-SK"/>
        </w:rPr>
        <w:t xml:space="preserve">Klinická účinnosť a bezpečnosť </w:t>
      </w:r>
    </w:p>
    <w:p w:rsidR="00886145" w:rsidRPr="003D4D81" w:rsidRDefault="00886145" w:rsidP="00886145">
      <w:pPr>
        <w:autoSpaceDE w:val="0"/>
        <w:autoSpaceDN w:val="0"/>
        <w:adjustRightInd w:val="0"/>
        <w:spacing w:after="0"/>
        <w:jc w:val="left"/>
        <w:rPr>
          <w:sz w:val="22"/>
          <w:szCs w:val="22"/>
          <w:lang w:val="sk-SK" w:eastAsia="en-GB"/>
        </w:rPr>
      </w:pPr>
      <w:r w:rsidRPr="003D4D81">
        <w:rPr>
          <w:sz w:val="22"/>
          <w:szCs w:val="22"/>
          <w:lang w:val="sk-SK" w:eastAsia="en-GB"/>
        </w:rPr>
        <w:t>Anti</w:t>
      </w:r>
      <w:r w:rsidR="00C230A9" w:rsidRPr="003D4D81">
        <w:rPr>
          <w:sz w:val="22"/>
          <w:szCs w:val="22"/>
          <w:lang w:val="sk-SK" w:eastAsia="en-GB"/>
        </w:rPr>
        <w:t>ang</w:t>
      </w:r>
      <w:r w:rsidR="002C6655" w:rsidRPr="003D4D81">
        <w:rPr>
          <w:sz w:val="22"/>
          <w:szCs w:val="22"/>
          <w:lang w:val="sk-SK" w:eastAsia="en-GB"/>
        </w:rPr>
        <w:t>i</w:t>
      </w:r>
      <w:r w:rsidR="00C230A9" w:rsidRPr="003D4D81">
        <w:rPr>
          <w:sz w:val="22"/>
          <w:szCs w:val="22"/>
          <w:lang w:val="sk-SK" w:eastAsia="en-GB"/>
        </w:rPr>
        <w:t>n</w:t>
      </w:r>
      <w:r w:rsidRPr="003D4D81">
        <w:rPr>
          <w:sz w:val="22"/>
          <w:szCs w:val="22"/>
          <w:lang w:val="sk-SK" w:eastAsia="en-GB"/>
        </w:rPr>
        <w:t xml:space="preserve">ózna a antiischemická účinnosť ivabradínu bola hodnotená v piatich dvojito </w:t>
      </w:r>
      <w:r w:rsidR="00201A3D" w:rsidRPr="003D4D81">
        <w:rPr>
          <w:sz w:val="22"/>
          <w:szCs w:val="22"/>
          <w:lang w:val="sk-SK" w:eastAsia="en-GB"/>
        </w:rPr>
        <w:t>za</w:t>
      </w:r>
      <w:r w:rsidRPr="003D4D81">
        <w:rPr>
          <w:sz w:val="22"/>
          <w:szCs w:val="22"/>
          <w:lang w:val="sk-SK" w:eastAsia="en-GB"/>
        </w:rPr>
        <w:t>slep</w:t>
      </w:r>
      <w:r w:rsidR="00201A3D" w:rsidRPr="003D4D81">
        <w:rPr>
          <w:sz w:val="22"/>
          <w:szCs w:val="22"/>
          <w:lang w:val="sk-SK" w:eastAsia="en-GB"/>
        </w:rPr>
        <w:t>en</w:t>
      </w:r>
      <w:r w:rsidRPr="003D4D81">
        <w:rPr>
          <w:sz w:val="22"/>
          <w:szCs w:val="22"/>
          <w:lang w:val="sk-SK" w:eastAsia="en-GB"/>
        </w:rPr>
        <w:t xml:space="preserve">ých, randomizovaných štúdiách (tri </w:t>
      </w:r>
      <w:r w:rsidR="00C230A9" w:rsidRPr="003D4D81">
        <w:rPr>
          <w:sz w:val="22"/>
          <w:szCs w:val="22"/>
          <w:lang w:val="sk-SK" w:eastAsia="en-GB"/>
        </w:rPr>
        <w:t>vs</w:t>
      </w:r>
      <w:r w:rsidRPr="003D4D81">
        <w:rPr>
          <w:sz w:val="22"/>
          <w:szCs w:val="22"/>
          <w:lang w:val="sk-SK" w:eastAsia="en-GB"/>
        </w:rPr>
        <w:t xml:space="preserve"> placeb</w:t>
      </w:r>
      <w:r w:rsidR="002C6655" w:rsidRPr="003D4D81">
        <w:rPr>
          <w:sz w:val="22"/>
          <w:szCs w:val="22"/>
          <w:lang w:val="sk-SK" w:eastAsia="en-GB"/>
        </w:rPr>
        <w:t>o</w:t>
      </w:r>
      <w:r w:rsidRPr="003D4D81">
        <w:rPr>
          <w:sz w:val="22"/>
          <w:szCs w:val="22"/>
          <w:lang w:val="sk-SK" w:eastAsia="en-GB"/>
        </w:rPr>
        <w:t xml:space="preserve">, jedna </w:t>
      </w:r>
      <w:r w:rsidR="00C230A9" w:rsidRPr="003D4D81">
        <w:rPr>
          <w:sz w:val="22"/>
          <w:szCs w:val="22"/>
          <w:lang w:val="sk-SK" w:eastAsia="en-GB"/>
        </w:rPr>
        <w:t>vs</w:t>
      </w:r>
      <w:r w:rsidRPr="003D4D81">
        <w:rPr>
          <w:sz w:val="22"/>
          <w:szCs w:val="22"/>
          <w:lang w:val="sk-SK" w:eastAsia="en-GB"/>
        </w:rPr>
        <w:t xml:space="preserve"> atenolol a jedna </w:t>
      </w:r>
      <w:r w:rsidR="00C230A9" w:rsidRPr="003D4D81">
        <w:rPr>
          <w:sz w:val="22"/>
          <w:szCs w:val="22"/>
          <w:lang w:val="sk-SK" w:eastAsia="en-GB"/>
        </w:rPr>
        <w:t>vs</w:t>
      </w:r>
      <w:r w:rsidRPr="003D4D81">
        <w:rPr>
          <w:sz w:val="22"/>
          <w:szCs w:val="22"/>
          <w:lang w:val="sk-SK" w:eastAsia="en-GB"/>
        </w:rPr>
        <w:t xml:space="preserve"> amlodipín). Tieto štúdie zahŕňali celkom 4111 pacientov s chronickou stabilnou </w:t>
      </w:r>
      <w:r w:rsidR="00C230A9" w:rsidRPr="003D4D81">
        <w:rPr>
          <w:sz w:val="22"/>
          <w:szCs w:val="22"/>
          <w:lang w:val="sk-SK" w:eastAsia="en-GB"/>
        </w:rPr>
        <w:t>angín</w:t>
      </w:r>
      <w:r w:rsidRPr="003D4D81">
        <w:rPr>
          <w:sz w:val="22"/>
          <w:szCs w:val="22"/>
          <w:lang w:val="sk-SK" w:eastAsia="en-GB"/>
        </w:rPr>
        <w:t>ou pectoris, z ktorých</w:t>
      </w:r>
    </w:p>
    <w:p w:rsidR="00097DF2" w:rsidRPr="003D4D81" w:rsidRDefault="00886145" w:rsidP="00886145">
      <w:pPr>
        <w:spacing w:after="0"/>
        <w:jc w:val="left"/>
        <w:rPr>
          <w:sz w:val="22"/>
          <w:szCs w:val="22"/>
          <w:lang w:val="sk-SK"/>
        </w:rPr>
      </w:pPr>
      <w:r w:rsidRPr="003D4D81">
        <w:rPr>
          <w:sz w:val="22"/>
          <w:szCs w:val="22"/>
          <w:lang w:val="sk-SK" w:eastAsia="en-GB"/>
        </w:rPr>
        <w:t>2617 dostávalo ivabradín</w:t>
      </w:r>
      <w:r w:rsidR="00097DF2" w:rsidRPr="003D4D81">
        <w:rPr>
          <w:sz w:val="22"/>
          <w:szCs w:val="22"/>
          <w:lang w:val="sk-SK"/>
        </w:rPr>
        <w:t>.</w:t>
      </w:r>
    </w:p>
    <w:p w:rsidR="002D0840" w:rsidRPr="003D4D81" w:rsidRDefault="002D0840" w:rsidP="00572196">
      <w:pPr>
        <w:spacing w:after="0"/>
        <w:jc w:val="left"/>
        <w:rPr>
          <w:sz w:val="22"/>
          <w:szCs w:val="22"/>
          <w:lang w:val="sk-SK"/>
        </w:rPr>
      </w:pPr>
    </w:p>
    <w:p w:rsidR="00097DF2" w:rsidRPr="003D4D81" w:rsidRDefault="00886145" w:rsidP="00886145">
      <w:pPr>
        <w:autoSpaceDE w:val="0"/>
        <w:autoSpaceDN w:val="0"/>
        <w:adjustRightInd w:val="0"/>
        <w:spacing w:after="0"/>
        <w:jc w:val="left"/>
        <w:rPr>
          <w:sz w:val="22"/>
          <w:szCs w:val="22"/>
          <w:lang w:val="sk-SK"/>
        </w:rPr>
      </w:pPr>
      <w:r w:rsidRPr="003D4D81">
        <w:rPr>
          <w:sz w:val="22"/>
          <w:szCs w:val="22"/>
          <w:lang w:val="sk-SK" w:eastAsia="en-GB"/>
        </w:rPr>
        <w:t>Ivabradín 5</w:t>
      </w:r>
      <w:r w:rsidR="00C230A9" w:rsidRPr="003D4D81">
        <w:rPr>
          <w:sz w:val="22"/>
          <w:szCs w:val="22"/>
          <w:lang w:val="sk-SK" w:eastAsia="en-GB"/>
        </w:rPr>
        <w:t> mg</w:t>
      </w:r>
      <w:r w:rsidRPr="003D4D81">
        <w:rPr>
          <w:sz w:val="22"/>
          <w:szCs w:val="22"/>
          <w:lang w:val="sk-SK" w:eastAsia="en-GB"/>
        </w:rPr>
        <w:t xml:space="preserve"> dvakrát denne preukázal účinnosť na parametre záťažového testu v priebehu 3</w:t>
      </w:r>
      <w:r w:rsidR="00B93236" w:rsidRPr="003D4D81">
        <w:rPr>
          <w:sz w:val="22"/>
          <w:szCs w:val="22"/>
          <w:lang w:val="sk-SK" w:eastAsia="en-GB"/>
        </w:rPr>
        <w:t> - </w:t>
      </w:r>
      <w:r w:rsidRPr="003D4D81">
        <w:rPr>
          <w:sz w:val="22"/>
          <w:szCs w:val="22"/>
          <w:lang w:val="sk-SK" w:eastAsia="en-GB"/>
        </w:rPr>
        <w:t>4 týždňov liečby. Účinnosť bola potvrdená so 7,5</w:t>
      </w:r>
      <w:r w:rsidR="00C230A9" w:rsidRPr="003D4D81">
        <w:rPr>
          <w:sz w:val="22"/>
          <w:szCs w:val="22"/>
          <w:lang w:val="sk-SK" w:eastAsia="en-GB"/>
        </w:rPr>
        <w:t> mg</w:t>
      </w:r>
      <w:r w:rsidRPr="003D4D81">
        <w:rPr>
          <w:sz w:val="22"/>
          <w:szCs w:val="22"/>
          <w:lang w:val="sk-SK" w:eastAsia="en-GB"/>
        </w:rPr>
        <w:t xml:space="preserve"> dvakrát denne. O</w:t>
      </w:r>
      <w:r w:rsidR="0048574D" w:rsidRPr="003D4D81">
        <w:rPr>
          <w:sz w:val="22"/>
          <w:szCs w:val="22"/>
          <w:lang w:val="sk-SK" w:eastAsia="en-GB"/>
        </w:rPr>
        <w:t>bzvlášť</w:t>
      </w:r>
      <w:r w:rsidRPr="003D4D81">
        <w:rPr>
          <w:sz w:val="22"/>
          <w:szCs w:val="22"/>
          <w:lang w:val="sk-SK" w:eastAsia="en-GB"/>
        </w:rPr>
        <w:t>, aditívny účinok dávky nad 5</w:t>
      </w:r>
      <w:r w:rsidR="00C230A9" w:rsidRPr="003D4D81">
        <w:rPr>
          <w:sz w:val="22"/>
          <w:szCs w:val="22"/>
          <w:lang w:val="sk-SK" w:eastAsia="en-GB"/>
        </w:rPr>
        <w:t> mg</w:t>
      </w:r>
      <w:r w:rsidRPr="003D4D81">
        <w:rPr>
          <w:sz w:val="22"/>
          <w:szCs w:val="22"/>
          <w:lang w:val="sk-SK" w:eastAsia="en-GB"/>
        </w:rPr>
        <w:t xml:space="preserve"> dvakrát denne bol stanovený v referenčnej kontrolovanej štúdii </w:t>
      </w:r>
      <w:r w:rsidR="00C230A9" w:rsidRPr="003D4D81">
        <w:rPr>
          <w:sz w:val="22"/>
          <w:szCs w:val="22"/>
          <w:lang w:val="sk-SK" w:eastAsia="en-GB"/>
        </w:rPr>
        <w:t>vs</w:t>
      </w:r>
      <w:r w:rsidRPr="003D4D81">
        <w:rPr>
          <w:sz w:val="22"/>
          <w:szCs w:val="22"/>
          <w:lang w:val="sk-SK" w:eastAsia="en-GB"/>
        </w:rPr>
        <w:t xml:space="preserve"> atenolol: celkové trvanie záťaže v dobe minimálneho účinku lieku sa predĺžilo o takmer 1 minútu po jednom mesiaci liečby s 5</w:t>
      </w:r>
      <w:r w:rsidR="00C230A9" w:rsidRPr="003D4D81">
        <w:rPr>
          <w:sz w:val="22"/>
          <w:szCs w:val="22"/>
          <w:lang w:val="sk-SK" w:eastAsia="en-GB"/>
        </w:rPr>
        <w:t> mg</w:t>
      </w:r>
      <w:r w:rsidRPr="003D4D81">
        <w:rPr>
          <w:sz w:val="22"/>
          <w:szCs w:val="22"/>
          <w:lang w:val="sk-SK" w:eastAsia="en-GB"/>
        </w:rPr>
        <w:t xml:space="preserve"> dvakrát denne a ďalej sa zlepšilo o takmer 25 sekúnd po ďalšom 3-mesačnom období s cielenou titráciou na 7,5</w:t>
      </w:r>
      <w:r w:rsidR="00C230A9" w:rsidRPr="003D4D81">
        <w:rPr>
          <w:sz w:val="22"/>
          <w:szCs w:val="22"/>
          <w:lang w:val="sk-SK" w:eastAsia="en-GB"/>
        </w:rPr>
        <w:t> mg</w:t>
      </w:r>
      <w:r w:rsidRPr="003D4D81">
        <w:rPr>
          <w:sz w:val="22"/>
          <w:szCs w:val="22"/>
          <w:lang w:val="sk-SK" w:eastAsia="en-GB"/>
        </w:rPr>
        <w:t xml:space="preserve"> dvakrát denne. V tejto štúdii boli potvrdené anti</w:t>
      </w:r>
      <w:r w:rsidR="00C230A9" w:rsidRPr="003D4D81">
        <w:rPr>
          <w:sz w:val="22"/>
          <w:szCs w:val="22"/>
          <w:lang w:val="sk-SK" w:eastAsia="en-GB"/>
        </w:rPr>
        <w:t>ang</w:t>
      </w:r>
      <w:r w:rsidR="002C6655" w:rsidRPr="003D4D81">
        <w:rPr>
          <w:sz w:val="22"/>
          <w:szCs w:val="22"/>
          <w:lang w:val="sk-SK" w:eastAsia="en-GB"/>
        </w:rPr>
        <w:t>i</w:t>
      </w:r>
      <w:r w:rsidR="00C230A9" w:rsidRPr="003D4D81">
        <w:rPr>
          <w:sz w:val="22"/>
          <w:szCs w:val="22"/>
          <w:lang w:val="sk-SK" w:eastAsia="en-GB"/>
        </w:rPr>
        <w:t>n</w:t>
      </w:r>
      <w:r w:rsidRPr="003D4D81">
        <w:rPr>
          <w:sz w:val="22"/>
          <w:szCs w:val="22"/>
          <w:lang w:val="sk-SK" w:eastAsia="en-GB"/>
        </w:rPr>
        <w:t>ózne a antiischemické účinky ivabradínu u pacientov vo veku 65 rokov alebo viac. Účinnosť dávky 5 a 7,5</w:t>
      </w:r>
      <w:r w:rsidR="00C230A9" w:rsidRPr="003D4D81">
        <w:rPr>
          <w:sz w:val="22"/>
          <w:szCs w:val="22"/>
          <w:lang w:val="sk-SK" w:eastAsia="en-GB"/>
        </w:rPr>
        <w:t> mg</w:t>
      </w:r>
      <w:r w:rsidRPr="003D4D81">
        <w:rPr>
          <w:sz w:val="22"/>
          <w:szCs w:val="22"/>
          <w:lang w:val="sk-SK" w:eastAsia="en-GB"/>
        </w:rPr>
        <w:t xml:space="preserve"> dvakrát denne bola konzistentná medzi jednotlivými štúdiami na parametre záťažového testu (celkové trvanie záťaže, čas do limitujúcej </w:t>
      </w:r>
      <w:r w:rsidR="00C230A9" w:rsidRPr="003D4D81">
        <w:rPr>
          <w:sz w:val="22"/>
          <w:szCs w:val="22"/>
          <w:lang w:val="sk-SK" w:eastAsia="en-GB"/>
        </w:rPr>
        <w:t>angín</w:t>
      </w:r>
      <w:r w:rsidRPr="003D4D81">
        <w:rPr>
          <w:sz w:val="22"/>
          <w:szCs w:val="22"/>
          <w:lang w:val="sk-SK" w:eastAsia="en-GB"/>
        </w:rPr>
        <w:t xml:space="preserve">y, čas do nástupu </w:t>
      </w:r>
      <w:r w:rsidR="00C230A9" w:rsidRPr="003D4D81">
        <w:rPr>
          <w:sz w:val="22"/>
          <w:szCs w:val="22"/>
          <w:lang w:val="sk-SK" w:eastAsia="en-GB"/>
        </w:rPr>
        <w:t>angín</w:t>
      </w:r>
      <w:r w:rsidRPr="003D4D81">
        <w:rPr>
          <w:sz w:val="22"/>
          <w:szCs w:val="22"/>
          <w:lang w:val="sk-SK" w:eastAsia="en-GB"/>
        </w:rPr>
        <w:t>y a čas do vzniku depresie segmentu ST o</w:t>
      </w:r>
      <w:r w:rsidR="00C230A9" w:rsidRPr="003D4D81">
        <w:rPr>
          <w:sz w:val="22"/>
          <w:szCs w:val="22"/>
          <w:lang w:val="sk-SK" w:eastAsia="en-GB"/>
        </w:rPr>
        <w:t> </w:t>
      </w:r>
      <w:r w:rsidRPr="003D4D81">
        <w:rPr>
          <w:sz w:val="22"/>
          <w:szCs w:val="22"/>
          <w:lang w:val="sk-SK" w:eastAsia="en-GB"/>
        </w:rPr>
        <w:t>1</w:t>
      </w:r>
      <w:r w:rsidR="00C230A9" w:rsidRPr="003D4D81">
        <w:rPr>
          <w:sz w:val="22"/>
          <w:szCs w:val="22"/>
          <w:lang w:val="sk-SK" w:eastAsia="en-GB"/>
        </w:rPr>
        <w:t> </w:t>
      </w:r>
      <w:r w:rsidRPr="003D4D81">
        <w:rPr>
          <w:sz w:val="22"/>
          <w:szCs w:val="22"/>
          <w:lang w:val="sk-SK" w:eastAsia="en-GB"/>
        </w:rPr>
        <w:t xml:space="preserve">mm) a bola spojená so znížením výskytu frekvencie </w:t>
      </w:r>
      <w:r w:rsidR="00C230A9" w:rsidRPr="003D4D81">
        <w:rPr>
          <w:sz w:val="22"/>
          <w:szCs w:val="22"/>
          <w:lang w:val="sk-SK" w:eastAsia="en-GB"/>
        </w:rPr>
        <w:t>ang</w:t>
      </w:r>
      <w:r w:rsidR="002C6655" w:rsidRPr="003D4D81">
        <w:rPr>
          <w:sz w:val="22"/>
          <w:szCs w:val="22"/>
          <w:lang w:val="sk-SK" w:eastAsia="en-GB"/>
        </w:rPr>
        <w:t>i</w:t>
      </w:r>
      <w:r w:rsidR="00C230A9" w:rsidRPr="003D4D81">
        <w:rPr>
          <w:sz w:val="22"/>
          <w:szCs w:val="22"/>
          <w:lang w:val="sk-SK" w:eastAsia="en-GB"/>
        </w:rPr>
        <w:t>n</w:t>
      </w:r>
      <w:r w:rsidRPr="003D4D81">
        <w:rPr>
          <w:sz w:val="22"/>
          <w:szCs w:val="22"/>
          <w:lang w:val="sk-SK" w:eastAsia="en-GB"/>
        </w:rPr>
        <w:t>óznych záchvatov o približne 70</w:t>
      </w:r>
      <w:r w:rsidR="00C230A9" w:rsidRPr="003D4D81">
        <w:rPr>
          <w:sz w:val="22"/>
          <w:szCs w:val="22"/>
          <w:lang w:val="sk-SK" w:eastAsia="en-GB"/>
        </w:rPr>
        <w:t> %</w:t>
      </w:r>
      <w:r w:rsidRPr="003D4D81">
        <w:rPr>
          <w:sz w:val="22"/>
          <w:szCs w:val="22"/>
          <w:lang w:val="sk-SK" w:eastAsia="en-GB"/>
        </w:rPr>
        <w:t>. Dávkovací režim ivabradínu dvakrát denne priniesol rovnakú účinnosť počas 24</w:t>
      </w:r>
      <w:r w:rsidR="00C230A9" w:rsidRPr="003D4D81">
        <w:rPr>
          <w:sz w:val="22"/>
          <w:szCs w:val="22"/>
          <w:lang w:val="sk-SK" w:eastAsia="en-GB"/>
        </w:rPr>
        <w:t> </w:t>
      </w:r>
      <w:r w:rsidR="00097DF2" w:rsidRPr="003D4D81">
        <w:rPr>
          <w:sz w:val="22"/>
          <w:szCs w:val="22"/>
          <w:lang w:val="sk-SK"/>
        </w:rPr>
        <w:t>h</w:t>
      </w:r>
      <w:r w:rsidRPr="003D4D81">
        <w:rPr>
          <w:sz w:val="22"/>
          <w:szCs w:val="22"/>
          <w:lang w:val="sk-SK"/>
        </w:rPr>
        <w:t>odín.</w:t>
      </w:r>
    </w:p>
    <w:p w:rsidR="002D0840" w:rsidRPr="003D4D81" w:rsidRDefault="002D0840" w:rsidP="00572196">
      <w:pPr>
        <w:spacing w:after="0"/>
        <w:jc w:val="left"/>
        <w:rPr>
          <w:sz w:val="22"/>
          <w:szCs w:val="22"/>
          <w:lang w:val="sk-SK"/>
        </w:rPr>
      </w:pPr>
    </w:p>
    <w:p w:rsidR="00097DF2" w:rsidRPr="003D4D81" w:rsidRDefault="00886145" w:rsidP="00886145">
      <w:pPr>
        <w:autoSpaceDE w:val="0"/>
        <w:autoSpaceDN w:val="0"/>
        <w:adjustRightInd w:val="0"/>
        <w:spacing w:after="0"/>
        <w:jc w:val="left"/>
        <w:rPr>
          <w:sz w:val="22"/>
          <w:szCs w:val="22"/>
          <w:lang w:val="sk-SK"/>
        </w:rPr>
      </w:pPr>
      <w:r w:rsidRPr="003D4D81">
        <w:rPr>
          <w:sz w:val="22"/>
          <w:szCs w:val="22"/>
          <w:lang w:val="sk-SK" w:eastAsia="en-GB"/>
        </w:rPr>
        <w:t>V randomizovanej, placebom kontrolovanej štúdii, ktorej sa zúčastnilo 889 pacientov</w:t>
      </w:r>
      <w:r w:rsidR="002C6655" w:rsidRPr="003D4D81">
        <w:rPr>
          <w:sz w:val="22"/>
          <w:szCs w:val="22"/>
          <w:lang w:val="sk-SK" w:eastAsia="en-GB"/>
        </w:rPr>
        <w:t>,</w:t>
      </w:r>
      <w:r w:rsidRPr="003D4D81">
        <w:rPr>
          <w:sz w:val="22"/>
          <w:szCs w:val="22"/>
          <w:lang w:val="sk-SK" w:eastAsia="en-GB"/>
        </w:rPr>
        <w:t xml:space="preserve"> ivabradín pridávaný k atenololu 50</w:t>
      </w:r>
      <w:r w:rsidR="00C230A9" w:rsidRPr="003D4D81">
        <w:rPr>
          <w:sz w:val="22"/>
          <w:szCs w:val="22"/>
          <w:lang w:val="sk-SK" w:eastAsia="en-GB"/>
        </w:rPr>
        <w:t> mg</w:t>
      </w:r>
      <w:r w:rsidRPr="003D4D81">
        <w:rPr>
          <w:sz w:val="22"/>
          <w:szCs w:val="22"/>
          <w:lang w:val="sk-SK" w:eastAsia="en-GB"/>
        </w:rPr>
        <w:t xml:space="preserve"> raz denne preukázal aditívnu účinnosť na všetky parametre záťažového testu v dobe minimálneho účinku lieku (12 hodín po perorálnom užití).</w:t>
      </w:r>
    </w:p>
    <w:p w:rsidR="002D0840" w:rsidRPr="003D4D81" w:rsidRDefault="002D0840" w:rsidP="00572196">
      <w:pPr>
        <w:spacing w:after="0"/>
        <w:jc w:val="left"/>
        <w:rPr>
          <w:sz w:val="22"/>
          <w:szCs w:val="22"/>
          <w:lang w:val="sk-SK"/>
        </w:rPr>
      </w:pPr>
    </w:p>
    <w:p w:rsidR="00097DF2" w:rsidRPr="003D4D81" w:rsidRDefault="00886145" w:rsidP="00886145">
      <w:pPr>
        <w:autoSpaceDE w:val="0"/>
        <w:autoSpaceDN w:val="0"/>
        <w:adjustRightInd w:val="0"/>
        <w:spacing w:after="0"/>
        <w:jc w:val="left"/>
        <w:rPr>
          <w:sz w:val="22"/>
          <w:szCs w:val="22"/>
          <w:lang w:val="sk-SK"/>
        </w:rPr>
      </w:pPr>
      <w:r w:rsidRPr="003D4D81">
        <w:rPr>
          <w:sz w:val="22"/>
          <w:szCs w:val="22"/>
          <w:lang w:val="sk-SK" w:eastAsia="en-GB"/>
        </w:rPr>
        <w:t>V randomizovanej, placebom kontrolovanej štúdii so 725 pacientmi ivabradín pridávaný k amlodipínu 10</w:t>
      </w:r>
      <w:r w:rsidR="00C230A9" w:rsidRPr="003D4D81">
        <w:rPr>
          <w:sz w:val="22"/>
          <w:szCs w:val="22"/>
          <w:lang w:val="sk-SK" w:eastAsia="en-GB"/>
        </w:rPr>
        <w:t> mg</w:t>
      </w:r>
      <w:r w:rsidRPr="003D4D81">
        <w:rPr>
          <w:sz w:val="22"/>
          <w:szCs w:val="22"/>
          <w:lang w:val="sk-SK" w:eastAsia="en-GB"/>
        </w:rPr>
        <w:t xml:space="preserve"> raz denne nepreukázal aditívnu účinnosť v dobe minimáln</w:t>
      </w:r>
      <w:r w:rsidR="0048574D" w:rsidRPr="003D4D81">
        <w:rPr>
          <w:sz w:val="22"/>
          <w:szCs w:val="22"/>
          <w:lang w:val="sk-SK" w:eastAsia="en-GB"/>
        </w:rPr>
        <w:t>e</w:t>
      </w:r>
      <w:r w:rsidRPr="003D4D81">
        <w:rPr>
          <w:sz w:val="22"/>
          <w:szCs w:val="22"/>
          <w:lang w:val="sk-SK" w:eastAsia="en-GB"/>
        </w:rPr>
        <w:t>ho účinku lieku (12 hodín po perorálnom užití), zatiaľ čo aditívna účinnosť bola preukázaná v dobe maximálneho účinku lieku (3</w:t>
      </w:r>
      <w:r w:rsidR="00C230A9" w:rsidRPr="003D4D81">
        <w:rPr>
          <w:sz w:val="22"/>
          <w:szCs w:val="22"/>
          <w:lang w:val="sk-SK" w:eastAsia="en-GB"/>
        </w:rPr>
        <w:t> - </w:t>
      </w:r>
      <w:r w:rsidRPr="003D4D81">
        <w:rPr>
          <w:sz w:val="22"/>
          <w:szCs w:val="22"/>
          <w:lang w:val="sk-SK" w:eastAsia="en-GB"/>
        </w:rPr>
        <w:t>4</w:t>
      </w:r>
      <w:r w:rsidR="00C230A9" w:rsidRPr="003D4D81">
        <w:rPr>
          <w:sz w:val="22"/>
          <w:szCs w:val="22"/>
          <w:lang w:val="sk-SK" w:eastAsia="en-GB"/>
        </w:rPr>
        <w:t xml:space="preserve"> </w:t>
      </w:r>
      <w:r w:rsidRPr="003D4D81">
        <w:rPr>
          <w:sz w:val="22"/>
          <w:szCs w:val="22"/>
          <w:lang w:val="sk-SK" w:eastAsia="en-GB"/>
        </w:rPr>
        <w:t>hodiny po perorálnom užití).</w:t>
      </w:r>
    </w:p>
    <w:p w:rsidR="001F0057" w:rsidRPr="003D4D81" w:rsidRDefault="001F0057" w:rsidP="00572196">
      <w:pPr>
        <w:spacing w:after="0"/>
        <w:jc w:val="left"/>
        <w:rPr>
          <w:sz w:val="22"/>
          <w:szCs w:val="22"/>
          <w:lang w:val="sk-SK"/>
        </w:rPr>
      </w:pPr>
    </w:p>
    <w:p w:rsidR="001F0057" w:rsidRPr="003D4D81" w:rsidRDefault="00FD18E7" w:rsidP="00FD18E7">
      <w:pPr>
        <w:autoSpaceDE w:val="0"/>
        <w:autoSpaceDN w:val="0"/>
        <w:adjustRightInd w:val="0"/>
        <w:spacing w:after="0"/>
        <w:jc w:val="left"/>
        <w:rPr>
          <w:sz w:val="22"/>
          <w:szCs w:val="22"/>
          <w:lang w:val="sk-SK" w:eastAsia="en-GB"/>
        </w:rPr>
      </w:pPr>
      <w:r w:rsidRPr="003D4D81">
        <w:rPr>
          <w:sz w:val="22"/>
          <w:szCs w:val="22"/>
          <w:lang w:val="sk-SK" w:eastAsia="en-GB"/>
        </w:rPr>
        <w:t>V randomizovanej, placebom kontrolovanej štúdii s 1277 pacientmi preukázal ivabradín pridávaný k amlodipínu 5</w:t>
      </w:r>
      <w:r w:rsidR="00C230A9" w:rsidRPr="003D4D81">
        <w:rPr>
          <w:sz w:val="22"/>
          <w:szCs w:val="22"/>
          <w:lang w:val="sk-SK" w:eastAsia="en-GB"/>
        </w:rPr>
        <w:t> mg</w:t>
      </w:r>
      <w:r w:rsidRPr="003D4D81">
        <w:rPr>
          <w:sz w:val="22"/>
          <w:szCs w:val="22"/>
          <w:lang w:val="sk-SK" w:eastAsia="en-GB"/>
        </w:rPr>
        <w:t xml:space="preserve"> raz denne alebo k nifedipínu GITS 30</w:t>
      </w:r>
      <w:r w:rsidR="00C230A9" w:rsidRPr="003D4D81">
        <w:rPr>
          <w:sz w:val="22"/>
          <w:szCs w:val="22"/>
          <w:lang w:val="sk-SK" w:eastAsia="en-GB"/>
        </w:rPr>
        <w:t> mg</w:t>
      </w:r>
      <w:r w:rsidRPr="003D4D81">
        <w:rPr>
          <w:sz w:val="22"/>
          <w:szCs w:val="22"/>
          <w:lang w:val="sk-SK" w:eastAsia="en-GB"/>
        </w:rPr>
        <w:t xml:space="preserve"> raz denne štatisticky signifikantnú aditívnu účinnosť na odpoveď na liečbu (definovaná ako zníženie o najmenej 3 záchvaty </w:t>
      </w:r>
      <w:r w:rsidR="00C230A9" w:rsidRPr="003D4D81">
        <w:rPr>
          <w:sz w:val="22"/>
          <w:szCs w:val="22"/>
          <w:lang w:val="sk-SK" w:eastAsia="en-GB"/>
        </w:rPr>
        <w:t>angín</w:t>
      </w:r>
      <w:r w:rsidRPr="003D4D81">
        <w:rPr>
          <w:sz w:val="22"/>
          <w:szCs w:val="22"/>
          <w:lang w:val="sk-SK" w:eastAsia="en-GB"/>
        </w:rPr>
        <w:t>y pectoris za týždeň a/alebo predĺženie času depresie segmentu ST o 1 mm o najmenej 60</w:t>
      </w:r>
      <w:r w:rsidR="00C230A9" w:rsidRPr="003D4D81">
        <w:rPr>
          <w:sz w:val="22"/>
          <w:szCs w:val="22"/>
          <w:lang w:val="sk-SK" w:eastAsia="en-GB"/>
        </w:rPr>
        <w:t> </w:t>
      </w:r>
      <w:r w:rsidRPr="003D4D81">
        <w:rPr>
          <w:sz w:val="22"/>
          <w:szCs w:val="22"/>
          <w:lang w:val="sk-SK" w:eastAsia="en-GB"/>
        </w:rPr>
        <w:t>s</w:t>
      </w:r>
      <w:r w:rsidR="00C230A9" w:rsidRPr="003D4D81">
        <w:rPr>
          <w:sz w:val="22"/>
          <w:szCs w:val="22"/>
          <w:lang w:val="sk-SK" w:eastAsia="en-GB"/>
        </w:rPr>
        <w:t xml:space="preserve"> </w:t>
      </w:r>
      <w:r w:rsidRPr="003D4D81">
        <w:rPr>
          <w:sz w:val="22"/>
          <w:szCs w:val="22"/>
          <w:lang w:val="sk-SK" w:eastAsia="en-GB"/>
        </w:rPr>
        <w:t>počas záťažového testu), v dobe najnižšieho účinku lieku (12 hodín po perorálnom užití ivabradínu) počas 6 týždňovej liečby (OR</w:t>
      </w:r>
      <w:r w:rsidR="00C230A9" w:rsidRPr="003D4D81">
        <w:rPr>
          <w:sz w:val="22"/>
          <w:szCs w:val="22"/>
          <w:lang w:val="sk-SK" w:eastAsia="en-GB"/>
        </w:rPr>
        <w:t> = </w:t>
      </w:r>
      <w:r w:rsidRPr="003D4D81">
        <w:rPr>
          <w:sz w:val="22"/>
          <w:szCs w:val="22"/>
          <w:lang w:val="sk-SK" w:eastAsia="en-GB"/>
        </w:rPr>
        <w:t>1,3, 95</w:t>
      </w:r>
      <w:r w:rsidR="00C230A9" w:rsidRPr="003D4D81">
        <w:rPr>
          <w:sz w:val="22"/>
          <w:szCs w:val="22"/>
          <w:lang w:val="sk-SK" w:eastAsia="en-GB"/>
        </w:rPr>
        <w:t> %</w:t>
      </w:r>
      <w:r w:rsidRPr="003D4D81">
        <w:rPr>
          <w:sz w:val="22"/>
          <w:szCs w:val="22"/>
          <w:lang w:val="sk-SK" w:eastAsia="en-GB"/>
        </w:rPr>
        <w:t xml:space="preserve"> IS [1,0</w:t>
      </w:r>
      <w:r w:rsidR="00C230A9" w:rsidRPr="003D4D81">
        <w:rPr>
          <w:sz w:val="22"/>
          <w:szCs w:val="22"/>
          <w:lang w:val="sk-SK" w:eastAsia="en-GB"/>
        </w:rPr>
        <w:t> – </w:t>
      </w:r>
      <w:r w:rsidRPr="003D4D81">
        <w:rPr>
          <w:sz w:val="22"/>
          <w:szCs w:val="22"/>
          <w:lang w:val="sk-SK" w:eastAsia="en-GB"/>
        </w:rPr>
        <w:t>1,7]; p</w:t>
      </w:r>
      <w:r w:rsidR="00C230A9" w:rsidRPr="003D4D81">
        <w:rPr>
          <w:sz w:val="22"/>
          <w:szCs w:val="22"/>
          <w:lang w:val="sk-SK" w:eastAsia="en-GB"/>
        </w:rPr>
        <w:t> = </w:t>
      </w:r>
      <w:r w:rsidRPr="003D4D81">
        <w:rPr>
          <w:sz w:val="22"/>
          <w:szCs w:val="22"/>
          <w:lang w:val="sk-SK" w:eastAsia="en-GB"/>
        </w:rPr>
        <w:t>0,012). Ivabradín nepreukázal aditívnu účinnosť na sekundárne cieľové parametre záťažového testu v dobe najnižšieho účinku lieku, zatiaľ čo aditívna účinnosť bola preukázaná v dobe maximálneho účinku lieku (3</w:t>
      </w:r>
      <w:r w:rsidR="00C230A9" w:rsidRPr="003D4D81">
        <w:rPr>
          <w:sz w:val="22"/>
          <w:szCs w:val="22"/>
          <w:lang w:val="sk-SK" w:eastAsia="en-GB"/>
        </w:rPr>
        <w:t> – </w:t>
      </w:r>
      <w:r w:rsidRPr="003D4D81">
        <w:rPr>
          <w:sz w:val="22"/>
          <w:szCs w:val="22"/>
          <w:lang w:val="sk-SK" w:eastAsia="en-GB"/>
        </w:rPr>
        <w:t>4 hodiny po perorálnom užití ivabradínu).</w:t>
      </w:r>
    </w:p>
    <w:p w:rsidR="00FD18E7" w:rsidRPr="003D4D81" w:rsidRDefault="00FD18E7" w:rsidP="00FD18E7">
      <w:pPr>
        <w:spacing w:after="0"/>
        <w:jc w:val="left"/>
        <w:rPr>
          <w:sz w:val="22"/>
          <w:szCs w:val="22"/>
          <w:lang w:val="sk-SK"/>
        </w:rPr>
      </w:pPr>
    </w:p>
    <w:p w:rsidR="00097DF2" w:rsidRPr="003D4D81" w:rsidRDefault="00FD18E7" w:rsidP="00FD18E7">
      <w:pPr>
        <w:autoSpaceDE w:val="0"/>
        <w:autoSpaceDN w:val="0"/>
        <w:adjustRightInd w:val="0"/>
        <w:spacing w:after="0"/>
        <w:jc w:val="left"/>
        <w:rPr>
          <w:sz w:val="22"/>
          <w:szCs w:val="22"/>
          <w:lang w:val="sk-SK"/>
        </w:rPr>
      </w:pPr>
      <w:r w:rsidRPr="003D4D81">
        <w:rPr>
          <w:sz w:val="22"/>
          <w:szCs w:val="22"/>
          <w:lang w:val="sk-SK" w:eastAsia="en-GB"/>
        </w:rPr>
        <w:t>Účinnosť ivabradínu bola plne udržiavaná počas 3- alebo 4-mesačných období liečby v štúdiách zameraných na účinnosť. Neexistuje žiadny dôkaz farmakologickej tolerancie (straty účinnosti) vyvíjajúcej sa počas liečby, ani rebound fenoménu po náhlom vysadení liečby. Anti</w:t>
      </w:r>
      <w:r w:rsidR="00C230A9" w:rsidRPr="003D4D81">
        <w:rPr>
          <w:sz w:val="22"/>
          <w:szCs w:val="22"/>
          <w:lang w:val="sk-SK" w:eastAsia="en-GB"/>
        </w:rPr>
        <w:t>ang</w:t>
      </w:r>
      <w:r w:rsidR="002C6655" w:rsidRPr="003D4D81">
        <w:rPr>
          <w:sz w:val="22"/>
          <w:szCs w:val="22"/>
          <w:lang w:val="sk-SK" w:eastAsia="en-GB"/>
        </w:rPr>
        <w:t>i</w:t>
      </w:r>
      <w:r w:rsidR="00C230A9" w:rsidRPr="003D4D81">
        <w:rPr>
          <w:sz w:val="22"/>
          <w:szCs w:val="22"/>
          <w:lang w:val="sk-SK" w:eastAsia="en-GB"/>
        </w:rPr>
        <w:t>n</w:t>
      </w:r>
      <w:r w:rsidRPr="003D4D81">
        <w:rPr>
          <w:sz w:val="22"/>
          <w:szCs w:val="22"/>
          <w:lang w:val="sk-SK" w:eastAsia="en-GB"/>
        </w:rPr>
        <w:t xml:space="preserve">ózne a antiischemické účinky ivabradínu sa spájajú so znížením srdcovej frekvencie závislej od dávky a so signifikantným znížením </w:t>
      </w:r>
      <w:r w:rsidR="003C60C1" w:rsidRPr="003D4D81">
        <w:rPr>
          <w:sz w:val="22"/>
          <w:szCs w:val="22"/>
          <w:lang w:val="sk-SK" w:eastAsia="en-GB"/>
        </w:rPr>
        <w:t>hodnoty dvojproduktu</w:t>
      </w:r>
      <w:r w:rsidRPr="003D4D81">
        <w:rPr>
          <w:sz w:val="22"/>
          <w:szCs w:val="22"/>
          <w:lang w:val="sk-SK" w:eastAsia="en-GB"/>
        </w:rPr>
        <w:t xml:space="preserve"> (srdcová frekvencia x systolický krvný tlak) v pokoji a počas záťaže. Účinky na krvný tlak a periférnu cievnu rezistenciu boli nepatrné a klinicky nevýznamné</w:t>
      </w:r>
      <w:r w:rsidR="00097DF2" w:rsidRPr="003D4D81">
        <w:rPr>
          <w:sz w:val="22"/>
          <w:szCs w:val="22"/>
          <w:lang w:val="sk-SK"/>
        </w:rPr>
        <w:t>.</w:t>
      </w:r>
    </w:p>
    <w:p w:rsidR="002D0840" w:rsidRPr="003D4D81" w:rsidRDefault="002D0840" w:rsidP="00572196">
      <w:pPr>
        <w:spacing w:after="0"/>
        <w:jc w:val="left"/>
        <w:rPr>
          <w:sz w:val="22"/>
          <w:szCs w:val="22"/>
          <w:lang w:val="sk-SK"/>
        </w:rPr>
      </w:pPr>
    </w:p>
    <w:p w:rsidR="00097DF2" w:rsidRPr="003D4D81" w:rsidRDefault="00FD18E7" w:rsidP="00FD18E7">
      <w:pPr>
        <w:autoSpaceDE w:val="0"/>
        <w:autoSpaceDN w:val="0"/>
        <w:adjustRightInd w:val="0"/>
        <w:spacing w:after="0"/>
        <w:jc w:val="left"/>
        <w:rPr>
          <w:sz w:val="22"/>
          <w:szCs w:val="22"/>
          <w:lang w:val="sk-SK"/>
        </w:rPr>
      </w:pPr>
      <w:r w:rsidRPr="003D4D81">
        <w:rPr>
          <w:sz w:val="22"/>
          <w:szCs w:val="22"/>
          <w:lang w:val="sk-SK" w:eastAsia="en-GB"/>
        </w:rPr>
        <w:t>Trvalé zníženie srdcovej frekvencie bolo preukázané u pacientov liečených ivabradínom najmenej počas 1</w:t>
      </w:r>
      <w:r w:rsidR="00C230A9" w:rsidRPr="003D4D81">
        <w:rPr>
          <w:sz w:val="22"/>
          <w:szCs w:val="22"/>
          <w:lang w:val="sk-SK" w:eastAsia="en-GB"/>
        </w:rPr>
        <w:t> </w:t>
      </w:r>
      <w:r w:rsidRPr="003D4D81">
        <w:rPr>
          <w:sz w:val="22"/>
          <w:szCs w:val="22"/>
          <w:lang w:val="sk-SK" w:eastAsia="en-GB"/>
        </w:rPr>
        <w:t>roka (n</w:t>
      </w:r>
      <w:r w:rsidR="00C230A9" w:rsidRPr="003D4D81">
        <w:rPr>
          <w:sz w:val="22"/>
          <w:szCs w:val="22"/>
          <w:lang w:val="sk-SK" w:eastAsia="en-GB"/>
        </w:rPr>
        <w:t> = </w:t>
      </w:r>
      <w:r w:rsidRPr="003D4D81">
        <w:rPr>
          <w:sz w:val="22"/>
          <w:szCs w:val="22"/>
          <w:lang w:val="sk-SK" w:eastAsia="en-GB"/>
        </w:rPr>
        <w:t>713). Nebol pozorovaný vplyv na glukózový alebo lipidový metabolizmus</w:t>
      </w:r>
      <w:r w:rsidR="00097DF2" w:rsidRPr="003D4D81">
        <w:rPr>
          <w:sz w:val="22"/>
          <w:szCs w:val="22"/>
          <w:lang w:val="sk-SK"/>
        </w:rPr>
        <w:t>.</w:t>
      </w:r>
    </w:p>
    <w:p w:rsidR="002D0840" w:rsidRPr="003D4D81" w:rsidRDefault="002D0840" w:rsidP="00572196">
      <w:pPr>
        <w:spacing w:after="0"/>
        <w:jc w:val="left"/>
        <w:rPr>
          <w:sz w:val="22"/>
          <w:szCs w:val="22"/>
          <w:lang w:val="sk-SK"/>
        </w:rPr>
      </w:pPr>
    </w:p>
    <w:p w:rsidR="00097DF2" w:rsidRPr="003D4D81" w:rsidRDefault="00FD18E7" w:rsidP="00FD18E7">
      <w:pPr>
        <w:autoSpaceDE w:val="0"/>
        <w:autoSpaceDN w:val="0"/>
        <w:adjustRightInd w:val="0"/>
        <w:spacing w:after="0"/>
        <w:jc w:val="left"/>
        <w:rPr>
          <w:sz w:val="22"/>
          <w:szCs w:val="22"/>
          <w:lang w:val="sk-SK"/>
        </w:rPr>
      </w:pPr>
      <w:r w:rsidRPr="003D4D81">
        <w:rPr>
          <w:sz w:val="22"/>
          <w:szCs w:val="22"/>
          <w:lang w:val="sk-SK" w:eastAsia="en-GB"/>
        </w:rPr>
        <w:t>Anti</w:t>
      </w:r>
      <w:r w:rsidR="00C230A9" w:rsidRPr="003D4D81">
        <w:rPr>
          <w:sz w:val="22"/>
          <w:szCs w:val="22"/>
          <w:lang w:val="sk-SK" w:eastAsia="en-GB"/>
        </w:rPr>
        <w:t>ang</w:t>
      </w:r>
      <w:r w:rsidR="002C6655" w:rsidRPr="003D4D81">
        <w:rPr>
          <w:sz w:val="22"/>
          <w:szCs w:val="22"/>
          <w:lang w:val="sk-SK" w:eastAsia="en-GB"/>
        </w:rPr>
        <w:t>i</w:t>
      </w:r>
      <w:r w:rsidR="00C230A9" w:rsidRPr="003D4D81">
        <w:rPr>
          <w:sz w:val="22"/>
          <w:szCs w:val="22"/>
          <w:lang w:val="sk-SK" w:eastAsia="en-GB"/>
        </w:rPr>
        <w:t>n</w:t>
      </w:r>
      <w:r w:rsidRPr="003D4D81">
        <w:rPr>
          <w:sz w:val="22"/>
          <w:szCs w:val="22"/>
          <w:lang w:val="sk-SK" w:eastAsia="en-GB"/>
        </w:rPr>
        <w:t>ózna a antiischemická účinnosť ivabradínu bola zachovaná u diabetických pacientov (n</w:t>
      </w:r>
      <w:r w:rsidR="00C230A9" w:rsidRPr="003D4D81">
        <w:rPr>
          <w:sz w:val="22"/>
          <w:szCs w:val="22"/>
          <w:lang w:val="sk-SK" w:eastAsia="en-GB"/>
        </w:rPr>
        <w:t> = </w:t>
      </w:r>
      <w:r w:rsidRPr="003D4D81">
        <w:rPr>
          <w:sz w:val="22"/>
          <w:szCs w:val="22"/>
          <w:lang w:val="sk-SK" w:eastAsia="en-GB"/>
        </w:rPr>
        <w:t>457) s</w:t>
      </w:r>
      <w:r w:rsidR="00C230A9" w:rsidRPr="003D4D81">
        <w:rPr>
          <w:sz w:val="22"/>
          <w:szCs w:val="22"/>
          <w:lang w:val="sk-SK" w:eastAsia="en-GB"/>
        </w:rPr>
        <w:t> </w:t>
      </w:r>
      <w:r w:rsidRPr="003D4D81">
        <w:rPr>
          <w:sz w:val="22"/>
          <w:szCs w:val="22"/>
          <w:lang w:val="sk-SK" w:eastAsia="en-GB"/>
        </w:rPr>
        <w:t>podobným bezpečnostným profilom ako v celkovej populácii</w:t>
      </w:r>
      <w:r w:rsidR="00097DF2" w:rsidRPr="003D4D81">
        <w:rPr>
          <w:sz w:val="22"/>
          <w:szCs w:val="22"/>
          <w:lang w:val="sk-SK"/>
        </w:rPr>
        <w:t>.</w:t>
      </w:r>
    </w:p>
    <w:p w:rsidR="002D0840" w:rsidRPr="003D4D81" w:rsidRDefault="002D0840" w:rsidP="00FD18E7">
      <w:pPr>
        <w:spacing w:after="0"/>
        <w:jc w:val="center"/>
        <w:rPr>
          <w:sz w:val="22"/>
          <w:szCs w:val="22"/>
          <w:lang w:val="sk-SK"/>
        </w:rPr>
      </w:pPr>
    </w:p>
    <w:p w:rsidR="00FD18E7" w:rsidRPr="003D4D81" w:rsidRDefault="00FD18E7" w:rsidP="00FD18E7">
      <w:pPr>
        <w:autoSpaceDE w:val="0"/>
        <w:autoSpaceDN w:val="0"/>
        <w:adjustRightInd w:val="0"/>
        <w:spacing w:after="0"/>
        <w:jc w:val="left"/>
        <w:rPr>
          <w:sz w:val="22"/>
          <w:szCs w:val="22"/>
          <w:lang w:val="sk-SK" w:eastAsia="en-GB"/>
        </w:rPr>
      </w:pPr>
      <w:r w:rsidRPr="003D4D81">
        <w:rPr>
          <w:sz w:val="22"/>
          <w:szCs w:val="22"/>
          <w:lang w:val="sk-SK" w:eastAsia="en-GB"/>
        </w:rPr>
        <w:t>Rozsiahla štúdia BEAUTIFUL (outcome study), zameraná na sledovanie 10</w:t>
      </w:r>
      <w:r w:rsidR="002C6655" w:rsidRPr="003D4D81">
        <w:rPr>
          <w:sz w:val="22"/>
          <w:szCs w:val="22"/>
          <w:lang w:val="sk-SK" w:eastAsia="en-GB"/>
        </w:rPr>
        <w:t xml:space="preserve"> </w:t>
      </w:r>
      <w:r w:rsidRPr="003D4D81">
        <w:rPr>
          <w:sz w:val="22"/>
          <w:szCs w:val="22"/>
          <w:lang w:val="sk-SK" w:eastAsia="en-GB"/>
        </w:rPr>
        <w:t>917 pacientov s koronárnou chorobou srdca a dysfunkciou ľavej komory (EF ĽK&lt;40</w:t>
      </w:r>
      <w:r w:rsidR="00C230A9" w:rsidRPr="003D4D81">
        <w:rPr>
          <w:sz w:val="22"/>
          <w:szCs w:val="22"/>
          <w:lang w:val="sk-SK" w:eastAsia="en-GB"/>
        </w:rPr>
        <w:t> %</w:t>
      </w:r>
      <w:r w:rsidRPr="003D4D81">
        <w:rPr>
          <w:sz w:val="22"/>
          <w:szCs w:val="22"/>
          <w:lang w:val="sk-SK" w:eastAsia="en-GB"/>
        </w:rPr>
        <w:t>) sa uskutočnila pridaním k optimálnej štandardnej terapii pacientov, z ktorých 86,9</w:t>
      </w:r>
      <w:r w:rsidR="00C230A9" w:rsidRPr="003D4D81">
        <w:rPr>
          <w:sz w:val="22"/>
          <w:szCs w:val="22"/>
          <w:lang w:val="sk-SK" w:eastAsia="en-GB"/>
        </w:rPr>
        <w:t> %</w:t>
      </w:r>
      <w:r w:rsidRPr="003D4D81">
        <w:rPr>
          <w:sz w:val="22"/>
          <w:szCs w:val="22"/>
          <w:lang w:val="sk-SK" w:eastAsia="en-GB"/>
        </w:rPr>
        <w:t xml:space="preserve"> užívalo betablokátory. Hlavným kritériom účinnosti bol kombinovaný cieľ zahŕňajúci úmrtie z kardiovaskulárnych príčin, hospitalizáciu pre akútny IM alebo hospitalizáciu pre nový výskyt srdcového zlyhania alebo jeho zhoršenie. Štúdia nepreukázala rozdiel </w:t>
      </w:r>
      <w:r w:rsidRPr="003D4D81">
        <w:rPr>
          <w:sz w:val="22"/>
          <w:szCs w:val="22"/>
          <w:lang w:val="sk-SK" w:eastAsia="en-GB"/>
        </w:rPr>
        <w:lastRenderedPageBreak/>
        <w:t>v</w:t>
      </w:r>
      <w:r w:rsidR="00C230A9" w:rsidRPr="003D4D81">
        <w:rPr>
          <w:sz w:val="22"/>
          <w:szCs w:val="22"/>
          <w:lang w:val="sk-SK" w:eastAsia="en-GB"/>
        </w:rPr>
        <w:t> </w:t>
      </w:r>
      <w:r w:rsidRPr="003D4D81">
        <w:rPr>
          <w:sz w:val="22"/>
          <w:szCs w:val="22"/>
          <w:lang w:val="sk-SK" w:eastAsia="en-GB"/>
        </w:rPr>
        <w:t>pomere výsledkov primárneho kombinovaného cieľa v skupine s ivabradínom v porovnaní so skupinou s placebom (relatívne riziko ivabradín</w:t>
      </w:r>
      <w:r w:rsidR="008D7250" w:rsidRPr="003D4D81">
        <w:rPr>
          <w:sz w:val="22"/>
          <w:szCs w:val="22"/>
          <w:lang w:val="sk-SK" w:eastAsia="en-GB"/>
        </w:rPr>
        <w:t>:</w:t>
      </w:r>
      <w:r w:rsidRPr="003D4D81">
        <w:rPr>
          <w:sz w:val="22"/>
          <w:szCs w:val="22"/>
          <w:lang w:val="sk-SK" w:eastAsia="en-GB"/>
        </w:rPr>
        <w:t xml:space="preserve"> placebo 1,00, p</w:t>
      </w:r>
      <w:r w:rsidR="00C230A9" w:rsidRPr="003D4D81">
        <w:rPr>
          <w:sz w:val="22"/>
          <w:szCs w:val="22"/>
          <w:lang w:val="sk-SK" w:eastAsia="en-GB"/>
        </w:rPr>
        <w:t> = </w:t>
      </w:r>
      <w:r w:rsidRPr="003D4D81">
        <w:rPr>
          <w:sz w:val="22"/>
          <w:szCs w:val="22"/>
          <w:lang w:val="sk-SK" w:eastAsia="en-GB"/>
        </w:rPr>
        <w:t>0,945).</w:t>
      </w:r>
    </w:p>
    <w:p w:rsidR="00097DF2" w:rsidRPr="003D4D81" w:rsidRDefault="00FD18E7" w:rsidP="00FD18E7">
      <w:pPr>
        <w:autoSpaceDE w:val="0"/>
        <w:autoSpaceDN w:val="0"/>
        <w:adjustRightInd w:val="0"/>
        <w:spacing w:after="0"/>
        <w:jc w:val="left"/>
        <w:rPr>
          <w:sz w:val="22"/>
          <w:szCs w:val="22"/>
          <w:lang w:val="sk-SK"/>
        </w:rPr>
      </w:pPr>
      <w:r w:rsidRPr="003D4D81">
        <w:rPr>
          <w:sz w:val="22"/>
          <w:szCs w:val="22"/>
          <w:lang w:val="sk-SK" w:eastAsia="en-GB"/>
        </w:rPr>
        <w:t xml:space="preserve">V </w:t>
      </w:r>
      <w:r w:rsidRPr="003D4D81">
        <w:rPr>
          <w:iCs/>
          <w:sz w:val="22"/>
          <w:szCs w:val="22"/>
          <w:lang w:val="sk-SK" w:eastAsia="en-GB"/>
        </w:rPr>
        <w:t>post hoc</w:t>
      </w:r>
      <w:r w:rsidRPr="003D4D81">
        <w:rPr>
          <w:i/>
          <w:iCs/>
          <w:sz w:val="22"/>
          <w:szCs w:val="22"/>
          <w:lang w:val="sk-SK" w:eastAsia="en-GB"/>
        </w:rPr>
        <w:t xml:space="preserve"> </w:t>
      </w:r>
      <w:r w:rsidRPr="003D4D81">
        <w:rPr>
          <w:sz w:val="22"/>
          <w:szCs w:val="22"/>
          <w:lang w:val="sk-SK" w:eastAsia="en-GB"/>
        </w:rPr>
        <w:t xml:space="preserve">podskupine pacientov so symptomatickou </w:t>
      </w:r>
      <w:r w:rsidR="00C230A9" w:rsidRPr="003D4D81">
        <w:rPr>
          <w:sz w:val="22"/>
          <w:szCs w:val="22"/>
          <w:lang w:val="sk-SK" w:eastAsia="en-GB"/>
        </w:rPr>
        <w:t>angín</w:t>
      </w:r>
      <w:r w:rsidRPr="003D4D81">
        <w:rPr>
          <w:sz w:val="22"/>
          <w:szCs w:val="22"/>
          <w:lang w:val="sk-SK" w:eastAsia="en-GB"/>
        </w:rPr>
        <w:t>ou pektoris sa pri randomizácii (n</w:t>
      </w:r>
      <w:r w:rsidR="00C230A9" w:rsidRPr="003D4D81">
        <w:rPr>
          <w:sz w:val="22"/>
          <w:szCs w:val="22"/>
          <w:lang w:val="sk-SK" w:eastAsia="en-GB"/>
        </w:rPr>
        <w:t> = </w:t>
      </w:r>
      <w:r w:rsidRPr="003D4D81">
        <w:rPr>
          <w:sz w:val="22"/>
          <w:szCs w:val="22"/>
          <w:lang w:val="sk-SK" w:eastAsia="en-GB"/>
        </w:rPr>
        <w:t>1507) nezistil žiadny bezpečnostný signál týkajúci sa úmrtia z kardiovaskulárnych príčin, hospitalizácie pre akútny IM alebo srdcového zlyhania (ivabradín 12,0</w:t>
      </w:r>
      <w:r w:rsidR="00C230A9" w:rsidRPr="003D4D81">
        <w:rPr>
          <w:sz w:val="22"/>
          <w:szCs w:val="22"/>
          <w:lang w:val="sk-SK" w:eastAsia="en-GB"/>
        </w:rPr>
        <w:t> %</w:t>
      </w:r>
      <w:r w:rsidRPr="003D4D81">
        <w:rPr>
          <w:sz w:val="22"/>
          <w:szCs w:val="22"/>
          <w:lang w:val="sk-SK" w:eastAsia="en-GB"/>
        </w:rPr>
        <w:t xml:space="preserve"> v</w:t>
      </w:r>
      <w:r w:rsidR="00B93236" w:rsidRPr="003D4D81">
        <w:rPr>
          <w:sz w:val="22"/>
          <w:szCs w:val="22"/>
          <w:lang w:val="sk-SK" w:eastAsia="en-GB"/>
        </w:rPr>
        <w:t>s</w:t>
      </w:r>
      <w:r w:rsidRPr="003D4D81">
        <w:rPr>
          <w:sz w:val="22"/>
          <w:szCs w:val="22"/>
          <w:lang w:val="sk-SK" w:eastAsia="en-GB"/>
        </w:rPr>
        <w:t xml:space="preserve"> placebo 15,5</w:t>
      </w:r>
      <w:r w:rsidR="00C230A9" w:rsidRPr="003D4D81">
        <w:rPr>
          <w:sz w:val="22"/>
          <w:szCs w:val="22"/>
          <w:lang w:val="sk-SK" w:eastAsia="en-GB"/>
        </w:rPr>
        <w:t> %</w:t>
      </w:r>
      <w:r w:rsidRPr="003D4D81">
        <w:rPr>
          <w:sz w:val="22"/>
          <w:szCs w:val="22"/>
          <w:lang w:val="sk-SK" w:eastAsia="en-GB"/>
        </w:rPr>
        <w:t>, p</w:t>
      </w:r>
      <w:r w:rsidR="00C230A9" w:rsidRPr="003D4D81">
        <w:rPr>
          <w:sz w:val="22"/>
          <w:szCs w:val="22"/>
          <w:lang w:val="sk-SK" w:eastAsia="en-GB"/>
        </w:rPr>
        <w:t> = </w:t>
      </w:r>
      <w:r w:rsidRPr="003D4D81">
        <w:rPr>
          <w:sz w:val="22"/>
          <w:szCs w:val="22"/>
          <w:lang w:val="sk-SK" w:eastAsia="en-GB"/>
        </w:rPr>
        <w:t>0,05).</w:t>
      </w:r>
    </w:p>
    <w:p w:rsidR="00515E0D" w:rsidRPr="003D4D81" w:rsidRDefault="00515E0D" w:rsidP="00572196">
      <w:pPr>
        <w:spacing w:after="0"/>
        <w:jc w:val="left"/>
        <w:rPr>
          <w:sz w:val="22"/>
          <w:szCs w:val="22"/>
          <w:lang w:val="sk-SK"/>
        </w:rPr>
      </w:pPr>
    </w:p>
    <w:p w:rsidR="00515E0D" w:rsidRPr="003D4D81" w:rsidRDefault="003938C3" w:rsidP="003938C3">
      <w:pPr>
        <w:autoSpaceDE w:val="0"/>
        <w:autoSpaceDN w:val="0"/>
        <w:adjustRightInd w:val="0"/>
        <w:spacing w:after="0"/>
        <w:jc w:val="left"/>
        <w:rPr>
          <w:sz w:val="22"/>
          <w:szCs w:val="22"/>
          <w:lang w:val="sk-SK"/>
        </w:rPr>
      </w:pPr>
      <w:r w:rsidRPr="003D4D81">
        <w:rPr>
          <w:sz w:val="22"/>
          <w:szCs w:val="22"/>
          <w:lang w:val="sk-SK" w:eastAsia="en-GB"/>
        </w:rPr>
        <w:t>Rozsiahla štúdia SIGNIFY sa uskutočnila u 19 102 pacientov s koronárnou chorobou srdca a bez klinického srdcového zlyhania (EF ĽK &gt;</w:t>
      </w:r>
      <w:r w:rsidR="00B93236" w:rsidRPr="003D4D81">
        <w:rPr>
          <w:sz w:val="22"/>
          <w:szCs w:val="22"/>
          <w:lang w:val="sk-SK" w:eastAsia="en-GB"/>
        </w:rPr>
        <w:t> </w:t>
      </w:r>
      <w:r w:rsidRPr="003D4D81">
        <w:rPr>
          <w:sz w:val="22"/>
          <w:szCs w:val="22"/>
          <w:lang w:val="sk-SK" w:eastAsia="en-GB"/>
        </w:rPr>
        <w:t>40</w:t>
      </w:r>
      <w:r w:rsidR="00C230A9" w:rsidRPr="003D4D81">
        <w:rPr>
          <w:sz w:val="22"/>
          <w:szCs w:val="22"/>
          <w:lang w:val="sk-SK" w:eastAsia="en-GB"/>
        </w:rPr>
        <w:t> %</w:t>
      </w:r>
      <w:r w:rsidRPr="003D4D81">
        <w:rPr>
          <w:sz w:val="22"/>
          <w:szCs w:val="22"/>
          <w:lang w:val="sk-SK" w:eastAsia="en-GB"/>
        </w:rPr>
        <w:t>) pridaním sledovanej liečby k optimálnej štandardnej terapii. Bola použitá terapeutická schéma s vyšším dávkovaním ako je schválené dávkovanie (začiatočná dávka 7,5</w:t>
      </w:r>
      <w:r w:rsidR="00C230A9" w:rsidRPr="003D4D81">
        <w:rPr>
          <w:sz w:val="22"/>
          <w:szCs w:val="22"/>
          <w:lang w:val="sk-SK" w:eastAsia="en-GB"/>
        </w:rPr>
        <w:t> mg</w:t>
      </w:r>
      <w:r w:rsidRPr="003D4D81">
        <w:rPr>
          <w:sz w:val="22"/>
          <w:szCs w:val="22"/>
          <w:lang w:val="sk-SK" w:eastAsia="en-GB"/>
        </w:rPr>
        <w:t xml:space="preserve"> dvakrát denne (5</w:t>
      </w:r>
      <w:r w:rsidR="00C230A9" w:rsidRPr="003D4D81">
        <w:rPr>
          <w:sz w:val="22"/>
          <w:szCs w:val="22"/>
          <w:lang w:val="sk-SK" w:eastAsia="en-GB"/>
        </w:rPr>
        <w:t> mg</w:t>
      </w:r>
      <w:r w:rsidRPr="003D4D81">
        <w:rPr>
          <w:sz w:val="22"/>
          <w:szCs w:val="22"/>
          <w:lang w:val="sk-SK" w:eastAsia="en-GB"/>
        </w:rPr>
        <w:t xml:space="preserve"> dvakrát denne, ak vek je </w:t>
      </w:r>
      <w:r w:rsidR="00C230A9" w:rsidRPr="003D4D81">
        <w:rPr>
          <w:sz w:val="22"/>
          <w:szCs w:val="22"/>
          <w:lang w:val="sk-SK" w:eastAsia="en-GB"/>
        </w:rPr>
        <w:t>≥ </w:t>
      </w:r>
      <w:r w:rsidRPr="003D4D81">
        <w:rPr>
          <w:sz w:val="22"/>
          <w:szCs w:val="22"/>
          <w:lang w:val="sk-SK" w:eastAsia="en-GB"/>
        </w:rPr>
        <w:t>75 rokov) a titrácia až do 10</w:t>
      </w:r>
      <w:r w:rsidR="00C230A9" w:rsidRPr="003D4D81">
        <w:rPr>
          <w:sz w:val="22"/>
          <w:szCs w:val="22"/>
          <w:lang w:val="sk-SK" w:eastAsia="en-GB"/>
        </w:rPr>
        <w:t> mg</w:t>
      </w:r>
      <w:r w:rsidRPr="003D4D81">
        <w:rPr>
          <w:sz w:val="22"/>
          <w:szCs w:val="22"/>
          <w:lang w:val="sk-SK" w:eastAsia="en-GB"/>
        </w:rPr>
        <w:t xml:space="preserve"> dvakrát denne). Hlavné kritérium účinnosti bolo zložené z kardiovaskulárnej mortality alebo nefatálneho IM. Štúdia nepreukázala rozdiel v hodnote primárneho zloženého ukazovateľa (PCE, Primary composite Endpoint) v skupine s ivabradínom v porovnaní so skupinou s placebom (relatívne riziko </w:t>
      </w:r>
      <w:r w:rsidR="00B93236" w:rsidRPr="003D4D81">
        <w:rPr>
          <w:sz w:val="22"/>
          <w:szCs w:val="22"/>
          <w:lang w:val="sk-SK" w:eastAsia="en-GB"/>
        </w:rPr>
        <w:t xml:space="preserve">(RR) </w:t>
      </w:r>
      <w:r w:rsidRPr="003D4D81">
        <w:rPr>
          <w:sz w:val="22"/>
          <w:szCs w:val="22"/>
          <w:lang w:val="sk-SK" w:eastAsia="en-GB"/>
        </w:rPr>
        <w:t>ivabradín/placebo 1,08, p</w:t>
      </w:r>
      <w:r w:rsidR="00C230A9" w:rsidRPr="003D4D81">
        <w:rPr>
          <w:sz w:val="22"/>
          <w:szCs w:val="22"/>
          <w:lang w:val="sk-SK" w:eastAsia="en-GB"/>
        </w:rPr>
        <w:t> = </w:t>
      </w:r>
      <w:r w:rsidRPr="003D4D81">
        <w:rPr>
          <w:sz w:val="22"/>
          <w:szCs w:val="22"/>
          <w:lang w:val="sk-SK" w:eastAsia="en-GB"/>
        </w:rPr>
        <w:t>0,197). Bradykardia bola hlásená u 17,9</w:t>
      </w:r>
      <w:r w:rsidR="00C230A9" w:rsidRPr="003D4D81">
        <w:rPr>
          <w:sz w:val="22"/>
          <w:szCs w:val="22"/>
          <w:lang w:val="sk-SK" w:eastAsia="en-GB"/>
        </w:rPr>
        <w:t> %</w:t>
      </w:r>
      <w:r w:rsidRPr="003D4D81">
        <w:rPr>
          <w:sz w:val="22"/>
          <w:szCs w:val="22"/>
          <w:lang w:val="sk-SK" w:eastAsia="en-GB"/>
        </w:rPr>
        <w:t xml:space="preserve"> pacientov v skupine s ivabradínom (2,1% v skupine s placebom). Verapamil, diltiazem alebo silné CYP</w:t>
      </w:r>
      <w:r w:rsidR="00C230A9" w:rsidRPr="003D4D81">
        <w:rPr>
          <w:sz w:val="22"/>
          <w:szCs w:val="22"/>
          <w:lang w:val="sk-SK" w:eastAsia="en-GB"/>
        </w:rPr>
        <w:t> </w:t>
      </w:r>
      <w:r w:rsidRPr="003D4D81">
        <w:rPr>
          <w:sz w:val="22"/>
          <w:szCs w:val="22"/>
          <w:lang w:val="sk-SK" w:eastAsia="en-GB"/>
        </w:rPr>
        <w:t>3A4 inhibítory užívalo počas štúdie 7,1% pacientov.</w:t>
      </w:r>
    </w:p>
    <w:p w:rsidR="00515E0D" w:rsidRPr="003D4D81" w:rsidRDefault="00515E0D" w:rsidP="00572196">
      <w:pPr>
        <w:widowControl w:val="0"/>
        <w:autoSpaceDE w:val="0"/>
        <w:autoSpaceDN w:val="0"/>
        <w:adjustRightInd w:val="0"/>
        <w:spacing w:after="0"/>
        <w:jc w:val="left"/>
        <w:rPr>
          <w:sz w:val="22"/>
          <w:szCs w:val="22"/>
          <w:lang w:val="sk-SK"/>
        </w:rPr>
      </w:pPr>
    </w:p>
    <w:p w:rsidR="00515E0D" w:rsidRPr="003D4D81" w:rsidRDefault="003938C3" w:rsidP="003938C3">
      <w:pPr>
        <w:autoSpaceDE w:val="0"/>
        <w:autoSpaceDN w:val="0"/>
        <w:adjustRightInd w:val="0"/>
        <w:spacing w:after="0"/>
        <w:jc w:val="left"/>
        <w:rPr>
          <w:sz w:val="22"/>
          <w:szCs w:val="22"/>
          <w:lang w:val="sk-SK"/>
        </w:rPr>
      </w:pPr>
      <w:r w:rsidRPr="003D4D81">
        <w:rPr>
          <w:sz w:val="22"/>
          <w:szCs w:val="22"/>
          <w:lang w:val="sk-SK" w:eastAsia="en-GB"/>
        </w:rPr>
        <w:t xml:space="preserve">Malý štatisticky významný nárast PCE bol pozorovaný vo vopred určenej podskupine pacientov s </w:t>
      </w:r>
      <w:r w:rsidR="00C230A9" w:rsidRPr="003D4D81">
        <w:rPr>
          <w:sz w:val="22"/>
          <w:szCs w:val="22"/>
          <w:lang w:val="sk-SK" w:eastAsia="en-GB"/>
        </w:rPr>
        <w:t>angín</w:t>
      </w:r>
      <w:r w:rsidRPr="003D4D81">
        <w:rPr>
          <w:sz w:val="22"/>
          <w:szCs w:val="22"/>
          <w:lang w:val="sk-SK" w:eastAsia="en-GB"/>
        </w:rPr>
        <w:t>ou pectoris CCS triedy II alebo vyššej na začiatku štúdie (n</w:t>
      </w:r>
      <w:r w:rsidR="00C230A9" w:rsidRPr="003D4D81">
        <w:rPr>
          <w:sz w:val="22"/>
          <w:szCs w:val="22"/>
          <w:lang w:val="sk-SK" w:eastAsia="en-GB"/>
        </w:rPr>
        <w:t> = </w:t>
      </w:r>
      <w:r w:rsidRPr="003D4D81">
        <w:rPr>
          <w:sz w:val="22"/>
          <w:szCs w:val="22"/>
          <w:lang w:val="sk-SK" w:eastAsia="en-GB"/>
        </w:rPr>
        <w:t>12 049) (ročný výskyt 3,4% v</w:t>
      </w:r>
      <w:r w:rsidR="00B93236" w:rsidRPr="003D4D81">
        <w:rPr>
          <w:sz w:val="22"/>
          <w:szCs w:val="22"/>
          <w:lang w:val="sk-SK" w:eastAsia="en-GB"/>
        </w:rPr>
        <w:t>s</w:t>
      </w:r>
      <w:r w:rsidRPr="003D4D81">
        <w:rPr>
          <w:sz w:val="22"/>
          <w:szCs w:val="22"/>
          <w:lang w:val="sk-SK" w:eastAsia="en-GB"/>
        </w:rPr>
        <w:t xml:space="preserve"> 2,9%, </w:t>
      </w:r>
      <w:r w:rsidR="00B93236" w:rsidRPr="003D4D81">
        <w:rPr>
          <w:sz w:val="22"/>
          <w:szCs w:val="22"/>
          <w:lang w:val="sk-SK" w:eastAsia="en-GB"/>
        </w:rPr>
        <w:t>RR</w:t>
      </w:r>
      <w:r w:rsidRPr="003D4D81">
        <w:rPr>
          <w:sz w:val="22"/>
          <w:szCs w:val="22"/>
          <w:lang w:val="sk-SK" w:eastAsia="en-GB"/>
        </w:rPr>
        <w:t xml:space="preserve"> ivabradín/placebo 1,18, p</w:t>
      </w:r>
      <w:r w:rsidR="00C230A9" w:rsidRPr="003D4D81">
        <w:rPr>
          <w:sz w:val="22"/>
          <w:szCs w:val="22"/>
          <w:lang w:val="sk-SK" w:eastAsia="en-GB"/>
        </w:rPr>
        <w:t> = </w:t>
      </w:r>
      <w:r w:rsidRPr="003D4D81">
        <w:rPr>
          <w:sz w:val="22"/>
          <w:szCs w:val="22"/>
          <w:lang w:val="sk-SK" w:eastAsia="en-GB"/>
        </w:rPr>
        <w:t xml:space="preserve">0,018), ale nie v podskupine celkovej populácie s </w:t>
      </w:r>
      <w:r w:rsidR="00C230A9" w:rsidRPr="003D4D81">
        <w:rPr>
          <w:sz w:val="22"/>
          <w:szCs w:val="22"/>
          <w:lang w:val="sk-SK" w:eastAsia="en-GB"/>
        </w:rPr>
        <w:t>angín</w:t>
      </w:r>
      <w:r w:rsidRPr="003D4D81">
        <w:rPr>
          <w:sz w:val="22"/>
          <w:szCs w:val="22"/>
          <w:lang w:val="sk-SK" w:eastAsia="en-GB"/>
        </w:rPr>
        <w:t xml:space="preserve">ou CCS triedy </w:t>
      </w:r>
      <w:r w:rsidR="00C230A9" w:rsidRPr="003D4D81">
        <w:rPr>
          <w:sz w:val="22"/>
          <w:szCs w:val="22"/>
          <w:lang w:val="sk-SK" w:eastAsia="en-GB"/>
        </w:rPr>
        <w:t>≥ </w:t>
      </w:r>
      <w:r w:rsidRPr="003D4D81">
        <w:rPr>
          <w:sz w:val="22"/>
          <w:szCs w:val="22"/>
          <w:lang w:val="sk-SK" w:eastAsia="en-GB"/>
        </w:rPr>
        <w:t>I (n</w:t>
      </w:r>
      <w:r w:rsidR="00C230A9" w:rsidRPr="003D4D81">
        <w:rPr>
          <w:sz w:val="22"/>
          <w:szCs w:val="22"/>
          <w:lang w:val="sk-SK" w:eastAsia="en-GB"/>
        </w:rPr>
        <w:t> = </w:t>
      </w:r>
      <w:r w:rsidRPr="003D4D81">
        <w:rPr>
          <w:sz w:val="22"/>
          <w:szCs w:val="22"/>
          <w:lang w:val="sk-SK" w:eastAsia="en-GB"/>
        </w:rPr>
        <w:t>14</w:t>
      </w:r>
      <w:r w:rsidR="00B93236" w:rsidRPr="003D4D81">
        <w:rPr>
          <w:sz w:val="22"/>
          <w:szCs w:val="22"/>
          <w:lang w:val="sk-SK" w:eastAsia="en-GB"/>
        </w:rPr>
        <w:t> </w:t>
      </w:r>
      <w:r w:rsidRPr="003D4D81">
        <w:rPr>
          <w:sz w:val="22"/>
          <w:szCs w:val="22"/>
          <w:lang w:val="sk-SK" w:eastAsia="en-GB"/>
        </w:rPr>
        <w:t>286) (</w:t>
      </w:r>
      <w:r w:rsidR="00B93236" w:rsidRPr="003D4D81">
        <w:rPr>
          <w:sz w:val="22"/>
          <w:szCs w:val="22"/>
          <w:lang w:val="sk-SK" w:eastAsia="en-GB"/>
        </w:rPr>
        <w:t>RR</w:t>
      </w:r>
      <w:r w:rsidRPr="003D4D81">
        <w:rPr>
          <w:sz w:val="22"/>
          <w:szCs w:val="22"/>
          <w:lang w:val="sk-SK" w:eastAsia="en-GB"/>
        </w:rPr>
        <w:t xml:space="preserve"> ivabradín/placebo 1,11, p</w:t>
      </w:r>
      <w:r w:rsidR="00C230A9" w:rsidRPr="003D4D81">
        <w:rPr>
          <w:sz w:val="22"/>
          <w:szCs w:val="22"/>
          <w:lang w:val="sk-SK" w:eastAsia="en-GB"/>
        </w:rPr>
        <w:t> = </w:t>
      </w:r>
      <w:r w:rsidRPr="003D4D81">
        <w:rPr>
          <w:sz w:val="22"/>
          <w:szCs w:val="22"/>
          <w:lang w:val="sk-SK" w:eastAsia="en-GB"/>
        </w:rPr>
        <w:t>0,110).</w:t>
      </w:r>
    </w:p>
    <w:p w:rsidR="00515E0D" w:rsidRPr="003D4D81" w:rsidRDefault="00515E0D" w:rsidP="00572196">
      <w:pPr>
        <w:widowControl w:val="0"/>
        <w:autoSpaceDE w:val="0"/>
        <w:autoSpaceDN w:val="0"/>
        <w:adjustRightInd w:val="0"/>
        <w:spacing w:after="0"/>
        <w:jc w:val="left"/>
        <w:rPr>
          <w:sz w:val="22"/>
          <w:szCs w:val="22"/>
          <w:lang w:val="sk-SK"/>
        </w:rPr>
      </w:pPr>
    </w:p>
    <w:p w:rsidR="00515E0D" w:rsidRPr="003D4D81" w:rsidRDefault="003938C3" w:rsidP="00572196">
      <w:pPr>
        <w:spacing w:after="0"/>
        <w:jc w:val="left"/>
        <w:rPr>
          <w:sz w:val="22"/>
          <w:szCs w:val="22"/>
          <w:lang w:val="sk-SK"/>
        </w:rPr>
      </w:pPr>
      <w:r w:rsidRPr="003D4D81">
        <w:rPr>
          <w:sz w:val="22"/>
          <w:szCs w:val="22"/>
          <w:lang w:val="sk-SK" w:eastAsia="en-GB"/>
        </w:rPr>
        <w:t>Dávka použitá v štúdii bola vyššia ako je schválená dávka, čo ale úplne nevysvetľuje tieto výsledky</w:t>
      </w:r>
      <w:r w:rsidR="00BF2941" w:rsidRPr="003D4D81">
        <w:rPr>
          <w:sz w:val="22"/>
          <w:szCs w:val="22"/>
          <w:lang w:val="sk-SK"/>
        </w:rPr>
        <w:t>.</w:t>
      </w:r>
    </w:p>
    <w:p w:rsidR="00515E0D" w:rsidRPr="003D4D81" w:rsidRDefault="00515E0D" w:rsidP="00572196">
      <w:pPr>
        <w:spacing w:after="0"/>
        <w:jc w:val="left"/>
        <w:rPr>
          <w:sz w:val="22"/>
          <w:szCs w:val="22"/>
          <w:lang w:val="sk-SK"/>
        </w:rPr>
      </w:pPr>
    </w:p>
    <w:p w:rsidR="003938C3" w:rsidRPr="003D4D81" w:rsidRDefault="003938C3" w:rsidP="003938C3">
      <w:pPr>
        <w:autoSpaceDE w:val="0"/>
        <w:autoSpaceDN w:val="0"/>
        <w:adjustRightInd w:val="0"/>
        <w:spacing w:after="0"/>
        <w:jc w:val="left"/>
        <w:rPr>
          <w:sz w:val="22"/>
          <w:szCs w:val="22"/>
          <w:lang w:val="sk-SK" w:eastAsia="en-GB"/>
        </w:rPr>
      </w:pPr>
      <w:r w:rsidRPr="003D4D81">
        <w:rPr>
          <w:sz w:val="22"/>
          <w:szCs w:val="22"/>
          <w:lang w:val="sk-SK" w:eastAsia="en-GB"/>
        </w:rPr>
        <w:t xml:space="preserve">Štúdia SHIFT (outcome trial) bola veľká multicentrická, medzinárodná, randomizovaná dvojito zaslepená placebom kontrolovaná štúdia vykonaná u 6 505 dospelých pacientov so stabilným chronickým srdcovým zlyhaním (počas </w:t>
      </w:r>
      <w:r w:rsidR="00C230A9" w:rsidRPr="003D4D81">
        <w:rPr>
          <w:sz w:val="22"/>
          <w:szCs w:val="22"/>
          <w:lang w:val="sk-SK" w:eastAsia="en-GB"/>
        </w:rPr>
        <w:t>≥ </w:t>
      </w:r>
      <w:r w:rsidRPr="003D4D81">
        <w:rPr>
          <w:sz w:val="22"/>
          <w:szCs w:val="22"/>
          <w:lang w:val="sk-SK" w:eastAsia="en-GB"/>
        </w:rPr>
        <w:t>4 týždňov), triedy II</w:t>
      </w:r>
      <w:r w:rsidR="00B93236" w:rsidRPr="003D4D81">
        <w:rPr>
          <w:sz w:val="22"/>
          <w:szCs w:val="22"/>
          <w:lang w:val="sk-SK" w:eastAsia="en-GB"/>
        </w:rPr>
        <w:t> - </w:t>
      </w:r>
      <w:r w:rsidRPr="003D4D81">
        <w:rPr>
          <w:sz w:val="22"/>
          <w:szCs w:val="22"/>
          <w:lang w:val="sk-SK" w:eastAsia="en-GB"/>
        </w:rPr>
        <w:t>IV podľa NYHA, so zníženou ejekčnou frakciou ľavej komory (</w:t>
      </w:r>
      <w:r w:rsidRPr="003D4D81">
        <w:rPr>
          <w:sz w:val="22"/>
          <w:szCs w:val="22"/>
          <w:lang w:val="sk-SK"/>
        </w:rPr>
        <w:t>EF</w:t>
      </w:r>
      <w:r w:rsidR="005459F7" w:rsidRPr="003D4D81">
        <w:rPr>
          <w:sz w:val="22"/>
          <w:szCs w:val="22"/>
          <w:lang w:val="sk-SK"/>
        </w:rPr>
        <w:t xml:space="preserve"> ĽK</w:t>
      </w:r>
      <w:r w:rsidRPr="003D4D81">
        <w:rPr>
          <w:sz w:val="22"/>
          <w:szCs w:val="22"/>
          <w:lang w:val="sk-SK"/>
        </w:rPr>
        <w:t xml:space="preserve"> ≤ 35%) </w:t>
      </w:r>
      <w:r w:rsidRPr="003D4D81">
        <w:rPr>
          <w:sz w:val="22"/>
          <w:szCs w:val="22"/>
          <w:lang w:val="sk-SK" w:eastAsia="en-GB"/>
        </w:rPr>
        <w:t xml:space="preserve">a pokojovou srdcovou frekvenciou </w:t>
      </w:r>
      <w:r w:rsidR="00C230A9" w:rsidRPr="003D4D81">
        <w:rPr>
          <w:sz w:val="22"/>
          <w:szCs w:val="22"/>
          <w:lang w:val="sk-SK" w:eastAsia="en-GB"/>
        </w:rPr>
        <w:t>≥ </w:t>
      </w:r>
      <w:r w:rsidRPr="003D4D81">
        <w:rPr>
          <w:sz w:val="22"/>
          <w:szCs w:val="22"/>
          <w:lang w:val="sk-SK" w:eastAsia="en-GB"/>
        </w:rPr>
        <w:t>70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w:t>
      </w:r>
    </w:p>
    <w:p w:rsidR="00B53365" w:rsidRPr="003D4D81" w:rsidRDefault="003938C3" w:rsidP="003938C3">
      <w:pPr>
        <w:autoSpaceDE w:val="0"/>
        <w:autoSpaceDN w:val="0"/>
        <w:adjustRightInd w:val="0"/>
        <w:spacing w:after="0"/>
        <w:jc w:val="left"/>
        <w:rPr>
          <w:sz w:val="22"/>
          <w:szCs w:val="22"/>
          <w:lang w:val="sk-SK"/>
        </w:rPr>
      </w:pPr>
      <w:r w:rsidRPr="003D4D81">
        <w:rPr>
          <w:sz w:val="22"/>
          <w:szCs w:val="22"/>
          <w:lang w:val="sk-SK" w:eastAsia="en-GB"/>
        </w:rPr>
        <w:t>Pacienti dostávali štandardnú liečbu vrátane betablokátorov (89</w:t>
      </w:r>
      <w:r w:rsidR="00C230A9" w:rsidRPr="003D4D81">
        <w:rPr>
          <w:sz w:val="22"/>
          <w:szCs w:val="22"/>
          <w:lang w:val="sk-SK" w:eastAsia="en-GB"/>
        </w:rPr>
        <w:t> %</w:t>
      </w:r>
      <w:r w:rsidRPr="003D4D81">
        <w:rPr>
          <w:sz w:val="22"/>
          <w:szCs w:val="22"/>
          <w:lang w:val="sk-SK" w:eastAsia="en-GB"/>
        </w:rPr>
        <w:t>), ACE inhibítorov a/alebo antagonistov angiotenzínu II (91</w:t>
      </w:r>
      <w:r w:rsidR="00C230A9" w:rsidRPr="003D4D81">
        <w:rPr>
          <w:sz w:val="22"/>
          <w:szCs w:val="22"/>
          <w:lang w:val="sk-SK" w:eastAsia="en-GB"/>
        </w:rPr>
        <w:t> %</w:t>
      </w:r>
      <w:r w:rsidRPr="003D4D81">
        <w:rPr>
          <w:sz w:val="22"/>
          <w:szCs w:val="22"/>
          <w:lang w:val="sk-SK" w:eastAsia="en-GB"/>
        </w:rPr>
        <w:t>), diuretík (83</w:t>
      </w:r>
      <w:r w:rsidR="00C230A9" w:rsidRPr="003D4D81">
        <w:rPr>
          <w:sz w:val="22"/>
          <w:szCs w:val="22"/>
          <w:lang w:val="sk-SK" w:eastAsia="en-GB"/>
        </w:rPr>
        <w:t> %</w:t>
      </w:r>
      <w:r w:rsidRPr="003D4D81">
        <w:rPr>
          <w:sz w:val="22"/>
          <w:szCs w:val="22"/>
          <w:lang w:val="sk-SK" w:eastAsia="en-GB"/>
        </w:rPr>
        <w:t>) a antagonistov aldosterónu (60</w:t>
      </w:r>
      <w:r w:rsidR="00C230A9" w:rsidRPr="003D4D81">
        <w:rPr>
          <w:sz w:val="22"/>
          <w:szCs w:val="22"/>
          <w:lang w:val="sk-SK" w:eastAsia="en-GB"/>
        </w:rPr>
        <w:t> %</w:t>
      </w:r>
      <w:r w:rsidRPr="003D4D81">
        <w:rPr>
          <w:sz w:val="22"/>
          <w:szCs w:val="22"/>
          <w:lang w:val="sk-SK" w:eastAsia="en-GB"/>
        </w:rPr>
        <w:t>). V skupine s ivabradínom bolo 67</w:t>
      </w:r>
      <w:r w:rsidR="00C230A9" w:rsidRPr="003D4D81">
        <w:rPr>
          <w:sz w:val="22"/>
          <w:szCs w:val="22"/>
          <w:lang w:val="sk-SK" w:eastAsia="en-GB"/>
        </w:rPr>
        <w:t> %</w:t>
      </w:r>
      <w:r w:rsidRPr="003D4D81">
        <w:rPr>
          <w:sz w:val="22"/>
          <w:szCs w:val="22"/>
          <w:lang w:val="sk-SK" w:eastAsia="en-GB"/>
        </w:rPr>
        <w:t xml:space="preserve"> pacientov liečených dávkou 7,5</w:t>
      </w:r>
      <w:r w:rsidR="00C230A9" w:rsidRPr="003D4D81">
        <w:rPr>
          <w:sz w:val="22"/>
          <w:szCs w:val="22"/>
          <w:lang w:val="sk-SK" w:eastAsia="en-GB"/>
        </w:rPr>
        <w:t> mg</w:t>
      </w:r>
      <w:r w:rsidRPr="003D4D81">
        <w:rPr>
          <w:sz w:val="22"/>
          <w:szCs w:val="22"/>
          <w:lang w:val="sk-SK" w:eastAsia="en-GB"/>
        </w:rPr>
        <w:t xml:space="preserve"> dvakrát denne. Priemerná dĺžka sledovania bola 22,9 mesiacov. Liečba ivabradínom bola spojená s priemerným znížením srdcovej frekvencie o 15</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zo vstupnej hodnoty 80</w:t>
      </w:r>
      <w:r w:rsidR="00C230A9" w:rsidRPr="003D4D81">
        <w:rPr>
          <w:sz w:val="22"/>
          <w:szCs w:val="22"/>
          <w:lang w:val="sk-SK" w:eastAsia="en-GB"/>
        </w:rPr>
        <w:t> úderov</w:t>
      </w:r>
      <w:r w:rsidR="00465010" w:rsidRPr="003D4D81">
        <w:rPr>
          <w:sz w:val="22"/>
          <w:szCs w:val="22"/>
          <w:lang w:val="sk-SK" w:eastAsia="en-GB"/>
        </w:rPr>
        <w:t>/min</w:t>
      </w:r>
      <w:r w:rsidRPr="003D4D81">
        <w:rPr>
          <w:sz w:val="22"/>
          <w:szCs w:val="22"/>
          <w:lang w:val="sk-SK" w:eastAsia="en-GB"/>
        </w:rPr>
        <w:t>. Rozdiel v srdcovej frekvencii medzi ivabradínovou a placebovou skupinou bol 10,8</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po 28 dňoch, 9,1</w:t>
      </w:r>
      <w:r w:rsidR="00C230A9" w:rsidRPr="003D4D81">
        <w:rPr>
          <w:sz w:val="22"/>
          <w:szCs w:val="22"/>
          <w:lang w:val="sk-SK" w:eastAsia="en-GB"/>
        </w:rPr>
        <w:t> úderov</w:t>
      </w:r>
      <w:r w:rsidRPr="003D4D81">
        <w:rPr>
          <w:sz w:val="22"/>
          <w:szCs w:val="22"/>
          <w:lang w:val="sk-SK" w:eastAsia="en-GB"/>
        </w:rPr>
        <w:t xml:space="preserve"> za minútu po 12 mesiacoch a 8,3</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po 24 mesiacoch</w:t>
      </w:r>
      <w:r w:rsidR="00B53365" w:rsidRPr="003D4D81">
        <w:rPr>
          <w:sz w:val="22"/>
          <w:szCs w:val="22"/>
          <w:lang w:val="sk-SK"/>
        </w:rPr>
        <w:t>.</w:t>
      </w:r>
    </w:p>
    <w:p w:rsidR="00B53365" w:rsidRPr="003D4D81" w:rsidRDefault="003938C3" w:rsidP="003938C3">
      <w:pPr>
        <w:autoSpaceDE w:val="0"/>
        <w:autoSpaceDN w:val="0"/>
        <w:adjustRightInd w:val="0"/>
        <w:spacing w:after="0"/>
        <w:jc w:val="left"/>
        <w:rPr>
          <w:sz w:val="22"/>
          <w:szCs w:val="22"/>
          <w:lang w:val="sk-SK"/>
        </w:rPr>
      </w:pPr>
      <w:r w:rsidRPr="003D4D81">
        <w:rPr>
          <w:sz w:val="22"/>
          <w:szCs w:val="22"/>
          <w:lang w:val="sk-SK" w:eastAsia="en-GB"/>
        </w:rPr>
        <w:t xml:space="preserve">Štúdia preukázala klinicky a štatisticky signifikantné zníženie </w:t>
      </w:r>
      <w:r w:rsidR="00B93236" w:rsidRPr="003D4D81">
        <w:rPr>
          <w:sz w:val="22"/>
          <w:szCs w:val="22"/>
          <w:lang w:val="sk-SK" w:eastAsia="en-GB"/>
        </w:rPr>
        <w:t>RR</w:t>
      </w:r>
      <w:r w:rsidRPr="003D4D81">
        <w:rPr>
          <w:sz w:val="22"/>
          <w:szCs w:val="22"/>
          <w:lang w:val="sk-SK" w:eastAsia="en-GB"/>
        </w:rPr>
        <w:t xml:space="preserve"> o 18</w:t>
      </w:r>
      <w:r w:rsidR="00C230A9" w:rsidRPr="003D4D81">
        <w:rPr>
          <w:sz w:val="22"/>
          <w:szCs w:val="22"/>
          <w:lang w:val="sk-SK" w:eastAsia="en-GB"/>
        </w:rPr>
        <w:t> %</w:t>
      </w:r>
      <w:r w:rsidRPr="003D4D81">
        <w:rPr>
          <w:sz w:val="22"/>
          <w:szCs w:val="22"/>
          <w:lang w:val="sk-SK" w:eastAsia="en-GB"/>
        </w:rPr>
        <w:t xml:space="preserve"> v primárnom zloženom </w:t>
      </w:r>
      <w:r w:rsidR="003C60C1" w:rsidRPr="003D4D81">
        <w:rPr>
          <w:sz w:val="22"/>
          <w:szCs w:val="22"/>
          <w:lang w:val="sk-SK" w:eastAsia="en-GB"/>
        </w:rPr>
        <w:t xml:space="preserve">ukazovateli </w:t>
      </w:r>
      <w:r w:rsidRPr="003D4D81">
        <w:rPr>
          <w:sz w:val="22"/>
          <w:szCs w:val="22"/>
          <w:lang w:val="sk-SK" w:eastAsia="en-GB"/>
        </w:rPr>
        <w:t>kardiovaskulárnej mortality a hospitalizácie z dôvodu zhoršenia srdcového zlyhania (pomer rizika: 0,82, 95</w:t>
      </w:r>
      <w:r w:rsidR="00C230A9" w:rsidRPr="003D4D81">
        <w:rPr>
          <w:sz w:val="22"/>
          <w:szCs w:val="22"/>
          <w:lang w:val="sk-SK" w:eastAsia="en-GB"/>
        </w:rPr>
        <w:t> %</w:t>
      </w:r>
      <w:r w:rsidRPr="003D4D81">
        <w:rPr>
          <w:sz w:val="22"/>
          <w:szCs w:val="22"/>
          <w:lang w:val="sk-SK" w:eastAsia="en-GB"/>
        </w:rPr>
        <w:t xml:space="preserve"> IS [0,75; 0,90], p </w:t>
      </w:r>
      <w:r w:rsidR="00C230A9" w:rsidRPr="003D4D81">
        <w:rPr>
          <w:i/>
          <w:iCs/>
          <w:sz w:val="22"/>
          <w:szCs w:val="22"/>
          <w:lang w:val="sk-SK" w:eastAsia="en-GB"/>
        </w:rPr>
        <w:t>&lt; </w:t>
      </w:r>
      <w:r w:rsidRPr="003D4D81">
        <w:rPr>
          <w:sz w:val="22"/>
          <w:szCs w:val="22"/>
          <w:lang w:val="sk-SK" w:eastAsia="en-GB"/>
        </w:rPr>
        <w:t>0,0001), ktoré sa prejavilo v priebehu 3 mesiacov od začatia liečby. Zníženie absolútneho rizika bolo 4,2</w:t>
      </w:r>
      <w:r w:rsidR="00C230A9" w:rsidRPr="003D4D81">
        <w:rPr>
          <w:sz w:val="22"/>
          <w:szCs w:val="22"/>
          <w:lang w:val="sk-SK" w:eastAsia="en-GB"/>
        </w:rPr>
        <w:t> %</w:t>
      </w:r>
      <w:r w:rsidRPr="003D4D81">
        <w:rPr>
          <w:sz w:val="22"/>
          <w:szCs w:val="22"/>
          <w:lang w:val="sk-SK" w:eastAsia="en-GB"/>
        </w:rPr>
        <w:t xml:space="preserve">. Na výsledky primárneho </w:t>
      </w:r>
      <w:r w:rsidR="003C60C1" w:rsidRPr="003D4D81">
        <w:rPr>
          <w:sz w:val="22"/>
          <w:szCs w:val="22"/>
          <w:lang w:val="sk-SK"/>
        </w:rPr>
        <w:t>ukazovateľa</w:t>
      </w:r>
      <w:r w:rsidRPr="003D4D81">
        <w:rPr>
          <w:sz w:val="22"/>
          <w:szCs w:val="22"/>
          <w:lang w:val="sk-SK" w:eastAsia="en-GB"/>
        </w:rPr>
        <w:t xml:space="preserve"> mali vplyv </w:t>
      </w:r>
      <w:r w:rsidR="005459F7" w:rsidRPr="003D4D81">
        <w:rPr>
          <w:sz w:val="22"/>
          <w:szCs w:val="22"/>
          <w:lang w:val="sk-SK" w:eastAsia="en-GB"/>
        </w:rPr>
        <w:t xml:space="preserve">hlavne </w:t>
      </w:r>
      <w:r w:rsidR="003C60C1" w:rsidRPr="003D4D81">
        <w:rPr>
          <w:sz w:val="22"/>
          <w:szCs w:val="22"/>
          <w:lang w:val="sk-SK"/>
        </w:rPr>
        <w:t>ukazovatele</w:t>
      </w:r>
      <w:r w:rsidRPr="003D4D81">
        <w:rPr>
          <w:sz w:val="22"/>
          <w:szCs w:val="22"/>
          <w:lang w:val="sk-SK" w:eastAsia="en-GB"/>
        </w:rPr>
        <w:t xml:space="preserve"> srdcového zlyhania, hospitalizácia z dôvodu zhoršenia srdcového zlyhania (absolútne riziko znížené o 4,7</w:t>
      </w:r>
      <w:r w:rsidR="00C230A9" w:rsidRPr="003D4D81">
        <w:rPr>
          <w:sz w:val="22"/>
          <w:szCs w:val="22"/>
          <w:lang w:val="sk-SK" w:eastAsia="en-GB"/>
        </w:rPr>
        <w:t> %</w:t>
      </w:r>
      <w:r w:rsidRPr="003D4D81">
        <w:rPr>
          <w:sz w:val="22"/>
          <w:szCs w:val="22"/>
          <w:lang w:val="sk-SK" w:eastAsia="en-GB"/>
        </w:rPr>
        <w:t>) a úmrtia v dôsledku srdcového zlyhania (absolútne riziko znížené o 1,1</w:t>
      </w:r>
      <w:r w:rsidR="00C230A9" w:rsidRPr="003D4D81">
        <w:rPr>
          <w:sz w:val="22"/>
          <w:szCs w:val="22"/>
          <w:lang w:val="sk-SK" w:eastAsia="en-GB"/>
        </w:rPr>
        <w:t> %</w:t>
      </w:r>
      <w:r w:rsidRPr="003D4D81">
        <w:rPr>
          <w:sz w:val="22"/>
          <w:szCs w:val="22"/>
          <w:lang w:val="sk-SK" w:eastAsia="en-GB"/>
        </w:rPr>
        <w:t>).</w:t>
      </w:r>
    </w:p>
    <w:p w:rsidR="009B1936" w:rsidRPr="003D4D81" w:rsidRDefault="009B1936" w:rsidP="00572196">
      <w:pPr>
        <w:spacing w:after="0"/>
        <w:jc w:val="left"/>
        <w:rPr>
          <w:sz w:val="22"/>
          <w:szCs w:val="22"/>
          <w:lang w:val="sk-SK"/>
        </w:rPr>
      </w:pPr>
    </w:p>
    <w:p w:rsidR="007C39D7" w:rsidRPr="003D4D81" w:rsidRDefault="00A33CC7" w:rsidP="00572196">
      <w:pPr>
        <w:spacing w:after="0"/>
        <w:jc w:val="left"/>
        <w:rPr>
          <w:sz w:val="22"/>
          <w:szCs w:val="22"/>
          <w:lang w:val="sk-SK"/>
        </w:rPr>
      </w:pPr>
      <w:r w:rsidRPr="003D4D81">
        <w:rPr>
          <w:sz w:val="22"/>
          <w:szCs w:val="22"/>
          <w:lang w:val="sk-SK" w:eastAsia="en-GB"/>
        </w:rPr>
        <w:t xml:space="preserve">Účinok liečby na primárny zložený </w:t>
      </w:r>
      <w:r w:rsidR="003C60C1" w:rsidRPr="003D4D81">
        <w:rPr>
          <w:sz w:val="22"/>
          <w:szCs w:val="22"/>
          <w:lang w:val="sk-SK" w:eastAsia="en-GB"/>
        </w:rPr>
        <w:t>ukazovateľ</w:t>
      </w:r>
      <w:r w:rsidRPr="003D4D81">
        <w:rPr>
          <w:sz w:val="22"/>
          <w:szCs w:val="22"/>
          <w:lang w:val="sk-SK" w:eastAsia="en-GB"/>
        </w:rPr>
        <w:t xml:space="preserve">, jeho zložky a sekundárne </w:t>
      </w:r>
      <w:r w:rsidR="005A57FC" w:rsidRPr="003D4D81">
        <w:rPr>
          <w:sz w:val="22"/>
          <w:szCs w:val="22"/>
          <w:lang w:val="sk-SK"/>
        </w:rPr>
        <w:t>ukazovatele</w:t>
      </w:r>
    </w:p>
    <w:p w:rsidR="00B53365" w:rsidRPr="003D4D81" w:rsidRDefault="00B53365" w:rsidP="00572196">
      <w:pPr>
        <w:spacing w:after="0"/>
        <w:jc w:val="left"/>
        <w:rPr>
          <w:sz w:val="22"/>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1453"/>
        <w:gridCol w:w="1451"/>
        <w:gridCol w:w="2007"/>
        <w:gridCol w:w="1085"/>
      </w:tblGrid>
      <w:tr w:rsidR="003125C2" w:rsidRPr="003D4D81" w:rsidTr="00850FAE">
        <w:tc>
          <w:tcPr>
            <w:tcW w:w="1884" w:type="pct"/>
            <w:shd w:val="clear" w:color="auto" w:fill="auto"/>
          </w:tcPr>
          <w:p w:rsidR="00B53365" w:rsidRPr="003D4D81" w:rsidRDefault="00B53365" w:rsidP="00850FAE">
            <w:pPr>
              <w:spacing w:after="0"/>
              <w:jc w:val="left"/>
              <w:rPr>
                <w:sz w:val="22"/>
                <w:szCs w:val="22"/>
                <w:lang w:val="sk-SK"/>
              </w:rPr>
            </w:pPr>
          </w:p>
        </w:tc>
        <w:tc>
          <w:tcPr>
            <w:tcW w:w="755" w:type="pct"/>
            <w:shd w:val="clear" w:color="auto" w:fill="auto"/>
          </w:tcPr>
          <w:p w:rsidR="00B53365" w:rsidRPr="003D4D81" w:rsidRDefault="00B53365" w:rsidP="00850FAE">
            <w:pPr>
              <w:spacing w:after="0"/>
              <w:ind w:left="-57"/>
              <w:jc w:val="left"/>
              <w:rPr>
                <w:b/>
                <w:sz w:val="22"/>
                <w:szCs w:val="22"/>
                <w:lang w:val="sk-SK"/>
              </w:rPr>
            </w:pPr>
            <w:r w:rsidRPr="003D4D81">
              <w:rPr>
                <w:b/>
                <w:sz w:val="22"/>
                <w:szCs w:val="22"/>
                <w:lang w:val="sk-SK"/>
              </w:rPr>
              <w:t>Ivabrad</w:t>
            </w:r>
            <w:r w:rsidR="00A33CC7" w:rsidRPr="003D4D81">
              <w:rPr>
                <w:b/>
                <w:sz w:val="22"/>
                <w:szCs w:val="22"/>
                <w:lang w:val="sk-SK"/>
              </w:rPr>
              <w:t>í</w:t>
            </w:r>
            <w:r w:rsidRPr="003D4D81">
              <w:rPr>
                <w:b/>
                <w:sz w:val="22"/>
                <w:szCs w:val="22"/>
                <w:lang w:val="sk-SK"/>
              </w:rPr>
              <w:t>n</w:t>
            </w:r>
          </w:p>
          <w:p w:rsidR="00B53365" w:rsidRPr="003D4D81" w:rsidRDefault="00B53365" w:rsidP="00850FAE">
            <w:pPr>
              <w:spacing w:after="0"/>
              <w:ind w:left="-57"/>
              <w:jc w:val="left"/>
              <w:rPr>
                <w:b/>
                <w:sz w:val="22"/>
                <w:szCs w:val="22"/>
                <w:lang w:val="sk-SK"/>
              </w:rPr>
            </w:pPr>
            <w:r w:rsidRPr="003D4D81">
              <w:rPr>
                <w:b/>
                <w:sz w:val="22"/>
                <w:szCs w:val="22"/>
                <w:lang w:val="sk-SK"/>
              </w:rPr>
              <w:t>(N</w:t>
            </w:r>
            <w:r w:rsidR="00C230A9" w:rsidRPr="003D4D81">
              <w:rPr>
                <w:b/>
                <w:sz w:val="22"/>
                <w:szCs w:val="22"/>
                <w:lang w:val="sk-SK"/>
              </w:rPr>
              <w:t> = </w:t>
            </w:r>
            <w:r w:rsidRPr="003D4D81">
              <w:rPr>
                <w:b/>
                <w:sz w:val="22"/>
                <w:szCs w:val="22"/>
                <w:lang w:val="sk-SK"/>
              </w:rPr>
              <w:t>3</w:t>
            </w:r>
            <w:r w:rsidR="0086176F" w:rsidRPr="003D4D81">
              <w:rPr>
                <w:b/>
                <w:sz w:val="22"/>
                <w:szCs w:val="22"/>
                <w:lang w:val="sk-SK"/>
              </w:rPr>
              <w:t> </w:t>
            </w:r>
            <w:r w:rsidRPr="003D4D81">
              <w:rPr>
                <w:b/>
                <w:sz w:val="22"/>
                <w:szCs w:val="22"/>
                <w:lang w:val="sk-SK"/>
              </w:rPr>
              <w:t>241)</w:t>
            </w:r>
          </w:p>
          <w:p w:rsidR="00B53365" w:rsidRPr="003D4D81" w:rsidRDefault="00B53365" w:rsidP="00850FAE">
            <w:pPr>
              <w:spacing w:after="0"/>
              <w:ind w:left="-57"/>
              <w:jc w:val="left"/>
              <w:rPr>
                <w:b/>
                <w:sz w:val="22"/>
                <w:szCs w:val="22"/>
                <w:lang w:val="sk-SK"/>
              </w:rPr>
            </w:pPr>
            <w:r w:rsidRPr="003D4D81">
              <w:rPr>
                <w:b/>
                <w:sz w:val="22"/>
                <w:szCs w:val="22"/>
                <w:lang w:val="sk-SK"/>
              </w:rPr>
              <w:t>n (%)</w:t>
            </w:r>
          </w:p>
        </w:tc>
        <w:tc>
          <w:tcPr>
            <w:tcW w:w="754" w:type="pct"/>
            <w:shd w:val="clear" w:color="auto" w:fill="auto"/>
          </w:tcPr>
          <w:p w:rsidR="00B53365" w:rsidRPr="003D4D81" w:rsidRDefault="00B53365" w:rsidP="00850FAE">
            <w:pPr>
              <w:spacing w:after="0"/>
              <w:ind w:left="-57"/>
              <w:jc w:val="left"/>
              <w:rPr>
                <w:b/>
                <w:sz w:val="22"/>
                <w:szCs w:val="22"/>
                <w:lang w:val="sk-SK"/>
              </w:rPr>
            </w:pPr>
            <w:r w:rsidRPr="003D4D81">
              <w:rPr>
                <w:b/>
                <w:sz w:val="22"/>
                <w:szCs w:val="22"/>
                <w:lang w:val="sk-SK"/>
              </w:rPr>
              <w:t>Placebo</w:t>
            </w:r>
          </w:p>
          <w:p w:rsidR="00B53365" w:rsidRPr="003D4D81" w:rsidRDefault="00B53365" w:rsidP="00850FAE">
            <w:pPr>
              <w:spacing w:after="0"/>
              <w:ind w:left="-57"/>
              <w:jc w:val="left"/>
              <w:rPr>
                <w:b/>
                <w:sz w:val="22"/>
                <w:szCs w:val="22"/>
                <w:lang w:val="sk-SK"/>
              </w:rPr>
            </w:pPr>
            <w:r w:rsidRPr="003D4D81">
              <w:rPr>
                <w:b/>
                <w:sz w:val="22"/>
                <w:szCs w:val="22"/>
                <w:lang w:val="sk-SK"/>
              </w:rPr>
              <w:t>(N</w:t>
            </w:r>
            <w:r w:rsidR="00C230A9" w:rsidRPr="003D4D81">
              <w:rPr>
                <w:b/>
                <w:sz w:val="22"/>
                <w:szCs w:val="22"/>
                <w:lang w:val="sk-SK"/>
              </w:rPr>
              <w:t> = </w:t>
            </w:r>
            <w:r w:rsidRPr="003D4D81">
              <w:rPr>
                <w:b/>
                <w:sz w:val="22"/>
                <w:szCs w:val="22"/>
                <w:lang w:val="sk-SK"/>
              </w:rPr>
              <w:t>3</w:t>
            </w:r>
            <w:r w:rsidR="0086176F" w:rsidRPr="003D4D81">
              <w:rPr>
                <w:b/>
                <w:sz w:val="22"/>
                <w:szCs w:val="22"/>
                <w:lang w:val="sk-SK"/>
              </w:rPr>
              <w:t> </w:t>
            </w:r>
            <w:r w:rsidRPr="003D4D81">
              <w:rPr>
                <w:b/>
                <w:sz w:val="22"/>
                <w:szCs w:val="22"/>
                <w:lang w:val="sk-SK"/>
              </w:rPr>
              <w:t>264)</w:t>
            </w:r>
          </w:p>
          <w:p w:rsidR="00B53365" w:rsidRPr="003D4D81" w:rsidRDefault="00B53365" w:rsidP="00850FAE">
            <w:pPr>
              <w:spacing w:after="0"/>
              <w:ind w:left="-57"/>
              <w:jc w:val="left"/>
              <w:rPr>
                <w:b/>
                <w:sz w:val="22"/>
                <w:szCs w:val="22"/>
                <w:lang w:val="sk-SK"/>
              </w:rPr>
            </w:pPr>
            <w:r w:rsidRPr="003D4D81">
              <w:rPr>
                <w:b/>
                <w:sz w:val="22"/>
                <w:szCs w:val="22"/>
                <w:lang w:val="sk-SK"/>
              </w:rPr>
              <w:t>n (%)</w:t>
            </w:r>
          </w:p>
        </w:tc>
        <w:tc>
          <w:tcPr>
            <w:tcW w:w="1043" w:type="pct"/>
            <w:shd w:val="clear" w:color="auto" w:fill="auto"/>
          </w:tcPr>
          <w:p w:rsidR="00B53365" w:rsidRPr="003D4D81" w:rsidRDefault="00A33CC7" w:rsidP="00850FAE">
            <w:pPr>
              <w:spacing w:after="0"/>
              <w:ind w:left="-57"/>
              <w:jc w:val="left"/>
              <w:rPr>
                <w:b/>
                <w:sz w:val="22"/>
                <w:szCs w:val="22"/>
                <w:lang w:val="sk-SK"/>
              </w:rPr>
            </w:pPr>
            <w:r w:rsidRPr="003D4D81">
              <w:rPr>
                <w:b/>
                <w:sz w:val="22"/>
                <w:szCs w:val="22"/>
                <w:lang w:val="sk-SK"/>
              </w:rPr>
              <w:t>Pomer rizika</w:t>
            </w:r>
            <w:r w:rsidR="00B93236" w:rsidRPr="003D4D81">
              <w:rPr>
                <w:b/>
                <w:sz w:val="22"/>
                <w:szCs w:val="22"/>
                <w:lang w:val="sk-SK"/>
              </w:rPr>
              <w:t xml:space="preserve"> (HR)</w:t>
            </w:r>
          </w:p>
          <w:p w:rsidR="00B53365" w:rsidRPr="003D4D81" w:rsidRDefault="00B53365" w:rsidP="00B93236">
            <w:pPr>
              <w:spacing w:after="0"/>
              <w:ind w:left="-57"/>
              <w:jc w:val="left"/>
              <w:rPr>
                <w:b/>
                <w:sz w:val="22"/>
                <w:szCs w:val="22"/>
                <w:lang w:val="sk-SK"/>
              </w:rPr>
            </w:pPr>
            <w:r w:rsidRPr="003D4D81">
              <w:rPr>
                <w:b/>
                <w:sz w:val="22"/>
                <w:szCs w:val="22"/>
                <w:lang w:val="sk-SK"/>
              </w:rPr>
              <w:t>[95% CI]</w:t>
            </w:r>
          </w:p>
        </w:tc>
        <w:tc>
          <w:tcPr>
            <w:tcW w:w="564" w:type="pct"/>
            <w:shd w:val="clear" w:color="auto" w:fill="auto"/>
          </w:tcPr>
          <w:p w:rsidR="00B53365" w:rsidRPr="003D4D81" w:rsidRDefault="00B53365" w:rsidP="00A33CC7">
            <w:pPr>
              <w:spacing w:after="0"/>
              <w:ind w:left="-57"/>
              <w:jc w:val="left"/>
              <w:rPr>
                <w:b/>
                <w:sz w:val="22"/>
                <w:szCs w:val="22"/>
                <w:lang w:val="sk-SK"/>
              </w:rPr>
            </w:pPr>
            <w:r w:rsidRPr="003D4D81">
              <w:rPr>
                <w:b/>
                <w:sz w:val="22"/>
                <w:szCs w:val="22"/>
                <w:lang w:val="sk-SK"/>
              </w:rPr>
              <w:t>p-</w:t>
            </w:r>
            <w:r w:rsidR="00A33CC7" w:rsidRPr="003D4D81">
              <w:rPr>
                <w:b/>
                <w:sz w:val="22"/>
                <w:szCs w:val="22"/>
                <w:lang w:val="sk-SK"/>
              </w:rPr>
              <w:t>hodnota</w:t>
            </w:r>
          </w:p>
        </w:tc>
      </w:tr>
      <w:tr w:rsidR="003125C2" w:rsidRPr="003D4D81" w:rsidTr="00850FAE">
        <w:tc>
          <w:tcPr>
            <w:tcW w:w="1884" w:type="pct"/>
            <w:shd w:val="clear" w:color="auto" w:fill="auto"/>
          </w:tcPr>
          <w:p w:rsidR="00B53365" w:rsidRPr="003D4D81" w:rsidRDefault="00A33CC7" w:rsidP="00850FAE">
            <w:pPr>
              <w:spacing w:after="0"/>
              <w:jc w:val="left"/>
              <w:rPr>
                <w:sz w:val="22"/>
                <w:szCs w:val="22"/>
                <w:lang w:val="sk-SK"/>
              </w:rPr>
            </w:pPr>
            <w:r w:rsidRPr="003D4D81">
              <w:rPr>
                <w:sz w:val="22"/>
                <w:szCs w:val="22"/>
                <w:lang w:val="sk-SK" w:eastAsia="en-GB"/>
              </w:rPr>
              <w:t xml:space="preserve">Primárny zložený </w:t>
            </w:r>
            <w:r w:rsidR="00577B3D" w:rsidRPr="003D4D81">
              <w:rPr>
                <w:sz w:val="22"/>
                <w:szCs w:val="22"/>
                <w:lang w:val="sk-SK" w:eastAsia="en-GB"/>
              </w:rPr>
              <w:t>ukazovateľ</w:t>
            </w:r>
          </w:p>
        </w:tc>
        <w:tc>
          <w:tcPr>
            <w:tcW w:w="755" w:type="pct"/>
            <w:shd w:val="clear" w:color="auto" w:fill="auto"/>
          </w:tcPr>
          <w:p w:rsidR="00B53365" w:rsidRPr="003D4D81" w:rsidRDefault="00B53365" w:rsidP="0086176F">
            <w:pPr>
              <w:spacing w:after="0"/>
              <w:ind w:left="-57"/>
              <w:jc w:val="left"/>
              <w:rPr>
                <w:sz w:val="22"/>
                <w:szCs w:val="22"/>
                <w:lang w:val="sk-SK"/>
              </w:rPr>
            </w:pPr>
            <w:r w:rsidRPr="003D4D81">
              <w:rPr>
                <w:sz w:val="22"/>
                <w:szCs w:val="22"/>
                <w:lang w:val="sk-SK"/>
              </w:rPr>
              <w:t>793 (24</w:t>
            </w:r>
            <w:r w:rsidR="0086176F" w:rsidRPr="003D4D81">
              <w:rPr>
                <w:sz w:val="22"/>
                <w:szCs w:val="22"/>
                <w:lang w:val="sk-SK"/>
              </w:rPr>
              <w:t>,</w:t>
            </w:r>
            <w:r w:rsidRPr="003D4D81">
              <w:rPr>
                <w:sz w:val="22"/>
                <w:szCs w:val="22"/>
                <w:lang w:val="sk-SK"/>
              </w:rPr>
              <w:t>47)</w:t>
            </w:r>
          </w:p>
        </w:tc>
        <w:tc>
          <w:tcPr>
            <w:tcW w:w="754" w:type="pct"/>
            <w:shd w:val="clear" w:color="auto" w:fill="auto"/>
          </w:tcPr>
          <w:p w:rsidR="00B53365" w:rsidRPr="003D4D81" w:rsidRDefault="00B53365" w:rsidP="0086176F">
            <w:pPr>
              <w:spacing w:after="0"/>
              <w:ind w:left="-57"/>
              <w:jc w:val="left"/>
              <w:rPr>
                <w:sz w:val="22"/>
                <w:szCs w:val="22"/>
                <w:lang w:val="sk-SK"/>
              </w:rPr>
            </w:pPr>
            <w:r w:rsidRPr="003D4D81">
              <w:rPr>
                <w:sz w:val="22"/>
                <w:szCs w:val="22"/>
                <w:lang w:val="sk-SK"/>
              </w:rPr>
              <w:t>937 (28</w:t>
            </w:r>
            <w:r w:rsidR="0086176F" w:rsidRPr="003D4D81">
              <w:rPr>
                <w:sz w:val="22"/>
                <w:szCs w:val="22"/>
                <w:lang w:val="sk-SK"/>
              </w:rPr>
              <w:t>,</w:t>
            </w:r>
            <w:r w:rsidRPr="003D4D81">
              <w:rPr>
                <w:sz w:val="22"/>
                <w:szCs w:val="22"/>
                <w:lang w:val="sk-SK"/>
              </w:rPr>
              <w:t>71)</w:t>
            </w:r>
          </w:p>
        </w:tc>
        <w:tc>
          <w:tcPr>
            <w:tcW w:w="1043" w:type="pct"/>
            <w:shd w:val="clear" w:color="auto" w:fill="auto"/>
          </w:tcPr>
          <w:p w:rsidR="00B53365" w:rsidRPr="003D4D81" w:rsidRDefault="00B53365" w:rsidP="0086176F">
            <w:pPr>
              <w:spacing w:after="0"/>
              <w:ind w:left="-57"/>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82 [0</w:t>
            </w:r>
            <w:r w:rsidR="0086176F" w:rsidRPr="003D4D81">
              <w:rPr>
                <w:sz w:val="22"/>
                <w:szCs w:val="22"/>
                <w:lang w:val="sk-SK"/>
              </w:rPr>
              <w:t>,</w:t>
            </w:r>
            <w:r w:rsidRPr="003D4D81">
              <w:rPr>
                <w:sz w:val="22"/>
                <w:szCs w:val="22"/>
                <w:lang w:val="sk-SK"/>
              </w:rPr>
              <w:t>75; 0</w:t>
            </w:r>
            <w:r w:rsidR="0086176F" w:rsidRPr="003D4D81">
              <w:rPr>
                <w:sz w:val="22"/>
                <w:szCs w:val="22"/>
                <w:lang w:val="sk-SK"/>
              </w:rPr>
              <w:t>,</w:t>
            </w:r>
            <w:r w:rsidRPr="003D4D81">
              <w:rPr>
                <w:sz w:val="22"/>
                <w:szCs w:val="22"/>
                <w:lang w:val="sk-SK"/>
              </w:rPr>
              <w:t>90]</w:t>
            </w:r>
          </w:p>
        </w:tc>
        <w:tc>
          <w:tcPr>
            <w:tcW w:w="564" w:type="pct"/>
            <w:shd w:val="clear" w:color="auto" w:fill="auto"/>
          </w:tcPr>
          <w:p w:rsidR="00B53365" w:rsidRPr="003D4D81" w:rsidRDefault="00C230A9" w:rsidP="0086176F">
            <w:pPr>
              <w:spacing w:after="0"/>
              <w:ind w:left="-57"/>
              <w:jc w:val="left"/>
              <w:rPr>
                <w:sz w:val="22"/>
                <w:szCs w:val="22"/>
                <w:lang w:val="sk-SK"/>
              </w:rPr>
            </w:pPr>
            <w:r w:rsidRPr="003D4D81">
              <w:rPr>
                <w:sz w:val="22"/>
                <w:szCs w:val="22"/>
                <w:lang w:val="sk-SK"/>
              </w:rPr>
              <w:t>&lt; </w:t>
            </w:r>
            <w:r w:rsidR="00B53365" w:rsidRPr="003D4D81">
              <w:rPr>
                <w:sz w:val="22"/>
                <w:szCs w:val="22"/>
                <w:lang w:val="sk-SK"/>
              </w:rPr>
              <w:t>0</w:t>
            </w:r>
            <w:r w:rsidR="0086176F" w:rsidRPr="003D4D81">
              <w:rPr>
                <w:sz w:val="22"/>
                <w:szCs w:val="22"/>
                <w:lang w:val="sk-SK"/>
              </w:rPr>
              <w:t>,</w:t>
            </w:r>
            <w:r w:rsidR="00B53365" w:rsidRPr="003D4D81">
              <w:rPr>
                <w:sz w:val="22"/>
                <w:szCs w:val="22"/>
                <w:lang w:val="sk-SK"/>
              </w:rPr>
              <w:t>0001</w:t>
            </w:r>
          </w:p>
        </w:tc>
      </w:tr>
      <w:tr w:rsidR="003125C2" w:rsidRPr="003D4D81" w:rsidTr="00850FAE">
        <w:tc>
          <w:tcPr>
            <w:tcW w:w="1884" w:type="pct"/>
            <w:shd w:val="clear" w:color="auto" w:fill="auto"/>
          </w:tcPr>
          <w:p w:rsidR="00B53365" w:rsidRPr="003D4D81" w:rsidRDefault="0086176F" w:rsidP="00850FAE">
            <w:pPr>
              <w:spacing w:after="0"/>
              <w:jc w:val="left"/>
              <w:rPr>
                <w:sz w:val="22"/>
                <w:szCs w:val="22"/>
                <w:lang w:val="sk-SK"/>
              </w:rPr>
            </w:pPr>
            <w:r w:rsidRPr="003D4D81">
              <w:rPr>
                <w:sz w:val="22"/>
                <w:szCs w:val="22"/>
                <w:lang w:val="sk-SK" w:eastAsia="en-GB"/>
              </w:rPr>
              <w:t xml:space="preserve">Zložky zloženého </w:t>
            </w:r>
            <w:r w:rsidR="00577B3D" w:rsidRPr="006411FF">
              <w:rPr>
                <w:rFonts w:eastAsia="Times New Roman"/>
                <w:sz w:val="22"/>
                <w:szCs w:val="22"/>
                <w:lang w:val="sk-SK"/>
              </w:rPr>
              <w:t>ukazovateľa</w:t>
            </w:r>
            <w:r w:rsidR="00B53365" w:rsidRPr="003D4D81">
              <w:rPr>
                <w:sz w:val="22"/>
                <w:szCs w:val="22"/>
                <w:lang w:val="sk-SK"/>
              </w:rPr>
              <w:t>:</w:t>
            </w:r>
          </w:p>
          <w:p w:rsidR="00B53365" w:rsidRPr="003D4D81" w:rsidRDefault="0086176F" w:rsidP="00850FAE">
            <w:pPr>
              <w:pStyle w:val="Odsekzoznamu"/>
              <w:numPr>
                <w:ilvl w:val="0"/>
                <w:numId w:val="9"/>
              </w:numPr>
              <w:spacing w:after="0"/>
              <w:ind w:left="340" w:hanging="227"/>
              <w:jc w:val="left"/>
              <w:rPr>
                <w:sz w:val="22"/>
                <w:szCs w:val="22"/>
                <w:lang w:val="sk-SK"/>
              </w:rPr>
            </w:pPr>
            <w:r w:rsidRPr="003D4D81">
              <w:rPr>
                <w:sz w:val="22"/>
                <w:szCs w:val="22"/>
                <w:lang w:val="sk-SK" w:eastAsia="en-GB"/>
              </w:rPr>
              <w:lastRenderedPageBreak/>
              <w:t>Kardiovaskulárne úmrtie</w:t>
            </w:r>
          </w:p>
          <w:p w:rsidR="00B53365" w:rsidRPr="003D4D81" w:rsidRDefault="0086176F" w:rsidP="0086176F">
            <w:pPr>
              <w:pStyle w:val="Odsekzoznamu"/>
              <w:numPr>
                <w:ilvl w:val="0"/>
                <w:numId w:val="9"/>
              </w:numPr>
              <w:spacing w:after="0"/>
              <w:ind w:left="340" w:hanging="227"/>
              <w:jc w:val="left"/>
              <w:rPr>
                <w:sz w:val="22"/>
                <w:szCs w:val="22"/>
                <w:lang w:val="sk-SK"/>
              </w:rPr>
            </w:pPr>
            <w:r w:rsidRPr="003D4D81">
              <w:rPr>
                <w:sz w:val="22"/>
                <w:szCs w:val="22"/>
                <w:lang w:val="sk-SK" w:eastAsia="en-GB"/>
              </w:rPr>
              <w:t>Hospitalizácia z dôvodu</w:t>
            </w:r>
            <w:r w:rsidR="00B53365" w:rsidRPr="003D4D81">
              <w:rPr>
                <w:sz w:val="22"/>
                <w:szCs w:val="22"/>
                <w:lang w:val="sk-SK"/>
              </w:rPr>
              <w:t xml:space="preserve"> </w:t>
            </w:r>
            <w:r w:rsidRPr="003D4D81">
              <w:rPr>
                <w:sz w:val="22"/>
                <w:szCs w:val="22"/>
                <w:lang w:val="sk-SK" w:eastAsia="en-GB"/>
              </w:rPr>
              <w:t>zhoršenia srdcového zlyhania</w:t>
            </w:r>
          </w:p>
        </w:tc>
        <w:tc>
          <w:tcPr>
            <w:tcW w:w="755" w:type="pct"/>
            <w:shd w:val="clear" w:color="auto" w:fill="auto"/>
          </w:tcPr>
          <w:p w:rsidR="00B53365" w:rsidRPr="003D4D81" w:rsidRDefault="00B53365" w:rsidP="00850FAE">
            <w:pPr>
              <w:spacing w:after="0"/>
              <w:ind w:left="-57"/>
              <w:jc w:val="left"/>
              <w:rPr>
                <w:sz w:val="22"/>
                <w:szCs w:val="22"/>
                <w:lang w:val="sk-SK"/>
              </w:rPr>
            </w:pPr>
          </w:p>
          <w:p w:rsidR="00B53365" w:rsidRPr="003D4D81" w:rsidRDefault="00B53365" w:rsidP="00850FAE">
            <w:pPr>
              <w:spacing w:after="0"/>
              <w:ind w:left="-57"/>
              <w:contextualSpacing/>
              <w:jc w:val="left"/>
              <w:rPr>
                <w:sz w:val="22"/>
                <w:szCs w:val="22"/>
                <w:lang w:val="sk-SK"/>
              </w:rPr>
            </w:pPr>
            <w:r w:rsidRPr="003D4D81">
              <w:rPr>
                <w:sz w:val="22"/>
                <w:szCs w:val="22"/>
                <w:lang w:val="sk-SK"/>
              </w:rPr>
              <w:lastRenderedPageBreak/>
              <w:t>449 (13</w:t>
            </w:r>
            <w:r w:rsidR="0086176F" w:rsidRPr="003D4D81">
              <w:rPr>
                <w:sz w:val="22"/>
                <w:szCs w:val="22"/>
                <w:lang w:val="sk-SK"/>
              </w:rPr>
              <w:t>,</w:t>
            </w:r>
            <w:r w:rsidRPr="003D4D81">
              <w:rPr>
                <w:sz w:val="22"/>
                <w:szCs w:val="22"/>
                <w:lang w:val="sk-SK"/>
              </w:rPr>
              <w:t>85)</w:t>
            </w:r>
          </w:p>
          <w:p w:rsidR="00B53365" w:rsidRPr="003D4D81" w:rsidRDefault="00B53365" w:rsidP="0086176F">
            <w:pPr>
              <w:spacing w:after="0"/>
              <w:ind w:left="-57"/>
              <w:contextualSpacing/>
              <w:jc w:val="left"/>
              <w:rPr>
                <w:sz w:val="22"/>
                <w:szCs w:val="22"/>
                <w:lang w:val="sk-SK"/>
              </w:rPr>
            </w:pPr>
            <w:r w:rsidRPr="003D4D81">
              <w:rPr>
                <w:sz w:val="22"/>
                <w:szCs w:val="22"/>
                <w:lang w:val="sk-SK"/>
              </w:rPr>
              <w:t>514 (15</w:t>
            </w:r>
            <w:r w:rsidR="0086176F" w:rsidRPr="003D4D81">
              <w:rPr>
                <w:sz w:val="22"/>
                <w:szCs w:val="22"/>
                <w:lang w:val="sk-SK"/>
              </w:rPr>
              <w:t>,</w:t>
            </w:r>
            <w:r w:rsidRPr="003D4D81">
              <w:rPr>
                <w:sz w:val="22"/>
                <w:szCs w:val="22"/>
                <w:lang w:val="sk-SK"/>
              </w:rPr>
              <w:t>86)</w:t>
            </w:r>
          </w:p>
        </w:tc>
        <w:tc>
          <w:tcPr>
            <w:tcW w:w="754" w:type="pct"/>
            <w:shd w:val="clear" w:color="auto" w:fill="auto"/>
          </w:tcPr>
          <w:p w:rsidR="00B53365" w:rsidRPr="003D4D81" w:rsidRDefault="00B53365" w:rsidP="00850FAE">
            <w:pPr>
              <w:spacing w:after="0"/>
              <w:ind w:left="-57"/>
              <w:jc w:val="left"/>
              <w:rPr>
                <w:sz w:val="22"/>
                <w:szCs w:val="22"/>
                <w:lang w:val="sk-SK"/>
              </w:rPr>
            </w:pPr>
          </w:p>
          <w:p w:rsidR="00B53365" w:rsidRPr="003D4D81" w:rsidRDefault="00B53365" w:rsidP="00850FAE">
            <w:pPr>
              <w:spacing w:after="0"/>
              <w:ind w:left="-57"/>
              <w:contextualSpacing/>
              <w:jc w:val="left"/>
              <w:rPr>
                <w:sz w:val="22"/>
                <w:szCs w:val="22"/>
                <w:lang w:val="sk-SK"/>
              </w:rPr>
            </w:pPr>
            <w:r w:rsidRPr="003D4D81">
              <w:rPr>
                <w:sz w:val="22"/>
                <w:szCs w:val="22"/>
                <w:lang w:val="sk-SK"/>
              </w:rPr>
              <w:lastRenderedPageBreak/>
              <w:t>491 (15</w:t>
            </w:r>
            <w:r w:rsidR="0086176F" w:rsidRPr="003D4D81">
              <w:rPr>
                <w:sz w:val="22"/>
                <w:szCs w:val="22"/>
                <w:lang w:val="sk-SK"/>
              </w:rPr>
              <w:t>,</w:t>
            </w:r>
            <w:r w:rsidRPr="003D4D81">
              <w:rPr>
                <w:sz w:val="22"/>
                <w:szCs w:val="22"/>
                <w:lang w:val="sk-SK"/>
              </w:rPr>
              <w:t>04)</w:t>
            </w:r>
          </w:p>
          <w:p w:rsidR="00B53365" w:rsidRPr="003D4D81" w:rsidRDefault="00B53365" w:rsidP="0086176F">
            <w:pPr>
              <w:spacing w:after="0"/>
              <w:ind w:left="-57"/>
              <w:contextualSpacing/>
              <w:jc w:val="left"/>
              <w:rPr>
                <w:sz w:val="22"/>
                <w:szCs w:val="22"/>
                <w:lang w:val="sk-SK"/>
              </w:rPr>
            </w:pPr>
            <w:r w:rsidRPr="003D4D81">
              <w:rPr>
                <w:sz w:val="22"/>
                <w:szCs w:val="22"/>
                <w:lang w:val="sk-SK"/>
              </w:rPr>
              <w:t>672 (20</w:t>
            </w:r>
            <w:r w:rsidR="0086176F" w:rsidRPr="003D4D81">
              <w:rPr>
                <w:sz w:val="22"/>
                <w:szCs w:val="22"/>
                <w:lang w:val="sk-SK"/>
              </w:rPr>
              <w:t>,</w:t>
            </w:r>
            <w:r w:rsidRPr="003D4D81">
              <w:rPr>
                <w:sz w:val="22"/>
                <w:szCs w:val="22"/>
                <w:lang w:val="sk-SK"/>
              </w:rPr>
              <w:t>59)</w:t>
            </w:r>
          </w:p>
        </w:tc>
        <w:tc>
          <w:tcPr>
            <w:tcW w:w="1043" w:type="pct"/>
            <w:shd w:val="clear" w:color="auto" w:fill="auto"/>
          </w:tcPr>
          <w:p w:rsidR="00B53365" w:rsidRPr="003D4D81" w:rsidRDefault="00B53365" w:rsidP="00850FAE">
            <w:pPr>
              <w:spacing w:after="0"/>
              <w:ind w:left="-57"/>
              <w:jc w:val="left"/>
              <w:rPr>
                <w:sz w:val="22"/>
                <w:szCs w:val="22"/>
                <w:lang w:val="sk-SK"/>
              </w:rPr>
            </w:pPr>
          </w:p>
          <w:p w:rsidR="00B53365" w:rsidRPr="003D4D81" w:rsidRDefault="00B53365" w:rsidP="00850FAE">
            <w:pPr>
              <w:spacing w:after="0"/>
              <w:ind w:left="-57"/>
              <w:contextualSpacing/>
              <w:jc w:val="left"/>
              <w:rPr>
                <w:sz w:val="22"/>
                <w:szCs w:val="22"/>
                <w:lang w:val="sk-SK"/>
              </w:rPr>
            </w:pPr>
            <w:r w:rsidRPr="003D4D81">
              <w:rPr>
                <w:sz w:val="22"/>
                <w:szCs w:val="22"/>
                <w:lang w:val="sk-SK"/>
              </w:rPr>
              <w:lastRenderedPageBreak/>
              <w:t>0.91 [0</w:t>
            </w:r>
            <w:r w:rsidR="0086176F" w:rsidRPr="003D4D81">
              <w:rPr>
                <w:sz w:val="22"/>
                <w:szCs w:val="22"/>
                <w:lang w:val="sk-SK"/>
              </w:rPr>
              <w:t>,</w:t>
            </w:r>
            <w:r w:rsidRPr="003D4D81">
              <w:rPr>
                <w:sz w:val="22"/>
                <w:szCs w:val="22"/>
                <w:lang w:val="sk-SK"/>
              </w:rPr>
              <w:t>80; 1</w:t>
            </w:r>
            <w:r w:rsidR="0086176F" w:rsidRPr="003D4D81">
              <w:rPr>
                <w:sz w:val="22"/>
                <w:szCs w:val="22"/>
                <w:lang w:val="sk-SK"/>
              </w:rPr>
              <w:t>,</w:t>
            </w:r>
            <w:r w:rsidRPr="003D4D81">
              <w:rPr>
                <w:sz w:val="22"/>
                <w:szCs w:val="22"/>
                <w:lang w:val="sk-SK"/>
              </w:rPr>
              <w:t>03]</w:t>
            </w:r>
          </w:p>
          <w:p w:rsidR="00B53365" w:rsidRPr="003D4D81" w:rsidRDefault="00B53365" w:rsidP="0086176F">
            <w:pPr>
              <w:spacing w:after="0"/>
              <w:ind w:left="-57"/>
              <w:contextualSpacing/>
              <w:jc w:val="left"/>
              <w:rPr>
                <w:sz w:val="22"/>
                <w:szCs w:val="22"/>
                <w:lang w:val="sk-SK"/>
              </w:rPr>
            </w:pPr>
            <w:r w:rsidRPr="003D4D81">
              <w:rPr>
                <w:sz w:val="22"/>
                <w:szCs w:val="22"/>
                <w:lang w:val="sk-SK"/>
              </w:rPr>
              <w:t>0.74 [0</w:t>
            </w:r>
            <w:r w:rsidR="0086176F" w:rsidRPr="003D4D81">
              <w:rPr>
                <w:sz w:val="22"/>
                <w:szCs w:val="22"/>
                <w:lang w:val="sk-SK"/>
              </w:rPr>
              <w:t>,</w:t>
            </w:r>
            <w:r w:rsidRPr="003D4D81">
              <w:rPr>
                <w:sz w:val="22"/>
                <w:szCs w:val="22"/>
                <w:lang w:val="sk-SK"/>
              </w:rPr>
              <w:t>66; 0</w:t>
            </w:r>
            <w:r w:rsidR="0086176F" w:rsidRPr="003D4D81">
              <w:rPr>
                <w:sz w:val="22"/>
                <w:szCs w:val="22"/>
                <w:lang w:val="sk-SK"/>
              </w:rPr>
              <w:t>,</w:t>
            </w:r>
            <w:r w:rsidRPr="003D4D81">
              <w:rPr>
                <w:sz w:val="22"/>
                <w:szCs w:val="22"/>
                <w:lang w:val="sk-SK"/>
              </w:rPr>
              <w:t>83]</w:t>
            </w:r>
          </w:p>
        </w:tc>
        <w:tc>
          <w:tcPr>
            <w:tcW w:w="564" w:type="pct"/>
            <w:shd w:val="clear" w:color="auto" w:fill="auto"/>
          </w:tcPr>
          <w:p w:rsidR="00B53365" w:rsidRPr="003D4D81" w:rsidRDefault="00B53365" w:rsidP="00850FAE">
            <w:pPr>
              <w:spacing w:after="0"/>
              <w:ind w:left="-57"/>
              <w:jc w:val="left"/>
              <w:rPr>
                <w:sz w:val="22"/>
                <w:szCs w:val="22"/>
                <w:lang w:val="sk-SK"/>
              </w:rPr>
            </w:pPr>
          </w:p>
          <w:p w:rsidR="00B53365" w:rsidRPr="003D4D81" w:rsidRDefault="00B53365" w:rsidP="00850FAE">
            <w:pPr>
              <w:spacing w:after="0"/>
              <w:ind w:left="-57"/>
              <w:contextualSpacing/>
              <w:jc w:val="left"/>
              <w:rPr>
                <w:sz w:val="22"/>
                <w:szCs w:val="22"/>
                <w:lang w:val="sk-SK"/>
              </w:rPr>
            </w:pPr>
            <w:r w:rsidRPr="003D4D81">
              <w:rPr>
                <w:sz w:val="22"/>
                <w:szCs w:val="22"/>
                <w:lang w:val="sk-SK"/>
              </w:rPr>
              <w:lastRenderedPageBreak/>
              <w:t>0</w:t>
            </w:r>
            <w:r w:rsidR="0086176F" w:rsidRPr="003D4D81">
              <w:rPr>
                <w:sz w:val="22"/>
                <w:szCs w:val="22"/>
                <w:lang w:val="sk-SK"/>
              </w:rPr>
              <w:t>,</w:t>
            </w:r>
            <w:r w:rsidRPr="003D4D81">
              <w:rPr>
                <w:sz w:val="22"/>
                <w:szCs w:val="22"/>
                <w:lang w:val="sk-SK"/>
              </w:rPr>
              <w:t>128</w:t>
            </w:r>
          </w:p>
          <w:p w:rsidR="00B53365" w:rsidRPr="003D4D81" w:rsidRDefault="00C230A9" w:rsidP="0086176F">
            <w:pPr>
              <w:spacing w:after="0"/>
              <w:ind w:left="-57"/>
              <w:contextualSpacing/>
              <w:jc w:val="left"/>
              <w:rPr>
                <w:sz w:val="22"/>
                <w:szCs w:val="22"/>
                <w:lang w:val="sk-SK"/>
              </w:rPr>
            </w:pPr>
            <w:r w:rsidRPr="003D4D81">
              <w:rPr>
                <w:sz w:val="22"/>
                <w:szCs w:val="22"/>
                <w:lang w:val="sk-SK"/>
              </w:rPr>
              <w:t>&lt; </w:t>
            </w:r>
            <w:r w:rsidR="00B53365" w:rsidRPr="003D4D81">
              <w:rPr>
                <w:sz w:val="22"/>
                <w:szCs w:val="22"/>
                <w:lang w:val="sk-SK"/>
              </w:rPr>
              <w:t>0</w:t>
            </w:r>
            <w:r w:rsidR="0086176F" w:rsidRPr="003D4D81">
              <w:rPr>
                <w:sz w:val="22"/>
                <w:szCs w:val="22"/>
                <w:lang w:val="sk-SK"/>
              </w:rPr>
              <w:t>,</w:t>
            </w:r>
            <w:r w:rsidR="00B53365" w:rsidRPr="003D4D81">
              <w:rPr>
                <w:sz w:val="22"/>
                <w:szCs w:val="22"/>
                <w:lang w:val="sk-SK"/>
              </w:rPr>
              <w:t>0001</w:t>
            </w:r>
          </w:p>
        </w:tc>
      </w:tr>
      <w:tr w:rsidR="003125C2" w:rsidRPr="003D4D81" w:rsidTr="00850FAE">
        <w:tc>
          <w:tcPr>
            <w:tcW w:w="1884" w:type="pct"/>
            <w:shd w:val="clear" w:color="auto" w:fill="auto"/>
          </w:tcPr>
          <w:p w:rsidR="00B53365" w:rsidRPr="003D4D81" w:rsidRDefault="0086176F" w:rsidP="0086176F">
            <w:pPr>
              <w:spacing w:after="0"/>
              <w:jc w:val="left"/>
              <w:rPr>
                <w:sz w:val="22"/>
                <w:szCs w:val="22"/>
                <w:lang w:val="sk-SK"/>
              </w:rPr>
            </w:pPr>
            <w:r w:rsidRPr="003D4D81">
              <w:rPr>
                <w:sz w:val="22"/>
                <w:szCs w:val="22"/>
                <w:lang w:val="sk-SK" w:eastAsia="en-GB"/>
              </w:rPr>
              <w:lastRenderedPageBreak/>
              <w:t xml:space="preserve">Iné sekundárne </w:t>
            </w:r>
            <w:r w:rsidR="00577B3D" w:rsidRPr="006411FF">
              <w:rPr>
                <w:rFonts w:eastAsia="Times New Roman"/>
                <w:sz w:val="22"/>
                <w:szCs w:val="22"/>
                <w:lang w:val="sk-SK"/>
              </w:rPr>
              <w:t>ukazovatele</w:t>
            </w:r>
          </w:p>
        </w:tc>
        <w:tc>
          <w:tcPr>
            <w:tcW w:w="755" w:type="pct"/>
            <w:shd w:val="clear" w:color="auto" w:fill="auto"/>
          </w:tcPr>
          <w:p w:rsidR="00B53365" w:rsidRPr="003D4D81" w:rsidRDefault="00B53365" w:rsidP="00850FAE">
            <w:pPr>
              <w:spacing w:after="0"/>
              <w:ind w:left="-57"/>
              <w:jc w:val="left"/>
              <w:rPr>
                <w:sz w:val="22"/>
                <w:szCs w:val="22"/>
                <w:lang w:val="sk-SK"/>
              </w:rPr>
            </w:pPr>
          </w:p>
        </w:tc>
        <w:tc>
          <w:tcPr>
            <w:tcW w:w="754" w:type="pct"/>
            <w:shd w:val="clear" w:color="auto" w:fill="auto"/>
          </w:tcPr>
          <w:p w:rsidR="00B53365" w:rsidRPr="003D4D81" w:rsidRDefault="00B53365" w:rsidP="00850FAE">
            <w:pPr>
              <w:spacing w:after="0"/>
              <w:ind w:left="-57"/>
              <w:jc w:val="left"/>
              <w:rPr>
                <w:sz w:val="22"/>
                <w:szCs w:val="22"/>
                <w:lang w:val="sk-SK"/>
              </w:rPr>
            </w:pPr>
          </w:p>
        </w:tc>
        <w:tc>
          <w:tcPr>
            <w:tcW w:w="1043" w:type="pct"/>
            <w:shd w:val="clear" w:color="auto" w:fill="auto"/>
          </w:tcPr>
          <w:p w:rsidR="00B53365" w:rsidRPr="003D4D81" w:rsidRDefault="00B53365" w:rsidP="00850FAE">
            <w:pPr>
              <w:spacing w:after="0"/>
              <w:ind w:left="-57"/>
              <w:jc w:val="left"/>
              <w:rPr>
                <w:sz w:val="22"/>
                <w:szCs w:val="22"/>
                <w:lang w:val="sk-SK"/>
              </w:rPr>
            </w:pPr>
          </w:p>
        </w:tc>
        <w:tc>
          <w:tcPr>
            <w:tcW w:w="564" w:type="pct"/>
            <w:shd w:val="clear" w:color="auto" w:fill="auto"/>
          </w:tcPr>
          <w:p w:rsidR="00B53365" w:rsidRPr="003D4D81" w:rsidRDefault="00B53365" w:rsidP="00850FAE">
            <w:pPr>
              <w:spacing w:after="0"/>
              <w:ind w:left="-57"/>
              <w:jc w:val="left"/>
              <w:rPr>
                <w:sz w:val="22"/>
                <w:szCs w:val="22"/>
                <w:lang w:val="sk-SK"/>
              </w:rPr>
            </w:pPr>
          </w:p>
        </w:tc>
      </w:tr>
      <w:tr w:rsidR="003125C2" w:rsidRPr="003D4D81" w:rsidTr="00850FAE">
        <w:tc>
          <w:tcPr>
            <w:tcW w:w="1884" w:type="pct"/>
            <w:shd w:val="clear" w:color="auto" w:fill="auto"/>
          </w:tcPr>
          <w:p w:rsidR="00B53365" w:rsidRPr="003D4D81" w:rsidRDefault="0086176F" w:rsidP="00850FAE">
            <w:pPr>
              <w:pStyle w:val="Odsekzoznamu"/>
              <w:numPr>
                <w:ilvl w:val="0"/>
                <w:numId w:val="9"/>
              </w:numPr>
              <w:spacing w:after="0"/>
              <w:ind w:left="340" w:hanging="227"/>
              <w:jc w:val="left"/>
              <w:rPr>
                <w:sz w:val="22"/>
                <w:szCs w:val="22"/>
                <w:lang w:val="sk-SK"/>
              </w:rPr>
            </w:pPr>
            <w:r w:rsidRPr="003D4D81">
              <w:rPr>
                <w:sz w:val="22"/>
                <w:szCs w:val="22"/>
                <w:lang w:val="sk-SK" w:eastAsia="en-GB"/>
              </w:rPr>
              <w:t>Úmrtia zo všetkých príčin</w:t>
            </w:r>
          </w:p>
          <w:p w:rsidR="00B53365" w:rsidRPr="003D4D81" w:rsidRDefault="0086176F" w:rsidP="00850FAE">
            <w:pPr>
              <w:pStyle w:val="Odsekzoznamu"/>
              <w:numPr>
                <w:ilvl w:val="0"/>
                <w:numId w:val="9"/>
              </w:numPr>
              <w:spacing w:after="0"/>
              <w:ind w:left="340" w:hanging="227"/>
              <w:jc w:val="left"/>
              <w:rPr>
                <w:sz w:val="22"/>
                <w:szCs w:val="22"/>
                <w:lang w:val="sk-SK"/>
              </w:rPr>
            </w:pPr>
            <w:r w:rsidRPr="003D4D81">
              <w:rPr>
                <w:sz w:val="22"/>
                <w:szCs w:val="22"/>
                <w:lang w:val="sk-SK" w:eastAsia="en-GB"/>
              </w:rPr>
              <w:t>Úmrtie z dôvodu srdcového zlyhania</w:t>
            </w:r>
          </w:p>
          <w:p w:rsidR="00B53365" w:rsidRPr="003D4D81" w:rsidRDefault="0086176F" w:rsidP="00850FAE">
            <w:pPr>
              <w:pStyle w:val="Odsekzoznamu"/>
              <w:numPr>
                <w:ilvl w:val="0"/>
                <w:numId w:val="9"/>
              </w:numPr>
              <w:spacing w:after="0"/>
              <w:ind w:left="340" w:hanging="227"/>
              <w:jc w:val="left"/>
              <w:rPr>
                <w:sz w:val="22"/>
                <w:szCs w:val="22"/>
                <w:lang w:val="sk-SK"/>
              </w:rPr>
            </w:pPr>
            <w:r w:rsidRPr="003D4D81">
              <w:rPr>
                <w:sz w:val="22"/>
                <w:szCs w:val="22"/>
                <w:lang w:val="sk-SK" w:eastAsia="en-GB"/>
              </w:rPr>
              <w:t>Hospitalizácia z akejkoľvek príčiny</w:t>
            </w:r>
          </w:p>
          <w:p w:rsidR="00B53365" w:rsidRPr="003D4D81" w:rsidRDefault="0086176F" w:rsidP="0086176F">
            <w:pPr>
              <w:pStyle w:val="Odsekzoznamu"/>
              <w:numPr>
                <w:ilvl w:val="0"/>
                <w:numId w:val="9"/>
              </w:numPr>
              <w:spacing w:after="0"/>
              <w:ind w:left="340" w:hanging="227"/>
              <w:jc w:val="left"/>
              <w:rPr>
                <w:sz w:val="22"/>
                <w:szCs w:val="22"/>
                <w:lang w:val="sk-SK"/>
              </w:rPr>
            </w:pPr>
            <w:r w:rsidRPr="003D4D81">
              <w:rPr>
                <w:sz w:val="22"/>
                <w:szCs w:val="22"/>
                <w:lang w:val="sk-SK" w:eastAsia="en-GB"/>
              </w:rPr>
              <w:t>Hospitalizácia z kardiovaskulárnej príčiny</w:t>
            </w:r>
          </w:p>
        </w:tc>
        <w:tc>
          <w:tcPr>
            <w:tcW w:w="755" w:type="pct"/>
            <w:shd w:val="clear" w:color="auto" w:fill="auto"/>
          </w:tcPr>
          <w:p w:rsidR="00B53365" w:rsidRPr="003D4D81" w:rsidRDefault="00B53365" w:rsidP="00850FAE">
            <w:pPr>
              <w:spacing w:after="0"/>
              <w:ind w:left="-57"/>
              <w:contextualSpacing/>
              <w:jc w:val="left"/>
              <w:rPr>
                <w:sz w:val="22"/>
                <w:szCs w:val="22"/>
                <w:lang w:val="sk-SK"/>
              </w:rPr>
            </w:pPr>
            <w:r w:rsidRPr="003D4D81">
              <w:rPr>
                <w:sz w:val="22"/>
                <w:szCs w:val="22"/>
                <w:lang w:val="sk-SK"/>
              </w:rPr>
              <w:t>503 (15</w:t>
            </w:r>
            <w:r w:rsidR="0086176F" w:rsidRPr="003D4D81">
              <w:rPr>
                <w:sz w:val="22"/>
                <w:szCs w:val="22"/>
                <w:lang w:val="sk-SK"/>
              </w:rPr>
              <w:t>,</w:t>
            </w:r>
            <w:r w:rsidRPr="003D4D81">
              <w:rPr>
                <w:sz w:val="22"/>
                <w:szCs w:val="22"/>
                <w:lang w:val="sk-SK"/>
              </w:rPr>
              <w:t>52)</w:t>
            </w:r>
          </w:p>
          <w:p w:rsidR="00B53365" w:rsidRPr="003D4D81" w:rsidRDefault="00B53365" w:rsidP="00850FAE">
            <w:pPr>
              <w:spacing w:after="0"/>
              <w:ind w:left="-57"/>
              <w:contextualSpacing/>
              <w:jc w:val="left"/>
              <w:rPr>
                <w:sz w:val="22"/>
                <w:szCs w:val="22"/>
                <w:lang w:val="sk-SK"/>
              </w:rPr>
            </w:pPr>
            <w:r w:rsidRPr="003D4D81">
              <w:rPr>
                <w:sz w:val="22"/>
                <w:szCs w:val="22"/>
                <w:lang w:val="sk-SK"/>
              </w:rPr>
              <w:t>113 (3</w:t>
            </w:r>
            <w:r w:rsidR="0086176F" w:rsidRPr="003D4D81">
              <w:rPr>
                <w:sz w:val="22"/>
                <w:szCs w:val="22"/>
                <w:lang w:val="sk-SK"/>
              </w:rPr>
              <w:t>,</w:t>
            </w:r>
            <w:r w:rsidRPr="003D4D81">
              <w:rPr>
                <w:sz w:val="22"/>
                <w:szCs w:val="22"/>
                <w:lang w:val="sk-SK"/>
              </w:rPr>
              <w:t>49)</w:t>
            </w:r>
          </w:p>
          <w:p w:rsidR="0086176F" w:rsidRPr="003D4D81" w:rsidRDefault="0086176F" w:rsidP="00850FAE">
            <w:pPr>
              <w:spacing w:after="0"/>
              <w:ind w:left="-57" w:right="-108"/>
              <w:contextualSpacing/>
              <w:jc w:val="left"/>
              <w:rPr>
                <w:sz w:val="22"/>
                <w:szCs w:val="22"/>
                <w:lang w:val="sk-SK"/>
              </w:rPr>
            </w:pPr>
          </w:p>
          <w:p w:rsidR="00B53365" w:rsidRPr="003D4D81" w:rsidRDefault="00B53365" w:rsidP="00850FAE">
            <w:pPr>
              <w:spacing w:after="0"/>
              <w:ind w:left="-57" w:right="-108"/>
              <w:contextualSpacing/>
              <w:jc w:val="left"/>
              <w:rPr>
                <w:sz w:val="22"/>
                <w:szCs w:val="22"/>
                <w:lang w:val="sk-SK"/>
              </w:rPr>
            </w:pPr>
            <w:r w:rsidRPr="003D4D81">
              <w:rPr>
                <w:sz w:val="22"/>
                <w:szCs w:val="22"/>
                <w:lang w:val="sk-SK"/>
              </w:rPr>
              <w:t>1,231 (37</w:t>
            </w:r>
            <w:r w:rsidR="0086176F" w:rsidRPr="003D4D81">
              <w:rPr>
                <w:sz w:val="22"/>
                <w:szCs w:val="22"/>
                <w:lang w:val="sk-SK"/>
              </w:rPr>
              <w:t>,</w:t>
            </w:r>
            <w:r w:rsidRPr="003D4D81">
              <w:rPr>
                <w:sz w:val="22"/>
                <w:szCs w:val="22"/>
                <w:lang w:val="sk-SK"/>
              </w:rPr>
              <w:t>98)</w:t>
            </w:r>
          </w:p>
          <w:p w:rsidR="0086176F" w:rsidRPr="003D4D81" w:rsidRDefault="0086176F" w:rsidP="00850FAE">
            <w:pPr>
              <w:spacing w:after="0"/>
              <w:ind w:left="-57"/>
              <w:contextualSpacing/>
              <w:jc w:val="left"/>
              <w:rPr>
                <w:sz w:val="22"/>
                <w:szCs w:val="22"/>
                <w:lang w:val="sk-SK"/>
              </w:rPr>
            </w:pPr>
          </w:p>
          <w:p w:rsidR="00B53365" w:rsidRPr="003D4D81" w:rsidRDefault="00B53365" w:rsidP="0086176F">
            <w:pPr>
              <w:spacing w:after="0"/>
              <w:ind w:left="-57"/>
              <w:contextualSpacing/>
              <w:jc w:val="left"/>
              <w:rPr>
                <w:sz w:val="22"/>
                <w:szCs w:val="22"/>
                <w:lang w:val="sk-SK"/>
              </w:rPr>
            </w:pPr>
            <w:r w:rsidRPr="003D4D81">
              <w:rPr>
                <w:sz w:val="22"/>
                <w:szCs w:val="22"/>
                <w:lang w:val="sk-SK"/>
              </w:rPr>
              <w:t>977 (30</w:t>
            </w:r>
            <w:r w:rsidR="0086176F" w:rsidRPr="003D4D81">
              <w:rPr>
                <w:sz w:val="22"/>
                <w:szCs w:val="22"/>
                <w:lang w:val="sk-SK"/>
              </w:rPr>
              <w:t>,</w:t>
            </w:r>
            <w:r w:rsidRPr="003D4D81">
              <w:rPr>
                <w:sz w:val="22"/>
                <w:szCs w:val="22"/>
                <w:lang w:val="sk-SK"/>
              </w:rPr>
              <w:t>15)</w:t>
            </w:r>
          </w:p>
        </w:tc>
        <w:tc>
          <w:tcPr>
            <w:tcW w:w="754" w:type="pct"/>
            <w:shd w:val="clear" w:color="auto" w:fill="auto"/>
          </w:tcPr>
          <w:p w:rsidR="00B53365" w:rsidRPr="003D4D81" w:rsidRDefault="00B53365" w:rsidP="00850FAE">
            <w:pPr>
              <w:spacing w:after="0"/>
              <w:ind w:left="-57"/>
              <w:contextualSpacing/>
              <w:jc w:val="left"/>
              <w:rPr>
                <w:sz w:val="22"/>
                <w:szCs w:val="22"/>
                <w:lang w:val="sk-SK"/>
              </w:rPr>
            </w:pPr>
            <w:r w:rsidRPr="003D4D81">
              <w:rPr>
                <w:sz w:val="22"/>
                <w:szCs w:val="22"/>
                <w:lang w:val="sk-SK"/>
              </w:rPr>
              <w:t>552 (16</w:t>
            </w:r>
            <w:r w:rsidR="0086176F" w:rsidRPr="003D4D81">
              <w:rPr>
                <w:sz w:val="22"/>
                <w:szCs w:val="22"/>
                <w:lang w:val="sk-SK"/>
              </w:rPr>
              <w:t>,</w:t>
            </w:r>
            <w:r w:rsidRPr="003D4D81">
              <w:rPr>
                <w:sz w:val="22"/>
                <w:szCs w:val="22"/>
                <w:lang w:val="sk-SK"/>
              </w:rPr>
              <w:t>91)</w:t>
            </w:r>
          </w:p>
          <w:p w:rsidR="00B53365" w:rsidRPr="003D4D81" w:rsidRDefault="00B53365" w:rsidP="00850FAE">
            <w:pPr>
              <w:spacing w:after="0"/>
              <w:ind w:left="-57"/>
              <w:contextualSpacing/>
              <w:jc w:val="left"/>
              <w:rPr>
                <w:sz w:val="22"/>
                <w:szCs w:val="22"/>
                <w:lang w:val="sk-SK"/>
              </w:rPr>
            </w:pPr>
            <w:r w:rsidRPr="003D4D81">
              <w:rPr>
                <w:sz w:val="22"/>
                <w:szCs w:val="22"/>
                <w:lang w:val="sk-SK"/>
              </w:rPr>
              <w:t>151 (4</w:t>
            </w:r>
            <w:r w:rsidR="0086176F" w:rsidRPr="003D4D81">
              <w:rPr>
                <w:sz w:val="22"/>
                <w:szCs w:val="22"/>
                <w:lang w:val="sk-SK"/>
              </w:rPr>
              <w:t>,</w:t>
            </w:r>
            <w:r w:rsidRPr="003D4D81">
              <w:rPr>
                <w:sz w:val="22"/>
                <w:szCs w:val="22"/>
                <w:lang w:val="sk-SK"/>
              </w:rPr>
              <w:t>63)</w:t>
            </w:r>
          </w:p>
          <w:p w:rsidR="0086176F" w:rsidRPr="003D4D81" w:rsidRDefault="0086176F" w:rsidP="00850FAE">
            <w:pPr>
              <w:spacing w:after="0"/>
              <w:ind w:left="-57" w:right="-108"/>
              <w:contextualSpacing/>
              <w:jc w:val="left"/>
              <w:rPr>
                <w:sz w:val="22"/>
                <w:szCs w:val="22"/>
                <w:lang w:val="sk-SK"/>
              </w:rPr>
            </w:pPr>
          </w:p>
          <w:p w:rsidR="00B53365" w:rsidRPr="003D4D81" w:rsidRDefault="00B53365" w:rsidP="00850FAE">
            <w:pPr>
              <w:spacing w:after="0"/>
              <w:ind w:left="-57" w:right="-108"/>
              <w:contextualSpacing/>
              <w:jc w:val="left"/>
              <w:rPr>
                <w:sz w:val="22"/>
                <w:szCs w:val="22"/>
                <w:lang w:val="sk-SK"/>
              </w:rPr>
            </w:pPr>
            <w:r w:rsidRPr="003D4D81">
              <w:rPr>
                <w:sz w:val="22"/>
                <w:szCs w:val="22"/>
                <w:lang w:val="sk-SK"/>
              </w:rPr>
              <w:t>1</w:t>
            </w:r>
            <w:r w:rsidR="008F44C0" w:rsidRPr="003D4D81">
              <w:rPr>
                <w:sz w:val="22"/>
                <w:szCs w:val="22"/>
                <w:lang w:val="sk-SK"/>
              </w:rPr>
              <w:t>,</w:t>
            </w:r>
            <w:r w:rsidRPr="003D4D81">
              <w:rPr>
                <w:sz w:val="22"/>
                <w:szCs w:val="22"/>
                <w:lang w:val="sk-SK"/>
              </w:rPr>
              <w:t>356 (41</w:t>
            </w:r>
            <w:r w:rsidR="0086176F" w:rsidRPr="003D4D81">
              <w:rPr>
                <w:sz w:val="22"/>
                <w:szCs w:val="22"/>
                <w:lang w:val="sk-SK"/>
              </w:rPr>
              <w:t>,</w:t>
            </w:r>
            <w:r w:rsidRPr="003D4D81">
              <w:rPr>
                <w:sz w:val="22"/>
                <w:szCs w:val="22"/>
                <w:lang w:val="sk-SK"/>
              </w:rPr>
              <w:t>54)</w:t>
            </w:r>
          </w:p>
          <w:p w:rsidR="0086176F" w:rsidRPr="003D4D81" w:rsidRDefault="0086176F" w:rsidP="00850FAE">
            <w:pPr>
              <w:spacing w:after="0"/>
              <w:ind w:left="-57" w:right="-108"/>
              <w:contextualSpacing/>
              <w:jc w:val="left"/>
              <w:rPr>
                <w:sz w:val="22"/>
                <w:szCs w:val="22"/>
                <w:lang w:val="sk-SK"/>
              </w:rPr>
            </w:pPr>
          </w:p>
          <w:p w:rsidR="00B53365" w:rsidRPr="003D4D81" w:rsidRDefault="00B53365" w:rsidP="0086176F">
            <w:pPr>
              <w:spacing w:after="0"/>
              <w:ind w:left="-57" w:right="-108"/>
              <w:contextualSpacing/>
              <w:jc w:val="left"/>
              <w:rPr>
                <w:sz w:val="22"/>
                <w:szCs w:val="22"/>
                <w:lang w:val="sk-SK"/>
              </w:rPr>
            </w:pPr>
            <w:r w:rsidRPr="003D4D81">
              <w:rPr>
                <w:sz w:val="22"/>
                <w:szCs w:val="22"/>
                <w:lang w:val="sk-SK"/>
              </w:rPr>
              <w:t>1</w:t>
            </w:r>
            <w:r w:rsidR="008F44C0" w:rsidRPr="003D4D81">
              <w:rPr>
                <w:sz w:val="22"/>
                <w:szCs w:val="22"/>
                <w:lang w:val="sk-SK"/>
              </w:rPr>
              <w:t>,</w:t>
            </w:r>
            <w:r w:rsidRPr="003D4D81">
              <w:rPr>
                <w:sz w:val="22"/>
                <w:szCs w:val="22"/>
                <w:lang w:val="sk-SK"/>
              </w:rPr>
              <w:t>122 (34</w:t>
            </w:r>
            <w:r w:rsidR="0086176F" w:rsidRPr="003D4D81">
              <w:rPr>
                <w:sz w:val="22"/>
                <w:szCs w:val="22"/>
                <w:lang w:val="sk-SK"/>
              </w:rPr>
              <w:t>,</w:t>
            </w:r>
            <w:r w:rsidRPr="003D4D81">
              <w:rPr>
                <w:sz w:val="22"/>
                <w:szCs w:val="22"/>
                <w:lang w:val="sk-SK"/>
              </w:rPr>
              <w:t>38)</w:t>
            </w:r>
          </w:p>
        </w:tc>
        <w:tc>
          <w:tcPr>
            <w:tcW w:w="1043" w:type="pct"/>
            <w:shd w:val="clear" w:color="auto" w:fill="auto"/>
          </w:tcPr>
          <w:p w:rsidR="00B53365" w:rsidRPr="003D4D81" w:rsidRDefault="00B53365" w:rsidP="00850FAE">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90 [0</w:t>
            </w:r>
            <w:r w:rsidR="0086176F" w:rsidRPr="003D4D81">
              <w:rPr>
                <w:sz w:val="22"/>
                <w:szCs w:val="22"/>
                <w:lang w:val="sk-SK"/>
              </w:rPr>
              <w:t>,</w:t>
            </w:r>
            <w:r w:rsidRPr="003D4D81">
              <w:rPr>
                <w:sz w:val="22"/>
                <w:szCs w:val="22"/>
                <w:lang w:val="sk-SK"/>
              </w:rPr>
              <w:t>80; 1</w:t>
            </w:r>
            <w:r w:rsidR="0086176F" w:rsidRPr="003D4D81">
              <w:rPr>
                <w:sz w:val="22"/>
                <w:szCs w:val="22"/>
                <w:lang w:val="sk-SK"/>
              </w:rPr>
              <w:t>,</w:t>
            </w:r>
            <w:r w:rsidRPr="003D4D81">
              <w:rPr>
                <w:sz w:val="22"/>
                <w:szCs w:val="22"/>
                <w:lang w:val="sk-SK"/>
              </w:rPr>
              <w:t>02]</w:t>
            </w:r>
          </w:p>
          <w:p w:rsidR="00B53365" w:rsidRPr="003D4D81" w:rsidRDefault="00B53365" w:rsidP="00850FAE">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74 [0</w:t>
            </w:r>
            <w:r w:rsidR="0086176F" w:rsidRPr="003D4D81">
              <w:rPr>
                <w:sz w:val="22"/>
                <w:szCs w:val="22"/>
                <w:lang w:val="sk-SK"/>
              </w:rPr>
              <w:t>,</w:t>
            </w:r>
            <w:r w:rsidRPr="003D4D81">
              <w:rPr>
                <w:sz w:val="22"/>
                <w:szCs w:val="22"/>
                <w:lang w:val="sk-SK"/>
              </w:rPr>
              <w:t>58;</w:t>
            </w:r>
            <w:r w:rsidR="0086176F" w:rsidRPr="003D4D81">
              <w:rPr>
                <w:sz w:val="22"/>
                <w:szCs w:val="22"/>
                <w:lang w:val="sk-SK"/>
              </w:rPr>
              <w:t xml:space="preserve"> </w:t>
            </w:r>
            <w:r w:rsidRPr="003D4D81">
              <w:rPr>
                <w:sz w:val="22"/>
                <w:szCs w:val="22"/>
                <w:lang w:val="sk-SK"/>
              </w:rPr>
              <w:t>0</w:t>
            </w:r>
            <w:r w:rsidR="0086176F" w:rsidRPr="003D4D81">
              <w:rPr>
                <w:sz w:val="22"/>
                <w:szCs w:val="22"/>
                <w:lang w:val="sk-SK"/>
              </w:rPr>
              <w:t>,</w:t>
            </w:r>
            <w:r w:rsidRPr="003D4D81">
              <w:rPr>
                <w:sz w:val="22"/>
                <w:szCs w:val="22"/>
                <w:lang w:val="sk-SK"/>
              </w:rPr>
              <w:t>94]</w:t>
            </w:r>
          </w:p>
          <w:p w:rsidR="0086176F" w:rsidRPr="003D4D81" w:rsidRDefault="0086176F" w:rsidP="00850FAE">
            <w:pPr>
              <w:spacing w:after="0"/>
              <w:ind w:left="-57"/>
              <w:contextualSpacing/>
              <w:jc w:val="left"/>
              <w:rPr>
                <w:sz w:val="22"/>
                <w:szCs w:val="22"/>
                <w:lang w:val="sk-SK"/>
              </w:rPr>
            </w:pPr>
          </w:p>
          <w:p w:rsidR="00B53365" w:rsidRPr="003D4D81" w:rsidRDefault="00B53365" w:rsidP="00850FAE">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89 [0</w:t>
            </w:r>
            <w:r w:rsidR="0086176F" w:rsidRPr="003D4D81">
              <w:rPr>
                <w:sz w:val="22"/>
                <w:szCs w:val="22"/>
                <w:lang w:val="sk-SK"/>
              </w:rPr>
              <w:t>,</w:t>
            </w:r>
            <w:r w:rsidRPr="003D4D81">
              <w:rPr>
                <w:sz w:val="22"/>
                <w:szCs w:val="22"/>
                <w:lang w:val="sk-SK"/>
              </w:rPr>
              <w:t>82;</w:t>
            </w:r>
            <w:r w:rsidR="0086176F" w:rsidRPr="003D4D81">
              <w:rPr>
                <w:sz w:val="22"/>
                <w:szCs w:val="22"/>
                <w:lang w:val="sk-SK"/>
              </w:rPr>
              <w:t xml:space="preserve"> </w:t>
            </w:r>
            <w:r w:rsidRPr="003D4D81">
              <w:rPr>
                <w:sz w:val="22"/>
                <w:szCs w:val="22"/>
                <w:lang w:val="sk-SK"/>
              </w:rPr>
              <w:t>0</w:t>
            </w:r>
            <w:r w:rsidR="0086176F" w:rsidRPr="003D4D81">
              <w:rPr>
                <w:sz w:val="22"/>
                <w:szCs w:val="22"/>
                <w:lang w:val="sk-SK"/>
              </w:rPr>
              <w:t>,</w:t>
            </w:r>
            <w:r w:rsidRPr="003D4D81">
              <w:rPr>
                <w:sz w:val="22"/>
                <w:szCs w:val="22"/>
                <w:lang w:val="sk-SK"/>
              </w:rPr>
              <w:t>96]</w:t>
            </w:r>
          </w:p>
          <w:p w:rsidR="0086176F" w:rsidRPr="003D4D81" w:rsidRDefault="0086176F" w:rsidP="00850FAE">
            <w:pPr>
              <w:spacing w:after="0"/>
              <w:ind w:left="-57"/>
              <w:contextualSpacing/>
              <w:jc w:val="left"/>
              <w:rPr>
                <w:sz w:val="22"/>
                <w:szCs w:val="22"/>
                <w:lang w:val="sk-SK"/>
              </w:rPr>
            </w:pPr>
          </w:p>
          <w:p w:rsidR="00B53365" w:rsidRPr="003D4D81" w:rsidRDefault="008F44C0" w:rsidP="0086176F">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85 [0</w:t>
            </w:r>
            <w:r w:rsidR="0086176F" w:rsidRPr="003D4D81">
              <w:rPr>
                <w:sz w:val="22"/>
                <w:szCs w:val="22"/>
                <w:lang w:val="sk-SK"/>
              </w:rPr>
              <w:t>,</w:t>
            </w:r>
            <w:r w:rsidRPr="003D4D81">
              <w:rPr>
                <w:sz w:val="22"/>
                <w:szCs w:val="22"/>
                <w:lang w:val="sk-SK"/>
              </w:rPr>
              <w:t>78; 0</w:t>
            </w:r>
            <w:r w:rsidR="0086176F" w:rsidRPr="003D4D81">
              <w:rPr>
                <w:sz w:val="22"/>
                <w:szCs w:val="22"/>
                <w:lang w:val="sk-SK"/>
              </w:rPr>
              <w:t>,</w:t>
            </w:r>
            <w:r w:rsidRPr="003D4D81">
              <w:rPr>
                <w:sz w:val="22"/>
                <w:szCs w:val="22"/>
                <w:lang w:val="sk-SK"/>
              </w:rPr>
              <w:t>92]</w:t>
            </w:r>
          </w:p>
        </w:tc>
        <w:tc>
          <w:tcPr>
            <w:tcW w:w="564" w:type="pct"/>
            <w:shd w:val="clear" w:color="auto" w:fill="auto"/>
          </w:tcPr>
          <w:p w:rsidR="00B53365" w:rsidRPr="003D4D81" w:rsidRDefault="00B53365" w:rsidP="00850FAE">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092</w:t>
            </w:r>
          </w:p>
          <w:p w:rsidR="00B53365" w:rsidRPr="003D4D81" w:rsidRDefault="00B53365" w:rsidP="00850FAE">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014</w:t>
            </w:r>
          </w:p>
          <w:p w:rsidR="0086176F" w:rsidRPr="003D4D81" w:rsidRDefault="0086176F" w:rsidP="00850FAE">
            <w:pPr>
              <w:spacing w:after="0"/>
              <w:ind w:left="-57"/>
              <w:contextualSpacing/>
              <w:jc w:val="left"/>
              <w:rPr>
                <w:sz w:val="22"/>
                <w:szCs w:val="22"/>
                <w:lang w:val="sk-SK"/>
              </w:rPr>
            </w:pPr>
          </w:p>
          <w:p w:rsidR="00B53365" w:rsidRPr="003D4D81" w:rsidRDefault="00B53365" w:rsidP="00850FAE">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003</w:t>
            </w:r>
          </w:p>
          <w:p w:rsidR="0086176F" w:rsidRPr="003D4D81" w:rsidRDefault="0086176F" w:rsidP="00850FAE">
            <w:pPr>
              <w:spacing w:after="0"/>
              <w:ind w:left="-57"/>
              <w:contextualSpacing/>
              <w:jc w:val="left"/>
              <w:rPr>
                <w:sz w:val="22"/>
                <w:szCs w:val="22"/>
                <w:lang w:val="sk-SK"/>
              </w:rPr>
            </w:pPr>
          </w:p>
          <w:p w:rsidR="00B53365" w:rsidRPr="003D4D81" w:rsidRDefault="008F44C0" w:rsidP="0086176F">
            <w:pPr>
              <w:spacing w:after="0"/>
              <w:ind w:left="-57"/>
              <w:contextualSpacing/>
              <w:jc w:val="left"/>
              <w:rPr>
                <w:sz w:val="22"/>
                <w:szCs w:val="22"/>
                <w:lang w:val="sk-SK"/>
              </w:rPr>
            </w:pPr>
            <w:r w:rsidRPr="003D4D81">
              <w:rPr>
                <w:sz w:val="22"/>
                <w:szCs w:val="22"/>
                <w:lang w:val="sk-SK"/>
              </w:rPr>
              <w:t>0</w:t>
            </w:r>
            <w:r w:rsidR="0086176F" w:rsidRPr="003D4D81">
              <w:rPr>
                <w:sz w:val="22"/>
                <w:szCs w:val="22"/>
                <w:lang w:val="sk-SK"/>
              </w:rPr>
              <w:t>,</w:t>
            </w:r>
            <w:r w:rsidRPr="003D4D81">
              <w:rPr>
                <w:sz w:val="22"/>
                <w:szCs w:val="22"/>
                <w:lang w:val="sk-SK"/>
              </w:rPr>
              <w:t>0002</w:t>
            </w:r>
          </w:p>
        </w:tc>
      </w:tr>
    </w:tbl>
    <w:p w:rsidR="008F44C0" w:rsidRPr="003D4D81" w:rsidRDefault="008F44C0" w:rsidP="00572196">
      <w:pPr>
        <w:spacing w:after="0"/>
        <w:jc w:val="left"/>
        <w:rPr>
          <w:sz w:val="22"/>
          <w:szCs w:val="22"/>
          <w:lang w:val="sk-SK"/>
        </w:rPr>
      </w:pPr>
    </w:p>
    <w:p w:rsidR="00B53365" w:rsidRPr="003D4D81" w:rsidRDefault="00C036EF" w:rsidP="00C036EF">
      <w:pPr>
        <w:autoSpaceDE w:val="0"/>
        <w:autoSpaceDN w:val="0"/>
        <w:adjustRightInd w:val="0"/>
        <w:spacing w:after="0"/>
        <w:jc w:val="left"/>
        <w:rPr>
          <w:sz w:val="22"/>
          <w:szCs w:val="22"/>
          <w:lang w:val="sk-SK"/>
        </w:rPr>
      </w:pPr>
      <w:r w:rsidRPr="003D4D81">
        <w:rPr>
          <w:sz w:val="22"/>
          <w:szCs w:val="22"/>
          <w:lang w:val="sk-SK" w:eastAsia="en-GB"/>
        </w:rPr>
        <w:t>Zníženie primárn</w:t>
      </w:r>
      <w:r w:rsidR="00577B3D" w:rsidRPr="003D4D81">
        <w:rPr>
          <w:sz w:val="22"/>
          <w:szCs w:val="22"/>
          <w:lang w:val="sk-SK" w:eastAsia="en-GB"/>
        </w:rPr>
        <w:t>e</w:t>
      </w:r>
      <w:r w:rsidRPr="003D4D81">
        <w:rPr>
          <w:sz w:val="22"/>
          <w:szCs w:val="22"/>
          <w:lang w:val="sk-SK" w:eastAsia="en-GB"/>
        </w:rPr>
        <w:t xml:space="preserve">ho </w:t>
      </w:r>
      <w:r w:rsidR="00577B3D" w:rsidRPr="006411FF">
        <w:rPr>
          <w:rFonts w:eastAsia="Times New Roman"/>
          <w:sz w:val="22"/>
          <w:szCs w:val="22"/>
          <w:lang w:val="sk-SK"/>
        </w:rPr>
        <w:t>ukazovateľa</w:t>
      </w:r>
      <w:r w:rsidRPr="003D4D81">
        <w:rPr>
          <w:sz w:val="22"/>
          <w:szCs w:val="22"/>
          <w:lang w:val="sk-SK" w:eastAsia="en-GB"/>
        </w:rPr>
        <w:t xml:space="preserve"> sa pozorovalo rovnomerne bez ohľadu na pohlavie, NYHA triedu, ischemickú alebo neischemickú etiológiu srdcového zlyhania a pôvod anamnézy diabetu alebo hypertenzie.</w:t>
      </w:r>
    </w:p>
    <w:p w:rsidR="00515E0D" w:rsidRPr="003D4D81" w:rsidRDefault="00515E0D" w:rsidP="00572196">
      <w:pPr>
        <w:spacing w:after="0"/>
        <w:jc w:val="left"/>
        <w:rPr>
          <w:sz w:val="22"/>
          <w:szCs w:val="22"/>
          <w:lang w:val="sk-SK"/>
        </w:rPr>
      </w:pPr>
    </w:p>
    <w:p w:rsidR="00C92DF9" w:rsidRPr="003D4D81" w:rsidRDefault="00C92DF9" w:rsidP="00C92DF9">
      <w:pPr>
        <w:autoSpaceDE w:val="0"/>
        <w:autoSpaceDN w:val="0"/>
        <w:adjustRightInd w:val="0"/>
        <w:spacing w:after="0"/>
        <w:jc w:val="left"/>
        <w:rPr>
          <w:sz w:val="22"/>
          <w:szCs w:val="22"/>
          <w:lang w:val="sk-SK"/>
        </w:rPr>
      </w:pPr>
      <w:r w:rsidRPr="003D4D81">
        <w:rPr>
          <w:sz w:val="22"/>
          <w:szCs w:val="22"/>
          <w:lang w:val="sk-SK" w:eastAsia="en-GB"/>
        </w:rPr>
        <w:t>V podskupine pacientov so srdcovo</w:t>
      </w:r>
      <w:r w:rsidR="008C320F" w:rsidRPr="003D4D81">
        <w:rPr>
          <w:sz w:val="22"/>
          <w:szCs w:val="22"/>
          <w:lang w:val="sk-SK" w:eastAsia="en-GB"/>
        </w:rPr>
        <w:t>u</w:t>
      </w:r>
      <w:r w:rsidRPr="003D4D81">
        <w:rPr>
          <w:sz w:val="22"/>
          <w:szCs w:val="22"/>
          <w:lang w:val="sk-SK" w:eastAsia="en-GB"/>
        </w:rPr>
        <w:t xml:space="preserve"> frekvenciou </w:t>
      </w:r>
      <w:r w:rsidR="00C230A9" w:rsidRPr="003D4D81">
        <w:rPr>
          <w:sz w:val="22"/>
          <w:szCs w:val="22"/>
          <w:lang w:val="sk-SK" w:eastAsia="en-GB"/>
        </w:rPr>
        <w:t>≥ </w:t>
      </w:r>
      <w:r w:rsidRPr="003D4D81">
        <w:rPr>
          <w:sz w:val="22"/>
          <w:szCs w:val="22"/>
          <w:lang w:val="sk-SK" w:eastAsia="en-GB"/>
        </w:rPr>
        <w:t>75</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(n</w:t>
      </w:r>
      <w:r w:rsidR="00C230A9" w:rsidRPr="003D4D81">
        <w:rPr>
          <w:sz w:val="22"/>
          <w:szCs w:val="22"/>
          <w:lang w:val="sk-SK" w:eastAsia="en-GB"/>
        </w:rPr>
        <w:t> = </w:t>
      </w:r>
      <w:r w:rsidRPr="003D4D81">
        <w:rPr>
          <w:sz w:val="22"/>
          <w:szCs w:val="22"/>
          <w:lang w:val="sk-SK" w:eastAsia="en-GB"/>
        </w:rPr>
        <w:t>4 150) sa pozorovalo väčšie zníženie v primárnom zloženom</w:t>
      </w:r>
      <w:r w:rsidR="00577B3D" w:rsidRPr="006411FF">
        <w:rPr>
          <w:rFonts w:eastAsia="Times New Roman"/>
          <w:sz w:val="22"/>
          <w:szCs w:val="22"/>
          <w:lang w:val="sk-SK"/>
        </w:rPr>
        <w:t xml:space="preserve"> ukazovateli</w:t>
      </w:r>
      <w:r w:rsidR="00577B3D" w:rsidRPr="006411FF">
        <w:rPr>
          <w:rFonts w:eastAsia="Times New Roman"/>
          <w:spacing w:val="-8"/>
          <w:sz w:val="22"/>
          <w:szCs w:val="22"/>
          <w:lang w:val="sk-SK"/>
        </w:rPr>
        <w:t xml:space="preserve"> </w:t>
      </w:r>
      <w:r w:rsidRPr="003D4D81">
        <w:rPr>
          <w:sz w:val="22"/>
          <w:szCs w:val="22"/>
          <w:lang w:val="sk-SK" w:eastAsia="en-GB"/>
        </w:rPr>
        <w:t>o 24</w:t>
      </w:r>
      <w:r w:rsidR="00C230A9" w:rsidRPr="003D4D81">
        <w:rPr>
          <w:sz w:val="22"/>
          <w:szCs w:val="22"/>
          <w:lang w:val="sk-SK" w:eastAsia="en-GB"/>
        </w:rPr>
        <w:t> %</w:t>
      </w:r>
      <w:r w:rsidRPr="003D4D81">
        <w:rPr>
          <w:sz w:val="22"/>
          <w:szCs w:val="22"/>
          <w:lang w:val="sk-SK" w:eastAsia="en-GB"/>
        </w:rPr>
        <w:t xml:space="preserve"> (</w:t>
      </w:r>
      <w:r w:rsidR="00B93236" w:rsidRPr="003D4D81">
        <w:rPr>
          <w:sz w:val="22"/>
          <w:szCs w:val="22"/>
          <w:lang w:val="sk-SK" w:eastAsia="en-GB"/>
        </w:rPr>
        <w:t>HR</w:t>
      </w:r>
      <w:r w:rsidRPr="003D4D81">
        <w:rPr>
          <w:sz w:val="22"/>
          <w:szCs w:val="22"/>
          <w:lang w:val="sk-SK" w:eastAsia="en-GB"/>
        </w:rPr>
        <w:t>: 0,76, 95</w:t>
      </w:r>
      <w:r w:rsidR="00C230A9" w:rsidRPr="003D4D81">
        <w:rPr>
          <w:sz w:val="22"/>
          <w:szCs w:val="22"/>
          <w:lang w:val="sk-SK" w:eastAsia="en-GB"/>
        </w:rPr>
        <w:t> %</w:t>
      </w:r>
      <w:r w:rsidRPr="003D4D81">
        <w:rPr>
          <w:sz w:val="22"/>
          <w:szCs w:val="22"/>
          <w:lang w:val="sk-SK" w:eastAsia="en-GB"/>
        </w:rPr>
        <w:t xml:space="preserve"> IS [0,68; 0,85], p </w:t>
      </w:r>
      <w:r w:rsidR="00C230A9" w:rsidRPr="003D4D81">
        <w:rPr>
          <w:i/>
          <w:iCs/>
          <w:sz w:val="22"/>
          <w:szCs w:val="22"/>
          <w:lang w:val="sk-SK" w:eastAsia="en-GB"/>
        </w:rPr>
        <w:t>&lt; </w:t>
      </w:r>
      <w:r w:rsidRPr="003D4D81">
        <w:rPr>
          <w:sz w:val="22"/>
          <w:szCs w:val="22"/>
          <w:lang w:val="sk-SK" w:eastAsia="en-GB"/>
        </w:rPr>
        <w:t xml:space="preserve">0,0001) a v iných sekundárnych </w:t>
      </w:r>
      <w:r w:rsidR="00577B3D" w:rsidRPr="003D4D81">
        <w:rPr>
          <w:sz w:val="22"/>
          <w:szCs w:val="22"/>
          <w:lang w:val="sk-SK" w:eastAsia="en-GB"/>
        </w:rPr>
        <w:t>ukazovateľ</w:t>
      </w:r>
      <w:r w:rsidRPr="003D4D81">
        <w:rPr>
          <w:sz w:val="22"/>
          <w:szCs w:val="22"/>
          <w:lang w:val="sk-SK" w:eastAsia="en-GB"/>
        </w:rPr>
        <w:t>och, vrátane celkovej mortality (</w:t>
      </w:r>
      <w:r w:rsidR="00B93236" w:rsidRPr="003D4D81">
        <w:rPr>
          <w:sz w:val="22"/>
          <w:szCs w:val="22"/>
          <w:lang w:val="sk-SK" w:eastAsia="en-GB"/>
        </w:rPr>
        <w:t>HR</w:t>
      </w:r>
      <w:r w:rsidRPr="003D4D81">
        <w:rPr>
          <w:sz w:val="22"/>
          <w:szCs w:val="22"/>
          <w:lang w:val="sk-SK" w:eastAsia="en-GB"/>
        </w:rPr>
        <w:t>: 0,83, 95</w:t>
      </w:r>
      <w:r w:rsidR="00C230A9" w:rsidRPr="003D4D81">
        <w:rPr>
          <w:sz w:val="22"/>
          <w:szCs w:val="22"/>
          <w:lang w:val="sk-SK" w:eastAsia="en-GB"/>
        </w:rPr>
        <w:t> %</w:t>
      </w:r>
      <w:r w:rsidRPr="003D4D81">
        <w:rPr>
          <w:sz w:val="22"/>
          <w:szCs w:val="22"/>
          <w:lang w:val="sk-SK" w:eastAsia="en-GB"/>
        </w:rPr>
        <w:t xml:space="preserve"> IS [0,72; 0,96], p</w:t>
      </w:r>
      <w:r w:rsidR="00C230A9" w:rsidRPr="003D4D81">
        <w:rPr>
          <w:sz w:val="22"/>
          <w:szCs w:val="22"/>
          <w:lang w:val="sk-SK" w:eastAsia="en-GB"/>
        </w:rPr>
        <w:t> = </w:t>
      </w:r>
      <w:r w:rsidRPr="003D4D81">
        <w:rPr>
          <w:sz w:val="22"/>
          <w:szCs w:val="22"/>
          <w:lang w:val="sk-SK" w:eastAsia="en-GB"/>
        </w:rPr>
        <w:t>0,0109) a KV mortality (</w:t>
      </w:r>
      <w:r w:rsidR="00B93236" w:rsidRPr="003D4D81">
        <w:rPr>
          <w:sz w:val="22"/>
          <w:szCs w:val="22"/>
          <w:lang w:val="sk-SK" w:eastAsia="en-GB"/>
        </w:rPr>
        <w:t>HR</w:t>
      </w:r>
      <w:r w:rsidRPr="003D4D81">
        <w:rPr>
          <w:sz w:val="22"/>
          <w:szCs w:val="22"/>
          <w:lang w:val="sk-SK" w:eastAsia="en-GB"/>
        </w:rPr>
        <w:t>: 0,83, 95</w:t>
      </w:r>
      <w:r w:rsidR="00C230A9" w:rsidRPr="003D4D81">
        <w:rPr>
          <w:sz w:val="22"/>
          <w:szCs w:val="22"/>
          <w:lang w:val="sk-SK" w:eastAsia="en-GB"/>
        </w:rPr>
        <w:t> %</w:t>
      </w:r>
      <w:r w:rsidRPr="003D4D81">
        <w:rPr>
          <w:sz w:val="22"/>
          <w:szCs w:val="22"/>
          <w:lang w:val="sk-SK" w:eastAsia="en-GB"/>
        </w:rPr>
        <w:t xml:space="preserve"> IS [0,71; 0,97], p</w:t>
      </w:r>
      <w:r w:rsidR="00C230A9" w:rsidRPr="003D4D81">
        <w:rPr>
          <w:sz w:val="22"/>
          <w:szCs w:val="22"/>
          <w:lang w:val="sk-SK" w:eastAsia="en-GB"/>
        </w:rPr>
        <w:t> = </w:t>
      </w:r>
      <w:r w:rsidRPr="003D4D81">
        <w:rPr>
          <w:sz w:val="22"/>
          <w:szCs w:val="22"/>
          <w:lang w:val="sk-SK" w:eastAsia="en-GB"/>
        </w:rPr>
        <w:t>0,0166). V tejto podskupine pacientov je bezpečnostný profil ivabradínu v súlade s profilom v celkovej populácii.</w:t>
      </w:r>
    </w:p>
    <w:p w:rsidR="00515E0D" w:rsidRPr="003D4D81" w:rsidRDefault="00515E0D" w:rsidP="00572196">
      <w:pPr>
        <w:spacing w:after="0"/>
        <w:jc w:val="left"/>
        <w:rPr>
          <w:sz w:val="22"/>
          <w:szCs w:val="22"/>
          <w:lang w:val="sk-SK"/>
        </w:rPr>
      </w:pPr>
    </w:p>
    <w:p w:rsidR="008C320F" w:rsidRPr="003D4D81" w:rsidRDefault="008C320F" w:rsidP="00233781">
      <w:pPr>
        <w:autoSpaceDE w:val="0"/>
        <w:autoSpaceDN w:val="0"/>
        <w:adjustRightInd w:val="0"/>
        <w:spacing w:after="0"/>
        <w:jc w:val="left"/>
        <w:rPr>
          <w:sz w:val="22"/>
          <w:szCs w:val="22"/>
          <w:lang w:val="sk-SK"/>
        </w:rPr>
      </w:pPr>
      <w:r w:rsidRPr="003D4D81">
        <w:rPr>
          <w:sz w:val="22"/>
          <w:szCs w:val="22"/>
          <w:lang w:val="sk-SK" w:eastAsia="en-GB"/>
        </w:rPr>
        <w:t xml:space="preserve">Signifikantný účinok sa pozoroval v primárnom zloženom </w:t>
      </w:r>
      <w:r w:rsidR="00577B3D" w:rsidRPr="006411FF">
        <w:rPr>
          <w:rFonts w:eastAsia="Times New Roman"/>
          <w:sz w:val="22"/>
          <w:szCs w:val="22"/>
          <w:lang w:val="sk-SK"/>
        </w:rPr>
        <w:t>ukazovateli</w:t>
      </w:r>
      <w:r w:rsidRPr="003D4D81">
        <w:rPr>
          <w:sz w:val="22"/>
          <w:szCs w:val="22"/>
          <w:lang w:val="sk-SK" w:eastAsia="en-GB"/>
        </w:rPr>
        <w:t xml:space="preserve"> v celkovej skupine pacientov užívajúcich betablokátory (</w:t>
      </w:r>
      <w:r w:rsidR="00B93236" w:rsidRPr="003D4D81">
        <w:rPr>
          <w:sz w:val="22"/>
          <w:szCs w:val="22"/>
          <w:lang w:val="sk-SK" w:eastAsia="en-GB"/>
        </w:rPr>
        <w:t>HR</w:t>
      </w:r>
      <w:r w:rsidRPr="003D4D81">
        <w:rPr>
          <w:sz w:val="22"/>
          <w:szCs w:val="22"/>
          <w:lang w:val="sk-SK" w:eastAsia="en-GB"/>
        </w:rPr>
        <w:t>: 0,85, 95</w:t>
      </w:r>
      <w:r w:rsidR="00C230A9" w:rsidRPr="003D4D81">
        <w:rPr>
          <w:sz w:val="22"/>
          <w:szCs w:val="22"/>
          <w:lang w:val="sk-SK" w:eastAsia="en-GB"/>
        </w:rPr>
        <w:t> %</w:t>
      </w:r>
      <w:r w:rsidRPr="003D4D81">
        <w:rPr>
          <w:sz w:val="22"/>
          <w:szCs w:val="22"/>
          <w:lang w:val="sk-SK" w:eastAsia="en-GB"/>
        </w:rPr>
        <w:t xml:space="preserve"> IS [0,76; 0,94]). V podskupine pacientov so srdcovou frekvenciou </w:t>
      </w:r>
      <w:r w:rsidR="00C230A9" w:rsidRPr="003D4D81">
        <w:rPr>
          <w:sz w:val="22"/>
          <w:szCs w:val="22"/>
          <w:lang w:val="sk-SK" w:eastAsia="en-GB"/>
        </w:rPr>
        <w:t>≥ </w:t>
      </w:r>
      <w:r w:rsidRPr="003D4D81">
        <w:rPr>
          <w:sz w:val="22"/>
          <w:szCs w:val="22"/>
          <w:lang w:val="sk-SK" w:eastAsia="en-GB"/>
        </w:rPr>
        <w:t>75</w:t>
      </w:r>
      <w:r w:rsidR="00C230A9" w:rsidRPr="003D4D81">
        <w:rPr>
          <w:sz w:val="22"/>
          <w:szCs w:val="22"/>
          <w:lang w:val="sk-SK" w:eastAsia="en-GB"/>
        </w:rPr>
        <w:t> úderov</w:t>
      </w:r>
      <w:r w:rsidR="00465010" w:rsidRPr="003D4D81">
        <w:rPr>
          <w:sz w:val="22"/>
          <w:szCs w:val="22"/>
          <w:lang w:val="sk-SK" w:eastAsia="en-GB"/>
        </w:rPr>
        <w:t xml:space="preserve">/min </w:t>
      </w:r>
      <w:r w:rsidRPr="003D4D81">
        <w:rPr>
          <w:sz w:val="22"/>
          <w:szCs w:val="22"/>
          <w:lang w:val="sk-SK" w:eastAsia="en-GB"/>
        </w:rPr>
        <w:t xml:space="preserve">a liečených odporúčanou cieľovou dávkou betablokátora sa nepozoroval štatisticky signifikantný prínos v primárnom zloženom </w:t>
      </w:r>
      <w:r w:rsidR="00577B3D" w:rsidRPr="006411FF">
        <w:rPr>
          <w:rFonts w:eastAsia="Times New Roman"/>
          <w:sz w:val="22"/>
          <w:szCs w:val="22"/>
          <w:lang w:val="sk-SK"/>
        </w:rPr>
        <w:t>ukazovateli</w:t>
      </w:r>
      <w:r w:rsidRPr="003D4D81">
        <w:rPr>
          <w:sz w:val="22"/>
          <w:szCs w:val="22"/>
          <w:lang w:val="sk-SK" w:eastAsia="en-GB"/>
        </w:rPr>
        <w:t xml:space="preserve"> (</w:t>
      </w:r>
      <w:r w:rsidR="00B93236" w:rsidRPr="003D4D81">
        <w:rPr>
          <w:sz w:val="22"/>
          <w:szCs w:val="22"/>
          <w:lang w:val="sk-SK" w:eastAsia="en-GB"/>
        </w:rPr>
        <w:t>HR</w:t>
      </w:r>
      <w:r w:rsidRPr="003D4D81">
        <w:rPr>
          <w:sz w:val="22"/>
          <w:szCs w:val="22"/>
          <w:lang w:val="sk-SK" w:eastAsia="en-GB"/>
        </w:rPr>
        <w:t>: 0,97, 95</w:t>
      </w:r>
      <w:r w:rsidR="00C230A9" w:rsidRPr="003D4D81">
        <w:rPr>
          <w:sz w:val="22"/>
          <w:szCs w:val="22"/>
          <w:lang w:val="sk-SK" w:eastAsia="en-GB"/>
        </w:rPr>
        <w:t> %</w:t>
      </w:r>
      <w:r w:rsidRPr="003D4D81">
        <w:rPr>
          <w:sz w:val="22"/>
          <w:szCs w:val="22"/>
          <w:lang w:val="sk-SK" w:eastAsia="en-GB"/>
        </w:rPr>
        <w:t xml:space="preserve"> IS [0,74; 1,28]) a v iných sekundárnych </w:t>
      </w:r>
      <w:r w:rsidR="00577B3D" w:rsidRPr="006411FF">
        <w:rPr>
          <w:rFonts w:eastAsia="Times New Roman"/>
          <w:sz w:val="22"/>
          <w:szCs w:val="22"/>
          <w:lang w:val="sk-SK"/>
        </w:rPr>
        <w:t>ukazovateľoch</w:t>
      </w:r>
      <w:r w:rsidRPr="003D4D81">
        <w:rPr>
          <w:sz w:val="22"/>
          <w:szCs w:val="22"/>
          <w:lang w:val="sk-SK" w:eastAsia="en-GB"/>
        </w:rPr>
        <w:t>, vrátane hospitalizácie z dôvodu zhoršenia srdcového</w:t>
      </w:r>
      <w:r w:rsidR="00233781" w:rsidRPr="003D4D81">
        <w:rPr>
          <w:sz w:val="22"/>
          <w:szCs w:val="22"/>
          <w:lang w:val="sk-SK" w:eastAsia="en-GB"/>
        </w:rPr>
        <w:t xml:space="preserve"> </w:t>
      </w:r>
      <w:r w:rsidRPr="003D4D81">
        <w:rPr>
          <w:sz w:val="22"/>
          <w:szCs w:val="22"/>
          <w:lang w:val="sk-SK" w:eastAsia="en-GB"/>
        </w:rPr>
        <w:t>zlyhania (</w:t>
      </w:r>
      <w:r w:rsidR="00B93236" w:rsidRPr="003D4D81">
        <w:rPr>
          <w:sz w:val="22"/>
          <w:szCs w:val="22"/>
          <w:lang w:val="sk-SK" w:eastAsia="en-GB"/>
        </w:rPr>
        <w:t>HR</w:t>
      </w:r>
      <w:r w:rsidRPr="003D4D81">
        <w:rPr>
          <w:sz w:val="22"/>
          <w:szCs w:val="22"/>
          <w:lang w:val="sk-SK" w:eastAsia="en-GB"/>
        </w:rPr>
        <w:t>: 0,79, 95</w:t>
      </w:r>
      <w:r w:rsidR="00C230A9" w:rsidRPr="003D4D81">
        <w:rPr>
          <w:sz w:val="22"/>
          <w:szCs w:val="22"/>
          <w:lang w:val="sk-SK" w:eastAsia="en-GB"/>
        </w:rPr>
        <w:t> %</w:t>
      </w:r>
      <w:r w:rsidRPr="003D4D81">
        <w:rPr>
          <w:sz w:val="22"/>
          <w:szCs w:val="22"/>
          <w:lang w:val="sk-SK" w:eastAsia="en-GB"/>
        </w:rPr>
        <w:t xml:space="preserve"> IS [0,56; 1,10]) alebo úmrtia kvôli srdcovému zlyhaniu (</w:t>
      </w:r>
      <w:r w:rsidR="00B93236" w:rsidRPr="003D4D81">
        <w:rPr>
          <w:sz w:val="22"/>
          <w:szCs w:val="22"/>
          <w:lang w:val="sk-SK" w:eastAsia="en-GB"/>
        </w:rPr>
        <w:t>HR</w:t>
      </w:r>
      <w:r w:rsidRPr="003D4D81">
        <w:rPr>
          <w:sz w:val="22"/>
          <w:szCs w:val="22"/>
          <w:lang w:val="sk-SK" w:eastAsia="en-GB"/>
        </w:rPr>
        <w:t>: 0,69, 95</w:t>
      </w:r>
      <w:r w:rsidR="00C230A9" w:rsidRPr="003D4D81">
        <w:rPr>
          <w:sz w:val="22"/>
          <w:szCs w:val="22"/>
          <w:lang w:val="sk-SK" w:eastAsia="en-GB"/>
        </w:rPr>
        <w:t> %</w:t>
      </w:r>
      <w:r w:rsidRPr="003D4D81">
        <w:rPr>
          <w:sz w:val="22"/>
          <w:szCs w:val="22"/>
          <w:lang w:val="sk-SK" w:eastAsia="en-GB"/>
        </w:rPr>
        <w:t xml:space="preserve"> IS [0,31; 1,53]).</w:t>
      </w:r>
    </w:p>
    <w:p w:rsidR="00515E0D" w:rsidRPr="003D4D81" w:rsidRDefault="00515E0D" w:rsidP="00572196">
      <w:pPr>
        <w:spacing w:after="0"/>
        <w:jc w:val="left"/>
        <w:rPr>
          <w:sz w:val="22"/>
          <w:szCs w:val="22"/>
          <w:lang w:val="sk-SK"/>
        </w:rPr>
      </w:pPr>
    </w:p>
    <w:p w:rsidR="00345820" w:rsidRPr="003D4D81" w:rsidRDefault="00345820" w:rsidP="00345820">
      <w:pPr>
        <w:autoSpaceDE w:val="0"/>
        <w:autoSpaceDN w:val="0"/>
        <w:adjustRightInd w:val="0"/>
        <w:spacing w:after="0"/>
        <w:jc w:val="left"/>
        <w:rPr>
          <w:sz w:val="22"/>
          <w:szCs w:val="22"/>
          <w:lang w:val="sk-SK"/>
        </w:rPr>
      </w:pPr>
      <w:r w:rsidRPr="003D4D81">
        <w:rPr>
          <w:sz w:val="22"/>
          <w:szCs w:val="22"/>
          <w:lang w:val="sk-SK" w:eastAsia="en-GB"/>
        </w:rPr>
        <w:t>Pri poslednej zaznamenanej hodnote došlo k signifikantnému zlepšeniu v NYHA triede, u 887 (28</w:t>
      </w:r>
      <w:r w:rsidR="00C230A9" w:rsidRPr="003D4D81">
        <w:rPr>
          <w:sz w:val="22"/>
          <w:szCs w:val="22"/>
          <w:lang w:val="sk-SK" w:eastAsia="en-GB"/>
        </w:rPr>
        <w:t> %</w:t>
      </w:r>
      <w:r w:rsidRPr="003D4D81">
        <w:rPr>
          <w:sz w:val="22"/>
          <w:szCs w:val="22"/>
          <w:lang w:val="sk-SK" w:eastAsia="en-GB"/>
        </w:rPr>
        <w:t>) pacientov liečených ivabradínom došlo k zlepšeniu v porovnaní so 776 (24</w:t>
      </w:r>
      <w:r w:rsidR="00C230A9" w:rsidRPr="003D4D81">
        <w:rPr>
          <w:sz w:val="22"/>
          <w:szCs w:val="22"/>
          <w:lang w:val="sk-SK" w:eastAsia="en-GB"/>
        </w:rPr>
        <w:t> %</w:t>
      </w:r>
      <w:r w:rsidRPr="003D4D81">
        <w:rPr>
          <w:sz w:val="22"/>
          <w:szCs w:val="22"/>
          <w:lang w:val="sk-SK" w:eastAsia="en-GB"/>
        </w:rPr>
        <w:t>) pacientmi dostávajúcimi placebo (p</w:t>
      </w:r>
      <w:r w:rsidR="00C230A9" w:rsidRPr="003D4D81">
        <w:rPr>
          <w:sz w:val="22"/>
          <w:szCs w:val="22"/>
          <w:lang w:val="sk-SK" w:eastAsia="en-GB"/>
        </w:rPr>
        <w:t> = </w:t>
      </w:r>
      <w:r w:rsidRPr="003D4D81">
        <w:rPr>
          <w:sz w:val="22"/>
          <w:szCs w:val="22"/>
          <w:lang w:val="sk-SK" w:eastAsia="en-GB"/>
        </w:rPr>
        <w:t>0,001).</w:t>
      </w:r>
    </w:p>
    <w:p w:rsidR="008F44C0" w:rsidRPr="003D4D81" w:rsidRDefault="008F44C0" w:rsidP="00572196">
      <w:pPr>
        <w:spacing w:after="0"/>
        <w:jc w:val="left"/>
        <w:rPr>
          <w:sz w:val="22"/>
          <w:szCs w:val="22"/>
          <w:lang w:val="sk-SK"/>
        </w:rPr>
      </w:pPr>
    </w:p>
    <w:p w:rsidR="00116851" w:rsidRPr="003D4D81" w:rsidRDefault="00410141" w:rsidP="00410141">
      <w:pPr>
        <w:autoSpaceDE w:val="0"/>
        <w:autoSpaceDN w:val="0"/>
        <w:adjustRightInd w:val="0"/>
        <w:spacing w:after="0"/>
        <w:jc w:val="left"/>
        <w:rPr>
          <w:sz w:val="22"/>
          <w:szCs w:val="22"/>
          <w:lang w:val="sk-SK" w:eastAsia="en-GB"/>
        </w:rPr>
      </w:pPr>
      <w:r w:rsidRPr="003D4D81">
        <w:rPr>
          <w:sz w:val="22"/>
          <w:szCs w:val="22"/>
          <w:lang w:val="sk-SK" w:eastAsia="en-GB"/>
        </w:rPr>
        <w:t xml:space="preserve">V randomizovanej placebom kontrolovanej štúdii u 97 pacientov liečených ivabradínom na chronickú stabilnú </w:t>
      </w:r>
      <w:r w:rsidR="00C230A9" w:rsidRPr="003D4D81">
        <w:rPr>
          <w:sz w:val="22"/>
          <w:szCs w:val="22"/>
          <w:lang w:val="sk-SK" w:eastAsia="en-GB"/>
        </w:rPr>
        <w:t>angín</w:t>
      </w:r>
      <w:r w:rsidRPr="003D4D81">
        <w:rPr>
          <w:sz w:val="22"/>
          <w:szCs w:val="22"/>
          <w:lang w:val="sk-SK" w:eastAsia="en-GB"/>
        </w:rPr>
        <w:t>u pectoris viac ako 3 roky nepreukázali údaje zozbierané počas špecifických oftalmologických vyšetrení s cieľom zdokumentovať funkciu sústav čapíkov a tyčiniek sietnice a vzostupnú zrakovú dráhu (t. j. elektroretinogram, statické a kinetické zrakové pole, farebné videnie, ostrosť videnia) žiadnu toxicitu na sietnicu.</w:t>
      </w:r>
    </w:p>
    <w:p w:rsidR="00410141" w:rsidRPr="003D4D81" w:rsidRDefault="00410141" w:rsidP="00410141">
      <w:pPr>
        <w:spacing w:after="0"/>
        <w:jc w:val="left"/>
        <w:rPr>
          <w:sz w:val="22"/>
          <w:szCs w:val="22"/>
          <w:lang w:val="sk-SK"/>
        </w:rPr>
      </w:pPr>
    </w:p>
    <w:p w:rsidR="00410141" w:rsidRPr="003D4D81" w:rsidRDefault="00410141" w:rsidP="007212EF">
      <w:pPr>
        <w:pStyle w:val="Zkladntext"/>
        <w:spacing w:before="56" w:line="245" w:lineRule="auto"/>
        <w:ind w:left="0" w:right="250"/>
        <w:rPr>
          <w:rFonts w:eastAsia="MS Mincho"/>
          <w:u w:val="single"/>
          <w:lang w:val="sk-SK" w:eastAsia="fr-FR"/>
        </w:rPr>
      </w:pPr>
      <w:r w:rsidRPr="003D4D81">
        <w:rPr>
          <w:rFonts w:eastAsia="MS Mincho"/>
          <w:u w:val="single"/>
          <w:lang w:val="sk-SK" w:eastAsia="fr-FR"/>
        </w:rPr>
        <w:t xml:space="preserve">Pediatrická populácia </w:t>
      </w:r>
    </w:p>
    <w:p w:rsidR="00B464A1" w:rsidRPr="003D4D81" w:rsidRDefault="00410141" w:rsidP="00410141">
      <w:pPr>
        <w:autoSpaceDE w:val="0"/>
        <w:autoSpaceDN w:val="0"/>
        <w:adjustRightInd w:val="0"/>
        <w:spacing w:after="0"/>
        <w:jc w:val="left"/>
        <w:rPr>
          <w:sz w:val="22"/>
          <w:szCs w:val="22"/>
          <w:lang w:val="sk-SK"/>
        </w:rPr>
      </w:pPr>
      <w:r w:rsidRPr="003D4D81">
        <w:rPr>
          <w:sz w:val="22"/>
          <w:szCs w:val="22"/>
          <w:lang w:val="sk-SK" w:eastAsia="en-GB"/>
        </w:rPr>
        <w:t>Randomizovaná, dvojito zaslepená, placebom kontrolovaná štúdia bola vykonaná u 116 pediatrických pacientov (17 vo veku [6 až 12</w:t>
      </w:r>
      <w:r w:rsidRPr="003D4D81">
        <w:rPr>
          <w:sz w:val="22"/>
          <w:szCs w:val="22"/>
          <w:lang w:val="sk-SK"/>
        </w:rPr>
        <w:t>]</w:t>
      </w:r>
      <w:r w:rsidRPr="003D4D81">
        <w:rPr>
          <w:sz w:val="22"/>
          <w:szCs w:val="22"/>
          <w:lang w:val="sk-SK" w:eastAsia="en-GB"/>
        </w:rPr>
        <w:t xml:space="preserve"> mesiacov, 36 vo veku [1 až 3</w:t>
      </w:r>
      <w:r w:rsidRPr="003D4D81">
        <w:rPr>
          <w:sz w:val="22"/>
          <w:szCs w:val="22"/>
          <w:lang w:val="sk-SK"/>
        </w:rPr>
        <w:t>]</w:t>
      </w:r>
      <w:r w:rsidRPr="003D4D81">
        <w:rPr>
          <w:sz w:val="22"/>
          <w:szCs w:val="22"/>
          <w:lang w:val="sk-SK" w:eastAsia="en-GB"/>
        </w:rPr>
        <w:t xml:space="preserve"> rokov a 63 vo veku [3 až 18</w:t>
      </w:r>
      <w:r w:rsidRPr="003D4D81">
        <w:rPr>
          <w:sz w:val="22"/>
          <w:szCs w:val="22"/>
          <w:lang w:val="sk-SK"/>
        </w:rPr>
        <w:t>]</w:t>
      </w:r>
      <w:r w:rsidRPr="003D4D81">
        <w:rPr>
          <w:sz w:val="22"/>
          <w:szCs w:val="22"/>
          <w:lang w:val="sk-SK" w:eastAsia="en-GB"/>
        </w:rPr>
        <w:t xml:space="preserve"> rokov) s chronickým srdcovým zlyhaním a dilatačnou kardiomyopatiou (DCM) pridaním sledovanej liečby k optimálnej štandardnej terapii. 74 dostávalo ivabradín (pomer 2:1). Úvodná dávka bola 0,02</w:t>
      </w:r>
      <w:r w:rsidR="00C230A9" w:rsidRPr="003D4D81">
        <w:rPr>
          <w:sz w:val="22"/>
          <w:szCs w:val="22"/>
          <w:lang w:val="sk-SK" w:eastAsia="en-GB"/>
        </w:rPr>
        <w:t> mg</w:t>
      </w:r>
      <w:r w:rsidRPr="003D4D81">
        <w:rPr>
          <w:sz w:val="22"/>
          <w:szCs w:val="22"/>
          <w:lang w:val="sk-SK" w:eastAsia="en-GB"/>
        </w:rPr>
        <w:t>/kg dvakrát denne vo vekovej podskupine [6 až 12</w:t>
      </w:r>
      <w:r w:rsidRPr="003D4D81">
        <w:rPr>
          <w:sz w:val="22"/>
          <w:szCs w:val="22"/>
          <w:lang w:val="sk-SK"/>
        </w:rPr>
        <w:t>]</w:t>
      </w:r>
      <w:r w:rsidRPr="003D4D81">
        <w:rPr>
          <w:sz w:val="22"/>
          <w:szCs w:val="22"/>
          <w:lang w:val="sk-SK" w:eastAsia="en-GB"/>
        </w:rPr>
        <w:t xml:space="preserve"> mesiacov; 0,05</w:t>
      </w:r>
      <w:r w:rsidR="00C230A9" w:rsidRPr="003D4D81">
        <w:rPr>
          <w:sz w:val="22"/>
          <w:szCs w:val="22"/>
          <w:lang w:val="sk-SK" w:eastAsia="en-GB"/>
        </w:rPr>
        <w:t> mg</w:t>
      </w:r>
      <w:r w:rsidRPr="003D4D81">
        <w:rPr>
          <w:sz w:val="22"/>
          <w:szCs w:val="22"/>
          <w:lang w:val="sk-SK" w:eastAsia="en-GB"/>
        </w:rPr>
        <w:t>/kg dvakrát denne u [1 až 3</w:t>
      </w:r>
      <w:r w:rsidRPr="003D4D81">
        <w:rPr>
          <w:sz w:val="22"/>
          <w:szCs w:val="22"/>
          <w:lang w:val="sk-SK"/>
        </w:rPr>
        <w:t>]</w:t>
      </w:r>
      <w:r w:rsidRPr="003D4D81">
        <w:rPr>
          <w:sz w:val="22"/>
          <w:szCs w:val="22"/>
          <w:lang w:val="sk-SK" w:eastAsia="en-GB"/>
        </w:rPr>
        <w:t xml:space="preserve"> ročných a [3 až 18</w:t>
      </w:r>
      <w:r w:rsidRPr="003D4D81">
        <w:rPr>
          <w:sz w:val="22"/>
          <w:szCs w:val="22"/>
          <w:lang w:val="sk-SK"/>
        </w:rPr>
        <w:t>]</w:t>
      </w:r>
      <w:r w:rsidRPr="003D4D81">
        <w:rPr>
          <w:sz w:val="22"/>
          <w:szCs w:val="22"/>
          <w:lang w:val="sk-SK" w:eastAsia="en-GB"/>
        </w:rPr>
        <w:t xml:space="preserve"> ročných ˂ 40 kg; a 2,5</w:t>
      </w:r>
      <w:r w:rsidR="00C230A9" w:rsidRPr="003D4D81">
        <w:rPr>
          <w:sz w:val="22"/>
          <w:szCs w:val="22"/>
          <w:lang w:val="sk-SK" w:eastAsia="en-GB"/>
        </w:rPr>
        <w:t> mg</w:t>
      </w:r>
      <w:r w:rsidRPr="003D4D81">
        <w:rPr>
          <w:sz w:val="22"/>
          <w:szCs w:val="22"/>
          <w:lang w:val="sk-SK" w:eastAsia="en-GB"/>
        </w:rPr>
        <w:t xml:space="preserve"> dvakrát denne u [3 až 18</w:t>
      </w:r>
      <w:r w:rsidRPr="003D4D81">
        <w:rPr>
          <w:sz w:val="22"/>
          <w:szCs w:val="22"/>
          <w:lang w:val="sk-SK"/>
        </w:rPr>
        <w:t>]</w:t>
      </w:r>
      <w:r w:rsidRPr="003D4D81">
        <w:rPr>
          <w:sz w:val="22"/>
          <w:szCs w:val="22"/>
          <w:lang w:val="sk-SK" w:eastAsia="en-GB"/>
        </w:rPr>
        <w:t xml:space="preserve"> ročných a </w:t>
      </w:r>
      <w:r w:rsidR="00C230A9" w:rsidRPr="003D4D81">
        <w:rPr>
          <w:sz w:val="22"/>
          <w:szCs w:val="22"/>
          <w:lang w:val="sk-SK" w:eastAsia="en-GB"/>
        </w:rPr>
        <w:t>≥ </w:t>
      </w:r>
      <w:r w:rsidRPr="003D4D81">
        <w:rPr>
          <w:sz w:val="22"/>
          <w:szCs w:val="22"/>
          <w:lang w:val="sk-SK" w:eastAsia="en-GB"/>
        </w:rPr>
        <w:t>40 kg. Dávka bola jednotlivo prispôsobená v závislosti na terapeutickej odpovedi s maximálnymi dávkami 0,2</w:t>
      </w:r>
      <w:r w:rsidR="00C230A9" w:rsidRPr="003D4D81">
        <w:rPr>
          <w:sz w:val="22"/>
          <w:szCs w:val="22"/>
          <w:lang w:val="sk-SK" w:eastAsia="en-GB"/>
        </w:rPr>
        <w:t> mg</w:t>
      </w:r>
      <w:r w:rsidRPr="003D4D81">
        <w:rPr>
          <w:sz w:val="22"/>
          <w:szCs w:val="22"/>
          <w:lang w:val="sk-SK" w:eastAsia="en-GB"/>
        </w:rPr>
        <w:t>/kg dvakrát denne; 0,3</w:t>
      </w:r>
      <w:r w:rsidR="00C230A9" w:rsidRPr="003D4D81">
        <w:rPr>
          <w:sz w:val="22"/>
          <w:szCs w:val="22"/>
          <w:lang w:val="sk-SK" w:eastAsia="en-GB"/>
        </w:rPr>
        <w:t> mg</w:t>
      </w:r>
      <w:r w:rsidRPr="003D4D81">
        <w:rPr>
          <w:sz w:val="22"/>
          <w:szCs w:val="22"/>
          <w:lang w:val="sk-SK" w:eastAsia="en-GB"/>
        </w:rPr>
        <w:t>/kg dvakrát denne a 15</w:t>
      </w:r>
      <w:r w:rsidR="00C230A9" w:rsidRPr="003D4D81">
        <w:rPr>
          <w:sz w:val="22"/>
          <w:szCs w:val="22"/>
          <w:lang w:val="sk-SK" w:eastAsia="en-GB"/>
        </w:rPr>
        <w:t> mg</w:t>
      </w:r>
      <w:r w:rsidRPr="003D4D81">
        <w:rPr>
          <w:sz w:val="22"/>
          <w:szCs w:val="22"/>
          <w:lang w:val="sk-SK" w:eastAsia="en-GB"/>
        </w:rPr>
        <w:t xml:space="preserve"> dvakrát denne</w:t>
      </w:r>
      <w:r w:rsidR="00577B3D" w:rsidRPr="003D4D81">
        <w:rPr>
          <w:sz w:val="22"/>
          <w:szCs w:val="22"/>
          <w:lang w:val="sk-SK" w:eastAsia="en-GB"/>
        </w:rPr>
        <w:t>, v uvedenom poradí</w:t>
      </w:r>
      <w:r w:rsidRPr="003D4D81">
        <w:rPr>
          <w:sz w:val="22"/>
          <w:szCs w:val="22"/>
          <w:lang w:val="sk-SK" w:eastAsia="en-GB"/>
        </w:rPr>
        <w:t xml:space="preserve">. V tejto štúdii bol ivabradín </w:t>
      </w:r>
      <w:r w:rsidRPr="003D4D81">
        <w:rPr>
          <w:sz w:val="22"/>
          <w:szCs w:val="22"/>
          <w:lang w:val="sk-SK" w:eastAsia="en-GB"/>
        </w:rPr>
        <w:lastRenderedPageBreak/>
        <w:t>podávaný vo forme perorálnej tekutiny alebo tablety dvakrát denne. Neprítomnosť farmakokinetického rozdielu medzi dvomi formami sa ukázala v otvorenej randomizovanej dvojito skríženej štúdii u 24 dospelých zdravých dobrovoľníkov.</w:t>
      </w:r>
    </w:p>
    <w:p w:rsidR="00B464A1" w:rsidRPr="003D4D81" w:rsidRDefault="00024394" w:rsidP="00024394">
      <w:pPr>
        <w:autoSpaceDE w:val="0"/>
        <w:autoSpaceDN w:val="0"/>
        <w:adjustRightInd w:val="0"/>
        <w:spacing w:after="0"/>
        <w:jc w:val="left"/>
        <w:rPr>
          <w:sz w:val="22"/>
          <w:szCs w:val="22"/>
          <w:lang w:val="sk-SK" w:eastAsia="en-GB"/>
        </w:rPr>
      </w:pPr>
      <w:r w:rsidRPr="003D4D81">
        <w:rPr>
          <w:sz w:val="22"/>
          <w:szCs w:val="22"/>
          <w:lang w:val="sk-SK" w:eastAsia="en-GB"/>
        </w:rPr>
        <w:t>20</w:t>
      </w:r>
      <w:r w:rsidR="00C230A9" w:rsidRPr="003D4D81">
        <w:rPr>
          <w:sz w:val="22"/>
          <w:szCs w:val="22"/>
          <w:lang w:val="sk-SK" w:eastAsia="en-GB"/>
        </w:rPr>
        <w:t> %</w:t>
      </w:r>
      <w:r w:rsidRPr="003D4D81">
        <w:rPr>
          <w:sz w:val="22"/>
          <w:szCs w:val="22"/>
          <w:lang w:val="sk-SK" w:eastAsia="en-GB"/>
        </w:rPr>
        <w:t xml:space="preserve"> zníženie srdcovej frekvencie, bez bradykardie, bolo dosiahnuté u 69,9</w:t>
      </w:r>
      <w:r w:rsidR="00C230A9" w:rsidRPr="003D4D81">
        <w:rPr>
          <w:sz w:val="22"/>
          <w:szCs w:val="22"/>
          <w:lang w:val="sk-SK" w:eastAsia="en-GB"/>
        </w:rPr>
        <w:t> %</w:t>
      </w:r>
      <w:r w:rsidRPr="003D4D81">
        <w:rPr>
          <w:sz w:val="22"/>
          <w:szCs w:val="22"/>
          <w:lang w:val="sk-SK" w:eastAsia="en-GB"/>
        </w:rPr>
        <w:t xml:space="preserve"> pacientov v skupine s ivabradínom v</w:t>
      </w:r>
      <w:r w:rsidR="00B93236" w:rsidRPr="003D4D81">
        <w:rPr>
          <w:sz w:val="22"/>
          <w:szCs w:val="22"/>
          <w:lang w:val="sk-SK" w:eastAsia="en-GB"/>
        </w:rPr>
        <w:t>s</w:t>
      </w:r>
      <w:r w:rsidRPr="003D4D81">
        <w:rPr>
          <w:sz w:val="22"/>
          <w:szCs w:val="22"/>
          <w:lang w:val="sk-SK" w:eastAsia="en-GB"/>
        </w:rPr>
        <w:t xml:space="preserve"> 12,2</w:t>
      </w:r>
      <w:r w:rsidR="00C230A9" w:rsidRPr="003D4D81">
        <w:rPr>
          <w:sz w:val="22"/>
          <w:szCs w:val="22"/>
          <w:lang w:val="sk-SK" w:eastAsia="en-GB"/>
        </w:rPr>
        <w:t> %</w:t>
      </w:r>
      <w:r w:rsidRPr="003D4D81">
        <w:rPr>
          <w:sz w:val="22"/>
          <w:szCs w:val="22"/>
          <w:lang w:val="sk-SK" w:eastAsia="en-GB"/>
        </w:rPr>
        <w:t xml:space="preserve"> v skupine s placebom počas doby titrácie 2 až 8 týždňov (pomer šancí: E=17,24; 95</w:t>
      </w:r>
      <w:r w:rsidR="00C230A9" w:rsidRPr="003D4D81">
        <w:rPr>
          <w:sz w:val="22"/>
          <w:szCs w:val="22"/>
          <w:lang w:val="sk-SK" w:eastAsia="en-GB"/>
        </w:rPr>
        <w:t> %</w:t>
      </w:r>
      <w:r w:rsidRPr="003D4D81">
        <w:rPr>
          <w:sz w:val="22"/>
          <w:szCs w:val="22"/>
          <w:lang w:val="sk-SK" w:eastAsia="en-GB"/>
        </w:rPr>
        <w:t xml:space="preserve"> IS [5,91 ; 50,30]).</w:t>
      </w:r>
    </w:p>
    <w:p w:rsidR="00024394" w:rsidRPr="003D4D81" w:rsidRDefault="00024394" w:rsidP="00024394">
      <w:pPr>
        <w:autoSpaceDE w:val="0"/>
        <w:autoSpaceDN w:val="0"/>
        <w:adjustRightInd w:val="0"/>
        <w:spacing w:after="0"/>
        <w:jc w:val="left"/>
        <w:rPr>
          <w:sz w:val="22"/>
          <w:szCs w:val="22"/>
          <w:lang w:val="sk-SK" w:eastAsia="en-GB"/>
        </w:rPr>
      </w:pPr>
      <w:r w:rsidRPr="003D4D81">
        <w:rPr>
          <w:sz w:val="22"/>
          <w:szCs w:val="22"/>
          <w:lang w:val="sk-SK" w:eastAsia="en-GB"/>
        </w:rPr>
        <w:t>Priemerné dávky ivabradínu umožňujúce dosiahnuť 20</w:t>
      </w:r>
      <w:r w:rsidR="00C230A9" w:rsidRPr="003D4D81">
        <w:rPr>
          <w:sz w:val="22"/>
          <w:szCs w:val="22"/>
          <w:lang w:val="sk-SK" w:eastAsia="en-GB"/>
        </w:rPr>
        <w:t> %</w:t>
      </w:r>
      <w:r w:rsidRPr="003D4D81">
        <w:rPr>
          <w:sz w:val="22"/>
          <w:szCs w:val="22"/>
          <w:lang w:val="sk-SK" w:eastAsia="en-GB"/>
        </w:rPr>
        <w:t xml:space="preserve"> zníženie srdcovej frekvencie boli 0,13 ± 0,04</w:t>
      </w:r>
      <w:r w:rsidR="00C230A9" w:rsidRPr="003D4D81">
        <w:rPr>
          <w:sz w:val="22"/>
          <w:szCs w:val="22"/>
          <w:lang w:val="sk-SK" w:eastAsia="en-GB"/>
        </w:rPr>
        <w:t> mg</w:t>
      </w:r>
      <w:r w:rsidRPr="003D4D81">
        <w:rPr>
          <w:sz w:val="22"/>
          <w:szCs w:val="22"/>
          <w:lang w:val="sk-SK" w:eastAsia="en-GB"/>
        </w:rPr>
        <w:t>/kg dvakrát denne; 0,10 ± 0,04</w:t>
      </w:r>
      <w:r w:rsidR="00C230A9" w:rsidRPr="003D4D81">
        <w:rPr>
          <w:sz w:val="22"/>
          <w:szCs w:val="22"/>
          <w:lang w:val="sk-SK" w:eastAsia="en-GB"/>
        </w:rPr>
        <w:t> mg</w:t>
      </w:r>
      <w:r w:rsidRPr="003D4D81">
        <w:rPr>
          <w:sz w:val="22"/>
          <w:szCs w:val="22"/>
          <w:lang w:val="sk-SK" w:eastAsia="en-GB"/>
        </w:rPr>
        <w:t>/kg dvakrát denne a 4,1 ± 2,2</w:t>
      </w:r>
      <w:r w:rsidR="00C230A9" w:rsidRPr="003D4D81">
        <w:rPr>
          <w:sz w:val="22"/>
          <w:szCs w:val="22"/>
          <w:lang w:val="sk-SK" w:eastAsia="en-GB"/>
        </w:rPr>
        <w:t> mg</w:t>
      </w:r>
      <w:r w:rsidRPr="003D4D81">
        <w:rPr>
          <w:sz w:val="22"/>
          <w:szCs w:val="22"/>
          <w:lang w:val="sk-SK" w:eastAsia="en-GB"/>
        </w:rPr>
        <w:t xml:space="preserve"> dvakrát denne vo vekových podskupinách [1 až 3</w:t>
      </w:r>
      <w:r w:rsidRPr="003D4D81">
        <w:rPr>
          <w:sz w:val="22"/>
          <w:szCs w:val="22"/>
          <w:lang w:val="sk-SK"/>
        </w:rPr>
        <w:t>]</w:t>
      </w:r>
      <w:r w:rsidRPr="003D4D81">
        <w:rPr>
          <w:sz w:val="22"/>
          <w:szCs w:val="22"/>
          <w:lang w:val="sk-SK" w:eastAsia="en-GB"/>
        </w:rPr>
        <w:t xml:space="preserve"> rokov, [3 až 18</w:t>
      </w:r>
      <w:r w:rsidRPr="003D4D81">
        <w:rPr>
          <w:sz w:val="22"/>
          <w:szCs w:val="22"/>
          <w:lang w:val="sk-SK"/>
        </w:rPr>
        <w:t>]</w:t>
      </w:r>
      <w:r w:rsidRPr="003D4D81">
        <w:rPr>
          <w:sz w:val="22"/>
          <w:szCs w:val="22"/>
          <w:lang w:val="sk-SK" w:eastAsia="en-GB"/>
        </w:rPr>
        <w:t xml:space="preserve"> rokov a ˂ 40 kg a [3 až 18</w:t>
      </w:r>
      <w:r w:rsidRPr="003D4D81">
        <w:rPr>
          <w:sz w:val="22"/>
          <w:szCs w:val="22"/>
          <w:lang w:val="sk-SK"/>
        </w:rPr>
        <w:t>]</w:t>
      </w:r>
      <w:r w:rsidRPr="003D4D81">
        <w:rPr>
          <w:sz w:val="22"/>
          <w:szCs w:val="22"/>
          <w:lang w:val="sk-SK" w:eastAsia="en-GB"/>
        </w:rPr>
        <w:t xml:space="preserve"> rokov a </w:t>
      </w:r>
      <w:r w:rsidR="00C230A9" w:rsidRPr="003D4D81">
        <w:rPr>
          <w:sz w:val="22"/>
          <w:szCs w:val="22"/>
          <w:lang w:val="sk-SK" w:eastAsia="en-GB"/>
        </w:rPr>
        <w:t>≥ </w:t>
      </w:r>
      <w:r w:rsidRPr="003D4D81">
        <w:rPr>
          <w:sz w:val="22"/>
          <w:szCs w:val="22"/>
          <w:lang w:val="sk-SK" w:eastAsia="en-GB"/>
        </w:rPr>
        <w:t>40 kg, v uvedenom poradí.</w:t>
      </w:r>
    </w:p>
    <w:p w:rsidR="00024394" w:rsidRPr="003D4D81" w:rsidRDefault="00024394" w:rsidP="00024394">
      <w:pPr>
        <w:autoSpaceDE w:val="0"/>
        <w:autoSpaceDN w:val="0"/>
        <w:adjustRightInd w:val="0"/>
        <w:spacing w:after="0"/>
        <w:jc w:val="left"/>
        <w:rPr>
          <w:sz w:val="22"/>
          <w:szCs w:val="22"/>
          <w:lang w:val="sk-SK" w:eastAsia="en-GB"/>
        </w:rPr>
      </w:pPr>
      <w:r w:rsidRPr="003D4D81">
        <w:rPr>
          <w:sz w:val="22"/>
          <w:szCs w:val="22"/>
          <w:lang w:val="sk-SK" w:eastAsia="en-GB"/>
        </w:rPr>
        <w:t>Priemerná EF ĽK sa zvýšila z 31,8</w:t>
      </w:r>
      <w:r w:rsidR="00C230A9" w:rsidRPr="003D4D81">
        <w:rPr>
          <w:sz w:val="22"/>
          <w:szCs w:val="22"/>
          <w:lang w:val="sk-SK" w:eastAsia="en-GB"/>
        </w:rPr>
        <w:t> %</w:t>
      </w:r>
      <w:r w:rsidRPr="003D4D81">
        <w:rPr>
          <w:sz w:val="22"/>
          <w:szCs w:val="22"/>
          <w:lang w:val="sk-SK" w:eastAsia="en-GB"/>
        </w:rPr>
        <w:t xml:space="preserve"> na 45,3</w:t>
      </w:r>
      <w:r w:rsidR="00C230A9" w:rsidRPr="003D4D81">
        <w:rPr>
          <w:sz w:val="22"/>
          <w:szCs w:val="22"/>
          <w:lang w:val="sk-SK" w:eastAsia="en-GB"/>
        </w:rPr>
        <w:t> %</w:t>
      </w:r>
      <w:r w:rsidRPr="003D4D81">
        <w:rPr>
          <w:sz w:val="22"/>
          <w:szCs w:val="22"/>
          <w:lang w:val="sk-SK" w:eastAsia="en-GB"/>
        </w:rPr>
        <w:t xml:space="preserve"> v M012 skupine s ivabradínom v</w:t>
      </w:r>
      <w:r w:rsidR="00B93236" w:rsidRPr="003D4D81">
        <w:rPr>
          <w:sz w:val="22"/>
          <w:szCs w:val="22"/>
          <w:lang w:val="sk-SK" w:eastAsia="en-GB"/>
        </w:rPr>
        <w:t>s</w:t>
      </w:r>
      <w:r w:rsidRPr="003D4D81">
        <w:rPr>
          <w:sz w:val="22"/>
          <w:szCs w:val="22"/>
          <w:lang w:val="sk-SK" w:eastAsia="en-GB"/>
        </w:rPr>
        <w:t xml:space="preserve"> z 35,4</w:t>
      </w:r>
      <w:r w:rsidR="00C230A9" w:rsidRPr="003D4D81">
        <w:rPr>
          <w:sz w:val="22"/>
          <w:szCs w:val="22"/>
          <w:lang w:val="sk-SK" w:eastAsia="en-GB"/>
        </w:rPr>
        <w:t> %</w:t>
      </w:r>
      <w:r w:rsidRPr="003D4D81">
        <w:rPr>
          <w:sz w:val="22"/>
          <w:szCs w:val="22"/>
          <w:lang w:val="sk-SK" w:eastAsia="en-GB"/>
        </w:rPr>
        <w:t xml:space="preserve"> na 42,3</w:t>
      </w:r>
      <w:r w:rsidR="00C230A9" w:rsidRPr="003D4D81">
        <w:rPr>
          <w:sz w:val="22"/>
          <w:szCs w:val="22"/>
          <w:lang w:val="sk-SK" w:eastAsia="en-GB"/>
        </w:rPr>
        <w:t> %</w:t>
      </w:r>
      <w:r w:rsidRPr="003D4D81">
        <w:rPr>
          <w:sz w:val="22"/>
          <w:szCs w:val="22"/>
          <w:lang w:val="sk-SK" w:eastAsia="en-GB"/>
        </w:rPr>
        <w:t xml:space="preserve"> v skupine s placebom. Zlepšenie v NYHA triede bolo u 37,7</w:t>
      </w:r>
      <w:r w:rsidR="00C230A9" w:rsidRPr="003D4D81">
        <w:rPr>
          <w:sz w:val="22"/>
          <w:szCs w:val="22"/>
          <w:lang w:val="sk-SK" w:eastAsia="en-GB"/>
        </w:rPr>
        <w:t> %</w:t>
      </w:r>
      <w:r w:rsidRPr="003D4D81">
        <w:rPr>
          <w:sz w:val="22"/>
          <w:szCs w:val="22"/>
          <w:lang w:val="sk-SK" w:eastAsia="en-GB"/>
        </w:rPr>
        <w:t xml:space="preserve"> pacientov v skupine s ivabradínom v</w:t>
      </w:r>
      <w:r w:rsidR="00B93236" w:rsidRPr="003D4D81">
        <w:rPr>
          <w:sz w:val="22"/>
          <w:szCs w:val="22"/>
          <w:lang w:val="sk-SK" w:eastAsia="en-GB"/>
        </w:rPr>
        <w:t>s</w:t>
      </w:r>
      <w:r w:rsidRPr="003D4D81">
        <w:rPr>
          <w:sz w:val="22"/>
          <w:szCs w:val="22"/>
          <w:lang w:val="sk-SK" w:eastAsia="en-GB"/>
        </w:rPr>
        <w:t xml:space="preserve"> 25,0</w:t>
      </w:r>
      <w:r w:rsidR="00C230A9" w:rsidRPr="003D4D81">
        <w:rPr>
          <w:sz w:val="22"/>
          <w:szCs w:val="22"/>
          <w:lang w:val="sk-SK" w:eastAsia="en-GB"/>
        </w:rPr>
        <w:t> %</w:t>
      </w:r>
      <w:r w:rsidRPr="003D4D81">
        <w:rPr>
          <w:sz w:val="22"/>
          <w:szCs w:val="22"/>
          <w:lang w:val="sk-SK" w:eastAsia="en-GB"/>
        </w:rPr>
        <w:t xml:space="preserve"> v skupine s placebom. Tieto zlepšenia neboli štatisticky signifikantné.</w:t>
      </w:r>
    </w:p>
    <w:p w:rsidR="00024394" w:rsidRPr="003D4D81" w:rsidRDefault="00024394" w:rsidP="00024394">
      <w:pPr>
        <w:autoSpaceDE w:val="0"/>
        <w:autoSpaceDN w:val="0"/>
        <w:adjustRightInd w:val="0"/>
        <w:spacing w:after="0"/>
        <w:jc w:val="left"/>
        <w:rPr>
          <w:sz w:val="22"/>
          <w:szCs w:val="22"/>
          <w:lang w:val="sk-SK" w:eastAsia="en-GB"/>
        </w:rPr>
      </w:pPr>
      <w:r w:rsidRPr="003D4D81">
        <w:rPr>
          <w:sz w:val="22"/>
          <w:szCs w:val="22"/>
          <w:lang w:val="sk-SK" w:eastAsia="en-GB"/>
        </w:rPr>
        <w:t>Bezpečnostný profil, počas jedného roka, bol podobný tomu opísanému u dospelých pacientov s chronickým srdcovým zlyhaním.</w:t>
      </w:r>
    </w:p>
    <w:p w:rsidR="00B464A1" w:rsidRPr="003D4D81" w:rsidRDefault="00B464A1">
      <w:pPr>
        <w:spacing w:after="0"/>
        <w:jc w:val="left"/>
        <w:rPr>
          <w:sz w:val="22"/>
          <w:szCs w:val="22"/>
          <w:u w:val="single"/>
          <w:lang w:val="sk-SK"/>
        </w:rPr>
      </w:pPr>
    </w:p>
    <w:p w:rsidR="001132A3" w:rsidRPr="003D4D81" w:rsidRDefault="00024394" w:rsidP="00024394">
      <w:pPr>
        <w:autoSpaceDE w:val="0"/>
        <w:autoSpaceDN w:val="0"/>
        <w:adjustRightInd w:val="0"/>
        <w:spacing w:after="0"/>
        <w:jc w:val="left"/>
        <w:rPr>
          <w:sz w:val="22"/>
          <w:szCs w:val="22"/>
          <w:lang w:val="sk-SK" w:eastAsia="en-GB"/>
        </w:rPr>
      </w:pPr>
      <w:r w:rsidRPr="003D4D81">
        <w:rPr>
          <w:sz w:val="22"/>
          <w:szCs w:val="22"/>
          <w:lang w:val="sk-SK" w:eastAsia="en-GB"/>
        </w:rPr>
        <w:t>Dlhodobé účinky ivabradínu na rast, pubertu a celkový vývoj ako aj dlhodobá účinnosť terapie ivabradínom v detstve na zníženie kardiovaskulárnej morbidity a mortality neboli skúmané.</w:t>
      </w:r>
    </w:p>
    <w:p w:rsidR="00024394" w:rsidRPr="003D4D81" w:rsidRDefault="00024394" w:rsidP="00024394">
      <w:pPr>
        <w:spacing w:after="0"/>
        <w:jc w:val="left"/>
        <w:rPr>
          <w:sz w:val="22"/>
          <w:szCs w:val="22"/>
          <w:lang w:val="sk-SK"/>
        </w:rPr>
      </w:pPr>
    </w:p>
    <w:p w:rsidR="00024394" w:rsidRPr="003D4D81" w:rsidRDefault="00024394" w:rsidP="00024394">
      <w:pPr>
        <w:autoSpaceDE w:val="0"/>
        <w:autoSpaceDN w:val="0"/>
        <w:adjustRightInd w:val="0"/>
        <w:spacing w:after="0"/>
        <w:jc w:val="left"/>
        <w:rPr>
          <w:sz w:val="22"/>
          <w:szCs w:val="22"/>
          <w:lang w:val="sk-SK" w:eastAsia="en-GB"/>
        </w:rPr>
      </w:pPr>
      <w:r w:rsidRPr="003D4D81">
        <w:rPr>
          <w:sz w:val="22"/>
          <w:szCs w:val="22"/>
          <w:lang w:val="sk-SK" w:eastAsia="en-GB"/>
        </w:rPr>
        <w:t xml:space="preserve">Európska agentúra pre lieky udelila výnimku z povinnosti predložiť výsledky štúdií s ivabradínom vo všetkých podskupinách pediatrickej populácie pre liečbu </w:t>
      </w:r>
      <w:r w:rsidR="00C230A9" w:rsidRPr="003D4D81">
        <w:rPr>
          <w:sz w:val="22"/>
          <w:szCs w:val="22"/>
          <w:lang w:val="sk-SK" w:eastAsia="en-GB"/>
        </w:rPr>
        <w:t>angín</w:t>
      </w:r>
      <w:r w:rsidRPr="003D4D81">
        <w:rPr>
          <w:sz w:val="22"/>
          <w:szCs w:val="22"/>
          <w:lang w:val="sk-SK" w:eastAsia="en-GB"/>
        </w:rPr>
        <w:t>y pectoris.</w:t>
      </w:r>
    </w:p>
    <w:p w:rsidR="00024394" w:rsidRPr="003D4D81" w:rsidRDefault="00024394" w:rsidP="00024394">
      <w:pPr>
        <w:autoSpaceDE w:val="0"/>
        <w:autoSpaceDN w:val="0"/>
        <w:adjustRightInd w:val="0"/>
        <w:spacing w:after="0"/>
        <w:jc w:val="left"/>
        <w:rPr>
          <w:sz w:val="22"/>
          <w:szCs w:val="22"/>
          <w:lang w:val="sk-SK"/>
        </w:rPr>
      </w:pPr>
      <w:r w:rsidRPr="003D4D81">
        <w:rPr>
          <w:sz w:val="22"/>
          <w:szCs w:val="22"/>
          <w:lang w:val="sk-SK" w:eastAsia="en-GB"/>
        </w:rPr>
        <w:t>Európska agentúra pre lieky udelila výnimku z povinnosti predložiť výsledky štúdií s ivabradínom u detí vo veku od 0 do menej ako 6 mesiacov pre liečbu chronického srdcového zlyhania.</w:t>
      </w:r>
    </w:p>
    <w:p w:rsidR="00B464A1" w:rsidRPr="003D4D81" w:rsidRDefault="00B464A1" w:rsidP="00572196">
      <w:pPr>
        <w:spacing w:after="0"/>
        <w:jc w:val="left"/>
        <w:rPr>
          <w:sz w:val="22"/>
          <w:szCs w:val="22"/>
          <w:lang w:val="sk-SK"/>
        </w:rPr>
      </w:pPr>
    </w:p>
    <w:p w:rsidR="00262C35" w:rsidRPr="003D4D81" w:rsidRDefault="00262C35" w:rsidP="00E6315B">
      <w:pPr>
        <w:spacing w:after="0"/>
        <w:jc w:val="left"/>
        <w:rPr>
          <w:b/>
          <w:sz w:val="22"/>
          <w:szCs w:val="22"/>
          <w:lang w:val="sk-SK"/>
        </w:rPr>
      </w:pPr>
      <w:r w:rsidRPr="003D4D81">
        <w:rPr>
          <w:b/>
          <w:sz w:val="22"/>
          <w:szCs w:val="22"/>
          <w:lang w:val="sk-SK"/>
        </w:rPr>
        <w:t>5.2</w:t>
      </w:r>
      <w:r w:rsidR="00515E0D" w:rsidRPr="003D4D81">
        <w:rPr>
          <w:b/>
          <w:sz w:val="22"/>
          <w:szCs w:val="22"/>
          <w:lang w:val="sk-SK"/>
        </w:rPr>
        <w:tab/>
      </w:r>
      <w:r w:rsidR="00767A50" w:rsidRPr="003D4D81">
        <w:rPr>
          <w:b/>
          <w:sz w:val="22"/>
          <w:szCs w:val="22"/>
          <w:lang w:val="sk-SK"/>
        </w:rPr>
        <w:t>Farmakokinetické vlastnosti</w:t>
      </w:r>
    </w:p>
    <w:p w:rsidR="00262C35" w:rsidRPr="003D4D81" w:rsidRDefault="00262C35" w:rsidP="00E6315B">
      <w:pPr>
        <w:spacing w:after="0"/>
        <w:jc w:val="left"/>
        <w:rPr>
          <w:sz w:val="22"/>
          <w:szCs w:val="22"/>
          <w:lang w:val="sk-SK"/>
        </w:rPr>
      </w:pPr>
    </w:p>
    <w:p w:rsidR="006514CF" w:rsidRPr="003D4D81" w:rsidRDefault="00E3470D" w:rsidP="00E3470D">
      <w:pPr>
        <w:autoSpaceDE w:val="0"/>
        <w:autoSpaceDN w:val="0"/>
        <w:adjustRightInd w:val="0"/>
        <w:spacing w:after="0"/>
        <w:jc w:val="left"/>
        <w:rPr>
          <w:sz w:val="22"/>
          <w:szCs w:val="22"/>
          <w:lang w:val="sk-SK" w:eastAsia="en-GB"/>
        </w:rPr>
      </w:pPr>
      <w:r w:rsidRPr="003D4D81">
        <w:rPr>
          <w:sz w:val="22"/>
          <w:szCs w:val="22"/>
          <w:lang w:val="sk-SK" w:eastAsia="en-GB"/>
        </w:rPr>
        <w:t>Za fyziologických podmienok sa ivabradín rýchlo uvoľňuje z tabliet a je vysokorozpustný vo vode (&gt;10</w:t>
      </w:r>
      <w:r w:rsidR="00C230A9" w:rsidRPr="003D4D81">
        <w:rPr>
          <w:sz w:val="22"/>
          <w:szCs w:val="22"/>
          <w:lang w:val="sk-SK" w:eastAsia="en-GB"/>
        </w:rPr>
        <w:t> mg</w:t>
      </w:r>
      <w:r w:rsidRPr="003D4D81">
        <w:rPr>
          <w:sz w:val="22"/>
          <w:szCs w:val="22"/>
          <w:lang w:val="sk-SK" w:eastAsia="en-GB"/>
        </w:rPr>
        <w:t xml:space="preserve">/ml). Ivabradín je S-enantiomér bez preukázanej biokonverzie </w:t>
      </w:r>
      <w:r w:rsidRPr="003D4D81">
        <w:rPr>
          <w:i/>
          <w:iCs/>
          <w:sz w:val="22"/>
          <w:szCs w:val="22"/>
          <w:lang w:val="sk-SK" w:eastAsia="en-GB"/>
        </w:rPr>
        <w:t>in vivo</w:t>
      </w:r>
      <w:r w:rsidRPr="003D4D81">
        <w:rPr>
          <w:sz w:val="22"/>
          <w:szCs w:val="22"/>
          <w:lang w:val="sk-SK" w:eastAsia="en-GB"/>
        </w:rPr>
        <w:t>. N-demetylovaný derivát ivabradínu bol identifikovaný ako hlavný aktívny metabolit u ľudí.</w:t>
      </w:r>
    </w:p>
    <w:p w:rsidR="00E3470D" w:rsidRPr="003D4D81" w:rsidRDefault="00E3470D" w:rsidP="00E3470D">
      <w:pPr>
        <w:autoSpaceDE w:val="0"/>
        <w:autoSpaceDN w:val="0"/>
        <w:adjustRightInd w:val="0"/>
        <w:spacing w:after="0"/>
        <w:jc w:val="left"/>
        <w:rPr>
          <w:sz w:val="22"/>
          <w:szCs w:val="22"/>
          <w:lang w:val="sk-SK"/>
        </w:rPr>
      </w:pPr>
    </w:p>
    <w:p w:rsidR="008F44C0" w:rsidRPr="003D4D81" w:rsidRDefault="00E3470D" w:rsidP="00E6315B">
      <w:pPr>
        <w:spacing w:after="0"/>
        <w:jc w:val="left"/>
        <w:rPr>
          <w:sz w:val="22"/>
          <w:szCs w:val="22"/>
          <w:u w:val="single"/>
          <w:lang w:val="sk-SK"/>
        </w:rPr>
      </w:pPr>
      <w:r w:rsidRPr="003D4D81">
        <w:rPr>
          <w:sz w:val="22"/>
          <w:szCs w:val="22"/>
          <w:u w:val="single"/>
          <w:lang w:val="sk-SK"/>
        </w:rPr>
        <w:t>Absorpcia a biologická dostupnosť</w:t>
      </w:r>
    </w:p>
    <w:p w:rsidR="009B083B" w:rsidRPr="003D4D81" w:rsidRDefault="009B083B" w:rsidP="009B083B">
      <w:pPr>
        <w:autoSpaceDE w:val="0"/>
        <w:autoSpaceDN w:val="0"/>
        <w:adjustRightInd w:val="0"/>
        <w:spacing w:after="0"/>
        <w:jc w:val="left"/>
        <w:rPr>
          <w:sz w:val="22"/>
          <w:szCs w:val="22"/>
          <w:lang w:val="sk-SK" w:eastAsia="en-GB"/>
        </w:rPr>
      </w:pPr>
      <w:r w:rsidRPr="003D4D81">
        <w:rPr>
          <w:sz w:val="22"/>
          <w:szCs w:val="22"/>
          <w:lang w:val="sk-SK" w:eastAsia="en-GB"/>
        </w:rPr>
        <w:t>Ivabradín sa rýchlo a takmer úplne absorbuje po perorálnom podaní</w:t>
      </w:r>
      <w:r w:rsidR="007C39D7" w:rsidRPr="003D4D81">
        <w:rPr>
          <w:sz w:val="22"/>
          <w:szCs w:val="22"/>
          <w:lang w:val="sk-SK" w:eastAsia="en-GB"/>
        </w:rPr>
        <w:t xml:space="preserve"> nalačno</w:t>
      </w:r>
      <w:r w:rsidRPr="003D4D81">
        <w:rPr>
          <w:sz w:val="22"/>
          <w:szCs w:val="22"/>
          <w:lang w:val="sk-SK" w:eastAsia="en-GB"/>
        </w:rPr>
        <w:t xml:space="preserve"> s najvyššou plazmatickou hladinou dosiahnutou približne o 1 hodinu. Absolútna biologická dostupnosť filmom obalených tabliet je okolo 40</w:t>
      </w:r>
      <w:r w:rsidR="00C230A9" w:rsidRPr="003D4D81">
        <w:rPr>
          <w:sz w:val="22"/>
          <w:szCs w:val="22"/>
          <w:lang w:val="sk-SK" w:eastAsia="en-GB"/>
        </w:rPr>
        <w:t> %</w:t>
      </w:r>
      <w:r w:rsidRPr="003D4D81">
        <w:rPr>
          <w:sz w:val="22"/>
          <w:szCs w:val="22"/>
          <w:lang w:val="sk-SK" w:eastAsia="en-GB"/>
        </w:rPr>
        <w:t>, čo je dôsledkom „first-pass“ efektu v čreve a pečeni.</w:t>
      </w:r>
    </w:p>
    <w:p w:rsidR="008F44C0" w:rsidRPr="003D4D81" w:rsidRDefault="009B083B" w:rsidP="009B083B">
      <w:pPr>
        <w:autoSpaceDE w:val="0"/>
        <w:autoSpaceDN w:val="0"/>
        <w:adjustRightInd w:val="0"/>
        <w:spacing w:after="0"/>
        <w:jc w:val="left"/>
        <w:rPr>
          <w:sz w:val="22"/>
          <w:szCs w:val="22"/>
          <w:lang w:val="sk-SK"/>
        </w:rPr>
      </w:pPr>
      <w:r w:rsidRPr="003D4D81">
        <w:rPr>
          <w:sz w:val="22"/>
          <w:szCs w:val="22"/>
          <w:lang w:val="sk-SK" w:eastAsia="en-GB"/>
        </w:rPr>
        <w:t xml:space="preserve">Jedlom sa absorpcia oneskorila o približne 1 hodinu a plazmatická expozícia sa zvýšila o 20 </w:t>
      </w:r>
      <w:r w:rsidR="005412DD" w:rsidRPr="003D4D81">
        <w:rPr>
          <w:sz w:val="22"/>
          <w:szCs w:val="22"/>
          <w:lang w:val="sk-SK" w:eastAsia="en-GB"/>
        </w:rPr>
        <w:t>až</w:t>
      </w:r>
      <w:r w:rsidRPr="003D4D81">
        <w:rPr>
          <w:sz w:val="22"/>
          <w:szCs w:val="22"/>
          <w:lang w:val="sk-SK" w:eastAsia="en-GB"/>
        </w:rPr>
        <w:t xml:space="preserve"> 30</w:t>
      </w:r>
      <w:r w:rsidR="00C230A9" w:rsidRPr="003D4D81">
        <w:rPr>
          <w:sz w:val="22"/>
          <w:szCs w:val="22"/>
          <w:lang w:val="sk-SK" w:eastAsia="en-GB"/>
        </w:rPr>
        <w:t> %</w:t>
      </w:r>
      <w:r w:rsidRPr="003D4D81">
        <w:rPr>
          <w:sz w:val="22"/>
          <w:szCs w:val="22"/>
          <w:lang w:val="sk-SK" w:eastAsia="en-GB"/>
        </w:rPr>
        <w:t>. Odporúča sa užívať tablety počas jedla, aby sa znížila intraindividuálna variabilita pri expozícii (pozri časť 4.2)</w:t>
      </w:r>
      <w:r w:rsidR="008F44C0" w:rsidRPr="003D4D81">
        <w:rPr>
          <w:sz w:val="22"/>
          <w:szCs w:val="22"/>
          <w:lang w:val="sk-SK"/>
        </w:rPr>
        <w:t>.</w:t>
      </w:r>
    </w:p>
    <w:p w:rsidR="006514CF" w:rsidRPr="003D4D81" w:rsidRDefault="006514CF" w:rsidP="00572196">
      <w:pPr>
        <w:spacing w:after="0"/>
        <w:jc w:val="left"/>
        <w:rPr>
          <w:sz w:val="22"/>
          <w:szCs w:val="22"/>
          <w:lang w:val="sk-SK"/>
        </w:rPr>
      </w:pPr>
    </w:p>
    <w:p w:rsidR="009B083B" w:rsidRPr="003D4D81" w:rsidRDefault="009B083B" w:rsidP="00572196">
      <w:pPr>
        <w:spacing w:after="0"/>
        <w:jc w:val="left"/>
        <w:rPr>
          <w:sz w:val="22"/>
          <w:szCs w:val="22"/>
          <w:u w:val="single"/>
          <w:lang w:val="sk-SK"/>
        </w:rPr>
      </w:pPr>
      <w:r w:rsidRPr="003D4D81">
        <w:rPr>
          <w:sz w:val="22"/>
          <w:szCs w:val="22"/>
          <w:u w:val="single"/>
          <w:lang w:val="sk-SK"/>
        </w:rPr>
        <w:t>Distribúcia</w:t>
      </w:r>
    </w:p>
    <w:p w:rsidR="008F44C0" w:rsidRPr="003D4D81" w:rsidRDefault="009B083B" w:rsidP="009B083B">
      <w:pPr>
        <w:autoSpaceDE w:val="0"/>
        <w:autoSpaceDN w:val="0"/>
        <w:adjustRightInd w:val="0"/>
        <w:spacing w:after="0"/>
        <w:jc w:val="left"/>
        <w:rPr>
          <w:sz w:val="22"/>
          <w:szCs w:val="22"/>
          <w:lang w:val="sk-SK"/>
        </w:rPr>
      </w:pPr>
      <w:r w:rsidRPr="003D4D81">
        <w:rPr>
          <w:sz w:val="22"/>
          <w:szCs w:val="22"/>
          <w:lang w:val="sk-SK" w:eastAsia="en-GB"/>
        </w:rPr>
        <w:t>Ivabradín je viazaný na plazmatické bielkoviny v približne 70</w:t>
      </w:r>
      <w:r w:rsidR="00C230A9" w:rsidRPr="003D4D81">
        <w:rPr>
          <w:sz w:val="22"/>
          <w:szCs w:val="22"/>
          <w:lang w:val="sk-SK" w:eastAsia="en-GB"/>
        </w:rPr>
        <w:t> %</w:t>
      </w:r>
      <w:r w:rsidRPr="003D4D81">
        <w:rPr>
          <w:sz w:val="22"/>
          <w:szCs w:val="22"/>
          <w:lang w:val="sk-SK" w:eastAsia="en-GB"/>
        </w:rPr>
        <w:t xml:space="preserve"> a distribučný objem je v </w:t>
      </w:r>
      <w:r w:rsidR="00EB143C" w:rsidRPr="003D4D81">
        <w:rPr>
          <w:sz w:val="22"/>
          <w:szCs w:val="22"/>
          <w:lang w:val="sk-SK"/>
        </w:rPr>
        <w:t>rovnovážnom</w:t>
      </w:r>
      <w:r w:rsidRPr="003D4D81">
        <w:rPr>
          <w:sz w:val="22"/>
          <w:szCs w:val="22"/>
          <w:lang w:val="sk-SK" w:eastAsia="en-GB"/>
        </w:rPr>
        <w:t xml:space="preserve"> stave u pacientov </w:t>
      </w:r>
      <w:r w:rsidR="00577B3D" w:rsidRPr="003D4D81">
        <w:rPr>
          <w:sz w:val="22"/>
          <w:szCs w:val="22"/>
          <w:lang w:val="sk-SK" w:eastAsia="en-GB"/>
        </w:rPr>
        <w:t>okolo</w:t>
      </w:r>
      <w:r w:rsidRPr="003D4D81">
        <w:rPr>
          <w:sz w:val="22"/>
          <w:szCs w:val="22"/>
          <w:lang w:val="sk-SK" w:eastAsia="en-GB"/>
        </w:rPr>
        <w:t xml:space="preserve"> 100 l. Maximálna plazmatická koncentrácia </w:t>
      </w:r>
      <w:r w:rsidR="00EB143C" w:rsidRPr="003D4D81">
        <w:rPr>
          <w:sz w:val="22"/>
          <w:szCs w:val="22"/>
          <w:lang w:val="sk-SK"/>
        </w:rPr>
        <w:t xml:space="preserve">po dlhodobom podávaní </w:t>
      </w:r>
      <w:r w:rsidRPr="003D4D81">
        <w:rPr>
          <w:sz w:val="22"/>
          <w:szCs w:val="22"/>
          <w:lang w:val="sk-SK" w:eastAsia="en-GB"/>
        </w:rPr>
        <w:t xml:space="preserve">odporučenej </w:t>
      </w:r>
      <w:r w:rsidR="00EB143C" w:rsidRPr="003D4D81">
        <w:rPr>
          <w:sz w:val="22"/>
          <w:szCs w:val="22"/>
          <w:lang w:val="sk-SK" w:eastAsia="en-GB"/>
        </w:rPr>
        <w:t xml:space="preserve">dávky </w:t>
      </w:r>
      <w:r w:rsidRPr="003D4D81">
        <w:rPr>
          <w:sz w:val="22"/>
          <w:szCs w:val="22"/>
          <w:lang w:val="sk-SK" w:eastAsia="en-GB"/>
        </w:rPr>
        <w:t>5</w:t>
      </w:r>
      <w:r w:rsidR="00C230A9" w:rsidRPr="003D4D81">
        <w:rPr>
          <w:sz w:val="22"/>
          <w:szCs w:val="22"/>
          <w:lang w:val="sk-SK" w:eastAsia="en-GB"/>
        </w:rPr>
        <w:t> mg</w:t>
      </w:r>
      <w:r w:rsidRPr="003D4D81">
        <w:rPr>
          <w:sz w:val="22"/>
          <w:szCs w:val="22"/>
          <w:lang w:val="sk-SK" w:eastAsia="en-GB"/>
        </w:rPr>
        <w:t xml:space="preserve"> dvakrát denne je 22 ng/ml (CV=29</w:t>
      </w:r>
      <w:r w:rsidR="00C230A9" w:rsidRPr="003D4D81">
        <w:rPr>
          <w:sz w:val="22"/>
          <w:szCs w:val="22"/>
          <w:lang w:val="sk-SK" w:eastAsia="en-GB"/>
        </w:rPr>
        <w:t> %</w:t>
      </w:r>
      <w:r w:rsidRPr="003D4D81">
        <w:rPr>
          <w:sz w:val="22"/>
          <w:szCs w:val="22"/>
          <w:lang w:val="sk-SK" w:eastAsia="en-GB"/>
        </w:rPr>
        <w:t xml:space="preserve">). Priemerná plazmatická koncentrácia je v </w:t>
      </w:r>
      <w:r w:rsidR="00EB143C" w:rsidRPr="003D4D81">
        <w:rPr>
          <w:sz w:val="22"/>
          <w:szCs w:val="22"/>
          <w:lang w:val="sk-SK"/>
        </w:rPr>
        <w:t>rovnováž</w:t>
      </w:r>
      <w:r w:rsidRPr="003D4D81">
        <w:rPr>
          <w:sz w:val="22"/>
          <w:szCs w:val="22"/>
          <w:lang w:val="sk-SK" w:eastAsia="en-GB"/>
        </w:rPr>
        <w:t>nom stave 10 ng/ml (CV=38</w:t>
      </w:r>
      <w:r w:rsidR="00C230A9" w:rsidRPr="003D4D81">
        <w:rPr>
          <w:sz w:val="22"/>
          <w:szCs w:val="22"/>
          <w:lang w:val="sk-SK" w:eastAsia="en-GB"/>
        </w:rPr>
        <w:t> %</w:t>
      </w:r>
      <w:r w:rsidRPr="003D4D81">
        <w:rPr>
          <w:sz w:val="22"/>
          <w:szCs w:val="22"/>
          <w:lang w:val="sk-SK" w:eastAsia="en-GB"/>
        </w:rPr>
        <w:t>).</w:t>
      </w:r>
    </w:p>
    <w:p w:rsidR="006514CF" w:rsidRPr="003D4D81" w:rsidRDefault="006514CF" w:rsidP="00572196">
      <w:pPr>
        <w:spacing w:after="0"/>
        <w:jc w:val="left"/>
        <w:rPr>
          <w:sz w:val="22"/>
          <w:szCs w:val="22"/>
          <w:lang w:val="sk-SK"/>
        </w:rPr>
      </w:pPr>
    </w:p>
    <w:p w:rsidR="00857752" w:rsidRPr="003D4D81" w:rsidRDefault="00857752" w:rsidP="00572196">
      <w:pPr>
        <w:spacing w:after="0"/>
        <w:jc w:val="left"/>
        <w:rPr>
          <w:sz w:val="22"/>
          <w:szCs w:val="22"/>
          <w:u w:val="single"/>
          <w:lang w:val="sk-SK"/>
        </w:rPr>
      </w:pPr>
    </w:p>
    <w:p w:rsidR="009B083B" w:rsidRPr="003D4D81" w:rsidRDefault="009B083B" w:rsidP="00572196">
      <w:pPr>
        <w:spacing w:after="0"/>
        <w:jc w:val="left"/>
        <w:rPr>
          <w:sz w:val="22"/>
          <w:szCs w:val="22"/>
          <w:u w:val="single"/>
          <w:lang w:val="sk-SK"/>
        </w:rPr>
      </w:pPr>
      <w:r w:rsidRPr="003D4D81">
        <w:rPr>
          <w:sz w:val="22"/>
          <w:szCs w:val="22"/>
          <w:u w:val="single"/>
          <w:lang w:val="sk-SK"/>
        </w:rPr>
        <w:t>Biotransformácia</w:t>
      </w:r>
    </w:p>
    <w:p w:rsidR="008F44C0" w:rsidRPr="003D4D81" w:rsidRDefault="009B083B" w:rsidP="009B083B">
      <w:pPr>
        <w:autoSpaceDE w:val="0"/>
        <w:autoSpaceDN w:val="0"/>
        <w:adjustRightInd w:val="0"/>
        <w:spacing w:after="0"/>
        <w:jc w:val="left"/>
        <w:rPr>
          <w:sz w:val="22"/>
          <w:szCs w:val="22"/>
          <w:lang w:val="sk-SK"/>
        </w:rPr>
      </w:pPr>
      <w:r w:rsidRPr="003D4D81">
        <w:rPr>
          <w:sz w:val="22"/>
          <w:szCs w:val="22"/>
          <w:lang w:val="sk-SK" w:eastAsia="en-GB"/>
        </w:rPr>
        <w:t>Ivabradín sa extenzívne metabolizuje v pečeni a čreve výlučne oxidáciou cez cytochróm P4503A4 (CYP3A4). Hlavným aktívnym metabolitom je N-demetylovaný derivát (S 18982) s expozíciou okolo 40</w:t>
      </w:r>
      <w:r w:rsidR="00C230A9" w:rsidRPr="003D4D81">
        <w:rPr>
          <w:sz w:val="22"/>
          <w:szCs w:val="22"/>
          <w:lang w:val="sk-SK" w:eastAsia="en-GB"/>
        </w:rPr>
        <w:t> %</w:t>
      </w:r>
      <w:r w:rsidRPr="003D4D81">
        <w:rPr>
          <w:sz w:val="22"/>
          <w:szCs w:val="22"/>
          <w:lang w:val="sk-SK" w:eastAsia="en-GB"/>
        </w:rPr>
        <w:t xml:space="preserve"> v porovnaní s materskou zlúčeninou. Metabolizmus tohto aktívneho metabolitu tiež zahŕňa CYP3A4. Ivabradín má nízku afinitu k CYP3A4, nepreukazuje klinicky relevantnú indukciu alebo </w:t>
      </w:r>
      <w:r w:rsidRPr="003D4D81">
        <w:rPr>
          <w:sz w:val="22"/>
          <w:szCs w:val="22"/>
          <w:lang w:val="sk-SK" w:eastAsia="en-GB"/>
        </w:rPr>
        <w:lastRenderedPageBreak/>
        <w:t>inhibíciu CYP3A4, a preto je nepravdepodobné, že by modifikoval metabolizmus alebo plazmatické koncentrácie</w:t>
      </w:r>
      <w:r w:rsidR="00EB143C" w:rsidRPr="003D4D81">
        <w:rPr>
          <w:sz w:val="22"/>
          <w:szCs w:val="22"/>
          <w:lang w:val="sk-SK" w:eastAsia="en-GB"/>
        </w:rPr>
        <w:t xml:space="preserve"> substrátov CYP3A4</w:t>
      </w:r>
      <w:r w:rsidRPr="003D4D81">
        <w:rPr>
          <w:sz w:val="22"/>
          <w:szCs w:val="22"/>
          <w:lang w:val="sk-SK" w:eastAsia="en-GB"/>
        </w:rPr>
        <w:t>. Naopak, silné inhibítory a induktory môžu podstatne ovplyvniť plazmatické koncentrácie ivabradínu (pozri časť 4.5).</w:t>
      </w:r>
    </w:p>
    <w:p w:rsidR="006514CF" w:rsidRPr="003D4D81" w:rsidRDefault="006514CF" w:rsidP="00572196">
      <w:pPr>
        <w:spacing w:after="0"/>
        <w:jc w:val="left"/>
        <w:rPr>
          <w:sz w:val="22"/>
          <w:szCs w:val="22"/>
          <w:lang w:val="sk-SK"/>
        </w:rPr>
      </w:pPr>
    </w:p>
    <w:p w:rsidR="00F0546E" w:rsidRPr="003D4D81" w:rsidRDefault="00F0546E" w:rsidP="00572196">
      <w:pPr>
        <w:spacing w:after="0"/>
        <w:jc w:val="left"/>
        <w:rPr>
          <w:sz w:val="22"/>
          <w:szCs w:val="22"/>
          <w:u w:val="single"/>
          <w:lang w:val="sk-SK"/>
        </w:rPr>
      </w:pPr>
      <w:r w:rsidRPr="003D4D81">
        <w:rPr>
          <w:sz w:val="22"/>
          <w:szCs w:val="22"/>
          <w:u w:val="single"/>
          <w:lang w:val="sk-SK"/>
        </w:rPr>
        <w:t>Eliminácia</w:t>
      </w:r>
    </w:p>
    <w:p w:rsidR="008F44C0" w:rsidRPr="003D4D81" w:rsidRDefault="00F0546E" w:rsidP="00F0546E">
      <w:pPr>
        <w:autoSpaceDE w:val="0"/>
        <w:autoSpaceDN w:val="0"/>
        <w:adjustRightInd w:val="0"/>
        <w:spacing w:after="0"/>
        <w:jc w:val="left"/>
        <w:rPr>
          <w:sz w:val="22"/>
          <w:szCs w:val="22"/>
          <w:lang w:val="sk-SK"/>
        </w:rPr>
      </w:pPr>
      <w:r w:rsidRPr="003D4D81">
        <w:rPr>
          <w:sz w:val="22"/>
          <w:szCs w:val="22"/>
          <w:lang w:val="sk-SK" w:eastAsia="en-GB"/>
        </w:rPr>
        <w:t>Ivabradín sa vylučuje s hlavným polčasom 2 hodiny (70-75</w:t>
      </w:r>
      <w:r w:rsidR="00C230A9" w:rsidRPr="003D4D81">
        <w:rPr>
          <w:sz w:val="22"/>
          <w:szCs w:val="22"/>
          <w:lang w:val="sk-SK" w:eastAsia="en-GB"/>
        </w:rPr>
        <w:t> %</w:t>
      </w:r>
      <w:r w:rsidRPr="003D4D81">
        <w:rPr>
          <w:sz w:val="22"/>
          <w:szCs w:val="22"/>
          <w:lang w:val="sk-SK" w:eastAsia="en-GB"/>
        </w:rPr>
        <w:t xml:space="preserve"> AUC) v plazme a s efektívnym polčasom 11 hodín. Celkový klírens je približne 400</w:t>
      </w:r>
      <w:r w:rsidR="00C230A9" w:rsidRPr="003D4D81">
        <w:rPr>
          <w:sz w:val="22"/>
          <w:szCs w:val="22"/>
          <w:lang w:val="sk-SK" w:eastAsia="en-GB"/>
        </w:rPr>
        <w:t> ml</w:t>
      </w:r>
      <w:r w:rsidRPr="003D4D81">
        <w:rPr>
          <w:sz w:val="22"/>
          <w:szCs w:val="22"/>
          <w:lang w:val="sk-SK" w:eastAsia="en-GB"/>
        </w:rPr>
        <w:t>/min a renálny klírens približne 70</w:t>
      </w:r>
      <w:r w:rsidR="00C230A9" w:rsidRPr="003D4D81">
        <w:rPr>
          <w:sz w:val="22"/>
          <w:szCs w:val="22"/>
          <w:lang w:val="sk-SK" w:eastAsia="en-GB"/>
        </w:rPr>
        <w:t> ml</w:t>
      </w:r>
      <w:r w:rsidRPr="003D4D81">
        <w:rPr>
          <w:sz w:val="22"/>
          <w:szCs w:val="22"/>
          <w:lang w:val="sk-SK" w:eastAsia="en-GB"/>
        </w:rPr>
        <w:t>/min. Vylučovanie metabolitov nastáva v podobnom rozsahu stolicou a močom. Približne 4</w:t>
      </w:r>
      <w:r w:rsidR="00C230A9" w:rsidRPr="003D4D81">
        <w:rPr>
          <w:sz w:val="22"/>
          <w:szCs w:val="22"/>
          <w:lang w:val="sk-SK" w:eastAsia="en-GB"/>
        </w:rPr>
        <w:t> %</w:t>
      </w:r>
      <w:r w:rsidRPr="003D4D81">
        <w:rPr>
          <w:sz w:val="22"/>
          <w:szCs w:val="22"/>
          <w:lang w:val="sk-SK" w:eastAsia="en-GB"/>
        </w:rPr>
        <w:t xml:space="preserve"> perorálnej dávky sa vylučujú močom nezmenené.</w:t>
      </w:r>
    </w:p>
    <w:p w:rsidR="006514CF" w:rsidRPr="003D4D81" w:rsidRDefault="006514CF" w:rsidP="00572196">
      <w:pPr>
        <w:spacing w:after="0"/>
        <w:jc w:val="left"/>
        <w:rPr>
          <w:sz w:val="22"/>
          <w:szCs w:val="22"/>
          <w:lang w:val="sk-SK"/>
        </w:rPr>
      </w:pPr>
    </w:p>
    <w:p w:rsidR="008F44C0" w:rsidRPr="003D4D81" w:rsidRDefault="00F0546E" w:rsidP="004842C0">
      <w:pPr>
        <w:spacing w:after="0"/>
        <w:jc w:val="left"/>
        <w:rPr>
          <w:sz w:val="22"/>
          <w:szCs w:val="22"/>
          <w:u w:val="single"/>
          <w:lang w:val="sk-SK"/>
        </w:rPr>
      </w:pPr>
      <w:r w:rsidRPr="003D4D81">
        <w:rPr>
          <w:sz w:val="22"/>
          <w:szCs w:val="22"/>
          <w:u w:val="single"/>
          <w:lang w:val="sk-SK"/>
        </w:rPr>
        <w:t>Linearita/nelinearita</w:t>
      </w:r>
    </w:p>
    <w:p w:rsidR="006514CF" w:rsidRPr="003D4D81" w:rsidRDefault="00F0546E" w:rsidP="00572196">
      <w:pPr>
        <w:spacing w:after="0"/>
        <w:jc w:val="left"/>
        <w:rPr>
          <w:sz w:val="22"/>
          <w:szCs w:val="22"/>
          <w:lang w:val="sk-SK" w:eastAsia="en-GB"/>
        </w:rPr>
      </w:pPr>
      <w:r w:rsidRPr="003D4D81">
        <w:rPr>
          <w:sz w:val="22"/>
          <w:szCs w:val="22"/>
          <w:lang w:val="sk-SK" w:eastAsia="en-GB"/>
        </w:rPr>
        <w:t>Kinetika ivabradínu je lineárna po perorálnej dávke v rozsahu 0,5</w:t>
      </w:r>
      <w:r w:rsidR="00C230A9" w:rsidRPr="003D4D81">
        <w:rPr>
          <w:sz w:val="22"/>
          <w:szCs w:val="22"/>
          <w:lang w:val="sk-SK" w:eastAsia="en-GB"/>
        </w:rPr>
        <w:t> – </w:t>
      </w:r>
      <w:r w:rsidRPr="003D4D81">
        <w:rPr>
          <w:sz w:val="22"/>
          <w:szCs w:val="22"/>
          <w:lang w:val="sk-SK" w:eastAsia="en-GB"/>
        </w:rPr>
        <w:t>24</w:t>
      </w:r>
      <w:r w:rsidR="00C230A9" w:rsidRPr="003D4D81">
        <w:rPr>
          <w:sz w:val="22"/>
          <w:szCs w:val="22"/>
          <w:lang w:val="sk-SK" w:eastAsia="en-GB"/>
        </w:rPr>
        <w:t> mg</w:t>
      </w:r>
      <w:r w:rsidRPr="003D4D81">
        <w:rPr>
          <w:sz w:val="22"/>
          <w:szCs w:val="22"/>
          <w:lang w:val="sk-SK" w:eastAsia="en-GB"/>
        </w:rPr>
        <w:t>.</w:t>
      </w:r>
    </w:p>
    <w:p w:rsidR="00F0546E" w:rsidRPr="003D4D81" w:rsidRDefault="00F0546E" w:rsidP="00572196">
      <w:pPr>
        <w:spacing w:after="0"/>
        <w:jc w:val="left"/>
        <w:rPr>
          <w:sz w:val="22"/>
          <w:szCs w:val="22"/>
          <w:lang w:val="sk-SK"/>
        </w:rPr>
      </w:pPr>
    </w:p>
    <w:p w:rsidR="008F44C0" w:rsidRPr="003D4D81" w:rsidRDefault="00F0546E" w:rsidP="00572196">
      <w:pPr>
        <w:spacing w:after="0"/>
        <w:jc w:val="left"/>
        <w:rPr>
          <w:sz w:val="22"/>
          <w:szCs w:val="22"/>
          <w:u w:val="single"/>
          <w:lang w:val="sk-SK"/>
        </w:rPr>
      </w:pPr>
      <w:r w:rsidRPr="003D4D81">
        <w:rPr>
          <w:sz w:val="22"/>
          <w:szCs w:val="22"/>
          <w:u w:val="single"/>
          <w:lang w:val="sk-SK"/>
        </w:rPr>
        <w:t>Osobitné skupiny pacientov</w:t>
      </w:r>
    </w:p>
    <w:p w:rsidR="009F6C31" w:rsidRPr="003D4D81" w:rsidRDefault="009F6C31" w:rsidP="00572196">
      <w:pPr>
        <w:spacing w:after="0"/>
        <w:jc w:val="left"/>
        <w:rPr>
          <w:i/>
          <w:sz w:val="22"/>
          <w:szCs w:val="22"/>
          <w:lang w:val="sk-SK"/>
        </w:rPr>
      </w:pPr>
      <w:r w:rsidRPr="003D4D81">
        <w:rPr>
          <w:i/>
          <w:sz w:val="22"/>
          <w:szCs w:val="22"/>
          <w:lang w:val="sk-SK"/>
        </w:rPr>
        <w:t>Staršie osoby</w:t>
      </w:r>
    </w:p>
    <w:p w:rsidR="009F6C31" w:rsidRPr="003D4D81" w:rsidRDefault="009F6C31" w:rsidP="00572196">
      <w:pPr>
        <w:spacing w:after="0"/>
        <w:jc w:val="left"/>
        <w:rPr>
          <w:sz w:val="22"/>
          <w:szCs w:val="22"/>
          <w:lang w:val="sk-SK" w:eastAsia="en-GB"/>
        </w:rPr>
      </w:pPr>
      <w:r w:rsidRPr="003D4D81">
        <w:rPr>
          <w:sz w:val="22"/>
          <w:szCs w:val="22"/>
          <w:lang w:val="sk-SK" w:eastAsia="en-GB"/>
        </w:rPr>
        <w:t>Neboli pozorované žiadne farmakokinetické rozdiely (AUC a Cmax) medzi staršími (</w:t>
      </w:r>
      <w:r w:rsidR="00C230A9" w:rsidRPr="003D4D81">
        <w:rPr>
          <w:rFonts w:eastAsia="ArialMT"/>
          <w:sz w:val="22"/>
          <w:szCs w:val="22"/>
          <w:lang w:val="sk-SK" w:eastAsia="en-GB"/>
        </w:rPr>
        <w:t>≥ </w:t>
      </w:r>
      <w:r w:rsidRPr="003D4D81">
        <w:rPr>
          <w:sz w:val="22"/>
          <w:szCs w:val="22"/>
          <w:lang w:val="sk-SK" w:eastAsia="en-GB"/>
        </w:rPr>
        <w:t>65 rokov) alebo veľmi starými pacientmi (</w:t>
      </w:r>
      <w:r w:rsidR="00C230A9" w:rsidRPr="003D4D81">
        <w:rPr>
          <w:rFonts w:eastAsia="ArialMT"/>
          <w:sz w:val="22"/>
          <w:szCs w:val="22"/>
          <w:lang w:val="sk-SK" w:eastAsia="en-GB"/>
        </w:rPr>
        <w:t>≥ </w:t>
      </w:r>
      <w:r w:rsidRPr="003D4D81">
        <w:rPr>
          <w:sz w:val="22"/>
          <w:szCs w:val="22"/>
          <w:lang w:val="sk-SK" w:eastAsia="en-GB"/>
        </w:rPr>
        <w:t>75 rokov) a celkovou populáciou (pozri časť 4.2).</w:t>
      </w:r>
    </w:p>
    <w:p w:rsidR="006514CF" w:rsidRPr="003D4D81" w:rsidRDefault="006514CF" w:rsidP="00572196">
      <w:pPr>
        <w:spacing w:after="0"/>
        <w:jc w:val="left"/>
        <w:rPr>
          <w:sz w:val="22"/>
          <w:szCs w:val="22"/>
          <w:lang w:val="sk-SK"/>
        </w:rPr>
      </w:pPr>
    </w:p>
    <w:p w:rsidR="009F6C31" w:rsidRPr="003D4D81" w:rsidRDefault="009F6C31" w:rsidP="00572196">
      <w:pPr>
        <w:spacing w:after="0"/>
        <w:jc w:val="left"/>
        <w:rPr>
          <w:i/>
          <w:sz w:val="22"/>
          <w:szCs w:val="22"/>
          <w:lang w:val="sk-SK"/>
        </w:rPr>
      </w:pPr>
      <w:r w:rsidRPr="003D4D81">
        <w:rPr>
          <w:i/>
          <w:sz w:val="22"/>
          <w:szCs w:val="22"/>
          <w:lang w:val="sk-SK"/>
        </w:rPr>
        <w:t>Porucha funkcie obličiek</w:t>
      </w:r>
    </w:p>
    <w:p w:rsidR="009F6C31" w:rsidRPr="003D4D81" w:rsidRDefault="009F6C31" w:rsidP="009F6C31">
      <w:pPr>
        <w:autoSpaceDE w:val="0"/>
        <w:autoSpaceDN w:val="0"/>
        <w:adjustRightInd w:val="0"/>
        <w:spacing w:after="0"/>
        <w:jc w:val="left"/>
        <w:rPr>
          <w:sz w:val="22"/>
          <w:szCs w:val="22"/>
          <w:lang w:val="sk-SK" w:eastAsia="en-GB"/>
        </w:rPr>
      </w:pPr>
      <w:r w:rsidRPr="003D4D81">
        <w:rPr>
          <w:sz w:val="22"/>
          <w:szCs w:val="22"/>
          <w:lang w:val="sk-SK" w:eastAsia="en-GB"/>
        </w:rPr>
        <w:t xml:space="preserve">Vplyv poruchy funkcie obličiek (klírens kreatinínu </w:t>
      </w:r>
      <w:r w:rsidR="005412DD" w:rsidRPr="003D4D81">
        <w:rPr>
          <w:sz w:val="22"/>
          <w:szCs w:val="22"/>
          <w:lang w:val="sk-SK" w:eastAsia="en-GB"/>
        </w:rPr>
        <w:t xml:space="preserve">od </w:t>
      </w:r>
      <w:r w:rsidRPr="003D4D81">
        <w:rPr>
          <w:sz w:val="22"/>
          <w:szCs w:val="22"/>
          <w:lang w:val="sk-SK" w:eastAsia="en-GB"/>
        </w:rPr>
        <w:t xml:space="preserve">15 </w:t>
      </w:r>
      <w:r w:rsidR="005412DD" w:rsidRPr="003D4D81">
        <w:rPr>
          <w:sz w:val="22"/>
          <w:szCs w:val="22"/>
          <w:lang w:val="sk-SK" w:eastAsia="en-GB"/>
        </w:rPr>
        <w:t>do</w:t>
      </w:r>
      <w:r w:rsidRPr="003D4D81">
        <w:rPr>
          <w:sz w:val="22"/>
          <w:szCs w:val="22"/>
          <w:lang w:val="sk-SK" w:eastAsia="en-GB"/>
        </w:rPr>
        <w:t xml:space="preserve"> 60</w:t>
      </w:r>
      <w:r w:rsidR="00C230A9" w:rsidRPr="003D4D81">
        <w:rPr>
          <w:sz w:val="22"/>
          <w:szCs w:val="22"/>
          <w:lang w:val="sk-SK" w:eastAsia="en-GB"/>
        </w:rPr>
        <w:t> ml</w:t>
      </w:r>
      <w:r w:rsidRPr="003D4D81">
        <w:rPr>
          <w:sz w:val="22"/>
          <w:szCs w:val="22"/>
          <w:lang w:val="sk-SK" w:eastAsia="en-GB"/>
        </w:rPr>
        <w:t xml:space="preserve">/min) na farmakokinetiku ivabradínu je minimálny, </w:t>
      </w:r>
      <w:r w:rsidR="00801966" w:rsidRPr="003D4D81">
        <w:rPr>
          <w:sz w:val="22"/>
          <w:szCs w:val="22"/>
          <w:lang w:val="sk-SK" w:eastAsia="en-GB"/>
        </w:rPr>
        <w:t>čo súvisí s</w:t>
      </w:r>
      <w:r w:rsidRPr="003D4D81">
        <w:rPr>
          <w:sz w:val="22"/>
          <w:szCs w:val="22"/>
          <w:lang w:val="sk-SK" w:eastAsia="en-GB"/>
        </w:rPr>
        <w:t xml:space="preserve"> nízkym podielom renálneho klírensu (okolo 20</w:t>
      </w:r>
      <w:r w:rsidR="00C230A9" w:rsidRPr="003D4D81">
        <w:rPr>
          <w:sz w:val="22"/>
          <w:szCs w:val="22"/>
          <w:lang w:val="sk-SK" w:eastAsia="en-GB"/>
        </w:rPr>
        <w:t> %</w:t>
      </w:r>
      <w:r w:rsidRPr="003D4D81">
        <w:rPr>
          <w:sz w:val="22"/>
          <w:szCs w:val="22"/>
          <w:lang w:val="sk-SK" w:eastAsia="en-GB"/>
        </w:rPr>
        <w:t>) na celkovú elimináciu oboch, ivabradínu a jeho hlavného metabolitu S 18982 (pozri časť 4.2).</w:t>
      </w:r>
    </w:p>
    <w:p w:rsidR="006514CF" w:rsidRPr="003D4D81" w:rsidRDefault="009F6C31" w:rsidP="009F6C31">
      <w:pPr>
        <w:autoSpaceDE w:val="0"/>
        <w:autoSpaceDN w:val="0"/>
        <w:adjustRightInd w:val="0"/>
        <w:spacing w:after="0"/>
        <w:jc w:val="left"/>
        <w:rPr>
          <w:sz w:val="22"/>
          <w:szCs w:val="22"/>
          <w:lang w:val="sk-SK"/>
        </w:rPr>
      </w:pPr>
      <w:r w:rsidRPr="003D4D81">
        <w:rPr>
          <w:sz w:val="22"/>
          <w:szCs w:val="22"/>
          <w:lang w:val="sk-SK"/>
        </w:rPr>
        <w:t xml:space="preserve"> </w:t>
      </w:r>
    </w:p>
    <w:p w:rsidR="006514CF" w:rsidRPr="003D4D81" w:rsidRDefault="009F6C31" w:rsidP="00E6315B">
      <w:pPr>
        <w:spacing w:after="0"/>
        <w:jc w:val="left"/>
        <w:rPr>
          <w:i/>
          <w:sz w:val="22"/>
          <w:szCs w:val="22"/>
          <w:lang w:val="sk-SK"/>
        </w:rPr>
      </w:pPr>
      <w:r w:rsidRPr="003D4D81">
        <w:rPr>
          <w:i/>
          <w:sz w:val="22"/>
          <w:szCs w:val="22"/>
          <w:lang w:val="sk-SK"/>
        </w:rPr>
        <w:t>Porucha funkcie pečene</w:t>
      </w:r>
    </w:p>
    <w:p w:rsidR="008F44C0" w:rsidRPr="003D4D81" w:rsidRDefault="009F6C31" w:rsidP="009F6C31">
      <w:pPr>
        <w:autoSpaceDE w:val="0"/>
        <w:autoSpaceDN w:val="0"/>
        <w:adjustRightInd w:val="0"/>
        <w:spacing w:after="0"/>
        <w:jc w:val="left"/>
        <w:rPr>
          <w:sz w:val="22"/>
          <w:szCs w:val="22"/>
          <w:lang w:val="sk-SK"/>
        </w:rPr>
      </w:pPr>
      <w:r w:rsidRPr="003D4D81">
        <w:rPr>
          <w:sz w:val="22"/>
          <w:szCs w:val="22"/>
          <w:lang w:val="sk-SK" w:eastAsia="en-GB"/>
        </w:rPr>
        <w:t>U pacientov s miernou poruchou funkcie pečene (Child</w:t>
      </w:r>
      <w:r w:rsidR="00801966" w:rsidRPr="003D4D81">
        <w:rPr>
          <w:sz w:val="22"/>
          <w:szCs w:val="22"/>
          <w:lang w:val="sk-SK" w:eastAsia="en-GB"/>
        </w:rPr>
        <w:t>ovo</w:t>
      </w:r>
      <w:r w:rsidRPr="003D4D81">
        <w:rPr>
          <w:sz w:val="22"/>
          <w:szCs w:val="22"/>
          <w:lang w:val="sk-SK" w:eastAsia="en-GB"/>
        </w:rPr>
        <w:t>-Pugh</w:t>
      </w:r>
      <w:r w:rsidR="00801966" w:rsidRPr="003D4D81">
        <w:rPr>
          <w:sz w:val="22"/>
          <w:szCs w:val="22"/>
          <w:lang w:val="sk-SK" w:eastAsia="en-GB"/>
        </w:rPr>
        <w:t>ovo</w:t>
      </w:r>
      <w:r w:rsidRPr="003D4D81">
        <w:rPr>
          <w:sz w:val="22"/>
          <w:szCs w:val="22"/>
          <w:lang w:val="sk-SK" w:eastAsia="en-GB"/>
        </w:rPr>
        <w:t xml:space="preserve"> skóre do 7) boli neviazané AUC ivabradínu a hlavný aktívny metabolit približne o 20</w:t>
      </w:r>
      <w:r w:rsidR="00C230A9" w:rsidRPr="003D4D81">
        <w:rPr>
          <w:sz w:val="22"/>
          <w:szCs w:val="22"/>
          <w:lang w:val="sk-SK" w:eastAsia="en-GB"/>
        </w:rPr>
        <w:t> %</w:t>
      </w:r>
      <w:r w:rsidRPr="003D4D81">
        <w:rPr>
          <w:sz w:val="22"/>
          <w:szCs w:val="22"/>
          <w:lang w:val="sk-SK" w:eastAsia="en-GB"/>
        </w:rPr>
        <w:t xml:space="preserve"> vyššie ako u osôb s normálnou funkciou pečene. Na vyvodenie záverov u pacientov so stredne ťažkou poruchou funkcie pečene sú limitované údaje. U pacientov s ťažkou poruchou funkcie pečene nie sú k dispozícii žiadn</w:t>
      </w:r>
      <w:r w:rsidR="006B2F92" w:rsidRPr="003D4D81">
        <w:rPr>
          <w:sz w:val="22"/>
          <w:szCs w:val="22"/>
          <w:lang w:val="sk-SK" w:eastAsia="en-GB"/>
        </w:rPr>
        <w:t>e údaje (pozri časti 4.2 a 4.3</w:t>
      </w:r>
      <w:r w:rsidR="008F44C0" w:rsidRPr="003D4D81">
        <w:rPr>
          <w:sz w:val="22"/>
          <w:szCs w:val="22"/>
          <w:lang w:val="sk-SK"/>
        </w:rPr>
        <w:t>).</w:t>
      </w:r>
    </w:p>
    <w:p w:rsidR="00BC132B" w:rsidRPr="003D4D81" w:rsidRDefault="00BC132B" w:rsidP="004842C0">
      <w:pPr>
        <w:pStyle w:val="Zkladntext"/>
        <w:tabs>
          <w:tab w:val="left" w:pos="402"/>
        </w:tabs>
        <w:spacing w:line="245" w:lineRule="auto"/>
        <w:ind w:left="0" w:right="129"/>
        <w:rPr>
          <w:lang w:val="sk-SK"/>
        </w:rPr>
      </w:pPr>
    </w:p>
    <w:p w:rsidR="00BC132B" w:rsidRPr="003D4D81" w:rsidRDefault="009F6C31" w:rsidP="00E6315B">
      <w:pPr>
        <w:spacing w:after="0"/>
        <w:jc w:val="left"/>
        <w:rPr>
          <w:i/>
          <w:sz w:val="22"/>
          <w:szCs w:val="22"/>
          <w:lang w:val="sk-SK"/>
        </w:rPr>
      </w:pPr>
      <w:r w:rsidRPr="003D4D81">
        <w:rPr>
          <w:i/>
          <w:sz w:val="22"/>
          <w:szCs w:val="22"/>
          <w:lang w:val="sk-SK"/>
        </w:rPr>
        <w:t>Pediatrická populácia</w:t>
      </w:r>
    </w:p>
    <w:p w:rsidR="00C13873" w:rsidRPr="003D4D81" w:rsidRDefault="009F6C31" w:rsidP="009F6C31">
      <w:pPr>
        <w:autoSpaceDE w:val="0"/>
        <w:autoSpaceDN w:val="0"/>
        <w:adjustRightInd w:val="0"/>
        <w:spacing w:after="0"/>
        <w:jc w:val="left"/>
        <w:rPr>
          <w:sz w:val="22"/>
          <w:szCs w:val="22"/>
          <w:lang w:val="sk-SK"/>
        </w:rPr>
      </w:pPr>
      <w:r w:rsidRPr="003D4D81">
        <w:rPr>
          <w:sz w:val="22"/>
          <w:szCs w:val="22"/>
          <w:lang w:val="sk-SK" w:eastAsia="en-GB"/>
        </w:rPr>
        <w:t>Farmakokinetický profil ivabradínu u pediatrických pacientov s chronickým srdcovým zlyhaním vo veku od 6 mesiacov do menej ako 18 rokov je podobný farmakokinetike opísanej u dospelých, keď je aplikovaná titračná schéma na základe veku a</w:t>
      </w:r>
      <w:r w:rsidR="0092019F" w:rsidRPr="003D4D81">
        <w:rPr>
          <w:sz w:val="22"/>
          <w:szCs w:val="22"/>
          <w:lang w:val="sk-SK" w:eastAsia="en-GB"/>
        </w:rPr>
        <w:t> telesnej hmotnosti</w:t>
      </w:r>
      <w:r w:rsidR="00C13873" w:rsidRPr="003D4D81">
        <w:rPr>
          <w:sz w:val="22"/>
          <w:szCs w:val="22"/>
          <w:lang w:val="sk-SK"/>
        </w:rPr>
        <w:t>.</w:t>
      </w:r>
    </w:p>
    <w:p w:rsidR="00C13873" w:rsidRPr="003D4D81" w:rsidRDefault="00C13873" w:rsidP="00572196">
      <w:pPr>
        <w:spacing w:after="0"/>
        <w:jc w:val="left"/>
        <w:rPr>
          <w:sz w:val="22"/>
          <w:szCs w:val="22"/>
          <w:lang w:val="sk-SK"/>
        </w:rPr>
      </w:pPr>
    </w:p>
    <w:p w:rsidR="008F44C0" w:rsidRPr="003D4D81" w:rsidRDefault="008E2E93" w:rsidP="00572196">
      <w:pPr>
        <w:spacing w:after="0"/>
        <w:jc w:val="left"/>
        <w:rPr>
          <w:sz w:val="22"/>
          <w:szCs w:val="22"/>
          <w:u w:val="single"/>
          <w:lang w:val="sk-SK"/>
        </w:rPr>
      </w:pPr>
      <w:r w:rsidRPr="003D4D81">
        <w:rPr>
          <w:sz w:val="22"/>
          <w:szCs w:val="22"/>
          <w:u w:val="single"/>
          <w:lang w:val="sk-SK"/>
        </w:rPr>
        <w:t>Farmakokinetický/farmakodynamický (FK/FD) pomer</w:t>
      </w:r>
    </w:p>
    <w:p w:rsidR="008E2E93" w:rsidRPr="003D4D81" w:rsidRDefault="008E2E93" w:rsidP="008E2E93">
      <w:pPr>
        <w:autoSpaceDE w:val="0"/>
        <w:autoSpaceDN w:val="0"/>
        <w:adjustRightInd w:val="0"/>
        <w:spacing w:after="0"/>
        <w:jc w:val="left"/>
        <w:rPr>
          <w:sz w:val="22"/>
          <w:szCs w:val="22"/>
          <w:lang w:val="sk-SK" w:eastAsia="en-GB"/>
        </w:rPr>
      </w:pPr>
      <w:r w:rsidRPr="003D4D81">
        <w:rPr>
          <w:sz w:val="22"/>
          <w:szCs w:val="22"/>
          <w:lang w:val="sk-SK" w:eastAsia="en-GB"/>
        </w:rPr>
        <w:t xml:space="preserve">Analýza FK/FD pomeru ukázala, že srdcová frekvencia </w:t>
      </w:r>
      <w:r w:rsidR="006B2F92" w:rsidRPr="003D4D81">
        <w:rPr>
          <w:sz w:val="22"/>
          <w:szCs w:val="22"/>
          <w:lang w:val="sk-SK" w:eastAsia="en-GB"/>
        </w:rPr>
        <w:t xml:space="preserve">sa </w:t>
      </w:r>
      <w:r w:rsidRPr="003D4D81">
        <w:rPr>
          <w:sz w:val="22"/>
          <w:szCs w:val="22"/>
          <w:lang w:val="sk-SK" w:eastAsia="en-GB"/>
        </w:rPr>
        <w:t>znižuje takmer lineárne so zvyšujúcimi sa plazmatickými koncentráciami ivabradínu a S 18982 pre dávky do 15</w:t>
      </w:r>
      <w:r w:rsidR="00C230A9" w:rsidRPr="003D4D81">
        <w:rPr>
          <w:sz w:val="22"/>
          <w:szCs w:val="22"/>
          <w:lang w:val="sk-SK" w:eastAsia="en-GB"/>
        </w:rPr>
        <w:t> – </w:t>
      </w:r>
      <w:r w:rsidRPr="003D4D81">
        <w:rPr>
          <w:sz w:val="22"/>
          <w:szCs w:val="22"/>
          <w:lang w:val="sk-SK" w:eastAsia="en-GB"/>
        </w:rPr>
        <w:t>20</w:t>
      </w:r>
      <w:r w:rsidR="00C230A9" w:rsidRPr="003D4D81">
        <w:rPr>
          <w:sz w:val="22"/>
          <w:szCs w:val="22"/>
          <w:lang w:val="sk-SK" w:eastAsia="en-GB"/>
        </w:rPr>
        <w:t> mg</w:t>
      </w:r>
      <w:r w:rsidRPr="003D4D81">
        <w:rPr>
          <w:sz w:val="22"/>
          <w:szCs w:val="22"/>
          <w:lang w:val="sk-SK" w:eastAsia="en-GB"/>
        </w:rPr>
        <w:t xml:space="preserve"> dvakrát denne. Pri vyšších dávkach zníženie srdcovej frekvencie už nie je proporcionálne k plazmatickým koncentráciám ivabradínu a má tendenciu dosiahnuť plató. Vysoké expozície k ivabradínu, ktoré môžu nastať, keď je ivabradín podávaný v kombinácii so silnými inhibítormi CYP3A4, môžu viesť k nadmernému zníženiu srdcovej frekvencie, hoci toto riziko je menšie u stredne silných inhibítorov CYP3A4 (pozri časti 4.3, 4.4 a 4.5).</w:t>
      </w:r>
    </w:p>
    <w:p w:rsidR="00C13873" w:rsidRPr="003D4D81" w:rsidRDefault="008E2E93" w:rsidP="008E2E93">
      <w:pPr>
        <w:autoSpaceDE w:val="0"/>
        <w:autoSpaceDN w:val="0"/>
        <w:adjustRightInd w:val="0"/>
        <w:spacing w:after="0"/>
        <w:jc w:val="left"/>
        <w:rPr>
          <w:sz w:val="22"/>
          <w:szCs w:val="22"/>
          <w:lang w:val="sk-SK"/>
        </w:rPr>
      </w:pPr>
      <w:r w:rsidRPr="003D4D81">
        <w:rPr>
          <w:sz w:val="22"/>
          <w:szCs w:val="22"/>
          <w:lang w:val="sk-SK" w:eastAsia="en-GB"/>
        </w:rPr>
        <w:t>FK/FD pomer ivabradínu u pediatrických pacientov s chronickým srdcovým zlyhaním vo veku od 6 mesiacov do menej ako 18 rokov je podobný FK/FD pomeru opísanému u dospelých</w:t>
      </w:r>
      <w:r w:rsidR="00C13873" w:rsidRPr="003D4D81">
        <w:rPr>
          <w:sz w:val="22"/>
          <w:szCs w:val="22"/>
          <w:lang w:val="sk-SK"/>
        </w:rPr>
        <w:t>.</w:t>
      </w:r>
    </w:p>
    <w:p w:rsidR="00515E0D" w:rsidRPr="003D4D81" w:rsidRDefault="00515E0D"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5.3</w:t>
      </w:r>
      <w:r w:rsidR="00515E0D" w:rsidRPr="003D4D81">
        <w:rPr>
          <w:b/>
          <w:sz w:val="22"/>
          <w:szCs w:val="22"/>
          <w:lang w:val="sk-SK"/>
        </w:rPr>
        <w:tab/>
      </w:r>
      <w:r w:rsidR="00767A50" w:rsidRPr="003D4D81">
        <w:rPr>
          <w:b/>
          <w:sz w:val="22"/>
          <w:szCs w:val="22"/>
          <w:lang w:val="sk-SK"/>
        </w:rPr>
        <w:t>Predklinické údaje o bezpečnosti</w:t>
      </w:r>
    </w:p>
    <w:p w:rsidR="00262C35" w:rsidRPr="003D4D81" w:rsidRDefault="00262C35" w:rsidP="00572196">
      <w:pPr>
        <w:spacing w:after="0"/>
        <w:jc w:val="left"/>
        <w:rPr>
          <w:sz w:val="22"/>
          <w:szCs w:val="22"/>
          <w:lang w:val="sk-SK"/>
        </w:rPr>
      </w:pPr>
    </w:p>
    <w:p w:rsidR="008E2E93" w:rsidRPr="003D4D81" w:rsidRDefault="008E2E93" w:rsidP="008E2E93">
      <w:pPr>
        <w:autoSpaceDE w:val="0"/>
        <w:autoSpaceDN w:val="0"/>
        <w:adjustRightInd w:val="0"/>
        <w:spacing w:after="0"/>
        <w:jc w:val="left"/>
        <w:rPr>
          <w:sz w:val="22"/>
          <w:szCs w:val="22"/>
          <w:lang w:val="sk-SK" w:eastAsia="en-GB"/>
        </w:rPr>
      </w:pPr>
      <w:r w:rsidRPr="003D4D81">
        <w:rPr>
          <w:sz w:val="22"/>
          <w:szCs w:val="22"/>
          <w:lang w:val="sk-SK" w:eastAsia="en-GB"/>
        </w:rPr>
        <w:t>Predklinické údaje získané na základe obvyklých farmakologických štúdií bezpečnosti, toxicity po</w:t>
      </w:r>
      <w:r w:rsidR="00760999" w:rsidRPr="003D4D81">
        <w:rPr>
          <w:sz w:val="22"/>
          <w:szCs w:val="22"/>
          <w:lang w:val="sk-SK" w:eastAsia="en-GB"/>
        </w:rPr>
        <w:t xml:space="preserve"> </w:t>
      </w:r>
      <w:r w:rsidRPr="003D4D81">
        <w:rPr>
          <w:sz w:val="22"/>
          <w:szCs w:val="22"/>
          <w:lang w:val="sk-SK" w:eastAsia="en-GB"/>
        </w:rPr>
        <w:t>opakovanom podávaní, genotoxicity, karcinogénneho potenciálu neodhalili žiadne osobitné riziko pre</w:t>
      </w:r>
      <w:r w:rsidR="00760999" w:rsidRPr="003D4D81">
        <w:rPr>
          <w:sz w:val="22"/>
          <w:szCs w:val="22"/>
          <w:lang w:val="sk-SK" w:eastAsia="en-GB"/>
        </w:rPr>
        <w:t xml:space="preserve"> </w:t>
      </w:r>
      <w:r w:rsidRPr="003D4D81">
        <w:rPr>
          <w:sz w:val="22"/>
          <w:szCs w:val="22"/>
          <w:lang w:val="sk-SK" w:eastAsia="en-GB"/>
        </w:rPr>
        <w:t>ľudí. Štúdie reprodukčnej toxicity nepreukázali žiadny vplyv ivabradínu na fertilitu samcov a</w:t>
      </w:r>
      <w:r w:rsidR="00760999" w:rsidRPr="003D4D81">
        <w:rPr>
          <w:sz w:val="22"/>
          <w:szCs w:val="22"/>
          <w:lang w:val="sk-SK" w:eastAsia="en-GB"/>
        </w:rPr>
        <w:t> </w:t>
      </w:r>
      <w:r w:rsidRPr="003D4D81">
        <w:rPr>
          <w:sz w:val="22"/>
          <w:szCs w:val="22"/>
          <w:lang w:val="sk-SK" w:eastAsia="en-GB"/>
        </w:rPr>
        <w:t>samíc</w:t>
      </w:r>
      <w:r w:rsidR="00760999" w:rsidRPr="003D4D81">
        <w:rPr>
          <w:sz w:val="22"/>
          <w:szCs w:val="22"/>
          <w:lang w:val="sk-SK" w:eastAsia="en-GB"/>
        </w:rPr>
        <w:t xml:space="preserve"> </w:t>
      </w:r>
      <w:r w:rsidRPr="003D4D81">
        <w:rPr>
          <w:sz w:val="22"/>
          <w:szCs w:val="22"/>
          <w:lang w:val="sk-SK" w:eastAsia="en-GB"/>
        </w:rPr>
        <w:lastRenderedPageBreak/>
        <w:t>potkanov. Keď boli gravidné zvieratá liečené počas organogenézy pri vystavení účinkom dávok</w:t>
      </w:r>
      <w:r w:rsidR="00760999" w:rsidRPr="003D4D81">
        <w:rPr>
          <w:sz w:val="22"/>
          <w:szCs w:val="22"/>
          <w:lang w:val="sk-SK" w:eastAsia="en-GB"/>
        </w:rPr>
        <w:t xml:space="preserve"> </w:t>
      </w:r>
      <w:r w:rsidRPr="003D4D81">
        <w:rPr>
          <w:sz w:val="22"/>
          <w:szCs w:val="22"/>
          <w:lang w:val="sk-SK" w:eastAsia="en-GB"/>
        </w:rPr>
        <w:t>blízkych terapeutickým, bola vyššia incidencia plodov so srdcovými defektmi pri potkanoch a</w:t>
      </w:r>
      <w:r w:rsidR="00760999" w:rsidRPr="003D4D81">
        <w:rPr>
          <w:sz w:val="22"/>
          <w:szCs w:val="22"/>
          <w:lang w:val="sk-SK" w:eastAsia="en-GB"/>
        </w:rPr>
        <w:t> </w:t>
      </w:r>
      <w:r w:rsidRPr="003D4D81">
        <w:rPr>
          <w:sz w:val="22"/>
          <w:szCs w:val="22"/>
          <w:lang w:val="sk-SK" w:eastAsia="en-GB"/>
        </w:rPr>
        <w:t>nízky</w:t>
      </w:r>
      <w:r w:rsidR="00760999" w:rsidRPr="003D4D81">
        <w:rPr>
          <w:sz w:val="22"/>
          <w:szCs w:val="22"/>
          <w:lang w:val="sk-SK" w:eastAsia="en-GB"/>
        </w:rPr>
        <w:t xml:space="preserve"> </w:t>
      </w:r>
      <w:r w:rsidRPr="003D4D81">
        <w:rPr>
          <w:sz w:val="22"/>
          <w:szCs w:val="22"/>
          <w:lang w:val="sk-SK" w:eastAsia="en-GB"/>
        </w:rPr>
        <w:t>počet plodov s ektrodaktýliou pri králikoch.</w:t>
      </w:r>
    </w:p>
    <w:p w:rsidR="008E2E93" w:rsidRPr="003D4D81" w:rsidRDefault="008E2E93" w:rsidP="008E2E93">
      <w:pPr>
        <w:autoSpaceDE w:val="0"/>
        <w:autoSpaceDN w:val="0"/>
        <w:adjustRightInd w:val="0"/>
        <w:spacing w:after="0"/>
        <w:jc w:val="left"/>
        <w:rPr>
          <w:sz w:val="22"/>
          <w:szCs w:val="22"/>
          <w:lang w:val="sk-SK" w:eastAsia="en-GB"/>
        </w:rPr>
      </w:pPr>
      <w:r w:rsidRPr="003D4D81">
        <w:rPr>
          <w:sz w:val="22"/>
          <w:szCs w:val="22"/>
          <w:lang w:val="sk-SK" w:eastAsia="en-GB"/>
        </w:rPr>
        <w:t>U psov, ktorým bol podávaný ivabradín (dávky 2, 7 alebo 24</w:t>
      </w:r>
      <w:r w:rsidR="00C230A9" w:rsidRPr="003D4D81">
        <w:rPr>
          <w:sz w:val="22"/>
          <w:szCs w:val="22"/>
          <w:lang w:val="sk-SK" w:eastAsia="en-GB"/>
        </w:rPr>
        <w:t> mg</w:t>
      </w:r>
      <w:r w:rsidRPr="003D4D81">
        <w:rPr>
          <w:sz w:val="22"/>
          <w:szCs w:val="22"/>
          <w:lang w:val="sk-SK" w:eastAsia="en-GB"/>
        </w:rPr>
        <w:t>/kg/deň) počas jedného roka sa</w:t>
      </w:r>
      <w:r w:rsidR="00760999" w:rsidRPr="003D4D81">
        <w:rPr>
          <w:sz w:val="22"/>
          <w:szCs w:val="22"/>
          <w:lang w:val="sk-SK" w:eastAsia="en-GB"/>
        </w:rPr>
        <w:t xml:space="preserve"> </w:t>
      </w:r>
      <w:r w:rsidRPr="003D4D81">
        <w:rPr>
          <w:sz w:val="22"/>
          <w:szCs w:val="22"/>
          <w:lang w:val="sk-SK" w:eastAsia="en-GB"/>
        </w:rPr>
        <w:t>pozorovali reverzibilné zmeny vo funkcii sietnice, ale neboli spojené so žiadnym poškodením</w:t>
      </w:r>
      <w:r w:rsidR="00760999" w:rsidRPr="003D4D81">
        <w:rPr>
          <w:sz w:val="22"/>
          <w:szCs w:val="22"/>
          <w:lang w:val="sk-SK" w:eastAsia="en-GB"/>
        </w:rPr>
        <w:t xml:space="preserve"> </w:t>
      </w:r>
      <w:r w:rsidRPr="003D4D81">
        <w:rPr>
          <w:sz w:val="22"/>
          <w:szCs w:val="22"/>
          <w:lang w:val="sk-SK" w:eastAsia="en-GB"/>
        </w:rPr>
        <w:t>vizuálnych štruktúr. Tieto údaje sú v súlade s farmakologickým účinkom ivabradínu, ktorý sa týka</w:t>
      </w:r>
      <w:r w:rsidR="00760999" w:rsidRPr="003D4D81">
        <w:rPr>
          <w:sz w:val="22"/>
          <w:szCs w:val="22"/>
          <w:lang w:val="sk-SK" w:eastAsia="en-GB"/>
        </w:rPr>
        <w:t xml:space="preserve"> </w:t>
      </w:r>
      <w:r w:rsidRPr="003D4D81">
        <w:rPr>
          <w:sz w:val="22"/>
          <w:szCs w:val="22"/>
          <w:lang w:val="sk-SK" w:eastAsia="en-GB"/>
        </w:rPr>
        <w:t>jeho interakcie s hyperpolarizáciou aktivovaný</w:t>
      </w:r>
      <w:r w:rsidR="0092019F" w:rsidRPr="003D4D81">
        <w:rPr>
          <w:sz w:val="22"/>
          <w:szCs w:val="22"/>
          <w:lang w:val="sk-SK" w:eastAsia="en-GB"/>
        </w:rPr>
        <w:t>mi</w:t>
      </w:r>
      <w:r w:rsidRPr="003D4D81">
        <w:rPr>
          <w:sz w:val="22"/>
          <w:szCs w:val="22"/>
          <w:lang w:val="sk-SK" w:eastAsia="en-GB"/>
        </w:rPr>
        <w:t xml:space="preserve"> </w:t>
      </w:r>
      <w:r w:rsidR="00503C61" w:rsidRPr="003D4D81">
        <w:rPr>
          <w:sz w:val="22"/>
          <w:szCs w:val="22"/>
          <w:lang w:val="sk-SK"/>
        </w:rPr>
        <w:t>I</w:t>
      </w:r>
      <w:r w:rsidR="00503C61" w:rsidRPr="003D4D81">
        <w:rPr>
          <w:sz w:val="22"/>
          <w:szCs w:val="22"/>
          <w:vertAlign w:val="subscript"/>
          <w:lang w:val="sk-SK"/>
        </w:rPr>
        <w:t>h</w:t>
      </w:r>
      <w:r w:rsidR="00503C61" w:rsidRPr="003D4D81">
        <w:rPr>
          <w:sz w:val="22"/>
          <w:szCs w:val="22"/>
          <w:lang w:val="sk-SK"/>
        </w:rPr>
        <w:t xml:space="preserve"> </w:t>
      </w:r>
      <w:r w:rsidRPr="003D4D81">
        <w:rPr>
          <w:sz w:val="22"/>
          <w:szCs w:val="22"/>
          <w:lang w:val="sk-SK" w:eastAsia="en-GB"/>
        </w:rPr>
        <w:t>prúd</w:t>
      </w:r>
      <w:r w:rsidR="0092019F" w:rsidRPr="003D4D81">
        <w:rPr>
          <w:sz w:val="22"/>
          <w:szCs w:val="22"/>
          <w:lang w:val="sk-SK" w:eastAsia="en-GB"/>
        </w:rPr>
        <w:t>mi</w:t>
      </w:r>
      <w:r w:rsidRPr="003D4D81">
        <w:rPr>
          <w:sz w:val="22"/>
          <w:szCs w:val="22"/>
          <w:lang w:val="sk-SK" w:eastAsia="en-GB"/>
        </w:rPr>
        <w:t xml:space="preserve"> v sietnici, ktoré sú veľmi podobné s</w:t>
      </w:r>
      <w:r w:rsidR="00760999" w:rsidRPr="003D4D81">
        <w:rPr>
          <w:sz w:val="22"/>
          <w:szCs w:val="22"/>
          <w:lang w:val="sk-SK" w:eastAsia="en-GB"/>
        </w:rPr>
        <w:t> </w:t>
      </w:r>
      <w:r w:rsidR="00503C61" w:rsidRPr="003D4D81">
        <w:rPr>
          <w:sz w:val="22"/>
          <w:szCs w:val="22"/>
          <w:lang w:val="sk-SK"/>
        </w:rPr>
        <w:t>I</w:t>
      </w:r>
      <w:r w:rsidR="00503C61" w:rsidRPr="003D4D81">
        <w:rPr>
          <w:sz w:val="22"/>
          <w:szCs w:val="22"/>
          <w:vertAlign w:val="subscript"/>
          <w:lang w:val="sk-SK"/>
        </w:rPr>
        <w:t>f</w:t>
      </w:r>
      <w:r w:rsidR="00503C61" w:rsidRPr="003D4D81">
        <w:rPr>
          <w:sz w:val="22"/>
          <w:szCs w:val="22"/>
          <w:lang w:val="sk-SK"/>
        </w:rPr>
        <w:t xml:space="preserve"> </w:t>
      </w:r>
      <w:r w:rsidRPr="003D4D81">
        <w:rPr>
          <w:sz w:val="22"/>
          <w:szCs w:val="22"/>
          <w:lang w:val="sk-SK" w:eastAsia="en-GB"/>
        </w:rPr>
        <w:t>prúdmi sínusového uzla.</w:t>
      </w:r>
    </w:p>
    <w:p w:rsidR="008F44C0" w:rsidRPr="003D4D81" w:rsidRDefault="008E2E93" w:rsidP="00760999">
      <w:pPr>
        <w:autoSpaceDE w:val="0"/>
        <w:autoSpaceDN w:val="0"/>
        <w:adjustRightInd w:val="0"/>
        <w:spacing w:after="0"/>
        <w:jc w:val="left"/>
        <w:rPr>
          <w:sz w:val="22"/>
          <w:szCs w:val="22"/>
          <w:lang w:val="sk-SK"/>
        </w:rPr>
      </w:pPr>
      <w:r w:rsidRPr="003D4D81">
        <w:rPr>
          <w:sz w:val="22"/>
          <w:szCs w:val="22"/>
          <w:lang w:val="sk-SK" w:eastAsia="en-GB"/>
        </w:rPr>
        <w:t>Iné štúdie s dlhodobými opakovanými dávkami a štúdie zamerané na karcinogenitu neodhalili žiadne</w:t>
      </w:r>
      <w:r w:rsidR="00760999" w:rsidRPr="003D4D81">
        <w:rPr>
          <w:sz w:val="22"/>
          <w:szCs w:val="22"/>
          <w:lang w:val="sk-SK" w:eastAsia="en-GB"/>
        </w:rPr>
        <w:t xml:space="preserve"> </w:t>
      </w:r>
      <w:r w:rsidRPr="003D4D81">
        <w:rPr>
          <w:sz w:val="22"/>
          <w:szCs w:val="22"/>
          <w:lang w:val="sk-SK" w:eastAsia="en-GB"/>
        </w:rPr>
        <w:t>klinicky relevantné zmeny</w:t>
      </w:r>
      <w:r w:rsidR="008F44C0" w:rsidRPr="003D4D81">
        <w:rPr>
          <w:sz w:val="22"/>
          <w:szCs w:val="22"/>
          <w:lang w:val="sk-SK"/>
        </w:rPr>
        <w:t>.</w:t>
      </w:r>
    </w:p>
    <w:p w:rsidR="008F44C0" w:rsidRPr="003D4D81" w:rsidRDefault="008F44C0" w:rsidP="00572196">
      <w:pPr>
        <w:spacing w:after="0"/>
        <w:jc w:val="left"/>
        <w:rPr>
          <w:sz w:val="22"/>
          <w:szCs w:val="22"/>
          <w:lang w:val="sk-SK"/>
        </w:rPr>
      </w:pPr>
    </w:p>
    <w:p w:rsidR="008F44C0" w:rsidRPr="003D4D81" w:rsidRDefault="00760999" w:rsidP="00572196">
      <w:pPr>
        <w:spacing w:after="0"/>
        <w:jc w:val="left"/>
        <w:rPr>
          <w:sz w:val="22"/>
          <w:szCs w:val="22"/>
          <w:u w:val="single"/>
          <w:lang w:val="sk-SK"/>
        </w:rPr>
      </w:pPr>
      <w:r w:rsidRPr="003D4D81">
        <w:rPr>
          <w:sz w:val="22"/>
          <w:szCs w:val="22"/>
          <w:u w:val="single"/>
          <w:lang w:val="sk-SK"/>
        </w:rPr>
        <w:t>Hodnotenie enviro</w:t>
      </w:r>
      <w:r w:rsidR="00801966" w:rsidRPr="003D4D81">
        <w:rPr>
          <w:sz w:val="22"/>
          <w:szCs w:val="22"/>
          <w:u w:val="single"/>
          <w:lang w:val="sk-SK"/>
        </w:rPr>
        <w:t>n</w:t>
      </w:r>
      <w:r w:rsidRPr="003D4D81">
        <w:rPr>
          <w:sz w:val="22"/>
          <w:szCs w:val="22"/>
          <w:u w:val="single"/>
          <w:lang w:val="sk-SK"/>
        </w:rPr>
        <w:t>mentálneho rizika (ERA)</w:t>
      </w:r>
    </w:p>
    <w:p w:rsidR="00760999" w:rsidRPr="003D4D81" w:rsidRDefault="00760999" w:rsidP="00760999">
      <w:pPr>
        <w:autoSpaceDE w:val="0"/>
        <w:autoSpaceDN w:val="0"/>
        <w:adjustRightInd w:val="0"/>
        <w:spacing w:after="0"/>
        <w:jc w:val="left"/>
        <w:rPr>
          <w:sz w:val="22"/>
          <w:szCs w:val="22"/>
          <w:lang w:val="sk-SK" w:eastAsia="en-GB"/>
        </w:rPr>
      </w:pPr>
      <w:r w:rsidRPr="003D4D81">
        <w:rPr>
          <w:sz w:val="22"/>
          <w:szCs w:val="22"/>
          <w:lang w:val="sk-SK" w:eastAsia="en-GB"/>
        </w:rPr>
        <w:t>Hodnotenie enviro</w:t>
      </w:r>
      <w:r w:rsidR="00801966" w:rsidRPr="003D4D81">
        <w:rPr>
          <w:sz w:val="22"/>
          <w:szCs w:val="22"/>
          <w:lang w:val="sk-SK" w:eastAsia="en-GB"/>
        </w:rPr>
        <w:t>n</w:t>
      </w:r>
      <w:r w:rsidRPr="003D4D81">
        <w:rPr>
          <w:sz w:val="22"/>
          <w:szCs w:val="22"/>
          <w:lang w:val="sk-SK" w:eastAsia="en-GB"/>
        </w:rPr>
        <w:t>mentálneho rizika ivabradínu sa uskutočnilo podľa európskych smerníc týkajúcich sa ERA.</w:t>
      </w:r>
    </w:p>
    <w:p w:rsidR="008F44C0" w:rsidRPr="003D4D81" w:rsidRDefault="00760999" w:rsidP="00760999">
      <w:pPr>
        <w:autoSpaceDE w:val="0"/>
        <w:autoSpaceDN w:val="0"/>
        <w:adjustRightInd w:val="0"/>
        <w:spacing w:after="0"/>
        <w:jc w:val="left"/>
        <w:rPr>
          <w:sz w:val="22"/>
          <w:szCs w:val="22"/>
          <w:lang w:val="sk-SK"/>
        </w:rPr>
      </w:pPr>
      <w:r w:rsidRPr="003D4D81">
        <w:rPr>
          <w:sz w:val="22"/>
          <w:szCs w:val="22"/>
          <w:lang w:val="sk-SK" w:eastAsia="en-GB"/>
        </w:rPr>
        <w:t>Výsledky týchto hodnotení potvrdzujú, že neexistuje enviro</w:t>
      </w:r>
      <w:r w:rsidR="00801966" w:rsidRPr="003D4D81">
        <w:rPr>
          <w:sz w:val="22"/>
          <w:szCs w:val="22"/>
          <w:lang w:val="sk-SK" w:eastAsia="en-GB"/>
        </w:rPr>
        <w:t>n</w:t>
      </w:r>
      <w:r w:rsidRPr="003D4D81">
        <w:rPr>
          <w:sz w:val="22"/>
          <w:szCs w:val="22"/>
          <w:lang w:val="sk-SK" w:eastAsia="en-GB"/>
        </w:rPr>
        <w:t>mentálne riziko ivabradínu a že ivabradín nepredstavuje ohrozenie životného prostredia</w:t>
      </w:r>
      <w:r w:rsidR="008F44C0" w:rsidRPr="003D4D81">
        <w:rPr>
          <w:sz w:val="22"/>
          <w:szCs w:val="22"/>
          <w:lang w:val="sk-SK"/>
        </w:rPr>
        <w:t>.</w:t>
      </w:r>
    </w:p>
    <w:p w:rsidR="0095118A" w:rsidRPr="003D4D81" w:rsidRDefault="0095118A" w:rsidP="00572196">
      <w:pPr>
        <w:spacing w:after="0"/>
        <w:jc w:val="left"/>
        <w:rPr>
          <w:sz w:val="22"/>
          <w:szCs w:val="22"/>
          <w:lang w:val="sk-SK"/>
        </w:rPr>
      </w:pPr>
    </w:p>
    <w:p w:rsidR="009F66EE" w:rsidRPr="003D4D81" w:rsidRDefault="009F66EE" w:rsidP="00572196">
      <w:pPr>
        <w:spacing w:after="0"/>
        <w:jc w:val="left"/>
        <w:rPr>
          <w:sz w:val="22"/>
          <w:szCs w:val="22"/>
          <w:lang w:val="sk-SK"/>
        </w:rPr>
      </w:pPr>
    </w:p>
    <w:p w:rsidR="00E914C6" w:rsidRPr="003D4D81" w:rsidRDefault="00E914C6" w:rsidP="00E914C6">
      <w:pPr>
        <w:pStyle w:val="EMA2SPC"/>
        <w:keepNext/>
        <w:rPr>
          <w:lang w:val="sk-SK"/>
        </w:rPr>
      </w:pPr>
      <w:r w:rsidRPr="003D4D81">
        <w:rPr>
          <w:lang w:val="sk-SK"/>
        </w:rPr>
        <w:t>6.</w:t>
      </w:r>
      <w:r w:rsidRPr="003D4D81">
        <w:rPr>
          <w:lang w:val="sk-SK"/>
        </w:rPr>
        <w:tab/>
      </w:r>
      <w:r w:rsidR="00767A50" w:rsidRPr="003D4D81">
        <w:rPr>
          <w:lang w:val="sk-SK"/>
        </w:rPr>
        <w:t>FARMACEUTICKÉ INFORMÁCIE</w:t>
      </w:r>
    </w:p>
    <w:p w:rsidR="00262C35" w:rsidRPr="003D4D81" w:rsidRDefault="00262C35" w:rsidP="004842C0">
      <w:pPr>
        <w:spacing w:after="0"/>
        <w:jc w:val="left"/>
        <w:rPr>
          <w:sz w:val="22"/>
          <w:szCs w:val="22"/>
          <w:lang w:val="sk-SK" w:eastAsia="cs-CZ"/>
        </w:rPr>
      </w:pPr>
    </w:p>
    <w:p w:rsidR="00262C35" w:rsidRPr="003D4D81" w:rsidRDefault="00262C35" w:rsidP="004842C0">
      <w:pPr>
        <w:spacing w:after="0"/>
        <w:jc w:val="left"/>
        <w:rPr>
          <w:b/>
          <w:sz w:val="22"/>
          <w:szCs w:val="22"/>
          <w:lang w:val="sk-SK"/>
        </w:rPr>
      </w:pPr>
      <w:r w:rsidRPr="003D4D81">
        <w:rPr>
          <w:b/>
          <w:sz w:val="22"/>
          <w:szCs w:val="22"/>
          <w:lang w:val="sk-SK"/>
        </w:rPr>
        <w:t>6.1</w:t>
      </w:r>
      <w:r w:rsidR="00515E0D" w:rsidRPr="003D4D81">
        <w:rPr>
          <w:b/>
          <w:sz w:val="22"/>
          <w:szCs w:val="22"/>
          <w:lang w:val="sk-SK"/>
        </w:rPr>
        <w:tab/>
      </w:r>
      <w:r w:rsidR="00767A50" w:rsidRPr="003D4D81">
        <w:rPr>
          <w:b/>
          <w:sz w:val="22"/>
          <w:szCs w:val="22"/>
          <w:lang w:val="sk-SK"/>
        </w:rPr>
        <w:t>Zoznam pomocných látok</w:t>
      </w:r>
    </w:p>
    <w:p w:rsidR="00262C35" w:rsidRPr="003D4D81" w:rsidRDefault="00262C35" w:rsidP="004842C0">
      <w:pPr>
        <w:spacing w:after="0"/>
        <w:jc w:val="left"/>
        <w:rPr>
          <w:sz w:val="22"/>
          <w:szCs w:val="22"/>
          <w:lang w:val="sk-SK" w:eastAsia="cs-CZ"/>
        </w:rPr>
      </w:pPr>
    </w:p>
    <w:p w:rsidR="0061664F" w:rsidRPr="003D4D81" w:rsidRDefault="00CF4154" w:rsidP="004842C0">
      <w:pPr>
        <w:spacing w:after="0"/>
        <w:jc w:val="left"/>
        <w:rPr>
          <w:sz w:val="22"/>
          <w:szCs w:val="22"/>
          <w:lang w:val="sk-SK" w:eastAsia="cs-CZ"/>
        </w:rPr>
      </w:pPr>
      <w:r w:rsidRPr="003D4D81">
        <w:rPr>
          <w:sz w:val="22"/>
          <w:szCs w:val="22"/>
          <w:lang w:val="sk-SK" w:eastAsia="cs-CZ"/>
        </w:rPr>
        <w:t>Jadro</w:t>
      </w:r>
      <w:r w:rsidR="00486B85" w:rsidRPr="003D4D81">
        <w:rPr>
          <w:sz w:val="22"/>
          <w:szCs w:val="22"/>
          <w:lang w:val="sk-SK" w:eastAsia="cs-CZ"/>
        </w:rPr>
        <w:t>:</w:t>
      </w:r>
    </w:p>
    <w:p w:rsidR="00486B85" w:rsidRPr="003D4D81" w:rsidRDefault="00B93236" w:rsidP="004842C0">
      <w:pPr>
        <w:spacing w:after="0"/>
        <w:jc w:val="left"/>
        <w:rPr>
          <w:sz w:val="22"/>
          <w:szCs w:val="22"/>
          <w:lang w:val="sk-SK" w:eastAsia="cs-CZ"/>
        </w:rPr>
      </w:pPr>
      <w:r w:rsidRPr="003D4D81">
        <w:rPr>
          <w:sz w:val="22"/>
          <w:szCs w:val="22"/>
          <w:lang w:val="sk-SK" w:eastAsia="cs-CZ"/>
        </w:rPr>
        <w:t>m</w:t>
      </w:r>
      <w:r w:rsidR="00486B85" w:rsidRPr="003D4D81">
        <w:rPr>
          <w:sz w:val="22"/>
          <w:szCs w:val="22"/>
          <w:lang w:val="sk-SK" w:eastAsia="cs-CZ"/>
        </w:rPr>
        <w:t>anitol</w:t>
      </w:r>
    </w:p>
    <w:p w:rsidR="00486B85" w:rsidRPr="003D4D81" w:rsidRDefault="00B93236" w:rsidP="004842C0">
      <w:pPr>
        <w:spacing w:after="0"/>
        <w:jc w:val="left"/>
        <w:rPr>
          <w:sz w:val="22"/>
          <w:szCs w:val="22"/>
          <w:lang w:val="sk-SK" w:eastAsia="cs-CZ"/>
        </w:rPr>
      </w:pPr>
      <w:r w:rsidRPr="003D4D81">
        <w:rPr>
          <w:sz w:val="22"/>
          <w:szCs w:val="22"/>
          <w:lang w:val="sk-SK" w:eastAsia="cs-CZ"/>
        </w:rPr>
        <w:t>k</w:t>
      </w:r>
      <w:r w:rsidR="00486B85" w:rsidRPr="003D4D81">
        <w:rPr>
          <w:sz w:val="22"/>
          <w:szCs w:val="22"/>
          <w:lang w:val="sk-SK" w:eastAsia="cs-CZ"/>
        </w:rPr>
        <w:t>rospovid</w:t>
      </w:r>
      <w:r w:rsidR="00CF4154" w:rsidRPr="003D4D81">
        <w:rPr>
          <w:sz w:val="22"/>
          <w:szCs w:val="22"/>
          <w:lang w:val="sk-SK" w:eastAsia="cs-CZ"/>
        </w:rPr>
        <w:t>ó</w:t>
      </w:r>
      <w:r w:rsidR="00486B85" w:rsidRPr="003D4D81">
        <w:rPr>
          <w:sz w:val="22"/>
          <w:szCs w:val="22"/>
          <w:lang w:val="sk-SK" w:eastAsia="cs-CZ"/>
        </w:rPr>
        <w:t>n</w:t>
      </w:r>
    </w:p>
    <w:p w:rsidR="00486B85" w:rsidRPr="003D4D81" w:rsidRDefault="00B93236" w:rsidP="004842C0">
      <w:pPr>
        <w:spacing w:after="0"/>
        <w:jc w:val="left"/>
        <w:rPr>
          <w:sz w:val="22"/>
          <w:szCs w:val="22"/>
          <w:lang w:val="sk-SK" w:eastAsia="cs-CZ"/>
        </w:rPr>
      </w:pPr>
      <w:r w:rsidRPr="003D4D81">
        <w:rPr>
          <w:sz w:val="22"/>
          <w:szCs w:val="22"/>
          <w:lang w:val="sk-SK" w:eastAsia="en-GB"/>
        </w:rPr>
        <w:t>stear</w:t>
      </w:r>
      <w:r w:rsidR="0092019F" w:rsidRPr="003D4D81">
        <w:rPr>
          <w:sz w:val="22"/>
          <w:szCs w:val="22"/>
          <w:lang w:val="sk-SK" w:eastAsia="en-GB"/>
        </w:rPr>
        <w:t>an horečnatý</w:t>
      </w:r>
    </w:p>
    <w:p w:rsidR="00486B85" w:rsidRPr="003D4D81" w:rsidRDefault="00486B85" w:rsidP="004842C0">
      <w:pPr>
        <w:spacing w:after="0"/>
        <w:jc w:val="left"/>
        <w:rPr>
          <w:sz w:val="22"/>
          <w:szCs w:val="22"/>
          <w:lang w:val="sk-SK" w:eastAsia="cs-CZ"/>
        </w:rPr>
      </w:pPr>
    </w:p>
    <w:p w:rsidR="00486B85" w:rsidRPr="003D4D81" w:rsidRDefault="00CF4154" w:rsidP="004842C0">
      <w:pPr>
        <w:spacing w:after="0"/>
        <w:jc w:val="left"/>
        <w:rPr>
          <w:sz w:val="22"/>
          <w:szCs w:val="22"/>
          <w:lang w:val="sk-SK" w:eastAsia="cs-CZ"/>
        </w:rPr>
      </w:pPr>
      <w:r w:rsidRPr="003D4D81">
        <w:rPr>
          <w:sz w:val="22"/>
          <w:szCs w:val="22"/>
          <w:lang w:val="sk-SK" w:eastAsia="cs-CZ"/>
        </w:rPr>
        <w:t>Filmotvorná vrstva</w:t>
      </w:r>
      <w:r w:rsidR="00486B85" w:rsidRPr="003D4D81">
        <w:rPr>
          <w:sz w:val="22"/>
          <w:szCs w:val="22"/>
          <w:lang w:val="sk-SK" w:eastAsia="cs-CZ"/>
        </w:rPr>
        <w:t>:</w:t>
      </w:r>
    </w:p>
    <w:p w:rsidR="00CF4154" w:rsidRPr="003D4D81" w:rsidRDefault="00B93236" w:rsidP="00572196">
      <w:pPr>
        <w:spacing w:after="0"/>
        <w:jc w:val="left"/>
        <w:rPr>
          <w:sz w:val="22"/>
          <w:szCs w:val="22"/>
          <w:lang w:val="sk-SK" w:eastAsia="cs-CZ"/>
        </w:rPr>
      </w:pPr>
      <w:r w:rsidRPr="003D4D81">
        <w:rPr>
          <w:sz w:val="22"/>
          <w:szCs w:val="22"/>
          <w:lang w:val="sk-SK" w:eastAsia="en-GB"/>
        </w:rPr>
        <w:t>h</w:t>
      </w:r>
      <w:r w:rsidR="00CF4154" w:rsidRPr="003D4D81">
        <w:rPr>
          <w:sz w:val="22"/>
          <w:szCs w:val="22"/>
          <w:lang w:val="sk-SK" w:eastAsia="en-GB"/>
        </w:rPr>
        <w:t>ypromelóza</w:t>
      </w:r>
      <w:r w:rsidR="00CF4154" w:rsidRPr="003D4D81">
        <w:rPr>
          <w:sz w:val="22"/>
          <w:szCs w:val="22"/>
          <w:lang w:val="sk-SK" w:eastAsia="cs-CZ"/>
        </w:rPr>
        <w:t xml:space="preserve"> </w:t>
      </w:r>
    </w:p>
    <w:p w:rsidR="00ED5417" w:rsidRPr="003D4D81" w:rsidRDefault="00B93236" w:rsidP="00572196">
      <w:pPr>
        <w:spacing w:after="0"/>
        <w:jc w:val="left"/>
        <w:rPr>
          <w:sz w:val="22"/>
          <w:szCs w:val="22"/>
          <w:lang w:val="sk-SK" w:eastAsia="cs-CZ"/>
        </w:rPr>
      </w:pPr>
      <w:r w:rsidRPr="003D4D81">
        <w:rPr>
          <w:sz w:val="22"/>
          <w:szCs w:val="22"/>
          <w:lang w:val="sk-SK" w:eastAsia="en-GB"/>
        </w:rPr>
        <w:t>o</w:t>
      </w:r>
      <w:r w:rsidR="00CF4154" w:rsidRPr="003D4D81">
        <w:rPr>
          <w:sz w:val="22"/>
          <w:szCs w:val="22"/>
          <w:lang w:val="sk-SK" w:eastAsia="en-GB"/>
        </w:rPr>
        <w:t>xid titaničitý</w:t>
      </w:r>
      <w:r w:rsidRPr="003D4D81">
        <w:rPr>
          <w:sz w:val="22"/>
          <w:szCs w:val="22"/>
          <w:lang w:val="sk-SK" w:eastAsia="en-GB"/>
        </w:rPr>
        <w:t xml:space="preserve"> (E171)</w:t>
      </w:r>
    </w:p>
    <w:p w:rsidR="00515E0D" w:rsidRPr="003D4D81" w:rsidRDefault="00B93236" w:rsidP="00572196">
      <w:pPr>
        <w:spacing w:after="0"/>
        <w:jc w:val="left"/>
        <w:rPr>
          <w:sz w:val="22"/>
          <w:szCs w:val="22"/>
          <w:lang w:val="sk-SK" w:eastAsia="cs-CZ"/>
        </w:rPr>
      </w:pPr>
      <w:r w:rsidRPr="003D4D81">
        <w:rPr>
          <w:sz w:val="22"/>
          <w:szCs w:val="22"/>
          <w:lang w:val="sk-SK" w:eastAsia="en-GB"/>
        </w:rPr>
        <w:t>m</w:t>
      </w:r>
      <w:r w:rsidR="00801B24" w:rsidRPr="003D4D81">
        <w:rPr>
          <w:sz w:val="22"/>
          <w:szCs w:val="22"/>
          <w:lang w:val="sk-SK" w:eastAsia="en-GB"/>
        </w:rPr>
        <w:t>akrogol</w:t>
      </w:r>
      <w:r w:rsidR="00801B24" w:rsidRPr="003D4D81">
        <w:rPr>
          <w:sz w:val="22"/>
          <w:szCs w:val="22"/>
          <w:lang w:val="sk-SK" w:eastAsia="cs-CZ"/>
        </w:rPr>
        <w:t xml:space="preserve"> </w:t>
      </w:r>
      <w:r w:rsidR="000B325D" w:rsidRPr="003D4D81">
        <w:rPr>
          <w:sz w:val="22"/>
          <w:szCs w:val="22"/>
          <w:lang w:val="sk-SK" w:eastAsia="cs-CZ"/>
        </w:rPr>
        <w:t>400</w:t>
      </w:r>
    </w:p>
    <w:p w:rsidR="00486B85" w:rsidRPr="003D4D81" w:rsidRDefault="00B93236" w:rsidP="00572196">
      <w:pPr>
        <w:spacing w:after="0"/>
        <w:jc w:val="left"/>
        <w:rPr>
          <w:sz w:val="22"/>
          <w:szCs w:val="22"/>
          <w:lang w:val="sk-SK" w:eastAsia="en-GB"/>
        </w:rPr>
      </w:pPr>
      <w:r w:rsidRPr="003D4D81">
        <w:rPr>
          <w:sz w:val="22"/>
          <w:szCs w:val="22"/>
          <w:lang w:val="sk-SK" w:eastAsia="en-GB"/>
        </w:rPr>
        <w:t>g</w:t>
      </w:r>
      <w:r w:rsidR="00801B24" w:rsidRPr="003D4D81">
        <w:rPr>
          <w:sz w:val="22"/>
          <w:szCs w:val="22"/>
          <w:lang w:val="sk-SK" w:eastAsia="en-GB"/>
        </w:rPr>
        <w:t>lycerol</w:t>
      </w:r>
    </w:p>
    <w:p w:rsidR="00801B24" w:rsidRPr="003D4D81" w:rsidRDefault="00801B24"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6.2</w:t>
      </w:r>
      <w:r w:rsidR="00515E0D" w:rsidRPr="003D4D81">
        <w:rPr>
          <w:b/>
          <w:sz w:val="22"/>
          <w:szCs w:val="22"/>
          <w:lang w:val="sk-SK"/>
        </w:rPr>
        <w:tab/>
      </w:r>
      <w:r w:rsidR="00767A50" w:rsidRPr="003D4D81">
        <w:rPr>
          <w:b/>
          <w:sz w:val="22"/>
          <w:szCs w:val="22"/>
          <w:lang w:val="sk-SK"/>
        </w:rPr>
        <w:t>Inkompatibility</w:t>
      </w:r>
    </w:p>
    <w:p w:rsidR="00262C35" w:rsidRPr="003D4D81" w:rsidRDefault="00262C35" w:rsidP="00572196">
      <w:pPr>
        <w:spacing w:after="0"/>
        <w:jc w:val="left"/>
        <w:rPr>
          <w:sz w:val="22"/>
          <w:szCs w:val="22"/>
          <w:lang w:val="sk-SK"/>
        </w:rPr>
      </w:pPr>
    </w:p>
    <w:p w:rsidR="00262C35" w:rsidRPr="003D4D81" w:rsidRDefault="00801B24" w:rsidP="00572196">
      <w:pPr>
        <w:spacing w:after="0"/>
        <w:jc w:val="left"/>
        <w:rPr>
          <w:b/>
          <w:sz w:val="22"/>
          <w:szCs w:val="22"/>
          <w:lang w:val="sk-SK"/>
        </w:rPr>
      </w:pPr>
      <w:r w:rsidRPr="003D4D81">
        <w:rPr>
          <w:sz w:val="22"/>
          <w:szCs w:val="22"/>
          <w:lang w:val="sk-SK"/>
        </w:rPr>
        <w:t>Neap</w:t>
      </w:r>
      <w:r w:rsidRPr="003D4D81">
        <w:rPr>
          <w:sz w:val="22"/>
          <w:szCs w:val="22"/>
          <w:lang w:val="sk-SK" w:eastAsia="en-GB"/>
        </w:rPr>
        <w:t>likovateľné</w:t>
      </w:r>
      <w:r w:rsidR="00262C35" w:rsidRPr="003D4D81">
        <w:rPr>
          <w:sz w:val="22"/>
          <w:szCs w:val="22"/>
          <w:lang w:val="sk-SK"/>
        </w:rPr>
        <w:t>.</w:t>
      </w:r>
    </w:p>
    <w:p w:rsidR="00262C35" w:rsidRPr="003D4D81" w:rsidRDefault="00262C35"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6.3</w:t>
      </w:r>
      <w:r w:rsidR="00515E0D" w:rsidRPr="003D4D81">
        <w:rPr>
          <w:b/>
          <w:sz w:val="22"/>
          <w:szCs w:val="22"/>
          <w:lang w:val="sk-SK"/>
        </w:rPr>
        <w:tab/>
      </w:r>
      <w:r w:rsidR="00767A50" w:rsidRPr="003D4D81">
        <w:rPr>
          <w:b/>
          <w:sz w:val="22"/>
          <w:szCs w:val="22"/>
          <w:lang w:val="sk-SK"/>
        </w:rPr>
        <w:t>Čas použiteľnosti</w:t>
      </w:r>
    </w:p>
    <w:p w:rsidR="00ED5417" w:rsidRPr="003D4D81" w:rsidRDefault="00ED5417" w:rsidP="00572196">
      <w:pPr>
        <w:spacing w:after="0"/>
        <w:jc w:val="left"/>
        <w:rPr>
          <w:sz w:val="22"/>
          <w:szCs w:val="22"/>
          <w:highlight w:val="yellow"/>
          <w:lang w:val="sk-SK"/>
        </w:rPr>
      </w:pPr>
    </w:p>
    <w:p w:rsidR="00332432" w:rsidRPr="003D4D81" w:rsidRDefault="009B0808" w:rsidP="00572196">
      <w:pPr>
        <w:spacing w:after="0"/>
        <w:jc w:val="left"/>
        <w:rPr>
          <w:sz w:val="22"/>
          <w:szCs w:val="22"/>
          <w:lang w:val="sk-SK"/>
        </w:rPr>
      </w:pPr>
      <w:r>
        <w:rPr>
          <w:sz w:val="22"/>
          <w:szCs w:val="22"/>
          <w:lang w:val="sk-SK"/>
        </w:rPr>
        <w:t>2 roky</w:t>
      </w:r>
    </w:p>
    <w:p w:rsidR="00262C35" w:rsidRPr="003D4D81" w:rsidRDefault="00262C35" w:rsidP="00572196">
      <w:pPr>
        <w:spacing w:after="0"/>
        <w:jc w:val="left"/>
        <w:rPr>
          <w:b/>
          <w:sz w:val="22"/>
          <w:szCs w:val="22"/>
          <w:lang w:val="sk-SK"/>
        </w:rPr>
      </w:pPr>
      <w:r w:rsidRPr="003D4D81">
        <w:rPr>
          <w:b/>
          <w:sz w:val="22"/>
          <w:szCs w:val="22"/>
          <w:lang w:val="sk-SK"/>
        </w:rPr>
        <w:t>6.4</w:t>
      </w:r>
      <w:r w:rsidR="00515E0D" w:rsidRPr="003D4D81">
        <w:rPr>
          <w:b/>
          <w:sz w:val="22"/>
          <w:szCs w:val="22"/>
          <w:lang w:val="sk-SK"/>
        </w:rPr>
        <w:tab/>
      </w:r>
      <w:r w:rsidR="00767A50" w:rsidRPr="003D4D81">
        <w:rPr>
          <w:b/>
          <w:sz w:val="22"/>
          <w:szCs w:val="22"/>
          <w:lang w:val="sk-SK"/>
        </w:rPr>
        <w:t>Špeciálne upozornenia na uchovávanie</w:t>
      </w:r>
    </w:p>
    <w:p w:rsidR="00262C35" w:rsidRPr="003D4D81" w:rsidRDefault="00262C35" w:rsidP="00572196">
      <w:pPr>
        <w:spacing w:after="0"/>
        <w:jc w:val="left"/>
        <w:rPr>
          <w:sz w:val="22"/>
          <w:szCs w:val="22"/>
          <w:lang w:val="sk-SK"/>
        </w:rPr>
      </w:pPr>
    </w:p>
    <w:p w:rsidR="00ED5417" w:rsidRPr="003D4D81" w:rsidRDefault="00AD2809" w:rsidP="00572196">
      <w:pPr>
        <w:spacing w:after="0"/>
        <w:jc w:val="left"/>
        <w:rPr>
          <w:sz w:val="22"/>
          <w:szCs w:val="22"/>
          <w:lang w:val="sk-SK" w:eastAsia="cs-CZ"/>
        </w:rPr>
      </w:pPr>
      <w:r w:rsidRPr="003D4D81">
        <w:rPr>
          <w:sz w:val="22"/>
          <w:szCs w:val="22"/>
          <w:lang w:val="sk-SK" w:eastAsia="cs-CZ"/>
        </w:rPr>
        <w:t xml:space="preserve">Uchovávajte pri teplote do </w:t>
      </w:r>
      <w:r w:rsidR="004E770C" w:rsidRPr="003D4D81">
        <w:rPr>
          <w:sz w:val="22"/>
          <w:szCs w:val="22"/>
          <w:lang w:val="sk-SK" w:eastAsia="cs-CZ"/>
        </w:rPr>
        <w:t>25</w:t>
      </w:r>
      <w:r w:rsidR="000B325D" w:rsidRPr="003D4D81">
        <w:rPr>
          <w:sz w:val="22"/>
          <w:szCs w:val="22"/>
          <w:lang w:val="sk-SK" w:eastAsia="cs-CZ"/>
        </w:rPr>
        <w:t xml:space="preserve"> </w:t>
      </w:r>
      <w:r w:rsidR="004E770C" w:rsidRPr="003D4D81">
        <w:rPr>
          <w:sz w:val="22"/>
          <w:szCs w:val="22"/>
          <w:lang w:val="sk-SK" w:eastAsia="cs-CZ"/>
        </w:rPr>
        <w:t>°C</w:t>
      </w:r>
      <w:r w:rsidRPr="003D4D81">
        <w:rPr>
          <w:noProof/>
          <w:sz w:val="22"/>
          <w:szCs w:val="22"/>
          <w:lang w:val="sk-SK"/>
        </w:rPr>
        <w:t xml:space="preserve"> v pôvodnom obale na ochranu pred vlhkosťou</w:t>
      </w:r>
      <w:r w:rsidR="00B2424B" w:rsidRPr="003D4D81">
        <w:rPr>
          <w:sz w:val="22"/>
          <w:szCs w:val="22"/>
          <w:lang w:val="sk-SK" w:eastAsia="cs-CZ"/>
        </w:rPr>
        <w:t>.</w:t>
      </w:r>
    </w:p>
    <w:p w:rsidR="00B2424B" w:rsidRPr="003D4D81" w:rsidRDefault="00B2424B"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6.5</w:t>
      </w:r>
      <w:r w:rsidR="00515E0D" w:rsidRPr="003D4D81">
        <w:rPr>
          <w:b/>
          <w:sz w:val="22"/>
          <w:szCs w:val="22"/>
          <w:lang w:val="sk-SK"/>
        </w:rPr>
        <w:tab/>
      </w:r>
      <w:r w:rsidR="00767A50" w:rsidRPr="003D4D81">
        <w:rPr>
          <w:b/>
          <w:sz w:val="22"/>
          <w:szCs w:val="22"/>
          <w:lang w:val="sk-SK"/>
        </w:rPr>
        <w:t>Druh obalu a obsah balenia</w:t>
      </w:r>
    </w:p>
    <w:p w:rsidR="00262C35" w:rsidRPr="003D4D81" w:rsidRDefault="00262C35" w:rsidP="00572196">
      <w:pPr>
        <w:spacing w:after="0"/>
        <w:jc w:val="left"/>
        <w:rPr>
          <w:sz w:val="22"/>
          <w:szCs w:val="22"/>
          <w:lang w:val="sk-SK"/>
        </w:rPr>
      </w:pPr>
    </w:p>
    <w:p w:rsidR="00486B85" w:rsidRPr="003D4D81" w:rsidRDefault="00B851AA" w:rsidP="00B851AA">
      <w:pPr>
        <w:spacing w:after="0"/>
        <w:jc w:val="left"/>
        <w:rPr>
          <w:sz w:val="22"/>
          <w:szCs w:val="22"/>
          <w:lang w:val="sk-SK"/>
        </w:rPr>
      </w:pPr>
      <w:r w:rsidRPr="003D4D81">
        <w:rPr>
          <w:sz w:val="22"/>
          <w:szCs w:val="22"/>
          <w:lang w:val="sk-SK"/>
        </w:rPr>
        <w:t>OPA/Alu/PVC-Alu</w:t>
      </w:r>
      <w:r w:rsidR="00A00254" w:rsidRPr="003D4D81">
        <w:rPr>
          <w:sz w:val="22"/>
          <w:szCs w:val="22"/>
          <w:lang w:val="sk-SK"/>
        </w:rPr>
        <w:t xml:space="preserve"> blistr</w:t>
      </w:r>
      <w:r w:rsidR="00AD2809" w:rsidRPr="003D4D81">
        <w:rPr>
          <w:sz w:val="22"/>
          <w:szCs w:val="22"/>
          <w:lang w:val="sk-SK"/>
        </w:rPr>
        <w:t>e</w:t>
      </w:r>
      <w:r w:rsidR="00A00254" w:rsidRPr="003D4D81">
        <w:rPr>
          <w:sz w:val="22"/>
          <w:szCs w:val="22"/>
          <w:lang w:val="sk-SK"/>
        </w:rPr>
        <w:t xml:space="preserve">, </w:t>
      </w:r>
      <w:r w:rsidR="0071019A" w:rsidRPr="003D4D81">
        <w:rPr>
          <w:sz w:val="22"/>
          <w:szCs w:val="22"/>
          <w:lang w:val="sk-SK"/>
        </w:rPr>
        <w:t>papierová</w:t>
      </w:r>
      <w:r w:rsidR="00BA436A" w:rsidRPr="003D4D81">
        <w:rPr>
          <w:sz w:val="22"/>
          <w:szCs w:val="22"/>
          <w:lang w:val="sk-SK"/>
        </w:rPr>
        <w:t xml:space="preserve"> </w:t>
      </w:r>
      <w:r w:rsidR="0071019A" w:rsidRPr="003D4D81">
        <w:rPr>
          <w:sz w:val="22"/>
          <w:szCs w:val="22"/>
          <w:lang w:val="sk-SK"/>
        </w:rPr>
        <w:t>škatuľka</w:t>
      </w:r>
      <w:r w:rsidR="00A00254" w:rsidRPr="003D4D81">
        <w:rPr>
          <w:sz w:val="22"/>
          <w:szCs w:val="22"/>
          <w:lang w:val="sk-SK"/>
        </w:rPr>
        <w:t>.</w:t>
      </w:r>
    </w:p>
    <w:p w:rsidR="00B25BDF" w:rsidRPr="006411FF" w:rsidRDefault="0071019A" w:rsidP="00572196">
      <w:pPr>
        <w:spacing w:after="0"/>
        <w:jc w:val="left"/>
        <w:rPr>
          <w:sz w:val="22"/>
          <w:szCs w:val="22"/>
          <w:lang w:val="sk-SK"/>
        </w:rPr>
      </w:pPr>
      <w:r w:rsidRPr="003D4D81">
        <w:rPr>
          <w:sz w:val="22"/>
          <w:szCs w:val="22"/>
          <w:lang w:val="sk-SK"/>
        </w:rPr>
        <w:t>Veľkosť balenia</w:t>
      </w:r>
      <w:r w:rsidR="00B25BDF" w:rsidRPr="003D4D81">
        <w:rPr>
          <w:sz w:val="22"/>
          <w:szCs w:val="22"/>
          <w:lang w:val="sk-SK"/>
        </w:rPr>
        <w:t>:</w:t>
      </w:r>
    </w:p>
    <w:p w:rsidR="00B25BDF" w:rsidRPr="003D4D81" w:rsidRDefault="00F31591" w:rsidP="00572196">
      <w:pPr>
        <w:spacing w:after="0"/>
        <w:jc w:val="left"/>
        <w:rPr>
          <w:sz w:val="22"/>
          <w:szCs w:val="22"/>
          <w:lang w:val="sk-SK"/>
        </w:rPr>
      </w:pPr>
      <w:r w:rsidRPr="003D4D81">
        <w:rPr>
          <w:sz w:val="22"/>
          <w:szCs w:val="22"/>
          <w:lang w:val="sk-SK"/>
        </w:rPr>
        <w:t>Ilibrift</w:t>
      </w:r>
      <w:r w:rsidR="00B25BDF" w:rsidRPr="003D4D81">
        <w:rPr>
          <w:sz w:val="22"/>
          <w:szCs w:val="22"/>
          <w:lang w:val="sk-SK"/>
        </w:rPr>
        <w:t xml:space="preserve"> 5</w:t>
      </w:r>
      <w:r w:rsidR="00C230A9" w:rsidRPr="003D4D81">
        <w:rPr>
          <w:sz w:val="22"/>
          <w:szCs w:val="22"/>
          <w:lang w:val="sk-SK"/>
        </w:rPr>
        <w:t> mg</w:t>
      </w:r>
      <w:r w:rsidR="00B25BDF" w:rsidRPr="003D4D81">
        <w:rPr>
          <w:sz w:val="22"/>
          <w:szCs w:val="22"/>
          <w:lang w:val="sk-SK"/>
        </w:rPr>
        <w:t>: 14, 28, 56, 84, 98, 100, 112 film</w:t>
      </w:r>
      <w:r w:rsidR="0071019A" w:rsidRPr="003D4D81">
        <w:rPr>
          <w:sz w:val="22"/>
          <w:szCs w:val="22"/>
          <w:lang w:val="sk-SK"/>
        </w:rPr>
        <w:t>om obalené tablety</w:t>
      </w:r>
    </w:p>
    <w:p w:rsidR="00B25BDF" w:rsidRPr="006411FF" w:rsidRDefault="00F31591" w:rsidP="00572196">
      <w:pPr>
        <w:spacing w:after="0"/>
        <w:jc w:val="left"/>
        <w:rPr>
          <w:sz w:val="22"/>
          <w:szCs w:val="22"/>
          <w:lang w:val="sk-SK"/>
        </w:rPr>
      </w:pPr>
      <w:r w:rsidRPr="006411FF">
        <w:rPr>
          <w:sz w:val="22"/>
          <w:szCs w:val="22"/>
          <w:lang w:val="sk-SK"/>
        </w:rPr>
        <w:t>Ilibrift</w:t>
      </w:r>
      <w:r w:rsidR="00B25BDF" w:rsidRPr="006411FF">
        <w:rPr>
          <w:sz w:val="22"/>
          <w:szCs w:val="22"/>
          <w:lang w:val="sk-SK"/>
        </w:rPr>
        <w:t xml:space="preserve"> 7</w:t>
      </w:r>
      <w:r w:rsidR="0071019A" w:rsidRPr="006411FF">
        <w:rPr>
          <w:sz w:val="22"/>
          <w:szCs w:val="22"/>
          <w:lang w:val="sk-SK"/>
        </w:rPr>
        <w:t>,</w:t>
      </w:r>
      <w:r w:rsidR="00B25BDF" w:rsidRPr="006411FF">
        <w:rPr>
          <w:sz w:val="22"/>
          <w:szCs w:val="22"/>
          <w:lang w:val="sk-SK"/>
        </w:rPr>
        <w:t>5</w:t>
      </w:r>
      <w:r w:rsidR="00C230A9" w:rsidRPr="006411FF">
        <w:rPr>
          <w:sz w:val="22"/>
          <w:szCs w:val="22"/>
          <w:lang w:val="sk-SK"/>
        </w:rPr>
        <w:t> mg</w:t>
      </w:r>
      <w:r w:rsidR="00B25BDF" w:rsidRPr="006411FF">
        <w:rPr>
          <w:sz w:val="22"/>
          <w:szCs w:val="22"/>
          <w:lang w:val="sk-SK"/>
        </w:rPr>
        <w:t>: 14, 28, 56, 84, 98, 100, 112 film</w:t>
      </w:r>
      <w:r w:rsidR="0071019A" w:rsidRPr="006411FF">
        <w:rPr>
          <w:sz w:val="22"/>
          <w:szCs w:val="22"/>
          <w:lang w:val="sk-SK"/>
        </w:rPr>
        <w:t>om obalené tablety</w:t>
      </w:r>
    </w:p>
    <w:p w:rsidR="00B25BDF" w:rsidRPr="003D4D81" w:rsidRDefault="00B25BDF" w:rsidP="00572196">
      <w:pPr>
        <w:spacing w:after="0"/>
        <w:jc w:val="left"/>
        <w:rPr>
          <w:sz w:val="22"/>
          <w:szCs w:val="22"/>
          <w:lang w:val="sk-SK"/>
        </w:rPr>
      </w:pPr>
    </w:p>
    <w:p w:rsidR="003A16C4" w:rsidRPr="003D4D81" w:rsidRDefault="0071019A" w:rsidP="00572196">
      <w:pPr>
        <w:spacing w:after="0"/>
        <w:jc w:val="left"/>
        <w:rPr>
          <w:sz w:val="22"/>
          <w:szCs w:val="22"/>
          <w:lang w:val="sk-SK"/>
        </w:rPr>
      </w:pPr>
      <w:r w:rsidRPr="003D4D81">
        <w:rPr>
          <w:sz w:val="22"/>
          <w:szCs w:val="22"/>
          <w:lang w:val="sk-SK" w:eastAsia="en-GB"/>
        </w:rPr>
        <w:t>Na trh nemusia byť uvedené všetky veľkosti balenia.</w:t>
      </w:r>
    </w:p>
    <w:p w:rsidR="00A260B4" w:rsidRPr="003D4D81" w:rsidRDefault="00A260B4" w:rsidP="00572196">
      <w:pPr>
        <w:spacing w:after="0"/>
        <w:jc w:val="left"/>
        <w:rPr>
          <w:sz w:val="22"/>
          <w:szCs w:val="22"/>
          <w:lang w:val="sk-SK"/>
        </w:rPr>
      </w:pPr>
    </w:p>
    <w:p w:rsidR="00262C35" w:rsidRPr="003D4D81" w:rsidRDefault="00262C35" w:rsidP="00572196">
      <w:pPr>
        <w:spacing w:after="0"/>
        <w:jc w:val="left"/>
        <w:rPr>
          <w:b/>
          <w:sz w:val="22"/>
          <w:szCs w:val="22"/>
          <w:lang w:val="sk-SK"/>
        </w:rPr>
      </w:pPr>
      <w:r w:rsidRPr="003D4D81">
        <w:rPr>
          <w:b/>
          <w:sz w:val="22"/>
          <w:szCs w:val="22"/>
          <w:lang w:val="sk-SK"/>
        </w:rPr>
        <w:t>6.6</w:t>
      </w:r>
      <w:r w:rsidR="00515E0D" w:rsidRPr="003D4D81">
        <w:rPr>
          <w:b/>
          <w:sz w:val="22"/>
          <w:szCs w:val="22"/>
          <w:lang w:val="sk-SK"/>
        </w:rPr>
        <w:tab/>
      </w:r>
      <w:r w:rsidR="00767A50" w:rsidRPr="003D4D81">
        <w:rPr>
          <w:b/>
          <w:sz w:val="22"/>
          <w:szCs w:val="22"/>
          <w:lang w:val="sk-SK"/>
        </w:rPr>
        <w:t>Špeciálne opatrenia na likvidáciu a</w:t>
      </w:r>
      <w:r w:rsidR="00767A50" w:rsidRPr="003D4D81">
        <w:rPr>
          <w:b/>
          <w:noProof/>
          <w:sz w:val="22"/>
          <w:szCs w:val="22"/>
          <w:lang w:val="sk-SK"/>
        </w:rPr>
        <w:t> </w:t>
      </w:r>
      <w:r w:rsidR="00767A50" w:rsidRPr="003D4D81">
        <w:rPr>
          <w:b/>
          <w:sz w:val="22"/>
          <w:szCs w:val="22"/>
          <w:lang w:val="sk-SK"/>
        </w:rPr>
        <w:t>iné zaobchádzanie s</w:t>
      </w:r>
      <w:r w:rsidR="00767A50" w:rsidRPr="003D4D81">
        <w:rPr>
          <w:b/>
          <w:noProof/>
          <w:sz w:val="22"/>
          <w:szCs w:val="22"/>
          <w:lang w:val="sk-SK"/>
        </w:rPr>
        <w:t> </w:t>
      </w:r>
      <w:r w:rsidR="00767A50" w:rsidRPr="003D4D81">
        <w:rPr>
          <w:b/>
          <w:sz w:val="22"/>
          <w:szCs w:val="22"/>
          <w:lang w:val="sk-SK"/>
        </w:rPr>
        <w:t>liekom</w:t>
      </w:r>
    </w:p>
    <w:p w:rsidR="00B44411" w:rsidRPr="003D4D81" w:rsidRDefault="00767A50" w:rsidP="00767A50">
      <w:pPr>
        <w:tabs>
          <w:tab w:val="left" w:pos="1680"/>
        </w:tabs>
        <w:spacing w:after="0"/>
        <w:jc w:val="left"/>
        <w:rPr>
          <w:sz w:val="22"/>
          <w:szCs w:val="22"/>
          <w:lang w:val="sk-SK"/>
        </w:rPr>
      </w:pPr>
      <w:r w:rsidRPr="003D4D81">
        <w:rPr>
          <w:sz w:val="22"/>
          <w:szCs w:val="22"/>
          <w:lang w:val="sk-SK"/>
        </w:rPr>
        <w:tab/>
      </w:r>
    </w:p>
    <w:p w:rsidR="00A260B4" w:rsidRPr="003D4D81" w:rsidRDefault="0071019A" w:rsidP="0071019A">
      <w:pPr>
        <w:autoSpaceDE w:val="0"/>
        <w:autoSpaceDN w:val="0"/>
        <w:adjustRightInd w:val="0"/>
        <w:spacing w:after="0"/>
        <w:jc w:val="left"/>
        <w:rPr>
          <w:sz w:val="22"/>
          <w:szCs w:val="22"/>
          <w:lang w:val="sk-SK"/>
        </w:rPr>
      </w:pPr>
      <w:r w:rsidRPr="003D4D81">
        <w:rPr>
          <w:sz w:val="22"/>
          <w:szCs w:val="22"/>
          <w:lang w:val="sk-SK" w:eastAsia="en-GB"/>
        </w:rPr>
        <w:t>Všetok nepoužitý liek alebo odpad vzniknutý z lieku sa má zlikvidovať v súlade s národnými požiadavkami.</w:t>
      </w:r>
    </w:p>
    <w:p w:rsidR="00A260B4" w:rsidRPr="003D4D81" w:rsidRDefault="00A260B4" w:rsidP="00572196">
      <w:pPr>
        <w:spacing w:after="0"/>
        <w:jc w:val="left"/>
        <w:rPr>
          <w:sz w:val="22"/>
          <w:szCs w:val="22"/>
          <w:lang w:val="sk-SK"/>
        </w:rPr>
      </w:pPr>
    </w:p>
    <w:p w:rsidR="00E914C6" w:rsidRPr="003D4D81" w:rsidRDefault="00E914C6" w:rsidP="00572196">
      <w:pPr>
        <w:spacing w:after="0"/>
        <w:jc w:val="left"/>
        <w:rPr>
          <w:sz w:val="22"/>
          <w:szCs w:val="22"/>
          <w:lang w:val="sk-SK"/>
        </w:rPr>
      </w:pPr>
    </w:p>
    <w:p w:rsidR="00E914C6" w:rsidRPr="003D4D81" w:rsidRDefault="00E914C6" w:rsidP="00E914C6">
      <w:pPr>
        <w:pStyle w:val="EMA2SPC"/>
        <w:rPr>
          <w:lang w:val="sk-SK"/>
        </w:rPr>
      </w:pPr>
      <w:r w:rsidRPr="003D4D81">
        <w:rPr>
          <w:lang w:val="sk-SK"/>
        </w:rPr>
        <w:t>7.</w:t>
      </w:r>
      <w:r w:rsidRPr="003D4D81">
        <w:rPr>
          <w:lang w:val="sk-SK"/>
        </w:rPr>
        <w:tab/>
      </w:r>
      <w:r w:rsidR="00767A50" w:rsidRPr="003D4D81">
        <w:rPr>
          <w:lang w:val="sk-SK"/>
        </w:rPr>
        <w:t>DRŽITEĽ ROZHODNUTIA O</w:t>
      </w:r>
      <w:r w:rsidR="00767A50" w:rsidRPr="003D4D81">
        <w:rPr>
          <w:noProof/>
          <w:lang w:val="sk-SK"/>
        </w:rPr>
        <w:t> </w:t>
      </w:r>
      <w:r w:rsidR="00767A50" w:rsidRPr="003D4D81">
        <w:rPr>
          <w:lang w:val="sk-SK"/>
        </w:rPr>
        <w:t>REGISTRÁCII</w:t>
      </w:r>
    </w:p>
    <w:p w:rsidR="00262C35" w:rsidRPr="003D4D81" w:rsidRDefault="00262C35" w:rsidP="004842C0">
      <w:pPr>
        <w:spacing w:after="0"/>
        <w:jc w:val="left"/>
        <w:rPr>
          <w:sz w:val="22"/>
          <w:szCs w:val="22"/>
          <w:lang w:val="sk-SK"/>
        </w:rPr>
      </w:pPr>
    </w:p>
    <w:p w:rsidR="00743F08" w:rsidRPr="00D03173" w:rsidRDefault="00743F08" w:rsidP="00743F08">
      <w:pPr>
        <w:spacing w:after="0"/>
        <w:jc w:val="left"/>
        <w:rPr>
          <w:sz w:val="22"/>
          <w:szCs w:val="22"/>
          <w:lang w:val="sk-SK"/>
        </w:rPr>
      </w:pPr>
      <w:r w:rsidRPr="00D03173">
        <w:rPr>
          <w:sz w:val="22"/>
          <w:szCs w:val="22"/>
          <w:lang w:val="sk-SK"/>
        </w:rPr>
        <w:t>Zentiva, k.s.</w:t>
      </w:r>
    </w:p>
    <w:p w:rsidR="00743F08" w:rsidRPr="00D03173" w:rsidRDefault="00743F08" w:rsidP="00743F08">
      <w:pPr>
        <w:spacing w:after="0"/>
        <w:jc w:val="left"/>
        <w:rPr>
          <w:sz w:val="22"/>
          <w:szCs w:val="22"/>
          <w:lang w:val="sk-SK"/>
        </w:rPr>
      </w:pPr>
      <w:r w:rsidRPr="00D03173">
        <w:rPr>
          <w:sz w:val="22"/>
          <w:szCs w:val="22"/>
          <w:lang w:val="sk-SK"/>
        </w:rPr>
        <w:t>U Kabelovny 130</w:t>
      </w:r>
      <w:r w:rsidR="00FB21B8">
        <w:rPr>
          <w:sz w:val="22"/>
          <w:szCs w:val="22"/>
          <w:lang w:val="sk-SK"/>
        </w:rPr>
        <w:t>- Dolní Měcholupy</w:t>
      </w:r>
    </w:p>
    <w:p w:rsidR="00743F08" w:rsidRPr="00D03173" w:rsidRDefault="00743F08" w:rsidP="00743F08">
      <w:pPr>
        <w:spacing w:after="0"/>
        <w:jc w:val="left"/>
        <w:rPr>
          <w:sz w:val="22"/>
          <w:szCs w:val="22"/>
          <w:lang w:val="sk-SK"/>
        </w:rPr>
      </w:pPr>
      <w:r w:rsidRPr="00D03173">
        <w:rPr>
          <w:sz w:val="22"/>
          <w:szCs w:val="22"/>
          <w:lang w:val="sk-SK"/>
        </w:rPr>
        <w:t>102 37 Praha 10</w:t>
      </w:r>
    </w:p>
    <w:p w:rsidR="00743F08" w:rsidRPr="00D03173" w:rsidRDefault="00743F08" w:rsidP="00743F08">
      <w:pPr>
        <w:spacing w:after="0"/>
        <w:jc w:val="left"/>
        <w:rPr>
          <w:sz w:val="22"/>
          <w:szCs w:val="22"/>
          <w:lang w:val="sk-SK"/>
        </w:rPr>
      </w:pPr>
      <w:r w:rsidRPr="00D03173">
        <w:rPr>
          <w:sz w:val="22"/>
          <w:szCs w:val="22"/>
          <w:lang w:val="sk-SK"/>
        </w:rPr>
        <w:t>Česká republika</w:t>
      </w:r>
    </w:p>
    <w:p w:rsidR="00262C35" w:rsidRPr="003D4D81" w:rsidRDefault="00262C35" w:rsidP="004842C0">
      <w:pPr>
        <w:spacing w:after="0"/>
        <w:jc w:val="left"/>
        <w:rPr>
          <w:sz w:val="22"/>
          <w:szCs w:val="22"/>
          <w:lang w:val="sk-SK"/>
        </w:rPr>
      </w:pPr>
    </w:p>
    <w:p w:rsidR="00262C35" w:rsidRPr="003D4D81" w:rsidRDefault="00262C35" w:rsidP="00572196">
      <w:pPr>
        <w:spacing w:after="0"/>
        <w:jc w:val="left"/>
        <w:rPr>
          <w:sz w:val="22"/>
          <w:szCs w:val="22"/>
          <w:lang w:val="sk-SK"/>
        </w:rPr>
      </w:pPr>
    </w:p>
    <w:p w:rsidR="00E914C6" w:rsidRPr="003D4D81" w:rsidRDefault="00E914C6" w:rsidP="00E914C6">
      <w:pPr>
        <w:pStyle w:val="EMA2SPC"/>
        <w:rPr>
          <w:lang w:val="sk-SK"/>
        </w:rPr>
      </w:pPr>
      <w:r w:rsidRPr="003D4D81">
        <w:rPr>
          <w:lang w:val="sk-SK"/>
        </w:rPr>
        <w:t>8.</w:t>
      </w:r>
      <w:r w:rsidRPr="003D4D81">
        <w:rPr>
          <w:lang w:val="sk-SK"/>
        </w:rPr>
        <w:tab/>
      </w:r>
      <w:r w:rsidR="00767A50" w:rsidRPr="003D4D81">
        <w:rPr>
          <w:lang w:val="sk-SK"/>
        </w:rPr>
        <w:t>REGISTRAČNÉ ČÍSLO (ČÍSLA)</w:t>
      </w:r>
    </w:p>
    <w:p w:rsidR="00262C35" w:rsidRPr="003D4D81" w:rsidRDefault="00262C35" w:rsidP="00572196">
      <w:pPr>
        <w:spacing w:after="0"/>
        <w:jc w:val="left"/>
        <w:rPr>
          <w:sz w:val="22"/>
          <w:szCs w:val="22"/>
          <w:lang w:val="sk-SK"/>
        </w:rPr>
      </w:pPr>
    </w:p>
    <w:p w:rsidR="00262C35" w:rsidRPr="003D4D81" w:rsidRDefault="003D4D81" w:rsidP="00572196">
      <w:pPr>
        <w:spacing w:after="0"/>
        <w:jc w:val="left"/>
        <w:rPr>
          <w:sz w:val="22"/>
          <w:szCs w:val="22"/>
          <w:lang w:val="sk-SK"/>
        </w:rPr>
      </w:pPr>
      <w:r w:rsidRPr="003D4D81">
        <w:rPr>
          <w:sz w:val="22"/>
          <w:szCs w:val="22"/>
          <w:lang w:val="sk-SK"/>
        </w:rPr>
        <w:t>Ilibrift 5 mg:</w:t>
      </w:r>
      <w:r w:rsidRPr="006411FF">
        <w:rPr>
          <w:lang w:val="sk-SK"/>
        </w:rPr>
        <w:t xml:space="preserve"> </w:t>
      </w:r>
      <w:r w:rsidRPr="003D4D81">
        <w:rPr>
          <w:sz w:val="22"/>
          <w:szCs w:val="22"/>
          <w:lang w:val="sk-SK"/>
        </w:rPr>
        <w:t>41/0037/17-S</w:t>
      </w:r>
    </w:p>
    <w:p w:rsidR="003D4D81" w:rsidRPr="003D4D81" w:rsidRDefault="003D4D81" w:rsidP="00572196">
      <w:pPr>
        <w:spacing w:after="0"/>
        <w:jc w:val="left"/>
        <w:rPr>
          <w:sz w:val="22"/>
          <w:szCs w:val="22"/>
          <w:lang w:val="sk-SK"/>
        </w:rPr>
      </w:pPr>
      <w:r w:rsidRPr="003D4D81">
        <w:rPr>
          <w:sz w:val="22"/>
          <w:szCs w:val="22"/>
          <w:lang w:val="sk-SK"/>
        </w:rPr>
        <w:t>Ilibrift 7,5 mg:</w:t>
      </w:r>
      <w:r w:rsidRPr="006411FF">
        <w:rPr>
          <w:lang w:val="sk-SK"/>
        </w:rPr>
        <w:t xml:space="preserve"> </w:t>
      </w:r>
      <w:r w:rsidRPr="003D4D81">
        <w:rPr>
          <w:sz w:val="22"/>
          <w:szCs w:val="22"/>
          <w:lang w:val="sk-SK"/>
        </w:rPr>
        <w:t>41/0038/17-S</w:t>
      </w:r>
    </w:p>
    <w:p w:rsidR="00262C35" w:rsidRPr="003D4D81" w:rsidRDefault="00262C35" w:rsidP="00572196">
      <w:pPr>
        <w:spacing w:after="0"/>
        <w:jc w:val="left"/>
        <w:rPr>
          <w:sz w:val="22"/>
          <w:szCs w:val="22"/>
          <w:lang w:val="sk-SK"/>
        </w:rPr>
      </w:pPr>
    </w:p>
    <w:p w:rsidR="003D4D81" w:rsidRPr="003D4D81" w:rsidRDefault="003D4D81" w:rsidP="00572196">
      <w:pPr>
        <w:spacing w:after="0"/>
        <w:jc w:val="left"/>
        <w:rPr>
          <w:sz w:val="22"/>
          <w:szCs w:val="22"/>
          <w:lang w:val="sk-SK"/>
        </w:rPr>
      </w:pPr>
    </w:p>
    <w:p w:rsidR="00E914C6" w:rsidRPr="003D4D81" w:rsidRDefault="00E914C6" w:rsidP="00E914C6">
      <w:pPr>
        <w:pStyle w:val="EMA2SPC"/>
        <w:rPr>
          <w:lang w:val="sk-SK"/>
        </w:rPr>
      </w:pPr>
      <w:r w:rsidRPr="003D4D81">
        <w:rPr>
          <w:lang w:val="sk-SK"/>
        </w:rPr>
        <w:t>9.</w:t>
      </w:r>
      <w:r w:rsidRPr="003D4D81">
        <w:rPr>
          <w:lang w:val="sk-SK"/>
        </w:rPr>
        <w:tab/>
      </w:r>
      <w:r w:rsidR="00767A50" w:rsidRPr="003D4D81">
        <w:rPr>
          <w:lang w:val="sk-SK"/>
        </w:rPr>
        <w:t>DÁTUM PRVEJ REGISTRÁCIE/PREDĹŽENIA REGISTRÁCIE</w:t>
      </w:r>
    </w:p>
    <w:p w:rsidR="00262C35" w:rsidRPr="003D4D81" w:rsidRDefault="00262C35" w:rsidP="00572196">
      <w:pPr>
        <w:spacing w:after="0"/>
        <w:jc w:val="left"/>
        <w:rPr>
          <w:sz w:val="22"/>
          <w:szCs w:val="22"/>
          <w:lang w:val="sk-SK"/>
        </w:rPr>
      </w:pPr>
    </w:p>
    <w:p w:rsidR="001F5DE2" w:rsidRPr="003D4D81" w:rsidRDefault="0071019A" w:rsidP="00572196">
      <w:pPr>
        <w:spacing w:after="0"/>
        <w:jc w:val="left"/>
        <w:rPr>
          <w:i/>
          <w:sz w:val="22"/>
          <w:szCs w:val="22"/>
          <w:lang w:val="sk-SK"/>
        </w:rPr>
      </w:pPr>
      <w:r w:rsidRPr="003D4D81">
        <w:rPr>
          <w:sz w:val="22"/>
          <w:szCs w:val="22"/>
          <w:lang w:val="sk-SK"/>
        </w:rPr>
        <w:t>Dátum prvej registrácie:</w:t>
      </w:r>
      <w:r w:rsidR="001F5DE2" w:rsidRPr="003D4D81">
        <w:rPr>
          <w:sz w:val="22"/>
          <w:szCs w:val="22"/>
          <w:lang w:val="sk-SK"/>
        </w:rPr>
        <w:t xml:space="preserve"> </w:t>
      </w:r>
      <w:r w:rsidR="00743F08">
        <w:rPr>
          <w:sz w:val="22"/>
          <w:szCs w:val="22"/>
          <w:lang w:val="sk-SK"/>
        </w:rPr>
        <w:t>21.02.2017</w:t>
      </w:r>
    </w:p>
    <w:p w:rsidR="001F5DE2" w:rsidRPr="003D4D81" w:rsidRDefault="001F5DE2" w:rsidP="00572196">
      <w:pPr>
        <w:spacing w:after="0"/>
        <w:jc w:val="left"/>
        <w:rPr>
          <w:sz w:val="22"/>
          <w:szCs w:val="22"/>
          <w:lang w:val="sk-SK"/>
        </w:rPr>
      </w:pPr>
    </w:p>
    <w:p w:rsidR="00262C35" w:rsidRPr="003D4D81" w:rsidRDefault="00262C35" w:rsidP="00572196">
      <w:pPr>
        <w:spacing w:after="0"/>
        <w:jc w:val="left"/>
        <w:rPr>
          <w:sz w:val="22"/>
          <w:szCs w:val="22"/>
          <w:lang w:val="sk-SK"/>
        </w:rPr>
      </w:pPr>
    </w:p>
    <w:p w:rsidR="00E914C6" w:rsidRPr="003D4D81" w:rsidRDefault="00E914C6" w:rsidP="00E914C6">
      <w:pPr>
        <w:pStyle w:val="EMA2SPC"/>
        <w:rPr>
          <w:lang w:val="sk-SK"/>
        </w:rPr>
      </w:pPr>
      <w:r w:rsidRPr="003D4D81">
        <w:rPr>
          <w:lang w:val="sk-SK"/>
        </w:rPr>
        <w:t>10.</w:t>
      </w:r>
      <w:r w:rsidRPr="003D4D81">
        <w:rPr>
          <w:lang w:val="sk-SK"/>
        </w:rPr>
        <w:tab/>
      </w:r>
      <w:r w:rsidR="00767A50" w:rsidRPr="003D4D81">
        <w:rPr>
          <w:lang w:val="sk-SK"/>
        </w:rPr>
        <w:t>DÁTUM REVÍZIE TEXTU</w:t>
      </w:r>
    </w:p>
    <w:p w:rsidR="00B25BDF" w:rsidRPr="003D4D81" w:rsidRDefault="00B25BDF" w:rsidP="00572196">
      <w:pPr>
        <w:spacing w:after="0"/>
        <w:jc w:val="left"/>
        <w:rPr>
          <w:iCs/>
          <w:sz w:val="22"/>
          <w:szCs w:val="22"/>
          <w:highlight w:val="lightGray"/>
          <w:lang w:val="sk-SK"/>
        </w:rPr>
      </w:pPr>
    </w:p>
    <w:p w:rsidR="00E914C6" w:rsidRPr="003D4D81" w:rsidRDefault="00C244A9" w:rsidP="00572196">
      <w:pPr>
        <w:spacing w:after="0"/>
        <w:jc w:val="left"/>
        <w:rPr>
          <w:sz w:val="22"/>
          <w:szCs w:val="22"/>
          <w:lang w:val="sk-SK"/>
        </w:rPr>
      </w:pPr>
      <w:r>
        <w:rPr>
          <w:sz w:val="22"/>
          <w:szCs w:val="22"/>
          <w:lang w:val="sk-SK"/>
        </w:rPr>
        <w:t>Decembe</w:t>
      </w:r>
      <w:r w:rsidR="00A705B0">
        <w:rPr>
          <w:sz w:val="22"/>
          <w:szCs w:val="22"/>
          <w:lang w:val="sk-SK"/>
        </w:rPr>
        <w:t>r 2017</w:t>
      </w:r>
    </w:p>
    <w:p w:rsidR="00357420" w:rsidRPr="003D4D81" w:rsidRDefault="00357420" w:rsidP="00A57709">
      <w:pPr>
        <w:spacing w:after="0"/>
        <w:jc w:val="left"/>
        <w:rPr>
          <w:color w:val="000000"/>
          <w:sz w:val="22"/>
          <w:szCs w:val="22"/>
          <w:lang w:val="sk-SK"/>
        </w:rPr>
      </w:pPr>
    </w:p>
    <w:sectPr w:rsidR="00357420" w:rsidRPr="003D4D81" w:rsidSect="00A3239D">
      <w:footerReference w:type="default" r:id="rId11"/>
      <w:pgSz w:w="12240" w:h="15840"/>
      <w:pgMar w:top="1985" w:right="1418" w:bottom="1418" w:left="1418" w:header="708" w:footer="708" w:gutter="0"/>
      <w:cols w:space="708"/>
      <w:rtlGutter/>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095" w:rsidRDefault="000D1095" w:rsidP="00BC7A80">
      <w:pPr>
        <w:spacing w:after="0"/>
      </w:pPr>
      <w:r>
        <w:separator/>
      </w:r>
    </w:p>
  </w:endnote>
  <w:endnote w:type="continuationSeparator" w:id="0">
    <w:p w:rsidR="000D1095" w:rsidRDefault="000D1095" w:rsidP="00BC7A80">
      <w:pPr>
        <w:spacing w:after="0"/>
      </w:pPr>
      <w:r>
        <w:continuationSeparator/>
      </w:r>
    </w:p>
  </w:endnote>
  <w:endnote w:type="continuationNotice" w:id="1">
    <w:p w:rsidR="000D1095" w:rsidRDefault="000D109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9406015"/>
      <w:docPartObj>
        <w:docPartGallery w:val="Page Numbers (Bottom of Page)"/>
        <w:docPartUnique/>
      </w:docPartObj>
    </w:sdtPr>
    <w:sdtEndPr/>
    <w:sdtContent>
      <w:p w:rsidR="000016E1" w:rsidRDefault="000016E1">
        <w:pPr>
          <w:pStyle w:val="Pta"/>
          <w:jc w:val="center"/>
        </w:pPr>
        <w:r>
          <w:fldChar w:fldCharType="begin"/>
        </w:r>
        <w:r>
          <w:instrText>PAGE   \* MERGEFORMAT</w:instrText>
        </w:r>
        <w:r>
          <w:fldChar w:fldCharType="separate"/>
        </w:r>
        <w:r w:rsidR="00410697" w:rsidRPr="00410697">
          <w:rPr>
            <w:noProof/>
            <w:lang w:val="sk-SK"/>
          </w:rPr>
          <w:t>1</w:t>
        </w:r>
        <w:r>
          <w:fldChar w:fldCharType="end"/>
        </w:r>
      </w:p>
    </w:sdtContent>
  </w:sdt>
  <w:p w:rsidR="000016E1" w:rsidRDefault="000016E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095" w:rsidRDefault="000D1095" w:rsidP="00BC7A80">
      <w:pPr>
        <w:spacing w:after="0"/>
      </w:pPr>
      <w:r>
        <w:separator/>
      </w:r>
    </w:p>
  </w:footnote>
  <w:footnote w:type="continuationSeparator" w:id="0">
    <w:p w:rsidR="000D1095" w:rsidRDefault="000D1095" w:rsidP="00BC7A80">
      <w:pPr>
        <w:spacing w:after="0"/>
      </w:pPr>
      <w:r>
        <w:continuationSeparator/>
      </w:r>
    </w:p>
  </w:footnote>
  <w:footnote w:type="continuationNotice" w:id="1">
    <w:p w:rsidR="000D1095" w:rsidRDefault="000D109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F58C1"/>
    <w:multiLevelType w:val="hybridMultilevel"/>
    <w:tmpl w:val="3D7E750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A90A1A"/>
    <w:multiLevelType w:val="hybridMultilevel"/>
    <w:tmpl w:val="7564E6DC"/>
    <w:lvl w:ilvl="0" w:tplc="24BEF0B4">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97E7C"/>
    <w:multiLevelType w:val="hybridMultilevel"/>
    <w:tmpl w:val="A6B27736"/>
    <w:lvl w:ilvl="0" w:tplc="24BEF0B4">
      <w:start w:val="1"/>
      <w:numFmt w:val="bullet"/>
      <w:lvlText w:val="-"/>
      <w:lvlJc w:val="left"/>
      <w:pPr>
        <w:ind w:left="720" w:hanging="360"/>
      </w:pPr>
      <w:rPr>
        <w:rFonts w:ascii="Times New Roman" w:hAnsi="Times New Roman" w:cs="Times New Roman" w:hint="default"/>
        <w:b w:val="0"/>
        <w:i w:val="0"/>
        <w:sz w:val="24"/>
      </w:rPr>
    </w:lvl>
    <w:lvl w:ilvl="1" w:tplc="24BEF0B4">
      <w:start w:val="1"/>
      <w:numFmt w:val="bullet"/>
      <w:lvlText w:val="-"/>
      <w:lvlJc w:val="left"/>
      <w:pPr>
        <w:ind w:left="1440" w:hanging="360"/>
      </w:pPr>
      <w:rPr>
        <w:rFonts w:ascii="Times New Roman" w:hAnsi="Times New Roman" w:cs="Times New Roman" w:hint="default"/>
        <w:b w:val="0"/>
        <w:i w:val="0"/>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7B17EF"/>
    <w:multiLevelType w:val="hybridMultilevel"/>
    <w:tmpl w:val="CD5E393C"/>
    <w:lvl w:ilvl="0" w:tplc="5D16AB90">
      <w:start w:val="1"/>
      <w:numFmt w:val="bullet"/>
      <w:lvlText w:val="‒"/>
      <w:lvlJc w:val="left"/>
      <w:pPr>
        <w:ind w:left="786"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A8707A"/>
    <w:multiLevelType w:val="hybridMultilevel"/>
    <w:tmpl w:val="96B4EDC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C5672A3"/>
    <w:multiLevelType w:val="hybridMultilevel"/>
    <w:tmpl w:val="41E20262"/>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5E0A5B"/>
    <w:multiLevelType w:val="hybridMultilevel"/>
    <w:tmpl w:val="E3DAB9A0"/>
    <w:lvl w:ilvl="0" w:tplc="D14AB548">
      <w:start w:val="1"/>
      <w:numFmt w:val="bullet"/>
      <w:lvlText w:val="-"/>
      <w:lvlJc w:val="left"/>
      <w:pPr>
        <w:ind w:left="401" w:hanging="284"/>
      </w:pPr>
      <w:rPr>
        <w:rFonts w:ascii="Times New Roman" w:eastAsia="Times New Roman" w:hAnsi="Times New Roman" w:hint="default"/>
        <w:sz w:val="22"/>
        <w:szCs w:val="22"/>
      </w:rPr>
    </w:lvl>
    <w:lvl w:ilvl="1" w:tplc="0428AE5E">
      <w:start w:val="1"/>
      <w:numFmt w:val="bullet"/>
      <w:lvlText w:val="•"/>
      <w:lvlJc w:val="left"/>
      <w:pPr>
        <w:ind w:left="1291" w:hanging="284"/>
      </w:pPr>
      <w:rPr>
        <w:rFonts w:hint="default"/>
      </w:rPr>
    </w:lvl>
    <w:lvl w:ilvl="2" w:tplc="F8127066">
      <w:start w:val="1"/>
      <w:numFmt w:val="bullet"/>
      <w:lvlText w:val="•"/>
      <w:lvlJc w:val="left"/>
      <w:pPr>
        <w:ind w:left="2182" w:hanging="284"/>
      </w:pPr>
      <w:rPr>
        <w:rFonts w:hint="default"/>
      </w:rPr>
    </w:lvl>
    <w:lvl w:ilvl="3" w:tplc="78480038">
      <w:start w:val="1"/>
      <w:numFmt w:val="bullet"/>
      <w:lvlText w:val="•"/>
      <w:lvlJc w:val="left"/>
      <w:pPr>
        <w:ind w:left="3072" w:hanging="284"/>
      </w:pPr>
      <w:rPr>
        <w:rFonts w:hint="default"/>
      </w:rPr>
    </w:lvl>
    <w:lvl w:ilvl="4" w:tplc="AA66A598">
      <w:start w:val="1"/>
      <w:numFmt w:val="bullet"/>
      <w:lvlText w:val="•"/>
      <w:lvlJc w:val="left"/>
      <w:pPr>
        <w:ind w:left="3963" w:hanging="284"/>
      </w:pPr>
      <w:rPr>
        <w:rFonts w:hint="default"/>
      </w:rPr>
    </w:lvl>
    <w:lvl w:ilvl="5" w:tplc="3124867C">
      <w:start w:val="1"/>
      <w:numFmt w:val="bullet"/>
      <w:lvlText w:val="•"/>
      <w:lvlJc w:val="left"/>
      <w:pPr>
        <w:ind w:left="4853" w:hanging="284"/>
      </w:pPr>
      <w:rPr>
        <w:rFonts w:hint="default"/>
      </w:rPr>
    </w:lvl>
    <w:lvl w:ilvl="6" w:tplc="D882AC42">
      <w:start w:val="1"/>
      <w:numFmt w:val="bullet"/>
      <w:lvlText w:val="•"/>
      <w:lvlJc w:val="left"/>
      <w:pPr>
        <w:ind w:left="5744" w:hanging="284"/>
      </w:pPr>
      <w:rPr>
        <w:rFonts w:hint="default"/>
      </w:rPr>
    </w:lvl>
    <w:lvl w:ilvl="7" w:tplc="1616C558">
      <w:start w:val="1"/>
      <w:numFmt w:val="bullet"/>
      <w:lvlText w:val="•"/>
      <w:lvlJc w:val="left"/>
      <w:pPr>
        <w:ind w:left="6634" w:hanging="284"/>
      </w:pPr>
      <w:rPr>
        <w:rFonts w:hint="default"/>
      </w:rPr>
    </w:lvl>
    <w:lvl w:ilvl="8" w:tplc="39F26964">
      <w:start w:val="1"/>
      <w:numFmt w:val="bullet"/>
      <w:lvlText w:val="•"/>
      <w:lvlJc w:val="left"/>
      <w:pPr>
        <w:ind w:left="7525" w:hanging="284"/>
      </w:pPr>
      <w:rPr>
        <w:rFonts w:hint="default"/>
      </w:rPr>
    </w:lvl>
  </w:abstractNum>
  <w:abstractNum w:abstractNumId="7" w15:restartNumberingAfterBreak="0">
    <w:nsid w:val="46D35586"/>
    <w:multiLevelType w:val="hybridMultilevel"/>
    <w:tmpl w:val="88800F56"/>
    <w:lvl w:ilvl="0" w:tplc="0405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BDC0BC0"/>
    <w:multiLevelType w:val="hybridMultilevel"/>
    <w:tmpl w:val="C8D8C168"/>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6C00C3CA">
      <w:numFmt w:val="bullet"/>
      <w:lvlText w:val="-"/>
      <w:lvlJc w:val="left"/>
      <w:pPr>
        <w:ind w:left="1440" w:hanging="360"/>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34246"/>
    <w:multiLevelType w:val="hybridMultilevel"/>
    <w:tmpl w:val="60866F9E"/>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FB3304"/>
    <w:multiLevelType w:val="hybridMultilevel"/>
    <w:tmpl w:val="30F210D6"/>
    <w:lvl w:ilvl="0" w:tplc="545E327E">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AE51EA"/>
    <w:multiLevelType w:val="hybridMultilevel"/>
    <w:tmpl w:val="6EBE05B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52B1398"/>
    <w:multiLevelType w:val="hybridMultilevel"/>
    <w:tmpl w:val="B0D68BC0"/>
    <w:lvl w:ilvl="0" w:tplc="4D7286BE">
      <w:start w:val="1"/>
      <w:numFmt w:val="decimal"/>
      <w:pStyle w:val="2PI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A681195"/>
    <w:multiLevelType w:val="hybridMultilevel"/>
    <w:tmpl w:val="56D809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5" w15:restartNumberingAfterBreak="0">
    <w:nsid w:val="64A4434E"/>
    <w:multiLevelType w:val="hybridMultilevel"/>
    <w:tmpl w:val="01322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7" w15:restartNumberingAfterBreak="0">
    <w:nsid w:val="719C343A"/>
    <w:multiLevelType w:val="hybridMultilevel"/>
    <w:tmpl w:val="87C62B7A"/>
    <w:lvl w:ilvl="0" w:tplc="6D4C74F0">
      <w:start w:val="1"/>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5"/>
  </w:num>
  <w:num w:numId="5">
    <w:abstractNumId w:val="9"/>
  </w:num>
  <w:num w:numId="6">
    <w:abstractNumId w:val="10"/>
  </w:num>
  <w:num w:numId="7">
    <w:abstractNumId w:val="12"/>
  </w:num>
  <w:num w:numId="8">
    <w:abstractNumId w:val="3"/>
  </w:num>
  <w:num w:numId="9">
    <w:abstractNumId w:val="4"/>
  </w:num>
  <w:num w:numId="10">
    <w:abstractNumId w:val="7"/>
  </w:num>
  <w:num w:numId="11">
    <w:abstractNumId w:val="15"/>
  </w:num>
  <w:num w:numId="12">
    <w:abstractNumId w:val="17"/>
  </w:num>
  <w:num w:numId="13">
    <w:abstractNumId w:val="13"/>
  </w:num>
  <w:num w:numId="14">
    <w:abstractNumId w:val="2"/>
  </w:num>
  <w:num w:numId="15">
    <w:abstractNumId w:val="1"/>
  </w:num>
  <w:num w:numId="16">
    <w:abstractNumId w:val="6"/>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4"/>
  </w:num>
  <w:num w:numId="3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669"/>
    <w:rsid w:val="000016E1"/>
    <w:rsid w:val="00001BA6"/>
    <w:rsid w:val="0000546F"/>
    <w:rsid w:val="000136EC"/>
    <w:rsid w:val="00014576"/>
    <w:rsid w:val="00016387"/>
    <w:rsid w:val="00016823"/>
    <w:rsid w:val="000169E9"/>
    <w:rsid w:val="00016A55"/>
    <w:rsid w:val="000213DA"/>
    <w:rsid w:val="0002432C"/>
    <w:rsid w:val="00024394"/>
    <w:rsid w:val="000251BB"/>
    <w:rsid w:val="00025FA9"/>
    <w:rsid w:val="00037CCB"/>
    <w:rsid w:val="0004186C"/>
    <w:rsid w:val="00047B5D"/>
    <w:rsid w:val="00051817"/>
    <w:rsid w:val="00051FC9"/>
    <w:rsid w:val="00055FA7"/>
    <w:rsid w:val="000568FE"/>
    <w:rsid w:val="00057644"/>
    <w:rsid w:val="000601C2"/>
    <w:rsid w:val="000647EA"/>
    <w:rsid w:val="00064F02"/>
    <w:rsid w:val="00071790"/>
    <w:rsid w:val="00071C69"/>
    <w:rsid w:val="00076735"/>
    <w:rsid w:val="00082142"/>
    <w:rsid w:val="000842E8"/>
    <w:rsid w:val="00085535"/>
    <w:rsid w:val="00086B7F"/>
    <w:rsid w:val="000933B2"/>
    <w:rsid w:val="000965FC"/>
    <w:rsid w:val="000968D7"/>
    <w:rsid w:val="000973E0"/>
    <w:rsid w:val="00097DF2"/>
    <w:rsid w:val="000A0C3C"/>
    <w:rsid w:val="000A2706"/>
    <w:rsid w:val="000B1BEA"/>
    <w:rsid w:val="000B2262"/>
    <w:rsid w:val="000B2F19"/>
    <w:rsid w:val="000B325D"/>
    <w:rsid w:val="000C1C3A"/>
    <w:rsid w:val="000C2001"/>
    <w:rsid w:val="000C2D68"/>
    <w:rsid w:val="000C2DFD"/>
    <w:rsid w:val="000C54F8"/>
    <w:rsid w:val="000D07D7"/>
    <w:rsid w:val="000D1095"/>
    <w:rsid w:val="000D4816"/>
    <w:rsid w:val="000E011F"/>
    <w:rsid w:val="000E2DFD"/>
    <w:rsid w:val="000F03E3"/>
    <w:rsid w:val="000F66E1"/>
    <w:rsid w:val="00101E23"/>
    <w:rsid w:val="00103E2B"/>
    <w:rsid w:val="00103F30"/>
    <w:rsid w:val="00105C03"/>
    <w:rsid w:val="00112B27"/>
    <w:rsid w:val="001132A3"/>
    <w:rsid w:val="00116851"/>
    <w:rsid w:val="001200DA"/>
    <w:rsid w:val="001228E3"/>
    <w:rsid w:val="00127718"/>
    <w:rsid w:val="0013297D"/>
    <w:rsid w:val="00145258"/>
    <w:rsid w:val="001527DA"/>
    <w:rsid w:val="001538FE"/>
    <w:rsid w:val="00154275"/>
    <w:rsid w:val="001544DD"/>
    <w:rsid w:val="00154EC9"/>
    <w:rsid w:val="001560F4"/>
    <w:rsid w:val="001569CD"/>
    <w:rsid w:val="001611EA"/>
    <w:rsid w:val="0016181B"/>
    <w:rsid w:val="00165572"/>
    <w:rsid w:val="00166980"/>
    <w:rsid w:val="0017104E"/>
    <w:rsid w:val="00173534"/>
    <w:rsid w:val="001738F7"/>
    <w:rsid w:val="00180083"/>
    <w:rsid w:val="00185361"/>
    <w:rsid w:val="00190449"/>
    <w:rsid w:val="00190A38"/>
    <w:rsid w:val="00190C4D"/>
    <w:rsid w:val="00195581"/>
    <w:rsid w:val="001979BA"/>
    <w:rsid w:val="001A66FD"/>
    <w:rsid w:val="001A6973"/>
    <w:rsid w:val="001A7523"/>
    <w:rsid w:val="001B629B"/>
    <w:rsid w:val="001B6FE2"/>
    <w:rsid w:val="001B76D1"/>
    <w:rsid w:val="001C1754"/>
    <w:rsid w:val="001C2304"/>
    <w:rsid w:val="001D405B"/>
    <w:rsid w:val="001D495E"/>
    <w:rsid w:val="001D51F8"/>
    <w:rsid w:val="001E0D0C"/>
    <w:rsid w:val="001E134E"/>
    <w:rsid w:val="001E23E0"/>
    <w:rsid w:val="001E6ABF"/>
    <w:rsid w:val="001E7953"/>
    <w:rsid w:val="001F0057"/>
    <w:rsid w:val="001F02E8"/>
    <w:rsid w:val="001F217A"/>
    <w:rsid w:val="001F3C65"/>
    <w:rsid w:val="001F5DE2"/>
    <w:rsid w:val="00201A3D"/>
    <w:rsid w:val="00203839"/>
    <w:rsid w:val="002052BF"/>
    <w:rsid w:val="00207355"/>
    <w:rsid w:val="00207913"/>
    <w:rsid w:val="00210613"/>
    <w:rsid w:val="002106A2"/>
    <w:rsid w:val="00212550"/>
    <w:rsid w:val="00212C52"/>
    <w:rsid w:val="002156E8"/>
    <w:rsid w:val="00217D03"/>
    <w:rsid w:val="002212EA"/>
    <w:rsid w:val="00222AE9"/>
    <w:rsid w:val="00226391"/>
    <w:rsid w:val="00227FD2"/>
    <w:rsid w:val="00232551"/>
    <w:rsid w:val="00233781"/>
    <w:rsid w:val="00234029"/>
    <w:rsid w:val="00240D94"/>
    <w:rsid w:val="002426FB"/>
    <w:rsid w:val="00243947"/>
    <w:rsid w:val="002440BC"/>
    <w:rsid w:val="00244B7F"/>
    <w:rsid w:val="00245462"/>
    <w:rsid w:val="00247209"/>
    <w:rsid w:val="00255157"/>
    <w:rsid w:val="00255D4D"/>
    <w:rsid w:val="00256647"/>
    <w:rsid w:val="00262C35"/>
    <w:rsid w:val="0026418C"/>
    <w:rsid w:val="00265616"/>
    <w:rsid w:val="002737DF"/>
    <w:rsid w:val="00273F7C"/>
    <w:rsid w:val="00276F35"/>
    <w:rsid w:val="002821F2"/>
    <w:rsid w:val="00286239"/>
    <w:rsid w:val="0029409F"/>
    <w:rsid w:val="002973FD"/>
    <w:rsid w:val="002A3363"/>
    <w:rsid w:val="002A3CAA"/>
    <w:rsid w:val="002A7169"/>
    <w:rsid w:val="002C08AB"/>
    <w:rsid w:val="002C29C1"/>
    <w:rsid w:val="002C2F12"/>
    <w:rsid w:val="002C354B"/>
    <w:rsid w:val="002C36FD"/>
    <w:rsid w:val="002C4040"/>
    <w:rsid w:val="002C5594"/>
    <w:rsid w:val="002C6655"/>
    <w:rsid w:val="002D0840"/>
    <w:rsid w:val="002D09E9"/>
    <w:rsid w:val="002D490D"/>
    <w:rsid w:val="002D4FDB"/>
    <w:rsid w:val="002D5658"/>
    <w:rsid w:val="002E703D"/>
    <w:rsid w:val="002E7C78"/>
    <w:rsid w:val="002F40E5"/>
    <w:rsid w:val="002F5BA6"/>
    <w:rsid w:val="00310816"/>
    <w:rsid w:val="003125C2"/>
    <w:rsid w:val="00312C00"/>
    <w:rsid w:val="00313104"/>
    <w:rsid w:val="00314511"/>
    <w:rsid w:val="00314CBF"/>
    <w:rsid w:val="00321FA9"/>
    <w:rsid w:val="00322DD8"/>
    <w:rsid w:val="0032611C"/>
    <w:rsid w:val="003269CB"/>
    <w:rsid w:val="003301A5"/>
    <w:rsid w:val="003314F6"/>
    <w:rsid w:val="00332432"/>
    <w:rsid w:val="003400DA"/>
    <w:rsid w:val="00345820"/>
    <w:rsid w:val="003476DE"/>
    <w:rsid w:val="00353B6E"/>
    <w:rsid w:val="003540F0"/>
    <w:rsid w:val="00357420"/>
    <w:rsid w:val="003608D4"/>
    <w:rsid w:val="00364EB8"/>
    <w:rsid w:val="00365B56"/>
    <w:rsid w:val="00366234"/>
    <w:rsid w:val="00366975"/>
    <w:rsid w:val="0036795D"/>
    <w:rsid w:val="003725D5"/>
    <w:rsid w:val="00372843"/>
    <w:rsid w:val="00373A98"/>
    <w:rsid w:val="00374935"/>
    <w:rsid w:val="0037763A"/>
    <w:rsid w:val="00380BE3"/>
    <w:rsid w:val="0038181D"/>
    <w:rsid w:val="003830E5"/>
    <w:rsid w:val="003872D1"/>
    <w:rsid w:val="00387524"/>
    <w:rsid w:val="0039353F"/>
    <w:rsid w:val="003938C3"/>
    <w:rsid w:val="00393DC4"/>
    <w:rsid w:val="003A070E"/>
    <w:rsid w:val="003A16C4"/>
    <w:rsid w:val="003A174F"/>
    <w:rsid w:val="003A318B"/>
    <w:rsid w:val="003B0563"/>
    <w:rsid w:val="003B55B6"/>
    <w:rsid w:val="003C108B"/>
    <w:rsid w:val="003C60C1"/>
    <w:rsid w:val="003C6DD9"/>
    <w:rsid w:val="003D0580"/>
    <w:rsid w:val="003D0BAA"/>
    <w:rsid w:val="003D23AA"/>
    <w:rsid w:val="003D4D81"/>
    <w:rsid w:val="003D4FA2"/>
    <w:rsid w:val="003D6E24"/>
    <w:rsid w:val="003E0C60"/>
    <w:rsid w:val="003E3BD2"/>
    <w:rsid w:val="003E7689"/>
    <w:rsid w:val="003F0B56"/>
    <w:rsid w:val="003F225A"/>
    <w:rsid w:val="003F23AC"/>
    <w:rsid w:val="00402CD1"/>
    <w:rsid w:val="00406533"/>
    <w:rsid w:val="00407104"/>
    <w:rsid w:val="00407F8E"/>
    <w:rsid w:val="00410141"/>
    <w:rsid w:val="00410697"/>
    <w:rsid w:val="00422BA4"/>
    <w:rsid w:val="00424A37"/>
    <w:rsid w:val="00424E4C"/>
    <w:rsid w:val="00430FAE"/>
    <w:rsid w:val="00440AF0"/>
    <w:rsid w:val="00440C3C"/>
    <w:rsid w:val="00443940"/>
    <w:rsid w:val="00446061"/>
    <w:rsid w:val="00447442"/>
    <w:rsid w:val="0045103C"/>
    <w:rsid w:val="00452485"/>
    <w:rsid w:val="004537CD"/>
    <w:rsid w:val="004555FF"/>
    <w:rsid w:val="004575D0"/>
    <w:rsid w:val="0045763D"/>
    <w:rsid w:val="00462C50"/>
    <w:rsid w:val="0046325C"/>
    <w:rsid w:val="00465010"/>
    <w:rsid w:val="0047243D"/>
    <w:rsid w:val="00476AB7"/>
    <w:rsid w:val="0048062A"/>
    <w:rsid w:val="004809DB"/>
    <w:rsid w:val="00481D47"/>
    <w:rsid w:val="00483614"/>
    <w:rsid w:val="004842C0"/>
    <w:rsid w:val="0048574D"/>
    <w:rsid w:val="00486B85"/>
    <w:rsid w:val="00494674"/>
    <w:rsid w:val="004946A9"/>
    <w:rsid w:val="00495EA6"/>
    <w:rsid w:val="00497417"/>
    <w:rsid w:val="00497CA0"/>
    <w:rsid w:val="004B0C07"/>
    <w:rsid w:val="004B1B64"/>
    <w:rsid w:val="004B2C87"/>
    <w:rsid w:val="004B66EC"/>
    <w:rsid w:val="004C1A1F"/>
    <w:rsid w:val="004C39EF"/>
    <w:rsid w:val="004E10E6"/>
    <w:rsid w:val="004E4083"/>
    <w:rsid w:val="004E4C58"/>
    <w:rsid w:val="004E5D8D"/>
    <w:rsid w:val="004E64FE"/>
    <w:rsid w:val="004E770C"/>
    <w:rsid w:val="004F0BFE"/>
    <w:rsid w:val="004F1F18"/>
    <w:rsid w:val="004F49B1"/>
    <w:rsid w:val="004F5D8C"/>
    <w:rsid w:val="00503C61"/>
    <w:rsid w:val="005071A2"/>
    <w:rsid w:val="00512916"/>
    <w:rsid w:val="00515E0D"/>
    <w:rsid w:val="00526285"/>
    <w:rsid w:val="0052773D"/>
    <w:rsid w:val="005303B7"/>
    <w:rsid w:val="00536FBD"/>
    <w:rsid w:val="00537DF9"/>
    <w:rsid w:val="005412DD"/>
    <w:rsid w:val="005439C9"/>
    <w:rsid w:val="005459F7"/>
    <w:rsid w:val="00547144"/>
    <w:rsid w:val="00553A7A"/>
    <w:rsid w:val="00555DE0"/>
    <w:rsid w:val="00557E29"/>
    <w:rsid w:val="00557FE6"/>
    <w:rsid w:val="00561E84"/>
    <w:rsid w:val="00567177"/>
    <w:rsid w:val="00567919"/>
    <w:rsid w:val="00572196"/>
    <w:rsid w:val="00575FAA"/>
    <w:rsid w:val="00577B3D"/>
    <w:rsid w:val="0058006C"/>
    <w:rsid w:val="00581F76"/>
    <w:rsid w:val="00584231"/>
    <w:rsid w:val="005868A9"/>
    <w:rsid w:val="00594425"/>
    <w:rsid w:val="0059487A"/>
    <w:rsid w:val="00595A9C"/>
    <w:rsid w:val="00596B2C"/>
    <w:rsid w:val="00597B52"/>
    <w:rsid w:val="00597BF4"/>
    <w:rsid w:val="005A0E5D"/>
    <w:rsid w:val="005A57FC"/>
    <w:rsid w:val="005A6854"/>
    <w:rsid w:val="005B16EA"/>
    <w:rsid w:val="005B276C"/>
    <w:rsid w:val="005B389A"/>
    <w:rsid w:val="005B3F33"/>
    <w:rsid w:val="005B4E1D"/>
    <w:rsid w:val="005B6000"/>
    <w:rsid w:val="005B6EE7"/>
    <w:rsid w:val="005C705F"/>
    <w:rsid w:val="005C78E8"/>
    <w:rsid w:val="005D1920"/>
    <w:rsid w:val="005D19DB"/>
    <w:rsid w:val="005D2518"/>
    <w:rsid w:val="005D32C4"/>
    <w:rsid w:val="005D346C"/>
    <w:rsid w:val="005D5174"/>
    <w:rsid w:val="005D66C1"/>
    <w:rsid w:val="005E09DA"/>
    <w:rsid w:val="005E1337"/>
    <w:rsid w:val="005E2F3B"/>
    <w:rsid w:val="005F312F"/>
    <w:rsid w:val="005F54AF"/>
    <w:rsid w:val="00601DBF"/>
    <w:rsid w:val="00605CF3"/>
    <w:rsid w:val="0060638E"/>
    <w:rsid w:val="006100C0"/>
    <w:rsid w:val="006106D9"/>
    <w:rsid w:val="0061258A"/>
    <w:rsid w:val="00615BF0"/>
    <w:rsid w:val="0061664F"/>
    <w:rsid w:val="00623B9E"/>
    <w:rsid w:val="0062428C"/>
    <w:rsid w:val="00626B9E"/>
    <w:rsid w:val="006337A0"/>
    <w:rsid w:val="0063390F"/>
    <w:rsid w:val="0063463B"/>
    <w:rsid w:val="00637B40"/>
    <w:rsid w:val="006411FF"/>
    <w:rsid w:val="00641F94"/>
    <w:rsid w:val="00646AA2"/>
    <w:rsid w:val="006514CF"/>
    <w:rsid w:val="00652E38"/>
    <w:rsid w:val="006531CE"/>
    <w:rsid w:val="006535F3"/>
    <w:rsid w:val="006538A9"/>
    <w:rsid w:val="00655448"/>
    <w:rsid w:val="00660D10"/>
    <w:rsid w:val="0066230A"/>
    <w:rsid w:val="0066262C"/>
    <w:rsid w:val="00666DFF"/>
    <w:rsid w:val="006753C9"/>
    <w:rsid w:val="00675E6C"/>
    <w:rsid w:val="00680233"/>
    <w:rsid w:val="00680920"/>
    <w:rsid w:val="00683593"/>
    <w:rsid w:val="00684598"/>
    <w:rsid w:val="006912A2"/>
    <w:rsid w:val="00693DDA"/>
    <w:rsid w:val="00697D8C"/>
    <w:rsid w:val="006B2F92"/>
    <w:rsid w:val="006B6209"/>
    <w:rsid w:val="006B7BF6"/>
    <w:rsid w:val="006C2CB5"/>
    <w:rsid w:val="006C3E60"/>
    <w:rsid w:val="006C41C3"/>
    <w:rsid w:val="006D5B52"/>
    <w:rsid w:val="006E0171"/>
    <w:rsid w:val="006E03C8"/>
    <w:rsid w:val="006E13F4"/>
    <w:rsid w:val="006F1059"/>
    <w:rsid w:val="006F279E"/>
    <w:rsid w:val="006F3ADE"/>
    <w:rsid w:val="006F70D2"/>
    <w:rsid w:val="006F7473"/>
    <w:rsid w:val="00700835"/>
    <w:rsid w:val="007009FB"/>
    <w:rsid w:val="00705364"/>
    <w:rsid w:val="007073B8"/>
    <w:rsid w:val="0071019A"/>
    <w:rsid w:val="007111D5"/>
    <w:rsid w:val="007112EF"/>
    <w:rsid w:val="00712337"/>
    <w:rsid w:val="00713ACC"/>
    <w:rsid w:val="00713E58"/>
    <w:rsid w:val="00714118"/>
    <w:rsid w:val="00714ADD"/>
    <w:rsid w:val="00716F05"/>
    <w:rsid w:val="00720937"/>
    <w:rsid w:val="007212EF"/>
    <w:rsid w:val="00721AC7"/>
    <w:rsid w:val="007237E0"/>
    <w:rsid w:val="00724C7B"/>
    <w:rsid w:val="00727063"/>
    <w:rsid w:val="007275FF"/>
    <w:rsid w:val="0073033F"/>
    <w:rsid w:val="00737236"/>
    <w:rsid w:val="00741091"/>
    <w:rsid w:val="00741F9F"/>
    <w:rsid w:val="007421B8"/>
    <w:rsid w:val="00742DE0"/>
    <w:rsid w:val="00743F08"/>
    <w:rsid w:val="00753E91"/>
    <w:rsid w:val="007548DE"/>
    <w:rsid w:val="007557A3"/>
    <w:rsid w:val="007577EA"/>
    <w:rsid w:val="00760999"/>
    <w:rsid w:val="007652D7"/>
    <w:rsid w:val="00765974"/>
    <w:rsid w:val="00765C4C"/>
    <w:rsid w:val="00767A50"/>
    <w:rsid w:val="0077328F"/>
    <w:rsid w:val="00773825"/>
    <w:rsid w:val="00776CEF"/>
    <w:rsid w:val="007810A1"/>
    <w:rsid w:val="00784506"/>
    <w:rsid w:val="007849B1"/>
    <w:rsid w:val="00785091"/>
    <w:rsid w:val="00787AA4"/>
    <w:rsid w:val="00792C47"/>
    <w:rsid w:val="00792E16"/>
    <w:rsid w:val="00794D7B"/>
    <w:rsid w:val="0079561A"/>
    <w:rsid w:val="007A3330"/>
    <w:rsid w:val="007A34DE"/>
    <w:rsid w:val="007A6731"/>
    <w:rsid w:val="007A787A"/>
    <w:rsid w:val="007B1389"/>
    <w:rsid w:val="007B1FA6"/>
    <w:rsid w:val="007B376C"/>
    <w:rsid w:val="007B7F40"/>
    <w:rsid w:val="007C39D7"/>
    <w:rsid w:val="007D5462"/>
    <w:rsid w:val="007D620E"/>
    <w:rsid w:val="007D7F3C"/>
    <w:rsid w:val="007E2587"/>
    <w:rsid w:val="007E2B3B"/>
    <w:rsid w:val="007E61C5"/>
    <w:rsid w:val="007E6677"/>
    <w:rsid w:val="007E6C7C"/>
    <w:rsid w:val="00800818"/>
    <w:rsid w:val="0080137F"/>
    <w:rsid w:val="00801966"/>
    <w:rsid w:val="00801B24"/>
    <w:rsid w:val="00810A70"/>
    <w:rsid w:val="0081712E"/>
    <w:rsid w:val="00820B75"/>
    <w:rsid w:val="00825744"/>
    <w:rsid w:val="008332B3"/>
    <w:rsid w:val="00836FD4"/>
    <w:rsid w:val="008376C3"/>
    <w:rsid w:val="00837DA2"/>
    <w:rsid w:val="00840C33"/>
    <w:rsid w:val="00843441"/>
    <w:rsid w:val="008469D8"/>
    <w:rsid w:val="00850FAE"/>
    <w:rsid w:val="0085129B"/>
    <w:rsid w:val="00854C7E"/>
    <w:rsid w:val="00857752"/>
    <w:rsid w:val="0086176F"/>
    <w:rsid w:val="00861D5D"/>
    <w:rsid w:val="008634AA"/>
    <w:rsid w:val="0086602C"/>
    <w:rsid w:val="00866441"/>
    <w:rsid w:val="0087254C"/>
    <w:rsid w:val="0087411D"/>
    <w:rsid w:val="008765FF"/>
    <w:rsid w:val="008825EF"/>
    <w:rsid w:val="00886145"/>
    <w:rsid w:val="008A2772"/>
    <w:rsid w:val="008A30AE"/>
    <w:rsid w:val="008A4F53"/>
    <w:rsid w:val="008B2CF2"/>
    <w:rsid w:val="008B7144"/>
    <w:rsid w:val="008C1D4C"/>
    <w:rsid w:val="008C320F"/>
    <w:rsid w:val="008C359D"/>
    <w:rsid w:val="008C4EB0"/>
    <w:rsid w:val="008C7344"/>
    <w:rsid w:val="008C73D8"/>
    <w:rsid w:val="008C77AC"/>
    <w:rsid w:val="008D507E"/>
    <w:rsid w:val="008D6D44"/>
    <w:rsid w:val="008D6F95"/>
    <w:rsid w:val="008D7250"/>
    <w:rsid w:val="008E2D84"/>
    <w:rsid w:val="008E2E93"/>
    <w:rsid w:val="008E400B"/>
    <w:rsid w:val="008E424A"/>
    <w:rsid w:val="008E713B"/>
    <w:rsid w:val="008F1222"/>
    <w:rsid w:val="008F44C0"/>
    <w:rsid w:val="008F5C2A"/>
    <w:rsid w:val="008F6C21"/>
    <w:rsid w:val="0092019F"/>
    <w:rsid w:val="009223B5"/>
    <w:rsid w:val="009241DC"/>
    <w:rsid w:val="00924CED"/>
    <w:rsid w:val="00925018"/>
    <w:rsid w:val="009255B7"/>
    <w:rsid w:val="0093026F"/>
    <w:rsid w:val="00930931"/>
    <w:rsid w:val="00940136"/>
    <w:rsid w:val="00940567"/>
    <w:rsid w:val="00940D23"/>
    <w:rsid w:val="00945758"/>
    <w:rsid w:val="0094780B"/>
    <w:rsid w:val="0095118A"/>
    <w:rsid w:val="0095327A"/>
    <w:rsid w:val="009562E0"/>
    <w:rsid w:val="00961CCC"/>
    <w:rsid w:val="00964A11"/>
    <w:rsid w:val="00967817"/>
    <w:rsid w:val="0097372A"/>
    <w:rsid w:val="00973D7E"/>
    <w:rsid w:val="00974BE7"/>
    <w:rsid w:val="009774FC"/>
    <w:rsid w:val="00977CF1"/>
    <w:rsid w:val="00980552"/>
    <w:rsid w:val="009819E5"/>
    <w:rsid w:val="0098681D"/>
    <w:rsid w:val="00987F08"/>
    <w:rsid w:val="0099024C"/>
    <w:rsid w:val="00991EF5"/>
    <w:rsid w:val="00992941"/>
    <w:rsid w:val="00992A7C"/>
    <w:rsid w:val="00993910"/>
    <w:rsid w:val="0099502B"/>
    <w:rsid w:val="009A105D"/>
    <w:rsid w:val="009A28FF"/>
    <w:rsid w:val="009A6A73"/>
    <w:rsid w:val="009A6FDB"/>
    <w:rsid w:val="009A7664"/>
    <w:rsid w:val="009B0293"/>
    <w:rsid w:val="009B0808"/>
    <w:rsid w:val="009B083B"/>
    <w:rsid w:val="009B1936"/>
    <w:rsid w:val="009B3C61"/>
    <w:rsid w:val="009B4211"/>
    <w:rsid w:val="009B4FB5"/>
    <w:rsid w:val="009B5BCA"/>
    <w:rsid w:val="009B6498"/>
    <w:rsid w:val="009B6603"/>
    <w:rsid w:val="009C5A88"/>
    <w:rsid w:val="009D2D52"/>
    <w:rsid w:val="009D42C6"/>
    <w:rsid w:val="009E30BE"/>
    <w:rsid w:val="009E383B"/>
    <w:rsid w:val="009E50DF"/>
    <w:rsid w:val="009E6932"/>
    <w:rsid w:val="009E6B19"/>
    <w:rsid w:val="009F66EE"/>
    <w:rsid w:val="009F6C31"/>
    <w:rsid w:val="00A00254"/>
    <w:rsid w:val="00A00935"/>
    <w:rsid w:val="00A01878"/>
    <w:rsid w:val="00A0403A"/>
    <w:rsid w:val="00A049B4"/>
    <w:rsid w:val="00A07E9B"/>
    <w:rsid w:val="00A15B21"/>
    <w:rsid w:val="00A1727D"/>
    <w:rsid w:val="00A21AC9"/>
    <w:rsid w:val="00A2428E"/>
    <w:rsid w:val="00A25290"/>
    <w:rsid w:val="00A25B88"/>
    <w:rsid w:val="00A260B4"/>
    <w:rsid w:val="00A30119"/>
    <w:rsid w:val="00A31145"/>
    <w:rsid w:val="00A3239D"/>
    <w:rsid w:val="00A33CC7"/>
    <w:rsid w:val="00A347BA"/>
    <w:rsid w:val="00A43831"/>
    <w:rsid w:val="00A47EDF"/>
    <w:rsid w:val="00A50D9B"/>
    <w:rsid w:val="00A50EAE"/>
    <w:rsid w:val="00A54146"/>
    <w:rsid w:val="00A5692F"/>
    <w:rsid w:val="00A56EC6"/>
    <w:rsid w:val="00A57709"/>
    <w:rsid w:val="00A638F8"/>
    <w:rsid w:val="00A705B0"/>
    <w:rsid w:val="00A7192E"/>
    <w:rsid w:val="00A74CDA"/>
    <w:rsid w:val="00A7619E"/>
    <w:rsid w:val="00A82F06"/>
    <w:rsid w:val="00A83FD8"/>
    <w:rsid w:val="00A85F98"/>
    <w:rsid w:val="00A87798"/>
    <w:rsid w:val="00A90206"/>
    <w:rsid w:val="00A91289"/>
    <w:rsid w:val="00A91C70"/>
    <w:rsid w:val="00A952A0"/>
    <w:rsid w:val="00AA124B"/>
    <w:rsid w:val="00AA2103"/>
    <w:rsid w:val="00AA4929"/>
    <w:rsid w:val="00AA4F53"/>
    <w:rsid w:val="00AA5593"/>
    <w:rsid w:val="00AA616A"/>
    <w:rsid w:val="00AA61F0"/>
    <w:rsid w:val="00AA62DA"/>
    <w:rsid w:val="00AB039F"/>
    <w:rsid w:val="00AB08F1"/>
    <w:rsid w:val="00AB58F3"/>
    <w:rsid w:val="00AC0667"/>
    <w:rsid w:val="00AC3DC5"/>
    <w:rsid w:val="00AC5C49"/>
    <w:rsid w:val="00AC6163"/>
    <w:rsid w:val="00AD05EC"/>
    <w:rsid w:val="00AD2809"/>
    <w:rsid w:val="00AD2D27"/>
    <w:rsid w:val="00AD2F8A"/>
    <w:rsid w:val="00AE2833"/>
    <w:rsid w:val="00AE4AC6"/>
    <w:rsid w:val="00AE63C9"/>
    <w:rsid w:val="00AE6848"/>
    <w:rsid w:val="00AF1E3D"/>
    <w:rsid w:val="00AF2531"/>
    <w:rsid w:val="00AF5455"/>
    <w:rsid w:val="00AF7FC2"/>
    <w:rsid w:val="00B02782"/>
    <w:rsid w:val="00B06A94"/>
    <w:rsid w:val="00B15E1A"/>
    <w:rsid w:val="00B16304"/>
    <w:rsid w:val="00B17B14"/>
    <w:rsid w:val="00B20684"/>
    <w:rsid w:val="00B2150C"/>
    <w:rsid w:val="00B22534"/>
    <w:rsid w:val="00B22BA2"/>
    <w:rsid w:val="00B2424B"/>
    <w:rsid w:val="00B25BDF"/>
    <w:rsid w:val="00B2723B"/>
    <w:rsid w:val="00B27F71"/>
    <w:rsid w:val="00B44411"/>
    <w:rsid w:val="00B464A1"/>
    <w:rsid w:val="00B512A8"/>
    <w:rsid w:val="00B516D7"/>
    <w:rsid w:val="00B53365"/>
    <w:rsid w:val="00B5403D"/>
    <w:rsid w:val="00B5680A"/>
    <w:rsid w:val="00B56D60"/>
    <w:rsid w:val="00B61ADC"/>
    <w:rsid w:val="00B62812"/>
    <w:rsid w:val="00B676BE"/>
    <w:rsid w:val="00B70788"/>
    <w:rsid w:val="00B73E55"/>
    <w:rsid w:val="00B75670"/>
    <w:rsid w:val="00B758C5"/>
    <w:rsid w:val="00B759B5"/>
    <w:rsid w:val="00B779F0"/>
    <w:rsid w:val="00B803C4"/>
    <w:rsid w:val="00B80D17"/>
    <w:rsid w:val="00B851AA"/>
    <w:rsid w:val="00B855CD"/>
    <w:rsid w:val="00B8781B"/>
    <w:rsid w:val="00B91A61"/>
    <w:rsid w:val="00B92A04"/>
    <w:rsid w:val="00B93236"/>
    <w:rsid w:val="00B97C0E"/>
    <w:rsid w:val="00BA21F4"/>
    <w:rsid w:val="00BA436A"/>
    <w:rsid w:val="00BA489A"/>
    <w:rsid w:val="00BA4C5C"/>
    <w:rsid w:val="00BA6A3B"/>
    <w:rsid w:val="00BB39BB"/>
    <w:rsid w:val="00BB5055"/>
    <w:rsid w:val="00BB56C7"/>
    <w:rsid w:val="00BB699E"/>
    <w:rsid w:val="00BB78B4"/>
    <w:rsid w:val="00BC132B"/>
    <w:rsid w:val="00BC223B"/>
    <w:rsid w:val="00BC3394"/>
    <w:rsid w:val="00BC349E"/>
    <w:rsid w:val="00BC37B4"/>
    <w:rsid w:val="00BC41FF"/>
    <w:rsid w:val="00BC58D1"/>
    <w:rsid w:val="00BC7A80"/>
    <w:rsid w:val="00BD1A19"/>
    <w:rsid w:val="00BD4905"/>
    <w:rsid w:val="00BE2033"/>
    <w:rsid w:val="00BE25F8"/>
    <w:rsid w:val="00BE3580"/>
    <w:rsid w:val="00BE3AFA"/>
    <w:rsid w:val="00BE3DA6"/>
    <w:rsid w:val="00BE7BFE"/>
    <w:rsid w:val="00BE7C4C"/>
    <w:rsid w:val="00BF1E91"/>
    <w:rsid w:val="00BF2941"/>
    <w:rsid w:val="00BF34C5"/>
    <w:rsid w:val="00BF3F12"/>
    <w:rsid w:val="00BF442E"/>
    <w:rsid w:val="00BF512A"/>
    <w:rsid w:val="00BF5145"/>
    <w:rsid w:val="00BF5723"/>
    <w:rsid w:val="00C005AC"/>
    <w:rsid w:val="00C012D7"/>
    <w:rsid w:val="00C036EF"/>
    <w:rsid w:val="00C03A78"/>
    <w:rsid w:val="00C058A4"/>
    <w:rsid w:val="00C11D51"/>
    <w:rsid w:val="00C13873"/>
    <w:rsid w:val="00C20062"/>
    <w:rsid w:val="00C230A9"/>
    <w:rsid w:val="00C23CFE"/>
    <w:rsid w:val="00C244A9"/>
    <w:rsid w:val="00C2524E"/>
    <w:rsid w:val="00C25D4B"/>
    <w:rsid w:val="00C26087"/>
    <w:rsid w:val="00C27BFA"/>
    <w:rsid w:val="00C31DD6"/>
    <w:rsid w:val="00C32C85"/>
    <w:rsid w:val="00C3455C"/>
    <w:rsid w:val="00C34EF5"/>
    <w:rsid w:val="00C42461"/>
    <w:rsid w:val="00C47050"/>
    <w:rsid w:val="00C52938"/>
    <w:rsid w:val="00C53899"/>
    <w:rsid w:val="00C545C2"/>
    <w:rsid w:val="00C549E2"/>
    <w:rsid w:val="00C56416"/>
    <w:rsid w:val="00C57792"/>
    <w:rsid w:val="00C62A55"/>
    <w:rsid w:val="00C70272"/>
    <w:rsid w:val="00C7080B"/>
    <w:rsid w:val="00C72E7D"/>
    <w:rsid w:val="00C74B99"/>
    <w:rsid w:val="00C81BF3"/>
    <w:rsid w:val="00C87DC1"/>
    <w:rsid w:val="00C92DF9"/>
    <w:rsid w:val="00C93578"/>
    <w:rsid w:val="00C937AF"/>
    <w:rsid w:val="00CA5094"/>
    <w:rsid w:val="00CA782B"/>
    <w:rsid w:val="00CA7ED4"/>
    <w:rsid w:val="00CB0BD1"/>
    <w:rsid w:val="00CB109C"/>
    <w:rsid w:val="00CB1130"/>
    <w:rsid w:val="00CB1375"/>
    <w:rsid w:val="00CB1425"/>
    <w:rsid w:val="00CB1639"/>
    <w:rsid w:val="00CB4A24"/>
    <w:rsid w:val="00CB518B"/>
    <w:rsid w:val="00CB6B08"/>
    <w:rsid w:val="00CC36DA"/>
    <w:rsid w:val="00CD0201"/>
    <w:rsid w:val="00CD2DF9"/>
    <w:rsid w:val="00CD4612"/>
    <w:rsid w:val="00CD555E"/>
    <w:rsid w:val="00CF096A"/>
    <w:rsid w:val="00CF1787"/>
    <w:rsid w:val="00CF4154"/>
    <w:rsid w:val="00D02F72"/>
    <w:rsid w:val="00D03173"/>
    <w:rsid w:val="00D04DE9"/>
    <w:rsid w:val="00D11856"/>
    <w:rsid w:val="00D118E5"/>
    <w:rsid w:val="00D12DCC"/>
    <w:rsid w:val="00D13C20"/>
    <w:rsid w:val="00D1607F"/>
    <w:rsid w:val="00D17D0F"/>
    <w:rsid w:val="00D2070C"/>
    <w:rsid w:val="00D20A2C"/>
    <w:rsid w:val="00D217CD"/>
    <w:rsid w:val="00D272B7"/>
    <w:rsid w:val="00D31DAA"/>
    <w:rsid w:val="00D34450"/>
    <w:rsid w:val="00D37124"/>
    <w:rsid w:val="00D41831"/>
    <w:rsid w:val="00D5462C"/>
    <w:rsid w:val="00D55C09"/>
    <w:rsid w:val="00D62643"/>
    <w:rsid w:val="00D637D5"/>
    <w:rsid w:val="00D63A28"/>
    <w:rsid w:val="00D651BF"/>
    <w:rsid w:val="00D65C84"/>
    <w:rsid w:val="00D7018D"/>
    <w:rsid w:val="00D725C1"/>
    <w:rsid w:val="00D82749"/>
    <w:rsid w:val="00D84B25"/>
    <w:rsid w:val="00D85991"/>
    <w:rsid w:val="00D902B5"/>
    <w:rsid w:val="00D93A7E"/>
    <w:rsid w:val="00D9412E"/>
    <w:rsid w:val="00D97863"/>
    <w:rsid w:val="00DA2A63"/>
    <w:rsid w:val="00DA3B81"/>
    <w:rsid w:val="00DA79CD"/>
    <w:rsid w:val="00DB0CD0"/>
    <w:rsid w:val="00DB78F7"/>
    <w:rsid w:val="00DC11DA"/>
    <w:rsid w:val="00DC4085"/>
    <w:rsid w:val="00DC6F2E"/>
    <w:rsid w:val="00DC7225"/>
    <w:rsid w:val="00DD71BC"/>
    <w:rsid w:val="00DE13F8"/>
    <w:rsid w:val="00DE37AD"/>
    <w:rsid w:val="00DF78FA"/>
    <w:rsid w:val="00E04257"/>
    <w:rsid w:val="00E04698"/>
    <w:rsid w:val="00E12FC3"/>
    <w:rsid w:val="00E13669"/>
    <w:rsid w:val="00E14B39"/>
    <w:rsid w:val="00E17811"/>
    <w:rsid w:val="00E20A41"/>
    <w:rsid w:val="00E3315A"/>
    <w:rsid w:val="00E3470D"/>
    <w:rsid w:val="00E35126"/>
    <w:rsid w:val="00E36977"/>
    <w:rsid w:val="00E42B09"/>
    <w:rsid w:val="00E51E30"/>
    <w:rsid w:val="00E537F4"/>
    <w:rsid w:val="00E54C46"/>
    <w:rsid w:val="00E60117"/>
    <w:rsid w:val="00E6315B"/>
    <w:rsid w:val="00E67564"/>
    <w:rsid w:val="00E67727"/>
    <w:rsid w:val="00E85561"/>
    <w:rsid w:val="00E8628B"/>
    <w:rsid w:val="00E87974"/>
    <w:rsid w:val="00E87C16"/>
    <w:rsid w:val="00E91310"/>
    <w:rsid w:val="00E914C6"/>
    <w:rsid w:val="00E91FF4"/>
    <w:rsid w:val="00E923BD"/>
    <w:rsid w:val="00E96BD7"/>
    <w:rsid w:val="00EA0D30"/>
    <w:rsid w:val="00EB143C"/>
    <w:rsid w:val="00EC0F14"/>
    <w:rsid w:val="00EC2516"/>
    <w:rsid w:val="00EC54A4"/>
    <w:rsid w:val="00EC583C"/>
    <w:rsid w:val="00ED4908"/>
    <w:rsid w:val="00ED4E21"/>
    <w:rsid w:val="00ED5417"/>
    <w:rsid w:val="00EE2932"/>
    <w:rsid w:val="00EE2D8A"/>
    <w:rsid w:val="00EE68F4"/>
    <w:rsid w:val="00EE7DD4"/>
    <w:rsid w:val="00EF04C0"/>
    <w:rsid w:val="00EF4CF6"/>
    <w:rsid w:val="00EF4F2B"/>
    <w:rsid w:val="00F017FE"/>
    <w:rsid w:val="00F0546E"/>
    <w:rsid w:val="00F05492"/>
    <w:rsid w:val="00F05974"/>
    <w:rsid w:val="00F12429"/>
    <w:rsid w:val="00F13451"/>
    <w:rsid w:val="00F13CAB"/>
    <w:rsid w:val="00F15BF8"/>
    <w:rsid w:val="00F222DE"/>
    <w:rsid w:val="00F30430"/>
    <w:rsid w:val="00F31591"/>
    <w:rsid w:val="00F32B35"/>
    <w:rsid w:val="00F32BC8"/>
    <w:rsid w:val="00F33810"/>
    <w:rsid w:val="00F340AF"/>
    <w:rsid w:val="00F3656B"/>
    <w:rsid w:val="00F37CFC"/>
    <w:rsid w:val="00F37E87"/>
    <w:rsid w:val="00F417C9"/>
    <w:rsid w:val="00F43F0C"/>
    <w:rsid w:val="00F45093"/>
    <w:rsid w:val="00F46E30"/>
    <w:rsid w:val="00F538C4"/>
    <w:rsid w:val="00F55B5F"/>
    <w:rsid w:val="00F60C54"/>
    <w:rsid w:val="00F61DA7"/>
    <w:rsid w:val="00F66B98"/>
    <w:rsid w:val="00F705F4"/>
    <w:rsid w:val="00F72B89"/>
    <w:rsid w:val="00F80F57"/>
    <w:rsid w:val="00F81D50"/>
    <w:rsid w:val="00F8421D"/>
    <w:rsid w:val="00F875A4"/>
    <w:rsid w:val="00F9201D"/>
    <w:rsid w:val="00F924AA"/>
    <w:rsid w:val="00F94FC2"/>
    <w:rsid w:val="00F95B0E"/>
    <w:rsid w:val="00F96719"/>
    <w:rsid w:val="00FA2702"/>
    <w:rsid w:val="00FA501E"/>
    <w:rsid w:val="00FB21B8"/>
    <w:rsid w:val="00FB2988"/>
    <w:rsid w:val="00FB3C46"/>
    <w:rsid w:val="00FB6EC5"/>
    <w:rsid w:val="00FC0030"/>
    <w:rsid w:val="00FC1ACC"/>
    <w:rsid w:val="00FC2C6F"/>
    <w:rsid w:val="00FC4537"/>
    <w:rsid w:val="00FC459D"/>
    <w:rsid w:val="00FC4CF1"/>
    <w:rsid w:val="00FC74CD"/>
    <w:rsid w:val="00FC787D"/>
    <w:rsid w:val="00FD01AE"/>
    <w:rsid w:val="00FD18E7"/>
    <w:rsid w:val="00FD1A1D"/>
    <w:rsid w:val="00FD2A95"/>
    <w:rsid w:val="00FD2AEE"/>
    <w:rsid w:val="00FD2E38"/>
    <w:rsid w:val="00FD4014"/>
    <w:rsid w:val="00FD4793"/>
    <w:rsid w:val="00FD5937"/>
    <w:rsid w:val="00FE0F02"/>
    <w:rsid w:val="00FE2878"/>
    <w:rsid w:val="00FE64F0"/>
    <w:rsid w:val="00FF0116"/>
    <w:rsid w:val="00FF094F"/>
    <w:rsid w:val="00FF1857"/>
    <w:rsid w:val="00FF2564"/>
    <w:rsid w:val="00FF2C65"/>
    <w:rsid w:val="00FF56C2"/>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EF13AA-F3D6-4501-8A38-AA080191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bo-CN"/>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uiPriority="2" w:qFormat="1"/>
    <w:lsdException w:name="heading 3" w:locked="1" w:semiHidden="1" w:uiPriority="0" w:unhideWhenUsed="1"/>
    <w:lsdException w:name="heading 4" w:locked="1" w:semiHidden="1" w:uiPriority="9" w:unhideWhenUsed="1" w:qFormat="1"/>
    <w:lsdException w:name="heading 5" w:locked="1" w:semiHidden="1" w:uiPriority="9" w:unhideWhenUsed="1" w:qFormat="1"/>
    <w:lsdException w:name="heading 6" w:locked="1" w:semiHidden="1" w:uiPriority="0" w:unhideWhenUsed="1"/>
    <w:lsdException w:name="heading 7" w:locked="1" w:semiHidden="1" w:uiPriority="0" w:unhideWhenUsed="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í 12"/>
    <w:qFormat/>
    <w:rsid w:val="00D41831"/>
    <w:pPr>
      <w:spacing w:after="60"/>
      <w:jc w:val="both"/>
    </w:pPr>
    <w:rPr>
      <w:sz w:val="24"/>
      <w:szCs w:val="24"/>
      <w:lang w:val="fr-FR" w:eastAsia="fr-FR" w:bidi="ar-SA"/>
    </w:rPr>
  </w:style>
  <w:style w:type="paragraph" w:styleId="Nadpis1">
    <w:name w:val="heading 1"/>
    <w:basedOn w:val="Normlny"/>
    <w:next w:val="Normlny"/>
    <w:link w:val="Nadpis1Char"/>
    <w:autoRedefine/>
    <w:uiPriority w:val="1"/>
    <w:qFormat/>
    <w:rsid w:val="002D0840"/>
    <w:pPr>
      <w:keepNext/>
      <w:spacing w:after="0"/>
      <w:jc w:val="center"/>
      <w:outlineLvl w:val="0"/>
    </w:pPr>
    <w:rPr>
      <w:rFonts w:cs="Arial"/>
      <w:b/>
      <w:bCs/>
      <w:caps/>
      <w:kern w:val="32"/>
      <w:sz w:val="28"/>
      <w:szCs w:val="32"/>
      <w:lang w:val="cs-CZ" w:eastAsia="de-DE"/>
    </w:rPr>
  </w:style>
  <w:style w:type="paragraph" w:styleId="Nadpis2">
    <w:name w:val="heading 2"/>
    <w:aliases w:val="2 SmPC"/>
    <w:basedOn w:val="Normlny"/>
    <w:next w:val="Normlny"/>
    <w:link w:val="Nadpis2Char"/>
    <w:autoRedefine/>
    <w:uiPriority w:val="2"/>
    <w:qFormat/>
    <w:rsid w:val="00AE63C9"/>
    <w:pPr>
      <w:keepNext/>
      <w:numPr>
        <w:numId w:val="6"/>
      </w:numPr>
      <w:ind w:left="567" w:hanging="567"/>
      <w:outlineLvl w:val="1"/>
    </w:pPr>
    <w:rPr>
      <w:rFonts w:cs="Arial"/>
      <w:b/>
      <w:bCs/>
      <w:caps/>
      <w:sz w:val="22"/>
      <w:szCs w:val="22"/>
      <w:lang w:val="cs-CZ" w:eastAsia="de-DE"/>
    </w:rPr>
  </w:style>
  <w:style w:type="paragraph" w:styleId="Nadpis4">
    <w:name w:val="heading 4"/>
    <w:basedOn w:val="Normlny"/>
    <w:next w:val="Normlny"/>
    <w:link w:val="Nadpis4Char"/>
    <w:uiPriority w:val="9"/>
    <w:semiHidden/>
    <w:unhideWhenUsed/>
    <w:qFormat/>
    <w:locked/>
    <w:rsid w:val="00D41831"/>
    <w:pPr>
      <w:keepNext/>
      <w:keepLines/>
      <w:spacing w:before="200" w:after="0"/>
      <w:outlineLvl w:val="3"/>
    </w:pPr>
    <w:rPr>
      <w:rFonts w:ascii="Cambria" w:eastAsia="Times New Roman" w:hAnsi="Cambria"/>
      <w:b/>
      <w:bCs/>
      <w:i/>
      <w:iCs/>
      <w:color w:val="4F81BD"/>
    </w:rPr>
  </w:style>
  <w:style w:type="paragraph" w:styleId="Nadpis5">
    <w:name w:val="heading 5"/>
    <w:basedOn w:val="Normlny"/>
    <w:next w:val="Normlny"/>
    <w:link w:val="Nadpis5Char"/>
    <w:uiPriority w:val="9"/>
    <w:semiHidden/>
    <w:unhideWhenUsed/>
    <w:qFormat/>
    <w:locked/>
    <w:rsid w:val="00D41831"/>
    <w:pPr>
      <w:keepNext/>
      <w:keepLines/>
      <w:spacing w:before="200" w:after="0"/>
      <w:outlineLvl w:val="4"/>
    </w:pPr>
    <w:rPr>
      <w:rFonts w:ascii="Cambria" w:eastAsia="Times New Roman" w:hAnsi="Cambria"/>
      <w:color w:val="243F60"/>
    </w:rPr>
  </w:style>
  <w:style w:type="paragraph" w:styleId="Nadpis8">
    <w:name w:val="heading 8"/>
    <w:basedOn w:val="Normlny"/>
    <w:next w:val="Normlny"/>
    <w:link w:val="Nadpis8Char"/>
    <w:uiPriority w:val="9"/>
    <w:semiHidden/>
    <w:unhideWhenUsed/>
    <w:qFormat/>
    <w:locked/>
    <w:rsid w:val="00D41831"/>
    <w:pPr>
      <w:keepNext/>
      <w:keepLines/>
      <w:spacing w:before="200" w:after="0"/>
      <w:outlineLvl w:val="7"/>
    </w:pPr>
    <w:rPr>
      <w:rFonts w:ascii="Cambria" w:eastAsia="Times New Roman" w:hAnsi="Cambria"/>
      <w:color w:val="404040"/>
      <w:sz w:val="20"/>
      <w:szCs w:val="20"/>
    </w:rPr>
  </w:style>
  <w:style w:type="paragraph" w:styleId="Nadpis9">
    <w:name w:val="heading 9"/>
    <w:basedOn w:val="Normlny"/>
    <w:next w:val="Normlny"/>
    <w:link w:val="Nadpis9Char"/>
    <w:uiPriority w:val="9"/>
    <w:semiHidden/>
    <w:unhideWhenUsed/>
    <w:qFormat/>
    <w:locked/>
    <w:rsid w:val="00D41831"/>
    <w:pPr>
      <w:keepNext/>
      <w:keepLines/>
      <w:spacing w:before="200" w:after="0"/>
      <w:outlineLvl w:val="8"/>
    </w:pPr>
    <w:rPr>
      <w:rFonts w:ascii="Cambria" w:eastAsia="Times New Roman" w:hAnsi="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1"/>
    <w:locked/>
    <w:rsid w:val="002D0840"/>
    <w:rPr>
      <w:rFonts w:cs="Arial"/>
      <w:b/>
      <w:bCs/>
      <w:caps/>
      <w:kern w:val="32"/>
      <w:sz w:val="28"/>
      <w:szCs w:val="32"/>
      <w:lang w:eastAsia="de-DE"/>
    </w:rPr>
  </w:style>
  <w:style w:type="character" w:customStyle="1" w:styleId="Nadpis2Char">
    <w:name w:val="Nadpis 2 Char"/>
    <w:aliases w:val="2 SmPC Char"/>
    <w:link w:val="Nadpis2"/>
    <w:uiPriority w:val="2"/>
    <w:locked/>
    <w:rsid w:val="00AE63C9"/>
    <w:rPr>
      <w:rFonts w:cs="Arial"/>
      <w:b/>
      <w:bCs/>
      <w:caps/>
      <w:sz w:val="22"/>
      <w:szCs w:val="22"/>
      <w:lang w:val="cs-CZ" w:eastAsia="de-DE" w:bidi="ar-SA"/>
    </w:rPr>
  </w:style>
  <w:style w:type="table" w:styleId="Mriekatabuky">
    <w:name w:val="Table Grid"/>
    <w:basedOn w:val="Normlnatabuka"/>
    <w:uiPriority w:val="99"/>
    <w:rsid w:val="0062428C"/>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99"/>
    <w:rsid w:val="0098681D"/>
    <w:pPr>
      <w:ind w:left="720"/>
      <w:contextualSpacing/>
    </w:pPr>
  </w:style>
  <w:style w:type="paragraph" w:styleId="Textbubliny">
    <w:name w:val="Balloon Text"/>
    <w:basedOn w:val="Normlny"/>
    <w:link w:val="TextbublinyChar"/>
    <w:uiPriority w:val="99"/>
    <w:semiHidden/>
    <w:rsid w:val="00BC7A80"/>
    <w:pPr>
      <w:spacing w:after="0"/>
    </w:pPr>
    <w:rPr>
      <w:rFonts w:ascii="Tahoma" w:hAnsi="Tahoma" w:cs="Tahoma"/>
      <w:sz w:val="16"/>
      <w:szCs w:val="16"/>
    </w:rPr>
  </w:style>
  <w:style w:type="character" w:customStyle="1" w:styleId="TextbublinyChar">
    <w:name w:val="Text bubliny Char"/>
    <w:link w:val="Textbubliny"/>
    <w:uiPriority w:val="99"/>
    <w:semiHidden/>
    <w:locked/>
    <w:rsid w:val="00BB39BB"/>
    <w:rPr>
      <w:rFonts w:ascii="Tahoma" w:hAnsi="Tahoma" w:cs="Tahoma"/>
      <w:noProof/>
      <w:sz w:val="16"/>
      <w:szCs w:val="16"/>
      <w:lang w:val="en-GB"/>
    </w:rPr>
  </w:style>
  <w:style w:type="paragraph" w:customStyle="1" w:styleId="Odstavecseseznamem1">
    <w:name w:val="Odstavec se seznamem1"/>
    <w:basedOn w:val="Normlny"/>
    <w:uiPriority w:val="99"/>
    <w:rsid w:val="00BC7A80"/>
    <w:pPr>
      <w:ind w:left="720"/>
      <w:contextualSpacing/>
    </w:pPr>
  </w:style>
  <w:style w:type="character" w:styleId="Odkaznakomentr">
    <w:name w:val="annotation reference"/>
    <w:uiPriority w:val="99"/>
    <w:semiHidden/>
    <w:rsid w:val="00BC7A80"/>
    <w:rPr>
      <w:rFonts w:cs="Times New Roman"/>
      <w:sz w:val="16"/>
      <w:szCs w:val="16"/>
    </w:rPr>
  </w:style>
  <w:style w:type="paragraph" w:styleId="Textkomentra">
    <w:name w:val="annotation text"/>
    <w:basedOn w:val="Normlny"/>
    <w:link w:val="TextkomentraChar"/>
    <w:uiPriority w:val="99"/>
    <w:semiHidden/>
    <w:rsid w:val="00BC7A80"/>
    <w:rPr>
      <w:sz w:val="20"/>
      <w:szCs w:val="20"/>
    </w:rPr>
  </w:style>
  <w:style w:type="character" w:customStyle="1" w:styleId="TextkomentraChar">
    <w:name w:val="Text komentára Char"/>
    <w:link w:val="Textkomentra"/>
    <w:uiPriority w:val="99"/>
    <w:semiHidden/>
    <w:locked/>
    <w:rsid w:val="00BC7A80"/>
    <w:rPr>
      <w:rFonts w:ascii="Times New Roman" w:hAnsi="Times New Roman" w:cs="Times New Roman"/>
      <w:noProof/>
      <w:lang w:val="en-GB"/>
    </w:rPr>
  </w:style>
  <w:style w:type="paragraph" w:styleId="Predmetkomentra">
    <w:name w:val="annotation subject"/>
    <w:basedOn w:val="Textkomentra"/>
    <w:next w:val="Textkomentra"/>
    <w:link w:val="PredmetkomentraChar"/>
    <w:uiPriority w:val="99"/>
    <w:semiHidden/>
    <w:rsid w:val="00BC7A80"/>
    <w:rPr>
      <w:b/>
      <w:bCs/>
    </w:rPr>
  </w:style>
  <w:style w:type="character" w:customStyle="1" w:styleId="PredmetkomentraChar">
    <w:name w:val="Predmet komentára Char"/>
    <w:link w:val="Predmetkomentra"/>
    <w:uiPriority w:val="99"/>
    <w:semiHidden/>
    <w:locked/>
    <w:rsid w:val="00BC7A80"/>
    <w:rPr>
      <w:rFonts w:ascii="Times New Roman" w:hAnsi="Times New Roman" w:cs="Times New Roman"/>
      <w:b/>
      <w:bCs/>
      <w:noProof/>
      <w:lang w:val="en-GB"/>
    </w:rPr>
  </w:style>
  <w:style w:type="paragraph" w:styleId="truktradokumentu">
    <w:name w:val="Document Map"/>
    <w:basedOn w:val="Normlny"/>
    <w:link w:val="truktradokumentuChar"/>
    <w:uiPriority w:val="99"/>
    <w:semiHidden/>
    <w:rsid w:val="00BC7A80"/>
    <w:pPr>
      <w:shd w:val="clear" w:color="auto" w:fill="000080"/>
    </w:pPr>
    <w:rPr>
      <w:rFonts w:ascii="Tahoma" w:hAnsi="Tahoma" w:cs="Tahoma"/>
      <w:sz w:val="20"/>
      <w:szCs w:val="20"/>
    </w:rPr>
  </w:style>
  <w:style w:type="paragraph" w:styleId="Hlavika">
    <w:name w:val="header"/>
    <w:basedOn w:val="Normlny"/>
    <w:link w:val="HlavikaChar"/>
    <w:uiPriority w:val="99"/>
    <w:rsid w:val="00BC7A80"/>
    <w:pPr>
      <w:tabs>
        <w:tab w:val="center" w:pos="4536"/>
        <w:tab w:val="right" w:pos="9072"/>
      </w:tabs>
    </w:pPr>
  </w:style>
  <w:style w:type="character" w:customStyle="1" w:styleId="truktradokumentuChar">
    <w:name w:val="Štruktúra dokumentu Char"/>
    <w:link w:val="truktradokumentu"/>
    <w:uiPriority w:val="99"/>
    <w:semiHidden/>
    <w:locked/>
    <w:rsid w:val="00BC7A80"/>
    <w:rPr>
      <w:rFonts w:ascii="Tahoma" w:hAnsi="Tahoma" w:cs="Tahoma"/>
      <w:noProof/>
      <w:shd w:val="clear" w:color="auto" w:fill="000080"/>
      <w:lang w:val="en-GB"/>
    </w:rPr>
  </w:style>
  <w:style w:type="character" w:customStyle="1" w:styleId="HlavikaChar">
    <w:name w:val="Hlavička Char"/>
    <w:link w:val="Hlavika"/>
    <w:uiPriority w:val="99"/>
    <w:locked/>
    <w:rsid w:val="00BC7A80"/>
    <w:rPr>
      <w:rFonts w:ascii="Times New Roman" w:hAnsi="Times New Roman" w:cs="Times New Roman"/>
      <w:noProof/>
      <w:sz w:val="22"/>
      <w:szCs w:val="22"/>
      <w:lang w:val="en-GB"/>
    </w:rPr>
  </w:style>
  <w:style w:type="paragraph" w:styleId="Pta">
    <w:name w:val="footer"/>
    <w:basedOn w:val="Normlny"/>
    <w:link w:val="PtaChar"/>
    <w:uiPriority w:val="99"/>
    <w:rsid w:val="00BC7A80"/>
    <w:pPr>
      <w:tabs>
        <w:tab w:val="center" w:pos="4536"/>
        <w:tab w:val="right" w:pos="9072"/>
      </w:tabs>
    </w:pPr>
  </w:style>
  <w:style w:type="character" w:customStyle="1" w:styleId="PtaChar">
    <w:name w:val="Päta Char"/>
    <w:link w:val="Pta"/>
    <w:uiPriority w:val="99"/>
    <w:locked/>
    <w:rsid w:val="00BC7A80"/>
    <w:rPr>
      <w:rFonts w:ascii="Times New Roman" w:hAnsi="Times New Roman" w:cs="Times New Roman"/>
      <w:noProof/>
      <w:sz w:val="22"/>
      <w:szCs w:val="22"/>
      <w:lang w:val="en-GB"/>
    </w:rPr>
  </w:style>
  <w:style w:type="character" w:styleId="slostrany">
    <w:name w:val="page number"/>
    <w:uiPriority w:val="99"/>
    <w:rsid w:val="00BC7A80"/>
    <w:rPr>
      <w:rFonts w:cs="Times New Roman"/>
    </w:rPr>
  </w:style>
  <w:style w:type="paragraph" w:styleId="Revzia">
    <w:name w:val="Revision"/>
    <w:hidden/>
    <w:uiPriority w:val="99"/>
    <w:semiHidden/>
    <w:rsid w:val="00BC7A80"/>
    <w:rPr>
      <w:noProof/>
      <w:sz w:val="24"/>
      <w:szCs w:val="22"/>
      <w:lang w:eastAsia="en-US" w:bidi="ar-SA"/>
    </w:rPr>
  </w:style>
  <w:style w:type="paragraph" w:customStyle="1" w:styleId="Odstavecseseznamem2">
    <w:name w:val="Odstavec se seznamem2"/>
    <w:basedOn w:val="Normlny"/>
    <w:uiPriority w:val="99"/>
    <w:rsid w:val="00407F8E"/>
    <w:pPr>
      <w:ind w:left="720"/>
      <w:contextualSpacing/>
    </w:pPr>
  </w:style>
  <w:style w:type="paragraph" w:customStyle="1" w:styleId="2LAB">
    <w:name w:val="2 LAB"/>
    <w:basedOn w:val="Nadpis2"/>
    <w:link w:val="2LABChar"/>
    <w:autoRedefine/>
    <w:uiPriority w:val="3"/>
    <w:qFormat/>
    <w:rsid w:val="00D41831"/>
    <w:pPr>
      <w:numPr>
        <w:numId w:val="0"/>
      </w:num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D41831"/>
    <w:rPr>
      <w:rFonts w:cs="Arial"/>
      <w:b/>
      <w:bCs/>
      <w:caps/>
      <w:noProof/>
      <w:sz w:val="24"/>
      <w:szCs w:val="24"/>
      <w:lang w:eastAsia="de-DE"/>
    </w:rPr>
  </w:style>
  <w:style w:type="paragraph" w:customStyle="1" w:styleId="NorLAB">
    <w:name w:val="Nor LAB"/>
    <w:basedOn w:val="Normlny"/>
    <w:link w:val="NorLABChar"/>
    <w:uiPriority w:val="5"/>
    <w:rsid w:val="000D4816"/>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0D4816"/>
    <w:rPr>
      <w:b/>
      <w:caps/>
      <w:noProof/>
      <w:sz w:val="24"/>
      <w:szCs w:val="24"/>
      <w:lang w:val="fr-FR" w:eastAsia="fr-FR"/>
    </w:rPr>
  </w:style>
  <w:style w:type="paragraph" w:customStyle="1" w:styleId="2PIL">
    <w:name w:val="2 PIL"/>
    <w:basedOn w:val="Nadpis2"/>
    <w:link w:val="2PILChar"/>
    <w:autoRedefine/>
    <w:uiPriority w:val="4"/>
    <w:qFormat/>
    <w:rsid w:val="00D41831"/>
    <w:pPr>
      <w:keepNext w:val="0"/>
      <w:numPr>
        <w:numId w:val="7"/>
      </w:numPr>
      <w:tabs>
        <w:tab w:val="left" w:pos="360"/>
      </w:tabs>
      <w:ind w:left="0" w:firstLine="0"/>
      <w:jc w:val="left"/>
    </w:pPr>
    <w:rPr>
      <w:caps w:val="0"/>
    </w:rPr>
  </w:style>
  <w:style w:type="character" w:customStyle="1" w:styleId="2PILChar">
    <w:name w:val="2 PIL Char"/>
    <w:link w:val="2PIL"/>
    <w:uiPriority w:val="4"/>
    <w:rsid w:val="00D41831"/>
    <w:rPr>
      <w:rFonts w:cs="Arial"/>
      <w:b/>
      <w:bCs/>
      <w:caps w:val="0"/>
      <w:sz w:val="24"/>
      <w:szCs w:val="24"/>
      <w:lang w:eastAsia="de-DE"/>
    </w:rPr>
  </w:style>
  <w:style w:type="paragraph" w:customStyle="1" w:styleId="Tun">
    <w:name w:val="Tučné"/>
    <w:basedOn w:val="Normlny"/>
    <w:link w:val="TunChar"/>
    <w:uiPriority w:val="6"/>
    <w:rsid w:val="00FC787D"/>
    <w:rPr>
      <w:b/>
      <w:bCs/>
      <w:lang w:val="en-GB" w:eastAsia="de-DE"/>
    </w:rPr>
  </w:style>
  <w:style w:type="character" w:customStyle="1" w:styleId="TunChar">
    <w:name w:val="Tučné Char"/>
    <w:link w:val="Tun"/>
    <w:uiPriority w:val="6"/>
    <w:rsid w:val="00FC787D"/>
    <w:rPr>
      <w:b/>
      <w:bCs/>
      <w:sz w:val="24"/>
      <w:szCs w:val="24"/>
      <w:lang w:val="en-GB" w:eastAsia="de-DE"/>
    </w:rPr>
  </w:style>
  <w:style w:type="paragraph" w:styleId="Normlnywebov">
    <w:name w:val="Normal (Web)"/>
    <w:basedOn w:val="Normlny"/>
    <w:uiPriority w:val="99"/>
    <w:unhideWhenUsed/>
    <w:rsid w:val="003608D4"/>
    <w:pPr>
      <w:spacing w:before="100" w:beforeAutospacing="1" w:after="100" w:afterAutospacing="1"/>
      <w:jc w:val="left"/>
    </w:pPr>
    <w:rPr>
      <w:rFonts w:eastAsia="Times New Roman"/>
      <w:lang w:val="cs-CZ" w:eastAsia="cs-CZ"/>
    </w:rPr>
  </w:style>
  <w:style w:type="paragraph" w:customStyle="1" w:styleId="ProduitLigne2">
    <w:name w:val="Produit Ligne 2"/>
    <w:basedOn w:val="Normlny"/>
    <w:uiPriority w:val="99"/>
    <w:rsid w:val="00B5403D"/>
    <w:pPr>
      <w:tabs>
        <w:tab w:val="num" w:pos="1534"/>
      </w:tabs>
      <w:ind w:left="1534" w:hanging="454"/>
    </w:pPr>
  </w:style>
  <w:style w:type="paragraph" w:customStyle="1" w:styleId="Default">
    <w:name w:val="Default"/>
    <w:rsid w:val="006F279E"/>
    <w:pPr>
      <w:autoSpaceDE w:val="0"/>
      <w:autoSpaceDN w:val="0"/>
      <w:adjustRightInd w:val="0"/>
    </w:pPr>
    <w:rPr>
      <w:color w:val="000000"/>
      <w:sz w:val="24"/>
      <w:szCs w:val="24"/>
      <w:lang w:val="cs-CZ" w:eastAsia="cs-CZ" w:bidi="ar-SA"/>
    </w:rPr>
  </w:style>
  <w:style w:type="character" w:styleId="Hypertextovprepojenie">
    <w:name w:val="Hyperlink"/>
    <w:rsid w:val="00836FD4"/>
    <w:rPr>
      <w:color w:val="0000FF"/>
      <w:u w:val="single"/>
    </w:rPr>
  </w:style>
  <w:style w:type="paragraph" w:customStyle="1" w:styleId="BodytextAgency">
    <w:name w:val="Body text (Agency)"/>
    <w:basedOn w:val="Normlny"/>
    <w:link w:val="BodytextAgencyChar"/>
    <w:rsid w:val="00836FD4"/>
    <w:pPr>
      <w:spacing w:after="140" w:line="280" w:lineRule="atLeast"/>
      <w:jc w:val="left"/>
    </w:pPr>
    <w:rPr>
      <w:rFonts w:ascii="Verdana" w:eastAsia="Verdana" w:hAnsi="Verdana" w:cs="Verdana"/>
      <w:sz w:val="18"/>
      <w:szCs w:val="18"/>
      <w:lang w:val="en-GB" w:eastAsia="en-GB"/>
    </w:rPr>
  </w:style>
  <w:style w:type="character" w:customStyle="1" w:styleId="BodytextAgencyChar">
    <w:name w:val="Body text (Agency) Char"/>
    <w:link w:val="BodytextAgency"/>
    <w:rsid w:val="00836FD4"/>
    <w:rPr>
      <w:rFonts w:ascii="Verdana" w:eastAsia="Verdana" w:hAnsi="Verdana" w:cs="Verdana"/>
      <w:sz w:val="18"/>
      <w:szCs w:val="18"/>
      <w:lang w:val="en-GB" w:eastAsia="en-GB"/>
    </w:rPr>
  </w:style>
  <w:style w:type="character" w:styleId="Zstupntext">
    <w:name w:val="Placeholder Text"/>
    <w:uiPriority w:val="99"/>
    <w:semiHidden/>
    <w:rsid w:val="00E54C46"/>
    <w:rPr>
      <w:color w:val="808080"/>
    </w:rPr>
  </w:style>
  <w:style w:type="character" w:customStyle="1" w:styleId="Nadpis4Char">
    <w:name w:val="Nadpis 4 Char"/>
    <w:link w:val="Nadpis4"/>
    <w:uiPriority w:val="9"/>
    <w:semiHidden/>
    <w:rsid w:val="00D41831"/>
    <w:rPr>
      <w:rFonts w:ascii="Cambria" w:eastAsia="Times New Roman" w:hAnsi="Cambria" w:cs="Times New Roman"/>
      <w:b/>
      <w:bCs/>
      <w:i/>
      <w:iCs/>
      <w:color w:val="4F81BD"/>
      <w:sz w:val="24"/>
      <w:szCs w:val="24"/>
      <w:lang w:val="fr-FR" w:eastAsia="fr-FR"/>
    </w:rPr>
  </w:style>
  <w:style w:type="character" w:customStyle="1" w:styleId="Nadpis5Char">
    <w:name w:val="Nadpis 5 Char"/>
    <w:link w:val="Nadpis5"/>
    <w:uiPriority w:val="9"/>
    <w:semiHidden/>
    <w:rsid w:val="00D41831"/>
    <w:rPr>
      <w:rFonts w:ascii="Cambria" w:eastAsia="Times New Roman" w:hAnsi="Cambria" w:cs="Times New Roman"/>
      <w:color w:val="243F60"/>
      <w:sz w:val="24"/>
      <w:szCs w:val="24"/>
      <w:lang w:val="fr-FR" w:eastAsia="fr-FR"/>
    </w:rPr>
  </w:style>
  <w:style w:type="character" w:customStyle="1" w:styleId="Nadpis8Char">
    <w:name w:val="Nadpis 8 Char"/>
    <w:link w:val="Nadpis8"/>
    <w:uiPriority w:val="9"/>
    <w:semiHidden/>
    <w:rsid w:val="00D41831"/>
    <w:rPr>
      <w:rFonts w:ascii="Cambria" w:eastAsia="Times New Roman" w:hAnsi="Cambria" w:cs="Times New Roman"/>
      <w:color w:val="404040"/>
      <w:sz w:val="20"/>
      <w:szCs w:val="20"/>
      <w:lang w:val="fr-FR" w:eastAsia="fr-FR"/>
    </w:rPr>
  </w:style>
  <w:style w:type="character" w:customStyle="1" w:styleId="Nadpis9Char">
    <w:name w:val="Nadpis 9 Char"/>
    <w:link w:val="Nadpis9"/>
    <w:uiPriority w:val="9"/>
    <w:semiHidden/>
    <w:rsid w:val="00D41831"/>
    <w:rPr>
      <w:rFonts w:ascii="Cambria" w:eastAsia="Times New Roman" w:hAnsi="Cambria" w:cs="Times New Roman"/>
      <w:i/>
      <w:iCs/>
      <w:color w:val="404040"/>
      <w:sz w:val="20"/>
      <w:szCs w:val="20"/>
      <w:lang w:val="fr-FR" w:eastAsia="fr-FR"/>
    </w:rPr>
  </w:style>
  <w:style w:type="paragraph" w:styleId="Popis">
    <w:name w:val="caption"/>
    <w:basedOn w:val="Normlny"/>
    <w:next w:val="Normlny"/>
    <w:uiPriority w:val="35"/>
    <w:semiHidden/>
    <w:unhideWhenUsed/>
    <w:qFormat/>
    <w:rsid w:val="00D41831"/>
    <w:pPr>
      <w:spacing w:after="200"/>
    </w:pPr>
    <w:rPr>
      <w:b/>
      <w:bCs/>
      <w:color w:val="4F81BD"/>
      <w:sz w:val="18"/>
      <w:szCs w:val="18"/>
    </w:rPr>
  </w:style>
  <w:style w:type="paragraph" w:customStyle="1" w:styleId="CM81">
    <w:name w:val="CM81"/>
    <w:basedOn w:val="Default"/>
    <w:next w:val="Default"/>
    <w:uiPriority w:val="99"/>
    <w:rsid w:val="00286239"/>
    <w:pPr>
      <w:widowControl w:val="0"/>
      <w:spacing w:after="353"/>
    </w:pPr>
    <w:rPr>
      <w:rFonts w:eastAsia="Times New Roman"/>
      <w:color w:val="auto"/>
    </w:rPr>
  </w:style>
  <w:style w:type="paragraph" w:customStyle="1" w:styleId="EMA1">
    <w:name w:val="EMA 1"/>
    <w:basedOn w:val="Normlny"/>
    <w:qFormat/>
    <w:rsid w:val="00240D94"/>
    <w:pPr>
      <w:jc w:val="center"/>
      <w:outlineLvl w:val="0"/>
    </w:pPr>
    <w:rPr>
      <w:b/>
      <w:noProof/>
      <w:sz w:val="22"/>
      <w:szCs w:val="22"/>
      <w:lang w:val="en-GB"/>
    </w:rPr>
  </w:style>
  <w:style w:type="paragraph" w:styleId="Zkladntext">
    <w:name w:val="Body Text"/>
    <w:basedOn w:val="Normlny"/>
    <w:link w:val="ZkladntextChar"/>
    <w:uiPriority w:val="1"/>
    <w:qFormat/>
    <w:rsid w:val="00C52938"/>
    <w:pPr>
      <w:widowControl w:val="0"/>
      <w:spacing w:after="0"/>
      <w:ind w:left="118"/>
      <w:jc w:val="left"/>
    </w:pPr>
    <w:rPr>
      <w:rFonts w:eastAsia="Times New Roman"/>
      <w:sz w:val="22"/>
      <w:szCs w:val="22"/>
      <w:lang w:val="en-US" w:eastAsia="en-US"/>
    </w:rPr>
  </w:style>
  <w:style w:type="character" w:customStyle="1" w:styleId="ZkladntextChar">
    <w:name w:val="Základný text Char"/>
    <w:link w:val="Zkladntext"/>
    <w:uiPriority w:val="1"/>
    <w:rsid w:val="00C52938"/>
    <w:rPr>
      <w:rFonts w:eastAsia="Times New Roman"/>
      <w:sz w:val="22"/>
      <w:szCs w:val="22"/>
      <w:lang w:val="en-US" w:eastAsia="en-US"/>
    </w:rPr>
  </w:style>
  <w:style w:type="paragraph" w:customStyle="1" w:styleId="EMA2SPC">
    <w:name w:val="EMA 2 SPC"/>
    <w:basedOn w:val="Normlny"/>
    <w:qFormat/>
    <w:rsid w:val="00001BA6"/>
    <w:pPr>
      <w:spacing w:after="0"/>
      <w:jc w:val="left"/>
    </w:pPr>
    <w:rPr>
      <w:b/>
      <w:cap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53195">
      <w:bodyDiv w:val="1"/>
      <w:marLeft w:val="0"/>
      <w:marRight w:val="0"/>
      <w:marTop w:val="0"/>
      <w:marBottom w:val="0"/>
      <w:divBdr>
        <w:top w:val="none" w:sz="0" w:space="0" w:color="auto"/>
        <w:left w:val="none" w:sz="0" w:space="0" w:color="auto"/>
        <w:bottom w:val="none" w:sz="0" w:space="0" w:color="auto"/>
        <w:right w:val="none" w:sz="0" w:space="0" w:color="auto"/>
      </w:divBdr>
      <w:divsChild>
        <w:div w:id="178159315">
          <w:marLeft w:val="0"/>
          <w:marRight w:val="0"/>
          <w:marTop w:val="100"/>
          <w:marBottom w:val="100"/>
          <w:divBdr>
            <w:top w:val="none" w:sz="0" w:space="0" w:color="auto"/>
            <w:left w:val="none" w:sz="0" w:space="0" w:color="auto"/>
            <w:bottom w:val="none" w:sz="0" w:space="0" w:color="auto"/>
            <w:right w:val="none" w:sz="0" w:space="0" w:color="auto"/>
          </w:divBdr>
          <w:divsChild>
            <w:div w:id="568223838">
              <w:marLeft w:val="0"/>
              <w:marRight w:val="0"/>
              <w:marTop w:val="100"/>
              <w:marBottom w:val="100"/>
              <w:divBdr>
                <w:top w:val="single" w:sz="6" w:space="0" w:color="E0E0E0"/>
                <w:left w:val="single" w:sz="6" w:space="4" w:color="E0E0E0"/>
                <w:bottom w:val="single" w:sz="6" w:space="0" w:color="E0E0E0"/>
                <w:right w:val="single" w:sz="6" w:space="4" w:color="E0E0E0"/>
              </w:divBdr>
              <w:divsChild>
                <w:div w:id="805706868">
                  <w:marLeft w:val="0"/>
                  <w:marRight w:val="0"/>
                  <w:marTop w:val="0"/>
                  <w:marBottom w:val="0"/>
                  <w:divBdr>
                    <w:top w:val="none" w:sz="0" w:space="0" w:color="auto"/>
                    <w:left w:val="none" w:sz="0" w:space="0" w:color="auto"/>
                    <w:bottom w:val="none" w:sz="0" w:space="0" w:color="auto"/>
                    <w:right w:val="none" w:sz="0" w:space="0" w:color="auto"/>
                  </w:divBdr>
                  <w:divsChild>
                    <w:div w:id="1006058111">
                      <w:marLeft w:val="0"/>
                      <w:marRight w:val="0"/>
                      <w:marTop w:val="0"/>
                      <w:marBottom w:val="0"/>
                      <w:divBdr>
                        <w:top w:val="none" w:sz="0" w:space="0" w:color="auto"/>
                        <w:left w:val="none" w:sz="0" w:space="0" w:color="auto"/>
                        <w:bottom w:val="none" w:sz="0" w:space="0" w:color="auto"/>
                        <w:right w:val="none" w:sz="0" w:space="0" w:color="auto"/>
                      </w:divBdr>
                      <w:divsChild>
                        <w:div w:id="1778988904">
                          <w:marLeft w:val="0"/>
                          <w:marRight w:val="0"/>
                          <w:marTop w:val="0"/>
                          <w:marBottom w:val="0"/>
                          <w:divBdr>
                            <w:top w:val="none" w:sz="0" w:space="0" w:color="auto"/>
                            <w:left w:val="none" w:sz="0" w:space="0" w:color="auto"/>
                            <w:bottom w:val="none" w:sz="0" w:space="0" w:color="auto"/>
                            <w:right w:val="none" w:sz="0" w:space="0" w:color="auto"/>
                          </w:divBdr>
                          <w:divsChild>
                            <w:div w:id="10225470">
                              <w:marLeft w:val="0"/>
                              <w:marRight w:val="0"/>
                              <w:marTop w:val="0"/>
                              <w:marBottom w:val="0"/>
                              <w:divBdr>
                                <w:top w:val="none" w:sz="0" w:space="0" w:color="auto"/>
                                <w:left w:val="none" w:sz="0" w:space="0" w:color="auto"/>
                                <w:bottom w:val="none" w:sz="0" w:space="0" w:color="auto"/>
                                <w:right w:val="none" w:sz="0" w:space="0" w:color="auto"/>
                              </w:divBdr>
                              <w:divsChild>
                                <w:div w:id="168257096">
                                  <w:marLeft w:val="0"/>
                                  <w:marRight w:val="0"/>
                                  <w:marTop w:val="0"/>
                                  <w:marBottom w:val="0"/>
                                  <w:divBdr>
                                    <w:top w:val="none" w:sz="0" w:space="0" w:color="auto"/>
                                    <w:left w:val="none" w:sz="0" w:space="0" w:color="auto"/>
                                    <w:bottom w:val="none" w:sz="0" w:space="0" w:color="auto"/>
                                    <w:right w:val="none" w:sz="0" w:space="0" w:color="auto"/>
                                  </w:divBdr>
                                  <w:divsChild>
                                    <w:div w:id="1765803302">
                                      <w:marLeft w:val="0"/>
                                      <w:marRight w:val="0"/>
                                      <w:marTop w:val="0"/>
                                      <w:marBottom w:val="0"/>
                                      <w:divBdr>
                                        <w:top w:val="none" w:sz="0" w:space="0" w:color="auto"/>
                                        <w:left w:val="none" w:sz="0" w:space="0" w:color="auto"/>
                                        <w:bottom w:val="none" w:sz="0" w:space="0" w:color="auto"/>
                                        <w:right w:val="none" w:sz="0" w:space="0" w:color="auto"/>
                                      </w:divBdr>
                                      <w:divsChild>
                                        <w:div w:id="3342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681341">
      <w:bodyDiv w:val="1"/>
      <w:marLeft w:val="0"/>
      <w:marRight w:val="0"/>
      <w:marTop w:val="0"/>
      <w:marBottom w:val="0"/>
      <w:divBdr>
        <w:top w:val="none" w:sz="0" w:space="0" w:color="auto"/>
        <w:left w:val="none" w:sz="0" w:space="0" w:color="auto"/>
        <w:bottom w:val="none" w:sz="0" w:space="0" w:color="auto"/>
        <w:right w:val="none" w:sz="0" w:space="0" w:color="auto"/>
      </w:divBdr>
      <w:divsChild>
        <w:div w:id="1807696160">
          <w:marLeft w:val="0"/>
          <w:marRight w:val="0"/>
          <w:marTop w:val="100"/>
          <w:marBottom w:val="100"/>
          <w:divBdr>
            <w:top w:val="none" w:sz="0" w:space="0" w:color="auto"/>
            <w:left w:val="none" w:sz="0" w:space="0" w:color="auto"/>
            <w:bottom w:val="none" w:sz="0" w:space="0" w:color="auto"/>
            <w:right w:val="none" w:sz="0" w:space="0" w:color="auto"/>
          </w:divBdr>
          <w:divsChild>
            <w:div w:id="233709826">
              <w:marLeft w:val="0"/>
              <w:marRight w:val="0"/>
              <w:marTop w:val="100"/>
              <w:marBottom w:val="100"/>
              <w:divBdr>
                <w:top w:val="single" w:sz="6" w:space="0" w:color="E0E0E0"/>
                <w:left w:val="single" w:sz="6" w:space="4" w:color="E0E0E0"/>
                <w:bottom w:val="single" w:sz="6" w:space="0" w:color="E0E0E0"/>
                <w:right w:val="single" w:sz="6" w:space="4" w:color="E0E0E0"/>
              </w:divBdr>
              <w:divsChild>
                <w:div w:id="466969454">
                  <w:marLeft w:val="0"/>
                  <w:marRight w:val="0"/>
                  <w:marTop w:val="0"/>
                  <w:marBottom w:val="0"/>
                  <w:divBdr>
                    <w:top w:val="none" w:sz="0" w:space="0" w:color="auto"/>
                    <w:left w:val="none" w:sz="0" w:space="0" w:color="auto"/>
                    <w:bottom w:val="none" w:sz="0" w:space="0" w:color="auto"/>
                    <w:right w:val="none" w:sz="0" w:space="0" w:color="auto"/>
                  </w:divBdr>
                  <w:divsChild>
                    <w:div w:id="1489634455">
                      <w:marLeft w:val="0"/>
                      <w:marRight w:val="0"/>
                      <w:marTop w:val="0"/>
                      <w:marBottom w:val="0"/>
                      <w:divBdr>
                        <w:top w:val="none" w:sz="0" w:space="0" w:color="auto"/>
                        <w:left w:val="none" w:sz="0" w:space="0" w:color="auto"/>
                        <w:bottom w:val="none" w:sz="0" w:space="0" w:color="auto"/>
                        <w:right w:val="none" w:sz="0" w:space="0" w:color="auto"/>
                      </w:divBdr>
                      <w:divsChild>
                        <w:div w:id="529998956">
                          <w:marLeft w:val="0"/>
                          <w:marRight w:val="0"/>
                          <w:marTop w:val="0"/>
                          <w:marBottom w:val="0"/>
                          <w:divBdr>
                            <w:top w:val="none" w:sz="0" w:space="0" w:color="auto"/>
                            <w:left w:val="none" w:sz="0" w:space="0" w:color="auto"/>
                            <w:bottom w:val="none" w:sz="0" w:space="0" w:color="auto"/>
                            <w:right w:val="none" w:sz="0" w:space="0" w:color="auto"/>
                          </w:divBdr>
                          <w:divsChild>
                            <w:div w:id="510295670">
                              <w:marLeft w:val="0"/>
                              <w:marRight w:val="0"/>
                              <w:marTop w:val="0"/>
                              <w:marBottom w:val="0"/>
                              <w:divBdr>
                                <w:top w:val="none" w:sz="0" w:space="0" w:color="auto"/>
                                <w:left w:val="none" w:sz="0" w:space="0" w:color="auto"/>
                                <w:bottom w:val="none" w:sz="0" w:space="0" w:color="auto"/>
                                <w:right w:val="none" w:sz="0" w:space="0" w:color="auto"/>
                              </w:divBdr>
                              <w:divsChild>
                                <w:div w:id="1259094542">
                                  <w:marLeft w:val="0"/>
                                  <w:marRight w:val="0"/>
                                  <w:marTop w:val="0"/>
                                  <w:marBottom w:val="0"/>
                                  <w:divBdr>
                                    <w:top w:val="none" w:sz="0" w:space="0" w:color="auto"/>
                                    <w:left w:val="none" w:sz="0" w:space="0" w:color="auto"/>
                                    <w:bottom w:val="none" w:sz="0" w:space="0" w:color="auto"/>
                                    <w:right w:val="none" w:sz="0" w:space="0" w:color="auto"/>
                                  </w:divBdr>
                                  <w:divsChild>
                                    <w:div w:id="1556429723">
                                      <w:marLeft w:val="0"/>
                                      <w:marRight w:val="0"/>
                                      <w:marTop w:val="0"/>
                                      <w:marBottom w:val="0"/>
                                      <w:divBdr>
                                        <w:top w:val="none" w:sz="0" w:space="0" w:color="auto"/>
                                        <w:left w:val="none" w:sz="0" w:space="0" w:color="auto"/>
                                        <w:bottom w:val="none" w:sz="0" w:space="0" w:color="auto"/>
                                        <w:right w:val="none" w:sz="0" w:space="0" w:color="auto"/>
                                      </w:divBdr>
                                      <w:divsChild>
                                        <w:div w:id="49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006268">
      <w:bodyDiv w:val="1"/>
      <w:marLeft w:val="0"/>
      <w:marRight w:val="0"/>
      <w:marTop w:val="0"/>
      <w:marBottom w:val="0"/>
      <w:divBdr>
        <w:top w:val="none" w:sz="0" w:space="0" w:color="auto"/>
        <w:left w:val="none" w:sz="0" w:space="0" w:color="auto"/>
        <w:bottom w:val="none" w:sz="0" w:space="0" w:color="auto"/>
        <w:right w:val="none" w:sz="0" w:space="0" w:color="auto"/>
      </w:divBdr>
    </w:div>
    <w:div w:id="503858416">
      <w:bodyDiv w:val="1"/>
      <w:marLeft w:val="0"/>
      <w:marRight w:val="0"/>
      <w:marTop w:val="0"/>
      <w:marBottom w:val="0"/>
      <w:divBdr>
        <w:top w:val="none" w:sz="0" w:space="0" w:color="auto"/>
        <w:left w:val="none" w:sz="0" w:space="0" w:color="auto"/>
        <w:bottom w:val="none" w:sz="0" w:space="0" w:color="auto"/>
        <w:right w:val="none" w:sz="0" w:space="0" w:color="auto"/>
      </w:divBdr>
      <w:divsChild>
        <w:div w:id="1559705361">
          <w:marLeft w:val="0"/>
          <w:marRight w:val="0"/>
          <w:marTop w:val="100"/>
          <w:marBottom w:val="100"/>
          <w:divBdr>
            <w:top w:val="none" w:sz="0" w:space="0" w:color="auto"/>
            <w:left w:val="none" w:sz="0" w:space="0" w:color="auto"/>
            <w:bottom w:val="none" w:sz="0" w:space="0" w:color="auto"/>
            <w:right w:val="none" w:sz="0" w:space="0" w:color="auto"/>
          </w:divBdr>
          <w:divsChild>
            <w:div w:id="1951432392">
              <w:marLeft w:val="0"/>
              <w:marRight w:val="0"/>
              <w:marTop w:val="100"/>
              <w:marBottom w:val="100"/>
              <w:divBdr>
                <w:top w:val="single" w:sz="6" w:space="0" w:color="E0E0E0"/>
                <w:left w:val="single" w:sz="6" w:space="4" w:color="E0E0E0"/>
                <w:bottom w:val="single" w:sz="6" w:space="0" w:color="E0E0E0"/>
                <w:right w:val="single" w:sz="6" w:space="4" w:color="E0E0E0"/>
              </w:divBdr>
              <w:divsChild>
                <w:div w:id="812985970">
                  <w:marLeft w:val="0"/>
                  <w:marRight w:val="0"/>
                  <w:marTop w:val="0"/>
                  <w:marBottom w:val="0"/>
                  <w:divBdr>
                    <w:top w:val="none" w:sz="0" w:space="0" w:color="auto"/>
                    <w:left w:val="none" w:sz="0" w:space="0" w:color="auto"/>
                    <w:bottom w:val="none" w:sz="0" w:space="0" w:color="auto"/>
                    <w:right w:val="none" w:sz="0" w:space="0" w:color="auto"/>
                  </w:divBdr>
                  <w:divsChild>
                    <w:div w:id="88233921">
                      <w:marLeft w:val="0"/>
                      <w:marRight w:val="0"/>
                      <w:marTop w:val="0"/>
                      <w:marBottom w:val="0"/>
                      <w:divBdr>
                        <w:top w:val="none" w:sz="0" w:space="0" w:color="auto"/>
                        <w:left w:val="none" w:sz="0" w:space="0" w:color="auto"/>
                        <w:bottom w:val="none" w:sz="0" w:space="0" w:color="auto"/>
                        <w:right w:val="none" w:sz="0" w:space="0" w:color="auto"/>
                      </w:divBdr>
                      <w:divsChild>
                        <w:div w:id="437406025">
                          <w:marLeft w:val="0"/>
                          <w:marRight w:val="0"/>
                          <w:marTop w:val="0"/>
                          <w:marBottom w:val="0"/>
                          <w:divBdr>
                            <w:top w:val="none" w:sz="0" w:space="0" w:color="auto"/>
                            <w:left w:val="none" w:sz="0" w:space="0" w:color="auto"/>
                            <w:bottom w:val="none" w:sz="0" w:space="0" w:color="auto"/>
                            <w:right w:val="none" w:sz="0" w:space="0" w:color="auto"/>
                          </w:divBdr>
                          <w:divsChild>
                            <w:div w:id="1926332369">
                              <w:marLeft w:val="0"/>
                              <w:marRight w:val="0"/>
                              <w:marTop w:val="0"/>
                              <w:marBottom w:val="0"/>
                              <w:divBdr>
                                <w:top w:val="none" w:sz="0" w:space="0" w:color="auto"/>
                                <w:left w:val="none" w:sz="0" w:space="0" w:color="auto"/>
                                <w:bottom w:val="none" w:sz="0" w:space="0" w:color="auto"/>
                                <w:right w:val="none" w:sz="0" w:space="0" w:color="auto"/>
                              </w:divBdr>
                              <w:divsChild>
                                <w:div w:id="2144079639">
                                  <w:marLeft w:val="0"/>
                                  <w:marRight w:val="0"/>
                                  <w:marTop w:val="0"/>
                                  <w:marBottom w:val="0"/>
                                  <w:divBdr>
                                    <w:top w:val="none" w:sz="0" w:space="0" w:color="auto"/>
                                    <w:left w:val="none" w:sz="0" w:space="0" w:color="auto"/>
                                    <w:bottom w:val="none" w:sz="0" w:space="0" w:color="auto"/>
                                    <w:right w:val="none" w:sz="0" w:space="0" w:color="auto"/>
                                  </w:divBdr>
                                  <w:divsChild>
                                    <w:div w:id="197011465">
                                      <w:marLeft w:val="0"/>
                                      <w:marRight w:val="0"/>
                                      <w:marTop w:val="0"/>
                                      <w:marBottom w:val="0"/>
                                      <w:divBdr>
                                        <w:top w:val="none" w:sz="0" w:space="0" w:color="auto"/>
                                        <w:left w:val="none" w:sz="0" w:space="0" w:color="auto"/>
                                        <w:bottom w:val="none" w:sz="0" w:space="0" w:color="auto"/>
                                        <w:right w:val="none" w:sz="0" w:space="0" w:color="auto"/>
                                      </w:divBdr>
                                      <w:divsChild>
                                        <w:div w:id="5145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738341">
      <w:bodyDiv w:val="1"/>
      <w:marLeft w:val="0"/>
      <w:marRight w:val="0"/>
      <w:marTop w:val="0"/>
      <w:marBottom w:val="0"/>
      <w:divBdr>
        <w:top w:val="none" w:sz="0" w:space="0" w:color="auto"/>
        <w:left w:val="none" w:sz="0" w:space="0" w:color="auto"/>
        <w:bottom w:val="none" w:sz="0" w:space="0" w:color="auto"/>
        <w:right w:val="none" w:sz="0" w:space="0" w:color="auto"/>
      </w:divBdr>
      <w:divsChild>
        <w:div w:id="1053506628">
          <w:marLeft w:val="0"/>
          <w:marRight w:val="0"/>
          <w:marTop w:val="100"/>
          <w:marBottom w:val="100"/>
          <w:divBdr>
            <w:top w:val="none" w:sz="0" w:space="0" w:color="auto"/>
            <w:left w:val="none" w:sz="0" w:space="0" w:color="auto"/>
            <w:bottom w:val="none" w:sz="0" w:space="0" w:color="auto"/>
            <w:right w:val="none" w:sz="0" w:space="0" w:color="auto"/>
          </w:divBdr>
          <w:divsChild>
            <w:div w:id="1043361047">
              <w:marLeft w:val="0"/>
              <w:marRight w:val="0"/>
              <w:marTop w:val="100"/>
              <w:marBottom w:val="100"/>
              <w:divBdr>
                <w:top w:val="single" w:sz="6" w:space="0" w:color="E0E0E0"/>
                <w:left w:val="single" w:sz="6" w:space="4" w:color="E0E0E0"/>
                <w:bottom w:val="single" w:sz="6" w:space="0" w:color="E0E0E0"/>
                <w:right w:val="single" w:sz="6" w:space="4" w:color="E0E0E0"/>
              </w:divBdr>
              <w:divsChild>
                <w:div w:id="341319917">
                  <w:marLeft w:val="0"/>
                  <w:marRight w:val="0"/>
                  <w:marTop w:val="0"/>
                  <w:marBottom w:val="0"/>
                  <w:divBdr>
                    <w:top w:val="none" w:sz="0" w:space="0" w:color="auto"/>
                    <w:left w:val="none" w:sz="0" w:space="0" w:color="auto"/>
                    <w:bottom w:val="none" w:sz="0" w:space="0" w:color="auto"/>
                    <w:right w:val="none" w:sz="0" w:space="0" w:color="auto"/>
                  </w:divBdr>
                  <w:divsChild>
                    <w:div w:id="1652754600">
                      <w:marLeft w:val="0"/>
                      <w:marRight w:val="0"/>
                      <w:marTop w:val="0"/>
                      <w:marBottom w:val="0"/>
                      <w:divBdr>
                        <w:top w:val="none" w:sz="0" w:space="0" w:color="auto"/>
                        <w:left w:val="none" w:sz="0" w:space="0" w:color="auto"/>
                        <w:bottom w:val="none" w:sz="0" w:space="0" w:color="auto"/>
                        <w:right w:val="none" w:sz="0" w:space="0" w:color="auto"/>
                      </w:divBdr>
                      <w:divsChild>
                        <w:div w:id="671494003">
                          <w:marLeft w:val="0"/>
                          <w:marRight w:val="0"/>
                          <w:marTop w:val="0"/>
                          <w:marBottom w:val="0"/>
                          <w:divBdr>
                            <w:top w:val="none" w:sz="0" w:space="0" w:color="auto"/>
                            <w:left w:val="none" w:sz="0" w:space="0" w:color="auto"/>
                            <w:bottom w:val="none" w:sz="0" w:space="0" w:color="auto"/>
                            <w:right w:val="none" w:sz="0" w:space="0" w:color="auto"/>
                          </w:divBdr>
                          <w:divsChild>
                            <w:div w:id="979072786">
                              <w:marLeft w:val="0"/>
                              <w:marRight w:val="0"/>
                              <w:marTop w:val="0"/>
                              <w:marBottom w:val="0"/>
                              <w:divBdr>
                                <w:top w:val="none" w:sz="0" w:space="0" w:color="auto"/>
                                <w:left w:val="none" w:sz="0" w:space="0" w:color="auto"/>
                                <w:bottom w:val="none" w:sz="0" w:space="0" w:color="auto"/>
                                <w:right w:val="none" w:sz="0" w:space="0" w:color="auto"/>
                              </w:divBdr>
                              <w:divsChild>
                                <w:div w:id="1747846032">
                                  <w:marLeft w:val="0"/>
                                  <w:marRight w:val="0"/>
                                  <w:marTop w:val="0"/>
                                  <w:marBottom w:val="0"/>
                                  <w:divBdr>
                                    <w:top w:val="none" w:sz="0" w:space="0" w:color="auto"/>
                                    <w:left w:val="none" w:sz="0" w:space="0" w:color="auto"/>
                                    <w:bottom w:val="none" w:sz="0" w:space="0" w:color="auto"/>
                                    <w:right w:val="none" w:sz="0" w:space="0" w:color="auto"/>
                                  </w:divBdr>
                                  <w:divsChild>
                                    <w:div w:id="2121028283">
                                      <w:marLeft w:val="0"/>
                                      <w:marRight w:val="0"/>
                                      <w:marTop w:val="0"/>
                                      <w:marBottom w:val="0"/>
                                      <w:divBdr>
                                        <w:top w:val="none" w:sz="0" w:space="0" w:color="auto"/>
                                        <w:left w:val="none" w:sz="0" w:space="0" w:color="auto"/>
                                        <w:bottom w:val="none" w:sz="0" w:space="0" w:color="auto"/>
                                        <w:right w:val="none" w:sz="0" w:space="0" w:color="auto"/>
                                      </w:divBdr>
                                      <w:divsChild>
                                        <w:div w:id="291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039768">
      <w:marLeft w:val="0"/>
      <w:marRight w:val="0"/>
      <w:marTop w:val="0"/>
      <w:marBottom w:val="0"/>
      <w:divBdr>
        <w:top w:val="none" w:sz="0" w:space="0" w:color="auto"/>
        <w:left w:val="none" w:sz="0" w:space="0" w:color="auto"/>
        <w:bottom w:val="none" w:sz="0" w:space="0" w:color="auto"/>
        <w:right w:val="none" w:sz="0" w:space="0" w:color="auto"/>
      </w:divBdr>
      <w:divsChild>
        <w:div w:id="710039776">
          <w:marLeft w:val="0"/>
          <w:marRight w:val="0"/>
          <w:marTop w:val="0"/>
          <w:marBottom w:val="0"/>
          <w:divBdr>
            <w:top w:val="none" w:sz="0" w:space="0" w:color="auto"/>
            <w:left w:val="none" w:sz="0" w:space="0" w:color="auto"/>
            <w:bottom w:val="none" w:sz="0" w:space="0" w:color="auto"/>
            <w:right w:val="none" w:sz="0" w:space="0" w:color="auto"/>
          </w:divBdr>
          <w:divsChild>
            <w:div w:id="710039770">
              <w:marLeft w:val="0"/>
              <w:marRight w:val="0"/>
              <w:marTop w:val="0"/>
              <w:marBottom w:val="0"/>
              <w:divBdr>
                <w:top w:val="none" w:sz="0" w:space="0" w:color="auto"/>
                <w:left w:val="none" w:sz="0" w:space="0" w:color="auto"/>
                <w:bottom w:val="none" w:sz="0" w:space="0" w:color="auto"/>
                <w:right w:val="none" w:sz="0" w:space="0" w:color="auto"/>
              </w:divBdr>
              <w:divsChild>
                <w:div w:id="710039773">
                  <w:marLeft w:val="0"/>
                  <w:marRight w:val="0"/>
                  <w:marTop w:val="0"/>
                  <w:marBottom w:val="0"/>
                  <w:divBdr>
                    <w:top w:val="none" w:sz="0" w:space="0" w:color="auto"/>
                    <w:left w:val="none" w:sz="0" w:space="0" w:color="auto"/>
                    <w:bottom w:val="none" w:sz="0" w:space="0" w:color="auto"/>
                    <w:right w:val="none" w:sz="0" w:space="0" w:color="auto"/>
                  </w:divBdr>
                  <w:divsChild>
                    <w:div w:id="710039771">
                      <w:marLeft w:val="0"/>
                      <w:marRight w:val="0"/>
                      <w:marTop w:val="0"/>
                      <w:marBottom w:val="0"/>
                      <w:divBdr>
                        <w:top w:val="none" w:sz="0" w:space="0" w:color="auto"/>
                        <w:left w:val="none" w:sz="0" w:space="0" w:color="auto"/>
                        <w:bottom w:val="none" w:sz="0" w:space="0" w:color="auto"/>
                        <w:right w:val="none" w:sz="0" w:space="0" w:color="auto"/>
                      </w:divBdr>
                      <w:divsChild>
                        <w:div w:id="710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039775">
      <w:marLeft w:val="0"/>
      <w:marRight w:val="0"/>
      <w:marTop w:val="0"/>
      <w:marBottom w:val="0"/>
      <w:divBdr>
        <w:top w:val="none" w:sz="0" w:space="0" w:color="auto"/>
        <w:left w:val="none" w:sz="0" w:space="0" w:color="auto"/>
        <w:bottom w:val="none" w:sz="0" w:space="0" w:color="auto"/>
        <w:right w:val="none" w:sz="0" w:space="0" w:color="auto"/>
      </w:divBdr>
      <w:divsChild>
        <w:div w:id="710039772">
          <w:marLeft w:val="0"/>
          <w:marRight w:val="0"/>
          <w:marTop w:val="0"/>
          <w:marBottom w:val="0"/>
          <w:divBdr>
            <w:top w:val="none" w:sz="0" w:space="0" w:color="auto"/>
            <w:left w:val="none" w:sz="0" w:space="0" w:color="auto"/>
            <w:bottom w:val="none" w:sz="0" w:space="0" w:color="auto"/>
            <w:right w:val="none" w:sz="0" w:space="0" w:color="auto"/>
          </w:divBdr>
          <w:divsChild>
            <w:div w:id="710039777">
              <w:marLeft w:val="0"/>
              <w:marRight w:val="0"/>
              <w:marTop w:val="0"/>
              <w:marBottom w:val="0"/>
              <w:divBdr>
                <w:top w:val="none" w:sz="0" w:space="0" w:color="auto"/>
                <w:left w:val="none" w:sz="0" w:space="0" w:color="auto"/>
                <w:bottom w:val="none" w:sz="0" w:space="0" w:color="auto"/>
                <w:right w:val="none" w:sz="0" w:space="0" w:color="auto"/>
              </w:divBdr>
              <w:divsChild>
                <w:div w:id="710039774">
                  <w:marLeft w:val="0"/>
                  <w:marRight w:val="0"/>
                  <w:marTop w:val="0"/>
                  <w:marBottom w:val="0"/>
                  <w:divBdr>
                    <w:top w:val="none" w:sz="0" w:space="0" w:color="auto"/>
                    <w:left w:val="none" w:sz="0" w:space="0" w:color="auto"/>
                    <w:bottom w:val="none" w:sz="0" w:space="0" w:color="auto"/>
                    <w:right w:val="none" w:sz="0" w:space="0" w:color="auto"/>
                  </w:divBdr>
                  <w:divsChild>
                    <w:div w:id="7100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01292">
      <w:bodyDiv w:val="1"/>
      <w:marLeft w:val="0"/>
      <w:marRight w:val="0"/>
      <w:marTop w:val="0"/>
      <w:marBottom w:val="0"/>
      <w:divBdr>
        <w:top w:val="none" w:sz="0" w:space="0" w:color="auto"/>
        <w:left w:val="none" w:sz="0" w:space="0" w:color="auto"/>
        <w:bottom w:val="none" w:sz="0" w:space="0" w:color="auto"/>
        <w:right w:val="none" w:sz="0" w:space="0" w:color="auto"/>
      </w:divBdr>
    </w:div>
    <w:div w:id="1621449764">
      <w:bodyDiv w:val="1"/>
      <w:marLeft w:val="0"/>
      <w:marRight w:val="0"/>
      <w:marTop w:val="0"/>
      <w:marBottom w:val="0"/>
      <w:divBdr>
        <w:top w:val="none" w:sz="0" w:space="0" w:color="auto"/>
        <w:left w:val="none" w:sz="0" w:space="0" w:color="auto"/>
        <w:bottom w:val="none" w:sz="0" w:space="0" w:color="auto"/>
        <w:right w:val="none" w:sz="0" w:space="0" w:color="auto"/>
      </w:divBdr>
    </w:div>
    <w:div w:id="1678115531">
      <w:bodyDiv w:val="1"/>
      <w:marLeft w:val="0"/>
      <w:marRight w:val="0"/>
      <w:marTop w:val="0"/>
      <w:marBottom w:val="0"/>
      <w:divBdr>
        <w:top w:val="none" w:sz="0" w:space="0" w:color="auto"/>
        <w:left w:val="none" w:sz="0" w:space="0" w:color="auto"/>
        <w:bottom w:val="none" w:sz="0" w:space="0" w:color="auto"/>
        <w:right w:val="none" w:sz="0" w:space="0" w:color="auto"/>
      </w:divBdr>
      <w:divsChild>
        <w:div w:id="847334615">
          <w:marLeft w:val="0"/>
          <w:marRight w:val="0"/>
          <w:marTop w:val="100"/>
          <w:marBottom w:val="100"/>
          <w:divBdr>
            <w:top w:val="none" w:sz="0" w:space="0" w:color="auto"/>
            <w:left w:val="none" w:sz="0" w:space="0" w:color="auto"/>
            <w:bottom w:val="none" w:sz="0" w:space="0" w:color="auto"/>
            <w:right w:val="none" w:sz="0" w:space="0" w:color="auto"/>
          </w:divBdr>
          <w:divsChild>
            <w:div w:id="721292477">
              <w:marLeft w:val="0"/>
              <w:marRight w:val="0"/>
              <w:marTop w:val="100"/>
              <w:marBottom w:val="100"/>
              <w:divBdr>
                <w:top w:val="single" w:sz="6" w:space="0" w:color="E0E0E0"/>
                <w:left w:val="single" w:sz="6" w:space="4" w:color="E0E0E0"/>
                <w:bottom w:val="single" w:sz="6" w:space="0" w:color="E0E0E0"/>
                <w:right w:val="single" w:sz="6" w:space="4" w:color="E0E0E0"/>
              </w:divBdr>
              <w:divsChild>
                <w:div w:id="63065421">
                  <w:marLeft w:val="0"/>
                  <w:marRight w:val="0"/>
                  <w:marTop w:val="0"/>
                  <w:marBottom w:val="0"/>
                  <w:divBdr>
                    <w:top w:val="none" w:sz="0" w:space="0" w:color="auto"/>
                    <w:left w:val="none" w:sz="0" w:space="0" w:color="auto"/>
                    <w:bottom w:val="none" w:sz="0" w:space="0" w:color="auto"/>
                    <w:right w:val="none" w:sz="0" w:space="0" w:color="auto"/>
                  </w:divBdr>
                  <w:divsChild>
                    <w:div w:id="700908701">
                      <w:marLeft w:val="0"/>
                      <w:marRight w:val="0"/>
                      <w:marTop w:val="0"/>
                      <w:marBottom w:val="0"/>
                      <w:divBdr>
                        <w:top w:val="none" w:sz="0" w:space="0" w:color="auto"/>
                        <w:left w:val="none" w:sz="0" w:space="0" w:color="auto"/>
                        <w:bottom w:val="none" w:sz="0" w:space="0" w:color="auto"/>
                        <w:right w:val="none" w:sz="0" w:space="0" w:color="auto"/>
                      </w:divBdr>
                      <w:divsChild>
                        <w:div w:id="2069573529">
                          <w:marLeft w:val="0"/>
                          <w:marRight w:val="0"/>
                          <w:marTop w:val="0"/>
                          <w:marBottom w:val="0"/>
                          <w:divBdr>
                            <w:top w:val="none" w:sz="0" w:space="0" w:color="auto"/>
                            <w:left w:val="none" w:sz="0" w:space="0" w:color="auto"/>
                            <w:bottom w:val="none" w:sz="0" w:space="0" w:color="auto"/>
                            <w:right w:val="none" w:sz="0" w:space="0" w:color="auto"/>
                          </w:divBdr>
                          <w:divsChild>
                            <w:div w:id="878399310">
                              <w:marLeft w:val="0"/>
                              <w:marRight w:val="0"/>
                              <w:marTop w:val="0"/>
                              <w:marBottom w:val="0"/>
                              <w:divBdr>
                                <w:top w:val="none" w:sz="0" w:space="0" w:color="auto"/>
                                <w:left w:val="none" w:sz="0" w:space="0" w:color="auto"/>
                                <w:bottom w:val="none" w:sz="0" w:space="0" w:color="auto"/>
                                <w:right w:val="none" w:sz="0" w:space="0" w:color="auto"/>
                              </w:divBdr>
                              <w:divsChild>
                                <w:div w:id="995574677">
                                  <w:marLeft w:val="0"/>
                                  <w:marRight w:val="0"/>
                                  <w:marTop w:val="0"/>
                                  <w:marBottom w:val="0"/>
                                  <w:divBdr>
                                    <w:top w:val="none" w:sz="0" w:space="0" w:color="auto"/>
                                    <w:left w:val="none" w:sz="0" w:space="0" w:color="auto"/>
                                    <w:bottom w:val="none" w:sz="0" w:space="0" w:color="auto"/>
                                    <w:right w:val="none" w:sz="0" w:space="0" w:color="auto"/>
                                  </w:divBdr>
                                  <w:divsChild>
                                    <w:div w:id="2057729878">
                                      <w:marLeft w:val="0"/>
                                      <w:marRight w:val="0"/>
                                      <w:marTop w:val="0"/>
                                      <w:marBottom w:val="0"/>
                                      <w:divBdr>
                                        <w:top w:val="none" w:sz="0" w:space="0" w:color="auto"/>
                                        <w:left w:val="none" w:sz="0" w:space="0" w:color="auto"/>
                                        <w:bottom w:val="none" w:sz="0" w:space="0" w:color="auto"/>
                                        <w:right w:val="none" w:sz="0" w:space="0" w:color="auto"/>
                                      </w:divBdr>
                                      <w:divsChild>
                                        <w:div w:id="21431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037722">
      <w:bodyDiv w:val="1"/>
      <w:marLeft w:val="0"/>
      <w:marRight w:val="0"/>
      <w:marTop w:val="0"/>
      <w:marBottom w:val="0"/>
      <w:divBdr>
        <w:top w:val="none" w:sz="0" w:space="0" w:color="auto"/>
        <w:left w:val="none" w:sz="0" w:space="0" w:color="auto"/>
        <w:bottom w:val="none" w:sz="0" w:space="0" w:color="auto"/>
        <w:right w:val="none" w:sz="0" w:space="0" w:color="auto"/>
      </w:divBdr>
      <w:divsChild>
        <w:div w:id="1019350860">
          <w:marLeft w:val="0"/>
          <w:marRight w:val="0"/>
          <w:marTop w:val="100"/>
          <w:marBottom w:val="100"/>
          <w:divBdr>
            <w:top w:val="none" w:sz="0" w:space="0" w:color="auto"/>
            <w:left w:val="none" w:sz="0" w:space="0" w:color="auto"/>
            <w:bottom w:val="none" w:sz="0" w:space="0" w:color="auto"/>
            <w:right w:val="none" w:sz="0" w:space="0" w:color="auto"/>
          </w:divBdr>
          <w:divsChild>
            <w:div w:id="1597979644">
              <w:marLeft w:val="0"/>
              <w:marRight w:val="0"/>
              <w:marTop w:val="100"/>
              <w:marBottom w:val="100"/>
              <w:divBdr>
                <w:top w:val="single" w:sz="6" w:space="0" w:color="E0E0E0"/>
                <w:left w:val="single" w:sz="6" w:space="4" w:color="E0E0E0"/>
                <w:bottom w:val="single" w:sz="6" w:space="0" w:color="E0E0E0"/>
                <w:right w:val="single" w:sz="6" w:space="4" w:color="E0E0E0"/>
              </w:divBdr>
              <w:divsChild>
                <w:div w:id="578176184">
                  <w:marLeft w:val="0"/>
                  <w:marRight w:val="0"/>
                  <w:marTop w:val="0"/>
                  <w:marBottom w:val="0"/>
                  <w:divBdr>
                    <w:top w:val="none" w:sz="0" w:space="0" w:color="auto"/>
                    <w:left w:val="none" w:sz="0" w:space="0" w:color="auto"/>
                    <w:bottom w:val="none" w:sz="0" w:space="0" w:color="auto"/>
                    <w:right w:val="none" w:sz="0" w:space="0" w:color="auto"/>
                  </w:divBdr>
                  <w:divsChild>
                    <w:div w:id="906766987">
                      <w:marLeft w:val="0"/>
                      <w:marRight w:val="0"/>
                      <w:marTop w:val="0"/>
                      <w:marBottom w:val="0"/>
                      <w:divBdr>
                        <w:top w:val="none" w:sz="0" w:space="0" w:color="auto"/>
                        <w:left w:val="none" w:sz="0" w:space="0" w:color="auto"/>
                        <w:bottom w:val="none" w:sz="0" w:space="0" w:color="auto"/>
                        <w:right w:val="none" w:sz="0" w:space="0" w:color="auto"/>
                      </w:divBdr>
                      <w:divsChild>
                        <w:div w:id="25182944">
                          <w:marLeft w:val="0"/>
                          <w:marRight w:val="0"/>
                          <w:marTop w:val="0"/>
                          <w:marBottom w:val="0"/>
                          <w:divBdr>
                            <w:top w:val="none" w:sz="0" w:space="0" w:color="auto"/>
                            <w:left w:val="none" w:sz="0" w:space="0" w:color="auto"/>
                            <w:bottom w:val="none" w:sz="0" w:space="0" w:color="auto"/>
                            <w:right w:val="none" w:sz="0" w:space="0" w:color="auto"/>
                          </w:divBdr>
                          <w:divsChild>
                            <w:div w:id="111245157">
                              <w:marLeft w:val="0"/>
                              <w:marRight w:val="0"/>
                              <w:marTop w:val="0"/>
                              <w:marBottom w:val="0"/>
                              <w:divBdr>
                                <w:top w:val="none" w:sz="0" w:space="0" w:color="auto"/>
                                <w:left w:val="none" w:sz="0" w:space="0" w:color="auto"/>
                                <w:bottom w:val="none" w:sz="0" w:space="0" w:color="auto"/>
                                <w:right w:val="none" w:sz="0" w:space="0" w:color="auto"/>
                              </w:divBdr>
                              <w:divsChild>
                                <w:div w:id="96100102">
                                  <w:marLeft w:val="0"/>
                                  <w:marRight w:val="0"/>
                                  <w:marTop w:val="0"/>
                                  <w:marBottom w:val="0"/>
                                  <w:divBdr>
                                    <w:top w:val="none" w:sz="0" w:space="0" w:color="auto"/>
                                    <w:left w:val="none" w:sz="0" w:space="0" w:color="auto"/>
                                    <w:bottom w:val="none" w:sz="0" w:space="0" w:color="auto"/>
                                    <w:right w:val="none" w:sz="0" w:space="0" w:color="auto"/>
                                  </w:divBdr>
                                  <w:divsChild>
                                    <w:div w:id="1654067685">
                                      <w:marLeft w:val="0"/>
                                      <w:marRight w:val="0"/>
                                      <w:marTop w:val="0"/>
                                      <w:marBottom w:val="0"/>
                                      <w:divBdr>
                                        <w:top w:val="none" w:sz="0" w:space="0" w:color="auto"/>
                                        <w:left w:val="none" w:sz="0" w:space="0" w:color="auto"/>
                                        <w:bottom w:val="none" w:sz="0" w:space="0" w:color="auto"/>
                                        <w:right w:val="none" w:sz="0" w:space="0" w:color="auto"/>
                                      </w:divBdr>
                                      <w:divsChild>
                                        <w:div w:id="1673798828">
                                          <w:marLeft w:val="0"/>
                                          <w:marRight w:val="0"/>
                                          <w:marTop w:val="0"/>
                                          <w:marBottom w:val="0"/>
                                          <w:divBdr>
                                            <w:top w:val="none" w:sz="0" w:space="0" w:color="auto"/>
                                            <w:left w:val="none" w:sz="0" w:space="0" w:color="auto"/>
                                            <w:bottom w:val="none" w:sz="0" w:space="0" w:color="auto"/>
                                            <w:right w:val="none" w:sz="0" w:space="0" w:color="auto"/>
                                          </w:divBdr>
                                          <w:divsChild>
                                            <w:div w:id="2614542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F5553-EC59-4E9D-A998-8533E3156CA2}">
  <ds:schemaRefs>
    <ds:schemaRef ds:uri="http://schemas.openxmlformats.org/officeDocument/2006/bibliography"/>
  </ds:schemaRefs>
</ds:datastoreItem>
</file>

<file path=customXml/itemProps2.xml><?xml version="1.0" encoding="utf-8"?>
<ds:datastoreItem xmlns:ds="http://schemas.openxmlformats.org/officeDocument/2006/customXml" ds:itemID="{200D517E-FBF0-4712-A57F-2E0C612E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6838</Words>
  <Characters>38982</Characters>
  <Application>Microsoft Office Word</Application>
  <DocSecurity>0</DocSecurity>
  <Lines>324</Lines>
  <Paragraphs>91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Ivabradine Zentiva D80 Rapp EN PI</vt:lpstr>
      <vt:lpstr>Ivabradine Zentiva D80 Rapp EN PI</vt:lpstr>
      <vt:lpstr>Ivabradine Zentiva D80 Rapp EN PI</vt:lpstr>
    </vt:vector>
  </TitlesOfParts>
  <Company>Zentiva a.s.</Company>
  <LinksUpToDate>false</LinksUpToDate>
  <CharactersWithSpaces>45729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Zentiva D80 Rapp EN PI</dc:title>
  <dc:subject>EPAR</dc:subject>
  <dc:creator>CHMP</dc:creator>
  <cp:keywords>Ivabradine Zentiva, INN-ivabradine</cp:keywords>
  <cp:lastModifiedBy>Vargová, Dagmar</cp:lastModifiedBy>
  <cp:revision>8</cp:revision>
  <cp:lastPrinted>2017-11-29T07:29:00Z</cp:lastPrinted>
  <dcterms:created xsi:type="dcterms:W3CDTF">2017-11-28T10:03:00Z</dcterms:created>
  <dcterms:modified xsi:type="dcterms:W3CDTF">2017-11-29T07:29:00Z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Version">
    <vt:lpwstr>CURRENT,1.0</vt:lpwstr>
  </property>
  <property fmtid="{D5CDD505-2E9C-101B-9397-08002B2CF9AE}" pid="4" name="DM_Name">
    <vt:lpwstr>Ivabradine Zentiva D80 Rapp EN PI</vt:lpwstr>
  </property>
  <property fmtid="{D5CDD505-2E9C-101B-9397-08002B2CF9AE}" pid="5" name="DM_Creation_Date">
    <vt:lpwstr>19/02/2016 09:06:52</vt:lpwstr>
  </property>
  <property fmtid="{D5CDD505-2E9C-101B-9397-08002B2CF9AE}" pid="6" name="DM_Modify_Date">
    <vt:lpwstr>19/02/2016 09:11:51</vt:lpwstr>
  </property>
  <property fmtid="{D5CDD505-2E9C-101B-9397-08002B2CF9AE}" pid="7" name="DM_Creator_Name">
    <vt:lpwstr>Gaudy Catherine</vt:lpwstr>
  </property>
  <property fmtid="{D5CDD505-2E9C-101B-9397-08002B2CF9AE}" pid="8" name="DM_Modifier_Name">
    <vt:lpwstr>Gaudy Catherine</vt:lpwstr>
  </property>
  <property fmtid="{D5CDD505-2E9C-101B-9397-08002B2CF9AE}" pid="9" name="DM_Type">
    <vt:lpwstr>emea_document</vt:lpwstr>
  </property>
  <property fmtid="{D5CDD505-2E9C-101B-9397-08002B2CF9AE}" pid="10" name="DM_DocRefId">
    <vt:lpwstr>EMA/141841/2016</vt:lpwstr>
  </property>
  <property fmtid="{D5CDD505-2E9C-101B-9397-08002B2CF9AE}" pid="11" name="DM_Category">
    <vt:lpwstr>Assessment Report</vt:lpwstr>
  </property>
  <property fmtid="{D5CDD505-2E9C-101B-9397-08002B2CF9AE}" pid="12" name="DM_Path">
    <vt:lpwstr>/01. Evaluation of Medicines/H-C/G-I/Ivabradine Zentiva - 004117/03 Evaluation/Day 0 - 120/02 Day 80 Rapp AR (19.02.16)</vt:lpwstr>
  </property>
  <property fmtid="{D5CDD505-2E9C-101B-9397-08002B2CF9AE}" pid="13" name="DM_emea_doc_ref_id">
    <vt:lpwstr>EMA/141841/2016</vt:lpwstr>
  </property>
  <property fmtid="{D5CDD505-2E9C-101B-9397-08002B2CF9AE}" pid="14" name="DM_Modifer_Name">
    <vt:lpwstr>Gaudy Catherine</vt:lpwstr>
  </property>
  <property fmtid="{D5CDD505-2E9C-101B-9397-08002B2CF9AE}" pid="15" name="DM_Modified_Date">
    <vt:lpwstr>19/02/2016 09:11:51</vt:lpwstr>
  </property>
  <property fmtid="{D5CDD505-2E9C-101B-9397-08002B2CF9AE}" pid="16" name="_AdHocReviewCycleID">
    <vt:i4>-430678911</vt:i4>
  </property>
  <property fmtid="{D5CDD505-2E9C-101B-9397-08002B2CF9AE}" pid="17" name="_EmailSubject">
    <vt:lpwstr>[EXTERNAL] Ilibrift</vt:lpwstr>
  </property>
  <property fmtid="{D5CDD505-2E9C-101B-9397-08002B2CF9AE}" pid="18" name="_AuthorEmail">
    <vt:lpwstr>margita.hranaiova@sanofi.com</vt:lpwstr>
  </property>
  <property fmtid="{D5CDD505-2E9C-101B-9397-08002B2CF9AE}" pid="19" name="_AuthorEmailDisplayName">
    <vt:lpwstr>Hranaiova, Margita /SK</vt:lpwstr>
  </property>
  <property fmtid="{D5CDD505-2E9C-101B-9397-08002B2CF9AE}" pid="20" name="_ReviewingToolsShownOnce">
    <vt:lpwstr/>
  </property>
</Properties>
</file>