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3D" w:rsidRPr="00E82454" w:rsidRDefault="00B860CB" w:rsidP="00BE40F7">
      <w:pPr>
        <w:widowControl w:val="0"/>
        <w:jc w:val="center"/>
        <w:rPr>
          <w:b/>
          <w:noProof/>
          <w:sz w:val="22"/>
          <w:szCs w:val="22"/>
          <w:lang w:val="en-US"/>
        </w:rPr>
      </w:pPr>
      <w:r w:rsidRPr="00E82454">
        <w:rPr>
          <w:b/>
          <w:noProof/>
          <w:sz w:val="22"/>
          <w:szCs w:val="22"/>
          <w:lang w:val="en-US"/>
        </w:rPr>
        <w:t>S</w:t>
      </w:r>
      <w:r w:rsidR="00E82454">
        <w:rPr>
          <w:b/>
          <w:noProof/>
          <w:sz w:val="22"/>
          <w:szCs w:val="22"/>
          <w:lang w:val="en-US"/>
        </w:rPr>
        <w:t>ÚHRN CHARAKTERISTICKÝCH INFORMÁCIÍ O LIEKU</w:t>
      </w:r>
    </w:p>
    <w:p w:rsidR="00B860CB" w:rsidRPr="00E82454" w:rsidRDefault="00B860CB" w:rsidP="00BE40F7">
      <w:pPr>
        <w:widowControl w:val="0"/>
        <w:jc w:val="center"/>
        <w:rPr>
          <w:b/>
          <w:noProof/>
          <w:sz w:val="22"/>
          <w:szCs w:val="22"/>
          <w:lang w:val="en-US"/>
        </w:rPr>
      </w:pPr>
    </w:p>
    <w:p w:rsidR="00AC2BEE" w:rsidRPr="00E82454" w:rsidRDefault="00AC2BEE" w:rsidP="00BE40F7">
      <w:pPr>
        <w:widowControl w:val="0"/>
        <w:jc w:val="both"/>
        <w:rPr>
          <w:b/>
          <w:noProof/>
          <w:sz w:val="22"/>
          <w:szCs w:val="22"/>
          <w:lang w:val="en-US"/>
        </w:rPr>
      </w:pPr>
      <w:r w:rsidRPr="00E82454">
        <w:rPr>
          <w:b/>
          <w:noProof/>
          <w:sz w:val="22"/>
          <w:szCs w:val="22"/>
        </w:rPr>
        <w:t>1.</w:t>
      </w:r>
      <w:r w:rsidRPr="00E82454">
        <w:rPr>
          <w:b/>
          <w:noProof/>
          <w:sz w:val="22"/>
          <w:szCs w:val="22"/>
        </w:rPr>
        <w:tab/>
        <w:t>NÁZOV LIEKU</w:t>
      </w:r>
    </w:p>
    <w:p w:rsidR="00AC2BEE" w:rsidRPr="00E82454" w:rsidRDefault="00AC2BEE" w:rsidP="00BE40F7">
      <w:pPr>
        <w:jc w:val="both"/>
        <w:rPr>
          <w:sz w:val="22"/>
          <w:szCs w:val="22"/>
          <w:lang w:val="en-GB"/>
        </w:rPr>
      </w:pPr>
    </w:p>
    <w:p w:rsidR="00AC2BEE" w:rsidRPr="00E82454" w:rsidRDefault="00B860CB" w:rsidP="00BE40F7">
      <w:pPr>
        <w:jc w:val="both"/>
        <w:rPr>
          <w:sz w:val="22"/>
          <w:szCs w:val="22"/>
          <w:lang w:val="en-GB"/>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w:t>
      </w:r>
      <w:r w:rsidR="0034780E" w:rsidRPr="00E82454">
        <w:rPr>
          <w:sz w:val="22"/>
          <w:szCs w:val="22"/>
        </w:rPr>
        <w:t xml:space="preserve"> prášok a disperzné prostredie na injekčnú suspenziu s predĺženým uvoľňovaním </w:t>
      </w:r>
    </w:p>
    <w:p w:rsidR="00AC2BEE" w:rsidRDefault="00AC2BEE" w:rsidP="00BE40F7">
      <w:pPr>
        <w:widowControl w:val="0"/>
        <w:jc w:val="both"/>
        <w:rPr>
          <w:b/>
          <w:noProof/>
          <w:sz w:val="22"/>
          <w:szCs w:val="22"/>
          <w:lang w:val="en-US"/>
        </w:rPr>
      </w:pPr>
    </w:p>
    <w:p w:rsidR="00364557" w:rsidRPr="00E82454" w:rsidRDefault="00364557" w:rsidP="00BE40F7">
      <w:pPr>
        <w:widowControl w:val="0"/>
        <w:jc w:val="both"/>
        <w:rPr>
          <w:b/>
          <w:noProof/>
          <w:sz w:val="22"/>
          <w:szCs w:val="22"/>
          <w:lang w:val="en-US"/>
        </w:rPr>
      </w:pPr>
    </w:p>
    <w:p w:rsidR="00AC2BEE" w:rsidRPr="00E82454" w:rsidRDefault="00AC2BEE" w:rsidP="00BE40F7">
      <w:pPr>
        <w:widowControl w:val="0"/>
        <w:jc w:val="both"/>
        <w:rPr>
          <w:b/>
          <w:noProof/>
          <w:sz w:val="22"/>
          <w:szCs w:val="22"/>
          <w:lang w:val="en-US"/>
        </w:rPr>
      </w:pPr>
      <w:r w:rsidRPr="00E82454">
        <w:rPr>
          <w:b/>
          <w:noProof/>
          <w:sz w:val="22"/>
          <w:szCs w:val="22"/>
        </w:rPr>
        <w:t>2.</w:t>
      </w:r>
      <w:r w:rsidRPr="00E82454">
        <w:rPr>
          <w:b/>
          <w:noProof/>
          <w:sz w:val="22"/>
          <w:szCs w:val="22"/>
        </w:rPr>
        <w:tab/>
        <w:t>KVALITATÍVNE A KVANTITATÍVNE ZLOŽENIE</w:t>
      </w:r>
    </w:p>
    <w:p w:rsidR="00AC2BEE" w:rsidRPr="00E82454" w:rsidRDefault="00AC2BEE" w:rsidP="00BE40F7">
      <w:pPr>
        <w:jc w:val="both"/>
        <w:rPr>
          <w:sz w:val="22"/>
          <w:szCs w:val="22"/>
          <w:lang w:val="en-GB"/>
        </w:rPr>
      </w:pPr>
    </w:p>
    <w:p w:rsidR="00AC2BEE" w:rsidRPr="00E82454" w:rsidRDefault="00AC2BEE" w:rsidP="00BE40F7">
      <w:pPr>
        <w:jc w:val="both"/>
        <w:rPr>
          <w:sz w:val="22"/>
          <w:szCs w:val="22"/>
          <w:lang w:val="en-GB"/>
        </w:rPr>
      </w:pPr>
      <w:r w:rsidRPr="00E82454">
        <w:rPr>
          <w:sz w:val="22"/>
          <w:szCs w:val="22"/>
        </w:rPr>
        <w:t xml:space="preserve">Jedna injekčná liekovka obsahuje 22,5 mg </w:t>
      </w:r>
      <w:proofErr w:type="spellStart"/>
      <w:r w:rsidRPr="00E82454">
        <w:rPr>
          <w:sz w:val="22"/>
          <w:szCs w:val="22"/>
        </w:rPr>
        <w:t>leuprorelíniumacetátu</w:t>
      </w:r>
      <w:proofErr w:type="spellEnd"/>
      <w:r w:rsidRPr="00E82454">
        <w:rPr>
          <w:sz w:val="22"/>
          <w:szCs w:val="22"/>
        </w:rPr>
        <w:t xml:space="preserve"> (zodpovedá 21,42 mg </w:t>
      </w:r>
      <w:proofErr w:type="spellStart"/>
      <w:r w:rsidRPr="00E82454">
        <w:rPr>
          <w:sz w:val="22"/>
          <w:szCs w:val="22"/>
        </w:rPr>
        <w:t>leuprorelínu</w:t>
      </w:r>
      <w:proofErr w:type="spellEnd"/>
      <w:r w:rsidRPr="00E82454">
        <w:rPr>
          <w:sz w:val="22"/>
          <w:szCs w:val="22"/>
        </w:rPr>
        <w:t xml:space="preserve"> voľnej bázy).</w:t>
      </w:r>
    </w:p>
    <w:p w:rsidR="00AC2BEE" w:rsidRPr="00E82454" w:rsidRDefault="00AC2BEE" w:rsidP="00BE40F7">
      <w:pPr>
        <w:jc w:val="both"/>
        <w:rPr>
          <w:sz w:val="22"/>
          <w:szCs w:val="22"/>
          <w:lang w:val="en-GB"/>
        </w:rPr>
      </w:pPr>
      <w:r w:rsidRPr="00E82454">
        <w:rPr>
          <w:sz w:val="22"/>
          <w:szCs w:val="22"/>
        </w:rPr>
        <w:t xml:space="preserve">1 ml suspenzie pripravenej z prášku obsahuje 11,25 mg </w:t>
      </w:r>
      <w:proofErr w:type="spellStart"/>
      <w:r w:rsidRPr="00E82454">
        <w:rPr>
          <w:sz w:val="22"/>
          <w:szCs w:val="22"/>
        </w:rPr>
        <w:t>leuprorelíniumacetátu</w:t>
      </w:r>
      <w:proofErr w:type="spellEnd"/>
      <w:r w:rsidRPr="00E82454">
        <w:rPr>
          <w:sz w:val="22"/>
          <w:szCs w:val="22"/>
        </w:rPr>
        <w:t>.</w:t>
      </w:r>
    </w:p>
    <w:p w:rsidR="00AC2BEE" w:rsidRPr="00E82454" w:rsidRDefault="00AC2BEE" w:rsidP="00BE40F7">
      <w:pPr>
        <w:jc w:val="both"/>
        <w:rPr>
          <w:sz w:val="22"/>
          <w:szCs w:val="22"/>
          <w:u w:val="single"/>
          <w:lang w:val="en-GB"/>
        </w:rPr>
      </w:pPr>
    </w:p>
    <w:p w:rsidR="00AC2BEE" w:rsidRPr="00E82454" w:rsidRDefault="00AC2BEE" w:rsidP="00BE40F7">
      <w:pPr>
        <w:jc w:val="both"/>
        <w:rPr>
          <w:i/>
          <w:sz w:val="22"/>
          <w:szCs w:val="22"/>
          <w:u w:val="single"/>
          <w:lang w:val="en-GB"/>
        </w:rPr>
      </w:pPr>
      <w:r w:rsidRPr="00E82454">
        <w:rPr>
          <w:i/>
          <w:sz w:val="22"/>
          <w:szCs w:val="22"/>
          <w:u w:val="single"/>
        </w:rPr>
        <w:t>Pomocné látky so známym účinkom:</w:t>
      </w:r>
    </w:p>
    <w:p w:rsidR="00AC2BEE" w:rsidRPr="00E82454" w:rsidRDefault="00AC2BEE" w:rsidP="00BE40F7">
      <w:pPr>
        <w:jc w:val="both"/>
        <w:rPr>
          <w:sz w:val="22"/>
          <w:szCs w:val="22"/>
          <w:lang w:val="en-GB"/>
        </w:rPr>
      </w:pPr>
      <w:r w:rsidRPr="00E82454">
        <w:rPr>
          <w:sz w:val="22"/>
          <w:szCs w:val="22"/>
        </w:rPr>
        <w:t xml:space="preserve">Jedna injekčná liekovka obsahuje 1,6 až 2,7 mg (&lt;1 </w:t>
      </w:r>
      <w:proofErr w:type="spellStart"/>
      <w:r w:rsidRPr="00E82454">
        <w:rPr>
          <w:sz w:val="22"/>
          <w:szCs w:val="22"/>
        </w:rPr>
        <w:t>mmol</w:t>
      </w:r>
      <w:proofErr w:type="spellEnd"/>
      <w:r w:rsidRPr="00E82454">
        <w:rPr>
          <w:sz w:val="22"/>
          <w:szCs w:val="22"/>
        </w:rPr>
        <w:t xml:space="preserve">) sodíka (ako sodná soľ </w:t>
      </w:r>
      <w:proofErr w:type="spellStart"/>
      <w:r w:rsidRPr="00E82454">
        <w:rPr>
          <w:sz w:val="22"/>
          <w:szCs w:val="22"/>
        </w:rPr>
        <w:t>karmelózy</w:t>
      </w:r>
      <w:proofErr w:type="spellEnd"/>
      <w:r w:rsidRPr="00E82454">
        <w:rPr>
          <w:sz w:val="22"/>
          <w:szCs w:val="22"/>
        </w:rPr>
        <w:t xml:space="preserve">). </w:t>
      </w:r>
    </w:p>
    <w:p w:rsidR="00AC2BEE" w:rsidRPr="00E82454" w:rsidRDefault="00AC2BEE" w:rsidP="00BE40F7">
      <w:pPr>
        <w:jc w:val="both"/>
        <w:rPr>
          <w:sz w:val="22"/>
          <w:szCs w:val="22"/>
          <w:lang w:val="en-US"/>
        </w:rPr>
      </w:pPr>
      <w:r w:rsidRPr="00E82454">
        <w:rPr>
          <w:noProof/>
          <w:sz w:val="22"/>
          <w:szCs w:val="22"/>
        </w:rPr>
        <w:t>Úplný zoznam pomocných látok</w:t>
      </w:r>
      <w:r w:rsidR="00BB4167">
        <w:rPr>
          <w:noProof/>
          <w:sz w:val="22"/>
          <w:szCs w:val="22"/>
        </w:rPr>
        <w:t>,</w:t>
      </w:r>
      <w:r w:rsidRPr="00E82454">
        <w:rPr>
          <w:noProof/>
          <w:sz w:val="22"/>
          <w:szCs w:val="22"/>
        </w:rPr>
        <w:t xml:space="preserve"> pozri v časti 6.1.</w:t>
      </w:r>
    </w:p>
    <w:p w:rsidR="00AC2BEE" w:rsidRDefault="00AC2BEE" w:rsidP="00BE40F7">
      <w:pPr>
        <w:jc w:val="both"/>
        <w:rPr>
          <w:sz w:val="22"/>
          <w:szCs w:val="22"/>
          <w:lang w:val="en-GB"/>
        </w:rPr>
      </w:pPr>
    </w:p>
    <w:p w:rsidR="00364557" w:rsidRPr="00E82454" w:rsidRDefault="00364557" w:rsidP="00BE40F7">
      <w:pPr>
        <w:jc w:val="both"/>
        <w:rPr>
          <w:sz w:val="22"/>
          <w:szCs w:val="22"/>
          <w:lang w:val="en-GB"/>
        </w:rPr>
      </w:pPr>
    </w:p>
    <w:p w:rsidR="00AC2BEE" w:rsidRPr="00E82454" w:rsidRDefault="0022053D" w:rsidP="00BE40F7">
      <w:pPr>
        <w:widowControl w:val="0"/>
        <w:jc w:val="both"/>
        <w:rPr>
          <w:b/>
          <w:noProof/>
          <w:sz w:val="22"/>
          <w:szCs w:val="22"/>
          <w:lang w:val="en-US"/>
        </w:rPr>
      </w:pPr>
      <w:r w:rsidRPr="00E82454">
        <w:rPr>
          <w:b/>
          <w:noProof/>
          <w:sz w:val="22"/>
          <w:szCs w:val="22"/>
        </w:rPr>
        <w:t>3.</w:t>
      </w:r>
      <w:r w:rsidRPr="00E82454">
        <w:rPr>
          <w:b/>
          <w:noProof/>
          <w:sz w:val="22"/>
          <w:szCs w:val="22"/>
        </w:rPr>
        <w:tab/>
        <w:t>LIEKOVÁ FORMA</w:t>
      </w:r>
    </w:p>
    <w:p w:rsidR="00AC2BEE" w:rsidRPr="00E82454" w:rsidRDefault="00AC2BEE" w:rsidP="00BE40F7">
      <w:pPr>
        <w:jc w:val="both"/>
        <w:rPr>
          <w:sz w:val="22"/>
          <w:szCs w:val="22"/>
          <w:lang w:val="en-GB"/>
        </w:rPr>
      </w:pPr>
    </w:p>
    <w:p w:rsidR="00AC2BEE" w:rsidRPr="00E82454" w:rsidRDefault="00AC2BEE" w:rsidP="00BE40F7">
      <w:pPr>
        <w:jc w:val="both"/>
        <w:rPr>
          <w:sz w:val="22"/>
          <w:szCs w:val="22"/>
          <w:lang w:val="en-GB"/>
        </w:rPr>
      </w:pPr>
      <w:r w:rsidRPr="00E82454">
        <w:rPr>
          <w:sz w:val="22"/>
          <w:szCs w:val="22"/>
        </w:rPr>
        <w:t>Prášok a disperzné prostredie na injekčnú suspenziu s predĺženým uvoľňovaním.</w:t>
      </w:r>
    </w:p>
    <w:p w:rsidR="00AC2BEE" w:rsidRPr="00E82454" w:rsidRDefault="00AC2BEE" w:rsidP="00BE40F7">
      <w:pPr>
        <w:jc w:val="both"/>
        <w:rPr>
          <w:sz w:val="22"/>
          <w:szCs w:val="22"/>
          <w:lang w:val="en-GB"/>
        </w:rPr>
      </w:pPr>
      <w:r w:rsidRPr="00E82454">
        <w:rPr>
          <w:sz w:val="22"/>
          <w:szCs w:val="22"/>
        </w:rPr>
        <w:t>Prášok: biely až takmer biely prášok.</w:t>
      </w:r>
    </w:p>
    <w:p w:rsidR="00AC2BEE" w:rsidRPr="00E82454" w:rsidRDefault="00AC2BEE" w:rsidP="00BE40F7">
      <w:pPr>
        <w:jc w:val="both"/>
        <w:rPr>
          <w:sz w:val="22"/>
          <w:szCs w:val="22"/>
          <w:lang w:val="en-GB"/>
        </w:rPr>
      </w:pPr>
      <w:r w:rsidRPr="00E82454">
        <w:rPr>
          <w:sz w:val="22"/>
          <w:szCs w:val="22"/>
        </w:rPr>
        <w:t>Rozpúšťadlo: číry a bezfarebný roztok neobsahujúci častice (pH 5,0 – 7,0).</w:t>
      </w:r>
    </w:p>
    <w:p w:rsidR="00AC2BEE" w:rsidRDefault="00AC2BEE" w:rsidP="00BE40F7">
      <w:pPr>
        <w:jc w:val="both"/>
        <w:rPr>
          <w:b/>
          <w:caps/>
          <w:sz w:val="22"/>
          <w:szCs w:val="22"/>
          <w:lang w:val="en-GB"/>
        </w:rPr>
      </w:pPr>
    </w:p>
    <w:p w:rsidR="00364557" w:rsidRPr="00E82454" w:rsidRDefault="00364557" w:rsidP="00BE40F7">
      <w:pPr>
        <w:jc w:val="both"/>
        <w:rPr>
          <w:b/>
          <w:caps/>
          <w:sz w:val="22"/>
          <w:szCs w:val="22"/>
          <w:lang w:val="en-GB"/>
        </w:rPr>
      </w:pPr>
    </w:p>
    <w:p w:rsidR="00AC2BEE" w:rsidRPr="00E82454" w:rsidRDefault="0022053D" w:rsidP="00BE40F7">
      <w:pPr>
        <w:widowControl w:val="0"/>
        <w:jc w:val="both"/>
        <w:rPr>
          <w:b/>
          <w:noProof/>
          <w:sz w:val="22"/>
          <w:szCs w:val="22"/>
          <w:lang w:val="en-US"/>
        </w:rPr>
      </w:pPr>
      <w:r w:rsidRPr="00E82454">
        <w:rPr>
          <w:b/>
          <w:noProof/>
          <w:sz w:val="22"/>
          <w:szCs w:val="22"/>
        </w:rPr>
        <w:t>4.</w:t>
      </w:r>
      <w:r w:rsidRPr="00E82454">
        <w:rPr>
          <w:b/>
          <w:noProof/>
          <w:sz w:val="22"/>
          <w:szCs w:val="22"/>
        </w:rPr>
        <w:tab/>
        <w:t>KLINICKÉ ÚDAJE</w:t>
      </w:r>
    </w:p>
    <w:p w:rsidR="0022053D" w:rsidRPr="00E82454" w:rsidRDefault="0022053D" w:rsidP="00BE40F7">
      <w:pPr>
        <w:widowControl w:val="0"/>
        <w:jc w:val="both"/>
        <w:rPr>
          <w:b/>
          <w:noProof/>
          <w:sz w:val="22"/>
          <w:szCs w:val="22"/>
          <w:lang w:val="en-US"/>
        </w:rPr>
      </w:pPr>
    </w:p>
    <w:p w:rsidR="00AC2BEE" w:rsidRPr="00E82454" w:rsidRDefault="00AC2BEE" w:rsidP="00BE40F7">
      <w:pPr>
        <w:numPr>
          <w:ilvl w:val="0"/>
          <w:numId w:val="4"/>
        </w:numPr>
        <w:ind w:left="0" w:firstLine="0"/>
        <w:jc w:val="both"/>
        <w:rPr>
          <w:b/>
          <w:sz w:val="22"/>
          <w:szCs w:val="22"/>
          <w:lang w:val="en-GB"/>
        </w:rPr>
      </w:pPr>
      <w:r w:rsidRPr="00E82454">
        <w:rPr>
          <w:b/>
          <w:sz w:val="22"/>
          <w:szCs w:val="22"/>
        </w:rPr>
        <w:t>Terapeutické indikácie</w:t>
      </w:r>
    </w:p>
    <w:p w:rsidR="00AC2BEE" w:rsidRPr="00E82454" w:rsidRDefault="00AC2BEE" w:rsidP="00BE40F7">
      <w:pPr>
        <w:jc w:val="both"/>
        <w:rPr>
          <w:sz w:val="22"/>
          <w:szCs w:val="22"/>
          <w:lang w:val="en-GB"/>
        </w:rPr>
      </w:pPr>
    </w:p>
    <w:p w:rsidR="00AC2BEE" w:rsidRPr="00E82454" w:rsidRDefault="00B860CB" w:rsidP="00BE40F7">
      <w:pPr>
        <w:jc w:val="both"/>
        <w:rPr>
          <w:sz w:val="22"/>
          <w:szCs w:val="22"/>
          <w:lang w:val="en-GB"/>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w:t>
      </w:r>
      <w:r w:rsidR="0034780E" w:rsidRPr="00E82454">
        <w:rPr>
          <w:sz w:val="22"/>
          <w:szCs w:val="22"/>
        </w:rPr>
        <w:t xml:space="preserve"> sa indikuje na paliatívnu liečbu hormónovo </w:t>
      </w:r>
      <w:proofErr w:type="spellStart"/>
      <w:r w:rsidR="0034780E" w:rsidRPr="00E82454">
        <w:rPr>
          <w:sz w:val="22"/>
          <w:szCs w:val="22"/>
        </w:rPr>
        <w:t>dependentného</w:t>
      </w:r>
      <w:proofErr w:type="spellEnd"/>
      <w:r w:rsidR="0034780E" w:rsidRPr="00E82454">
        <w:rPr>
          <w:sz w:val="22"/>
          <w:szCs w:val="22"/>
        </w:rPr>
        <w:t xml:space="preserve"> pokročilého karcinómu prostaty.</w:t>
      </w:r>
    </w:p>
    <w:p w:rsidR="00AC2BEE" w:rsidRPr="00E82454" w:rsidRDefault="00AC2BEE" w:rsidP="00BE40F7">
      <w:pPr>
        <w:jc w:val="both"/>
        <w:rPr>
          <w:sz w:val="22"/>
          <w:szCs w:val="22"/>
          <w:lang w:val="en-GB"/>
        </w:rPr>
      </w:pPr>
    </w:p>
    <w:p w:rsidR="00AC2BEE" w:rsidRPr="00E82454" w:rsidRDefault="00AC2BEE" w:rsidP="00BE40F7">
      <w:pPr>
        <w:jc w:val="both"/>
        <w:rPr>
          <w:b/>
          <w:sz w:val="22"/>
          <w:szCs w:val="22"/>
          <w:lang w:val="en-GB"/>
        </w:rPr>
      </w:pPr>
      <w:r w:rsidRPr="00E82454">
        <w:rPr>
          <w:b/>
          <w:sz w:val="22"/>
          <w:szCs w:val="22"/>
        </w:rPr>
        <w:t>4.2</w:t>
      </w:r>
      <w:r w:rsidRPr="00E82454">
        <w:rPr>
          <w:b/>
          <w:sz w:val="22"/>
          <w:szCs w:val="22"/>
        </w:rPr>
        <w:tab/>
        <w:t>Dávkovanie a spôsob podávania</w:t>
      </w:r>
    </w:p>
    <w:p w:rsidR="00AC2BEE" w:rsidRPr="00E82454" w:rsidRDefault="00AC2BEE" w:rsidP="00BE40F7">
      <w:pPr>
        <w:jc w:val="both"/>
        <w:rPr>
          <w:sz w:val="22"/>
          <w:szCs w:val="22"/>
          <w:u w:val="single"/>
          <w:lang w:val="en-GB"/>
        </w:rPr>
      </w:pPr>
    </w:p>
    <w:p w:rsidR="00AC2BEE" w:rsidRPr="00E82454" w:rsidRDefault="00AC2BEE" w:rsidP="00BE40F7">
      <w:pPr>
        <w:jc w:val="both"/>
        <w:rPr>
          <w:sz w:val="22"/>
          <w:szCs w:val="22"/>
          <w:u w:val="single"/>
          <w:lang w:val="en-GB"/>
        </w:rPr>
      </w:pPr>
      <w:r w:rsidRPr="00E82454">
        <w:rPr>
          <w:sz w:val="22"/>
          <w:szCs w:val="22"/>
          <w:u w:val="single"/>
        </w:rPr>
        <w:t>Dávkovanie</w:t>
      </w:r>
    </w:p>
    <w:p w:rsidR="00AC2BEE" w:rsidRPr="00E82454" w:rsidRDefault="00AC2BEE" w:rsidP="00BE40F7">
      <w:pPr>
        <w:jc w:val="both"/>
        <w:rPr>
          <w:sz w:val="22"/>
          <w:szCs w:val="22"/>
        </w:rPr>
      </w:pPr>
      <w:r w:rsidRPr="00E82454">
        <w:rPr>
          <w:sz w:val="22"/>
          <w:szCs w:val="22"/>
        </w:rPr>
        <w:t xml:space="preserve">Zvyčajná odporúčaná dávka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je 22,5 mg. Je dodávaná ako trojmesačná </w:t>
      </w:r>
      <w:proofErr w:type="spellStart"/>
      <w:r w:rsidRPr="00E82454">
        <w:rPr>
          <w:sz w:val="22"/>
          <w:szCs w:val="22"/>
        </w:rPr>
        <w:t>depotná</w:t>
      </w:r>
      <w:proofErr w:type="spellEnd"/>
      <w:r w:rsidRPr="00E82454">
        <w:rPr>
          <w:sz w:val="22"/>
          <w:szCs w:val="22"/>
        </w:rPr>
        <w:t xml:space="preserve"> injekcia, ktorá sa podáva </w:t>
      </w:r>
      <w:proofErr w:type="spellStart"/>
      <w:r w:rsidRPr="00E82454">
        <w:rPr>
          <w:sz w:val="22"/>
          <w:szCs w:val="22"/>
        </w:rPr>
        <w:t>intramuskulárne</w:t>
      </w:r>
      <w:proofErr w:type="spellEnd"/>
      <w:r w:rsidRPr="00E82454">
        <w:rPr>
          <w:sz w:val="22"/>
          <w:szCs w:val="22"/>
        </w:rPr>
        <w:t xml:space="preserve"> jedenkrát každé tri mesiace.</w:t>
      </w:r>
    </w:p>
    <w:p w:rsidR="0022053D" w:rsidRPr="00E82454" w:rsidRDefault="0022053D" w:rsidP="00BE40F7">
      <w:pPr>
        <w:jc w:val="both"/>
        <w:rPr>
          <w:sz w:val="22"/>
          <w:szCs w:val="22"/>
        </w:rPr>
      </w:pPr>
    </w:p>
    <w:p w:rsidR="004734AA" w:rsidRDefault="00B860CB" w:rsidP="00BE40F7">
      <w:pPr>
        <w:rPr>
          <w:sz w:val="22"/>
          <w:szCs w:val="22"/>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sa musí podávať pod dohľadom kvalifikovaného zdravotníckeho pracovníka so zodpovedajúcou spôsobilosťou na monitorovanie odozvy na liečbu.</w:t>
      </w:r>
    </w:p>
    <w:p w:rsidR="004734AA" w:rsidRDefault="004734AA" w:rsidP="00BE40F7">
      <w:pPr>
        <w:rPr>
          <w:sz w:val="22"/>
          <w:szCs w:val="22"/>
        </w:rPr>
      </w:pPr>
    </w:p>
    <w:p w:rsidR="004734AA" w:rsidRDefault="00AC2BEE" w:rsidP="00BE40F7">
      <w:pPr>
        <w:rPr>
          <w:sz w:val="22"/>
          <w:szCs w:val="22"/>
        </w:rPr>
      </w:pPr>
      <w:r w:rsidRPr="00E82454">
        <w:rPr>
          <w:sz w:val="22"/>
          <w:szCs w:val="22"/>
        </w:rPr>
        <w:t xml:space="preserve">Dávka 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umožňujúca kontinuálne uvoľňovanie </w:t>
      </w:r>
      <w:proofErr w:type="spellStart"/>
      <w:r w:rsidRPr="00E82454">
        <w:rPr>
          <w:sz w:val="22"/>
          <w:szCs w:val="22"/>
        </w:rPr>
        <w:t>leuprorelíniumacetátu</w:t>
      </w:r>
      <w:proofErr w:type="spellEnd"/>
      <w:r w:rsidRPr="00E82454">
        <w:rPr>
          <w:sz w:val="22"/>
          <w:szCs w:val="22"/>
        </w:rPr>
        <w:t xml:space="preserve"> počas obdobia troch mesiacov je obsiahnutá v </w:t>
      </w:r>
      <w:proofErr w:type="spellStart"/>
      <w:r w:rsidRPr="00E82454">
        <w:rPr>
          <w:sz w:val="22"/>
          <w:szCs w:val="22"/>
        </w:rPr>
        <w:t>depotnej</w:t>
      </w:r>
      <w:proofErr w:type="spellEnd"/>
      <w:r w:rsidRPr="00E82454">
        <w:rPr>
          <w:sz w:val="22"/>
          <w:szCs w:val="22"/>
        </w:rPr>
        <w:t xml:space="preserve"> forme. </w:t>
      </w:r>
      <w:proofErr w:type="spellStart"/>
      <w:r w:rsidRPr="00E82454">
        <w:rPr>
          <w:sz w:val="22"/>
          <w:szCs w:val="22"/>
        </w:rPr>
        <w:t>Lyofilizovaný</w:t>
      </w:r>
      <w:proofErr w:type="spellEnd"/>
      <w:r w:rsidRPr="00E82454">
        <w:rPr>
          <w:sz w:val="22"/>
          <w:szCs w:val="22"/>
        </w:rPr>
        <w:t xml:space="preserve"> prášok sa má použiť na prípravu suspenzie a podávať ako samostatná </w:t>
      </w:r>
      <w:proofErr w:type="spellStart"/>
      <w:r w:rsidRPr="00E82454">
        <w:rPr>
          <w:sz w:val="22"/>
          <w:szCs w:val="22"/>
        </w:rPr>
        <w:t>intramuskulárna</w:t>
      </w:r>
      <w:proofErr w:type="spellEnd"/>
      <w:r w:rsidRPr="00E82454">
        <w:rPr>
          <w:sz w:val="22"/>
          <w:szCs w:val="22"/>
        </w:rPr>
        <w:t xml:space="preserve"> injekcia v trojmesačných intervaloch. Liek sa nesmie podávať </w:t>
      </w:r>
      <w:proofErr w:type="spellStart"/>
      <w:r w:rsidRPr="00E82454">
        <w:rPr>
          <w:sz w:val="22"/>
          <w:szCs w:val="22"/>
        </w:rPr>
        <w:t>intraarteriálne</w:t>
      </w:r>
      <w:proofErr w:type="spellEnd"/>
      <w:r w:rsidRPr="00E82454">
        <w:rPr>
          <w:sz w:val="22"/>
          <w:szCs w:val="22"/>
        </w:rPr>
        <w:t xml:space="preserve"> ani intravenózne. Suspenzia z prášku</w:t>
      </w:r>
      <w:r w:rsidR="005A5479">
        <w:rPr>
          <w:sz w:val="22"/>
          <w:szCs w:val="22"/>
        </w:rPr>
        <w:t xml:space="preserve"> z mikrosfér</w:t>
      </w:r>
      <w:r w:rsidRPr="00E82454">
        <w:rPr>
          <w:sz w:val="22"/>
          <w:szCs w:val="22"/>
        </w:rPr>
        <w:t xml:space="preserve"> </w:t>
      </w:r>
      <w:proofErr w:type="spellStart"/>
      <w:r w:rsidR="004C75CB" w:rsidRPr="00E82454">
        <w:rPr>
          <w:sz w:val="22"/>
          <w:szCs w:val="22"/>
        </w:rPr>
        <w:t>Lutrate</w:t>
      </w:r>
      <w:proofErr w:type="spellEnd"/>
      <w:r w:rsidR="004C75CB" w:rsidRPr="00E82454">
        <w:rPr>
          <w:sz w:val="22"/>
          <w:szCs w:val="22"/>
        </w:rPr>
        <w:t xml:space="preserve"> </w:t>
      </w:r>
      <w:proofErr w:type="spellStart"/>
      <w:r w:rsidR="004C75CB" w:rsidRPr="00E82454">
        <w:rPr>
          <w:sz w:val="22"/>
          <w:szCs w:val="22"/>
        </w:rPr>
        <w:t>Depot</w:t>
      </w:r>
      <w:proofErr w:type="spellEnd"/>
      <w:r w:rsidRPr="00E82454">
        <w:rPr>
          <w:sz w:val="22"/>
          <w:szCs w:val="22"/>
        </w:rPr>
        <w:t xml:space="preserve"> sa v injekčnej liekovke má pripraviť bezprostredne pred podaním </w:t>
      </w:r>
      <w:proofErr w:type="spellStart"/>
      <w:r w:rsidRPr="00E82454">
        <w:rPr>
          <w:sz w:val="22"/>
          <w:szCs w:val="22"/>
        </w:rPr>
        <w:t>intramuskulárnej</w:t>
      </w:r>
      <w:proofErr w:type="spellEnd"/>
      <w:r w:rsidRPr="00E82454">
        <w:rPr>
          <w:sz w:val="22"/>
          <w:szCs w:val="22"/>
        </w:rPr>
        <w:t xml:space="preserve"> injekcie. Tak ako u iných liekov podávaných pravidelne injekciou, aj u</w:t>
      </w:r>
      <w:r w:rsidR="008F4395">
        <w:rPr>
          <w:sz w:val="22"/>
          <w:szCs w:val="22"/>
        </w:rPr>
        <w:t xml:space="preserve"> lieku</w:t>
      </w:r>
      <w:r w:rsidRPr="00E82454">
        <w:rPr>
          <w:sz w:val="22"/>
          <w:szCs w:val="22"/>
        </w:rPr>
        <w:t xml:space="preserve"> </w:t>
      </w: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sa má pravidelne meniť miesto podania.</w:t>
      </w:r>
    </w:p>
    <w:p w:rsidR="00AC2BEE" w:rsidRPr="00E82454" w:rsidRDefault="00AC2BEE" w:rsidP="00BE40F7">
      <w:pPr>
        <w:jc w:val="both"/>
        <w:rPr>
          <w:sz w:val="22"/>
          <w:szCs w:val="22"/>
        </w:rPr>
      </w:pPr>
    </w:p>
    <w:p w:rsidR="00AC2BEE" w:rsidRPr="00E82454" w:rsidRDefault="0034780E" w:rsidP="00BE40F7">
      <w:pPr>
        <w:jc w:val="both"/>
        <w:rPr>
          <w:sz w:val="22"/>
          <w:szCs w:val="22"/>
        </w:rPr>
      </w:pPr>
      <w:r w:rsidRPr="00E82454">
        <w:rPr>
          <w:sz w:val="22"/>
          <w:szCs w:val="22"/>
        </w:rPr>
        <w:t>Terapia s</w:t>
      </w:r>
      <w:r w:rsidR="008F4395">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sa nemá prerušiť pri dosiahnutí zmiernenia symptómov alebo zlepšenia stavu.</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Odozva na liečbu s</w:t>
      </w:r>
      <w:r w:rsidR="008F4395">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sa má monitorovať pravidelným meraním sérových hladín </w:t>
      </w:r>
      <w:proofErr w:type="spellStart"/>
      <w:r w:rsidRPr="00E82454">
        <w:rPr>
          <w:sz w:val="22"/>
          <w:szCs w:val="22"/>
        </w:rPr>
        <w:t>testosterónu</w:t>
      </w:r>
      <w:proofErr w:type="spellEnd"/>
      <w:r w:rsidRPr="00E82454">
        <w:rPr>
          <w:sz w:val="22"/>
          <w:szCs w:val="22"/>
        </w:rPr>
        <w:t xml:space="preserve"> a špecifického antigénu prostaty (PSA). Klinické štúdie ukázali, že hladiny </w:t>
      </w:r>
      <w:proofErr w:type="spellStart"/>
      <w:r w:rsidRPr="00E82454">
        <w:rPr>
          <w:sz w:val="22"/>
          <w:szCs w:val="22"/>
        </w:rPr>
        <w:lastRenderedPageBreak/>
        <w:t>testosterónu</w:t>
      </w:r>
      <w:proofErr w:type="spellEnd"/>
      <w:r w:rsidRPr="00E82454">
        <w:rPr>
          <w:sz w:val="22"/>
          <w:szCs w:val="22"/>
        </w:rPr>
        <w:t xml:space="preserve"> sa zvýšili počas prvých 4 dní liečby u väčšiny pacientov, ktorí nepodstúpili </w:t>
      </w:r>
      <w:proofErr w:type="spellStart"/>
      <w:r w:rsidRPr="00E82454">
        <w:rPr>
          <w:sz w:val="22"/>
          <w:szCs w:val="22"/>
        </w:rPr>
        <w:t>orchiektómiu</w:t>
      </w:r>
      <w:proofErr w:type="spellEnd"/>
      <w:r w:rsidRPr="00E82454">
        <w:rPr>
          <w:sz w:val="22"/>
          <w:szCs w:val="22"/>
        </w:rPr>
        <w:t xml:space="preserve">. Potom sa znížili a do 3-4 týždňov dosiahli kastračnú hladinu. Po dosiahnutí sa kastračná hladina (definovaná ako hladina </w:t>
      </w:r>
      <w:proofErr w:type="spellStart"/>
      <w:r w:rsidRPr="00E82454">
        <w:rPr>
          <w:sz w:val="22"/>
          <w:szCs w:val="22"/>
        </w:rPr>
        <w:t>testosterónu</w:t>
      </w:r>
      <w:proofErr w:type="spellEnd"/>
      <w:r w:rsidRPr="00E82454">
        <w:rPr>
          <w:sz w:val="22"/>
          <w:szCs w:val="22"/>
        </w:rPr>
        <w:t xml:space="preserve"> rovná alebo nižšia ako 0,5 </w:t>
      </w:r>
      <w:proofErr w:type="spellStart"/>
      <w:r w:rsidRPr="00E82454">
        <w:rPr>
          <w:sz w:val="22"/>
          <w:szCs w:val="22"/>
        </w:rPr>
        <w:t>ng</w:t>
      </w:r>
      <w:proofErr w:type="spellEnd"/>
      <w:r w:rsidRPr="00E82454">
        <w:rPr>
          <w:sz w:val="22"/>
          <w:szCs w:val="22"/>
        </w:rPr>
        <w:t>/ml) udržala počas pokračujúcej liečby.</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Ak je odozva pacienta </w:t>
      </w:r>
      <w:proofErr w:type="spellStart"/>
      <w:r w:rsidRPr="00E82454">
        <w:rPr>
          <w:sz w:val="22"/>
          <w:szCs w:val="22"/>
        </w:rPr>
        <w:t>suboptimálna</w:t>
      </w:r>
      <w:proofErr w:type="spellEnd"/>
      <w:r w:rsidRPr="00E82454">
        <w:rPr>
          <w:sz w:val="22"/>
          <w:szCs w:val="22"/>
        </w:rPr>
        <w:t xml:space="preserve">, potom sa odporúča potvrdiť, že hladina </w:t>
      </w:r>
      <w:proofErr w:type="spellStart"/>
      <w:r w:rsidRPr="00E82454">
        <w:rPr>
          <w:sz w:val="22"/>
          <w:szCs w:val="22"/>
        </w:rPr>
        <w:t>testosterónu</w:t>
      </w:r>
      <w:proofErr w:type="spellEnd"/>
      <w:r w:rsidRPr="00E82454">
        <w:rPr>
          <w:sz w:val="22"/>
          <w:szCs w:val="22"/>
        </w:rPr>
        <w:t xml:space="preserve"> v sére dosiahla kastračnú úroveň a na tejto úrovni pretrváva. Niekedy dochádza k prechodnému zvýšeniu hladiny </w:t>
      </w:r>
      <w:r w:rsidR="002A7BE8">
        <w:rPr>
          <w:sz w:val="22"/>
          <w:szCs w:val="22"/>
        </w:rPr>
        <w:t xml:space="preserve">kyslej </w:t>
      </w:r>
      <w:proofErr w:type="spellStart"/>
      <w:r w:rsidRPr="00E82454">
        <w:rPr>
          <w:sz w:val="22"/>
          <w:szCs w:val="22"/>
        </w:rPr>
        <w:t>fosfatázy</w:t>
      </w:r>
      <w:proofErr w:type="spellEnd"/>
      <w:r w:rsidRPr="00E82454">
        <w:rPr>
          <w:sz w:val="22"/>
          <w:szCs w:val="22"/>
        </w:rPr>
        <w:t xml:space="preserve"> v počiatočnej fáze liečby, ale jej hodnota sa zvyčajne vráti na normálnu alebo takmer normálnu úroveň do štvrtého týždňa liečby.</w:t>
      </w:r>
    </w:p>
    <w:p w:rsidR="00AC2BEE" w:rsidRPr="00E82454" w:rsidRDefault="00AC2BEE" w:rsidP="00BE40F7">
      <w:pPr>
        <w:jc w:val="both"/>
        <w:rPr>
          <w:sz w:val="22"/>
          <w:szCs w:val="22"/>
          <w:u w:val="single"/>
        </w:rPr>
      </w:pPr>
    </w:p>
    <w:p w:rsidR="00AC2BEE" w:rsidRPr="00E82454" w:rsidRDefault="00AC2BEE" w:rsidP="00BE40F7">
      <w:pPr>
        <w:jc w:val="both"/>
        <w:rPr>
          <w:sz w:val="22"/>
          <w:szCs w:val="22"/>
          <w:u w:val="single"/>
        </w:rPr>
      </w:pPr>
      <w:r w:rsidRPr="00E82454">
        <w:rPr>
          <w:sz w:val="22"/>
          <w:szCs w:val="22"/>
          <w:u w:val="single"/>
        </w:rPr>
        <w:t>Doba liečby</w:t>
      </w:r>
    </w:p>
    <w:p w:rsidR="00AC2BEE" w:rsidRPr="00E82454" w:rsidRDefault="00B860CB" w:rsidP="00BE40F7">
      <w:pPr>
        <w:jc w:val="both"/>
        <w:rPr>
          <w:sz w:val="22"/>
          <w:szCs w:val="22"/>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 xml:space="preserve">sa má podávať ako </w:t>
      </w:r>
      <w:proofErr w:type="spellStart"/>
      <w:r w:rsidR="0034780E" w:rsidRPr="00E82454">
        <w:rPr>
          <w:sz w:val="22"/>
          <w:szCs w:val="22"/>
        </w:rPr>
        <w:t>intramuskulárna</w:t>
      </w:r>
      <w:proofErr w:type="spellEnd"/>
      <w:r w:rsidR="0034780E" w:rsidRPr="00E82454">
        <w:rPr>
          <w:sz w:val="22"/>
          <w:szCs w:val="22"/>
        </w:rPr>
        <w:t xml:space="preserve"> injekcia každé tri mesiace.</w:t>
      </w:r>
    </w:p>
    <w:p w:rsidR="0022053D" w:rsidRPr="00E82454" w:rsidRDefault="00F62E3E" w:rsidP="00BE40F7">
      <w:pPr>
        <w:jc w:val="both"/>
        <w:rPr>
          <w:sz w:val="22"/>
          <w:szCs w:val="22"/>
        </w:rPr>
      </w:pPr>
      <w:r w:rsidRPr="00E82454">
        <w:rPr>
          <w:sz w:val="22"/>
          <w:szCs w:val="22"/>
        </w:rPr>
        <w:t>Terapia pokročilého karcinómu prostaty spravidla znamená dlhodobú liečbu a terapia s</w:t>
      </w:r>
      <w:r w:rsidR="00EF6A6E">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sa nemá prerušiť pri dosiahnutí zmiernenia symptómov alebo zlepšenia stavu.</w:t>
      </w:r>
    </w:p>
    <w:p w:rsidR="00F62E3E" w:rsidRPr="00E82454" w:rsidRDefault="00F62E3E" w:rsidP="00BE40F7">
      <w:pPr>
        <w:jc w:val="both"/>
        <w:rPr>
          <w:sz w:val="22"/>
          <w:szCs w:val="22"/>
          <w:u w:val="single"/>
        </w:rPr>
      </w:pPr>
    </w:p>
    <w:p w:rsidR="00AC2BEE" w:rsidRPr="00E82454" w:rsidRDefault="00AC2BEE" w:rsidP="00BE40F7">
      <w:pPr>
        <w:jc w:val="both"/>
        <w:rPr>
          <w:sz w:val="22"/>
          <w:szCs w:val="22"/>
          <w:u w:val="single"/>
          <w:lang w:val="en-GB"/>
        </w:rPr>
      </w:pPr>
      <w:r w:rsidRPr="00E82454">
        <w:rPr>
          <w:sz w:val="22"/>
          <w:szCs w:val="22"/>
          <w:u w:val="single"/>
        </w:rPr>
        <w:t>Osobitné skupiny pacientov</w:t>
      </w:r>
    </w:p>
    <w:p w:rsidR="00FD6145" w:rsidRPr="00E82454" w:rsidRDefault="00FD6145" w:rsidP="00BE40F7">
      <w:pPr>
        <w:jc w:val="both"/>
        <w:rPr>
          <w:i/>
          <w:sz w:val="22"/>
          <w:szCs w:val="22"/>
          <w:lang w:val="en-GB"/>
        </w:rPr>
      </w:pPr>
    </w:p>
    <w:p w:rsidR="00AC2BEE" w:rsidRPr="00E82454" w:rsidRDefault="00AC2BEE" w:rsidP="00BE40F7">
      <w:pPr>
        <w:jc w:val="both"/>
        <w:rPr>
          <w:i/>
          <w:sz w:val="22"/>
          <w:szCs w:val="22"/>
          <w:lang w:val="en-GB"/>
        </w:rPr>
      </w:pPr>
      <w:r w:rsidRPr="00E82454">
        <w:rPr>
          <w:i/>
          <w:sz w:val="22"/>
          <w:szCs w:val="22"/>
        </w:rPr>
        <w:t>Deti a dospievajúci</w:t>
      </w:r>
    </w:p>
    <w:p w:rsidR="00AC2BEE" w:rsidRPr="00E82454" w:rsidRDefault="00AC2BEE" w:rsidP="00BE40F7">
      <w:pPr>
        <w:jc w:val="both"/>
        <w:rPr>
          <w:sz w:val="22"/>
          <w:szCs w:val="22"/>
        </w:rPr>
      </w:pPr>
      <w:r w:rsidRPr="00E82454">
        <w:rPr>
          <w:sz w:val="22"/>
          <w:szCs w:val="22"/>
        </w:rPr>
        <w:t>Bezpečnosť a</w:t>
      </w:r>
      <w:r w:rsidR="00B860CB" w:rsidRPr="00E82454">
        <w:rPr>
          <w:sz w:val="22"/>
          <w:szCs w:val="22"/>
        </w:rPr>
        <w:t> </w:t>
      </w:r>
      <w:r w:rsidRPr="00E82454">
        <w:rPr>
          <w:sz w:val="22"/>
          <w:szCs w:val="22"/>
        </w:rPr>
        <w:t>účinnosť</w:t>
      </w:r>
      <w:r w:rsidR="00B860CB" w:rsidRPr="00E82454">
        <w:rPr>
          <w:sz w:val="22"/>
          <w:szCs w:val="22"/>
        </w:rPr>
        <w:t xml:space="preserve"> </w:t>
      </w:r>
      <w:r w:rsidR="002A7BE8">
        <w:rPr>
          <w:sz w:val="22"/>
          <w:szCs w:val="22"/>
        </w:rPr>
        <w:t xml:space="preserve">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nebola u detí a dospievajúcich stanovená. Preto sa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neodporúča podávať deťom a dospievajúcim, kým nebudú dostupné údaje o bezpečnosti a účinnosti.</w:t>
      </w:r>
    </w:p>
    <w:p w:rsidR="00AC2BEE" w:rsidRPr="00E82454" w:rsidRDefault="00AC2BEE" w:rsidP="00BE40F7">
      <w:pPr>
        <w:jc w:val="both"/>
        <w:rPr>
          <w:i/>
          <w:sz w:val="22"/>
          <w:szCs w:val="22"/>
        </w:rPr>
      </w:pPr>
    </w:p>
    <w:p w:rsidR="00AC2BEE" w:rsidRPr="00E82454" w:rsidRDefault="00AC2BEE" w:rsidP="00BE40F7">
      <w:pPr>
        <w:jc w:val="both"/>
        <w:rPr>
          <w:i/>
          <w:sz w:val="22"/>
          <w:szCs w:val="22"/>
        </w:rPr>
      </w:pPr>
      <w:proofErr w:type="spellStart"/>
      <w:r w:rsidRPr="00E82454">
        <w:rPr>
          <w:i/>
          <w:sz w:val="22"/>
          <w:szCs w:val="22"/>
        </w:rPr>
        <w:t>Renálna</w:t>
      </w:r>
      <w:proofErr w:type="spellEnd"/>
      <w:r w:rsidRPr="00E82454">
        <w:rPr>
          <w:i/>
          <w:sz w:val="22"/>
          <w:szCs w:val="22"/>
        </w:rPr>
        <w:t xml:space="preserve"> a </w:t>
      </w:r>
      <w:proofErr w:type="spellStart"/>
      <w:r w:rsidRPr="00E82454">
        <w:rPr>
          <w:i/>
          <w:sz w:val="22"/>
          <w:szCs w:val="22"/>
        </w:rPr>
        <w:t>hepatálna</w:t>
      </w:r>
      <w:proofErr w:type="spellEnd"/>
      <w:r w:rsidRPr="00E82454">
        <w:rPr>
          <w:i/>
          <w:sz w:val="22"/>
          <w:szCs w:val="22"/>
        </w:rPr>
        <w:t xml:space="preserve"> </w:t>
      </w:r>
      <w:proofErr w:type="spellStart"/>
      <w:r w:rsidRPr="00E82454">
        <w:rPr>
          <w:i/>
          <w:sz w:val="22"/>
          <w:szCs w:val="22"/>
        </w:rPr>
        <w:t>insuficiencia</w:t>
      </w:r>
      <w:proofErr w:type="spellEnd"/>
    </w:p>
    <w:p w:rsidR="00AC2BEE" w:rsidRPr="00E82454" w:rsidRDefault="00AC2BEE" w:rsidP="00BE40F7">
      <w:pPr>
        <w:jc w:val="both"/>
        <w:rPr>
          <w:sz w:val="22"/>
          <w:szCs w:val="22"/>
        </w:rPr>
      </w:pPr>
      <w:proofErr w:type="spellStart"/>
      <w:r w:rsidRPr="00E82454">
        <w:rPr>
          <w:sz w:val="22"/>
          <w:szCs w:val="22"/>
        </w:rPr>
        <w:t>Farmakokinetika</w:t>
      </w:r>
      <w:proofErr w:type="spellEnd"/>
      <w:r w:rsidRPr="00E82454">
        <w:rPr>
          <w:sz w:val="22"/>
          <w:szCs w:val="22"/>
        </w:rPr>
        <w:t xml:space="preserve"> </w:t>
      </w:r>
      <w:r w:rsidR="002A7BE8">
        <w:rPr>
          <w:sz w:val="22"/>
          <w:szCs w:val="22"/>
        </w:rPr>
        <w:t xml:space="preserve">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sa neskúmala u pacientov so zhoršenou funkciou pečene a obličiek.</w:t>
      </w:r>
    </w:p>
    <w:p w:rsidR="004734AA" w:rsidRDefault="004734AA" w:rsidP="00BE40F7">
      <w:pPr>
        <w:rPr>
          <w:i/>
          <w:sz w:val="22"/>
          <w:szCs w:val="22"/>
        </w:rPr>
      </w:pPr>
    </w:p>
    <w:p w:rsidR="004734AA" w:rsidRDefault="00AC2BEE" w:rsidP="00BE40F7">
      <w:pPr>
        <w:rPr>
          <w:i/>
          <w:sz w:val="22"/>
          <w:szCs w:val="22"/>
        </w:rPr>
      </w:pPr>
      <w:r w:rsidRPr="00E82454">
        <w:rPr>
          <w:i/>
          <w:sz w:val="22"/>
          <w:szCs w:val="22"/>
        </w:rPr>
        <w:t>Starší pacienti</w:t>
      </w:r>
    </w:p>
    <w:p w:rsidR="00AC2BEE" w:rsidRPr="00E82454" w:rsidRDefault="00AC2BEE" w:rsidP="00BE40F7">
      <w:pPr>
        <w:jc w:val="both"/>
        <w:rPr>
          <w:sz w:val="22"/>
          <w:szCs w:val="22"/>
        </w:rPr>
      </w:pPr>
      <w:r w:rsidRPr="00E82454">
        <w:rPr>
          <w:sz w:val="22"/>
          <w:szCs w:val="22"/>
        </w:rPr>
        <w:t xml:space="preserve">V klinickej štúdii </w:t>
      </w:r>
      <w:r w:rsidR="00EF6A6E">
        <w:rPr>
          <w:sz w:val="22"/>
          <w:szCs w:val="22"/>
        </w:rPr>
        <w:t xml:space="preserve">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bol priemerný vek zúčastnených osôb 71,0±9,02 rokov. Preto uvedené dávkovanie zohľadňuje </w:t>
      </w:r>
      <w:proofErr w:type="spellStart"/>
      <w:r w:rsidRPr="00E82454">
        <w:rPr>
          <w:sz w:val="22"/>
          <w:szCs w:val="22"/>
        </w:rPr>
        <w:t>farmakokinetiku</w:t>
      </w:r>
      <w:proofErr w:type="spellEnd"/>
      <w:r w:rsidRPr="00E82454">
        <w:rPr>
          <w:sz w:val="22"/>
          <w:szCs w:val="22"/>
        </w:rPr>
        <w:t xml:space="preserve">, účinnosť a bezpečnosť </w:t>
      </w:r>
      <w:r w:rsidR="00EF6A6E">
        <w:rPr>
          <w:sz w:val="22"/>
          <w:szCs w:val="22"/>
        </w:rPr>
        <w:t xml:space="preserve">lieku </w:t>
      </w:r>
      <w:proofErr w:type="spellStart"/>
      <w:r w:rsidR="00EF6A6E" w:rsidRPr="00E82454">
        <w:rPr>
          <w:sz w:val="22"/>
          <w:szCs w:val="22"/>
        </w:rPr>
        <w:t>Lutrate</w:t>
      </w:r>
      <w:proofErr w:type="spellEnd"/>
      <w:r w:rsidR="00EF6A6E" w:rsidRPr="00E82454">
        <w:rPr>
          <w:sz w:val="22"/>
          <w:szCs w:val="22"/>
        </w:rPr>
        <w:t xml:space="preserve"> </w:t>
      </w:r>
      <w:proofErr w:type="spellStart"/>
      <w:r w:rsidR="00EF6A6E" w:rsidRPr="00E82454">
        <w:rPr>
          <w:sz w:val="22"/>
          <w:szCs w:val="22"/>
        </w:rPr>
        <w:t>Depot</w:t>
      </w:r>
      <w:proofErr w:type="spellEnd"/>
      <w:r w:rsidR="00EF6A6E" w:rsidRPr="00E82454">
        <w:rPr>
          <w:sz w:val="22"/>
          <w:szCs w:val="22"/>
        </w:rPr>
        <w:t xml:space="preserve"> 22,5 mg</w:t>
      </w:r>
      <w:r w:rsidRPr="00E82454">
        <w:rPr>
          <w:sz w:val="22"/>
          <w:szCs w:val="22"/>
        </w:rPr>
        <w:t xml:space="preserve"> v tejto skupine pacientov.</w:t>
      </w:r>
    </w:p>
    <w:p w:rsidR="00AC2BEE" w:rsidRPr="00E82454" w:rsidRDefault="00AC2BEE" w:rsidP="00BE40F7">
      <w:pPr>
        <w:jc w:val="both"/>
        <w:rPr>
          <w:sz w:val="22"/>
          <w:szCs w:val="22"/>
          <w:u w:val="single"/>
        </w:rPr>
      </w:pPr>
    </w:p>
    <w:p w:rsidR="00AC2BEE" w:rsidRPr="00E82454" w:rsidRDefault="00AC2BEE" w:rsidP="00BE40F7">
      <w:pPr>
        <w:jc w:val="both"/>
        <w:rPr>
          <w:sz w:val="22"/>
          <w:szCs w:val="22"/>
          <w:u w:val="single"/>
        </w:rPr>
      </w:pPr>
      <w:r w:rsidRPr="00E82454">
        <w:rPr>
          <w:sz w:val="22"/>
          <w:szCs w:val="22"/>
          <w:u w:val="single"/>
        </w:rPr>
        <w:t>Spôsob podávania</w:t>
      </w:r>
    </w:p>
    <w:p w:rsidR="003F7A66" w:rsidRPr="00E82454" w:rsidRDefault="003F7A66" w:rsidP="00BE40F7">
      <w:pPr>
        <w:jc w:val="both"/>
        <w:rPr>
          <w:sz w:val="22"/>
          <w:szCs w:val="22"/>
        </w:rPr>
      </w:pPr>
    </w:p>
    <w:p w:rsidR="00AC2BEE" w:rsidRPr="00E82454" w:rsidRDefault="00EF6A6E" w:rsidP="00BE40F7">
      <w:pPr>
        <w:jc w:val="both"/>
        <w:rPr>
          <w:b/>
          <w:sz w:val="22"/>
          <w:szCs w:val="22"/>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w:t>
      </w:r>
      <w:r w:rsidR="00B860CB" w:rsidRPr="00E82454">
        <w:rPr>
          <w:sz w:val="22"/>
          <w:szCs w:val="22"/>
        </w:rPr>
        <w:t xml:space="preserve"> </w:t>
      </w:r>
      <w:r w:rsidR="0034780E" w:rsidRPr="00E82454">
        <w:rPr>
          <w:sz w:val="22"/>
          <w:szCs w:val="22"/>
        </w:rPr>
        <w:t xml:space="preserve">sa musí podávať len </w:t>
      </w:r>
      <w:proofErr w:type="spellStart"/>
      <w:r w:rsidR="0034780E" w:rsidRPr="00E82454">
        <w:rPr>
          <w:sz w:val="22"/>
          <w:szCs w:val="22"/>
        </w:rPr>
        <w:t>intramuskulárne</w:t>
      </w:r>
      <w:proofErr w:type="spellEnd"/>
      <w:r w:rsidR="0034780E" w:rsidRPr="00E82454">
        <w:rPr>
          <w:sz w:val="22"/>
          <w:szCs w:val="22"/>
        </w:rPr>
        <w:t xml:space="preserve">. Nepodávajte inou cestou podania. Ak sa </w:t>
      </w:r>
      <w:proofErr w:type="spellStart"/>
      <w:r w:rsidR="002A7BE8" w:rsidRPr="00E82454">
        <w:rPr>
          <w:sz w:val="22"/>
          <w:szCs w:val="22"/>
        </w:rPr>
        <w:t>Lutrate</w:t>
      </w:r>
      <w:proofErr w:type="spellEnd"/>
      <w:r w:rsidR="002A7BE8" w:rsidRPr="00E82454">
        <w:rPr>
          <w:sz w:val="22"/>
          <w:szCs w:val="22"/>
        </w:rPr>
        <w:t xml:space="preserve"> </w:t>
      </w:r>
      <w:proofErr w:type="spellStart"/>
      <w:r w:rsidR="002A7BE8" w:rsidRPr="00E82454">
        <w:rPr>
          <w:sz w:val="22"/>
          <w:szCs w:val="22"/>
        </w:rPr>
        <w:t>Depot</w:t>
      </w:r>
      <w:proofErr w:type="spellEnd"/>
      <w:r w:rsidR="002A7BE8" w:rsidRPr="00E82454">
        <w:rPr>
          <w:sz w:val="22"/>
          <w:szCs w:val="22"/>
        </w:rPr>
        <w:t xml:space="preserve"> 22,5 mg</w:t>
      </w:r>
      <w:r w:rsidR="0034780E" w:rsidRPr="00E82454">
        <w:rPr>
          <w:sz w:val="22"/>
          <w:szCs w:val="22"/>
        </w:rPr>
        <w:t xml:space="preserve"> omylom podá podkožne, pacienta treba dôkladne monitorovať, pretože nie sú k dispozícii žiadne údaje o iných spôsoboch podávania okrem </w:t>
      </w:r>
      <w:proofErr w:type="spellStart"/>
      <w:r w:rsidR="0034780E" w:rsidRPr="00E82454">
        <w:rPr>
          <w:sz w:val="22"/>
          <w:szCs w:val="22"/>
        </w:rPr>
        <w:t>intramuskulárneho</w:t>
      </w:r>
      <w:proofErr w:type="spellEnd"/>
      <w:r w:rsidR="0034780E" w:rsidRPr="00E82454">
        <w:rPr>
          <w:sz w:val="22"/>
          <w:szCs w:val="22"/>
        </w:rPr>
        <w:t xml:space="preserve"> podávania. Pokyny na prípravu lieku z prášku pred podaním pozri v </w:t>
      </w:r>
      <w:r w:rsidR="0034780E" w:rsidRPr="00E82454">
        <w:rPr>
          <w:b/>
          <w:sz w:val="22"/>
          <w:szCs w:val="22"/>
        </w:rPr>
        <w:t>časti 6.6</w:t>
      </w:r>
      <w:r w:rsidR="0034780E" w:rsidRPr="00E82454">
        <w:rPr>
          <w:sz w:val="22"/>
          <w:szCs w:val="22"/>
        </w:rPr>
        <w:t>.</w:t>
      </w:r>
    </w:p>
    <w:p w:rsidR="00AC2BEE" w:rsidRPr="00E82454" w:rsidRDefault="00AC2BEE" w:rsidP="00BE40F7">
      <w:pPr>
        <w:pStyle w:val="Zkladntext"/>
        <w:spacing w:after="0"/>
        <w:jc w:val="both"/>
        <w:rPr>
          <w:sz w:val="22"/>
          <w:szCs w:val="22"/>
        </w:rPr>
      </w:pPr>
    </w:p>
    <w:p w:rsidR="00AC2BEE" w:rsidRPr="00E82454" w:rsidRDefault="00AC2BEE" w:rsidP="00BE40F7">
      <w:pPr>
        <w:jc w:val="both"/>
        <w:rPr>
          <w:b/>
          <w:sz w:val="22"/>
          <w:szCs w:val="22"/>
        </w:rPr>
      </w:pPr>
      <w:r w:rsidRPr="00E82454">
        <w:rPr>
          <w:b/>
          <w:sz w:val="22"/>
          <w:szCs w:val="22"/>
        </w:rPr>
        <w:t>4.3</w:t>
      </w:r>
      <w:r w:rsidRPr="00E82454">
        <w:rPr>
          <w:b/>
          <w:sz w:val="22"/>
          <w:szCs w:val="22"/>
        </w:rPr>
        <w:tab/>
        <w:t>Kontraindikácie</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Precitlivenosť na liečivo, </w:t>
      </w:r>
      <w:proofErr w:type="spellStart"/>
      <w:r w:rsidRPr="00E82454">
        <w:rPr>
          <w:sz w:val="22"/>
          <w:szCs w:val="22"/>
        </w:rPr>
        <w:t>analógy</w:t>
      </w:r>
      <w:proofErr w:type="spellEnd"/>
      <w:r w:rsidRPr="00E82454">
        <w:rPr>
          <w:sz w:val="22"/>
          <w:szCs w:val="22"/>
        </w:rPr>
        <w:t xml:space="preserve"> hormónu spôsobujúceho uvoľňovanie </w:t>
      </w:r>
      <w:proofErr w:type="spellStart"/>
      <w:r w:rsidRPr="00E82454">
        <w:rPr>
          <w:sz w:val="22"/>
          <w:szCs w:val="22"/>
        </w:rPr>
        <w:t>luteinizačného</w:t>
      </w:r>
      <w:proofErr w:type="spellEnd"/>
      <w:r w:rsidRPr="00E82454">
        <w:rPr>
          <w:sz w:val="22"/>
          <w:szCs w:val="22"/>
        </w:rPr>
        <w:t xml:space="preserve"> hormónu (LHRH) alebo na ktorúkoľvek z pomocných látok uvedených v časti 6.1. V lekárskej literatúre sú uvádzané prípady </w:t>
      </w:r>
      <w:proofErr w:type="spellStart"/>
      <w:r w:rsidRPr="00E82454">
        <w:rPr>
          <w:sz w:val="22"/>
          <w:szCs w:val="22"/>
        </w:rPr>
        <w:t>anafylaktických</w:t>
      </w:r>
      <w:proofErr w:type="spellEnd"/>
      <w:r w:rsidRPr="00E82454">
        <w:rPr>
          <w:sz w:val="22"/>
          <w:szCs w:val="22"/>
        </w:rPr>
        <w:t xml:space="preserve"> reakcií na syntetické LHRH alebo </w:t>
      </w:r>
      <w:proofErr w:type="spellStart"/>
      <w:r w:rsidRPr="00E82454">
        <w:rPr>
          <w:sz w:val="22"/>
          <w:szCs w:val="22"/>
        </w:rPr>
        <w:t>analógy</w:t>
      </w:r>
      <w:proofErr w:type="spellEnd"/>
      <w:r w:rsidRPr="00E82454">
        <w:rPr>
          <w:sz w:val="22"/>
          <w:szCs w:val="22"/>
        </w:rPr>
        <w:t xml:space="preserve"> </w:t>
      </w:r>
      <w:proofErr w:type="spellStart"/>
      <w:r w:rsidRPr="00E82454">
        <w:rPr>
          <w:sz w:val="22"/>
          <w:szCs w:val="22"/>
        </w:rPr>
        <w:t>agonistov</w:t>
      </w:r>
      <w:proofErr w:type="spellEnd"/>
      <w:r w:rsidRPr="00E82454">
        <w:rPr>
          <w:sz w:val="22"/>
          <w:szCs w:val="22"/>
        </w:rPr>
        <w:t xml:space="preserve"> LHRH.</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Predchádzajúca </w:t>
      </w:r>
      <w:proofErr w:type="spellStart"/>
      <w:r w:rsidRPr="00E82454">
        <w:rPr>
          <w:sz w:val="22"/>
          <w:szCs w:val="22"/>
        </w:rPr>
        <w:t>orchiektómia</w:t>
      </w:r>
      <w:proofErr w:type="spellEnd"/>
      <w:r w:rsidRPr="00E82454">
        <w:rPr>
          <w:sz w:val="22"/>
          <w:szCs w:val="22"/>
        </w:rPr>
        <w:t>.</w:t>
      </w:r>
    </w:p>
    <w:p w:rsidR="00AC2BEE" w:rsidRPr="00E82454" w:rsidRDefault="00AC2BEE" w:rsidP="00BE40F7">
      <w:pPr>
        <w:jc w:val="both"/>
        <w:rPr>
          <w:sz w:val="22"/>
          <w:szCs w:val="22"/>
        </w:rPr>
      </w:pPr>
    </w:p>
    <w:p w:rsidR="00AC2BEE" w:rsidRPr="00E82454" w:rsidRDefault="00B860CB" w:rsidP="00BE40F7">
      <w:pPr>
        <w:jc w:val="both"/>
        <w:rPr>
          <w:sz w:val="22"/>
          <w:szCs w:val="22"/>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sa nesmie používať ako jediná liečba u pacientov s karcinómom prostaty a s preukázaným stlačením miechy alebo preukázanými metastázami do miechy.</w:t>
      </w:r>
    </w:p>
    <w:p w:rsidR="00FD6145" w:rsidRPr="00E82454" w:rsidRDefault="00FD6145" w:rsidP="00BE40F7">
      <w:pPr>
        <w:jc w:val="both"/>
        <w:rPr>
          <w:sz w:val="22"/>
          <w:szCs w:val="22"/>
        </w:rPr>
      </w:pPr>
    </w:p>
    <w:p w:rsidR="00AC2BEE" w:rsidRPr="00E82454" w:rsidRDefault="00B860CB" w:rsidP="00BE40F7">
      <w:pPr>
        <w:jc w:val="both"/>
        <w:rPr>
          <w:sz w:val="22"/>
          <w:szCs w:val="22"/>
          <w:lang w:val="de-DE"/>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je kontraindikovaný u žien.</w:t>
      </w:r>
    </w:p>
    <w:p w:rsidR="00AC2BEE" w:rsidRPr="00E82454" w:rsidRDefault="00AC2BEE" w:rsidP="00BE40F7">
      <w:pPr>
        <w:jc w:val="both"/>
        <w:rPr>
          <w:sz w:val="22"/>
          <w:szCs w:val="22"/>
          <w:lang w:val="de-DE"/>
        </w:rPr>
      </w:pPr>
    </w:p>
    <w:p w:rsidR="00AC2BEE" w:rsidRPr="00E82454" w:rsidRDefault="00B860CB" w:rsidP="00BE40F7">
      <w:pPr>
        <w:jc w:val="both"/>
        <w:rPr>
          <w:sz w:val="22"/>
          <w:szCs w:val="22"/>
          <w:lang w:val="de-DE"/>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je kontraindikovaný u detí a dospievajúcich.</w:t>
      </w:r>
    </w:p>
    <w:p w:rsidR="00AC2BEE" w:rsidRPr="00E82454" w:rsidRDefault="00AC2BEE" w:rsidP="00BE40F7">
      <w:pPr>
        <w:jc w:val="both"/>
        <w:rPr>
          <w:sz w:val="22"/>
          <w:szCs w:val="22"/>
          <w:lang w:val="de-DE"/>
        </w:rPr>
      </w:pPr>
    </w:p>
    <w:p w:rsidR="00AC2BEE" w:rsidRPr="00E82454" w:rsidRDefault="00AC2BEE" w:rsidP="00BE40F7">
      <w:pPr>
        <w:jc w:val="both"/>
        <w:rPr>
          <w:b/>
          <w:sz w:val="22"/>
          <w:szCs w:val="22"/>
          <w:lang w:val="en-GB"/>
        </w:rPr>
      </w:pPr>
      <w:r w:rsidRPr="00E82454">
        <w:rPr>
          <w:b/>
          <w:sz w:val="22"/>
          <w:szCs w:val="22"/>
        </w:rPr>
        <w:t>4.4</w:t>
      </w:r>
      <w:r w:rsidRPr="00E82454">
        <w:rPr>
          <w:b/>
          <w:sz w:val="22"/>
          <w:szCs w:val="22"/>
        </w:rPr>
        <w:tab/>
        <w:t>Osobitné upozornenia a opatrenia pri používaní</w:t>
      </w:r>
    </w:p>
    <w:p w:rsidR="00AC2BEE" w:rsidRPr="00E82454" w:rsidRDefault="00AC2BEE" w:rsidP="00BE40F7">
      <w:pPr>
        <w:jc w:val="both"/>
        <w:rPr>
          <w:sz w:val="22"/>
          <w:szCs w:val="22"/>
          <w:lang w:val="en-GB"/>
        </w:rPr>
      </w:pPr>
    </w:p>
    <w:p w:rsidR="00AC2BEE" w:rsidRPr="00E82454" w:rsidRDefault="00AC2BEE" w:rsidP="00BE40F7">
      <w:pPr>
        <w:jc w:val="both"/>
        <w:rPr>
          <w:sz w:val="22"/>
          <w:szCs w:val="22"/>
          <w:lang w:val="en-GB"/>
        </w:rPr>
      </w:pPr>
      <w:r w:rsidRPr="00E82454">
        <w:rPr>
          <w:sz w:val="22"/>
          <w:szCs w:val="22"/>
        </w:rPr>
        <w:lastRenderedPageBreak/>
        <w:t xml:space="preserve">Podobne ako pri liečbe s inými </w:t>
      </w:r>
      <w:proofErr w:type="spellStart"/>
      <w:r w:rsidRPr="00E82454">
        <w:rPr>
          <w:sz w:val="22"/>
          <w:szCs w:val="22"/>
        </w:rPr>
        <w:t>agonistami</w:t>
      </w:r>
      <w:proofErr w:type="spellEnd"/>
      <w:r w:rsidRPr="00E82454">
        <w:rPr>
          <w:sz w:val="22"/>
          <w:szCs w:val="22"/>
        </w:rPr>
        <w:t xml:space="preserve"> LHRH v počiatočnom štádiu liečby s</w:t>
      </w:r>
      <w:r w:rsidR="002A7BE8">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sa môže dočasne zvýšiť hladina </w:t>
      </w:r>
      <w:proofErr w:type="spellStart"/>
      <w:r w:rsidRPr="00E82454">
        <w:rPr>
          <w:sz w:val="22"/>
          <w:szCs w:val="22"/>
        </w:rPr>
        <w:t>testosterónu</w:t>
      </w:r>
      <w:proofErr w:type="spellEnd"/>
      <w:r w:rsidRPr="00E82454">
        <w:rPr>
          <w:sz w:val="22"/>
          <w:szCs w:val="22"/>
        </w:rPr>
        <w:t>. V niektorých prípadoch to môže byť spojené s</w:t>
      </w:r>
      <w:r w:rsidR="002F67CE">
        <w:rPr>
          <w:sz w:val="22"/>
          <w:szCs w:val="22"/>
        </w:rPr>
        <w:t xml:space="preserve"> opätovným prepuknutím</w:t>
      </w:r>
      <w:r w:rsidRPr="00E82454">
        <w:rPr>
          <w:sz w:val="22"/>
          <w:szCs w:val="22"/>
        </w:rPr>
        <w:t xml:space="preserve"> alebo </w:t>
      </w:r>
      <w:proofErr w:type="spellStart"/>
      <w:r w:rsidRPr="00E82454">
        <w:rPr>
          <w:sz w:val="22"/>
          <w:szCs w:val="22"/>
        </w:rPr>
        <w:t>exacerbáciou</w:t>
      </w:r>
      <w:proofErr w:type="spellEnd"/>
      <w:r w:rsidRPr="00E82454">
        <w:rPr>
          <w:sz w:val="22"/>
          <w:szCs w:val="22"/>
        </w:rPr>
        <w:t xml:space="preserve"> rastu nádoru prejavujúcim sa dočasným zhoršením symptómov karcinómu prostaty. Tieto symptómy zvyčajne ustúpia pri pokračovaní liečby (pozri </w:t>
      </w:r>
      <w:r w:rsidRPr="00E82454">
        <w:rPr>
          <w:b/>
          <w:sz w:val="22"/>
          <w:szCs w:val="22"/>
        </w:rPr>
        <w:t>časť 4.8</w:t>
      </w:r>
      <w:r w:rsidRPr="00E82454">
        <w:rPr>
          <w:sz w:val="22"/>
          <w:szCs w:val="22"/>
        </w:rPr>
        <w:t xml:space="preserve">). „Vzplanutie” sa môže v niektorých prípadoch prejaviť ako systémové alebo neurologické symptómy (napr. bolesť kostí ...). U </w:t>
      </w:r>
      <w:proofErr w:type="spellStart"/>
      <w:r w:rsidRPr="00E82454">
        <w:rPr>
          <w:sz w:val="22"/>
          <w:szCs w:val="22"/>
        </w:rPr>
        <w:t>agonistov</w:t>
      </w:r>
      <w:proofErr w:type="spellEnd"/>
      <w:r w:rsidRPr="00E82454">
        <w:rPr>
          <w:sz w:val="22"/>
          <w:szCs w:val="22"/>
        </w:rPr>
        <w:t xml:space="preserve"> LHRH boli popísané aj prípady </w:t>
      </w:r>
      <w:proofErr w:type="spellStart"/>
      <w:r w:rsidRPr="00E82454">
        <w:rPr>
          <w:sz w:val="22"/>
          <w:szCs w:val="22"/>
        </w:rPr>
        <w:t>orchiatrofie</w:t>
      </w:r>
      <w:proofErr w:type="spellEnd"/>
      <w:r w:rsidRPr="00E82454">
        <w:rPr>
          <w:sz w:val="22"/>
          <w:szCs w:val="22"/>
        </w:rPr>
        <w:t xml:space="preserve"> a </w:t>
      </w:r>
      <w:proofErr w:type="spellStart"/>
      <w:r w:rsidRPr="00E82454">
        <w:rPr>
          <w:sz w:val="22"/>
          <w:szCs w:val="22"/>
        </w:rPr>
        <w:t>gynekomastie</w:t>
      </w:r>
      <w:proofErr w:type="spellEnd"/>
      <w:r w:rsidRPr="00E82454">
        <w:rPr>
          <w:sz w:val="22"/>
          <w:szCs w:val="22"/>
        </w:rPr>
        <w:t>.</w:t>
      </w:r>
    </w:p>
    <w:p w:rsidR="00AC2BEE" w:rsidRPr="00E82454" w:rsidRDefault="00AC2BEE" w:rsidP="00BE40F7">
      <w:pPr>
        <w:jc w:val="both"/>
        <w:rPr>
          <w:sz w:val="22"/>
          <w:szCs w:val="22"/>
          <w:lang w:val="en-GB"/>
        </w:rPr>
      </w:pPr>
    </w:p>
    <w:p w:rsidR="00AC2BEE" w:rsidRPr="00E82454" w:rsidRDefault="00AC2BEE" w:rsidP="00BE40F7">
      <w:pPr>
        <w:jc w:val="both"/>
        <w:rPr>
          <w:sz w:val="22"/>
          <w:szCs w:val="22"/>
        </w:rPr>
      </w:pPr>
      <w:r w:rsidRPr="00E82454">
        <w:rPr>
          <w:sz w:val="22"/>
          <w:szCs w:val="22"/>
        </w:rPr>
        <w:t xml:space="preserve">Liečba má ukončiť ihneď, ak sa u pacienta vyvinú akékoľvek znaky alebo symptómy poukazujúce na </w:t>
      </w:r>
      <w:proofErr w:type="spellStart"/>
      <w:r w:rsidRPr="00E82454">
        <w:rPr>
          <w:sz w:val="22"/>
          <w:szCs w:val="22"/>
        </w:rPr>
        <w:t>anafylaxiu</w:t>
      </w:r>
      <w:proofErr w:type="spellEnd"/>
      <w:r w:rsidRPr="00E82454">
        <w:rPr>
          <w:sz w:val="22"/>
          <w:szCs w:val="22"/>
        </w:rPr>
        <w:t xml:space="preserve"> alebo </w:t>
      </w:r>
      <w:proofErr w:type="spellStart"/>
      <w:r w:rsidRPr="00E82454">
        <w:rPr>
          <w:sz w:val="22"/>
          <w:szCs w:val="22"/>
        </w:rPr>
        <w:t>anafylaktickú</w:t>
      </w:r>
      <w:proofErr w:type="spellEnd"/>
      <w:r w:rsidRPr="00E82454">
        <w:rPr>
          <w:sz w:val="22"/>
          <w:szCs w:val="22"/>
        </w:rPr>
        <w:t xml:space="preserve"> reakciu (</w:t>
      </w:r>
      <w:proofErr w:type="spellStart"/>
      <w:r w:rsidRPr="00E82454">
        <w:rPr>
          <w:sz w:val="22"/>
          <w:szCs w:val="22"/>
        </w:rPr>
        <w:t>dyspnoe</w:t>
      </w:r>
      <w:proofErr w:type="spellEnd"/>
      <w:r w:rsidRPr="00E82454">
        <w:rPr>
          <w:sz w:val="22"/>
          <w:szCs w:val="22"/>
        </w:rPr>
        <w:t xml:space="preserve">, astma, </w:t>
      </w:r>
      <w:proofErr w:type="spellStart"/>
      <w:r w:rsidRPr="00E82454">
        <w:rPr>
          <w:sz w:val="22"/>
          <w:szCs w:val="22"/>
        </w:rPr>
        <w:t>rinitída</w:t>
      </w:r>
      <w:proofErr w:type="spellEnd"/>
      <w:r w:rsidRPr="00E82454">
        <w:rPr>
          <w:sz w:val="22"/>
          <w:szCs w:val="22"/>
        </w:rPr>
        <w:t xml:space="preserve">, </w:t>
      </w:r>
      <w:proofErr w:type="spellStart"/>
      <w:r w:rsidRPr="00E82454">
        <w:rPr>
          <w:sz w:val="22"/>
          <w:szCs w:val="22"/>
        </w:rPr>
        <w:t>angioneurotický</w:t>
      </w:r>
      <w:proofErr w:type="spellEnd"/>
      <w:r w:rsidRPr="00E82454">
        <w:rPr>
          <w:sz w:val="22"/>
          <w:szCs w:val="22"/>
        </w:rPr>
        <w:t xml:space="preserve"> edém alebo edém hlasiviek, hypotenzia, žihľavka, vyrážka, svrbenie alebo </w:t>
      </w:r>
      <w:proofErr w:type="spellStart"/>
      <w:r w:rsidRPr="00E82454">
        <w:rPr>
          <w:sz w:val="22"/>
          <w:szCs w:val="22"/>
        </w:rPr>
        <w:t>intersticiálna</w:t>
      </w:r>
      <w:proofErr w:type="spellEnd"/>
      <w:r w:rsidRPr="00E82454">
        <w:rPr>
          <w:sz w:val="22"/>
          <w:szCs w:val="22"/>
        </w:rPr>
        <w:t xml:space="preserve"> </w:t>
      </w:r>
      <w:proofErr w:type="spellStart"/>
      <w:r w:rsidRPr="00E82454">
        <w:rPr>
          <w:sz w:val="22"/>
          <w:szCs w:val="22"/>
        </w:rPr>
        <w:t>pneumonitída</w:t>
      </w:r>
      <w:proofErr w:type="spellEnd"/>
      <w:r w:rsidRPr="00E82454">
        <w:rPr>
          <w:sz w:val="22"/>
          <w:szCs w:val="22"/>
        </w:rPr>
        <w:t xml:space="preserve">). Pacientov treba pred začiatkom liečby informovať a upozorniť ich, aby prerušili liečbu a informovali svojho lekára, ak sa vyskytne ktorýkoľvek z vyššie uvedených symptómov. Pacientov s reakciou z precitlivenosti na </w:t>
      </w:r>
      <w:proofErr w:type="spellStart"/>
      <w:r w:rsidRPr="00E82454">
        <w:rPr>
          <w:sz w:val="22"/>
          <w:szCs w:val="22"/>
        </w:rPr>
        <w:t>leuprolid</w:t>
      </w:r>
      <w:proofErr w:type="spellEnd"/>
      <w:r w:rsidRPr="00E82454">
        <w:rPr>
          <w:sz w:val="22"/>
          <w:szCs w:val="22"/>
        </w:rPr>
        <w:t xml:space="preserve"> treba dôkladne monitorovať a </w:t>
      </w:r>
      <w:proofErr w:type="spellStart"/>
      <w:r w:rsidR="0071202A" w:rsidRPr="00E82454">
        <w:rPr>
          <w:sz w:val="22"/>
          <w:szCs w:val="22"/>
        </w:rPr>
        <w:t>Lutrate</w:t>
      </w:r>
      <w:proofErr w:type="spellEnd"/>
      <w:r w:rsidR="0071202A" w:rsidRPr="00E82454">
        <w:rPr>
          <w:sz w:val="22"/>
          <w:szCs w:val="22"/>
        </w:rPr>
        <w:t xml:space="preserve"> </w:t>
      </w:r>
      <w:proofErr w:type="spellStart"/>
      <w:r w:rsidR="0071202A" w:rsidRPr="00E82454">
        <w:rPr>
          <w:sz w:val="22"/>
          <w:szCs w:val="22"/>
        </w:rPr>
        <w:t>Depot</w:t>
      </w:r>
      <w:proofErr w:type="spellEnd"/>
      <w:r w:rsidR="0071202A" w:rsidRPr="00E82454">
        <w:rPr>
          <w:sz w:val="22"/>
          <w:szCs w:val="22"/>
        </w:rPr>
        <w:t xml:space="preserve"> 22,5 mg</w:t>
      </w:r>
      <w:r w:rsidR="0071202A" w:rsidRPr="00E82454" w:rsidDel="0071202A">
        <w:rPr>
          <w:sz w:val="22"/>
          <w:szCs w:val="22"/>
        </w:rPr>
        <w:t xml:space="preserve"> </w:t>
      </w:r>
      <w:r w:rsidRPr="00E82454">
        <w:rPr>
          <w:sz w:val="22"/>
          <w:szCs w:val="22"/>
        </w:rPr>
        <w:t>sa im nemá znova podať.</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U pacientov liečených s </w:t>
      </w:r>
      <w:proofErr w:type="spellStart"/>
      <w:r w:rsidRPr="00E82454">
        <w:rPr>
          <w:sz w:val="22"/>
          <w:szCs w:val="22"/>
        </w:rPr>
        <w:t>leuprorelíniumacetátom</w:t>
      </w:r>
      <w:proofErr w:type="spellEnd"/>
      <w:r w:rsidRPr="00E82454">
        <w:rPr>
          <w:sz w:val="22"/>
          <w:szCs w:val="22"/>
        </w:rPr>
        <w:t xml:space="preserve"> sa v ojedinelých prípadoch zistila obštrukcia močovodu (s </w:t>
      </w:r>
      <w:proofErr w:type="spellStart"/>
      <w:r w:rsidRPr="00E82454">
        <w:rPr>
          <w:sz w:val="22"/>
          <w:szCs w:val="22"/>
        </w:rPr>
        <w:t>hematúriou</w:t>
      </w:r>
      <w:proofErr w:type="spellEnd"/>
      <w:r w:rsidRPr="00E82454">
        <w:rPr>
          <w:sz w:val="22"/>
          <w:szCs w:val="22"/>
        </w:rPr>
        <w:t xml:space="preserve"> alebo bez </w:t>
      </w:r>
      <w:proofErr w:type="spellStart"/>
      <w:r w:rsidRPr="00E82454">
        <w:rPr>
          <w:sz w:val="22"/>
          <w:szCs w:val="22"/>
        </w:rPr>
        <w:t>hematúrie</w:t>
      </w:r>
      <w:proofErr w:type="spellEnd"/>
      <w:r w:rsidRPr="00E82454">
        <w:rPr>
          <w:sz w:val="22"/>
          <w:szCs w:val="22"/>
        </w:rPr>
        <w:t xml:space="preserve">) a tlak na miechu alebo </w:t>
      </w:r>
      <w:proofErr w:type="spellStart"/>
      <w:r w:rsidRPr="00E82454">
        <w:rPr>
          <w:sz w:val="22"/>
          <w:szCs w:val="22"/>
        </w:rPr>
        <w:t>metastázové</w:t>
      </w:r>
      <w:proofErr w:type="spellEnd"/>
      <w:r w:rsidRPr="00E82454">
        <w:rPr>
          <w:sz w:val="22"/>
          <w:szCs w:val="22"/>
        </w:rPr>
        <w:t xml:space="preserve"> lézie chrbtice, ktoré môžu prispievať k paralýze s fatálnymi alebo bez fatálnych komplikácií. Pacientov s rizikom obštrukcie močovodu, stlačenia miechy alebo </w:t>
      </w:r>
      <w:proofErr w:type="spellStart"/>
      <w:r w:rsidRPr="00E82454">
        <w:rPr>
          <w:sz w:val="22"/>
          <w:szCs w:val="22"/>
        </w:rPr>
        <w:t>metastázových</w:t>
      </w:r>
      <w:proofErr w:type="spellEnd"/>
      <w:r w:rsidRPr="00E82454">
        <w:rPr>
          <w:sz w:val="22"/>
          <w:szCs w:val="22"/>
        </w:rPr>
        <w:t xml:space="preserve"> lézií chrbtice treba starostlivo posúdiť a dôkladne sledovať v prvých týždňoch liečby. U týchto pacientov treba zvážiť zaradenie profylaktickej liečby s </w:t>
      </w:r>
      <w:proofErr w:type="spellStart"/>
      <w:r w:rsidRPr="00E82454">
        <w:rPr>
          <w:sz w:val="22"/>
          <w:szCs w:val="22"/>
        </w:rPr>
        <w:t>antiandrogénmi</w:t>
      </w:r>
      <w:proofErr w:type="spellEnd"/>
      <w:r w:rsidRPr="00E82454">
        <w:rPr>
          <w:sz w:val="22"/>
          <w:szCs w:val="22"/>
        </w:rPr>
        <w:t xml:space="preserve">. </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Prípadné urologické alebo neurologické komplikácie sa majú liečiť vhodnými špecifickými opatreniami.</w:t>
      </w:r>
    </w:p>
    <w:p w:rsidR="00AC2BEE" w:rsidRPr="00E82454" w:rsidRDefault="00AC2BEE" w:rsidP="00BE40F7">
      <w:pPr>
        <w:jc w:val="both"/>
        <w:rPr>
          <w:sz w:val="22"/>
          <w:szCs w:val="22"/>
        </w:rPr>
      </w:pPr>
    </w:p>
    <w:p w:rsidR="00AC2BEE" w:rsidRPr="00E82454" w:rsidRDefault="00AC2BEE" w:rsidP="00BE40F7">
      <w:pPr>
        <w:jc w:val="both"/>
        <w:rPr>
          <w:sz w:val="22"/>
          <w:szCs w:val="22"/>
          <w:lang w:val="en-GB"/>
        </w:rPr>
      </w:pPr>
      <w:r w:rsidRPr="00E82454">
        <w:rPr>
          <w:sz w:val="22"/>
          <w:szCs w:val="22"/>
        </w:rPr>
        <w:t xml:space="preserve">Existuje zvýšené riziko vzniku depresie (aj závažnej) u pacientov liečených </w:t>
      </w:r>
      <w:proofErr w:type="spellStart"/>
      <w:r w:rsidRPr="00E82454">
        <w:rPr>
          <w:sz w:val="22"/>
          <w:szCs w:val="22"/>
        </w:rPr>
        <w:t>agonistami</w:t>
      </w:r>
      <w:proofErr w:type="spellEnd"/>
      <w:r w:rsidRPr="00E82454">
        <w:rPr>
          <w:sz w:val="22"/>
          <w:szCs w:val="22"/>
        </w:rPr>
        <w:t xml:space="preserve"> </w:t>
      </w:r>
      <w:proofErr w:type="spellStart"/>
      <w:r w:rsidRPr="00E82454">
        <w:rPr>
          <w:sz w:val="22"/>
          <w:szCs w:val="22"/>
        </w:rPr>
        <w:t>GnRH</w:t>
      </w:r>
      <w:proofErr w:type="spellEnd"/>
      <w:r w:rsidRPr="00E82454">
        <w:rPr>
          <w:sz w:val="22"/>
          <w:szCs w:val="22"/>
        </w:rPr>
        <w:t xml:space="preserve"> ako napríklad </w:t>
      </w:r>
      <w:proofErr w:type="spellStart"/>
      <w:r w:rsidRPr="00E82454">
        <w:rPr>
          <w:sz w:val="22"/>
          <w:szCs w:val="22"/>
        </w:rPr>
        <w:t>leupro</w:t>
      </w:r>
      <w:r w:rsidR="006F7B8E">
        <w:rPr>
          <w:sz w:val="22"/>
          <w:szCs w:val="22"/>
        </w:rPr>
        <w:t>re</w:t>
      </w:r>
      <w:r w:rsidRPr="00E82454">
        <w:rPr>
          <w:sz w:val="22"/>
          <w:szCs w:val="22"/>
        </w:rPr>
        <w:t>lí</w:t>
      </w:r>
      <w:r w:rsidR="001B7B6A">
        <w:rPr>
          <w:sz w:val="22"/>
          <w:szCs w:val="22"/>
        </w:rPr>
        <w:t>n</w:t>
      </w:r>
      <w:r w:rsidRPr="00E82454">
        <w:rPr>
          <w:sz w:val="22"/>
          <w:szCs w:val="22"/>
        </w:rPr>
        <w:t>ium</w:t>
      </w:r>
      <w:r w:rsidR="006F7B8E">
        <w:rPr>
          <w:sz w:val="22"/>
          <w:szCs w:val="22"/>
        </w:rPr>
        <w:t>a</w:t>
      </w:r>
      <w:r w:rsidRPr="00E82454">
        <w:rPr>
          <w:sz w:val="22"/>
          <w:szCs w:val="22"/>
        </w:rPr>
        <w:t>cetátom</w:t>
      </w:r>
      <w:proofErr w:type="spellEnd"/>
      <w:r w:rsidRPr="00E82454">
        <w:rPr>
          <w:sz w:val="22"/>
          <w:szCs w:val="22"/>
        </w:rPr>
        <w:t>. Preto treba pacientov informovať a pri výskyte symptómov vhodne liečiť.</w:t>
      </w:r>
    </w:p>
    <w:p w:rsidR="00AC2BEE" w:rsidRPr="00E82454" w:rsidRDefault="00AC2BEE" w:rsidP="00BE40F7">
      <w:pPr>
        <w:jc w:val="both"/>
        <w:rPr>
          <w:sz w:val="22"/>
          <w:szCs w:val="22"/>
          <w:lang w:val="en-GB"/>
        </w:rPr>
      </w:pPr>
    </w:p>
    <w:p w:rsidR="00AC2BEE" w:rsidRPr="00E82454" w:rsidRDefault="00AC2BEE" w:rsidP="00BE40F7">
      <w:pPr>
        <w:jc w:val="both"/>
        <w:rPr>
          <w:sz w:val="22"/>
          <w:szCs w:val="22"/>
        </w:rPr>
      </w:pPr>
      <w:r w:rsidRPr="00E82454">
        <w:rPr>
          <w:sz w:val="22"/>
          <w:szCs w:val="22"/>
        </w:rPr>
        <w:t xml:space="preserve">Lekárska literatúra uvádza, že sa zistilo zníženie hustoty kostí u mužov, ktorí sa podrobili </w:t>
      </w:r>
      <w:proofErr w:type="spellStart"/>
      <w:r w:rsidRPr="00E82454">
        <w:rPr>
          <w:sz w:val="22"/>
          <w:szCs w:val="22"/>
        </w:rPr>
        <w:t>orchiektómii</w:t>
      </w:r>
      <w:proofErr w:type="spellEnd"/>
      <w:r w:rsidRPr="00E82454">
        <w:rPr>
          <w:sz w:val="22"/>
          <w:szCs w:val="22"/>
        </w:rPr>
        <w:t xml:space="preserve"> alebo ktorí boli liečení </w:t>
      </w:r>
      <w:proofErr w:type="spellStart"/>
      <w:r w:rsidRPr="00E82454">
        <w:rPr>
          <w:sz w:val="22"/>
          <w:szCs w:val="22"/>
        </w:rPr>
        <w:t>agonistami</w:t>
      </w:r>
      <w:proofErr w:type="spellEnd"/>
      <w:r w:rsidRPr="00E82454">
        <w:rPr>
          <w:sz w:val="22"/>
          <w:szCs w:val="22"/>
        </w:rPr>
        <w:t xml:space="preserve"> LHRH. Pridanie </w:t>
      </w:r>
      <w:proofErr w:type="spellStart"/>
      <w:r w:rsidRPr="00E82454">
        <w:rPr>
          <w:sz w:val="22"/>
          <w:szCs w:val="22"/>
        </w:rPr>
        <w:t>antiandrogénnej</w:t>
      </w:r>
      <w:proofErr w:type="spellEnd"/>
      <w:r w:rsidRPr="00E82454">
        <w:rPr>
          <w:sz w:val="22"/>
          <w:szCs w:val="22"/>
        </w:rPr>
        <w:t xml:space="preserve"> terapie k liečbe znižuje úbytok kost</w:t>
      </w:r>
      <w:r w:rsidR="00BE40F7">
        <w:rPr>
          <w:sz w:val="22"/>
          <w:szCs w:val="22"/>
        </w:rPr>
        <w:t>nej hmoty</w:t>
      </w:r>
      <w:r w:rsidRPr="00E82454">
        <w:rPr>
          <w:sz w:val="22"/>
          <w:szCs w:val="22"/>
        </w:rPr>
        <w:t xml:space="preserve">, ale zvyšuje riziko nežiaducich účinkov ako problémy zrážanlivosti a edémy. Ak sa </w:t>
      </w:r>
      <w:proofErr w:type="spellStart"/>
      <w:r w:rsidRPr="00E82454">
        <w:rPr>
          <w:sz w:val="22"/>
          <w:szCs w:val="22"/>
        </w:rPr>
        <w:t>antiandrogénna</w:t>
      </w:r>
      <w:proofErr w:type="spellEnd"/>
      <w:r w:rsidRPr="00E82454">
        <w:rPr>
          <w:sz w:val="22"/>
          <w:szCs w:val="22"/>
        </w:rPr>
        <w:t xml:space="preserve"> liečba používa dlhšiu dobu, náležitú pozornosť treba venovať kontraindikáciám a opatreniam v súvislosti s dlhodobým používaním. Pacientov s rizikom </w:t>
      </w:r>
      <w:proofErr w:type="spellStart"/>
      <w:r w:rsidR="00BE40F7" w:rsidRPr="00E82454">
        <w:rPr>
          <w:sz w:val="22"/>
          <w:szCs w:val="22"/>
        </w:rPr>
        <w:t>osteopor</w:t>
      </w:r>
      <w:r w:rsidR="00BE40F7">
        <w:rPr>
          <w:sz w:val="22"/>
          <w:szCs w:val="22"/>
        </w:rPr>
        <w:t>ó</w:t>
      </w:r>
      <w:r w:rsidR="00BE40F7" w:rsidRPr="00E82454">
        <w:rPr>
          <w:sz w:val="22"/>
          <w:szCs w:val="22"/>
        </w:rPr>
        <w:t>zy</w:t>
      </w:r>
      <w:proofErr w:type="spellEnd"/>
      <w:r w:rsidR="00BE40F7" w:rsidRPr="00E82454">
        <w:rPr>
          <w:sz w:val="22"/>
          <w:szCs w:val="22"/>
        </w:rPr>
        <w:t xml:space="preserve"> </w:t>
      </w:r>
      <w:r w:rsidRPr="00E82454">
        <w:rPr>
          <w:sz w:val="22"/>
          <w:szCs w:val="22"/>
        </w:rPr>
        <w:t xml:space="preserve">alebo s </w:t>
      </w:r>
      <w:proofErr w:type="spellStart"/>
      <w:r w:rsidRPr="00E82454">
        <w:rPr>
          <w:sz w:val="22"/>
          <w:szCs w:val="22"/>
        </w:rPr>
        <w:t>osteoporézou</w:t>
      </w:r>
      <w:proofErr w:type="spellEnd"/>
      <w:r w:rsidRPr="00E82454">
        <w:rPr>
          <w:sz w:val="22"/>
          <w:szCs w:val="22"/>
        </w:rPr>
        <w:t xml:space="preserve"> v anamnéze treba počas liečby s </w:t>
      </w:r>
      <w:proofErr w:type="spellStart"/>
      <w:r w:rsidRPr="00E82454">
        <w:rPr>
          <w:sz w:val="22"/>
          <w:szCs w:val="22"/>
        </w:rPr>
        <w:t>leuprorelíniumacetátom</w:t>
      </w:r>
      <w:proofErr w:type="spellEnd"/>
      <w:r w:rsidRPr="00E82454">
        <w:rPr>
          <w:sz w:val="22"/>
          <w:szCs w:val="22"/>
        </w:rPr>
        <w:t xml:space="preserve"> starostlivo posudzovať a dôkladne sledovať (pozri </w:t>
      </w:r>
      <w:r w:rsidRPr="00E82454">
        <w:rPr>
          <w:b/>
          <w:sz w:val="22"/>
          <w:szCs w:val="22"/>
        </w:rPr>
        <w:t>časť 4.8</w:t>
      </w:r>
      <w:r w:rsidRPr="00E82454">
        <w:rPr>
          <w:sz w:val="22"/>
          <w:szCs w:val="22"/>
        </w:rPr>
        <w:t>).</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Pri používaní </w:t>
      </w:r>
      <w:proofErr w:type="spellStart"/>
      <w:r w:rsidRPr="00E82454">
        <w:rPr>
          <w:sz w:val="22"/>
          <w:szCs w:val="22"/>
        </w:rPr>
        <w:t>leuprorelíniumnacetátu</w:t>
      </w:r>
      <w:proofErr w:type="spellEnd"/>
      <w:r w:rsidRPr="00E82454">
        <w:rPr>
          <w:sz w:val="22"/>
          <w:szCs w:val="22"/>
        </w:rPr>
        <w:t xml:space="preserve"> sa zistil výskyt dysfunkcie pečene a žltačky so zvýšenými hladinami pečeňových enzýmov. Preto sa pacienti majú starostlivo pozorovať a v prípade potreby sa majú vykonať vhodné opatrenia.</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Odozva na liečbu s</w:t>
      </w:r>
      <w:r w:rsidR="0000549B">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sa má monitorovať pomocou klinických parametrov a pravidelným meraním hladiny </w:t>
      </w:r>
      <w:proofErr w:type="spellStart"/>
      <w:r w:rsidRPr="00E82454">
        <w:rPr>
          <w:sz w:val="22"/>
          <w:szCs w:val="22"/>
        </w:rPr>
        <w:t>testosterónu</w:t>
      </w:r>
      <w:proofErr w:type="spellEnd"/>
      <w:r w:rsidRPr="00E82454">
        <w:rPr>
          <w:sz w:val="22"/>
          <w:szCs w:val="22"/>
        </w:rPr>
        <w:t xml:space="preserve"> a hladiny PSA v krvnom sére.</w:t>
      </w:r>
    </w:p>
    <w:p w:rsidR="00FD6145" w:rsidRPr="00E82454" w:rsidRDefault="00FD6145" w:rsidP="00BE40F7">
      <w:pPr>
        <w:jc w:val="both"/>
        <w:rPr>
          <w:sz w:val="22"/>
          <w:szCs w:val="22"/>
        </w:rPr>
      </w:pPr>
    </w:p>
    <w:p w:rsidR="00AC2BEE" w:rsidRPr="00E82454" w:rsidRDefault="00AC2BEE" w:rsidP="00BE40F7">
      <w:pPr>
        <w:jc w:val="both"/>
        <w:rPr>
          <w:sz w:val="22"/>
          <w:szCs w:val="22"/>
        </w:rPr>
      </w:pPr>
      <w:r w:rsidRPr="00E82454">
        <w:rPr>
          <w:sz w:val="22"/>
          <w:szCs w:val="22"/>
        </w:rPr>
        <w:t>U pacientov sa môžu vyskytnúť metabolické zmeny (napr. intolerancia glukózy alebo zhoršenie existujúceho diabetu), hypertenzia, zmeny telesnej hmotnosti a kardiovaskulárne poruchy. Keďže pri tomto druhu lieku možno očakávať výskyt vzniku alebo zhoršenia diabetu, u pacientov s diabetom asi bude potrebné pri liečbe s</w:t>
      </w:r>
      <w:r w:rsidR="006F7A5D">
        <w:rPr>
          <w:sz w:val="22"/>
          <w:szCs w:val="22"/>
        </w:rPr>
        <w:t xml:space="preserve"> liekom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častejšie monitorovať hladinu glukózy v krvi. Pacientov s vysokým rizikom metabolických alebo kardiovaskulárnych ochorení treba pred začiatkom liečby starostlivo zhodnotiť a počas </w:t>
      </w:r>
      <w:proofErr w:type="spellStart"/>
      <w:r w:rsidRPr="00E82454">
        <w:rPr>
          <w:sz w:val="22"/>
          <w:szCs w:val="22"/>
        </w:rPr>
        <w:t>androgénovej</w:t>
      </w:r>
      <w:proofErr w:type="spellEnd"/>
      <w:r w:rsidRPr="00E82454">
        <w:rPr>
          <w:sz w:val="22"/>
          <w:szCs w:val="22"/>
        </w:rPr>
        <w:t xml:space="preserve"> </w:t>
      </w:r>
      <w:proofErr w:type="spellStart"/>
      <w:r w:rsidRPr="00E82454">
        <w:rPr>
          <w:sz w:val="22"/>
          <w:szCs w:val="22"/>
        </w:rPr>
        <w:t>deprivačnej</w:t>
      </w:r>
      <w:proofErr w:type="spellEnd"/>
      <w:r w:rsidRPr="00E82454">
        <w:rPr>
          <w:sz w:val="22"/>
          <w:szCs w:val="22"/>
        </w:rPr>
        <w:t xml:space="preserve"> liečby primerane monitorovať. Liečba s </w:t>
      </w:r>
      <w:proofErr w:type="spellStart"/>
      <w:r w:rsidRPr="00E82454">
        <w:rPr>
          <w:sz w:val="22"/>
          <w:szCs w:val="22"/>
        </w:rPr>
        <w:t>leuprorelíniumacetátom</w:t>
      </w:r>
      <w:proofErr w:type="spellEnd"/>
      <w:r w:rsidRPr="00E82454">
        <w:rPr>
          <w:sz w:val="22"/>
          <w:szCs w:val="22"/>
        </w:rPr>
        <w:t xml:space="preserve"> vedie k potlačeniu </w:t>
      </w:r>
      <w:proofErr w:type="spellStart"/>
      <w:r w:rsidRPr="00E82454">
        <w:rPr>
          <w:sz w:val="22"/>
          <w:szCs w:val="22"/>
        </w:rPr>
        <w:t>hypofýzo-gonádového</w:t>
      </w:r>
      <w:proofErr w:type="spellEnd"/>
      <w:r w:rsidRPr="00E82454">
        <w:rPr>
          <w:sz w:val="22"/>
          <w:szCs w:val="22"/>
        </w:rPr>
        <w:t xml:space="preserve"> systému. Môžu byť ovplyvnené výsledky diagnostických testov </w:t>
      </w:r>
      <w:proofErr w:type="spellStart"/>
      <w:r w:rsidRPr="00E82454">
        <w:rPr>
          <w:sz w:val="22"/>
          <w:szCs w:val="22"/>
        </w:rPr>
        <w:t>hypofýzo-gonadotropných</w:t>
      </w:r>
      <w:proofErr w:type="spellEnd"/>
      <w:r w:rsidRPr="00E82454">
        <w:rPr>
          <w:sz w:val="22"/>
          <w:szCs w:val="22"/>
        </w:rPr>
        <w:t xml:space="preserve"> a </w:t>
      </w:r>
      <w:proofErr w:type="spellStart"/>
      <w:r w:rsidRPr="00E82454">
        <w:rPr>
          <w:sz w:val="22"/>
          <w:szCs w:val="22"/>
        </w:rPr>
        <w:t>gonádových</w:t>
      </w:r>
      <w:proofErr w:type="spellEnd"/>
      <w:r w:rsidRPr="00E82454">
        <w:rPr>
          <w:sz w:val="22"/>
          <w:szCs w:val="22"/>
        </w:rPr>
        <w:t xml:space="preserve"> funkcií vykonávaných počas liečby a po liečbe s </w:t>
      </w:r>
      <w:proofErr w:type="spellStart"/>
      <w:r w:rsidRPr="00E82454">
        <w:rPr>
          <w:sz w:val="22"/>
          <w:szCs w:val="22"/>
        </w:rPr>
        <w:t>leuprorelíniumacetátom</w:t>
      </w:r>
      <w:proofErr w:type="spellEnd"/>
      <w:r w:rsidRPr="00E82454">
        <w:rPr>
          <w:sz w:val="22"/>
          <w:szCs w:val="22"/>
        </w:rPr>
        <w:t>.</w:t>
      </w:r>
    </w:p>
    <w:p w:rsidR="004263EA" w:rsidRPr="00E82454" w:rsidRDefault="004263EA" w:rsidP="00BE40F7">
      <w:pPr>
        <w:jc w:val="both"/>
        <w:rPr>
          <w:sz w:val="22"/>
          <w:szCs w:val="22"/>
        </w:rPr>
      </w:pPr>
    </w:p>
    <w:p w:rsidR="00AC2BEE" w:rsidRPr="00E82454" w:rsidRDefault="00AC2BEE" w:rsidP="00BE40F7">
      <w:pPr>
        <w:jc w:val="both"/>
        <w:rPr>
          <w:sz w:val="22"/>
          <w:szCs w:val="22"/>
        </w:rPr>
      </w:pPr>
      <w:r w:rsidRPr="00E82454">
        <w:rPr>
          <w:sz w:val="22"/>
          <w:szCs w:val="22"/>
        </w:rPr>
        <w:lastRenderedPageBreak/>
        <w:t xml:space="preserve">U pacientov liečených </w:t>
      </w:r>
      <w:proofErr w:type="spellStart"/>
      <w:r w:rsidRPr="00E82454">
        <w:rPr>
          <w:sz w:val="22"/>
          <w:szCs w:val="22"/>
        </w:rPr>
        <w:t>leuprorelíniumacetátom</w:t>
      </w:r>
      <w:proofErr w:type="spellEnd"/>
      <w:r w:rsidRPr="00E82454">
        <w:rPr>
          <w:sz w:val="22"/>
          <w:szCs w:val="22"/>
        </w:rPr>
        <w:t xml:space="preserve"> sa zistilo zvýšenie </w:t>
      </w:r>
      <w:proofErr w:type="spellStart"/>
      <w:r w:rsidRPr="00E82454">
        <w:rPr>
          <w:sz w:val="22"/>
          <w:szCs w:val="22"/>
        </w:rPr>
        <w:t>protrombínového</w:t>
      </w:r>
      <w:proofErr w:type="spellEnd"/>
      <w:r w:rsidRPr="00E82454">
        <w:rPr>
          <w:sz w:val="22"/>
          <w:szCs w:val="22"/>
        </w:rPr>
        <w:t xml:space="preserve"> času. </w:t>
      </w:r>
      <w:proofErr w:type="spellStart"/>
      <w:r w:rsidRPr="00E82454">
        <w:rPr>
          <w:sz w:val="22"/>
          <w:szCs w:val="22"/>
        </w:rPr>
        <w:t>Leuprorelíniumacetát</w:t>
      </w:r>
      <w:proofErr w:type="spellEnd"/>
      <w:r w:rsidRPr="00E82454">
        <w:rPr>
          <w:sz w:val="22"/>
          <w:szCs w:val="22"/>
        </w:rPr>
        <w:t xml:space="preserve"> sa má používať s opatrnosťou u pacientov s poruchami krvácavosti, </w:t>
      </w:r>
      <w:proofErr w:type="spellStart"/>
      <w:r w:rsidRPr="00E82454">
        <w:rPr>
          <w:sz w:val="22"/>
          <w:szCs w:val="22"/>
        </w:rPr>
        <w:t>trombocytopéniou</w:t>
      </w:r>
      <w:proofErr w:type="spellEnd"/>
      <w:r w:rsidRPr="00E82454">
        <w:rPr>
          <w:sz w:val="22"/>
          <w:szCs w:val="22"/>
        </w:rPr>
        <w:t xml:space="preserve"> alebo pri liečbe s </w:t>
      </w:r>
      <w:proofErr w:type="spellStart"/>
      <w:r w:rsidRPr="00E82454">
        <w:rPr>
          <w:sz w:val="22"/>
          <w:szCs w:val="22"/>
        </w:rPr>
        <w:t>antigoagulantmi</w:t>
      </w:r>
      <w:proofErr w:type="spellEnd"/>
      <w:r w:rsidRPr="00E82454">
        <w:rPr>
          <w:sz w:val="22"/>
          <w:szCs w:val="22"/>
        </w:rPr>
        <w:t>.</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Pri podávaní </w:t>
      </w:r>
      <w:proofErr w:type="spellStart"/>
      <w:r w:rsidRPr="00E82454">
        <w:rPr>
          <w:sz w:val="22"/>
          <w:szCs w:val="22"/>
        </w:rPr>
        <w:t>leuprorelíniumacetátu</w:t>
      </w:r>
      <w:proofErr w:type="spellEnd"/>
      <w:r w:rsidRPr="00E82454">
        <w:rPr>
          <w:sz w:val="22"/>
          <w:szCs w:val="22"/>
        </w:rPr>
        <w:t xml:space="preserve"> sa vyskytli kŕče. Tieto prípady sa pozorovali u pacientov, ktorí mali v anamnéze výskyt záchvatu kŕčov, epilepsie, </w:t>
      </w:r>
      <w:proofErr w:type="spellStart"/>
      <w:r w:rsidRPr="00E82454">
        <w:rPr>
          <w:sz w:val="22"/>
          <w:szCs w:val="22"/>
        </w:rPr>
        <w:t>cerebrovskulárnych</w:t>
      </w:r>
      <w:proofErr w:type="spellEnd"/>
      <w:r w:rsidRPr="00E82454">
        <w:rPr>
          <w:sz w:val="22"/>
          <w:szCs w:val="22"/>
        </w:rPr>
        <w:t xml:space="preserve"> porúch, anomálií alebo nádorov centrálneho nervového systému a u pacientov so súbežným podávaním liekov spájaných so záchvatmi kŕčov ako napríklad </w:t>
      </w:r>
      <w:proofErr w:type="spellStart"/>
      <w:r w:rsidR="006F7A5D" w:rsidRPr="00E82454">
        <w:rPr>
          <w:sz w:val="22"/>
          <w:szCs w:val="22"/>
        </w:rPr>
        <w:t>bupropi</w:t>
      </w:r>
      <w:r w:rsidR="006F7A5D">
        <w:rPr>
          <w:sz w:val="22"/>
          <w:szCs w:val="22"/>
        </w:rPr>
        <w:t>ó</w:t>
      </w:r>
      <w:r w:rsidR="006F7A5D" w:rsidRPr="00E82454">
        <w:rPr>
          <w:sz w:val="22"/>
          <w:szCs w:val="22"/>
        </w:rPr>
        <w:t>n</w:t>
      </w:r>
      <w:proofErr w:type="spellEnd"/>
      <w:r w:rsidR="006F7A5D" w:rsidRPr="00E82454">
        <w:rPr>
          <w:sz w:val="22"/>
          <w:szCs w:val="22"/>
        </w:rPr>
        <w:t xml:space="preserve"> </w:t>
      </w:r>
      <w:r w:rsidRPr="00E82454">
        <w:rPr>
          <w:sz w:val="22"/>
          <w:szCs w:val="22"/>
        </w:rPr>
        <w:t xml:space="preserve">a selektívne inhibítory spätného vychytávania </w:t>
      </w:r>
      <w:proofErr w:type="spellStart"/>
      <w:r w:rsidR="006F7A5D" w:rsidRPr="00E82454">
        <w:rPr>
          <w:sz w:val="22"/>
          <w:szCs w:val="22"/>
        </w:rPr>
        <w:t>s</w:t>
      </w:r>
      <w:r w:rsidR="006F7A5D">
        <w:rPr>
          <w:sz w:val="22"/>
          <w:szCs w:val="22"/>
        </w:rPr>
        <w:t>é</w:t>
      </w:r>
      <w:r w:rsidR="006F7A5D" w:rsidRPr="00E82454">
        <w:rPr>
          <w:sz w:val="22"/>
          <w:szCs w:val="22"/>
        </w:rPr>
        <w:t>rotonínu</w:t>
      </w:r>
      <w:proofErr w:type="spellEnd"/>
      <w:r w:rsidR="006F7A5D" w:rsidRPr="00E82454">
        <w:rPr>
          <w:sz w:val="22"/>
          <w:szCs w:val="22"/>
        </w:rPr>
        <w:t xml:space="preserve"> </w:t>
      </w:r>
      <w:r w:rsidRPr="00E82454">
        <w:rPr>
          <w:sz w:val="22"/>
          <w:szCs w:val="22"/>
        </w:rPr>
        <w:t>(SSRI). Záchvaty kŕčov sa vyskytli aj u pacientov bez vyššie uvedených ochorení.</w:t>
      </w:r>
    </w:p>
    <w:p w:rsidR="00AC2BEE" w:rsidRPr="00E82454" w:rsidRDefault="00AC2BEE" w:rsidP="00BE40F7">
      <w:pPr>
        <w:jc w:val="both"/>
        <w:rPr>
          <w:sz w:val="22"/>
          <w:szCs w:val="22"/>
        </w:rPr>
      </w:pPr>
    </w:p>
    <w:p w:rsidR="00594106" w:rsidRPr="00E82454" w:rsidRDefault="00AC2BEE" w:rsidP="00BE40F7">
      <w:pPr>
        <w:jc w:val="both"/>
        <w:rPr>
          <w:sz w:val="22"/>
          <w:szCs w:val="22"/>
        </w:rPr>
      </w:pPr>
      <w:proofErr w:type="spellStart"/>
      <w:r w:rsidRPr="00E82454">
        <w:rPr>
          <w:sz w:val="22"/>
          <w:szCs w:val="22"/>
        </w:rPr>
        <w:t>Leuprorelíniumacetát</w:t>
      </w:r>
      <w:proofErr w:type="spellEnd"/>
      <w:r w:rsidRPr="00E82454">
        <w:rPr>
          <w:sz w:val="22"/>
          <w:szCs w:val="22"/>
        </w:rPr>
        <w:t xml:space="preserve"> sa má používať s opatrnosťou v prípade kardiovaskulárneho ochorenia (vrátane </w:t>
      </w:r>
      <w:proofErr w:type="spellStart"/>
      <w:r w:rsidRPr="00E82454">
        <w:rPr>
          <w:sz w:val="22"/>
          <w:szCs w:val="22"/>
        </w:rPr>
        <w:t>kongestívneho</w:t>
      </w:r>
      <w:proofErr w:type="spellEnd"/>
      <w:r w:rsidRPr="00E82454">
        <w:rPr>
          <w:sz w:val="22"/>
          <w:szCs w:val="22"/>
        </w:rPr>
        <w:t xml:space="preserve"> zlyhávania srdca), </w:t>
      </w:r>
      <w:proofErr w:type="spellStart"/>
      <w:r w:rsidRPr="00E82454">
        <w:rPr>
          <w:sz w:val="22"/>
          <w:szCs w:val="22"/>
        </w:rPr>
        <w:t>tromboembolizmu</w:t>
      </w:r>
      <w:proofErr w:type="spellEnd"/>
      <w:r w:rsidRPr="00E82454">
        <w:rPr>
          <w:sz w:val="22"/>
          <w:szCs w:val="22"/>
        </w:rPr>
        <w:t>, edému, depresie a apoplexie hypofýzy.</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Tento liek obsahuje menej ako 1 </w:t>
      </w:r>
      <w:proofErr w:type="spellStart"/>
      <w:r w:rsidRPr="00E82454">
        <w:rPr>
          <w:sz w:val="22"/>
          <w:szCs w:val="22"/>
        </w:rPr>
        <w:t>mmol</w:t>
      </w:r>
      <w:proofErr w:type="spellEnd"/>
      <w:r w:rsidRPr="00E82454">
        <w:rPr>
          <w:sz w:val="22"/>
          <w:szCs w:val="22"/>
        </w:rPr>
        <w:t xml:space="preserve"> sodíka (23 mg) v liekovke. V podstate „neobsahuje“ sodík.</w:t>
      </w:r>
    </w:p>
    <w:p w:rsidR="00157189" w:rsidRPr="00E82454" w:rsidRDefault="00157189" w:rsidP="00BE40F7">
      <w:pPr>
        <w:jc w:val="both"/>
        <w:rPr>
          <w:sz w:val="22"/>
          <w:szCs w:val="22"/>
        </w:rPr>
      </w:pPr>
    </w:p>
    <w:p w:rsidR="00157189" w:rsidRPr="00E82454" w:rsidRDefault="00157189" w:rsidP="00BE40F7">
      <w:pPr>
        <w:autoSpaceDE w:val="0"/>
        <w:autoSpaceDN w:val="0"/>
        <w:adjustRightInd w:val="0"/>
        <w:spacing w:after="140"/>
        <w:rPr>
          <w:color w:val="000000"/>
          <w:sz w:val="22"/>
          <w:szCs w:val="22"/>
          <w:u w:val="single"/>
        </w:rPr>
      </w:pPr>
      <w:proofErr w:type="spellStart"/>
      <w:r w:rsidRPr="00E82454">
        <w:rPr>
          <w:color w:val="000000"/>
          <w:sz w:val="22"/>
          <w:szCs w:val="22"/>
          <w:u w:val="single"/>
        </w:rPr>
        <w:t>Androgénová</w:t>
      </w:r>
      <w:proofErr w:type="spellEnd"/>
      <w:r w:rsidRPr="00E82454">
        <w:rPr>
          <w:color w:val="000000"/>
          <w:sz w:val="22"/>
          <w:szCs w:val="22"/>
          <w:u w:val="single"/>
        </w:rPr>
        <w:t xml:space="preserve"> </w:t>
      </w:r>
      <w:proofErr w:type="spellStart"/>
      <w:r w:rsidRPr="00E82454">
        <w:rPr>
          <w:color w:val="000000"/>
          <w:sz w:val="22"/>
          <w:szCs w:val="22"/>
          <w:u w:val="single"/>
        </w:rPr>
        <w:t>deprivačná</w:t>
      </w:r>
      <w:proofErr w:type="spellEnd"/>
      <w:r w:rsidRPr="00E82454">
        <w:rPr>
          <w:color w:val="000000"/>
          <w:sz w:val="22"/>
          <w:szCs w:val="22"/>
          <w:u w:val="single"/>
        </w:rPr>
        <w:t xml:space="preserve"> terapia môže predlžovať QT interval. </w:t>
      </w:r>
    </w:p>
    <w:p w:rsidR="00157189" w:rsidRPr="00E82454" w:rsidRDefault="00157189" w:rsidP="00BE40F7">
      <w:pPr>
        <w:jc w:val="both"/>
        <w:rPr>
          <w:sz w:val="22"/>
          <w:szCs w:val="22"/>
        </w:rPr>
      </w:pPr>
      <w:r w:rsidRPr="00E82454">
        <w:rPr>
          <w:color w:val="000000"/>
          <w:sz w:val="22"/>
          <w:szCs w:val="22"/>
        </w:rPr>
        <w:t xml:space="preserve">U pacientov s rizikovými faktormi predĺženia QT alebo predĺžením QT v anamnéze a u pacientov užívajúcich súbežne lieky, ktoré môžu predlžovať QT interval (pozri časť 4.5) lekár má </w:t>
      </w:r>
      <w:r w:rsidR="0000549B" w:rsidRPr="00E82454">
        <w:rPr>
          <w:color w:val="000000"/>
          <w:sz w:val="22"/>
          <w:szCs w:val="22"/>
        </w:rPr>
        <w:t>posú</w:t>
      </w:r>
      <w:r w:rsidR="0000549B">
        <w:rPr>
          <w:color w:val="000000"/>
          <w:sz w:val="22"/>
          <w:szCs w:val="22"/>
        </w:rPr>
        <w:t>d</w:t>
      </w:r>
      <w:r w:rsidR="0000549B" w:rsidRPr="00E82454">
        <w:rPr>
          <w:color w:val="000000"/>
          <w:sz w:val="22"/>
          <w:szCs w:val="22"/>
        </w:rPr>
        <w:t xml:space="preserve">iť </w:t>
      </w:r>
      <w:r w:rsidRPr="00E82454">
        <w:rPr>
          <w:color w:val="000000"/>
          <w:sz w:val="22"/>
          <w:szCs w:val="22"/>
        </w:rPr>
        <w:t xml:space="preserve">pomer prínosu a rizík vrátane potenciálu pre </w:t>
      </w:r>
      <w:proofErr w:type="spellStart"/>
      <w:r w:rsidRPr="00E82454">
        <w:rPr>
          <w:color w:val="000000"/>
          <w:sz w:val="22"/>
          <w:szCs w:val="22"/>
        </w:rPr>
        <w:t>Torsade</w:t>
      </w:r>
      <w:proofErr w:type="spellEnd"/>
      <w:r w:rsidRPr="00E82454">
        <w:rPr>
          <w:color w:val="000000"/>
          <w:sz w:val="22"/>
          <w:szCs w:val="22"/>
        </w:rPr>
        <w:t xml:space="preserve"> </w:t>
      </w:r>
      <w:proofErr w:type="spellStart"/>
      <w:r w:rsidRPr="00E82454">
        <w:rPr>
          <w:color w:val="000000"/>
          <w:sz w:val="22"/>
          <w:szCs w:val="22"/>
        </w:rPr>
        <w:t>de</w:t>
      </w:r>
      <w:proofErr w:type="spellEnd"/>
      <w:r w:rsidRPr="00E82454">
        <w:rPr>
          <w:color w:val="000000"/>
          <w:sz w:val="22"/>
          <w:szCs w:val="22"/>
        </w:rPr>
        <w:t xml:space="preserve"> </w:t>
      </w:r>
      <w:proofErr w:type="spellStart"/>
      <w:r w:rsidRPr="00E82454">
        <w:rPr>
          <w:color w:val="000000"/>
          <w:sz w:val="22"/>
          <w:szCs w:val="22"/>
        </w:rPr>
        <w:t>pointes</w:t>
      </w:r>
      <w:proofErr w:type="spellEnd"/>
      <w:r w:rsidRPr="00E82454">
        <w:rPr>
          <w:color w:val="000000"/>
          <w:sz w:val="22"/>
          <w:szCs w:val="22"/>
        </w:rPr>
        <w:t xml:space="preserve"> pred začatím liečby s</w:t>
      </w:r>
      <w:r w:rsidR="0000549B">
        <w:rPr>
          <w:color w:val="000000"/>
          <w:sz w:val="22"/>
          <w:szCs w:val="22"/>
        </w:rPr>
        <w:t xml:space="preserve"> liekom </w:t>
      </w:r>
      <w:proofErr w:type="spellStart"/>
      <w:r w:rsidR="008431B6" w:rsidRPr="00E82454">
        <w:rPr>
          <w:sz w:val="22"/>
          <w:szCs w:val="22"/>
        </w:rPr>
        <w:t>Lutrate</w:t>
      </w:r>
      <w:proofErr w:type="spellEnd"/>
      <w:r w:rsidR="008431B6" w:rsidRPr="00E82454">
        <w:rPr>
          <w:sz w:val="22"/>
          <w:szCs w:val="22"/>
        </w:rPr>
        <w:t xml:space="preserve"> </w:t>
      </w:r>
      <w:proofErr w:type="spellStart"/>
      <w:r w:rsidR="008431B6" w:rsidRPr="00E82454">
        <w:rPr>
          <w:sz w:val="22"/>
          <w:szCs w:val="22"/>
        </w:rPr>
        <w:t>Depot</w:t>
      </w:r>
      <w:proofErr w:type="spellEnd"/>
      <w:r w:rsidR="008431B6" w:rsidRPr="00E82454">
        <w:rPr>
          <w:sz w:val="22"/>
          <w:szCs w:val="22"/>
        </w:rPr>
        <w:t xml:space="preserve"> 22,5 mg</w:t>
      </w:r>
      <w:r w:rsidRPr="00E82454">
        <w:rPr>
          <w:color w:val="000000"/>
          <w:sz w:val="22"/>
          <w:szCs w:val="22"/>
        </w:rPr>
        <w:t>.</w:t>
      </w:r>
    </w:p>
    <w:p w:rsidR="00AC2BEE" w:rsidRPr="00E82454" w:rsidRDefault="00AC2BEE" w:rsidP="00BE40F7">
      <w:pPr>
        <w:jc w:val="both"/>
        <w:rPr>
          <w:sz w:val="22"/>
          <w:szCs w:val="22"/>
        </w:rPr>
      </w:pPr>
    </w:p>
    <w:p w:rsidR="00AC2BEE" w:rsidRPr="00E82454" w:rsidRDefault="00AC2BEE" w:rsidP="00BE40F7">
      <w:pPr>
        <w:jc w:val="both"/>
        <w:rPr>
          <w:b/>
          <w:sz w:val="22"/>
          <w:szCs w:val="22"/>
        </w:rPr>
      </w:pPr>
      <w:r w:rsidRPr="00E82454">
        <w:rPr>
          <w:b/>
          <w:sz w:val="22"/>
          <w:szCs w:val="22"/>
        </w:rPr>
        <w:t>4.5</w:t>
      </w:r>
      <w:r w:rsidRPr="00E82454">
        <w:rPr>
          <w:b/>
          <w:sz w:val="22"/>
          <w:szCs w:val="22"/>
        </w:rPr>
        <w:tab/>
        <w:t>Liekové a iné interakcie</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Štúdie </w:t>
      </w:r>
      <w:proofErr w:type="spellStart"/>
      <w:r w:rsidRPr="00E82454">
        <w:rPr>
          <w:sz w:val="22"/>
          <w:szCs w:val="22"/>
        </w:rPr>
        <w:t>farmakokinetických</w:t>
      </w:r>
      <w:proofErr w:type="spellEnd"/>
      <w:r w:rsidRPr="00E82454">
        <w:rPr>
          <w:sz w:val="22"/>
          <w:szCs w:val="22"/>
        </w:rPr>
        <w:t xml:space="preserve"> liekových interakcií sa s </w:t>
      </w:r>
      <w:proofErr w:type="spellStart"/>
      <w:r w:rsidRPr="00E82454">
        <w:rPr>
          <w:sz w:val="22"/>
          <w:szCs w:val="22"/>
        </w:rPr>
        <w:t>leuprorelíniumacetátom</w:t>
      </w:r>
      <w:proofErr w:type="spellEnd"/>
      <w:r w:rsidRPr="00E82454">
        <w:rPr>
          <w:sz w:val="22"/>
          <w:szCs w:val="22"/>
        </w:rPr>
        <w:t xml:space="preserve"> neuskutočnili. Pretože </w:t>
      </w:r>
      <w:proofErr w:type="spellStart"/>
      <w:r w:rsidRPr="00E82454">
        <w:rPr>
          <w:sz w:val="22"/>
          <w:szCs w:val="22"/>
        </w:rPr>
        <w:t>leuprorelíniumacetát</w:t>
      </w:r>
      <w:proofErr w:type="spellEnd"/>
      <w:r w:rsidRPr="00E82454">
        <w:rPr>
          <w:sz w:val="22"/>
          <w:szCs w:val="22"/>
        </w:rPr>
        <w:t xml:space="preserve"> je </w:t>
      </w:r>
      <w:proofErr w:type="spellStart"/>
      <w:r w:rsidRPr="00E82454">
        <w:rPr>
          <w:sz w:val="22"/>
          <w:szCs w:val="22"/>
        </w:rPr>
        <w:t>peptid</w:t>
      </w:r>
      <w:proofErr w:type="spellEnd"/>
      <w:r w:rsidRPr="00E82454">
        <w:rPr>
          <w:sz w:val="22"/>
          <w:szCs w:val="22"/>
        </w:rPr>
        <w:t xml:space="preserve">, ktorý sa degraduje hlavne </w:t>
      </w:r>
      <w:proofErr w:type="spellStart"/>
      <w:r w:rsidRPr="00E82454">
        <w:rPr>
          <w:sz w:val="22"/>
          <w:szCs w:val="22"/>
        </w:rPr>
        <w:t>peptidázou</w:t>
      </w:r>
      <w:proofErr w:type="spellEnd"/>
      <w:r w:rsidRPr="00E82454">
        <w:rPr>
          <w:sz w:val="22"/>
          <w:szCs w:val="22"/>
        </w:rPr>
        <w:t xml:space="preserve"> a nie enzýmami </w:t>
      </w:r>
      <w:proofErr w:type="spellStart"/>
      <w:r w:rsidRPr="00E82454">
        <w:rPr>
          <w:sz w:val="22"/>
          <w:szCs w:val="22"/>
        </w:rPr>
        <w:t>cytochrómu</w:t>
      </w:r>
      <w:proofErr w:type="spellEnd"/>
      <w:r w:rsidRPr="00E82454">
        <w:rPr>
          <w:sz w:val="22"/>
          <w:szCs w:val="22"/>
        </w:rPr>
        <w:t xml:space="preserve"> P-450, ako sa uvádza v špecifických štúdiách, a pretože liečivo je viazané na proteíny krvnej plazmy len na 46 %, nepredpokladá sa, že bude dochádzať k </w:t>
      </w:r>
      <w:proofErr w:type="spellStart"/>
      <w:r w:rsidRPr="00E82454">
        <w:rPr>
          <w:sz w:val="22"/>
          <w:szCs w:val="22"/>
        </w:rPr>
        <w:t>farmakokinetickým</w:t>
      </w:r>
      <w:proofErr w:type="spellEnd"/>
      <w:r w:rsidRPr="00E82454">
        <w:rPr>
          <w:sz w:val="22"/>
          <w:szCs w:val="22"/>
        </w:rPr>
        <w:t xml:space="preserve"> liekovým interakciám.</w:t>
      </w:r>
    </w:p>
    <w:p w:rsidR="00974C28" w:rsidRPr="00E82454" w:rsidRDefault="00974C28" w:rsidP="00BE40F7">
      <w:pPr>
        <w:jc w:val="both"/>
        <w:rPr>
          <w:sz w:val="22"/>
          <w:szCs w:val="22"/>
        </w:rPr>
      </w:pPr>
    </w:p>
    <w:p w:rsidR="00AC2BEE" w:rsidRPr="00E82454" w:rsidRDefault="00157189" w:rsidP="00BE40F7">
      <w:pPr>
        <w:jc w:val="both"/>
        <w:rPr>
          <w:sz w:val="22"/>
          <w:szCs w:val="22"/>
        </w:rPr>
      </w:pPr>
      <w:r w:rsidRPr="00E82454">
        <w:rPr>
          <w:sz w:val="22"/>
          <w:szCs w:val="22"/>
        </w:rPr>
        <w:t xml:space="preserve">Pretože </w:t>
      </w:r>
      <w:proofErr w:type="spellStart"/>
      <w:r w:rsidRPr="00E82454">
        <w:rPr>
          <w:sz w:val="22"/>
          <w:szCs w:val="22"/>
        </w:rPr>
        <w:t>androgénová</w:t>
      </w:r>
      <w:proofErr w:type="spellEnd"/>
      <w:r w:rsidRPr="00E82454">
        <w:rPr>
          <w:sz w:val="22"/>
          <w:szCs w:val="22"/>
        </w:rPr>
        <w:t xml:space="preserve"> </w:t>
      </w:r>
      <w:proofErr w:type="spellStart"/>
      <w:r w:rsidRPr="00E82454">
        <w:rPr>
          <w:sz w:val="22"/>
          <w:szCs w:val="22"/>
        </w:rPr>
        <w:t>deprivačná</w:t>
      </w:r>
      <w:proofErr w:type="spellEnd"/>
      <w:r w:rsidRPr="00E82454">
        <w:rPr>
          <w:sz w:val="22"/>
          <w:szCs w:val="22"/>
        </w:rPr>
        <w:t xml:space="preserve"> liečba môže predlžovať QT interval, súbežné používanie </w:t>
      </w:r>
      <w:r w:rsidR="00813119">
        <w:rPr>
          <w:sz w:val="22"/>
          <w:szCs w:val="22"/>
        </w:rPr>
        <w:t xml:space="preserve">lieku </w:t>
      </w:r>
      <w:proofErr w:type="spellStart"/>
      <w:r w:rsidR="008431B6" w:rsidRPr="00E82454">
        <w:rPr>
          <w:sz w:val="22"/>
          <w:szCs w:val="22"/>
        </w:rPr>
        <w:t>Lutrate</w:t>
      </w:r>
      <w:proofErr w:type="spellEnd"/>
      <w:r w:rsidR="008431B6" w:rsidRPr="00E82454">
        <w:rPr>
          <w:sz w:val="22"/>
          <w:szCs w:val="22"/>
        </w:rPr>
        <w:t xml:space="preserve"> </w:t>
      </w:r>
      <w:proofErr w:type="spellStart"/>
      <w:r w:rsidR="008431B6" w:rsidRPr="00E82454">
        <w:rPr>
          <w:sz w:val="22"/>
          <w:szCs w:val="22"/>
        </w:rPr>
        <w:t>Depot</w:t>
      </w:r>
      <w:proofErr w:type="spellEnd"/>
      <w:r w:rsidR="008431B6" w:rsidRPr="00E82454">
        <w:rPr>
          <w:sz w:val="22"/>
          <w:szCs w:val="22"/>
        </w:rPr>
        <w:t xml:space="preserve"> 22,5 mg</w:t>
      </w:r>
      <w:r w:rsidR="008431B6" w:rsidRPr="00E82454" w:rsidDel="008431B6">
        <w:rPr>
          <w:sz w:val="22"/>
          <w:szCs w:val="22"/>
        </w:rPr>
        <w:t xml:space="preserve"> </w:t>
      </w:r>
      <w:r w:rsidRPr="00E82454">
        <w:rPr>
          <w:sz w:val="22"/>
          <w:szCs w:val="22"/>
        </w:rPr>
        <w:t xml:space="preserve">s liekmi, o ktorých je známe, že predlžujú QT interval alebo liekmi schopnými vyvolať </w:t>
      </w:r>
      <w:proofErr w:type="spellStart"/>
      <w:r w:rsidRPr="00E82454">
        <w:rPr>
          <w:sz w:val="22"/>
          <w:szCs w:val="22"/>
        </w:rPr>
        <w:t>Torsade</w:t>
      </w:r>
      <w:proofErr w:type="spellEnd"/>
      <w:r w:rsidRPr="00E82454">
        <w:rPr>
          <w:sz w:val="22"/>
          <w:szCs w:val="22"/>
        </w:rPr>
        <w:t xml:space="preserve"> </w:t>
      </w:r>
      <w:proofErr w:type="spellStart"/>
      <w:r w:rsidRPr="00E82454">
        <w:rPr>
          <w:sz w:val="22"/>
          <w:szCs w:val="22"/>
        </w:rPr>
        <w:t>de</w:t>
      </w:r>
      <w:proofErr w:type="spellEnd"/>
      <w:r w:rsidRPr="00E82454">
        <w:rPr>
          <w:sz w:val="22"/>
          <w:szCs w:val="22"/>
        </w:rPr>
        <w:t xml:space="preserve"> </w:t>
      </w:r>
      <w:proofErr w:type="spellStart"/>
      <w:r w:rsidRPr="00E82454">
        <w:rPr>
          <w:sz w:val="22"/>
          <w:szCs w:val="22"/>
        </w:rPr>
        <w:t>pointes</w:t>
      </w:r>
      <w:proofErr w:type="spellEnd"/>
      <w:r w:rsidRPr="00E82454">
        <w:rPr>
          <w:sz w:val="22"/>
          <w:szCs w:val="22"/>
        </w:rPr>
        <w:t xml:space="preserve"> ako lieky proti </w:t>
      </w:r>
      <w:proofErr w:type="spellStart"/>
      <w:r w:rsidRPr="00E82454">
        <w:rPr>
          <w:sz w:val="22"/>
          <w:szCs w:val="22"/>
        </w:rPr>
        <w:t>arytmii</w:t>
      </w:r>
      <w:proofErr w:type="spellEnd"/>
      <w:r w:rsidRPr="00E82454">
        <w:rPr>
          <w:sz w:val="22"/>
          <w:szCs w:val="22"/>
        </w:rPr>
        <w:t xml:space="preserve"> triedy IA (napr. </w:t>
      </w:r>
      <w:proofErr w:type="spellStart"/>
      <w:r w:rsidRPr="00E82454">
        <w:rPr>
          <w:sz w:val="22"/>
          <w:szCs w:val="22"/>
        </w:rPr>
        <w:t>chinidín</w:t>
      </w:r>
      <w:proofErr w:type="spellEnd"/>
      <w:r w:rsidRPr="00E82454">
        <w:rPr>
          <w:sz w:val="22"/>
          <w:szCs w:val="22"/>
        </w:rPr>
        <w:t xml:space="preserve">, </w:t>
      </w:r>
      <w:proofErr w:type="spellStart"/>
      <w:r w:rsidRPr="00E82454">
        <w:rPr>
          <w:sz w:val="22"/>
          <w:szCs w:val="22"/>
        </w:rPr>
        <w:t>disopyramid</w:t>
      </w:r>
      <w:proofErr w:type="spellEnd"/>
      <w:r w:rsidRPr="00E82454">
        <w:rPr>
          <w:sz w:val="22"/>
          <w:szCs w:val="22"/>
        </w:rPr>
        <w:t xml:space="preserve">) </w:t>
      </w:r>
      <w:r w:rsidR="008431B6" w:rsidRPr="00E82454">
        <w:rPr>
          <w:sz w:val="22"/>
          <w:szCs w:val="22"/>
        </w:rPr>
        <w:t>aleb</w:t>
      </w:r>
      <w:r w:rsidR="008431B6">
        <w:rPr>
          <w:sz w:val="22"/>
          <w:szCs w:val="22"/>
        </w:rPr>
        <w:t>o</w:t>
      </w:r>
      <w:r w:rsidR="008431B6" w:rsidRPr="00E82454">
        <w:rPr>
          <w:sz w:val="22"/>
          <w:szCs w:val="22"/>
        </w:rPr>
        <w:t xml:space="preserve"> </w:t>
      </w:r>
      <w:r w:rsidRPr="00E82454">
        <w:rPr>
          <w:sz w:val="22"/>
          <w:szCs w:val="22"/>
        </w:rPr>
        <w:t xml:space="preserve">triedy III (napr. </w:t>
      </w:r>
      <w:proofErr w:type="spellStart"/>
      <w:r w:rsidR="008431B6" w:rsidRPr="00E82454">
        <w:rPr>
          <w:sz w:val="22"/>
          <w:szCs w:val="22"/>
        </w:rPr>
        <w:t>amiodar</w:t>
      </w:r>
      <w:r w:rsidR="008431B6">
        <w:rPr>
          <w:sz w:val="22"/>
          <w:szCs w:val="22"/>
        </w:rPr>
        <w:t>ó</w:t>
      </w:r>
      <w:r w:rsidR="008431B6" w:rsidRPr="00E82454">
        <w:rPr>
          <w:sz w:val="22"/>
          <w:szCs w:val="22"/>
        </w:rPr>
        <w:t>n</w:t>
      </w:r>
      <w:proofErr w:type="spellEnd"/>
      <w:r w:rsidRPr="00E82454">
        <w:rPr>
          <w:sz w:val="22"/>
          <w:szCs w:val="22"/>
        </w:rPr>
        <w:t xml:space="preserve">, </w:t>
      </w:r>
      <w:proofErr w:type="spellStart"/>
      <w:r w:rsidRPr="00E82454">
        <w:rPr>
          <w:sz w:val="22"/>
          <w:szCs w:val="22"/>
        </w:rPr>
        <w:t>sotalol</w:t>
      </w:r>
      <w:proofErr w:type="spellEnd"/>
      <w:r w:rsidRPr="00E82454">
        <w:rPr>
          <w:sz w:val="22"/>
          <w:szCs w:val="22"/>
        </w:rPr>
        <w:t xml:space="preserve">, </w:t>
      </w:r>
      <w:proofErr w:type="spellStart"/>
      <w:r w:rsidRPr="00E82454">
        <w:rPr>
          <w:sz w:val="22"/>
          <w:szCs w:val="22"/>
        </w:rPr>
        <w:t>dofetilid</w:t>
      </w:r>
      <w:proofErr w:type="spellEnd"/>
      <w:r w:rsidRPr="00E82454">
        <w:rPr>
          <w:sz w:val="22"/>
          <w:szCs w:val="22"/>
        </w:rPr>
        <w:t xml:space="preserve">, </w:t>
      </w:r>
      <w:proofErr w:type="spellStart"/>
      <w:r w:rsidRPr="00E82454">
        <w:rPr>
          <w:sz w:val="22"/>
          <w:szCs w:val="22"/>
        </w:rPr>
        <w:t>ibutilid</w:t>
      </w:r>
      <w:proofErr w:type="spellEnd"/>
      <w:r w:rsidRPr="00E82454">
        <w:rPr>
          <w:sz w:val="22"/>
          <w:szCs w:val="22"/>
        </w:rPr>
        <w:t xml:space="preserve">), </w:t>
      </w:r>
      <w:proofErr w:type="spellStart"/>
      <w:r w:rsidR="008431B6" w:rsidRPr="00E82454">
        <w:rPr>
          <w:sz w:val="22"/>
          <w:szCs w:val="22"/>
        </w:rPr>
        <w:t>metad</w:t>
      </w:r>
      <w:r w:rsidR="008431B6">
        <w:rPr>
          <w:sz w:val="22"/>
          <w:szCs w:val="22"/>
        </w:rPr>
        <w:t>ó</w:t>
      </w:r>
      <w:r w:rsidR="008431B6" w:rsidRPr="00E82454">
        <w:rPr>
          <w:sz w:val="22"/>
          <w:szCs w:val="22"/>
        </w:rPr>
        <w:t>n</w:t>
      </w:r>
      <w:proofErr w:type="spellEnd"/>
      <w:r w:rsidRPr="00E82454">
        <w:rPr>
          <w:sz w:val="22"/>
          <w:szCs w:val="22"/>
        </w:rPr>
        <w:t xml:space="preserve">, </w:t>
      </w:r>
      <w:proofErr w:type="spellStart"/>
      <w:r w:rsidR="008431B6" w:rsidRPr="00E82454">
        <w:rPr>
          <w:sz w:val="22"/>
          <w:szCs w:val="22"/>
        </w:rPr>
        <w:t>moxifloxac</w:t>
      </w:r>
      <w:r w:rsidR="008431B6">
        <w:rPr>
          <w:sz w:val="22"/>
          <w:szCs w:val="22"/>
        </w:rPr>
        <w:t>í</w:t>
      </w:r>
      <w:r w:rsidR="008431B6" w:rsidRPr="00E82454">
        <w:rPr>
          <w:sz w:val="22"/>
          <w:szCs w:val="22"/>
        </w:rPr>
        <w:t>n</w:t>
      </w:r>
      <w:proofErr w:type="spellEnd"/>
      <w:r w:rsidRPr="00E82454">
        <w:rPr>
          <w:sz w:val="22"/>
          <w:szCs w:val="22"/>
        </w:rPr>
        <w:t xml:space="preserve">, </w:t>
      </w:r>
      <w:proofErr w:type="spellStart"/>
      <w:r w:rsidRPr="00E82454">
        <w:rPr>
          <w:sz w:val="22"/>
          <w:szCs w:val="22"/>
        </w:rPr>
        <w:t>antipsychotiká</w:t>
      </w:r>
      <w:proofErr w:type="spellEnd"/>
      <w:r w:rsidRPr="00E82454">
        <w:rPr>
          <w:sz w:val="22"/>
          <w:szCs w:val="22"/>
        </w:rPr>
        <w:t xml:space="preserve"> atď. treba starostlivo vyhodnotiť (pozri časť 4.4).</w:t>
      </w:r>
    </w:p>
    <w:p w:rsidR="00157189" w:rsidRPr="00E82454" w:rsidRDefault="00157189" w:rsidP="00BE40F7">
      <w:pPr>
        <w:jc w:val="both"/>
        <w:rPr>
          <w:sz w:val="22"/>
          <w:szCs w:val="22"/>
        </w:rPr>
      </w:pPr>
    </w:p>
    <w:p w:rsidR="00AC2BEE" w:rsidRPr="00E82454" w:rsidRDefault="00AC2BEE" w:rsidP="00BE40F7">
      <w:pPr>
        <w:jc w:val="both"/>
        <w:rPr>
          <w:b/>
          <w:sz w:val="22"/>
          <w:szCs w:val="22"/>
          <w:lang w:val="en-GB"/>
        </w:rPr>
      </w:pPr>
      <w:r w:rsidRPr="00E82454">
        <w:rPr>
          <w:b/>
          <w:sz w:val="22"/>
          <w:szCs w:val="22"/>
        </w:rPr>
        <w:t>4.6</w:t>
      </w:r>
      <w:r w:rsidRPr="00E82454">
        <w:rPr>
          <w:b/>
          <w:sz w:val="22"/>
          <w:szCs w:val="22"/>
        </w:rPr>
        <w:tab/>
      </w:r>
      <w:proofErr w:type="spellStart"/>
      <w:r w:rsidRPr="00E82454">
        <w:rPr>
          <w:b/>
          <w:sz w:val="22"/>
          <w:szCs w:val="22"/>
        </w:rPr>
        <w:t>Fertilita</w:t>
      </w:r>
      <w:proofErr w:type="spellEnd"/>
      <w:r w:rsidRPr="00E82454">
        <w:rPr>
          <w:b/>
          <w:sz w:val="22"/>
          <w:szCs w:val="22"/>
        </w:rPr>
        <w:t>, gravidita a laktácia</w:t>
      </w:r>
    </w:p>
    <w:p w:rsidR="00813119" w:rsidRPr="00E82454" w:rsidRDefault="00813119" w:rsidP="00BE40F7">
      <w:pPr>
        <w:jc w:val="both"/>
        <w:rPr>
          <w:sz w:val="22"/>
          <w:szCs w:val="22"/>
          <w:lang w:val="en-GB"/>
        </w:rPr>
      </w:pPr>
    </w:p>
    <w:p w:rsidR="00F312FF" w:rsidRPr="00E82454" w:rsidRDefault="00A10AD1" w:rsidP="00BE40F7">
      <w:pPr>
        <w:jc w:val="both"/>
        <w:rPr>
          <w:i/>
          <w:sz w:val="22"/>
          <w:szCs w:val="22"/>
          <w:lang w:val="en-GB"/>
        </w:rPr>
      </w:pPr>
      <w:r w:rsidRPr="00E82454">
        <w:rPr>
          <w:i/>
          <w:sz w:val="22"/>
          <w:szCs w:val="22"/>
        </w:rPr>
        <w:t>Gravidita:</w:t>
      </w:r>
    </w:p>
    <w:p w:rsidR="00AC2BEE" w:rsidRPr="00E82454" w:rsidRDefault="00B860CB" w:rsidP="00BE40F7">
      <w:pPr>
        <w:jc w:val="both"/>
        <w:rPr>
          <w:sz w:val="22"/>
          <w:szCs w:val="22"/>
          <w:lang w:val="de-DE"/>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je kontraindikovaný u žien.</w:t>
      </w:r>
    </w:p>
    <w:p w:rsidR="00AC2BEE" w:rsidRPr="00E82454" w:rsidRDefault="00AC2BEE" w:rsidP="00BE40F7">
      <w:pPr>
        <w:jc w:val="both"/>
        <w:rPr>
          <w:sz w:val="22"/>
          <w:szCs w:val="22"/>
          <w:lang w:val="de-DE"/>
        </w:rPr>
      </w:pPr>
      <w:r w:rsidRPr="00E82454">
        <w:rPr>
          <w:sz w:val="22"/>
          <w:szCs w:val="22"/>
        </w:rPr>
        <w:t xml:space="preserve">Injekcia </w:t>
      </w:r>
      <w:proofErr w:type="spellStart"/>
      <w:r w:rsidRPr="00E82454">
        <w:rPr>
          <w:sz w:val="22"/>
          <w:szCs w:val="22"/>
        </w:rPr>
        <w:t>leuprorelíniumacetátu</w:t>
      </w:r>
      <w:proofErr w:type="spellEnd"/>
      <w:r w:rsidRPr="00E82454">
        <w:rPr>
          <w:sz w:val="22"/>
          <w:szCs w:val="22"/>
        </w:rPr>
        <w:t xml:space="preserve"> môže pri podaní tehotnej žene spôsobiť poškodenie plodu.</w:t>
      </w:r>
    </w:p>
    <w:p w:rsidR="00AC2BEE" w:rsidRPr="00E82454" w:rsidRDefault="00AC2BEE" w:rsidP="00BE40F7">
      <w:pPr>
        <w:jc w:val="both"/>
        <w:rPr>
          <w:sz w:val="22"/>
          <w:szCs w:val="22"/>
          <w:lang w:val="de-DE"/>
        </w:rPr>
      </w:pPr>
      <w:r w:rsidRPr="00E82454">
        <w:rPr>
          <w:sz w:val="22"/>
          <w:szCs w:val="22"/>
        </w:rPr>
        <w:t>Preto, ak sa liek podá počas gravidity, môže dôjsť k samovoľnému potratu.</w:t>
      </w:r>
    </w:p>
    <w:p w:rsidR="00BF53DB" w:rsidRPr="00E82454" w:rsidRDefault="00BF53DB" w:rsidP="00BE40F7">
      <w:pPr>
        <w:jc w:val="both"/>
        <w:rPr>
          <w:i/>
          <w:sz w:val="22"/>
          <w:szCs w:val="22"/>
          <w:lang w:val="de-DE"/>
        </w:rPr>
      </w:pPr>
    </w:p>
    <w:p w:rsidR="00BA6DA6" w:rsidRPr="00E82454" w:rsidRDefault="00813119" w:rsidP="00BE40F7">
      <w:pPr>
        <w:jc w:val="both"/>
        <w:rPr>
          <w:i/>
          <w:sz w:val="22"/>
          <w:szCs w:val="22"/>
          <w:lang w:val="de-DE"/>
        </w:rPr>
      </w:pPr>
      <w:r>
        <w:rPr>
          <w:i/>
          <w:sz w:val="22"/>
          <w:szCs w:val="22"/>
        </w:rPr>
        <w:t>Dojčenie</w:t>
      </w:r>
      <w:r w:rsidR="007E0C0E" w:rsidRPr="00E82454">
        <w:rPr>
          <w:i/>
          <w:sz w:val="22"/>
          <w:szCs w:val="22"/>
        </w:rPr>
        <w:t>:</w:t>
      </w:r>
    </w:p>
    <w:p w:rsidR="00BA6DA6" w:rsidRPr="00E82454" w:rsidRDefault="00B860CB" w:rsidP="00BE40F7">
      <w:pPr>
        <w:jc w:val="both"/>
        <w:rPr>
          <w:sz w:val="22"/>
          <w:szCs w:val="22"/>
          <w:lang w:val="de-DE"/>
        </w:rPr>
      </w:pPr>
      <w:proofErr w:type="spellStart"/>
      <w:r w:rsidRPr="00E82454">
        <w:rPr>
          <w:sz w:val="22"/>
          <w:szCs w:val="22"/>
        </w:rPr>
        <w:t>Lutrate</w:t>
      </w:r>
      <w:proofErr w:type="spellEnd"/>
      <w:r w:rsidRPr="00E82454">
        <w:rPr>
          <w:sz w:val="22"/>
          <w:szCs w:val="22"/>
        </w:rPr>
        <w:t xml:space="preserve"> </w:t>
      </w:r>
      <w:proofErr w:type="spellStart"/>
      <w:r w:rsidRPr="00E82454">
        <w:rPr>
          <w:sz w:val="22"/>
          <w:szCs w:val="22"/>
        </w:rPr>
        <w:t>Depot</w:t>
      </w:r>
      <w:proofErr w:type="spellEnd"/>
      <w:r w:rsidRPr="00E82454">
        <w:rPr>
          <w:sz w:val="22"/>
          <w:szCs w:val="22"/>
        </w:rPr>
        <w:t xml:space="preserve"> 22,5 mg </w:t>
      </w:r>
      <w:r w:rsidR="0034780E" w:rsidRPr="00E82454">
        <w:rPr>
          <w:sz w:val="22"/>
          <w:szCs w:val="22"/>
        </w:rPr>
        <w:t>je kontraindikovaný u dojčiacich žien.</w:t>
      </w:r>
    </w:p>
    <w:p w:rsidR="00BA6DA6" w:rsidRPr="00E82454" w:rsidRDefault="00BA6DA6" w:rsidP="00BE40F7">
      <w:pPr>
        <w:jc w:val="both"/>
        <w:rPr>
          <w:sz w:val="22"/>
          <w:szCs w:val="22"/>
          <w:lang w:val="de-DE"/>
        </w:rPr>
      </w:pPr>
    </w:p>
    <w:p w:rsidR="00BA6DA6" w:rsidRPr="00E82454" w:rsidRDefault="00BA6DA6" w:rsidP="00BE40F7">
      <w:pPr>
        <w:jc w:val="both"/>
        <w:rPr>
          <w:i/>
          <w:sz w:val="22"/>
          <w:szCs w:val="22"/>
          <w:lang w:val="de-DE"/>
        </w:rPr>
      </w:pPr>
      <w:proofErr w:type="spellStart"/>
      <w:r w:rsidRPr="00E82454">
        <w:rPr>
          <w:i/>
          <w:sz w:val="22"/>
          <w:szCs w:val="22"/>
        </w:rPr>
        <w:t>Fertilita</w:t>
      </w:r>
      <w:proofErr w:type="spellEnd"/>
      <w:r w:rsidRPr="00E82454">
        <w:rPr>
          <w:i/>
          <w:sz w:val="22"/>
          <w:szCs w:val="22"/>
        </w:rPr>
        <w:t>:</w:t>
      </w:r>
    </w:p>
    <w:p w:rsidR="00A56D5B" w:rsidRPr="00E82454" w:rsidRDefault="00BA6DA6" w:rsidP="00BE40F7">
      <w:pPr>
        <w:jc w:val="both"/>
        <w:rPr>
          <w:sz w:val="22"/>
          <w:szCs w:val="22"/>
          <w:lang w:val="de-DE"/>
        </w:rPr>
      </w:pPr>
      <w:r w:rsidRPr="00E82454">
        <w:rPr>
          <w:sz w:val="22"/>
          <w:szCs w:val="22"/>
        </w:rPr>
        <w:t xml:space="preserve">Štúdie na zvieratách ukázali, že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vykazuje reprodukčnú toxicitu (pozri časť 5.3). </w:t>
      </w:r>
    </w:p>
    <w:p w:rsidR="00BA6DA6" w:rsidRPr="00E82454" w:rsidRDefault="00BA6DA6" w:rsidP="00BE40F7">
      <w:pPr>
        <w:jc w:val="both"/>
        <w:rPr>
          <w:sz w:val="22"/>
          <w:szCs w:val="22"/>
          <w:lang w:val="de-DE"/>
        </w:rPr>
      </w:pPr>
    </w:p>
    <w:p w:rsidR="00AC2BEE" w:rsidRPr="00E82454" w:rsidRDefault="00AC2BEE" w:rsidP="00BE40F7">
      <w:pPr>
        <w:jc w:val="both"/>
        <w:rPr>
          <w:b/>
          <w:sz w:val="22"/>
          <w:szCs w:val="22"/>
          <w:lang w:val="de-DE"/>
        </w:rPr>
      </w:pPr>
      <w:r w:rsidRPr="00E82454">
        <w:rPr>
          <w:b/>
          <w:sz w:val="22"/>
          <w:szCs w:val="22"/>
        </w:rPr>
        <w:t>4.7</w:t>
      </w:r>
      <w:r w:rsidRPr="00E82454">
        <w:rPr>
          <w:b/>
          <w:sz w:val="22"/>
          <w:szCs w:val="22"/>
        </w:rPr>
        <w:tab/>
        <w:t>Ovplyvnenie schopnosti viesť vozidlá a obsluhovať stroje</w:t>
      </w:r>
    </w:p>
    <w:p w:rsidR="00AC2BEE" w:rsidRPr="00E82454" w:rsidRDefault="00AC2BEE" w:rsidP="00BE40F7">
      <w:pPr>
        <w:jc w:val="both"/>
        <w:rPr>
          <w:sz w:val="22"/>
          <w:szCs w:val="22"/>
          <w:lang w:val="de-DE"/>
        </w:rPr>
      </w:pPr>
    </w:p>
    <w:p w:rsidR="00AC2BEE" w:rsidRPr="00E82454" w:rsidRDefault="0065251B" w:rsidP="00BE40F7">
      <w:pPr>
        <w:jc w:val="both"/>
        <w:rPr>
          <w:sz w:val="22"/>
          <w:szCs w:val="22"/>
        </w:rPr>
      </w:pPr>
      <w:r w:rsidRPr="00E82454">
        <w:rPr>
          <w:sz w:val="22"/>
          <w:szCs w:val="22"/>
        </w:rPr>
        <w:t>Neboli uskutočnené žiadne špeciálne štúdie účinkov</w:t>
      </w:r>
      <w:r w:rsidR="00B860CB" w:rsidRPr="00E82454">
        <w:rPr>
          <w:sz w:val="22"/>
          <w:szCs w:val="22"/>
        </w:rPr>
        <w:t xml:space="preserve"> </w:t>
      </w:r>
      <w:r w:rsidR="00813119">
        <w:rPr>
          <w:sz w:val="22"/>
          <w:szCs w:val="22"/>
        </w:rPr>
        <w:t xml:space="preserve">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w:t>
      </w:r>
      <w:r w:rsidRPr="00E82454">
        <w:rPr>
          <w:sz w:val="22"/>
          <w:szCs w:val="22"/>
        </w:rPr>
        <w:t xml:space="preserve"> na schopnosť viesť vozidlá a obsluhovať stroje. Schopnosť viesť vozidlá a obsluhovať stroje však môže byť zhoršená z dôvodu porúch videnia a závratu.</w:t>
      </w:r>
    </w:p>
    <w:p w:rsidR="00AC2BEE" w:rsidRPr="00E82454" w:rsidRDefault="00AC2BEE" w:rsidP="00BE40F7">
      <w:pPr>
        <w:jc w:val="both"/>
        <w:rPr>
          <w:sz w:val="22"/>
          <w:szCs w:val="22"/>
        </w:rPr>
      </w:pPr>
    </w:p>
    <w:p w:rsidR="00AC2BEE" w:rsidRPr="00E82454" w:rsidRDefault="00AC2BEE" w:rsidP="00BE40F7">
      <w:pPr>
        <w:jc w:val="both"/>
        <w:rPr>
          <w:b/>
          <w:sz w:val="22"/>
          <w:szCs w:val="22"/>
        </w:rPr>
      </w:pPr>
      <w:r w:rsidRPr="00E82454">
        <w:rPr>
          <w:b/>
          <w:sz w:val="22"/>
          <w:szCs w:val="22"/>
        </w:rPr>
        <w:t>4.8</w:t>
      </w:r>
      <w:r w:rsidRPr="00E82454">
        <w:rPr>
          <w:b/>
          <w:sz w:val="22"/>
          <w:szCs w:val="22"/>
        </w:rPr>
        <w:tab/>
        <w:t>Nežiaduce účinky</w:t>
      </w:r>
    </w:p>
    <w:p w:rsidR="00AC2BEE" w:rsidRPr="00E82454" w:rsidRDefault="00AC2BEE" w:rsidP="00BE40F7">
      <w:pPr>
        <w:jc w:val="both"/>
        <w:rPr>
          <w:sz w:val="22"/>
          <w:szCs w:val="22"/>
        </w:rPr>
      </w:pPr>
    </w:p>
    <w:p w:rsidR="00AC2BEE" w:rsidRPr="00E82454" w:rsidRDefault="007D107D" w:rsidP="00BE40F7">
      <w:pPr>
        <w:jc w:val="both"/>
        <w:rPr>
          <w:sz w:val="22"/>
          <w:szCs w:val="22"/>
        </w:rPr>
      </w:pPr>
      <w:r w:rsidRPr="00E82454">
        <w:rPr>
          <w:sz w:val="22"/>
          <w:szCs w:val="22"/>
        </w:rPr>
        <w:t xml:space="preserve">Profil bezpečnosti </w:t>
      </w:r>
      <w:r w:rsidR="008279F6">
        <w:rPr>
          <w:sz w:val="22"/>
          <w:szCs w:val="22"/>
        </w:rPr>
        <w:t xml:space="preserve">lieku </w:t>
      </w:r>
      <w:proofErr w:type="spellStart"/>
      <w:r w:rsidR="00B860CB" w:rsidRPr="00E82454">
        <w:rPr>
          <w:sz w:val="22"/>
          <w:szCs w:val="22"/>
        </w:rPr>
        <w:t>Lutrate</w:t>
      </w:r>
      <w:proofErr w:type="spellEnd"/>
      <w:r w:rsidR="00B860CB" w:rsidRPr="00E82454">
        <w:rPr>
          <w:sz w:val="22"/>
          <w:szCs w:val="22"/>
        </w:rPr>
        <w:t xml:space="preserve"> </w:t>
      </w:r>
      <w:proofErr w:type="spellStart"/>
      <w:r w:rsidR="00B860CB" w:rsidRPr="00E82454">
        <w:rPr>
          <w:sz w:val="22"/>
          <w:szCs w:val="22"/>
        </w:rPr>
        <w:t>Depot</w:t>
      </w:r>
      <w:proofErr w:type="spellEnd"/>
      <w:r w:rsidR="00B860CB" w:rsidRPr="00E82454">
        <w:rPr>
          <w:sz w:val="22"/>
          <w:szCs w:val="22"/>
        </w:rPr>
        <w:t xml:space="preserve"> 22,5 mg </w:t>
      </w:r>
      <w:r w:rsidRPr="00E82454">
        <w:rPr>
          <w:sz w:val="22"/>
          <w:szCs w:val="22"/>
        </w:rPr>
        <w:t xml:space="preserve">je založený na výsledkoch III. fázy klinických skúšok, v ktorých sa pacienti s karcinómom prostaty liečili dvoma postupne po sebe podanými </w:t>
      </w:r>
      <w:proofErr w:type="spellStart"/>
      <w:r w:rsidRPr="00E82454">
        <w:rPr>
          <w:sz w:val="22"/>
          <w:szCs w:val="22"/>
        </w:rPr>
        <w:t>intramuskulárnymi</w:t>
      </w:r>
      <w:proofErr w:type="spellEnd"/>
      <w:r w:rsidRPr="00E82454">
        <w:rPr>
          <w:sz w:val="22"/>
          <w:szCs w:val="22"/>
        </w:rPr>
        <w:t xml:space="preserve"> dávkami v trojmesačnom intervale a sledovali sa celkom 6 mesiacov. Väčšina uvádzaných nežiaducich účinkov súvisiacich s liečbou sú hlavne nežiaduce účinky spojené so špecifickým farmakologickým účinkom </w:t>
      </w:r>
      <w:proofErr w:type="spellStart"/>
      <w:r w:rsidRPr="00E82454">
        <w:rPr>
          <w:sz w:val="22"/>
          <w:szCs w:val="22"/>
        </w:rPr>
        <w:t>leuprorelíniumacetátu</w:t>
      </w:r>
      <w:proofErr w:type="spellEnd"/>
      <w:r w:rsidRPr="00E82454">
        <w:rPr>
          <w:sz w:val="22"/>
          <w:szCs w:val="22"/>
        </w:rPr>
        <w:t xml:space="preserve"> a spojené s terapiou potláčajúcou tvorbu </w:t>
      </w:r>
      <w:proofErr w:type="spellStart"/>
      <w:r w:rsidRPr="00E82454">
        <w:rPr>
          <w:sz w:val="22"/>
          <w:szCs w:val="22"/>
        </w:rPr>
        <w:t>testosterónu</w:t>
      </w:r>
      <w:proofErr w:type="spellEnd"/>
      <w:r w:rsidRPr="00E82454">
        <w:rPr>
          <w:sz w:val="22"/>
          <w:szCs w:val="22"/>
        </w:rPr>
        <w:t>.</w:t>
      </w:r>
    </w:p>
    <w:p w:rsidR="00AC2BEE" w:rsidRPr="00E82454" w:rsidRDefault="00AC2BEE" w:rsidP="00BE40F7">
      <w:pPr>
        <w:jc w:val="both"/>
        <w:rPr>
          <w:sz w:val="22"/>
          <w:szCs w:val="22"/>
        </w:rPr>
      </w:pPr>
    </w:p>
    <w:p w:rsidR="0059366D" w:rsidRPr="00E82454" w:rsidRDefault="00AC2BEE" w:rsidP="00BE40F7">
      <w:pPr>
        <w:jc w:val="both"/>
        <w:rPr>
          <w:sz w:val="22"/>
          <w:szCs w:val="22"/>
        </w:rPr>
      </w:pPr>
      <w:r w:rsidRPr="00E82454">
        <w:rPr>
          <w:sz w:val="22"/>
          <w:szCs w:val="22"/>
        </w:rPr>
        <w:t xml:space="preserve">Najčastejšie uvádzané nežiaduce účinky </w:t>
      </w:r>
      <w:r w:rsidR="008279F6">
        <w:rPr>
          <w:sz w:val="22"/>
          <w:szCs w:val="22"/>
        </w:rPr>
        <w:t xml:space="preserve">lieku </w:t>
      </w:r>
      <w:proofErr w:type="spellStart"/>
      <w:r w:rsidR="008279F6" w:rsidRPr="00E82454">
        <w:rPr>
          <w:sz w:val="22"/>
          <w:szCs w:val="22"/>
        </w:rPr>
        <w:t>Lutrate</w:t>
      </w:r>
      <w:proofErr w:type="spellEnd"/>
      <w:r w:rsidR="008279F6" w:rsidRPr="00E82454">
        <w:rPr>
          <w:sz w:val="22"/>
          <w:szCs w:val="22"/>
        </w:rPr>
        <w:t xml:space="preserve"> </w:t>
      </w:r>
      <w:proofErr w:type="spellStart"/>
      <w:r w:rsidR="008279F6" w:rsidRPr="00E82454">
        <w:rPr>
          <w:sz w:val="22"/>
          <w:szCs w:val="22"/>
        </w:rPr>
        <w:t>Depot</w:t>
      </w:r>
      <w:proofErr w:type="spellEnd"/>
      <w:r w:rsidR="008279F6" w:rsidRPr="00E82454">
        <w:rPr>
          <w:sz w:val="22"/>
          <w:szCs w:val="22"/>
        </w:rPr>
        <w:t xml:space="preserve"> 22,5 mg</w:t>
      </w:r>
      <w:r w:rsidRPr="00E82454">
        <w:rPr>
          <w:sz w:val="22"/>
          <w:szCs w:val="22"/>
        </w:rPr>
        <w:t xml:space="preserve"> sú návaly tepla, únava, asténia, </w:t>
      </w:r>
      <w:proofErr w:type="spellStart"/>
      <w:r w:rsidR="008279F6" w:rsidRPr="00E82454">
        <w:rPr>
          <w:sz w:val="22"/>
          <w:szCs w:val="22"/>
        </w:rPr>
        <w:t>hyperh</w:t>
      </w:r>
      <w:r w:rsidR="008279F6">
        <w:rPr>
          <w:sz w:val="22"/>
          <w:szCs w:val="22"/>
        </w:rPr>
        <w:t>i</w:t>
      </w:r>
      <w:r w:rsidR="008279F6" w:rsidRPr="00E82454">
        <w:rPr>
          <w:sz w:val="22"/>
          <w:szCs w:val="22"/>
        </w:rPr>
        <w:t>dróza</w:t>
      </w:r>
      <w:proofErr w:type="spellEnd"/>
      <w:r w:rsidRPr="00E82454">
        <w:rPr>
          <w:sz w:val="22"/>
          <w:szCs w:val="22"/>
        </w:rPr>
        <w:t xml:space="preserve">, </w:t>
      </w:r>
      <w:proofErr w:type="spellStart"/>
      <w:r w:rsidRPr="00E82454">
        <w:rPr>
          <w:sz w:val="22"/>
          <w:szCs w:val="22"/>
        </w:rPr>
        <w:t>nauzea</w:t>
      </w:r>
      <w:proofErr w:type="spellEnd"/>
      <w:r w:rsidRPr="00E82454">
        <w:rPr>
          <w:sz w:val="22"/>
          <w:szCs w:val="22"/>
        </w:rPr>
        <w:t xml:space="preserve"> a bolesť kostí.</w:t>
      </w:r>
    </w:p>
    <w:p w:rsidR="00AC2BEE" w:rsidRPr="00E82454" w:rsidRDefault="00AC2BEE" w:rsidP="00BE40F7">
      <w:pPr>
        <w:autoSpaceDE w:val="0"/>
        <w:autoSpaceDN w:val="0"/>
        <w:adjustRightInd w:val="0"/>
        <w:jc w:val="both"/>
        <w:rPr>
          <w:sz w:val="22"/>
          <w:szCs w:val="22"/>
        </w:rPr>
      </w:pPr>
    </w:p>
    <w:p w:rsidR="00AC2BEE" w:rsidRPr="00E82454" w:rsidRDefault="00AC2BEE" w:rsidP="00BE40F7">
      <w:pPr>
        <w:autoSpaceDE w:val="0"/>
        <w:autoSpaceDN w:val="0"/>
        <w:adjustRightInd w:val="0"/>
        <w:jc w:val="both"/>
        <w:rPr>
          <w:sz w:val="22"/>
          <w:szCs w:val="22"/>
        </w:rPr>
      </w:pPr>
      <w:r w:rsidRPr="00E82454">
        <w:rPr>
          <w:sz w:val="22"/>
          <w:szCs w:val="22"/>
        </w:rPr>
        <w:t>Nasledujúce nežiaduce účinky z klinických skúšok sú uvedené v zozname nižšie podľa tried orgánových systémov a v poradí klesajúcej početnosti výskytu (veľmi časté: ≥1/10, časté ≥1/100 až &lt;1/10, menej časté ≥1/1 000 až &lt;1/100, zriedkavé ≥1/10 000 až &lt;1/1 000, veľmi zriedkavé &lt;1/10 000).</w:t>
      </w:r>
    </w:p>
    <w:p w:rsidR="00BE40F7" w:rsidRDefault="00BE40F7" w:rsidP="00BE40F7">
      <w:pPr>
        <w:autoSpaceDE w:val="0"/>
        <w:autoSpaceDN w:val="0"/>
        <w:adjustRightInd w:val="0"/>
        <w:ind w:right="-284"/>
        <w:jc w:val="both"/>
        <w:rPr>
          <w:b/>
          <w:sz w:val="22"/>
          <w:szCs w:val="22"/>
        </w:rPr>
      </w:pPr>
    </w:p>
    <w:p w:rsidR="008279F6" w:rsidRDefault="00FD6145" w:rsidP="00BE40F7">
      <w:pPr>
        <w:autoSpaceDE w:val="0"/>
        <w:autoSpaceDN w:val="0"/>
        <w:adjustRightInd w:val="0"/>
        <w:ind w:right="-284"/>
        <w:jc w:val="both"/>
        <w:rPr>
          <w:b/>
          <w:sz w:val="22"/>
          <w:szCs w:val="22"/>
        </w:rPr>
      </w:pPr>
      <w:r w:rsidRPr="00E82454">
        <w:rPr>
          <w:b/>
          <w:sz w:val="22"/>
          <w:szCs w:val="22"/>
        </w:rPr>
        <w:t>Tabuľka 1. Počet a frekvencia výskytu nežiaducich účinkov počas liečby s</w:t>
      </w:r>
      <w:r w:rsidR="008279F6">
        <w:rPr>
          <w:b/>
          <w:sz w:val="22"/>
          <w:szCs w:val="22"/>
        </w:rPr>
        <w:t xml:space="preserve"> liekom </w:t>
      </w:r>
    </w:p>
    <w:p w:rsidR="00AC2BEE" w:rsidRDefault="005C0D80" w:rsidP="00BE40F7">
      <w:pPr>
        <w:autoSpaceDE w:val="0"/>
        <w:autoSpaceDN w:val="0"/>
        <w:adjustRightInd w:val="0"/>
        <w:ind w:right="-284"/>
        <w:jc w:val="both"/>
        <w:rPr>
          <w:b/>
          <w:sz w:val="22"/>
          <w:szCs w:val="22"/>
        </w:rPr>
      </w:pPr>
      <w:proofErr w:type="spellStart"/>
      <w:r w:rsidRPr="002F67CE">
        <w:rPr>
          <w:b/>
          <w:sz w:val="22"/>
          <w:szCs w:val="22"/>
        </w:rPr>
        <w:t>Lutrate</w:t>
      </w:r>
      <w:proofErr w:type="spellEnd"/>
      <w:r w:rsidRPr="002F67CE">
        <w:rPr>
          <w:b/>
          <w:sz w:val="22"/>
          <w:szCs w:val="22"/>
        </w:rPr>
        <w:t xml:space="preserve"> </w:t>
      </w:r>
      <w:proofErr w:type="spellStart"/>
      <w:r w:rsidRPr="002F67CE">
        <w:rPr>
          <w:b/>
          <w:sz w:val="22"/>
          <w:szCs w:val="22"/>
        </w:rPr>
        <w:t>Depot</w:t>
      </w:r>
      <w:proofErr w:type="spellEnd"/>
      <w:r w:rsidRPr="002F67CE">
        <w:rPr>
          <w:b/>
          <w:sz w:val="22"/>
          <w:szCs w:val="22"/>
        </w:rPr>
        <w:t xml:space="preserve"> </w:t>
      </w:r>
      <w:r w:rsidR="00FD6145" w:rsidRPr="008279F6">
        <w:rPr>
          <w:b/>
          <w:sz w:val="22"/>
          <w:szCs w:val="22"/>
        </w:rPr>
        <w:t>22,5 mg</w:t>
      </w:r>
    </w:p>
    <w:p w:rsidR="00BE40F7" w:rsidRPr="002F67CE" w:rsidRDefault="00BE40F7" w:rsidP="00BE40F7">
      <w:pPr>
        <w:autoSpaceDE w:val="0"/>
        <w:autoSpaceDN w:val="0"/>
        <w:adjustRightInd w:val="0"/>
        <w:ind w:right="-284"/>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210"/>
      </w:tblGrid>
      <w:tr w:rsidR="00AC2BEE" w:rsidRPr="00E82454" w:rsidTr="00AF4507">
        <w:trPr>
          <w:trHeight w:val="324"/>
        </w:trPr>
        <w:tc>
          <w:tcPr>
            <w:tcW w:w="9180" w:type="dxa"/>
            <w:gridSpan w:val="2"/>
            <w:tcBorders>
              <w:bottom w:val="single" w:sz="4" w:space="0" w:color="auto"/>
            </w:tcBorders>
            <w:vAlign w:val="center"/>
          </w:tcPr>
          <w:p w:rsidR="00AC2BEE" w:rsidRPr="00E82454" w:rsidRDefault="00AC2BEE" w:rsidP="00BE40F7">
            <w:pPr>
              <w:rPr>
                <w:b/>
                <w:sz w:val="22"/>
                <w:szCs w:val="22"/>
                <w:vertAlign w:val="superscript"/>
                <w:lang w:val="en-GB"/>
              </w:rPr>
            </w:pPr>
            <w:r w:rsidRPr="00E82454">
              <w:rPr>
                <w:b/>
                <w:sz w:val="22"/>
                <w:szCs w:val="22"/>
              </w:rPr>
              <w:t>Kategória</w:t>
            </w:r>
          </w:p>
        </w:tc>
      </w:tr>
      <w:tr w:rsidR="004263EA" w:rsidRPr="00E82454" w:rsidTr="00AF4507">
        <w:trPr>
          <w:trHeight w:val="126"/>
        </w:trPr>
        <w:tc>
          <w:tcPr>
            <w:tcW w:w="9180" w:type="dxa"/>
            <w:gridSpan w:val="2"/>
            <w:tcBorders>
              <w:bottom w:val="nil"/>
            </w:tcBorders>
            <w:vAlign w:val="center"/>
          </w:tcPr>
          <w:p w:rsidR="004263EA" w:rsidRPr="00E82454" w:rsidRDefault="004263EA" w:rsidP="00BE40F7">
            <w:pPr>
              <w:rPr>
                <w:sz w:val="22"/>
                <w:szCs w:val="22"/>
                <w:lang w:val="en-GB"/>
              </w:rPr>
            </w:pPr>
            <w:r w:rsidRPr="00E82454">
              <w:rPr>
                <w:b/>
                <w:sz w:val="22"/>
                <w:szCs w:val="22"/>
              </w:rPr>
              <w:t>SOC</w:t>
            </w:r>
          </w:p>
        </w:tc>
      </w:tr>
      <w:tr w:rsidR="004263EA" w:rsidRPr="00E82454" w:rsidTr="00AF4507">
        <w:trPr>
          <w:trHeight w:val="294"/>
        </w:trPr>
        <w:tc>
          <w:tcPr>
            <w:tcW w:w="1970" w:type="dxa"/>
            <w:tcBorders>
              <w:top w:val="nil"/>
              <w:bottom w:val="single" w:sz="4" w:space="0" w:color="auto"/>
              <w:right w:val="nil"/>
            </w:tcBorders>
          </w:tcPr>
          <w:p w:rsidR="004263EA" w:rsidRPr="00E82454" w:rsidRDefault="004263EA" w:rsidP="00BE40F7">
            <w:pPr>
              <w:ind w:left="373"/>
              <w:rPr>
                <w:b/>
                <w:sz w:val="22"/>
                <w:szCs w:val="22"/>
                <w:lang w:val="en-GB"/>
              </w:rPr>
            </w:pPr>
            <w:r w:rsidRPr="00E82454">
              <w:rPr>
                <w:i/>
                <w:sz w:val="22"/>
                <w:szCs w:val="22"/>
              </w:rPr>
              <w:t>Frekvencia:</w:t>
            </w:r>
          </w:p>
        </w:tc>
        <w:tc>
          <w:tcPr>
            <w:tcW w:w="7210" w:type="dxa"/>
            <w:tcBorders>
              <w:top w:val="nil"/>
              <w:left w:val="nil"/>
              <w:bottom w:val="single" w:sz="4" w:space="0" w:color="auto"/>
            </w:tcBorders>
          </w:tcPr>
          <w:p w:rsidR="004263EA" w:rsidRPr="00E82454" w:rsidRDefault="004263EA" w:rsidP="00BE40F7">
            <w:pPr>
              <w:rPr>
                <w:b/>
                <w:sz w:val="22"/>
                <w:szCs w:val="22"/>
                <w:lang w:val="en-GB"/>
              </w:rPr>
            </w:pPr>
            <w:r w:rsidRPr="00E82454">
              <w:rPr>
                <w:sz w:val="22"/>
                <w:szCs w:val="22"/>
              </w:rPr>
              <w:t>PT</w:t>
            </w:r>
          </w:p>
        </w:tc>
      </w:tr>
      <w:tr w:rsidR="002C65BC" w:rsidRPr="00E82454" w:rsidTr="00AF4507">
        <w:trPr>
          <w:trHeight w:val="303"/>
        </w:trPr>
        <w:tc>
          <w:tcPr>
            <w:tcW w:w="9180" w:type="dxa"/>
            <w:gridSpan w:val="2"/>
            <w:tcBorders>
              <w:bottom w:val="nil"/>
            </w:tcBorders>
            <w:vAlign w:val="center"/>
          </w:tcPr>
          <w:p w:rsidR="002C65BC" w:rsidRPr="00E82454" w:rsidDel="00DE4023" w:rsidRDefault="002C65BC" w:rsidP="00BE40F7">
            <w:pPr>
              <w:rPr>
                <w:b/>
                <w:sz w:val="22"/>
                <w:szCs w:val="22"/>
                <w:lang w:val="en-GB"/>
              </w:rPr>
            </w:pPr>
            <w:r w:rsidRPr="00E82454">
              <w:rPr>
                <w:b/>
                <w:sz w:val="22"/>
                <w:szCs w:val="22"/>
              </w:rPr>
              <w:t>Poruchy metabolizmu a výživy:</w:t>
            </w:r>
          </w:p>
        </w:tc>
      </w:tr>
      <w:tr w:rsidR="004263EA" w:rsidRPr="00E82454" w:rsidTr="00AF4507">
        <w:trPr>
          <w:trHeight w:val="196"/>
        </w:trPr>
        <w:tc>
          <w:tcPr>
            <w:tcW w:w="1970" w:type="dxa"/>
            <w:tcBorders>
              <w:top w:val="nil"/>
              <w:bottom w:val="nil"/>
              <w:right w:val="nil"/>
            </w:tcBorders>
          </w:tcPr>
          <w:p w:rsidR="004263EA" w:rsidRPr="00E82454" w:rsidRDefault="004263EA"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4263EA" w:rsidRPr="00E82454" w:rsidRDefault="004263EA" w:rsidP="00BE40F7">
            <w:pPr>
              <w:rPr>
                <w:b/>
                <w:sz w:val="22"/>
                <w:szCs w:val="22"/>
                <w:lang w:val="en-GB"/>
              </w:rPr>
            </w:pPr>
            <w:r w:rsidRPr="00E82454">
              <w:rPr>
                <w:sz w:val="22"/>
                <w:szCs w:val="22"/>
              </w:rPr>
              <w:t>znížená chuť do jedla</w:t>
            </w:r>
          </w:p>
        </w:tc>
      </w:tr>
      <w:tr w:rsidR="004263EA" w:rsidRPr="00E82454" w:rsidTr="00AF4507">
        <w:trPr>
          <w:trHeight w:val="196"/>
        </w:trPr>
        <w:tc>
          <w:tcPr>
            <w:tcW w:w="1970" w:type="dxa"/>
            <w:tcBorders>
              <w:top w:val="nil"/>
              <w:right w:val="nil"/>
            </w:tcBorders>
          </w:tcPr>
          <w:p w:rsidR="004263EA" w:rsidRPr="00E82454" w:rsidRDefault="004263EA" w:rsidP="00BE40F7">
            <w:pPr>
              <w:ind w:left="373"/>
              <w:rPr>
                <w:i/>
                <w:sz w:val="22"/>
                <w:szCs w:val="22"/>
                <w:lang w:val="en-GB"/>
              </w:rPr>
            </w:pPr>
            <w:r w:rsidRPr="00E82454">
              <w:rPr>
                <w:i/>
                <w:sz w:val="22"/>
                <w:szCs w:val="22"/>
              </w:rPr>
              <w:t>Menej časté:</w:t>
            </w:r>
          </w:p>
        </w:tc>
        <w:tc>
          <w:tcPr>
            <w:tcW w:w="7210" w:type="dxa"/>
            <w:tcBorders>
              <w:top w:val="nil"/>
              <w:left w:val="nil"/>
            </w:tcBorders>
          </w:tcPr>
          <w:p w:rsidR="004263EA" w:rsidRPr="00E82454" w:rsidRDefault="004263EA" w:rsidP="00BE40F7">
            <w:pPr>
              <w:rPr>
                <w:b/>
                <w:sz w:val="22"/>
                <w:szCs w:val="22"/>
                <w:lang w:val="en-GB"/>
              </w:rPr>
            </w:pPr>
            <w:proofErr w:type="spellStart"/>
            <w:r w:rsidRPr="00E82454">
              <w:rPr>
                <w:sz w:val="22"/>
                <w:szCs w:val="22"/>
              </w:rPr>
              <w:t>hypercholestorolémia</w:t>
            </w:r>
            <w:proofErr w:type="spellEnd"/>
          </w:p>
        </w:tc>
      </w:tr>
      <w:tr w:rsidR="002C65BC" w:rsidRPr="00E82454" w:rsidTr="00AF4507">
        <w:trPr>
          <w:trHeight w:val="243"/>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Psychické poruchy</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proofErr w:type="spellStart"/>
            <w:r w:rsidRPr="00E82454">
              <w:rPr>
                <w:sz w:val="22"/>
                <w:szCs w:val="22"/>
              </w:rPr>
              <w:t>Insomnia</w:t>
            </w:r>
            <w:proofErr w:type="spellEnd"/>
            <w:r w:rsidRPr="00E82454">
              <w:rPr>
                <w:sz w:val="22"/>
                <w:szCs w:val="22"/>
              </w:rPr>
              <w:t>, znížené libido. Dlhodobé používanie: zmena nálady, depresia.</w:t>
            </w:r>
          </w:p>
        </w:tc>
      </w:tr>
      <w:tr w:rsidR="002C65BC" w:rsidRPr="00E82454" w:rsidTr="00AF4507">
        <w:trPr>
          <w:trHeight w:val="196"/>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rPr>
            </w:pPr>
            <w:r w:rsidRPr="00E82454">
              <w:rPr>
                <w:sz w:val="22"/>
                <w:szCs w:val="22"/>
              </w:rPr>
              <w:t xml:space="preserve">poruchy spánku, emočná porucha, </w:t>
            </w:r>
            <w:proofErr w:type="spellStart"/>
            <w:r w:rsidRPr="00E82454">
              <w:rPr>
                <w:sz w:val="22"/>
                <w:szCs w:val="22"/>
              </w:rPr>
              <w:t>anxieta</w:t>
            </w:r>
            <w:proofErr w:type="spellEnd"/>
            <w:r w:rsidRPr="00E82454">
              <w:rPr>
                <w:sz w:val="22"/>
                <w:szCs w:val="22"/>
              </w:rPr>
              <w:t>, hnev. Krátkodobé používanie: zmena nálady, depresia.</w:t>
            </w:r>
          </w:p>
        </w:tc>
      </w:tr>
      <w:tr w:rsidR="002C65BC" w:rsidRPr="00E82454" w:rsidTr="00AF4507">
        <w:trPr>
          <w:trHeight w:val="299"/>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Poruchy nervového systému</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r w:rsidRPr="00E82454">
              <w:rPr>
                <w:sz w:val="22"/>
                <w:szCs w:val="22"/>
              </w:rPr>
              <w:t>závrat</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 xml:space="preserve">kovová chuť, </w:t>
            </w:r>
            <w:proofErr w:type="spellStart"/>
            <w:r w:rsidRPr="00E82454">
              <w:rPr>
                <w:sz w:val="22"/>
                <w:szCs w:val="22"/>
              </w:rPr>
              <w:t>mravenčenie</w:t>
            </w:r>
            <w:proofErr w:type="spellEnd"/>
            <w:r w:rsidRPr="00E82454">
              <w:rPr>
                <w:sz w:val="22"/>
                <w:szCs w:val="22"/>
              </w:rPr>
              <w:t>, bolesť hlavy, letargia</w:t>
            </w:r>
          </w:p>
        </w:tc>
      </w:tr>
      <w:tr w:rsidR="002C65BC" w:rsidRPr="00E82454" w:rsidTr="00AF4507">
        <w:trPr>
          <w:trHeight w:val="225"/>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Poruchy oka</w:t>
            </w:r>
          </w:p>
        </w:tc>
      </w:tr>
      <w:tr w:rsidR="002C65BC" w:rsidRPr="00E82454" w:rsidTr="00AF4507">
        <w:trPr>
          <w:trHeight w:val="196"/>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nejasné videnie</w:t>
            </w:r>
          </w:p>
        </w:tc>
      </w:tr>
      <w:tr w:rsidR="002C65BC" w:rsidRPr="00E82454" w:rsidTr="00AF4507">
        <w:trPr>
          <w:trHeight w:val="313"/>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 xml:space="preserve">Poruchy dýchacej sústavy, hrudníka a </w:t>
            </w:r>
            <w:proofErr w:type="spellStart"/>
            <w:r w:rsidRPr="00E82454">
              <w:rPr>
                <w:b/>
                <w:sz w:val="22"/>
                <w:szCs w:val="22"/>
              </w:rPr>
              <w:t>mediastína</w:t>
            </w:r>
            <w:proofErr w:type="spellEnd"/>
          </w:p>
        </w:tc>
      </w:tr>
      <w:tr w:rsidR="002C65BC" w:rsidRPr="00E82454" w:rsidTr="00AF4507">
        <w:trPr>
          <w:trHeight w:val="196"/>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p w:rsidR="00B416D0" w:rsidRPr="00E82454" w:rsidRDefault="00B416D0" w:rsidP="00BE40F7">
            <w:pPr>
              <w:ind w:left="373"/>
              <w:rPr>
                <w:i/>
                <w:sz w:val="22"/>
                <w:szCs w:val="22"/>
                <w:lang w:val="en-GB"/>
              </w:rPr>
            </w:pPr>
            <w:r w:rsidRPr="00E82454">
              <w:rPr>
                <w:i/>
                <w:sz w:val="22"/>
                <w:szCs w:val="22"/>
              </w:rPr>
              <w:t>Neznáme:</w:t>
            </w:r>
          </w:p>
        </w:tc>
        <w:tc>
          <w:tcPr>
            <w:tcW w:w="7210" w:type="dxa"/>
            <w:tcBorders>
              <w:top w:val="nil"/>
              <w:left w:val="nil"/>
            </w:tcBorders>
          </w:tcPr>
          <w:p w:rsidR="002C65BC" w:rsidRPr="00E82454" w:rsidRDefault="00B416D0" w:rsidP="00BE40F7">
            <w:pPr>
              <w:rPr>
                <w:sz w:val="22"/>
                <w:szCs w:val="22"/>
                <w:lang w:val="en-GB"/>
              </w:rPr>
            </w:pPr>
            <w:r w:rsidRPr="00E82454">
              <w:rPr>
                <w:sz w:val="22"/>
                <w:szCs w:val="22"/>
              </w:rPr>
              <w:t>zápal pohrudnice</w:t>
            </w:r>
          </w:p>
          <w:p w:rsidR="00B416D0" w:rsidRPr="00E82454" w:rsidRDefault="00B416D0" w:rsidP="00BE40F7">
            <w:pPr>
              <w:rPr>
                <w:b/>
                <w:sz w:val="22"/>
                <w:szCs w:val="22"/>
                <w:lang w:val="en-US"/>
              </w:rPr>
            </w:pPr>
            <w:proofErr w:type="spellStart"/>
            <w:r w:rsidRPr="00E82454">
              <w:rPr>
                <w:sz w:val="22"/>
                <w:szCs w:val="22"/>
              </w:rPr>
              <w:t>pneumonitída</w:t>
            </w:r>
            <w:proofErr w:type="spellEnd"/>
            <w:r w:rsidRPr="00E82454">
              <w:rPr>
                <w:sz w:val="22"/>
                <w:szCs w:val="22"/>
              </w:rPr>
              <w:t xml:space="preserve">, </w:t>
            </w:r>
            <w:proofErr w:type="spellStart"/>
            <w:r w:rsidRPr="00E82454">
              <w:rPr>
                <w:sz w:val="22"/>
                <w:szCs w:val="22"/>
              </w:rPr>
              <w:t>intersticiálne</w:t>
            </w:r>
            <w:proofErr w:type="spellEnd"/>
            <w:r w:rsidRPr="00E82454">
              <w:rPr>
                <w:sz w:val="22"/>
                <w:szCs w:val="22"/>
              </w:rPr>
              <w:t xml:space="preserve"> ochorenie pľúc</w:t>
            </w:r>
          </w:p>
        </w:tc>
      </w:tr>
      <w:tr w:rsidR="002C65BC" w:rsidRPr="00E82454" w:rsidTr="00AF4507">
        <w:trPr>
          <w:trHeight w:val="335"/>
        </w:trPr>
        <w:tc>
          <w:tcPr>
            <w:tcW w:w="9180" w:type="dxa"/>
            <w:gridSpan w:val="2"/>
            <w:tcBorders>
              <w:bottom w:val="nil"/>
            </w:tcBorders>
            <w:vAlign w:val="center"/>
          </w:tcPr>
          <w:p w:rsidR="002C65BC" w:rsidRPr="00E82454" w:rsidRDefault="002C65BC" w:rsidP="00BE40F7">
            <w:pPr>
              <w:rPr>
                <w:sz w:val="22"/>
                <w:szCs w:val="22"/>
                <w:lang w:val="en-US"/>
              </w:rPr>
            </w:pPr>
            <w:r w:rsidRPr="00E82454">
              <w:rPr>
                <w:b/>
                <w:sz w:val="22"/>
                <w:szCs w:val="22"/>
              </w:rPr>
              <w:t>Poruchy ucha a labyrintu</w:t>
            </w:r>
          </w:p>
        </w:tc>
      </w:tr>
      <w:tr w:rsidR="002C65BC" w:rsidRPr="00E82454" w:rsidTr="00AF4507">
        <w:trPr>
          <w:trHeight w:val="196"/>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proofErr w:type="spellStart"/>
            <w:r w:rsidRPr="00E82454">
              <w:rPr>
                <w:sz w:val="22"/>
                <w:szCs w:val="22"/>
              </w:rPr>
              <w:t>tinitus</w:t>
            </w:r>
            <w:proofErr w:type="spellEnd"/>
          </w:p>
        </w:tc>
      </w:tr>
      <w:tr w:rsidR="002C65BC" w:rsidRPr="00E82454" w:rsidTr="00AF4507">
        <w:trPr>
          <w:trHeight w:val="315"/>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Poruchy ciev</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Veľmi časté:</w:t>
            </w:r>
          </w:p>
        </w:tc>
        <w:tc>
          <w:tcPr>
            <w:tcW w:w="7210" w:type="dxa"/>
            <w:tcBorders>
              <w:top w:val="nil"/>
              <w:left w:val="nil"/>
              <w:bottom w:val="nil"/>
            </w:tcBorders>
          </w:tcPr>
          <w:p w:rsidR="002C65BC" w:rsidRPr="00E82454" w:rsidRDefault="002C65BC" w:rsidP="00BE40F7">
            <w:pPr>
              <w:rPr>
                <w:b/>
                <w:sz w:val="22"/>
                <w:szCs w:val="22"/>
                <w:lang w:val="en-GB"/>
              </w:rPr>
            </w:pPr>
            <w:r w:rsidRPr="00E82454">
              <w:rPr>
                <w:sz w:val="22"/>
                <w:szCs w:val="22"/>
              </w:rPr>
              <w:t>návaly tepla</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sčervenanie</w:t>
            </w:r>
          </w:p>
        </w:tc>
      </w:tr>
      <w:tr w:rsidR="002C65BC" w:rsidRPr="00E82454" w:rsidTr="00AF4507">
        <w:trPr>
          <w:trHeight w:val="259"/>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 xml:space="preserve">Poruchy </w:t>
            </w:r>
            <w:proofErr w:type="spellStart"/>
            <w:r w:rsidRPr="00E82454">
              <w:rPr>
                <w:b/>
                <w:sz w:val="22"/>
                <w:szCs w:val="22"/>
              </w:rPr>
              <w:t>gastrointestinálneho</w:t>
            </w:r>
            <w:proofErr w:type="spellEnd"/>
            <w:r w:rsidRPr="00E82454">
              <w:rPr>
                <w:b/>
                <w:sz w:val="22"/>
                <w:szCs w:val="22"/>
              </w:rPr>
              <w:t xml:space="preserve"> traktu</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proofErr w:type="spellStart"/>
            <w:r w:rsidRPr="00E82454">
              <w:rPr>
                <w:sz w:val="22"/>
                <w:szCs w:val="22"/>
              </w:rPr>
              <w:t>nauzea</w:t>
            </w:r>
            <w:proofErr w:type="spellEnd"/>
            <w:r w:rsidRPr="00E82454">
              <w:rPr>
                <w:sz w:val="22"/>
                <w:szCs w:val="22"/>
              </w:rPr>
              <w:t xml:space="preserve">, </w:t>
            </w:r>
            <w:proofErr w:type="spellStart"/>
            <w:r w:rsidRPr="00E82454">
              <w:rPr>
                <w:sz w:val="22"/>
                <w:szCs w:val="22"/>
              </w:rPr>
              <w:t>diarea</w:t>
            </w:r>
            <w:proofErr w:type="spellEnd"/>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bolesť brucha v hornej časti, zápcha</w:t>
            </w:r>
          </w:p>
        </w:tc>
      </w:tr>
      <w:tr w:rsidR="002C65BC" w:rsidRPr="00E82454" w:rsidTr="00AF4507">
        <w:trPr>
          <w:trHeight w:val="243"/>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Poruchy kože a podkožného tkaniva</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proofErr w:type="spellStart"/>
            <w:r w:rsidRPr="00E82454">
              <w:rPr>
                <w:sz w:val="22"/>
                <w:szCs w:val="22"/>
              </w:rPr>
              <w:t>hyperh</w:t>
            </w:r>
            <w:r w:rsidR="00813119">
              <w:rPr>
                <w:sz w:val="22"/>
                <w:szCs w:val="22"/>
              </w:rPr>
              <w:t>i</w:t>
            </w:r>
            <w:r w:rsidRPr="00E82454">
              <w:rPr>
                <w:sz w:val="22"/>
                <w:szCs w:val="22"/>
              </w:rPr>
              <w:t>dróza</w:t>
            </w:r>
            <w:proofErr w:type="spellEnd"/>
            <w:r w:rsidRPr="00E82454">
              <w:rPr>
                <w:sz w:val="22"/>
                <w:szCs w:val="22"/>
              </w:rPr>
              <w:t xml:space="preserve">, </w:t>
            </w:r>
            <w:proofErr w:type="spellStart"/>
            <w:r w:rsidRPr="00E82454">
              <w:rPr>
                <w:sz w:val="22"/>
                <w:szCs w:val="22"/>
              </w:rPr>
              <w:t>pruritus</w:t>
            </w:r>
            <w:proofErr w:type="spellEnd"/>
            <w:r w:rsidRPr="00E82454">
              <w:rPr>
                <w:sz w:val="22"/>
                <w:szCs w:val="22"/>
              </w:rPr>
              <w:t>, studený pot</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557099" w:rsidP="00BE40F7">
            <w:pPr>
              <w:rPr>
                <w:b/>
                <w:sz w:val="22"/>
                <w:szCs w:val="22"/>
                <w:lang w:val="en-GB"/>
              </w:rPr>
            </w:pPr>
            <w:proofErr w:type="spellStart"/>
            <w:r>
              <w:rPr>
                <w:sz w:val="22"/>
                <w:szCs w:val="22"/>
              </w:rPr>
              <w:t>papula</w:t>
            </w:r>
            <w:proofErr w:type="spellEnd"/>
            <w:r w:rsidR="002C65BC" w:rsidRPr="00E82454">
              <w:rPr>
                <w:sz w:val="22"/>
                <w:szCs w:val="22"/>
              </w:rPr>
              <w:t xml:space="preserve">, vyrážka, generalizovaný </w:t>
            </w:r>
            <w:proofErr w:type="spellStart"/>
            <w:r w:rsidR="002C65BC" w:rsidRPr="00E82454">
              <w:rPr>
                <w:sz w:val="22"/>
                <w:szCs w:val="22"/>
              </w:rPr>
              <w:t>pruritus</w:t>
            </w:r>
            <w:proofErr w:type="spellEnd"/>
            <w:r w:rsidR="002C65BC" w:rsidRPr="00E82454">
              <w:rPr>
                <w:sz w:val="22"/>
                <w:szCs w:val="22"/>
              </w:rPr>
              <w:t>, nočné potenie</w:t>
            </w:r>
          </w:p>
        </w:tc>
      </w:tr>
      <w:tr w:rsidR="002C65BC" w:rsidRPr="00E82454" w:rsidTr="00AF4507">
        <w:trPr>
          <w:trHeight w:val="379"/>
        </w:trPr>
        <w:tc>
          <w:tcPr>
            <w:tcW w:w="9180" w:type="dxa"/>
            <w:gridSpan w:val="2"/>
            <w:tcBorders>
              <w:bottom w:val="nil"/>
            </w:tcBorders>
            <w:vAlign w:val="center"/>
          </w:tcPr>
          <w:p w:rsidR="002C65BC" w:rsidRPr="00E82454" w:rsidRDefault="002C65BC" w:rsidP="00BE40F7">
            <w:pPr>
              <w:rPr>
                <w:sz w:val="22"/>
                <w:szCs w:val="22"/>
                <w:lang w:val="en-US"/>
              </w:rPr>
            </w:pPr>
            <w:r w:rsidRPr="00E82454">
              <w:rPr>
                <w:b/>
                <w:sz w:val="22"/>
                <w:szCs w:val="22"/>
              </w:rPr>
              <w:t>Poruchy kostrovej a svalovej sústavy a spojivového tkaniva</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r w:rsidRPr="00E82454">
              <w:rPr>
                <w:sz w:val="22"/>
                <w:szCs w:val="22"/>
              </w:rPr>
              <w:t xml:space="preserve">bolesť kostí, </w:t>
            </w:r>
            <w:proofErr w:type="spellStart"/>
            <w:r w:rsidRPr="00E82454">
              <w:rPr>
                <w:sz w:val="22"/>
                <w:szCs w:val="22"/>
              </w:rPr>
              <w:t>artralgia</w:t>
            </w:r>
            <w:proofErr w:type="spellEnd"/>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bolesť chrbta, bolesť svalov a kostí, bolesť krku</w:t>
            </w:r>
          </w:p>
        </w:tc>
      </w:tr>
      <w:tr w:rsidR="002C65BC" w:rsidRPr="00E82454" w:rsidTr="00AF4507">
        <w:trPr>
          <w:trHeight w:val="235"/>
        </w:trPr>
        <w:tc>
          <w:tcPr>
            <w:tcW w:w="9180" w:type="dxa"/>
            <w:gridSpan w:val="2"/>
            <w:tcBorders>
              <w:bottom w:val="nil"/>
            </w:tcBorders>
            <w:vAlign w:val="center"/>
          </w:tcPr>
          <w:p w:rsidR="002C65BC" w:rsidRPr="00E82454" w:rsidRDefault="002C65BC" w:rsidP="00BE40F7">
            <w:pPr>
              <w:rPr>
                <w:sz w:val="22"/>
                <w:szCs w:val="22"/>
              </w:rPr>
            </w:pPr>
            <w:r w:rsidRPr="00E82454">
              <w:rPr>
                <w:b/>
                <w:sz w:val="22"/>
                <w:szCs w:val="22"/>
              </w:rPr>
              <w:t>Poruchy obličiek a močových ciest</w:t>
            </w:r>
          </w:p>
        </w:tc>
      </w:tr>
      <w:tr w:rsidR="002C65BC" w:rsidRPr="00E82454" w:rsidTr="00AF4507">
        <w:trPr>
          <w:trHeight w:val="196"/>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lastRenderedPageBreak/>
              <w:t>Časté:</w:t>
            </w:r>
          </w:p>
        </w:tc>
        <w:tc>
          <w:tcPr>
            <w:tcW w:w="7210" w:type="dxa"/>
            <w:tcBorders>
              <w:top w:val="nil"/>
              <w:left w:val="nil"/>
            </w:tcBorders>
          </w:tcPr>
          <w:p w:rsidR="002C65BC" w:rsidRPr="00E82454" w:rsidRDefault="002C65BC" w:rsidP="00BE40F7">
            <w:pPr>
              <w:rPr>
                <w:b/>
                <w:sz w:val="22"/>
                <w:szCs w:val="22"/>
                <w:lang w:val="en-GB"/>
              </w:rPr>
            </w:pPr>
            <w:proofErr w:type="spellStart"/>
            <w:r w:rsidRPr="00E82454">
              <w:rPr>
                <w:sz w:val="22"/>
                <w:szCs w:val="22"/>
              </w:rPr>
              <w:t>pollakiúria</w:t>
            </w:r>
            <w:proofErr w:type="spellEnd"/>
            <w:r w:rsidRPr="00E82454">
              <w:rPr>
                <w:sz w:val="22"/>
                <w:szCs w:val="22"/>
              </w:rPr>
              <w:t xml:space="preserve">, </w:t>
            </w:r>
            <w:proofErr w:type="spellStart"/>
            <w:r w:rsidRPr="00E82454">
              <w:rPr>
                <w:sz w:val="22"/>
                <w:szCs w:val="22"/>
              </w:rPr>
              <w:t>noktúria</w:t>
            </w:r>
            <w:proofErr w:type="spellEnd"/>
            <w:r w:rsidRPr="00E82454">
              <w:rPr>
                <w:sz w:val="22"/>
                <w:szCs w:val="22"/>
              </w:rPr>
              <w:t>, bolesť močového systému, znížený prietok moču</w:t>
            </w:r>
          </w:p>
        </w:tc>
      </w:tr>
      <w:tr w:rsidR="002C65BC" w:rsidRPr="00E82454" w:rsidTr="00AF4507">
        <w:trPr>
          <w:trHeight w:val="315"/>
        </w:trPr>
        <w:tc>
          <w:tcPr>
            <w:tcW w:w="9180" w:type="dxa"/>
            <w:gridSpan w:val="2"/>
            <w:tcBorders>
              <w:bottom w:val="nil"/>
            </w:tcBorders>
            <w:vAlign w:val="center"/>
          </w:tcPr>
          <w:p w:rsidR="002C65BC" w:rsidRPr="00E82454" w:rsidRDefault="002C65BC" w:rsidP="00BE40F7">
            <w:pPr>
              <w:rPr>
                <w:sz w:val="22"/>
                <w:szCs w:val="22"/>
                <w:lang w:val="en-US"/>
              </w:rPr>
            </w:pPr>
            <w:r w:rsidRPr="00E82454">
              <w:rPr>
                <w:b/>
                <w:sz w:val="22"/>
                <w:szCs w:val="22"/>
              </w:rPr>
              <w:t>Poruchy reprodukčného systému a prsníkov</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proofErr w:type="spellStart"/>
            <w:r w:rsidRPr="00E82454">
              <w:rPr>
                <w:sz w:val="22"/>
                <w:szCs w:val="22"/>
              </w:rPr>
              <w:t>erektilná</w:t>
            </w:r>
            <w:proofErr w:type="spellEnd"/>
            <w:r w:rsidRPr="00E82454">
              <w:rPr>
                <w:sz w:val="22"/>
                <w:szCs w:val="22"/>
              </w:rPr>
              <w:t xml:space="preserve"> dysfunkcia</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 xml:space="preserve">bolesť bradaviek, bolesť panvy, </w:t>
            </w:r>
            <w:proofErr w:type="spellStart"/>
            <w:r w:rsidRPr="00E82454">
              <w:rPr>
                <w:sz w:val="22"/>
                <w:szCs w:val="22"/>
              </w:rPr>
              <w:t>testikulárna</w:t>
            </w:r>
            <w:proofErr w:type="spellEnd"/>
            <w:r w:rsidRPr="00E82454">
              <w:rPr>
                <w:sz w:val="22"/>
                <w:szCs w:val="22"/>
              </w:rPr>
              <w:t xml:space="preserve"> atrofia, </w:t>
            </w:r>
            <w:proofErr w:type="spellStart"/>
            <w:r w:rsidRPr="00E82454">
              <w:rPr>
                <w:sz w:val="22"/>
                <w:szCs w:val="22"/>
              </w:rPr>
              <w:t>testikulárna</w:t>
            </w:r>
            <w:proofErr w:type="spellEnd"/>
            <w:r w:rsidRPr="00E82454">
              <w:rPr>
                <w:sz w:val="22"/>
                <w:szCs w:val="22"/>
              </w:rPr>
              <w:t xml:space="preserve"> porucha</w:t>
            </w:r>
          </w:p>
        </w:tc>
      </w:tr>
      <w:tr w:rsidR="002C65BC" w:rsidRPr="00E82454" w:rsidTr="00AF4507">
        <w:trPr>
          <w:trHeight w:val="397"/>
        </w:trPr>
        <w:tc>
          <w:tcPr>
            <w:tcW w:w="9180" w:type="dxa"/>
            <w:gridSpan w:val="2"/>
            <w:tcBorders>
              <w:bottom w:val="nil"/>
            </w:tcBorders>
            <w:vAlign w:val="center"/>
          </w:tcPr>
          <w:p w:rsidR="002C65BC" w:rsidRPr="00E82454" w:rsidRDefault="002C65BC" w:rsidP="00BE40F7">
            <w:pPr>
              <w:rPr>
                <w:sz w:val="22"/>
                <w:szCs w:val="22"/>
                <w:lang w:val="en-US"/>
              </w:rPr>
            </w:pPr>
            <w:r w:rsidRPr="00E82454">
              <w:rPr>
                <w:b/>
                <w:sz w:val="22"/>
                <w:szCs w:val="22"/>
              </w:rPr>
              <w:t>Celkové poruchy a reakcie v mieste podania</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r w:rsidRPr="00E82454">
              <w:rPr>
                <w:sz w:val="22"/>
                <w:szCs w:val="22"/>
              </w:rPr>
              <w:t>vyčerpanosť, asténia, bolesť, lokálne nežiaduce účinky (pozri tabuľku 2)</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 xml:space="preserve">pocit tepla, </w:t>
            </w:r>
            <w:proofErr w:type="spellStart"/>
            <w:r w:rsidR="00557099" w:rsidRPr="00E82454">
              <w:rPr>
                <w:sz w:val="22"/>
                <w:szCs w:val="22"/>
              </w:rPr>
              <w:t>hyperh</w:t>
            </w:r>
            <w:r w:rsidR="00557099">
              <w:rPr>
                <w:sz w:val="22"/>
                <w:szCs w:val="22"/>
              </w:rPr>
              <w:t>i</w:t>
            </w:r>
            <w:r w:rsidR="00557099" w:rsidRPr="00E82454">
              <w:rPr>
                <w:sz w:val="22"/>
                <w:szCs w:val="22"/>
              </w:rPr>
              <w:t>dróza</w:t>
            </w:r>
            <w:proofErr w:type="spellEnd"/>
          </w:p>
        </w:tc>
      </w:tr>
      <w:tr w:rsidR="002C65BC" w:rsidRPr="00E82454" w:rsidTr="00AF4507">
        <w:trPr>
          <w:trHeight w:val="225"/>
        </w:trPr>
        <w:tc>
          <w:tcPr>
            <w:tcW w:w="9180" w:type="dxa"/>
            <w:gridSpan w:val="2"/>
            <w:tcBorders>
              <w:bottom w:val="nil"/>
            </w:tcBorders>
            <w:vAlign w:val="center"/>
          </w:tcPr>
          <w:p w:rsidR="002C65BC" w:rsidRPr="00E82454" w:rsidRDefault="002C65BC" w:rsidP="00BE40F7">
            <w:pPr>
              <w:rPr>
                <w:sz w:val="22"/>
                <w:szCs w:val="22"/>
                <w:lang w:val="en-US"/>
              </w:rPr>
            </w:pPr>
            <w:r w:rsidRPr="00E82454">
              <w:rPr>
                <w:b/>
                <w:sz w:val="22"/>
                <w:szCs w:val="22"/>
              </w:rPr>
              <w:t>Laboratórne a funkčné vyšetrenia</w:t>
            </w:r>
          </w:p>
        </w:tc>
      </w:tr>
      <w:tr w:rsidR="002C65BC" w:rsidRPr="00E82454" w:rsidTr="00AF4507">
        <w:trPr>
          <w:trHeight w:val="196"/>
        </w:trPr>
        <w:tc>
          <w:tcPr>
            <w:tcW w:w="1970" w:type="dxa"/>
            <w:tcBorders>
              <w:top w:val="nil"/>
              <w:bottom w:val="nil"/>
              <w:right w:val="nil"/>
            </w:tcBorders>
          </w:tcPr>
          <w:p w:rsidR="002C65BC" w:rsidRPr="00E82454" w:rsidRDefault="002C65BC" w:rsidP="00BE40F7">
            <w:pPr>
              <w:ind w:left="373"/>
              <w:rPr>
                <w:i/>
                <w:sz w:val="22"/>
                <w:szCs w:val="22"/>
                <w:lang w:val="en-GB"/>
              </w:rPr>
            </w:pPr>
            <w:r w:rsidRPr="00E82454">
              <w:rPr>
                <w:i/>
                <w:sz w:val="22"/>
                <w:szCs w:val="22"/>
              </w:rPr>
              <w:t>Časté:</w:t>
            </w:r>
          </w:p>
        </w:tc>
        <w:tc>
          <w:tcPr>
            <w:tcW w:w="7210" w:type="dxa"/>
            <w:tcBorders>
              <w:top w:val="nil"/>
              <w:left w:val="nil"/>
              <w:bottom w:val="nil"/>
            </w:tcBorders>
          </w:tcPr>
          <w:p w:rsidR="002C65BC" w:rsidRPr="00E82454" w:rsidRDefault="002C65BC" w:rsidP="00BE40F7">
            <w:pPr>
              <w:rPr>
                <w:b/>
                <w:sz w:val="22"/>
                <w:szCs w:val="22"/>
                <w:lang w:val="en-GB"/>
              </w:rPr>
            </w:pPr>
            <w:r w:rsidRPr="00E82454">
              <w:rPr>
                <w:sz w:val="22"/>
                <w:szCs w:val="22"/>
              </w:rPr>
              <w:t xml:space="preserve">zvýšená </w:t>
            </w:r>
            <w:proofErr w:type="spellStart"/>
            <w:r w:rsidRPr="00E82454">
              <w:rPr>
                <w:sz w:val="22"/>
                <w:szCs w:val="22"/>
              </w:rPr>
              <w:t>aminotransferáza</w:t>
            </w:r>
            <w:proofErr w:type="spellEnd"/>
            <w:r w:rsidRPr="00E82454">
              <w:rPr>
                <w:sz w:val="22"/>
                <w:szCs w:val="22"/>
              </w:rPr>
              <w:t xml:space="preserve"> </w:t>
            </w:r>
            <w:proofErr w:type="spellStart"/>
            <w:r w:rsidRPr="00E82454">
              <w:rPr>
                <w:sz w:val="22"/>
                <w:szCs w:val="22"/>
              </w:rPr>
              <w:t>alanínu</w:t>
            </w:r>
            <w:proofErr w:type="spellEnd"/>
            <w:r w:rsidRPr="00E82454">
              <w:rPr>
                <w:sz w:val="22"/>
                <w:szCs w:val="22"/>
              </w:rPr>
              <w:t xml:space="preserve">, zvýšená </w:t>
            </w:r>
            <w:proofErr w:type="spellStart"/>
            <w:r w:rsidRPr="00E82454">
              <w:rPr>
                <w:sz w:val="22"/>
                <w:szCs w:val="22"/>
              </w:rPr>
              <w:t>aminotransferáza</w:t>
            </w:r>
            <w:proofErr w:type="spellEnd"/>
            <w:r w:rsidRPr="00E82454">
              <w:rPr>
                <w:sz w:val="22"/>
                <w:szCs w:val="22"/>
              </w:rPr>
              <w:t xml:space="preserve"> </w:t>
            </w:r>
            <w:proofErr w:type="spellStart"/>
            <w:r w:rsidRPr="00E82454">
              <w:rPr>
                <w:sz w:val="22"/>
                <w:szCs w:val="22"/>
              </w:rPr>
              <w:t>aspartátu</w:t>
            </w:r>
            <w:proofErr w:type="spellEnd"/>
            <w:r w:rsidRPr="00E82454">
              <w:rPr>
                <w:sz w:val="22"/>
                <w:szCs w:val="22"/>
              </w:rPr>
              <w:t xml:space="preserve">, zvýšené </w:t>
            </w:r>
            <w:proofErr w:type="spellStart"/>
            <w:r w:rsidRPr="00E82454">
              <w:rPr>
                <w:sz w:val="22"/>
                <w:szCs w:val="22"/>
              </w:rPr>
              <w:t>triglyceridy</w:t>
            </w:r>
            <w:proofErr w:type="spellEnd"/>
            <w:r w:rsidRPr="00E82454">
              <w:rPr>
                <w:sz w:val="22"/>
                <w:szCs w:val="22"/>
              </w:rPr>
              <w:t xml:space="preserve"> v krvi, zvýšená </w:t>
            </w:r>
            <w:proofErr w:type="spellStart"/>
            <w:r w:rsidRPr="00E82454">
              <w:rPr>
                <w:sz w:val="22"/>
                <w:szCs w:val="22"/>
              </w:rPr>
              <w:t>fosfokináza</w:t>
            </w:r>
            <w:proofErr w:type="spellEnd"/>
            <w:r w:rsidRPr="00E82454">
              <w:rPr>
                <w:sz w:val="22"/>
                <w:szCs w:val="22"/>
              </w:rPr>
              <w:t xml:space="preserve"> </w:t>
            </w:r>
            <w:proofErr w:type="spellStart"/>
            <w:r w:rsidRPr="00E82454">
              <w:rPr>
                <w:sz w:val="22"/>
                <w:szCs w:val="22"/>
              </w:rPr>
              <w:t>kreatinínu</w:t>
            </w:r>
            <w:proofErr w:type="spellEnd"/>
            <w:r w:rsidRPr="00E82454">
              <w:rPr>
                <w:sz w:val="22"/>
                <w:szCs w:val="22"/>
              </w:rPr>
              <w:t xml:space="preserve"> v krvi, zvýšená glukóza v krvi</w:t>
            </w:r>
          </w:p>
        </w:tc>
      </w:tr>
      <w:tr w:rsidR="002C65BC" w:rsidRPr="00E82454" w:rsidTr="00AF4507">
        <w:trPr>
          <w:trHeight w:val="162"/>
        </w:trPr>
        <w:tc>
          <w:tcPr>
            <w:tcW w:w="1970" w:type="dxa"/>
            <w:tcBorders>
              <w:top w:val="nil"/>
              <w:right w:val="nil"/>
            </w:tcBorders>
          </w:tcPr>
          <w:p w:rsidR="002C65BC" w:rsidRPr="00E82454" w:rsidRDefault="002C65BC" w:rsidP="00BE40F7">
            <w:pPr>
              <w:ind w:left="373"/>
              <w:rPr>
                <w:i/>
                <w:sz w:val="22"/>
                <w:szCs w:val="22"/>
                <w:lang w:val="en-GB"/>
              </w:rPr>
            </w:pPr>
            <w:r w:rsidRPr="00E82454">
              <w:rPr>
                <w:i/>
                <w:sz w:val="22"/>
                <w:szCs w:val="22"/>
              </w:rPr>
              <w:t>Menej časté:</w:t>
            </w:r>
          </w:p>
        </w:tc>
        <w:tc>
          <w:tcPr>
            <w:tcW w:w="7210" w:type="dxa"/>
            <w:tcBorders>
              <w:top w:val="nil"/>
              <w:left w:val="nil"/>
            </w:tcBorders>
          </w:tcPr>
          <w:p w:rsidR="002C65BC" w:rsidRPr="00E82454" w:rsidRDefault="002C65BC" w:rsidP="00BE40F7">
            <w:pPr>
              <w:rPr>
                <w:b/>
                <w:sz w:val="22"/>
                <w:szCs w:val="22"/>
                <w:lang w:val="en-GB"/>
              </w:rPr>
            </w:pPr>
            <w:r w:rsidRPr="00E82454">
              <w:rPr>
                <w:sz w:val="22"/>
                <w:szCs w:val="22"/>
              </w:rPr>
              <w:t xml:space="preserve">zvýšený vápnik v krvi, zvýšený </w:t>
            </w:r>
            <w:proofErr w:type="spellStart"/>
            <w:r w:rsidRPr="00E82454">
              <w:rPr>
                <w:sz w:val="22"/>
                <w:szCs w:val="22"/>
              </w:rPr>
              <w:t>kreatinín</w:t>
            </w:r>
            <w:proofErr w:type="spellEnd"/>
            <w:r w:rsidRPr="00E82454">
              <w:rPr>
                <w:sz w:val="22"/>
                <w:szCs w:val="22"/>
              </w:rPr>
              <w:t xml:space="preserve"> v krvi, zvýšený </w:t>
            </w:r>
            <w:proofErr w:type="spellStart"/>
            <w:r w:rsidRPr="00E82454">
              <w:rPr>
                <w:sz w:val="22"/>
                <w:szCs w:val="22"/>
              </w:rPr>
              <w:t>dehydrogenovaný</w:t>
            </w:r>
            <w:proofErr w:type="spellEnd"/>
            <w:r w:rsidRPr="00E82454">
              <w:rPr>
                <w:sz w:val="22"/>
                <w:szCs w:val="22"/>
              </w:rPr>
              <w:t xml:space="preserve"> </w:t>
            </w:r>
            <w:proofErr w:type="spellStart"/>
            <w:r w:rsidRPr="00E82454">
              <w:rPr>
                <w:sz w:val="22"/>
                <w:szCs w:val="22"/>
              </w:rPr>
              <w:t>laktát</w:t>
            </w:r>
            <w:proofErr w:type="spellEnd"/>
            <w:r w:rsidRPr="00E82454">
              <w:rPr>
                <w:sz w:val="22"/>
                <w:szCs w:val="22"/>
              </w:rPr>
              <w:t xml:space="preserve"> v krvi, zvýšený draslík v krvi,</w:t>
            </w:r>
            <w:r w:rsidR="00A937C0" w:rsidRPr="00E82454">
              <w:rPr>
                <w:sz w:val="22"/>
                <w:szCs w:val="22"/>
              </w:rPr>
              <w:t xml:space="preserve"> z</w:t>
            </w:r>
            <w:r w:rsidR="00A937C0">
              <w:rPr>
                <w:sz w:val="22"/>
                <w:szCs w:val="22"/>
              </w:rPr>
              <w:t>níž</w:t>
            </w:r>
            <w:r w:rsidR="00A937C0" w:rsidRPr="00E82454">
              <w:rPr>
                <w:sz w:val="22"/>
                <w:szCs w:val="22"/>
              </w:rPr>
              <w:t>ený draslík v</w:t>
            </w:r>
            <w:r w:rsidR="00A937C0">
              <w:rPr>
                <w:sz w:val="22"/>
                <w:szCs w:val="22"/>
              </w:rPr>
              <w:t> </w:t>
            </w:r>
            <w:r w:rsidR="00A937C0" w:rsidRPr="00E82454">
              <w:rPr>
                <w:sz w:val="22"/>
                <w:szCs w:val="22"/>
              </w:rPr>
              <w:t>krvi</w:t>
            </w:r>
            <w:r w:rsidR="00A937C0">
              <w:rPr>
                <w:sz w:val="22"/>
                <w:szCs w:val="22"/>
              </w:rPr>
              <w:t xml:space="preserve">, </w:t>
            </w:r>
            <w:r w:rsidRPr="00E82454">
              <w:rPr>
                <w:sz w:val="22"/>
                <w:szCs w:val="22"/>
              </w:rPr>
              <w:t xml:space="preserve">zvýšená močovina v krvi, predĺžený QT v elektrokardiograme (pozri časti 4.4 a 4.5), skrátený QT v elektrokardiograme, inverzia T vlny v elektrokardiograme, zvýšená </w:t>
            </w:r>
            <w:proofErr w:type="spellStart"/>
            <w:r w:rsidRPr="00E82454">
              <w:rPr>
                <w:sz w:val="22"/>
                <w:szCs w:val="22"/>
              </w:rPr>
              <w:t>gama-glutamyltransferáza</w:t>
            </w:r>
            <w:proofErr w:type="spellEnd"/>
            <w:r w:rsidRPr="00E82454">
              <w:rPr>
                <w:sz w:val="22"/>
                <w:szCs w:val="22"/>
              </w:rPr>
              <w:t xml:space="preserve">, znížená rýchlosť </w:t>
            </w:r>
            <w:proofErr w:type="spellStart"/>
            <w:r w:rsidRPr="00E82454">
              <w:rPr>
                <w:sz w:val="22"/>
                <w:szCs w:val="22"/>
              </w:rPr>
              <w:t>glomerulárnej</w:t>
            </w:r>
            <w:proofErr w:type="spellEnd"/>
            <w:r w:rsidRPr="00E82454">
              <w:rPr>
                <w:sz w:val="22"/>
                <w:szCs w:val="22"/>
              </w:rPr>
              <w:t xml:space="preserve"> filtrácie, znížený </w:t>
            </w:r>
            <w:proofErr w:type="spellStart"/>
            <w:r w:rsidRPr="00E82454">
              <w:rPr>
                <w:sz w:val="22"/>
                <w:szCs w:val="22"/>
              </w:rPr>
              <w:t>hematokrit</w:t>
            </w:r>
            <w:proofErr w:type="spellEnd"/>
            <w:r w:rsidRPr="00E82454">
              <w:rPr>
                <w:sz w:val="22"/>
                <w:szCs w:val="22"/>
              </w:rPr>
              <w:t xml:space="preserve">, hematologický test mimo </w:t>
            </w:r>
            <w:r w:rsidR="00557099">
              <w:rPr>
                <w:sz w:val="22"/>
                <w:szCs w:val="22"/>
              </w:rPr>
              <w:t xml:space="preserve">bežného </w:t>
            </w:r>
            <w:r w:rsidRPr="00E82454">
              <w:rPr>
                <w:sz w:val="22"/>
                <w:szCs w:val="22"/>
              </w:rPr>
              <w:t>rozsahu, znížený hemoglobín, zvýšený priemerný objem buniek, znížený počet červených krviniek, zvýšený objem reziduálneho moču</w:t>
            </w:r>
          </w:p>
        </w:tc>
      </w:tr>
    </w:tbl>
    <w:p w:rsidR="00AC2BEE" w:rsidRPr="00E82454" w:rsidRDefault="00AC2BEE" w:rsidP="00BE40F7">
      <w:pPr>
        <w:jc w:val="both"/>
        <w:rPr>
          <w:sz w:val="22"/>
          <w:szCs w:val="22"/>
          <w:lang w:val="en-GB"/>
        </w:rPr>
      </w:pPr>
    </w:p>
    <w:p w:rsidR="00652C57" w:rsidRPr="00E82454" w:rsidRDefault="00652C57" w:rsidP="00BE40F7">
      <w:pPr>
        <w:jc w:val="both"/>
        <w:rPr>
          <w:sz w:val="22"/>
          <w:szCs w:val="22"/>
          <w:lang w:val="en-GB"/>
        </w:rPr>
      </w:pPr>
    </w:p>
    <w:p w:rsidR="00AC2BEE" w:rsidRPr="00E82454" w:rsidRDefault="00AC2BEE" w:rsidP="00BE40F7">
      <w:pPr>
        <w:jc w:val="both"/>
        <w:rPr>
          <w:sz w:val="22"/>
          <w:szCs w:val="22"/>
        </w:rPr>
      </w:pPr>
      <w:r w:rsidRPr="00E82454">
        <w:rPr>
          <w:sz w:val="22"/>
          <w:szCs w:val="22"/>
        </w:rPr>
        <w:t>Z hľadiska závažnosti bolo 84,7 % všetkých nežiaducich účinkov spájaných s liečbou mierneho alebo stredne závažného charakteru. Najčastejšie boli hlásené návaly tepla (77,3 %), z toho 57,7 % návalov tepla bolo hlásených ako mierne a 17,2 % ako stredne závažné. Päť prípadov návalov tepla (3,1%) boli hlásené ako závažné.</w:t>
      </w:r>
    </w:p>
    <w:p w:rsidR="003A7AF1" w:rsidRPr="00E82454" w:rsidRDefault="003A7AF1" w:rsidP="00BE40F7">
      <w:pPr>
        <w:jc w:val="both"/>
        <w:rPr>
          <w:sz w:val="22"/>
          <w:szCs w:val="22"/>
        </w:rPr>
      </w:pPr>
    </w:p>
    <w:p w:rsidR="00AC2BEE" w:rsidRPr="00E82454" w:rsidRDefault="00AC2BEE" w:rsidP="00BE40F7">
      <w:pPr>
        <w:jc w:val="both"/>
        <w:rPr>
          <w:sz w:val="22"/>
          <w:szCs w:val="22"/>
        </w:rPr>
      </w:pPr>
      <w:r w:rsidRPr="00E82454">
        <w:rPr>
          <w:sz w:val="22"/>
          <w:szCs w:val="22"/>
        </w:rPr>
        <w:t xml:space="preserve">24 pacientov (14,7 %) uviedlo počas štúdie celkom 38 lokálnych nežiaducich účinkov (LAR) v mieste podania. </w:t>
      </w:r>
    </w:p>
    <w:p w:rsidR="00FD6145" w:rsidRPr="00E82454" w:rsidRDefault="00FD6145" w:rsidP="00BE40F7">
      <w:pPr>
        <w:jc w:val="both"/>
        <w:rPr>
          <w:sz w:val="22"/>
          <w:szCs w:val="22"/>
        </w:rPr>
      </w:pPr>
    </w:p>
    <w:p w:rsidR="00AC2BEE" w:rsidRPr="00E82454" w:rsidRDefault="00AC2BEE" w:rsidP="00BE40F7">
      <w:pPr>
        <w:jc w:val="both"/>
        <w:rPr>
          <w:sz w:val="22"/>
          <w:szCs w:val="22"/>
        </w:rPr>
      </w:pPr>
      <w:r w:rsidRPr="00E82454">
        <w:rPr>
          <w:sz w:val="22"/>
          <w:szCs w:val="22"/>
        </w:rPr>
        <w:t xml:space="preserve">Lokálne nežiaduce účinky uvádzané po podaní injekcie </w:t>
      </w:r>
      <w:proofErr w:type="spellStart"/>
      <w:r w:rsidR="00A937C0">
        <w:rPr>
          <w:sz w:val="22"/>
          <w:szCs w:val="22"/>
        </w:rPr>
        <w:t>Lutrate</w:t>
      </w:r>
      <w:proofErr w:type="spellEnd"/>
      <w:r w:rsidR="00A937C0">
        <w:rPr>
          <w:sz w:val="22"/>
          <w:szCs w:val="22"/>
        </w:rPr>
        <w:t xml:space="preserve"> </w:t>
      </w:r>
      <w:proofErr w:type="spellStart"/>
      <w:r w:rsidR="00A937C0">
        <w:rPr>
          <w:sz w:val="22"/>
          <w:szCs w:val="22"/>
        </w:rPr>
        <w:t>Depot</w:t>
      </w:r>
      <w:proofErr w:type="spellEnd"/>
      <w:r w:rsidRPr="00E82454">
        <w:rPr>
          <w:sz w:val="22"/>
          <w:szCs w:val="22"/>
        </w:rPr>
        <w:t xml:space="preserve"> 22,5 mg sú podobné ako lokálne nežiaduce účinky spájané s podaním podobných liekov </w:t>
      </w:r>
      <w:proofErr w:type="spellStart"/>
      <w:r w:rsidRPr="00E82454">
        <w:rPr>
          <w:sz w:val="22"/>
          <w:szCs w:val="22"/>
        </w:rPr>
        <w:t>intramuskulárne</w:t>
      </w:r>
      <w:proofErr w:type="spellEnd"/>
      <w:r w:rsidRPr="00E82454">
        <w:rPr>
          <w:sz w:val="22"/>
          <w:szCs w:val="22"/>
        </w:rPr>
        <w:t xml:space="preserve">. Najčastejšie uvádzané nežiaduce účinky boli bolesť v mieste podania, </w:t>
      </w:r>
      <w:proofErr w:type="spellStart"/>
      <w:r w:rsidRPr="00E82454">
        <w:rPr>
          <w:sz w:val="22"/>
          <w:szCs w:val="22"/>
        </w:rPr>
        <w:t>erytém</w:t>
      </w:r>
      <w:proofErr w:type="spellEnd"/>
      <w:r w:rsidRPr="00E82454">
        <w:rPr>
          <w:sz w:val="22"/>
          <w:szCs w:val="22"/>
        </w:rPr>
        <w:t xml:space="preserve"> v mieste podania a stvrdnutie v mieste podania. </w:t>
      </w:r>
      <w:proofErr w:type="spellStart"/>
      <w:r w:rsidRPr="00E82454">
        <w:rPr>
          <w:sz w:val="22"/>
          <w:szCs w:val="22"/>
        </w:rPr>
        <w:t>D</w:t>
      </w:r>
      <w:r w:rsidR="0099602D" w:rsidRPr="00E82454">
        <w:rPr>
          <w:sz w:val="22"/>
          <w:szCs w:val="22"/>
        </w:rPr>
        <w:t>y</w:t>
      </w:r>
      <w:r w:rsidRPr="00E82454">
        <w:rPr>
          <w:sz w:val="22"/>
          <w:szCs w:val="22"/>
        </w:rPr>
        <w:t>skomfort</w:t>
      </w:r>
      <w:proofErr w:type="spellEnd"/>
      <w:r w:rsidRPr="00E82454">
        <w:rPr>
          <w:sz w:val="22"/>
          <w:szCs w:val="22"/>
        </w:rPr>
        <w:t xml:space="preserve"> v mieste podania, žihľavka v mieste podania, teplo v mieste podania, bolesť v mieste </w:t>
      </w:r>
      <w:r w:rsidR="007D1D96">
        <w:rPr>
          <w:sz w:val="22"/>
          <w:szCs w:val="22"/>
        </w:rPr>
        <w:t>na</w:t>
      </w:r>
      <w:r w:rsidR="007D1D96" w:rsidRPr="00E82454">
        <w:rPr>
          <w:sz w:val="22"/>
          <w:szCs w:val="22"/>
        </w:rPr>
        <w:t>pich</w:t>
      </w:r>
      <w:r w:rsidR="007D1D96">
        <w:rPr>
          <w:sz w:val="22"/>
          <w:szCs w:val="22"/>
        </w:rPr>
        <w:t>nutia cievy</w:t>
      </w:r>
      <w:r w:rsidRPr="00E82454">
        <w:rPr>
          <w:sz w:val="22"/>
          <w:szCs w:val="22"/>
        </w:rPr>
        <w:t xml:space="preserve">, </w:t>
      </w:r>
      <w:proofErr w:type="spellStart"/>
      <w:r w:rsidRPr="00E82454">
        <w:rPr>
          <w:sz w:val="22"/>
          <w:szCs w:val="22"/>
        </w:rPr>
        <w:t>artralgia</w:t>
      </w:r>
      <w:proofErr w:type="spellEnd"/>
      <w:r w:rsidRPr="00E82454">
        <w:rPr>
          <w:sz w:val="22"/>
          <w:szCs w:val="22"/>
        </w:rPr>
        <w:t>, bolesť svalov a kostí a krvácanie v mieste podania (Tabuľka 2) boli uvádzané ako menej časté.</w:t>
      </w:r>
    </w:p>
    <w:p w:rsidR="00652C57" w:rsidRPr="00E82454" w:rsidRDefault="00652C57" w:rsidP="00BE40F7">
      <w:pPr>
        <w:jc w:val="both"/>
        <w:rPr>
          <w:b/>
          <w:sz w:val="22"/>
          <w:szCs w:val="22"/>
        </w:rPr>
      </w:pPr>
    </w:p>
    <w:p w:rsidR="000E3931" w:rsidRDefault="00AC2BEE" w:rsidP="00BE40F7">
      <w:pPr>
        <w:autoSpaceDE w:val="0"/>
        <w:autoSpaceDN w:val="0"/>
        <w:adjustRightInd w:val="0"/>
        <w:ind w:right="-284"/>
        <w:jc w:val="both"/>
        <w:rPr>
          <w:b/>
          <w:sz w:val="22"/>
          <w:szCs w:val="22"/>
        </w:rPr>
      </w:pPr>
      <w:r w:rsidRPr="00E82454">
        <w:rPr>
          <w:b/>
          <w:sz w:val="22"/>
          <w:szCs w:val="22"/>
        </w:rPr>
        <w:t xml:space="preserve">Tabuľka 2. Frekvencia pacientov s lokálnymi nežiaducimi účinkami počas liečby s </w:t>
      </w:r>
      <w:r w:rsidR="000E3931">
        <w:rPr>
          <w:b/>
          <w:sz w:val="22"/>
          <w:szCs w:val="22"/>
        </w:rPr>
        <w:t xml:space="preserve">liekom </w:t>
      </w:r>
    </w:p>
    <w:p w:rsidR="000E3931" w:rsidRPr="008279F6" w:rsidRDefault="000E3931" w:rsidP="00BE40F7">
      <w:pPr>
        <w:autoSpaceDE w:val="0"/>
        <w:autoSpaceDN w:val="0"/>
        <w:adjustRightInd w:val="0"/>
        <w:ind w:right="-284"/>
        <w:jc w:val="both"/>
        <w:rPr>
          <w:b/>
          <w:sz w:val="22"/>
          <w:szCs w:val="22"/>
        </w:rPr>
      </w:pPr>
      <w:proofErr w:type="spellStart"/>
      <w:r w:rsidRPr="008279F6">
        <w:rPr>
          <w:b/>
          <w:sz w:val="22"/>
          <w:szCs w:val="22"/>
        </w:rPr>
        <w:t>Lutrate</w:t>
      </w:r>
      <w:proofErr w:type="spellEnd"/>
      <w:r w:rsidRPr="008279F6">
        <w:rPr>
          <w:b/>
          <w:sz w:val="22"/>
          <w:szCs w:val="22"/>
        </w:rPr>
        <w:t xml:space="preserve"> </w:t>
      </w:r>
      <w:proofErr w:type="spellStart"/>
      <w:r w:rsidRPr="008279F6">
        <w:rPr>
          <w:b/>
          <w:sz w:val="22"/>
          <w:szCs w:val="22"/>
        </w:rPr>
        <w:t>Depot</w:t>
      </w:r>
      <w:proofErr w:type="spellEnd"/>
      <w:r w:rsidRPr="008279F6">
        <w:rPr>
          <w:b/>
          <w:sz w:val="22"/>
          <w:szCs w:val="22"/>
        </w:rPr>
        <w:t xml:space="preserve"> 22,5 mg</w:t>
      </w:r>
    </w:p>
    <w:p w:rsidR="00AC2BEE" w:rsidRPr="00E82454" w:rsidRDefault="00AC2BEE" w:rsidP="00BE40F7">
      <w:pPr>
        <w:jc w:val="both"/>
        <w:rPr>
          <w:b/>
          <w:sz w:val="22"/>
          <w:szCs w:val="22"/>
        </w:rPr>
      </w:pPr>
      <w:r w:rsidRPr="00E82454">
        <w:rPr>
          <w:b/>
          <w:sz w:val="22"/>
          <w:szCs w:val="22"/>
        </w:rPr>
        <w:t xml:space="preserve">. </w:t>
      </w:r>
    </w:p>
    <w:tbl>
      <w:tblPr>
        <w:tblW w:w="3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72"/>
      </w:tblGrid>
      <w:tr w:rsidR="00AC2BEE" w:rsidRPr="00E82454" w:rsidTr="00652C57">
        <w:tc>
          <w:tcPr>
            <w:tcW w:w="2018" w:type="pct"/>
            <w:vMerge w:val="restart"/>
            <w:tcBorders>
              <w:right w:val="nil"/>
            </w:tcBorders>
            <w:vAlign w:val="center"/>
          </w:tcPr>
          <w:p w:rsidR="00AC2BEE" w:rsidRPr="00E82454" w:rsidRDefault="00AC2BEE" w:rsidP="00BE40F7">
            <w:pPr>
              <w:spacing w:before="40" w:after="40"/>
              <w:rPr>
                <w:b/>
                <w:sz w:val="22"/>
                <w:szCs w:val="22"/>
                <w:lang w:val="en-GB"/>
              </w:rPr>
            </w:pPr>
            <w:r w:rsidRPr="00E82454">
              <w:rPr>
                <w:b/>
                <w:sz w:val="22"/>
                <w:szCs w:val="22"/>
              </w:rPr>
              <w:t>Primárna trieda orgánových systémov</w:t>
            </w:r>
          </w:p>
          <w:p w:rsidR="00AC2BEE" w:rsidRPr="00E82454" w:rsidRDefault="00AC2BEE" w:rsidP="00BE40F7">
            <w:pPr>
              <w:spacing w:before="40" w:after="40"/>
              <w:rPr>
                <w:b/>
                <w:sz w:val="22"/>
                <w:szCs w:val="22"/>
                <w:lang w:val="en-GB"/>
              </w:rPr>
            </w:pPr>
            <w:r w:rsidRPr="00E82454">
              <w:rPr>
                <w:b/>
                <w:sz w:val="22"/>
                <w:szCs w:val="22"/>
              </w:rPr>
              <w:t>PT: Celkové poruchy a reakcie v mieste podania</w:t>
            </w:r>
          </w:p>
        </w:tc>
        <w:tc>
          <w:tcPr>
            <w:tcW w:w="2982" w:type="pct"/>
            <w:tcBorders>
              <w:left w:val="nil"/>
            </w:tcBorders>
            <w:vAlign w:val="center"/>
          </w:tcPr>
          <w:p w:rsidR="00AC2BEE" w:rsidRPr="00E82454" w:rsidRDefault="00AC2BEE" w:rsidP="00BE40F7">
            <w:pPr>
              <w:spacing w:before="40" w:after="40"/>
              <w:rPr>
                <w:b/>
                <w:sz w:val="22"/>
                <w:szCs w:val="22"/>
                <w:lang w:val="en-GB"/>
              </w:rPr>
            </w:pPr>
            <w:r w:rsidRPr="00E82454">
              <w:rPr>
                <w:b/>
                <w:sz w:val="22"/>
                <w:szCs w:val="22"/>
              </w:rPr>
              <w:t>Pacienti s lokálnymi nežiaducimi účinkami spájanými s liečbou</w:t>
            </w:r>
          </w:p>
        </w:tc>
      </w:tr>
      <w:tr w:rsidR="00AC2BEE" w:rsidRPr="00E82454" w:rsidTr="00652C57">
        <w:tc>
          <w:tcPr>
            <w:tcW w:w="2018" w:type="pct"/>
            <w:vMerge/>
            <w:tcBorders>
              <w:bottom w:val="single" w:sz="4" w:space="0" w:color="auto"/>
              <w:right w:val="nil"/>
            </w:tcBorders>
            <w:vAlign w:val="center"/>
          </w:tcPr>
          <w:p w:rsidR="00564C78" w:rsidRPr="00E82454" w:rsidRDefault="00564C78" w:rsidP="00BE40F7">
            <w:pPr>
              <w:spacing w:before="40" w:after="40"/>
              <w:rPr>
                <w:rFonts w:eastAsiaTheme="majorEastAsia"/>
                <w:b/>
                <w:bCs/>
                <w:color w:val="4F81BD"/>
                <w:sz w:val="22"/>
                <w:szCs w:val="22"/>
                <w:lang w:val="en-GB"/>
              </w:rPr>
            </w:pPr>
          </w:p>
        </w:tc>
        <w:tc>
          <w:tcPr>
            <w:tcW w:w="2982" w:type="pct"/>
            <w:tcBorders>
              <w:left w:val="nil"/>
              <w:bottom w:val="single" w:sz="4" w:space="0" w:color="auto"/>
            </w:tcBorders>
            <w:vAlign w:val="center"/>
          </w:tcPr>
          <w:p w:rsidR="00AC2BEE" w:rsidRPr="00E82454" w:rsidRDefault="00AC2BEE" w:rsidP="00BE40F7">
            <w:pPr>
              <w:spacing w:before="40" w:after="40"/>
              <w:rPr>
                <w:b/>
                <w:sz w:val="22"/>
                <w:szCs w:val="22"/>
                <w:lang w:val="en-GB"/>
              </w:rPr>
            </w:pPr>
            <w:r w:rsidRPr="00E82454">
              <w:rPr>
                <w:b/>
                <w:sz w:val="22"/>
                <w:szCs w:val="22"/>
              </w:rPr>
              <w:t>%</w:t>
            </w:r>
          </w:p>
        </w:tc>
      </w:tr>
      <w:tr w:rsidR="00652C57" w:rsidRPr="00E82454" w:rsidTr="00652C57">
        <w:tc>
          <w:tcPr>
            <w:tcW w:w="2018" w:type="pct"/>
            <w:tcBorders>
              <w:bottom w:val="nil"/>
              <w:right w:val="nil"/>
            </w:tcBorders>
            <w:vAlign w:val="center"/>
          </w:tcPr>
          <w:p w:rsidR="00652C57" w:rsidRPr="00E82454" w:rsidRDefault="00652C57" w:rsidP="00BE40F7">
            <w:pPr>
              <w:spacing w:before="40" w:after="40"/>
              <w:rPr>
                <w:i/>
                <w:sz w:val="22"/>
                <w:szCs w:val="22"/>
                <w:lang w:val="en-GB"/>
              </w:rPr>
            </w:pPr>
            <w:r w:rsidRPr="00E82454">
              <w:rPr>
                <w:i/>
                <w:sz w:val="22"/>
                <w:szCs w:val="22"/>
              </w:rPr>
              <w:t>Veľmi časté:</w:t>
            </w:r>
          </w:p>
        </w:tc>
        <w:tc>
          <w:tcPr>
            <w:tcW w:w="2982" w:type="pct"/>
            <w:tcBorders>
              <w:left w:val="nil"/>
              <w:bottom w:val="nil"/>
            </w:tcBorders>
            <w:vAlign w:val="center"/>
          </w:tcPr>
          <w:p w:rsidR="00652C57" w:rsidRPr="00E82454" w:rsidRDefault="00652C57" w:rsidP="00BE40F7">
            <w:pPr>
              <w:spacing w:before="40" w:after="40"/>
              <w:rPr>
                <w:sz w:val="22"/>
                <w:szCs w:val="22"/>
                <w:lang w:val="en-GB"/>
              </w:rPr>
            </w:pPr>
          </w:p>
        </w:tc>
      </w:tr>
      <w:tr w:rsidR="009D5C3B" w:rsidRPr="00E82454" w:rsidTr="00652C57">
        <w:tc>
          <w:tcPr>
            <w:tcW w:w="2018" w:type="pct"/>
            <w:tcBorders>
              <w:top w:val="nil"/>
              <w:bottom w:val="nil"/>
              <w:right w:val="nil"/>
            </w:tcBorders>
            <w:vAlign w:val="center"/>
          </w:tcPr>
          <w:p w:rsidR="009D5C3B" w:rsidRPr="00E82454" w:rsidRDefault="009D5C3B" w:rsidP="00BE40F7">
            <w:pPr>
              <w:spacing w:before="40" w:after="40"/>
              <w:ind w:left="298"/>
              <w:rPr>
                <w:sz w:val="22"/>
                <w:szCs w:val="22"/>
                <w:lang w:val="en-GB"/>
              </w:rPr>
            </w:pPr>
            <w:r w:rsidRPr="00E82454">
              <w:rPr>
                <w:sz w:val="22"/>
                <w:szCs w:val="22"/>
              </w:rPr>
              <w:t>Bolesť v mieste podania</w:t>
            </w:r>
          </w:p>
        </w:tc>
        <w:tc>
          <w:tcPr>
            <w:tcW w:w="2982" w:type="pct"/>
            <w:tcBorders>
              <w:top w:val="nil"/>
              <w:left w:val="nil"/>
              <w:bottom w:val="nil"/>
            </w:tcBorders>
            <w:vAlign w:val="center"/>
          </w:tcPr>
          <w:p w:rsidR="009D5C3B" w:rsidRPr="00E82454" w:rsidRDefault="007268EB" w:rsidP="00BE40F7">
            <w:pPr>
              <w:spacing w:before="40" w:after="40"/>
              <w:rPr>
                <w:sz w:val="22"/>
                <w:szCs w:val="22"/>
                <w:lang w:val="en-GB"/>
              </w:rPr>
            </w:pPr>
            <w:r w:rsidRPr="00E82454">
              <w:rPr>
                <w:sz w:val="22"/>
                <w:szCs w:val="22"/>
              </w:rPr>
              <w:t>10,4</w:t>
            </w:r>
          </w:p>
        </w:tc>
      </w:tr>
      <w:tr w:rsidR="00652C57" w:rsidRPr="00E82454" w:rsidTr="00652C57">
        <w:tc>
          <w:tcPr>
            <w:tcW w:w="2018" w:type="pct"/>
            <w:tcBorders>
              <w:top w:val="nil"/>
              <w:bottom w:val="nil"/>
              <w:right w:val="nil"/>
            </w:tcBorders>
            <w:vAlign w:val="center"/>
          </w:tcPr>
          <w:p w:rsidR="00652C57" w:rsidRPr="00E82454" w:rsidRDefault="00652C57" w:rsidP="00BE40F7">
            <w:pPr>
              <w:spacing w:before="40" w:after="40"/>
              <w:rPr>
                <w:i/>
                <w:sz w:val="22"/>
                <w:szCs w:val="22"/>
                <w:lang w:val="en-GB"/>
              </w:rPr>
            </w:pPr>
            <w:r w:rsidRPr="00E82454">
              <w:rPr>
                <w:i/>
                <w:sz w:val="22"/>
                <w:szCs w:val="22"/>
              </w:rPr>
              <w:t>Časté</w:t>
            </w:r>
          </w:p>
        </w:tc>
        <w:tc>
          <w:tcPr>
            <w:tcW w:w="2982" w:type="pct"/>
            <w:tcBorders>
              <w:top w:val="nil"/>
              <w:left w:val="nil"/>
              <w:bottom w:val="nil"/>
            </w:tcBorders>
            <w:vAlign w:val="center"/>
          </w:tcPr>
          <w:p w:rsidR="00652C57" w:rsidRPr="00E82454" w:rsidRDefault="00652C57" w:rsidP="00BE40F7">
            <w:pPr>
              <w:spacing w:before="40" w:after="40"/>
              <w:rPr>
                <w:sz w:val="22"/>
                <w:szCs w:val="22"/>
                <w:lang w:val="en-GB"/>
              </w:rPr>
            </w:pPr>
          </w:p>
        </w:tc>
      </w:tr>
      <w:tr w:rsidR="00AC2BEE" w:rsidRPr="00E82454" w:rsidTr="00652C57">
        <w:tc>
          <w:tcPr>
            <w:tcW w:w="2018" w:type="pct"/>
            <w:tcBorders>
              <w:top w:val="nil"/>
              <w:bottom w:val="nil"/>
              <w:right w:val="nil"/>
            </w:tcBorders>
            <w:vAlign w:val="center"/>
          </w:tcPr>
          <w:p w:rsidR="00AC2BEE" w:rsidRPr="00E82454" w:rsidRDefault="009D5C3B" w:rsidP="00BE40F7">
            <w:pPr>
              <w:spacing w:before="40" w:after="40"/>
              <w:ind w:left="298"/>
              <w:rPr>
                <w:sz w:val="22"/>
                <w:szCs w:val="22"/>
                <w:lang w:val="en-GB"/>
              </w:rPr>
            </w:pPr>
            <w:proofErr w:type="spellStart"/>
            <w:r w:rsidRPr="00E82454">
              <w:rPr>
                <w:sz w:val="22"/>
                <w:szCs w:val="22"/>
              </w:rPr>
              <w:t>Erytém</w:t>
            </w:r>
            <w:proofErr w:type="spellEnd"/>
            <w:r w:rsidRPr="00E82454">
              <w:rPr>
                <w:sz w:val="22"/>
                <w:szCs w:val="22"/>
              </w:rPr>
              <w:t xml:space="preserve"> v mieste podania</w:t>
            </w:r>
          </w:p>
        </w:tc>
        <w:tc>
          <w:tcPr>
            <w:tcW w:w="2982" w:type="pct"/>
            <w:tcBorders>
              <w:top w:val="nil"/>
              <w:left w:val="nil"/>
              <w:bottom w:val="nil"/>
            </w:tcBorders>
            <w:vAlign w:val="center"/>
          </w:tcPr>
          <w:p w:rsidR="00AC2BEE" w:rsidRPr="00E82454" w:rsidRDefault="009D5C3B" w:rsidP="00BE40F7">
            <w:pPr>
              <w:spacing w:before="40" w:after="40"/>
              <w:rPr>
                <w:sz w:val="22"/>
                <w:szCs w:val="22"/>
                <w:lang w:val="en-GB"/>
              </w:rPr>
            </w:pPr>
            <w:r w:rsidRPr="00E82454">
              <w:rPr>
                <w:sz w:val="22"/>
                <w:szCs w:val="22"/>
              </w:rPr>
              <w:t>3,1</w:t>
            </w:r>
          </w:p>
        </w:tc>
      </w:tr>
      <w:tr w:rsidR="00AC2BEE" w:rsidRPr="00E82454" w:rsidTr="00652C57">
        <w:tc>
          <w:tcPr>
            <w:tcW w:w="2018" w:type="pct"/>
            <w:tcBorders>
              <w:top w:val="nil"/>
              <w:bottom w:val="nil"/>
              <w:right w:val="nil"/>
            </w:tcBorders>
            <w:vAlign w:val="center"/>
          </w:tcPr>
          <w:p w:rsidR="00AC2BEE" w:rsidRPr="00E82454" w:rsidRDefault="00AC2BEE" w:rsidP="00BE40F7">
            <w:pPr>
              <w:spacing w:before="40" w:after="40"/>
              <w:ind w:left="298"/>
              <w:rPr>
                <w:sz w:val="22"/>
                <w:szCs w:val="22"/>
                <w:lang w:val="en-GB"/>
              </w:rPr>
            </w:pPr>
            <w:r w:rsidRPr="00E82454">
              <w:rPr>
                <w:sz w:val="22"/>
                <w:szCs w:val="22"/>
              </w:rPr>
              <w:t>Stvrdnutie v mieste podania</w:t>
            </w:r>
          </w:p>
        </w:tc>
        <w:tc>
          <w:tcPr>
            <w:tcW w:w="2982" w:type="pct"/>
            <w:tcBorders>
              <w:top w:val="nil"/>
              <w:left w:val="nil"/>
              <w:bottom w:val="nil"/>
            </w:tcBorders>
            <w:vAlign w:val="center"/>
          </w:tcPr>
          <w:p w:rsidR="00AC2BEE" w:rsidRPr="00E82454" w:rsidRDefault="00AC2BEE" w:rsidP="00BE40F7">
            <w:pPr>
              <w:spacing w:before="40" w:after="40"/>
              <w:rPr>
                <w:sz w:val="22"/>
                <w:szCs w:val="22"/>
                <w:lang w:val="en-GB"/>
              </w:rPr>
            </w:pPr>
            <w:r w:rsidRPr="00E82454">
              <w:rPr>
                <w:sz w:val="22"/>
                <w:szCs w:val="22"/>
              </w:rPr>
              <w:t xml:space="preserve"> 2,5</w:t>
            </w:r>
          </w:p>
        </w:tc>
      </w:tr>
      <w:tr w:rsidR="00AC2BEE" w:rsidRPr="00E82454" w:rsidTr="00652C57">
        <w:tc>
          <w:tcPr>
            <w:tcW w:w="2018" w:type="pct"/>
            <w:tcBorders>
              <w:top w:val="nil"/>
              <w:bottom w:val="nil"/>
              <w:right w:val="nil"/>
            </w:tcBorders>
            <w:vAlign w:val="center"/>
          </w:tcPr>
          <w:p w:rsidR="00AC2BEE" w:rsidRPr="00E82454" w:rsidRDefault="00652C57" w:rsidP="00BE40F7">
            <w:pPr>
              <w:spacing w:before="40" w:after="40"/>
              <w:rPr>
                <w:i/>
                <w:sz w:val="22"/>
                <w:szCs w:val="22"/>
                <w:lang w:val="en-GB"/>
              </w:rPr>
            </w:pPr>
            <w:r w:rsidRPr="00E82454">
              <w:rPr>
                <w:i/>
                <w:sz w:val="22"/>
                <w:szCs w:val="22"/>
              </w:rPr>
              <w:t>Menej časté</w:t>
            </w:r>
          </w:p>
        </w:tc>
        <w:tc>
          <w:tcPr>
            <w:tcW w:w="2982" w:type="pct"/>
            <w:tcBorders>
              <w:top w:val="nil"/>
              <w:left w:val="nil"/>
              <w:bottom w:val="nil"/>
            </w:tcBorders>
            <w:vAlign w:val="center"/>
          </w:tcPr>
          <w:p w:rsidR="00AC2BEE" w:rsidRPr="00E82454" w:rsidRDefault="00AC2BEE" w:rsidP="00BE40F7">
            <w:pPr>
              <w:spacing w:before="40" w:after="40"/>
              <w:rPr>
                <w:sz w:val="22"/>
                <w:szCs w:val="22"/>
                <w:lang w:val="en-GB"/>
              </w:rPr>
            </w:pPr>
          </w:p>
        </w:tc>
      </w:tr>
      <w:tr w:rsidR="00652C57" w:rsidRPr="00E82454" w:rsidTr="00652C57">
        <w:tc>
          <w:tcPr>
            <w:tcW w:w="2018" w:type="pct"/>
            <w:tcBorders>
              <w:top w:val="nil"/>
              <w:bottom w:val="nil"/>
              <w:right w:val="nil"/>
            </w:tcBorders>
            <w:vAlign w:val="center"/>
          </w:tcPr>
          <w:p w:rsidR="00652C57" w:rsidRPr="00E82454" w:rsidRDefault="00652C57" w:rsidP="00BE40F7">
            <w:pPr>
              <w:spacing w:before="40" w:after="40"/>
              <w:ind w:left="298"/>
              <w:rPr>
                <w:sz w:val="22"/>
                <w:szCs w:val="22"/>
                <w:lang w:val="en-GB"/>
              </w:rPr>
            </w:pPr>
            <w:proofErr w:type="spellStart"/>
            <w:r w:rsidRPr="00E82454">
              <w:rPr>
                <w:sz w:val="22"/>
                <w:szCs w:val="22"/>
              </w:rPr>
              <w:t>Diskomfort</w:t>
            </w:r>
            <w:proofErr w:type="spellEnd"/>
            <w:r w:rsidRPr="00E82454">
              <w:rPr>
                <w:sz w:val="22"/>
                <w:szCs w:val="22"/>
              </w:rPr>
              <w:t xml:space="preserve"> v mieste </w:t>
            </w:r>
            <w:r w:rsidRPr="00E82454">
              <w:rPr>
                <w:sz w:val="22"/>
                <w:szCs w:val="22"/>
              </w:rPr>
              <w:lastRenderedPageBreak/>
              <w:t>podania</w:t>
            </w:r>
          </w:p>
        </w:tc>
        <w:tc>
          <w:tcPr>
            <w:tcW w:w="2982" w:type="pct"/>
            <w:tcBorders>
              <w:top w:val="nil"/>
              <w:left w:val="nil"/>
              <w:bottom w:val="nil"/>
            </w:tcBorders>
            <w:vAlign w:val="center"/>
          </w:tcPr>
          <w:p w:rsidR="00652C57" w:rsidRPr="00E82454" w:rsidRDefault="00652C57" w:rsidP="00BE40F7">
            <w:pPr>
              <w:spacing w:before="40" w:after="40"/>
              <w:rPr>
                <w:sz w:val="22"/>
                <w:szCs w:val="22"/>
                <w:lang w:val="en-GB"/>
              </w:rPr>
            </w:pPr>
            <w:r w:rsidRPr="00E82454">
              <w:rPr>
                <w:sz w:val="22"/>
                <w:szCs w:val="22"/>
              </w:rPr>
              <w:lastRenderedPageBreak/>
              <w:t xml:space="preserve"> 0,6</w:t>
            </w:r>
          </w:p>
        </w:tc>
      </w:tr>
      <w:tr w:rsidR="00652C57" w:rsidRPr="00E82454" w:rsidTr="00652C57">
        <w:tc>
          <w:tcPr>
            <w:tcW w:w="2018" w:type="pct"/>
            <w:tcBorders>
              <w:top w:val="nil"/>
              <w:bottom w:val="nil"/>
              <w:right w:val="nil"/>
            </w:tcBorders>
            <w:vAlign w:val="center"/>
          </w:tcPr>
          <w:p w:rsidR="00652C57" w:rsidRPr="00E82454" w:rsidRDefault="00652C57" w:rsidP="00BE40F7">
            <w:pPr>
              <w:spacing w:before="40" w:after="40"/>
              <w:ind w:left="298"/>
              <w:rPr>
                <w:sz w:val="22"/>
                <w:szCs w:val="22"/>
                <w:lang w:val="en-GB"/>
              </w:rPr>
            </w:pPr>
            <w:r w:rsidRPr="00E82454">
              <w:rPr>
                <w:sz w:val="22"/>
                <w:szCs w:val="22"/>
              </w:rPr>
              <w:lastRenderedPageBreak/>
              <w:t>Žihľavka v mieste podania</w:t>
            </w:r>
          </w:p>
        </w:tc>
        <w:tc>
          <w:tcPr>
            <w:tcW w:w="2982" w:type="pct"/>
            <w:tcBorders>
              <w:top w:val="nil"/>
              <w:left w:val="nil"/>
              <w:bottom w:val="nil"/>
            </w:tcBorders>
            <w:vAlign w:val="center"/>
          </w:tcPr>
          <w:p w:rsidR="00652C57" w:rsidRPr="00E82454" w:rsidRDefault="00652C57" w:rsidP="00BE40F7">
            <w:pPr>
              <w:spacing w:before="40" w:after="40"/>
              <w:rPr>
                <w:sz w:val="22"/>
                <w:szCs w:val="22"/>
                <w:lang w:val="en-GB"/>
              </w:rPr>
            </w:pPr>
            <w:r w:rsidRPr="00E82454">
              <w:rPr>
                <w:sz w:val="22"/>
                <w:szCs w:val="22"/>
              </w:rPr>
              <w:t xml:space="preserve"> 0,6</w:t>
            </w:r>
          </w:p>
        </w:tc>
      </w:tr>
      <w:tr w:rsidR="00AC2BEE" w:rsidRPr="00E82454" w:rsidTr="00652C57">
        <w:tc>
          <w:tcPr>
            <w:tcW w:w="2018" w:type="pct"/>
            <w:tcBorders>
              <w:top w:val="nil"/>
              <w:bottom w:val="nil"/>
              <w:right w:val="nil"/>
            </w:tcBorders>
            <w:vAlign w:val="center"/>
          </w:tcPr>
          <w:p w:rsidR="00AC2BEE" w:rsidRPr="00E82454" w:rsidRDefault="00AC2BEE" w:rsidP="00BE40F7">
            <w:pPr>
              <w:spacing w:before="40" w:after="40"/>
              <w:ind w:left="298"/>
              <w:rPr>
                <w:sz w:val="22"/>
                <w:szCs w:val="22"/>
                <w:lang w:val="en-GB"/>
              </w:rPr>
            </w:pPr>
            <w:r w:rsidRPr="00E82454">
              <w:rPr>
                <w:sz w:val="22"/>
                <w:szCs w:val="22"/>
              </w:rPr>
              <w:t>Teplo v mieste podania</w:t>
            </w:r>
          </w:p>
        </w:tc>
        <w:tc>
          <w:tcPr>
            <w:tcW w:w="2982" w:type="pct"/>
            <w:tcBorders>
              <w:top w:val="nil"/>
              <w:left w:val="nil"/>
              <w:bottom w:val="nil"/>
            </w:tcBorders>
            <w:vAlign w:val="center"/>
          </w:tcPr>
          <w:p w:rsidR="00AC2BEE" w:rsidRPr="00E82454" w:rsidRDefault="00AC2BEE" w:rsidP="00BE40F7">
            <w:pPr>
              <w:spacing w:before="40" w:after="40"/>
              <w:rPr>
                <w:sz w:val="22"/>
                <w:szCs w:val="22"/>
                <w:lang w:val="en-GB"/>
              </w:rPr>
            </w:pPr>
            <w:r w:rsidRPr="00E82454">
              <w:rPr>
                <w:sz w:val="22"/>
                <w:szCs w:val="22"/>
              </w:rPr>
              <w:t xml:space="preserve"> 0,6</w:t>
            </w:r>
          </w:p>
        </w:tc>
      </w:tr>
      <w:tr w:rsidR="00AC2BEE" w:rsidRPr="00E82454" w:rsidTr="00652C57">
        <w:tc>
          <w:tcPr>
            <w:tcW w:w="2018" w:type="pct"/>
            <w:tcBorders>
              <w:top w:val="nil"/>
              <w:bottom w:val="nil"/>
              <w:right w:val="nil"/>
            </w:tcBorders>
            <w:vAlign w:val="center"/>
          </w:tcPr>
          <w:p w:rsidR="00AC2BEE" w:rsidRPr="00E82454" w:rsidRDefault="00AC2BEE" w:rsidP="00BE40F7">
            <w:pPr>
              <w:spacing w:before="40" w:after="40"/>
              <w:ind w:left="298"/>
              <w:rPr>
                <w:sz w:val="22"/>
                <w:szCs w:val="22"/>
                <w:lang w:val="en-GB"/>
              </w:rPr>
            </w:pPr>
            <w:r w:rsidRPr="00E82454">
              <w:rPr>
                <w:sz w:val="22"/>
                <w:szCs w:val="22"/>
              </w:rPr>
              <w:t>Krvácanie v mieste podania</w:t>
            </w:r>
          </w:p>
        </w:tc>
        <w:tc>
          <w:tcPr>
            <w:tcW w:w="2982" w:type="pct"/>
            <w:tcBorders>
              <w:top w:val="nil"/>
              <w:left w:val="nil"/>
              <w:bottom w:val="nil"/>
            </w:tcBorders>
            <w:vAlign w:val="center"/>
          </w:tcPr>
          <w:p w:rsidR="00AC2BEE" w:rsidRPr="00E82454" w:rsidRDefault="00AC2BEE" w:rsidP="00BE40F7">
            <w:pPr>
              <w:spacing w:before="40" w:after="40"/>
              <w:rPr>
                <w:sz w:val="22"/>
                <w:szCs w:val="22"/>
                <w:lang w:val="en-GB"/>
              </w:rPr>
            </w:pPr>
            <w:r w:rsidRPr="00E82454">
              <w:rPr>
                <w:sz w:val="22"/>
                <w:szCs w:val="22"/>
              </w:rPr>
              <w:t xml:space="preserve"> 0,6</w:t>
            </w:r>
          </w:p>
        </w:tc>
      </w:tr>
      <w:tr w:rsidR="00652C57" w:rsidRPr="00E82454" w:rsidTr="00652C57">
        <w:tc>
          <w:tcPr>
            <w:tcW w:w="2018" w:type="pct"/>
            <w:tcBorders>
              <w:top w:val="nil"/>
              <w:bottom w:val="nil"/>
              <w:right w:val="nil"/>
            </w:tcBorders>
            <w:vAlign w:val="center"/>
          </w:tcPr>
          <w:p w:rsidR="00652C57" w:rsidRPr="00E82454" w:rsidRDefault="00652C57" w:rsidP="00BE40F7">
            <w:pPr>
              <w:spacing w:before="40" w:after="40"/>
              <w:ind w:left="298"/>
              <w:rPr>
                <w:sz w:val="22"/>
                <w:szCs w:val="22"/>
                <w:lang w:val="en-GB"/>
              </w:rPr>
            </w:pPr>
            <w:proofErr w:type="spellStart"/>
            <w:r w:rsidRPr="00E82454">
              <w:rPr>
                <w:sz w:val="22"/>
                <w:szCs w:val="22"/>
              </w:rPr>
              <w:t>Artralgia</w:t>
            </w:r>
            <w:proofErr w:type="spellEnd"/>
          </w:p>
        </w:tc>
        <w:tc>
          <w:tcPr>
            <w:tcW w:w="2982" w:type="pct"/>
            <w:tcBorders>
              <w:top w:val="nil"/>
              <w:left w:val="nil"/>
              <w:bottom w:val="nil"/>
            </w:tcBorders>
            <w:vAlign w:val="center"/>
          </w:tcPr>
          <w:p w:rsidR="00652C57" w:rsidRPr="00E82454" w:rsidRDefault="00652C57" w:rsidP="00BE40F7">
            <w:pPr>
              <w:spacing w:before="40" w:after="40"/>
              <w:rPr>
                <w:sz w:val="22"/>
                <w:szCs w:val="22"/>
                <w:lang w:val="en-GB"/>
              </w:rPr>
            </w:pPr>
            <w:r w:rsidRPr="00E82454">
              <w:rPr>
                <w:sz w:val="22"/>
                <w:szCs w:val="22"/>
              </w:rPr>
              <w:t>0,6</w:t>
            </w:r>
          </w:p>
        </w:tc>
      </w:tr>
      <w:tr w:rsidR="00652C57" w:rsidRPr="00E82454" w:rsidTr="00652C57">
        <w:tc>
          <w:tcPr>
            <w:tcW w:w="2018" w:type="pct"/>
            <w:tcBorders>
              <w:top w:val="nil"/>
              <w:bottom w:val="nil"/>
              <w:right w:val="nil"/>
            </w:tcBorders>
            <w:vAlign w:val="center"/>
          </w:tcPr>
          <w:p w:rsidR="00652C57" w:rsidRPr="00E82454" w:rsidRDefault="00652C57" w:rsidP="00BE40F7">
            <w:pPr>
              <w:spacing w:before="40" w:after="40"/>
              <w:ind w:left="298"/>
              <w:rPr>
                <w:sz w:val="22"/>
                <w:szCs w:val="22"/>
                <w:lang w:val="en-GB"/>
              </w:rPr>
            </w:pPr>
            <w:r w:rsidRPr="00E82454">
              <w:rPr>
                <w:sz w:val="22"/>
                <w:szCs w:val="22"/>
              </w:rPr>
              <w:t>Bolesť svalov a kostí</w:t>
            </w:r>
          </w:p>
        </w:tc>
        <w:tc>
          <w:tcPr>
            <w:tcW w:w="2982" w:type="pct"/>
            <w:tcBorders>
              <w:top w:val="nil"/>
              <w:left w:val="nil"/>
              <w:bottom w:val="nil"/>
            </w:tcBorders>
            <w:vAlign w:val="center"/>
          </w:tcPr>
          <w:p w:rsidR="00652C57" w:rsidRPr="00E82454" w:rsidRDefault="00652C57" w:rsidP="00BE40F7">
            <w:pPr>
              <w:spacing w:before="40" w:after="40"/>
              <w:rPr>
                <w:sz w:val="22"/>
                <w:szCs w:val="22"/>
                <w:lang w:val="en-GB"/>
              </w:rPr>
            </w:pPr>
            <w:r w:rsidRPr="00E82454">
              <w:rPr>
                <w:sz w:val="22"/>
                <w:szCs w:val="22"/>
              </w:rPr>
              <w:t>0,6</w:t>
            </w:r>
          </w:p>
        </w:tc>
      </w:tr>
      <w:tr w:rsidR="00652C57" w:rsidRPr="00E82454" w:rsidTr="00652C57">
        <w:tc>
          <w:tcPr>
            <w:tcW w:w="2018" w:type="pct"/>
            <w:tcBorders>
              <w:top w:val="nil"/>
              <w:right w:val="nil"/>
            </w:tcBorders>
            <w:vAlign w:val="center"/>
          </w:tcPr>
          <w:p w:rsidR="00652C57" w:rsidRPr="00E82454" w:rsidRDefault="00652C57" w:rsidP="00BE40F7">
            <w:pPr>
              <w:spacing w:before="40" w:after="40"/>
              <w:ind w:left="298"/>
              <w:rPr>
                <w:sz w:val="22"/>
                <w:szCs w:val="22"/>
                <w:lang w:val="en-GB"/>
              </w:rPr>
            </w:pPr>
            <w:r w:rsidRPr="00E82454">
              <w:rPr>
                <w:sz w:val="22"/>
                <w:szCs w:val="22"/>
              </w:rPr>
              <w:t>Bolesť v mieste vpichu</w:t>
            </w:r>
          </w:p>
        </w:tc>
        <w:tc>
          <w:tcPr>
            <w:tcW w:w="2982" w:type="pct"/>
            <w:tcBorders>
              <w:top w:val="nil"/>
              <w:left w:val="nil"/>
            </w:tcBorders>
            <w:vAlign w:val="center"/>
          </w:tcPr>
          <w:p w:rsidR="00652C57" w:rsidRPr="00E82454" w:rsidRDefault="00652C57" w:rsidP="00BE40F7">
            <w:pPr>
              <w:spacing w:before="40" w:after="40"/>
              <w:rPr>
                <w:sz w:val="22"/>
                <w:szCs w:val="22"/>
                <w:lang w:val="en-GB"/>
              </w:rPr>
            </w:pPr>
            <w:r w:rsidRPr="00E82454">
              <w:rPr>
                <w:sz w:val="22"/>
                <w:szCs w:val="22"/>
              </w:rPr>
              <w:t>0,6</w:t>
            </w:r>
          </w:p>
        </w:tc>
      </w:tr>
    </w:tbl>
    <w:p w:rsidR="00AC2BEE" w:rsidRPr="00E82454" w:rsidRDefault="00AC2BEE" w:rsidP="00BE40F7">
      <w:pPr>
        <w:jc w:val="both"/>
        <w:rPr>
          <w:sz w:val="22"/>
          <w:szCs w:val="22"/>
        </w:rPr>
      </w:pPr>
      <w:r w:rsidRPr="00E82454">
        <w:rPr>
          <w:sz w:val="22"/>
          <w:szCs w:val="22"/>
        </w:rPr>
        <w:t>* Pacienti môžu spadať do viac než jednej skupiny; LAR: lokálny nežiaduci účinok; SOC: trieda orgánových systémov</w:t>
      </w:r>
    </w:p>
    <w:p w:rsidR="00AC2BEE" w:rsidRPr="00E82454" w:rsidRDefault="00AC2BEE" w:rsidP="00BE40F7">
      <w:pPr>
        <w:autoSpaceDE w:val="0"/>
        <w:autoSpaceDN w:val="0"/>
        <w:adjustRightInd w:val="0"/>
        <w:jc w:val="both"/>
        <w:rPr>
          <w:sz w:val="22"/>
          <w:szCs w:val="22"/>
        </w:rPr>
      </w:pPr>
    </w:p>
    <w:p w:rsidR="00AC2BEE" w:rsidRPr="00E82454" w:rsidRDefault="00AC2BEE" w:rsidP="00BE40F7">
      <w:pPr>
        <w:autoSpaceDE w:val="0"/>
        <w:autoSpaceDN w:val="0"/>
        <w:adjustRightInd w:val="0"/>
        <w:jc w:val="both"/>
        <w:rPr>
          <w:sz w:val="22"/>
          <w:szCs w:val="22"/>
        </w:rPr>
      </w:pPr>
      <w:r w:rsidRPr="00E82454">
        <w:rPr>
          <w:sz w:val="22"/>
          <w:szCs w:val="22"/>
        </w:rPr>
        <w:t>Všetky tieto nežiaduce účinky boli hlásené ako nezávažné, mierne alebo strednej závažnosti. Ani jeden pacient neprerušil liečbu z dôvodu lokálnych nežiaducich účinkov.</w:t>
      </w:r>
    </w:p>
    <w:p w:rsidR="00652C57" w:rsidRPr="00E82454" w:rsidRDefault="00652C57" w:rsidP="00BE40F7">
      <w:pPr>
        <w:jc w:val="both"/>
        <w:rPr>
          <w:sz w:val="22"/>
          <w:szCs w:val="22"/>
          <w:u w:val="single"/>
        </w:rPr>
      </w:pPr>
    </w:p>
    <w:p w:rsidR="00652C57" w:rsidRPr="00E82454" w:rsidRDefault="009E1BEC" w:rsidP="00BE40F7">
      <w:pPr>
        <w:jc w:val="both"/>
        <w:rPr>
          <w:sz w:val="22"/>
          <w:szCs w:val="22"/>
        </w:rPr>
      </w:pPr>
      <w:r w:rsidRPr="00E82454">
        <w:rPr>
          <w:sz w:val="22"/>
          <w:szCs w:val="22"/>
          <w:u w:val="single"/>
        </w:rPr>
        <w:t xml:space="preserve">Ostatné nežiaduce účinky, ktoré boli hlásené ako všeobecné pri liečbe s </w:t>
      </w:r>
      <w:proofErr w:type="spellStart"/>
      <w:r w:rsidRPr="00E82454">
        <w:rPr>
          <w:sz w:val="22"/>
          <w:szCs w:val="22"/>
          <w:u w:val="single"/>
        </w:rPr>
        <w:t>leuprorelíniumacetátom</w:t>
      </w:r>
      <w:proofErr w:type="spellEnd"/>
      <w:r w:rsidRPr="00E82454">
        <w:rPr>
          <w:sz w:val="22"/>
          <w:szCs w:val="22"/>
          <w:u w:val="single"/>
        </w:rPr>
        <w:t xml:space="preserve"> zahrňujú:</w:t>
      </w:r>
    </w:p>
    <w:p w:rsidR="00AC2BEE" w:rsidRPr="00E82454" w:rsidRDefault="00652C57" w:rsidP="00BE40F7">
      <w:pPr>
        <w:jc w:val="both"/>
        <w:rPr>
          <w:sz w:val="22"/>
          <w:szCs w:val="22"/>
        </w:rPr>
      </w:pPr>
      <w:r w:rsidRPr="00E82454">
        <w:rPr>
          <w:sz w:val="22"/>
          <w:szCs w:val="22"/>
        </w:rPr>
        <w:t xml:space="preserve">periférny edém, pľúcna embólia, búšenie srdca, </w:t>
      </w:r>
      <w:proofErr w:type="spellStart"/>
      <w:r w:rsidRPr="00E82454">
        <w:rPr>
          <w:sz w:val="22"/>
          <w:szCs w:val="22"/>
        </w:rPr>
        <w:t>myalgia</w:t>
      </w:r>
      <w:proofErr w:type="spellEnd"/>
      <w:r w:rsidRPr="00E82454">
        <w:rPr>
          <w:sz w:val="22"/>
          <w:szCs w:val="22"/>
        </w:rPr>
        <w:t xml:space="preserve">, svalová slabosť, zimnica, </w:t>
      </w:r>
      <w:proofErr w:type="spellStart"/>
      <w:r w:rsidRPr="00E82454">
        <w:rPr>
          <w:sz w:val="22"/>
          <w:szCs w:val="22"/>
        </w:rPr>
        <w:t>vertigo</w:t>
      </w:r>
      <w:proofErr w:type="spellEnd"/>
      <w:r w:rsidRPr="00E82454">
        <w:rPr>
          <w:sz w:val="22"/>
          <w:szCs w:val="22"/>
        </w:rPr>
        <w:t xml:space="preserve"> periférneho pôvodu, vyrážka, amnézia, poruchy videnia a zmena </w:t>
      </w:r>
      <w:r w:rsidR="000E3931" w:rsidRPr="00E82454">
        <w:rPr>
          <w:sz w:val="22"/>
          <w:szCs w:val="22"/>
        </w:rPr>
        <w:t>citlivos</w:t>
      </w:r>
      <w:r w:rsidR="000E3931">
        <w:rPr>
          <w:sz w:val="22"/>
          <w:szCs w:val="22"/>
        </w:rPr>
        <w:t>ti</w:t>
      </w:r>
      <w:r w:rsidR="000E3931" w:rsidRPr="00E82454">
        <w:rPr>
          <w:sz w:val="22"/>
          <w:szCs w:val="22"/>
        </w:rPr>
        <w:t xml:space="preserve"> </w:t>
      </w:r>
      <w:r w:rsidRPr="00E82454">
        <w:rPr>
          <w:sz w:val="22"/>
          <w:szCs w:val="22"/>
        </w:rPr>
        <w:t xml:space="preserve">kože. Infarkt už </w:t>
      </w:r>
      <w:r w:rsidR="005B6176" w:rsidRPr="00E82454">
        <w:rPr>
          <w:sz w:val="22"/>
          <w:szCs w:val="22"/>
        </w:rPr>
        <w:t>existujúce</w:t>
      </w:r>
      <w:r w:rsidR="005B6176">
        <w:rPr>
          <w:sz w:val="22"/>
          <w:szCs w:val="22"/>
        </w:rPr>
        <w:t>ho</w:t>
      </w:r>
      <w:r w:rsidR="005B6176" w:rsidRPr="00E82454">
        <w:rPr>
          <w:sz w:val="22"/>
          <w:szCs w:val="22"/>
        </w:rPr>
        <w:t xml:space="preserve"> </w:t>
      </w:r>
      <w:proofErr w:type="spellStart"/>
      <w:r w:rsidR="005B6176">
        <w:rPr>
          <w:sz w:val="22"/>
          <w:szCs w:val="22"/>
        </w:rPr>
        <w:t>adenómu</w:t>
      </w:r>
      <w:proofErr w:type="spellEnd"/>
      <w:r w:rsidR="005B6176" w:rsidRPr="00E82454">
        <w:rPr>
          <w:sz w:val="22"/>
          <w:szCs w:val="22"/>
        </w:rPr>
        <w:t xml:space="preserve"> </w:t>
      </w:r>
      <w:r w:rsidRPr="00E82454">
        <w:rPr>
          <w:sz w:val="22"/>
          <w:szCs w:val="22"/>
        </w:rPr>
        <w:t xml:space="preserve">hypofýzy sa po podaní LHRH </w:t>
      </w:r>
      <w:proofErr w:type="spellStart"/>
      <w:r w:rsidRPr="00E82454">
        <w:rPr>
          <w:sz w:val="22"/>
          <w:szCs w:val="22"/>
        </w:rPr>
        <w:t>agonistov</w:t>
      </w:r>
      <w:proofErr w:type="spellEnd"/>
      <w:r w:rsidRPr="00E82454">
        <w:rPr>
          <w:sz w:val="22"/>
          <w:szCs w:val="22"/>
        </w:rPr>
        <w:t xml:space="preserve"> s krátkou aj dlhou dobou účinnosti vyskytol zriedkavo. </w:t>
      </w:r>
      <w:proofErr w:type="spellStart"/>
      <w:r w:rsidRPr="00E82454">
        <w:rPr>
          <w:sz w:val="22"/>
          <w:szCs w:val="22"/>
        </w:rPr>
        <w:t>Trombocytopénia</w:t>
      </w:r>
      <w:proofErr w:type="spellEnd"/>
      <w:r w:rsidRPr="00E82454">
        <w:rPr>
          <w:sz w:val="22"/>
          <w:szCs w:val="22"/>
        </w:rPr>
        <w:t xml:space="preserve"> a </w:t>
      </w:r>
      <w:proofErr w:type="spellStart"/>
      <w:r w:rsidRPr="00E82454">
        <w:rPr>
          <w:sz w:val="22"/>
          <w:szCs w:val="22"/>
        </w:rPr>
        <w:t>leukopénia</w:t>
      </w:r>
      <w:proofErr w:type="spellEnd"/>
      <w:r w:rsidRPr="00E82454">
        <w:rPr>
          <w:sz w:val="22"/>
          <w:szCs w:val="22"/>
        </w:rPr>
        <w:t xml:space="preserve"> boli hlásené zriedkavo. Vyskytli sa aj prípady zmeny glukózovej tolerancie.</w:t>
      </w:r>
    </w:p>
    <w:p w:rsidR="004D0D29" w:rsidRPr="00E82454" w:rsidRDefault="004D0D29" w:rsidP="00BE40F7">
      <w:pPr>
        <w:jc w:val="both"/>
        <w:rPr>
          <w:sz w:val="22"/>
          <w:szCs w:val="22"/>
        </w:rPr>
      </w:pPr>
    </w:p>
    <w:p w:rsidR="00CD3916" w:rsidRPr="00E82454" w:rsidRDefault="00CD3916" w:rsidP="00BE40F7">
      <w:pPr>
        <w:jc w:val="both"/>
        <w:rPr>
          <w:sz w:val="22"/>
          <w:szCs w:val="22"/>
          <w:u w:val="single"/>
        </w:rPr>
      </w:pPr>
      <w:r w:rsidRPr="00E82454">
        <w:rPr>
          <w:sz w:val="22"/>
          <w:szCs w:val="22"/>
          <w:u w:val="single"/>
        </w:rPr>
        <w:t>Zmeny hustoty kostí</w:t>
      </w:r>
    </w:p>
    <w:p w:rsidR="00CD3916" w:rsidRPr="00E82454" w:rsidRDefault="00CD3916" w:rsidP="00BE40F7">
      <w:pPr>
        <w:jc w:val="both"/>
        <w:rPr>
          <w:sz w:val="22"/>
          <w:szCs w:val="22"/>
        </w:rPr>
      </w:pPr>
      <w:r w:rsidRPr="00E82454">
        <w:rPr>
          <w:sz w:val="22"/>
          <w:szCs w:val="22"/>
        </w:rPr>
        <w:t xml:space="preserve">Lekárska literatúra uvádza, že sa zistilo zníženie hustoty kostí u mužov, ktorí sa podrobili </w:t>
      </w:r>
      <w:proofErr w:type="spellStart"/>
      <w:r w:rsidRPr="00E82454">
        <w:rPr>
          <w:sz w:val="22"/>
          <w:szCs w:val="22"/>
        </w:rPr>
        <w:t>orchiektómii</w:t>
      </w:r>
      <w:proofErr w:type="spellEnd"/>
      <w:r w:rsidRPr="00E82454">
        <w:rPr>
          <w:sz w:val="22"/>
          <w:szCs w:val="22"/>
        </w:rPr>
        <w:t xml:space="preserve"> alebo ktorí boli liečení </w:t>
      </w:r>
      <w:proofErr w:type="spellStart"/>
      <w:r w:rsidRPr="00E82454">
        <w:rPr>
          <w:sz w:val="22"/>
          <w:szCs w:val="22"/>
        </w:rPr>
        <w:t>analógmi</w:t>
      </w:r>
      <w:proofErr w:type="spellEnd"/>
      <w:r w:rsidRPr="00E82454">
        <w:rPr>
          <w:sz w:val="22"/>
          <w:szCs w:val="22"/>
        </w:rPr>
        <w:t xml:space="preserve"> LHRH. Možno očakávať, že dlhodobá liečba s </w:t>
      </w:r>
      <w:proofErr w:type="spellStart"/>
      <w:r w:rsidRPr="00E82454">
        <w:rPr>
          <w:sz w:val="22"/>
          <w:szCs w:val="22"/>
        </w:rPr>
        <w:t>leuprorelínom</w:t>
      </w:r>
      <w:proofErr w:type="spellEnd"/>
      <w:r w:rsidRPr="00E82454">
        <w:rPr>
          <w:sz w:val="22"/>
          <w:szCs w:val="22"/>
        </w:rPr>
        <w:t xml:space="preserve"> môže vykazovať </w:t>
      </w:r>
      <w:r w:rsidR="000E3931">
        <w:rPr>
          <w:sz w:val="22"/>
          <w:szCs w:val="22"/>
        </w:rPr>
        <w:t xml:space="preserve">stupňujúce sa </w:t>
      </w:r>
      <w:r w:rsidRPr="00E82454">
        <w:rPr>
          <w:sz w:val="22"/>
          <w:szCs w:val="22"/>
        </w:rPr>
        <w:t xml:space="preserve">príznaky </w:t>
      </w:r>
      <w:proofErr w:type="spellStart"/>
      <w:r w:rsidR="000E3931" w:rsidRPr="00E82454">
        <w:rPr>
          <w:sz w:val="22"/>
          <w:szCs w:val="22"/>
        </w:rPr>
        <w:t>osteopor</w:t>
      </w:r>
      <w:r w:rsidR="000E3931">
        <w:rPr>
          <w:sz w:val="22"/>
          <w:szCs w:val="22"/>
        </w:rPr>
        <w:t>ó</w:t>
      </w:r>
      <w:r w:rsidR="000E3931" w:rsidRPr="00E82454">
        <w:rPr>
          <w:sz w:val="22"/>
          <w:szCs w:val="22"/>
        </w:rPr>
        <w:t>zy</w:t>
      </w:r>
      <w:proofErr w:type="spellEnd"/>
      <w:r w:rsidRPr="00E82454">
        <w:rPr>
          <w:sz w:val="22"/>
          <w:szCs w:val="22"/>
        </w:rPr>
        <w:t xml:space="preserve">. Pokiaľ ide o zvýšené riziko zlomenín v dôsledku </w:t>
      </w:r>
      <w:proofErr w:type="spellStart"/>
      <w:r w:rsidRPr="00E82454">
        <w:rPr>
          <w:sz w:val="22"/>
          <w:szCs w:val="22"/>
        </w:rPr>
        <w:t>osteoporózy</w:t>
      </w:r>
      <w:proofErr w:type="spellEnd"/>
      <w:r w:rsidRPr="00E82454">
        <w:rPr>
          <w:sz w:val="22"/>
          <w:szCs w:val="22"/>
        </w:rPr>
        <w:t xml:space="preserve">, pozri </w:t>
      </w:r>
      <w:r w:rsidRPr="00E82454">
        <w:rPr>
          <w:b/>
          <w:sz w:val="22"/>
          <w:szCs w:val="22"/>
        </w:rPr>
        <w:t>časť 4.4</w:t>
      </w:r>
      <w:r w:rsidRPr="00E82454">
        <w:rPr>
          <w:sz w:val="22"/>
          <w:szCs w:val="22"/>
        </w:rPr>
        <w:t>.</w:t>
      </w:r>
    </w:p>
    <w:p w:rsidR="00CD3916" w:rsidRPr="00E82454" w:rsidRDefault="00CD3916" w:rsidP="00BE40F7">
      <w:pPr>
        <w:jc w:val="both"/>
        <w:rPr>
          <w:sz w:val="22"/>
          <w:szCs w:val="22"/>
        </w:rPr>
      </w:pPr>
    </w:p>
    <w:p w:rsidR="00CD3916" w:rsidRPr="00E82454" w:rsidRDefault="00CD3916" w:rsidP="00BE40F7">
      <w:pPr>
        <w:jc w:val="both"/>
        <w:rPr>
          <w:sz w:val="22"/>
          <w:szCs w:val="22"/>
          <w:u w:val="single"/>
          <w:lang w:val="en-GB"/>
        </w:rPr>
      </w:pPr>
      <w:r w:rsidRPr="00E82454">
        <w:rPr>
          <w:sz w:val="22"/>
          <w:szCs w:val="22"/>
          <w:u w:val="single"/>
        </w:rPr>
        <w:t xml:space="preserve">Zhoršenie </w:t>
      </w:r>
      <w:r w:rsidR="000E3931">
        <w:rPr>
          <w:sz w:val="22"/>
          <w:szCs w:val="22"/>
          <w:u w:val="single"/>
        </w:rPr>
        <w:t>prejav</w:t>
      </w:r>
      <w:r w:rsidR="000E3931" w:rsidRPr="00E82454">
        <w:rPr>
          <w:sz w:val="22"/>
          <w:szCs w:val="22"/>
          <w:u w:val="single"/>
        </w:rPr>
        <w:t xml:space="preserve">ov </w:t>
      </w:r>
      <w:r w:rsidRPr="00E82454">
        <w:rPr>
          <w:sz w:val="22"/>
          <w:szCs w:val="22"/>
          <w:u w:val="single"/>
        </w:rPr>
        <w:t>a príznakov ochorenia</w:t>
      </w:r>
    </w:p>
    <w:p w:rsidR="00CD3916" w:rsidRPr="00E82454" w:rsidRDefault="00CD3916" w:rsidP="00BE40F7">
      <w:pPr>
        <w:jc w:val="both"/>
        <w:rPr>
          <w:sz w:val="22"/>
          <w:szCs w:val="22"/>
        </w:rPr>
      </w:pPr>
      <w:r w:rsidRPr="00E82454">
        <w:rPr>
          <w:sz w:val="22"/>
          <w:szCs w:val="22"/>
        </w:rPr>
        <w:t xml:space="preserve">Liečba s </w:t>
      </w:r>
      <w:proofErr w:type="spellStart"/>
      <w:r w:rsidRPr="00E82454">
        <w:rPr>
          <w:sz w:val="22"/>
          <w:szCs w:val="22"/>
        </w:rPr>
        <w:t>leuprorelín</w:t>
      </w:r>
      <w:r w:rsidR="006F7B8E">
        <w:rPr>
          <w:sz w:val="22"/>
          <w:szCs w:val="22"/>
        </w:rPr>
        <w:t>ium</w:t>
      </w:r>
      <w:r w:rsidRPr="00E82454">
        <w:rPr>
          <w:sz w:val="22"/>
          <w:szCs w:val="22"/>
        </w:rPr>
        <w:t>acetátom</w:t>
      </w:r>
      <w:proofErr w:type="spellEnd"/>
      <w:r w:rsidRPr="00E82454">
        <w:rPr>
          <w:sz w:val="22"/>
          <w:szCs w:val="22"/>
        </w:rPr>
        <w:t xml:space="preserve"> môže vyvolať zhoršenie </w:t>
      </w:r>
      <w:r w:rsidR="000E3931">
        <w:rPr>
          <w:sz w:val="22"/>
          <w:szCs w:val="22"/>
        </w:rPr>
        <w:t>prejav</w:t>
      </w:r>
      <w:r w:rsidR="000E3931" w:rsidRPr="00E82454">
        <w:rPr>
          <w:sz w:val="22"/>
          <w:szCs w:val="22"/>
        </w:rPr>
        <w:t xml:space="preserve">ov </w:t>
      </w:r>
      <w:r w:rsidRPr="00E82454">
        <w:rPr>
          <w:sz w:val="22"/>
          <w:szCs w:val="22"/>
        </w:rPr>
        <w:t xml:space="preserve">a príznakov ochorenia počas prvých týždňov. Ak sa ochorenia ako </w:t>
      </w:r>
      <w:proofErr w:type="spellStart"/>
      <w:r w:rsidRPr="00E82454">
        <w:rPr>
          <w:sz w:val="22"/>
          <w:szCs w:val="22"/>
        </w:rPr>
        <w:t>vertebrálne</w:t>
      </w:r>
      <w:proofErr w:type="spellEnd"/>
      <w:r w:rsidRPr="00E82454">
        <w:rPr>
          <w:sz w:val="22"/>
          <w:szCs w:val="22"/>
        </w:rPr>
        <w:t xml:space="preserve"> metastázy a/alebo obštrukcia alebo </w:t>
      </w:r>
      <w:proofErr w:type="spellStart"/>
      <w:r w:rsidRPr="00E82454">
        <w:rPr>
          <w:sz w:val="22"/>
          <w:szCs w:val="22"/>
        </w:rPr>
        <w:t>hematúria</w:t>
      </w:r>
      <w:proofErr w:type="spellEnd"/>
      <w:r w:rsidRPr="00E82454">
        <w:rPr>
          <w:sz w:val="22"/>
          <w:szCs w:val="22"/>
        </w:rPr>
        <w:t xml:space="preserve"> močových ciest zhoršia, môžu sa vyskytnúť neurologické </w:t>
      </w:r>
      <w:r w:rsidR="000E3931" w:rsidRPr="00E82454">
        <w:rPr>
          <w:sz w:val="22"/>
          <w:szCs w:val="22"/>
        </w:rPr>
        <w:t>pro</w:t>
      </w:r>
      <w:r w:rsidR="000E3931">
        <w:rPr>
          <w:sz w:val="22"/>
          <w:szCs w:val="22"/>
        </w:rPr>
        <w:t>b</w:t>
      </w:r>
      <w:r w:rsidR="000E3931" w:rsidRPr="00E82454">
        <w:rPr>
          <w:sz w:val="22"/>
          <w:szCs w:val="22"/>
        </w:rPr>
        <w:t xml:space="preserve">lémy </w:t>
      </w:r>
      <w:r w:rsidRPr="00E82454">
        <w:rPr>
          <w:sz w:val="22"/>
          <w:szCs w:val="22"/>
        </w:rPr>
        <w:t xml:space="preserve">ako slabosť a/alebo </w:t>
      </w:r>
      <w:proofErr w:type="spellStart"/>
      <w:r w:rsidRPr="00E82454">
        <w:rPr>
          <w:sz w:val="22"/>
          <w:szCs w:val="22"/>
        </w:rPr>
        <w:t>mravenčenie</w:t>
      </w:r>
      <w:proofErr w:type="spellEnd"/>
      <w:r w:rsidRPr="00E82454">
        <w:rPr>
          <w:sz w:val="22"/>
          <w:szCs w:val="22"/>
        </w:rPr>
        <w:t xml:space="preserve"> dolných končatín alebo zhoršenie príznakov </w:t>
      </w:r>
      <w:r w:rsidR="00BE40F7">
        <w:rPr>
          <w:sz w:val="22"/>
          <w:szCs w:val="22"/>
        </w:rPr>
        <w:t xml:space="preserve">porúch funkcií </w:t>
      </w:r>
      <w:r w:rsidRPr="00E82454">
        <w:rPr>
          <w:sz w:val="22"/>
          <w:szCs w:val="22"/>
        </w:rPr>
        <w:t xml:space="preserve">močových ciest (pozri </w:t>
      </w:r>
      <w:r w:rsidRPr="00E82454">
        <w:rPr>
          <w:b/>
          <w:sz w:val="22"/>
          <w:szCs w:val="22"/>
        </w:rPr>
        <w:t>časť 4.4</w:t>
      </w:r>
      <w:r w:rsidRPr="00E82454">
        <w:rPr>
          <w:sz w:val="22"/>
          <w:szCs w:val="22"/>
        </w:rPr>
        <w:t>)</w:t>
      </w:r>
    </w:p>
    <w:p w:rsidR="00CD3916" w:rsidRPr="00E82454" w:rsidRDefault="00CD3916" w:rsidP="00BE40F7">
      <w:pPr>
        <w:jc w:val="both"/>
        <w:rPr>
          <w:sz w:val="22"/>
          <w:szCs w:val="22"/>
        </w:rPr>
      </w:pPr>
    </w:p>
    <w:p w:rsidR="000047BA" w:rsidRPr="00E82454" w:rsidRDefault="000047BA" w:rsidP="00BE40F7">
      <w:pPr>
        <w:jc w:val="both"/>
        <w:rPr>
          <w:sz w:val="22"/>
          <w:szCs w:val="22"/>
        </w:rPr>
      </w:pPr>
      <w:r w:rsidRPr="00E82454">
        <w:rPr>
          <w:sz w:val="22"/>
          <w:szCs w:val="22"/>
        </w:rPr>
        <w:t>Hlásenie podozrení na nežiaduce reakcie</w:t>
      </w:r>
    </w:p>
    <w:p w:rsidR="000047BA" w:rsidRPr="00AF13C5" w:rsidRDefault="000047BA" w:rsidP="00BE40F7">
      <w:pPr>
        <w:jc w:val="both"/>
        <w:rPr>
          <w:rFonts w:eastAsia="Times New Roman"/>
          <w:sz w:val="22"/>
          <w:szCs w:val="22"/>
        </w:rPr>
      </w:pPr>
      <w:r w:rsidRPr="00E82454">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7D4C16">
        <w:rPr>
          <w:sz w:val="22"/>
          <w:szCs w:val="22"/>
        </w:rPr>
        <w:t xml:space="preserve">prostredníctvom </w:t>
      </w:r>
      <w:bookmarkStart w:id="0" w:name="_Hlk494811608"/>
      <w:r w:rsidR="000B23B7" w:rsidRPr="00E24048">
        <w:rPr>
          <w:sz w:val="22"/>
          <w:szCs w:val="22"/>
          <w:highlight w:val="lightGray"/>
        </w:rPr>
        <w:t>národného systému hlásenia uvedeného v </w:t>
      </w:r>
      <w:hyperlink r:id="rId9" w:history="1">
        <w:r w:rsidR="000B23B7" w:rsidRPr="00E24048">
          <w:rPr>
            <w:rStyle w:val="Hypertextovprepojenie"/>
            <w:sz w:val="22"/>
            <w:szCs w:val="22"/>
            <w:highlight w:val="lightGray"/>
          </w:rPr>
          <w:t>Prílohe V</w:t>
        </w:r>
      </w:hyperlink>
      <w:r w:rsidR="000B23B7" w:rsidRPr="00E24048">
        <w:rPr>
          <w:sz w:val="22"/>
          <w:szCs w:val="22"/>
          <w:highlight w:val="lightGray"/>
        </w:rPr>
        <w:t>.</w:t>
      </w:r>
    </w:p>
    <w:bookmarkEnd w:id="0"/>
    <w:p w:rsidR="003D25A1" w:rsidRPr="00E82454" w:rsidRDefault="003D25A1" w:rsidP="00BE40F7">
      <w:pPr>
        <w:jc w:val="both"/>
        <w:rPr>
          <w:sz w:val="22"/>
          <w:szCs w:val="22"/>
        </w:rPr>
      </w:pPr>
    </w:p>
    <w:p w:rsidR="00AC2BEE" w:rsidRPr="00E82454" w:rsidRDefault="00AC2BEE" w:rsidP="00BE40F7">
      <w:pPr>
        <w:jc w:val="both"/>
        <w:rPr>
          <w:b/>
          <w:sz w:val="22"/>
          <w:szCs w:val="22"/>
        </w:rPr>
      </w:pPr>
      <w:r w:rsidRPr="00E82454">
        <w:rPr>
          <w:b/>
          <w:sz w:val="22"/>
          <w:szCs w:val="22"/>
        </w:rPr>
        <w:t>4.9</w:t>
      </w:r>
      <w:r w:rsidRPr="00E82454">
        <w:rPr>
          <w:b/>
          <w:sz w:val="22"/>
          <w:szCs w:val="22"/>
        </w:rPr>
        <w:tab/>
        <w:t>Predávkovanie</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Neexistujú žiadne klinické skúsenosti s účinkami akútneho predávkovania s liekom </w:t>
      </w:r>
      <w:proofErr w:type="spellStart"/>
      <w:r w:rsidR="000E3931">
        <w:rPr>
          <w:sz w:val="22"/>
          <w:szCs w:val="22"/>
        </w:rPr>
        <w:t>Lutrate</w:t>
      </w:r>
      <w:proofErr w:type="spellEnd"/>
      <w:r w:rsidR="000E3931">
        <w:rPr>
          <w:sz w:val="22"/>
          <w:szCs w:val="22"/>
        </w:rPr>
        <w:t xml:space="preserve"> </w:t>
      </w:r>
      <w:proofErr w:type="spellStart"/>
      <w:r w:rsidR="000E3931">
        <w:rPr>
          <w:sz w:val="22"/>
          <w:szCs w:val="22"/>
        </w:rPr>
        <w:t>Depot</w:t>
      </w:r>
      <w:proofErr w:type="spellEnd"/>
      <w:r w:rsidR="000E3931">
        <w:rPr>
          <w:sz w:val="22"/>
          <w:szCs w:val="22"/>
        </w:rPr>
        <w:t xml:space="preserve"> 22,5 mg</w:t>
      </w:r>
      <w:r w:rsidRPr="00E82454">
        <w:rPr>
          <w:sz w:val="22"/>
          <w:szCs w:val="22"/>
        </w:rPr>
        <w:t xml:space="preserve"> alebo </w:t>
      </w:r>
      <w:proofErr w:type="spellStart"/>
      <w:r w:rsidRPr="00E82454">
        <w:rPr>
          <w:sz w:val="22"/>
          <w:szCs w:val="22"/>
        </w:rPr>
        <w:t>leuprorelíniumacetátom</w:t>
      </w:r>
      <w:proofErr w:type="spellEnd"/>
      <w:r w:rsidRPr="00E82454">
        <w:rPr>
          <w:sz w:val="22"/>
          <w:szCs w:val="22"/>
        </w:rPr>
        <w:t xml:space="preserve">. V klinických skúškach s </w:t>
      </w:r>
      <w:proofErr w:type="spellStart"/>
      <w:r w:rsidRPr="00E82454">
        <w:rPr>
          <w:sz w:val="22"/>
          <w:szCs w:val="22"/>
        </w:rPr>
        <w:t>leuprorelíniumacetátom</w:t>
      </w:r>
      <w:proofErr w:type="spellEnd"/>
      <w:r w:rsidRPr="00E82454">
        <w:rPr>
          <w:sz w:val="22"/>
          <w:szCs w:val="22"/>
        </w:rPr>
        <w:t xml:space="preserve"> podávaným každý deň podkožne pacientom s karcinómom prostaty v dávkach až 20 mg/deň po dobu až dvoch rokov sa nežiaduce účinky neodlišovali od nežiaducich účinkov pri podávaní dávky 1 mg/deň.</w:t>
      </w:r>
    </w:p>
    <w:p w:rsidR="00AC2BEE" w:rsidRPr="00E82454" w:rsidRDefault="00AC2BEE" w:rsidP="00BE40F7">
      <w:pPr>
        <w:jc w:val="both"/>
        <w:rPr>
          <w:sz w:val="22"/>
          <w:szCs w:val="22"/>
        </w:rPr>
      </w:pPr>
    </w:p>
    <w:p w:rsidR="004734AA" w:rsidRDefault="00AC2BEE" w:rsidP="00BE40F7">
      <w:pPr>
        <w:jc w:val="both"/>
        <w:rPr>
          <w:b/>
          <w:noProof/>
          <w:sz w:val="22"/>
          <w:szCs w:val="22"/>
        </w:rPr>
      </w:pPr>
      <w:r w:rsidRPr="00E82454">
        <w:rPr>
          <w:sz w:val="22"/>
          <w:szCs w:val="22"/>
        </w:rPr>
        <w:t xml:space="preserve">V štúdiách na zvieratách dávky až do 500-násobku odporúčanej dávky u človeka vyvolali </w:t>
      </w:r>
      <w:proofErr w:type="spellStart"/>
      <w:r w:rsidRPr="00E82454">
        <w:rPr>
          <w:sz w:val="22"/>
          <w:szCs w:val="22"/>
        </w:rPr>
        <w:t>dyspnoe</w:t>
      </w:r>
      <w:proofErr w:type="spellEnd"/>
      <w:r w:rsidRPr="00E82454">
        <w:rPr>
          <w:sz w:val="22"/>
          <w:szCs w:val="22"/>
        </w:rPr>
        <w:t>, zníženú aktivitu a lokálne podráždenie v mieste podania. V prípade predávkovania treba pacienta dôkladne monitorovať a liečba má byť symptomatická a podporná.</w:t>
      </w:r>
    </w:p>
    <w:p w:rsidR="004734AA" w:rsidRDefault="004734AA" w:rsidP="00BE40F7">
      <w:pPr>
        <w:jc w:val="both"/>
        <w:rPr>
          <w:b/>
          <w:noProof/>
          <w:sz w:val="22"/>
          <w:szCs w:val="22"/>
        </w:rPr>
      </w:pPr>
    </w:p>
    <w:p w:rsidR="00364557" w:rsidRDefault="00364557" w:rsidP="00BE40F7">
      <w:pPr>
        <w:jc w:val="both"/>
        <w:rPr>
          <w:b/>
          <w:noProof/>
          <w:sz w:val="22"/>
          <w:szCs w:val="22"/>
        </w:rPr>
      </w:pPr>
    </w:p>
    <w:p w:rsidR="004734AA" w:rsidRDefault="00AC2BEE" w:rsidP="00BE40F7">
      <w:pPr>
        <w:jc w:val="both"/>
        <w:rPr>
          <w:b/>
          <w:noProof/>
          <w:sz w:val="22"/>
          <w:szCs w:val="22"/>
          <w:lang w:val="en-US"/>
        </w:rPr>
      </w:pPr>
      <w:r w:rsidRPr="00E82454">
        <w:rPr>
          <w:b/>
          <w:noProof/>
          <w:sz w:val="22"/>
          <w:szCs w:val="22"/>
        </w:rPr>
        <w:t>5.</w:t>
      </w:r>
      <w:r w:rsidRPr="00E82454">
        <w:rPr>
          <w:b/>
          <w:noProof/>
          <w:sz w:val="22"/>
          <w:szCs w:val="22"/>
        </w:rPr>
        <w:tab/>
        <w:t>FARMAKOLOGICKÉ VLASTNOSTI</w:t>
      </w:r>
    </w:p>
    <w:p w:rsidR="00733402" w:rsidRPr="00E82454" w:rsidRDefault="00733402" w:rsidP="00BE40F7">
      <w:pPr>
        <w:jc w:val="both"/>
        <w:rPr>
          <w:noProof/>
          <w:sz w:val="22"/>
          <w:szCs w:val="22"/>
        </w:rPr>
      </w:pPr>
    </w:p>
    <w:p w:rsidR="00AC2BEE" w:rsidRPr="00E82454" w:rsidRDefault="00AC2BEE" w:rsidP="00BE40F7">
      <w:pPr>
        <w:jc w:val="both"/>
        <w:rPr>
          <w:b/>
          <w:sz w:val="22"/>
          <w:szCs w:val="22"/>
          <w:lang w:val="en-GB"/>
        </w:rPr>
      </w:pPr>
      <w:r w:rsidRPr="00E82454">
        <w:rPr>
          <w:b/>
          <w:sz w:val="22"/>
          <w:szCs w:val="22"/>
        </w:rPr>
        <w:t>5.1</w:t>
      </w:r>
      <w:r w:rsidRPr="00E82454">
        <w:rPr>
          <w:b/>
          <w:sz w:val="22"/>
          <w:szCs w:val="22"/>
        </w:rPr>
        <w:tab/>
      </w:r>
      <w:proofErr w:type="spellStart"/>
      <w:r w:rsidRPr="00E82454">
        <w:rPr>
          <w:b/>
          <w:sz w:val="22"/>
          <w:szCs w:val="22"/>
        </w:rPr>
        <w:t>Farmakodynamické</w:t>
      </w:r>
      <w:proofErr w:type="spellEnd"/>
      <w:r w:rsidRPr="00E82454">
        <w:rPr>
          <w:b/>
          <w:sz w:val="22"/>
          <w:szCs w:val="22"/>
        </w:rPr>
        <w:t xml:space="preserve"> vlastnosti</w:t>
      </w:r>
    </w:p>
    <w:p w:rsidR="00AC2BEE" w:rsidRPr="00E82454" w:rsidRDefault="00AC2BEE" w:rsidP="00BE40F7">
      <w:pPr>
        <w:jc w:val="both"/>
        <w:rPr>
          <w:sz w:val="22"/>
          <w:szCs w:val="22"/>
          <w:lang w:val="en-GB"/>
        </w:rPr>
      </w:pPr>
    </w:p>
    <w:p w:rsidR="00AC2BEE" w:rsidRPr="00E82454" w:rsidRDefault="00AC2BEE" w:rsidP="00BE40F7">
      <w:pPr>
        <w:jc w:val="both"/>
        <w:rPr>
          <w:sz w:val="22"/>
          <w:szCs w:val="22"/>
        </w:rPr>
      </w:pPr>
      <w:proofErr w:type="spellStart"/>
      <w:r w:rsidRPr="00E82454">
        <w:rPr>
          <w:sz w:val="22"/>
          <w:szCs w:val="22"/>
        </w:rPr>
        <w:t>Farmakoterapeutická</w:t>
      </w:r>
      <w:proofErr w:type="spellEnd"/>
      <w:r w:rsidRPr="00E82454">
        <w:rPr>
          <w:sz w:val="22"/>
          <w:szCs w:val="22"/>
        </w:rPr>
        <w:t xml:space="preserve"> skupina: Endokrinná </w:t>
      </w:r>
      <w:r w:rsidR="00F829A8">
        <w:rPr>
          <w:sz w:val="22"/>
          <w:szCs w:val="22"/>
        </w:rPr>
        <w:t>liečba</w:t>
      </w:r>
      <w:r w:rsidRPr="00E82454">
        <w:rPr>
          <w:sz w:val="22"/>
          <w:szCs w:val="22"/>
        </w:rPr>
        <w:t xml:space="preserve">. Hormóny a príbuzné liečivá. </w:t>
      </w:r>
      <w:proofErr w:type="spellStart"/>
      <w:r w:rsidRPr="00E82454">
        <w:rPr>
          <w:sz w:val="22"/>
          <w:szCs w:val="22"/>
        </w:rPr>
        <w:t>Analógy</w:t>
      </w:r>
      <w:proofErr w:type="spellEnd"/>
      <w:r w:rsidRPr="00E82454">
        <w:rPr>
          <w:sz w:val="22"/>
          <w:szCs w:val="22"/>
        </w:rPr>
        <w:t xml:space="preserve"> hormónu uvoľňujúceho </w:t>
      </w:r>
      <w:proofErr w:type="spellStart"/>
      <w:r w:rsidRPr="00E82454">
        <w:rPr>
          <w:sz w:val="22"/>
          <w:szCs w:val="22"/>
        </w:rPr>
        <w:t>gonadotropín</w:t>
      </w:r>
      <w:proofErr w:type="spellEnd"/>
      <w:r w:rsidRPr="00E82454">
        <w:rPr>
          <w:sz w:val="22"/>
          <w:szCs w:val="22"/>
        </w:rPr>
        <w:t>. ATC kód: L02AE02.</w:t>
      </w:r>
    </w:p>
    <w:p w:rsidR="00733402" w:rsidRPr="00E82454" w:rsidRDefault="00733402" w:rsidP="00BE40F7">
      <w:pPr>
        <w:jc w:val="both"/>
        <w:rPr>
          <w:sz w:val="22"/>
          <w:szCs w:val="22"/>
        </w:rPr>
      </w:pPr>
    </w:p>
    <w:p w:rsidR="00AC2BEE" w:rsidRPr="00E82454" w:rsidRDefault="00AC2BEE" w:rsidP="00BE40F7">
      <w:pPr>
        <w:jc w:val="both"/>
        <w:rPr>
          <w:sz w:val="22"/>
          <w:szCs w:val="22"/>
        </w:rPr>
      </w:pPr>
      <w:r w:rsidRPr="00E82454">
        <w:rPr>
          <w:sz w:val="22"/>
          <w:szCs w:val="22"/>
        </w:rPr>
        <w:t xml:space="preserve">Chemický názov </w:t>
      </w:r>
      <w:proofErr w:type="spellStart"/>
      <w:r w:rsidRPr="00E82454">
        <w:rPr>
          <w:sz w:val="22"/>
          <w:szCs w:val="22"/>
        </w:rPr>
        <w:t>leuprorelíniumacetátu</w:t>
      </w:r>
      <w:proofErr w:type="spellEnd"/>
      <w:r w:rsidRPr="00E82454">
        <w:rPr>
          <w:sz w:val="22"/>
          <w:szCs w:val="22"/>
        </w:rPr>
        <w:t xml:space="preserve"> je 5-oxo-L-prolyl-L-histidyl-L-tryptofyl-L-seryl-L-tyrozyl-D-leucyl-L-leucyl-L-arginyl-L-prolyl-etylamid.</w:t>
      </w:r>
    </w:p>
    <w:p w:rsidR="00733402" w:rsidRPr="00E82454" w:rsidRDefault="00733402" w:rsidP="00BE40F7">
      <w:pPr>
        <w:jc w:val="both"/>
        <w:rPr>
          <w:sz w:val="22"/>
          <w:szCs w:val="22"/>
        </w:rPr>
      </w:pPr>
    </w:p>
    <w:p w:rsidR="00AC2BEE" w:rsidRPr="00E82454" w:rsidRDefault="00AC2BEE" w:rsidP="00BE40F7">
      <w:pPr>
        <w:jc w:val="both"/>
        <w:rPr>
          <w:sz w:val="22"/>
          <w:szCs w:val="22"/>
        </w:rPr>
      </w:pPr>
      <w:proofErr w:type="spellStart"/>
      <w:r w:rsidRPr="00E82454">
        <w:rPr>
          <w:sz w:val="22"/>
          <w:szCs w:val="22"/>
        </w:rPr>
        <w:t>Leuprorelíniumacetát</w:t>
      </w:r>
      <w:proofErr w:type="spellEnd"/>
      <w:r w:rsidRPr="00E82454">
        <w:rPr>
          <w:sz w:val="22"/>
          <w:szCs w:val="22"/>
        </w:rPr>
        <w:t xml:space="preserve"> je neaktívny pri perorálnom podávaní pre slabú </w:t>
      </w:r>
      <w:proofErr w:type="spellStart"/>
      <w:r w:rsidRPr="00E82454">
        <w:rPr>
          <w:sz w:val="22"/>
          <w:szCs w:val="22"/>
        </w:rPr>
        <w:t>permeabilitu</w:t>
      </w:r>
      <w:proofErr w:type="spellEnd"/>
      <w:r w:rsidRPr="00E82454">
        <w:rPr>
          <w:sz w:val="22"/>
          <w:szCs w:val="22"/>
        </w:rPr>
        <w:t xml:space="preserve"> cez sliznicu a takmer úplnú </w:t>
      </w:r>
      <w:proofErr w:type="spellStart"/>
      <w:r w:rsidRPr="00E82454">
        <w:rPr>
          <w:sz w:val="22"/>
          <w:szCs w:val="22"/>
        </w:rPr>
        <w:t>deaktiváciu</w:t>
      </w:r>
      <w:proofErr w:type="spellEnd"/>
      <w:r w:rsidRPr="00E82454">
        <w:rPr>
          <w:sz w:val="22"/>
          <w:szCs w:val="22"/>
        </w:rPr>
        <w:t xml:space="preserve"> </w:t>
      </w:r>
      <w:proofErr w:type="spellStart"/>
      <w:r w:rsidRPr="00E82454">
        <w:rPr>
          <w:sz w:val="22"/>
          <w:szCs w:val="22"/>
        </w:rPr>
        <w:t>intestinálnymi</w:t>
      </w:r>
      <w:proofErr w:type="spellEnd"/>
      <w:r w:rsidRPr="00E82454">
        <w:rPr>
          <w:sz w:val="22"/>
          <w:szCs w:val="22"/>
        </w:rPr>
        <w:t xml:space="preserve"> </w:t>
      </w:r>
      <w:proofErr w:type="spellStart"/>
      <w:r w:rsidRPr="00E82454">
        <w:rPr>
          <w:sz w:val="22"/>
          <w:szCs w:val="22"/>
        </w:rPr>
        <w:t>proteolytickými</w:t>
      </w:r>
      <w:proofErr w:type="spellEnd"/>
      <w:r w:rsidRPr="00E82454">
        <w:rPr>
          <w:sz w:val="22"/>
          <w:szCs w:val="22"/>
        </w:rPr>
        <w:t xml:space="preserve"> enzýmami.</w:t>
      </w:r>
    </w:p>
    <w:p w:rsidR="00733402" w:rsidRPr="00E82454" w:rsidRDefault="00733402" w:rsidP="00BE40F7">
      <w:pPr>
        <w:jc w:val="both"/>
        <w:rPr>
          <w:sz w:val="22"/>
          <w:szCs w:val="22"/>
        </w:rPr>
      </w:pPr>
    </w:p>
    <w:p w:rsidR="00AC2BEE" w:rsidRPr="00E82454" w:rsidRDefault="00AC2BEE" w:rsidP="00BE40F7">
      <w:pPr>
        <w:jc w:val="both"/>
        <w:rPr>
          <w:sz w:val="22"/>
          <w:szCs w:val="22"/>
        </w:rPr>
      </w:pPr>
      <w:proofErr w:type="spellStart"/>
      <w:r w:rsidRPr="00E82454">
        <w:rPr>
          <w:sz w:val="22"/>
          <w:szCs w:val="22"/>
        </w:rPr>
        <w:t>Leuprorelíniumacetát</w:t>
      </w:r>
      <w:proofErr w:type="spellEnd"/>
      <w:r w:rsidRPr="00E82454">
        <w:rPr>
          <w:sz w:val="22"/>
          <w:szCs w:val="22"/>
        </w:rPr>
        <w:t xml:space="preserve"> je silný </w:t>
      </w:r>
      <w:proofErr w:type="spellStart"/>
      <w:r w:rsidRPr="00E82454">
        <w:rPr>
          <w:sz w:val="22"/>
          <w:szCs w:val="22"/>
        </w:rPr>
        <w:t>agonista</w:t>
      </w:r>
      <w:proofErr w:type="spellEnd"/>
      <w:r w:rsidRPr="00E82454">
        <w:rPr>
          <w:sz w:val="22"/>
          <w:szCs w:val="22"/>
        </w:rPr>
        <w:t xml:space="preserve"> LHRH, keď sa podáva krátkodobo alebo prerušovane. Keď sa však podáva kontinuálne </w:t>
      </w:r>
      <w:proofErr w:type="spellStart"/>
      <w:r w:rsidRPr="00E82454">
        <w:rPr>
          <w:sz w:val="22"/>
          <w:szCs w:val="22"/>
        </w:rPr>
        <w:t>nepulzačným</w:t>
      </w:r>
      <w:proofErr w:type="spellEnd"/>
      <w:r w:rsidRPr="00E82454">
        <w:rPr>
          <w:sz w:val="22"/>
          <w:szCs w:val="22"/>
        </w:rPr>
        <w:t xml:space="preserve"> spôsobom, </w:t>
      </w:r>
      <w:proofErr w:type="spellStart"/>
      <w:r w:rsidRPr="00E82454">
        <w:rPr>
          <w:sz w:val="22"/>
          <w:szCs w:val="22"/>
        </w:rPr>
        <w:t>analógy</w:t>
      </w:r>
      <w:proofErr w:type="spellEnd"/>
      <w:r w:rsidRPr="00E82454">
        <w:rPr>
          <w:sz w:val="22"/>
          <w:szCs w:val="22"/>
        </w:rPr>
        <w:t xml:space="preserve"> LHRH vyvolávajú inhibíciu sekrécie </w:t>
      </w:r>
      <w:proofErr w:type="spellStart"/>
      <w:r w:rsidRPr="00E82454">
        <w:rPr>
          <w:sz w:val="22"/>
          <w:szCs w:val="22"/>
        </w:rPr>
        <w:t>gonadotropínu</w:t>
      </w:r>
      <w:proofErr w:type="spellEnd"/>
      <w:r w:rsidRPr="00E82454">
        <w:rPr>
          <w:sz w:val="22"/>
          <w:szCs w:val="22"/>
        </w:rPr>
        <w:t xml:space="preserve"> a potlačenie </w:t>
      </w:r>
      <w:proofErr w:type="spellStart"/>
      <w:r w:rsidRPr="00E82454">
        <w:rPr>
          <w:sz w:val="22"/>
          <w:szCs w:val="22"/>
        </w:rPr>
        <w:t>testikulárnej</w:t>
      </w:r>
      <w:proofErr w:type="spellEnd"/>
      <w:r w:rsidRPr="00E82454">
        <w:rPr>
          <w:sz w:val="22"/>
          <w:szCs w:val="22"/>
        </w:rPr>
        <w:t xml:space="preserve"> genézy </w:t>
      </w:r>
      <w:proofErr w:type="spellStart"/>
      <w:r w:rsidRPr="00E82454">
        <w:rPr>
          <w:sz w:val="22"/>
          <w:szCs w:val="22"/>
        </w:rPr>
        <w:t>steroidov</w:t>
      </w:r>
      <w:proofErr w:type="spellEnd"/>
      <w:r w:rsidRPr="00E82454">
        <w:rPr>
          <w:sz w:val="22"/>
          <w:szCs w:val="22"/>
        </w:rPr>
        <w:t>.</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Naviazaním na LHRH receptory hypofýzy </w:t>
      </w:r>
      <w:proofErr w:type="spellStart"/>
      <w:r w:rsidRPr="00E82454">
        <w:rPr>
          <w:sz w:val="22"/>
          <w:szCs w:val="22"/>
        </w:rPr>
        <w:t>leuprorelíniumacetát</w:t>
      </w:r>
      <w:proofErr w:type="spellEnd"/>
      <w:r w:rsidRPr="00E82454">
        <w:rPr>
          <w:sz w:val="22"/>
          <w:szCs w:val="22"/>
        </w:rPr>
        <w:t xml:space="preserve"> produkuje počiatočné zvýšenie cirkulačných hladín </w:t>
      </w:r>
      <w:proofErr w:type="spellStart"/>
      <w:r w:rsidRPr="00E82454">
        <w:rPr>
          <w:sz w:val="22"/>
          <w:szCs w:val="22"/>
        </w:rPr>
        <w:t>luteinizačného</w:t>
      </w:r>
      <w:proofErr w:type="spellEnd"/>
      <w:r w:rsidRPr="00E82454">
        <w:rPr>
          <w:sz w:val="22"/>
          <w:szCs w:val="22"/>
        </w:rPr>
        <w:t xml:space="preserve"> hormónu (LH) a hormónu stimulujúceho folikuly (FSH), čo vedie k akútnemu zvýšeniu hladín </w:t>
      </w:r>
      <w:proofErr w:type="spellStart"/>
      <w:r w:rsidRPr="00E82454">
        <w:rPr>
          <w:sz w:val="22"/>
          <w:szCs w:val="22"/>
        </w:rPr>
        <w:t>testosterónu</w:t>
      </w:r>
      <w:proofErr w:type="spellEnd"/>
      <w:r w:rsidRPr="00E82454">
        <w:rPr>
          <w:sz w:val="22"/>
          <w:szCs w:val="22"/>
        </w:rPr>
        <w:t xml:space="preserve"> a </w:t>
      </w:r>
      <w:proofErr w:type="spellStart"/>
      <w:r w:rsidRPr="00E82454">
        <w:rPr>
          <w:sz w:val="22"/>
          <w:szCs w:val="22"/>
        </w:rPr>
        <w:t>dihydrotestosterónu</w:t>
      </w:r>
      <w:proofErr w:type="spellEnd"/>
      <w:r w:rsidRPr="00E82454">
        <w:rPr>
          <w:sz w:val="22"/>
          <w:szCs w:val="22"/>
        </w:rPr>
        <w:t xml:space="preserve">. Avšak v priebehu piatich až ôsmych dní po podaní lieku </w:t>
      </w:r>
      <w:proofErr w:type="spellStart"/>
      <w:r w:rsidRPr="00E82454">
        <w:rPr>
          <w:sz w:val="22"/>
          <w:szCs w:val="22"/>
        </w:rPr>
        <w:t>analógy</w:t>
      </w:r>
      <w:proofErr w:type="spellEnd"/>
      <w:r w:rsidRPr="00E82454">
        <w:rPr>
          <w:sz w:val="22"/>
          <w:szCs w:val="22"/>
        </w:rPr>
        <w:t xml:space="preserve"> LHRH vytvárajú zníženie citlivosti komplexu LHRH receptorov a/alebo zníženie produkcie predného laloku hypofýzy. Vďaka skutočnosti, že na povrchu bunky je menej receptorov, bunková stimulácia sa zníži a menej </w:t>
      </w:r>
      <w:proofErr w:type="spellStart"/>
      <w:r w:rsidRPr="00E82454">
        <w:rPr>
          <w:sz w:val="22"/>
          <w:szCs w:val="22"/>
        </w:rPr>
        <w:t>gonadotropínu</w:t>
      </w:r>
      <w:proofErr w:type="spellEnd"/>
      <w:r w:rsidRPr="00E82454">
        <w:rPr>
          <w:sz w:val="22"/>
          <w:szCs w:val="22"/>
        </w:rPr>
        <w:t xml:space="preserve"> sa syntetizuje a vylučuje. Nakoniec po niekoľkých týždňoch terapie </w:t>
      </w:r>
      <w:proofErr w:type="spellStart"/>
      <w:r w:rsidRPr="00E82454">
        <w:rPr>
          <w:sz w:val="22"/>
          <w:szCs w:val="22"/>
        </w:rPr>
        <w:t>agonistom</w:t>
      </w:r>
      <w:proofErr w:type="spellEnd"/>
      <w:r w:rsidRPr="00E82454">
        <w:rPr>
          <w:sz w:val="22"/>
          <w:szCs w:val="22"/>
        </w:rPr>
        <w:t xml:space="preserve"> LHRH sa potlačí vylučovanie LH a FSH. Výsledkom je, že </w:t>
      </w:r>
      <w:proofErr w:type="spellStart"/>
      <w:r w:rsidRPr="00E82454">
        <w:rPr>
          <w:sz w:val="22"/>
          <w:szCs w:val="22"/>
        </w:rPr>
        <w:t>Leydigové</w:t>
      </w:r>
      <w:proofErr w:type="spellEnd"/>
      <w:r w:rsidRPr="00E82454">
        <w:rPr>
          <w:sz w:val="22"/>
          <w:szCs w:val="22"/>
        </w:rPr>
        <w:t xml:space="preserve"> bunky v semenníkoch prestanú produkovať </w:t>
      </w:r>
      <w:proofErr w:type="spellStart"/>
      <w:r w:rsidRPr="00E82454">
        <w:rPr>
          <w:sz w:val="22"/>
          <w:szCs w:val="22"/>
        </w:rPr>
        <w:t>testosterón</w:t>
      </w:r>
      <w:proofErr w:type="spellEnd"/>
      <w:r w:rsidRPr="00E82454">
        <w:rPr>
          <w:sz w:val="22"/>
          <w:szCs w:val="22"/>
        </w:rPr>
        <w:t xml:space="preserve"> a hladina </w:t>
      </w:r>
      <w:proofErr w:type="spellStart"/>
      <w:r w:rsidRPr="00E82454">
        <w:rPr>
          <w:sz w:val="22"/>
          <w:szCs w:val="22"/>
        </w:rPr>
        <w:t>testosterónu</w:t>
      </w:r>
      <w:proofErr w:type="spellEnd"/>
      <w:r w:rsidRPr="00E82454">
        <w:rPr>
          <w:sz w:val="22"/>
          <w:szCs w:val="22"/>
        </w:rPr>
        <w:t xml:space="preserve"> v krvnom sére poklesne na kastračnú úroveň (menej ako 0,5 </w:t>
      </w:r>
      <w:proofErr w:type="spellStart"/>
      <w:r w:rsidRPr="00E82454">
        <w:rPr>
          <w:sz w:val="22"/>
          <w:szCs w:val="22"/>
        </w:rPr>
        <w:t>ng</w:t>
      </w:r>
      <w:proofErr w:type="spellEnd"/>
      <w:r w:rsidRPr="00E82454">
        <w:rPr>
          <w:sz w:val="22"/>
          <w:szCs w:val="22"/>
        </w:rPr>
        <w:t>/ml) v priebehu dvoch až štyroch týždňov po začiatku liečby.</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V nezaslepenej, </w:t>
      </w:r>
      <w:proofErr w:type="spellStart"/>
      <w:r w:rsidRPr="00E82454">
        <w:rPr>
          <w:sz w:val="22"/>
          <w:szCs w:val="22"/>
        </w:rPr>
        <w:t>viacstrediskovej</w:t>
      </w:r>
      <w:proofErr w:type="spellEnd"/>
      <w:r w:rsidRPr="00E82454">
        <w:rPr>
          <w:sz w:val="22"/>
          <w:szCs w:val="22"/>
        </w:rPr>
        <w:t xml:space="preserve"> klinickej štúdií </w:t>
      </w:r>
      <w:r w:rsidR="00EF162E">
        <w:rPr>
          <w:sz w:val="22"/>
          <w:szCs w:val="22"/>
        </w:rPr>
        <w:t>s opakovanou dávkou</w:t>
      </w:r>
      <w:r w:rsidRPr="00E82454">
        <w:rPr>
          <w:sz w:val="22"/>
          <w:szCs w:val="22"/>
        </w:rPr>
        <w:t xml:space="preserve"> </w:t>
      </w:r>
      <w:proofErr w:type="spellStart"/>
      <w:r w:rsidR="00F829A8">
        <w:rPr>
          <w:sz w:val="22"/>
          <w:szCs w:val="22"/>
        </w:rPr>
        <w:t>Lutrate</w:t>
      </w:r>
      <w:proofErr w:type="spellEnd"/>
      <w:r w:rsidR="00F829A8">
        <w:rPr>
          <w:sz w:val="22"/>
          <w:szCs w:val="22"/>
        </w:rPr>
        <w:t xml:space="preserve"> </w:t>
      </w:r>
      <w:proofErr w:type="spellStart"/>
      <w:r w:rsidR="00F829A8">
        <w:rPr>
          <w:sz w:val="22"/>
          <w:szCs w:val="22"/>
        </w:rPr>
        <w:t>Depot</w:t>
      </w:r>
      <w:proofErr w:type="spellEnd"/>
      <w:r w:rsidRPr="00E82454">
        <w:rPr>
          <w:sz w:val="22"/>
          <w:szCs w:val="22"/>
        </w:rPr>
        <w:t xml:space="preserve"> 22,5 mg bolo zaradených 163 pacientov s karcinómom prostaty. Cieľom bolo stanoviť účinnosť a bezpečnosť </w:t>
      </w:r>
      <w:r w:rsidR="00F829A8">
        <w:rPr>
          <w:sz w:val="22"/>
          <w:szCs w:val="22"/>
        </w:rPr>
        <w:t xml:space="preserve">lieku </w:t>
      </w:r>
      <w:proofErr w:type="spellStart"/>
      <w:r w:rsidR="00F829A8">
        <w:rPr>
          <w:sz w:val="22"/>
          <w:szCs w:val="22"/>
        </w:rPr>
        <w:t>Lutrate</w:t>
      </w:r>
      <w:proofErr w:type="spellEnd"/>
      <w:r w:rsidR="00F829A8">
        <w:rPr>
          <w:sz w:val="22"/>
          <w:szCs w:val="22"/>
        </w:rPr>
        <w:t xml:space="preserve"> </w:t>
      </w:r>
      <w:proofErr w:type="spellStart"/>
      <w:r w:rsidR="00F829A8">
        <w:rPr>
          <w:sz w:val="22"/>
          <w:szCs w:val="22"/>
        </w:rPr>
        <w:t>Depot</w:t>
      </w:r>
      <w:proofErr w:type="spellEnd"/>
      <w:r w:rsidRPr="00E82454">
        <w:rPr>
          <w:sz w:val="22"/>
          <w:szCs w:val="22"/>
        </w:rPr>
        <w:t xml:space="preserve"> </w:t>
      </w:r>
      <w:r w:rsidR="00F829A8">
        <w:rPr>
          <w:sz w:val="22"/>
          <w:szCs w:val="22"/>
        </w:rPr>
        <w:t xml:space="preserve">22,5 mg </w:t>
      </w:r>
      <w:r w:rsidRPr="00E82454">
        <w:rPr>
          <w:sz w:val="22"/>
          <w:szCs w:val="22"/>
        </w:rPr>
        <w:t xml:space="preserve">pri podávaní pacientom s karcinómom prostaty, ktorí by mohli mať prospech z liečby založenej na deprivácii </w:t>
      </w:r>
      <w:proofErr w:type="spellStart"/>
      <w:r w:rsidRPr="00E82454">
        <w:rPr>
          <w:sz w:val="22"/>
          <w:szCs w:val="22"/>
        </w:rPr>
        <w:t>androgénov</w:t>
      </w:r>
      <w:proofErr w:type="spellEnd"/>
      <w:r w:rsidRPr="00E82454">
        <w:rPr>
          <w:sz w:val="22"/>
          <w:szCs w:val="22"/>
        </w:rPr>
        <w:t xml:space="preserve">. </w:t>
      </w:r>
      <w:proofErr w:type="spellStart"/>
      <w:r w:rsidR="00F829A8">
        <w:rPr>
          <w:sz w:val="22"/>
          <w:szCs w:val="22"/>
        </w:rPr>
        <w:t>Lutrate</w:t>
      </w:r>
      <w:proofErr w:type="spellEnd"/>
      <w:r w:rsidR="00F829A8">
        <w:rPr>
          <w:sz w:val="22"/>
          <w:szCs w:val="22"/>
        </w:rPr>
        <w:t xml:space="preserve"> </w:t>
      </w:r>
      <w:proofErr w:type="spellStart"/>
      <w:r w:rsidR="00F829A8">
        <w:rPr>
          <w:sz w:val="22"/>
          <w:szCs w:val="22"/>
        </w:rPr>
        <w:t>Depot</w:t>
      </w:r>
      <w:proofErr w:type="spellEnd"/>
      <w:r w:rsidR="00F829A8" w:rsidRPr="00E82454">
        <w:rPr>
          <w:sz w:val="22"/>
          <w:szCs w:val="22"/>
        </w:rPr>
        <w:t xml:space="preserve"> </w:t>
      </w:r>
      <w:r w:rsidR="00F829A8">
        <w:rPr>
          <w:sz w:val="22"/>
          <w:szCs w:val="22"/>
        </w:rPr>
        <w:t>22,5 mg</w:t>
      </w:r>
      <w:r w:rsidRPr="00E82454">
        <w:rPr>
          <w:sz w:val="22"/>
          <w:szCs w:val="22"/>
        </w:rPr>
        <w:t xml:space="preserve"> sa podával </w:t>
      </w:r>
      <w:proofErr w:type="spellStart"/>
      <w:r w:rsidRPr="00E82454">
        <w:rPr>
          <w:sz w:val="22"/>
          <w:szCs w:val="22"/>
        </w:rPr>
        <w:t>intramuskulárne</w:t>
      </w:r>
      <w:proofErr w:type="spellEnd"/>
      <w:r w:rsidRPr="00E82454">
        <w:rPr>
          <w:sz w:val="22"/>
          <w:szCs w:val="22"/>
        </w:rPr>
        <w:t xml:space="preserve"> v 2 dávkach v trojmesačnom intervale.</w:t>
      </w:r>
    </w:p>
    <w:p w:rsidR="00AC2BEE" w:rsidRPr="00E82454" w:rsidRDefault="00AC2BEE" w:rsidP="00BE40F7">
      <w:pPr>
        <w:jc w:val="both"/>
        <w:rPr>
          <w:sz w:val="22"/>
          <w:szCs w:val="22"/>
        </w:rPr>
      </w:pPr>
    </w:p>
    <w:p w:rsidR="005F0C5A" w:rsidRPr="00E82454" w:rsidRDefault="00AC2BEE" w:rsidP="00BE40F7">
      <w:pPr>
        <w:jc w:val="both"/>
        <w:rPr>
          <w:sz w:val="22"/>
          <w:szCs w:val="22"/>
        </w:rPr>
      </w:pPr>
      <w:r w:rsidRPr="00E82454">
        <w:rPr>
          <w:sz w:val="22"/>
          <w:szCs w:val="22"/>
        </w:rPr>
        <w:t xml:space="preserve">Hladiny </w:t>
      </w:r>
      <w:proofErr w:type="spellStart"/>
      <w:r w:rsidRPr="00E82454">
        <w:rPr>
          <w:sz w:val="22"/>
          <w:szCs w:val="22"/>
        </w:rPr>
        <w:t>testosterónu</w:t>
      </w:r>
      <w:proofErr w:type="spellEnd"/>
      <w:r w:rsidRPr="00E82454">
        <w:rPr>
          <w:sz w:val="22"/>
          <w:szCs w:val="22"/>
        </w:rPr>
        <w:t xml:space="preserve"> sa monitorovali v rôznych dňoch po dobu 168 dní. Odber vzoriek na stanovenie </w:t>
      </w:r>
      <w:proofErr w:type="spellStart"/>
      <w:r w:rsidRPr="00E82454">
        <w:rPr>
          <w:sz w:val="22"/>
          <w:szCs w:val="22"/>
        </w:rPr>
        <w:t>testosterónu</w:t>
      </w:r>
      <w:proofErr w:type="spellEnd"/>
      <w:r w:rsidRPr="00E82454">
        <w:rPr>
          <w:sz w:val="22"/>
          <w:szCs w:val="22"/>
        </w:rPr>
        <w:t xml:space="preserve"> bol naplánovaný na dni 0 (1 a 4 hod), 2, 14, 28, 56, 84 pred podaním dávky, 84 (1h a 4 hod), 86, 112 a 168. Primárny cieľ bol definovaný ako hodnoty </w:t>
      </w:r>
      <w:proofErr w:type="spellStart"/>
      <w:r w:rsidRPr="00E82454">
        <w:rPr>
          <w:sz w:val="22"/>
          <w:szCs w:val="22"/>
        </w:rPr>
        <w:t>testosterónu</w:t>
      </w:r>
      <w:proofErr w:type="spellEnd"/>
      <w:r w:rsidRPr="00E82454">
        <w:rPr>
          <w:sz w:val="22"/>
          <w:szCs w:val="22"/>
        </w:rPr>
        <w:t xml:space="preserve"> ≤ 50 </w:t>
      </w:r>
      <w:proofErr w:type="spellStart"/>
      <w:r w:rsidRPr="00E82454">
        <w:rPr>
          <w:sz w:val="22"/>
          <w:szCs w:val="22"/>
        </w:rPr>
        <w:t>ng</w:t>
      </w:r>
      <w:proofErr w:type="spellEnd"/>
      <w:r w:rsidRPr="00E82454">
        <w:rPr>
          <w:sz w:val="22"/>
          <w:szCs w:val="22"/>
        </w:rPr>
        <w:t xml:space="preserve">/ml a žiadne chýbajúce údaje hodnotené v dňoch 28, 84 a 168. Ak </w:t>
      </w:r>
      <w:proofErr w:type="spellStart"/>
      <w:r w:rsidRPr="00E82454">
        <w:rPr>
          <w:sz w:val="22"/>
          <w:szCs w:val="22"/>
        </w:rPr>
        <w:t>testosterón</w:t>
      </w:r>
      <w:proofErr w:type="spellEnd"/>
      <w:r w:rsidRPr="00E82454">
        <w:rPr>
          <w:sz w:val="22"/>
          <w:szCs w:val="22"/>
        </w:rPr>
        <w:t xml:space="preserve"> bol vyšší ako 0,5 n/ml alebo ak údaje pre </w:t>
      </w:r>
      <w:proofErr w:type="spellStart"/>
      <w:r w:rsidRPr="00E82454">
        <w:rPr>
          <w:sz w:val="22"/>
          <w:szCs w:val="22"/>
        </w:rPr>
        <w:t>testosterón</w:t>
      </w:r>
      <w:proofErr w:type="spellEnd"/>
      <w:r w:rsidRPr="00E82454">
        <w:rPr>
          <w:sz w:val="22"/>
          <w:szCs w:val="22"/>
        </w:rPr>
        <w:t xml:space="preserve"> chýbali v niektorom z kľúčových časových bodov (t.j. v dňoch 28, 84 a 168), každý </w:t>
      </w:r>
      <w:r w:rsidR="008F1F73" w:rsidRPr="00E82454">
        <w:rPr>
          <w:sz w:val="22"/>
          <w:szCs w:val="22"/>
        </w:rPr>
        <w:t>takýto</w:t>
      </w:r>
      <w:r w:rsidRPr="00E82454">
        <w:rPr>
          <w:sz w:val="22"/>
          <w:szCs w:val="22"/>
        </w:rPr>
        <w:t xml:space="preserve"> pacient </w:t>
      </w:r>
      <w:proofErr w:type="spellStart"/>
      <w:r w:rsidRPr="00E82454">
        <w:rPr>
          <w:sz w:val="22"/>
          <w:szCs w:val="22"/>
        </w:rPr>
        <w:t>bol</w:t>
      </w:r>
      <w:r w:rsidR="002F67CE">
        <w:rPr>
          <w:sz w:val="22"/>
          <w:szCs w:val="22"/>
        </w:rPr>
        <w:t>zatriedený</w:t>
      </w:r>
      <w:proofErr w:type="spellEnd"/>
      <w:r w:rsidR="002F67CE">
        <w:rPr>
          <w:sz w:val="22"/>
          <w:szCs w:val="22"/>
        </w:rPr>
        <w:t xml:space="preserve"> do skupiny zlyhania liečby</w:t>
      </w:r>
      <w:r w:rsidRPr="00E82454">
        <w:rPr>
          <w:sz w:val="22"/>
          <w:szCs w:val="22"/>
        </w:rPr>
        <w:t xml:space="preserve">, ak chýbajúce údaje neboli spôsobené udalosťou ako napr. úmrtie nesúvisiace so študovaným liečivom. Inými slovami, ak v ktoromkoľvek kľúčovom časovom bode (dni 28, 84 a 168) boli chýbajúce údaje spôsobené nežiaducim účinkom súvisiacim so študovaným liečivom alebo liečbou, takýto pacient bol klasifikovaný ako zlyhanie. </w:t>
      </w:r>
    </w:p>
    <w:p w:rsidR="005F0C5A" w:rsidRPr="00E82454" w:rsidRDefault="005F0C5A" w:rsidP="00BE40F7">
      <w:pPr>
        <w:jc w:val="both"/>
        <w:rPr>
          <w:sz w:val="22"/>
          <w:szCs w:val="22"/>
        </w:rPr>
      </w:pPr>
    </w:p>
    <w:p w:rsidR="004F1763" w:rsidRPr="00E82454" w:rsidRDefault="005F0C5A" w:rsidP="00BE40F7">
      <w:pPr>
        <w:jc w:val="both"/>
        <w:rPr>
          <w:sz w:val="22"/>
          <w:szCs w:val="22"/>
        </w:rPr>
      </w:pPr>
      <w:r w:rsidRPr="00E82454">
        <w:rPr>
          <w:sz w:val="22"/>
          <w:szCs w:val="22"/>
        </w:rPr>
        <w:t xml:space="preserve">Po prvej injekcii sa priemerná hladina </w:t>
      </w:r>
      <w:proofErr w:type="spellStart"/>
      <w:r w:rsidRPr="00E82454">
        <w:rPr>
          <w:sz w:val="22"/>
          <w:szCs w:val="22"/>
        </w:rPr>
        <w:t>testosterónu</w:t>
      </w:r>
      <w:proofErr w:type="spellEnd"/>
      <w:r w:rsidRPr="00E82454">
        <w:rPr>
          <w:sz w:val="22"/>
          <w:szCs w:val="22"/>
        </w:rPr>
        <w:t xml:space="preserve"> rýchlo zvýšila z hladiny základnej úrovne (4,09±1,79 </w:t>
      </w:r>
      <w:proofErr w:type="spellStart"/>
      <w:r w:rsidRPr="00E82454">
        <w:rPr>
          <w:sz w:val="22"/>
          <w:szCs w:val="22"/>
        </w:rPr>
        <w:t>ng</w:t>
      </w:r>
      <w:proofErr w:type="spellEnd"/>
      <w:r w:rsidRPr="00E82454">
        <w:rPr>
          <w:sz w:val="22"/>
          <w:szCs w:val="22"/>
        </w:rPr>
        <w:t>/ml) a dosiahla maximálnu hladinu (</w:t>
      </w:r>
      <w:proofErr w:type="spellStart"/>
      <w:r w:rsidRPr="00E82454">
        <w:rPr>
          <w:sz w:val="22"/>
          <w:szCs w:val="22"/>
        </w:rPr>
        <w:t>Cmax</w:t>
      </w:r>
      <w:proofErr w:type="spellEnd"/>
      <w:r w:rsidRPr="00E82454">
        <w:rPr>
          <w:sz w:val="22"/>
          <w:szCs w:val="22"/>
        </w:rPr>
        <w:t xml:space="preserve">) 6,33±3,40 </w:t>
      </w:r>
      <w:proofErr w:type="spellStart"/>
      <w:r w:rsidRPr="00E82454">
        <w:rPr>
          <w:sz w:val="22"/>
          <w:szCs w:val="22"/>
        </w:rPr>
        <w:t>ng</w:t>
      </w:r>
      <w:proofErr w:type="spellEnd"/>
      <w:r w:rsidRPr="00E82454">
        <w:rPr>
          <w:sz w:val="22"/>
          <w:szCs w:val="22"/>
        </w:rPr>
        <w:t xml:space="preserve">/ml na druhý deň. Po dosiahnutí maximálnej hladiny hladina </w:t>
      </w:r>
      <w:proofErr w:type="spellStart"/>
      <w:r w:rsidRPr="00E82454">
        <w:rPr>
          <w:sz w:val="22"/>
          <w:szCs w:val="22"/>
        </w:rPr>
        <w:t>testosterónu</w:t>
      </w:r>
      <w:proofErr w:type="spellEnd"/>
      <w:r w:rsidRPr="00E82454">
        <w:rPr>
          <w:sz w:val="22"/>
          <w:szCs w:val="22"/>
        </w:rPr>
        <w:t xml:space="preserve"> klesala a do 28. dňa 98,8 % (159/161) </w:t>
      </w:r>
      <w:proofErr w:type="spellStart"/>
      <w:r w:rsidRPr="00E82454">
        <w:rPr>
          <w:sz w:val="22"/>
          <w:szCs w:val="22"/>
        </w:rPr>
        <w:t>vyhodnotiteľných</w:t>
      </w:r>
      <w:proofErr w:type="spellEnd"/>
      <w:r w:rsidRPr="00E82454">
        <w:rPr>
          <w:sz w:val="22"/>
          <w:szCs w:val="22"/>
        </w:rPr>
        <w:t xml:space="preserve"> pacientov dosiahlo </w:t>
      </w:r>
      <w:proofErr w:type="spellStart"/>
      <w:r w:rsidRPr="00E82454">
        <w:rPr>
          <w:sz w:val="22"/>
          <w:szCs w:val="22"/>
        </w:rPr>
        <w:t>medikačnú</w:t>
      </w:r>
      <w:proofErr w:type="spellEnd"/>
      <w:r w:rsidRPr="00E82454">
        <w:rPr>
          <w:sz w:val="22"/>
          <w:szCs w:val="22"/>
        </w:rPr>
        <w:t xml:space="preserve"> kastráciu (definovanú ako hladina </w:t>
      </w:r>
      <w:proofErr w:type="spellStart"/>
      <w:r w:rsidRPr="00E82454">
        <w:rPr>
          <w:sz w:val="22"/>
          <w:szCs w:val="22"/>
        </w:rPr>
        <w:t>testosterónu</w:t>
      </w:r>
      <w:proofErr w:type="spellEnd"/>
      <w:r w:rsidRPr="00E82454">
        <w:rPr>
          <w:sz w:val="22"/>
          <w:szCs w:val="22"/>
        </w:rPr>
        <w:t xml:space="preserve"> nižšia než 0,5 </w:t>
      </w:r>
      <w:proofErr w:type="spellStart"/>
      <w:r w:rsidRPr="00E82454">
        <w:rPr>
          <w:sz w:val="22"/>
          <w:szCs w:val="22"/>
        </w:rPr>
        <w:t>ng</w:t>
      </w:r>
      <w:proofErr w:type="spellEnd"/>
      <w:r w:rsidRPr="00E82454">
        <w:rPr>
          <w:sz w:val="22"/>
          <w:szCs w:val="22"/>
        </w:rPr>
        <w:t>/ml). Okrem toho v tomto čase 77</w:t>
      </w:r>
      <w:r w:rsidR="008F1F73">
        <w:rPr>
          <w:sz w:val="22"/>
          <w:szCs w:val="22"/>
        </w:rPr>
        <w:t>,</w:t>
      </w:r>
      <w:r w:rsidRPr="00E82454">
        <w:rPr>
          <w:sz w:val="22"/>
          <w:szCs w:val="22"/>
        </w:rPr>
        <w:t xml:space="preserve">0 % pacientov dosiahlo prísnejšie kritérium </w:t>
      </w:r>
      <w:proofErr w:type="spellStart"/>
      <w:r w:rsidRPr="00E82454">
        <w:rPr>
          <w:sz w:val="22"/>
          <w:szCs w:val="22"/>
        </w:rPr>
        <w:t>testosterónu</w:t>
      </w:r>
      <w:proofErr w:type="spellEnd"/>
      <w:r w:rsidRPr="00E82454">
        <w:rPr>
          <w:sz w:val="22"/>
          <w:szCs w:val="22"/>
        </w:rPr>
        <w:t xml:space="preserve"> ≤ 0.2 </w:t>
      </w:r>
      <w:proofErr w:type="spellStart"/>
      <w:r w:rsidRPr="00E82454">
        <w:rPr>
          <w:sz w:val="22"/>
          <w:szCs w:val="22"/>
        </w:rPr>
        <w:t>ng</w:t>
      </w:r>
      <w:proofErr w:type="spellEnd"/>
      <w:r w:rsidRPr="00E82454">
        <w:rPr>
          <w:sz w:val="22"/>
          <w:szCs w:val="22"/>
        </w:rPr>
        <w:t xml:space="preserve">/ml. (Obr. 1). V deň 168 malo 99,4 % </w:t>
      </w:r>
      <w:proofErr w:type="spellStart"/>
      <w:r w:rsidRPr="00E82454">
        <w:rPr>
          <w:sz w:val="22"/>
          <w:szCs w:val="22"/>
        </w:rPr>
        <w:t>vyhodnotiteľných</w:t>
      </w:r>
      <w:proofErr w:type="spellEnd"/>
      <w:r w:rsidRPr="00E82454">
        <w:rPr>
          <w:sz w:val="22"/>
          <w:szCs w:val="22"/>
        </w:rPr>
        <w:t xml:space="preserve"> pacientov (150/151) hladinu </w:t>
      </w:r>
      <w:proofErr w:type="spellStart"/>
      <w:r w:rsidRPr="00E82454">
        <w:rPr>
          <w:sz w:val="22"/>
          <w:szCs w:val="22"/>
        </w:rPr>
        <w:t>testosterónu</w:t>
      </w:r>
      <w:proofErr w:type="spellEnd"/>
      <w:r w:rsidRPr="00E82454">
        <w:rPr>
          <w:sz w:val="22"/>
          <w:szCs w:val="22"/>
        </w:rPr>
        <w:t xml:space="preserve"> nižšiu než 0,5 </w:t>
      </w:r>
      <w:proofErr w:type="spellStart"/>
      <w:r w:rsidRPr="00E82454">
        <w:rPr>
          <w:sz w:val="22"/>
          <w:szCs w:val="22"/>
        </w:rPr>
        <w:t>ng</w:t>
      </w:r>
      <w:proofErr w:type="spellEnd"/>
      <w:r w:rsidRPr="00E82454">
        <w:rPr>
          <w:sz w:val="22"/>
          <w:szCs w:val="22"/>
        </w:rPr>
        <w:t xml:space="preserve">/ml a 90,7 % malo hladinu </w:t>
      </w:r>
      <w:proofErr w:type="spellStart"/>
      <w:r w:rsidRPr="00E82454">
        <w:rPr>
          <w:sz w:val="22"/>
          <w:szCs w:val="22"/>
        </w:rPr>
        <w:t>testosterónu</w:t>
      </w:r>
      <w:proofErr w:type="spellEnd"/>
      <w:r w:rsidRPr="00E82454">
        <w:rPr>
          <w:sz w:val="22"/>
          <w:szCs w:val="22"/>
        </w:rPr>
        <w:t xml:space="preserve"> ≤ 0,2 </w:t>
      </w:r>
      <w:proofErr w:type="spellStart"/>
      <w:r w:rsidRPr="00E82454">
        <w:rPr>
          <w:sz w:val="22"/>
          <w:szCs w:val="22"/>
        </w:rPr>
        <w:t>ng</w:t>
      </w:r>
      <w:proofErr w:type="spellEnd"/>
      <w:r w:rsidRPr="00E82454">
        <w:rPr>
          <w:sz w:val="22"/>
          <w:szCs w:val="22"/>
        </w:rPr>
        <w:t xml:space="preserve">/ml. </w:t>
      </w:r>
    </w:p>
    <w:p w:rsidR="00F81F7C" w:rsidRPr="00E82454" w:rsidRDefault="005F0C5A" w:rsidP="00BE40F7">
      <w:pPr>
        <w:jc w:val="both"/>
        <w:rPr>
          <w:sz w:val="22"/>
          <w:szCs w:val="22"/>
        </w:rPr>
      </w:pPr>
      <w:r w:rsidRPr="00E82454">
        <w:rPr>
          <w:sz w:val="22"/>
          <w:szCs w:val="22"/>
        </w:rPr>
        <w:t xml:space="preserve">Podľa definície primárneho cieľa (pozri definíciu uvedenú vyššie) bol podiel pacientov zachovávajúcich si kastráciu počas štúdie 98,1 % (158/161). </w:t>
      </w:r>
    </w:p>
    <w:p w:rsidR="008B538E" w:rsidRPr="00E82454" w:rsidRDefault="008B538E" w:rsidP="00BE40F7">
      <w:pPr>
        <w:jc w:val="both"/>
        <w:rPr>
          <w:sz w:val="22"/>
          <w:szCs w:val="22"/>
        </w:rPr>
      </w:pPr>
    </w:p>
    <w:p w:rsidR="008B538E" w:rsidRPr="00E82454" w:rsidRDefault="008B538E" w:rsidP="00BE40F7">
      <w:pPr>
        <w:ind w:left="709" w:hanging="709"/>
        <w:jc w:val="both"/>
        <w:rPr>
          <w:sz w:val="22"/>
          <w:szCs w:val="22"/>
        </w:rPr>
      </w:pPr>
      <w:r w:rsidRPr="00E82454">
        <w:rPr>
          <w:b/>
          <w:sz w:val="22"/>
          <w:szCs w:val="22"/>
        </w:rPr>
        <w:lastRenderedPageBreak/>
        <w:t xml:space="preserve">Obr. 1. Priemerná hodnota (±SD) hladiny </w:t>
      </w:r>
      <w:proofErr w:type="spellStart"/>
      <w:r w:rsidRPr="00E82454">
        <w:rPr>
          <w:b/>
          <w:sz w:val="22"/>
          <w:szCs w:val="22"/>
        </w:rPr>
        <w:t>testosterónu</w:t>
      </w:r>
      <w:proofErr w:type="spellEnd"/>
      <w:r w:rsidRPr="00E82454">
        <w:rPr>
          <w:b/>
          <w:sz w:val="22"/>
          <w:szCs w:val="22"/>
        </w:rPr>
        <w:t xml:space="preserve"> v krvnej plazme počas liečby dvoma po sebe podanými </w:t>
      </w:r>
      <w:proofErr w:type="spellStart"/>
      <w:r w:rsidRPr="00E82454">
        <w:rPr>
          <w:b/>
          <w:sz w:val="22"/>
          <w:szCs w:val="22"/>
        </w:rPr>
        <w:t>intramuskulárnymi</w:t>
      </w:r>
      <w:proofErr w:type="spellEnd"/>
      <w:r w:rsidRPr="00E82454">
        <w:rPr>
          <w:b/>
          <w:sz w:val="22"/>
          <w:szCs w:val="22"/>
        </w:rPr>
        <w:t xml:space="preserve"> dávkami </w:t>
      </w:r>
      <w:proofErr w:type="spellStart"/>
      <w:r w:rsidR="008F1F73">
        <w:rPr>
          <w:b/>
          <w:sz w:val="22"/>
          <w:szCs w:val="22"/>
        </w:rPr>
        <w:t>Lutrate</w:t>
      </w:r>
      <w:proofErr w:type="spellEnd"/>
      <w:r w:rsidR="008F1F73">
        <w:rPr>
          <w:b/>
          <w:sz w:val="22"/>
          <w:szCs w:val="22"/>
        </w:rPr>
        <w:t xml:space="preserve"> </w:t>
      </w:r>
      <w:proofErr w:type="spellStart"/>
      <w:r w:rsidR="008F1F73">
        <w:rPr>
          <w:b/>
          <w:sz w:val="22"/>
          <w:szCs w:val="22"/>
        </w:rPr>
        <w:t>Depot</w:t>
      </w:r>
      <w:proofErr w:type="spellEnd"/>
      <w:r w:rsidRPr="00E82454">
        <w:rPr>
          <w:b/>
          <w:sz w:val="22"/>
          <w:szCs w:val="22"/>
        </w:rPr>
        <w:t xml:space="preserve"> 22,5 mg v trojmesačnom intervale</w:t>
      </w:r>
    </w:p>
    <w:p w:rsidR="00F81F7C" w:rsidRPr="00E82454" w:rsidRDefault="00016F1A" w:rsidP="00BE40F7">
      <w:pPr>
        <w:jc w:val="both"/>
        <w:rPr>
          <w:sz w:val="22"/>
          <w:szCs w:val="22"/>
          <w:lang w:val="en-GB"/>
        </w:rPr>
      </w:pPr>
      <w:r w:rsidRPr="00E82454">
        <w:rPr>
          <w:noProof/>
          <w:sz w:val="22"/>
          <w:szCs w:val="22"/>
        </w:rPr>
        <w:drawing>
          <wp:inline distT="0" distB="0" distL="0" distR="0" wp14:anchorId="087B5F54" wp14:editId="0004BDEF">
            <wp:extent cx="4815648" cy="2648607"/>
            <wp:effectExtent l="19050" t="19050" r="0" b="18393"/>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67" t="13670" r="-1667" b="3191"/>
                    <a:stretch/>
                  </pic:blipFill>
                  <pic:spPr bwMode="auto">
                    <a:xfrm>
                      <a:off x="0" y="0"/>
                      <a:ext cx="4813082" cy="26801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8B538E" w:rsidRPr="00E82454" w:rsidRDefault="008B538E" w:rsidP="00BE40F7">
      <w:pPr>
        <w:jc w:val="both"/>
        <w:rPr>
          <w:sz w:val="22"/>
          <w:szCs w:val="22"/>
          <w:lang w:val="en-GB"/>
        </w:rPr>
      </w:pPr>
    </w:p>
    <w:p w:rsidR="00BC4365" w:rsidRPr="00E82454" w:rsidRDefault="00BC4365" w:rsidP="00BE40F7">
      <w:pPr>
        <w:jc w:val="both"/>
        <w:rPr>
          <w:sz w:val="22"/>
          <w:szCs w:val="22"/>
          <w:lang w:val="en-GB"/>
        </w:rPr>
      </w:pPr>
      <w:r w:rsidRPr="00E82454">
        <w:rPr>
          <w:sz w:val="22"/>
          <w:szCs w:val="22"/>
        </w:rPr>
        <w:t xml:space="preserve">Výsledky vykonanej analýzy citlivosti považujúce buď izolované úniky </w:t>
      </w:r>
      <w:proofErr w:type="spellStart"/>
      <w:r w:rsidRPr="00E82454">
        <w:rPr>
          <w:sz w:val="22"/>
          <w:szCs w:val="22"/>
        </w:rPr>
        <w:t>testosterónu</w:t>
      </w:r>
      <w:proofErr w:type="spellEnd"/>
      <w:r w:rsidRPr="00E82454">
        <w:rPr>
          <w:sz w:val="22"/>
          <w:szCs w:val="22"/>
        </w:rPr>
        <w:t xml:space="preserve"> alebo chýbajúce údaje za zlyhanie ukázali, že kastračný podiel bol približne alebo viac než </w:t>
      </w:r>
      <w:r w:rsidR="008F1F73" w:rsidRPr="00E82454">
        <w:rPr>
          <w:sz w:val="22"/>
          <w:szCs w:val="22"/>
        </w:rPr>
        <w:t>9</w:t>
      </w:r>
      <w:r w:rsidR="008F1F73">
        <w:rPr>
          <w:sz w:val="22"/>
          <w:szCs w:val="22"/>
        </w:rPr>
        <w:t>2</w:t>
      </w:r>
      <w:r w:rsidR="008F1F73" w:rsidRPr="00E82454">
        <w:rPr>
          <w:sz w:val="22"/>
          <w:szCs w:val="22"/>
        </w:rPr>
        <w:t xml:space="preserve"> </w:t>
      </w:r>
      <w:r w:rsidRPr="00E82454">
        <w:rPr>
          <w:sz w:val="22"/>
          <w:szCs w:val="22"/>
        </w:rPr>
        <w:t xml:space="preserve">% v každom časovom bode (deň 28, 97,5% (157/161); deň 56, 93,2% (150/161); deň 84 pred podaním dávky, 96,9% (156/161); deň 84 </w:t>
      </w:r>
      <w:r w:rsidRPr="00E82454">
        <w:rPr>
          <w:sz w:val="22"/>
          <w:szCs w:val="22"/>
          <w:vertAlign w:val="subscript"/>
        </w:rPr>
        <w:t>1hodinu po podaní dávky</w:t>
      </w:r>
      <w:r w:rsidRPr="00E82454">
        <w:rPr>
          <w:sz w:val="22"/>
          <w:szCs w:val="22"/>
        </w:rPr>
        <w:t xml:space="preserve"> 91,9% (148/161); deň 84 </w:t>
      </w:r>
      <w:r w:rsidRPr="00E82454">
        <w:rPr>
          <w:sz w:val="22"/>
          <w:szCs w:val="22"/>
          <w:vertAlign w:val="subscript"/>
        </w:rPr>
        <w:t>4hodiny po podaní dávky</w:t>
      </w:r>
      <w:r w:rsidRPr="00E82454">
        <w:rPr>
          <w:sz w:val="22"/>
          <w:szCs w:val="22"/>
        </w:rPr>
        <w:t xml:space="preserve"> 91,9% (148/161); deň 86 93,8% (151/161); deň 112 92,5% (149/161) a deň 168 93,2% (150/161)). </w:t>
      </w:r>
    </w:p>
    <w:p w:rsidR="00BC4365" w:rsidRPr="00E82454" w:rsidRDefault="00BC4365" w:rsidP="00BE40F7">
      <w:pPr>
        <w:jc w:val="both"/>
        <w:rPr>
          <w:sz w:val="22"/>
          <w:szCs w:val="22"/>
          <w:lang w:val="en-GB"/>
        </w:rPr>
      </w:pPr>
    </w:p>
    <w:p w:rsidR="00DB3CFC" w:rsidRPr="00E82454" w:rsidRDefault="00BC4365" w:rsidP="00BE40F7">
      <w:pPr>
        <w:jc w:val="both"/>
        <w:rPr>
          <w:sz w:val="22"/>
          <w:szCs w:val="22"/>
        </w:rPr>
      </w:pPr>
      <w:r w:rsidRPr="00E82454">
        <w:rPr>
          <w:sz w:val="22"/>
          <w:szCs w:val="22"/>
        </w:rPr>
        <w:t>Frekvencia únikov ihneď po druhom podaní bola 6,8 %</w:t>
      </w:r>
      <w:r w:rsidR="003614F8">
        <w:rPr>
          <w:sz w:val="22"/>
          <w:szCs w:val="22"/>
        </w:rPr>
        <w:t xml:space="preserve"> (11/161)</w:t>
      </w:r>
      <w:r w:rsidRPr="00E82454">
        <w:rPr>
          <w:sz w:val="22"/>
          <w:szCs w:val="22"/>
        </w:rPr>
        <w:t xml:space="preserve"> a frekvencia odozvy </w:t>
      </w:r>
      <w:r w:rsidR="003614F8" w:rsidRPr="00E82454">
        <w:rPr>
          <w:sz w:val="22"/>
          <w:szCs w:val="22"/>
        </w:rPr>
        <w:t>náhleho</w:t>
      </w:r>
      <w:r w:rsidRPr="00E82454">
        <w:rPr>
          <w:sz w:val="22"/>
          <w:szCs w:val="22"/>
        </w:rPr>
        <w:t xml:space="preserve"> zvýšenia hladiny </w:t>
      </w:r>
      <w:proofErr w:type="spellStart"/>
      <w:r w:rsidRPr="00E82454">
        <w:rPr>
          <w:sz w:val="22"/>
          <w:szCs w:val="22"/>
        </w:rPr>
        <w:t>testosterónu</w:t>
      </w:r>
      <w:proofErr w:type="spellEnd"/>
      <w:r w:rsidRPr="00E82454">
        <w:rPr>
          <w:sz w:val="22"/>
          <w:szCs w:val="22"/>
        </w:rPr>
        <w:t xml:space="preserve"> bola 6,2 % (10/161). Žiadny z prechodných únikov nebol spájaný so zvýšením LH, klinickými príznakmi, ani zvýšením PSA.</w:t>
      </w:r>
    </w:p>
    <w:p w:rsidR="00DB3CFC" w:rsidRPr="00E82454" w:rsidRDefault="00DB3CFC" w:rsidP="00BE40F7">
      <w:pPr>
        <w:jc w:val="both"/>
        <w:rPr>
          <w:sz w:val="22"/>
          <w:szCs w:val="22"/>
        </w:rPr>
      </w:pPr>
    </w:p>
    <w:p w:rsidR="00F81F7C" w:rsidRPr="00E82454" w:rsidRDefault="00F81F7C" w:rsidP="00BE40F7">
      <w:pPr>
        <w:jc w:val="both"/>
        <w:rPr>
          <w:sz w:val="22"/>
          <w:szCs w:val="22"/>
        </w:rPr>
      </w:pPr>
      <w:r w:rsidRPr="00E82454">
        <w:rPr>
          <w:sz w:val="22"/>
          <w:szCs w:val="22"/>
        </w:rPr>
        <w:t xml:space="preserve">U žiadneho z pacientov s prudkým zvýšením hladiny </w:t>
      </w:r>
      <w:proofErr w:type="spellStart"/>
      <w:r w:rsidRPr="00E82454">
        <w:rPr>
          <w:sz w:val="22"/>
          <w:szCs w:val="22"/>
        </w:rPr>
        <w:t>testosterónu</w:t>
      </w:r>
      <w:proofErr w:type="spellEnd"/>
      <w:r w:rsidRPr="00E82454">
        <w:rPr>
          <w:sz w:val="22"/>
          <w:szCs w:val="22"/>
        </w:rPr>
        <w:t xml:space="preserve"> sa nezistili nežiaduce účinky spájané s liečbou poukazujúce na klinické </w:t>
      </w:r>
      <w:r w:rsidR="00170168">
        <w:rPr>
          <w:sz w:val="22"/>
          <w:szCs w:val="22"/>
        </w:rPr>
        <w:t xml:space="preserve">prejavy </w:t>
      </w:r>
      <w:proofErr w:type="spellStart"/>
      <w:r w:rsidR="00A10012">
        <w:rPr>
          <w:sz w:val="22"/>
          <w:szCs w:val="22"/>
        </w:rPr>
        <w:t>flare</w:t>
      </w:r>
      <w:proofErr w:type="spellEnd"/>
      <w:r w:rsidR="00A10012">
        <w:rPr>
          <w:sz w:val="22"/>
          <w:szCs w:val="22"/>
        </w:rPr>
        <w:t>–</w:t>
      </w:r>
      <w:proofErr w:type="spellStart"/>
      <w:r w:rsidR="00A10012">
        <w:rPr>
          <w:sz w:val="22"/>
          <w:szCs w:val="22"/>
        </w:rPr>
        <w:t>up</w:t>
      </w:r>
      <w:proofErr w:type="spellEnd"/>
      <w:r w:rsidR="00A10012">
        <w:rPr>
          <w:sz w:val="22"/>
          <w:szCs w:val="22"/>
        </w:rPr>
        <w:t xml:space="preserve"> </w:t>
      </w:r>
      <w:r w:rsidR="00170168">
        <w:rPr>
          <w:sz w:val="22"/>
          <w:szCs w:val="22"/>
        </w:rPr>
        <w:t xml:space="preserve">fenoménu </w:t>
      </w:r>
      <w:r w:rsidRPr="00E82454">
        <w:rPr>
          <w:sz w:val="22"/>
          <w:szCs w:val="22"/>
        </w:rPr>
        <w:t>(</w:t>
      </w:r>
      <w:proofErr w:type="spellStart"/>
      <w:r w:rsidRPr="00E82454">
        <w:rPr>
          <w:sz w:val="22"/>
          <w:szCs w:val="22"/>
        </w:rPr>
        <w:t>retencia</w:t>
      </w:r>
      <w:proofErr w:type="spellEnd"/>
      <w:r w:rsidRPr="00E82454">
        <w:rPr>
          <w:sz w:val="22"/>
          <w:szCs w:val="22"/>
        </w:rPr>
        <w:t xml:space="preserve"> moču, stlačenie miechy alebo zhoršenie bolesti kostí).</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Sekundárne hodnotené parametre účinnosti zahrňovali stanovenie sérových koncentrácií LH, FSH a PSA. Do 14 dní po podaní prvej injekcie </w:t>
      </w:r>
      <w:proofErr w:type="spellStart"/>
      <w:r w:rsidR="003614F8">
        <w:rPr>
          <w:sz w:val="22"/>
          <w:szCs w:val="22"/>
        </w:rPr>
        <w:t>Lutrate</w:t>
      </w:r>
      <w:proofErr w:type="spellEnd"/>
      <w:r w:rsidR="003614F8">
        <w:rPr>
          <w:sz w:val="22"/>
          <w:szCs w:val="22"/>
        </w:rPr>
        <w:t xml:space="preserve"> </w:t>
      </w:r>
      <w:proofErr w:type="spellStart"/>
      <w:r w:rsidR="003614F8">
        <w:rPr>
          <w:sz w:val="22"/>
          <w:szCs w:val="22"/>
        </w:rPr>
        <w:t>Depot</w:t>
      </w:r>
      <w:proofErr w:type="spellEnd"/>
      <w:r w:rsidR="003614F8">
        <w:rPr>
          <w:sz w:val="22"/>
          <w:szCs w:val="22"/>
        </w:rPr>
        <w:t xml:space="preserve"> 22,5 mg</w:t>
      </w:r>
      <w:r w:rsidRPr="00E82454">
        <w:rPr>
          <w:sz w:val="22"/>
          <w:szCs w:val="22"/>
        </w:rPr>
        <w:t xml:space="preserve"> sa priemerné sérové hladiny LH a FSH znížili pod koncentrácie základnej úrovne. Koncentrácie zostali výrazne pod hodnotami základnej úrovne od 28. dňa až do konca štúdie. Počas liečby sa priemerné sérové hladiny PSA postupne znižovali (prvý mesiac) a potom zostali trvale po hladinou základnej úrovne až do konca štúdie. Počas štúdie sa podľa očakávania pozorovala veľká rozdielnosť koncentrácií PSA medzi jednotlivými osobami. </w:t>
      </w:r>
    </w:p>
    <w:p w:rsidR="00BE40F7" w:rsidRDefault="00BE40F7" w:rsidP="00BE40F7">
      <w:pPr>
        <w:rPr>
          <w:b/>
          <w:sz w:val="22"/>
          <w:szCs w:val="22"/>
        </w:rPr>
      </w:pPr>
    </w:p>
    <w:p w:rsidR="00AC2BEE" w:rsidRPr="00E82454" w:rsidRDefault="00AC2BEE" w:rsidP="00BE40F7">
      <w:pPr>
        <w:rPr>
          <w:b/>
          <w:sz w:val="22"/>
          <w:szCs w:val="22"/>
        </w:rPr>
      </w:pPr>
      <w:r w:rsidRPr="00E82454">
        <w:rPr>
          <w:b/>
          <w:sz w:val="22"/>
          <w:szCs w:val="22"/>
        </w:rPr>
        <w:t>5.2</w:t>
      </w:r>
      <w:r w:rsidRPr="00E82454">
        <w:rPr>
          <w:b/>
          <w:sz w:val="22"/>
          <w:szCs w:val="22"/>
        </w:rPr>
        <w:tab/>
      </w:r>
      <w:proofErr w:type="spellStart"/>
      <w:r w:rsidRPr="00E82454">
        <w:rPr>
          <w:b/>
          <w:sz w:val="22"/>
          <w:szCs w:val="22"/>
        </w:rPr>
        <w:t>Farmakokinetické</w:t>
      </w:r>
      <w:proofErr w:type="spellEnd"/>
      <w:r w:rsidRPr="00E82454">
        <w:rPr>
          <w:b/>
          <w:sz w:val="22"/>
          <w:szCs w:val="22"/>
        </w:rPr>
        <w:t xml:space="preserve"> vlastnosti</w:t>
      </w:r>
    </w:p>
    <w:p w:rsidR="00AC2BEE" w:rsidRPr="00E82454" w:rsidRDefault="00AC2BEE" w:rsidP="00BE40F7">
      <w:pPr>
        <w:jc w:val="both"/>
        <w:rPr>
          <w:sz w:val="22"/>
          <w:szCs w:val="22"/>
          <w:u w:val="single"/>
        </w:rPr>
      </w:pPr>
    </w:p>
    <w:p w:rsidR="00AC2BEE" w:rsidRPr="00E82454" w:rsidRDefault="00AC2BEE" w:rsidP="00BE40F7">
      <w:pPr>
        <w:jc w:val="both"/>
        <w:rPr>
          <w:sz w:val="22"/>
          <w:szCs w:val="22"/>
          <w:u w:val="single"/>
        </w:rPr>
      </w:pPr>
      <w:r w:rsidRPr="00E82454">
        <w:rPr>
          <w:sz w:val="22"/>
          <w:szCs w:val="22"/>
          <w:u w:val="single"/>
        </w:rPr>
        <w:t>Absorpcia</w:t>
      </w:r>
    </w:p>
    <w:p w:rsidR="00AC2BEE" w:rsidRPr="00E82454" w:rsidRDefault="00AC2BEE" w:rsidP="00BE40F7">
      <w:pPr>
        <w:jc w:val="both"/>
        <w:rPr>
          <w:sz w:val="22"/>
          <w:szCs w:val="22"/>
        </w:rPr>
      </w:pPr>
      <w:r w:rsidRPr="00E82454">
        <w:rPr>
          <w:sz w:val="22"/>
          <w:szCs w:val="22"/>
        </w:rPr>
        <w:t xml:space="preserve">Po dvoch injekciách </w:t>
      </w:r>
      <w:proofErr w:type="spellStart"/>
      <w:r w:rsidR="004716C1">
        <w:rPr>
          <w:sz w:val="22"/>
          <w:szCs w:val="22"/>
        </w:rPr>
        <w:t>Lutrate</w:t>
      </w:r>
      <w:proofErr w:type="spellEnd"/>
      <w:r w:rsidR="004716C1">
        <w:rPr>
          <w:sz w:val="22"/>
          <w:szCs w:val="22"/>
        </w:rPr>
        <w:t xml:space="preserve"> </w:t>
      </w:r>
      <w:proofErr w:type="spellStart"/>
      <w:r w:rsidR="004716C1">
        <w:rPr>
          <w:sz w:val="22"/>
          <w:szCs w:val="22"/>
        </w:rPr>
        <w:t>Depot</w:t>
      </w:r>
      <w:proofErr w:type="spellEnd"/>
      <w:r w:rsidR="004716C1">
        <w:rPr>
          <w:sz w:val="22"/>
          <w:szCs w:val="22"/>
        </w:rPr>
        <w:t xml:space="preserve"> 22,5 mg</w:t>
      </w:r>
      <w:r w:rsidRPr="00E82454">
        <w:rPr>
          <w:sz w:val="22"/>
          <w:szCs w:val="22"/>
        </w:rPr>
        <w:t xml:space="preserve"> podávaných po sebe v trojmesačnom intervale maximálne koncentrácie </w:t>
      </w:r>
      <w:proofErr w:type="spellStart"/>
      <w:r w:rsidRPr="00E82454">
        <w:rPr>
          <w:sz w:val="22"/>
          <w:szCs w:val="22"/>
        </w:rPr>
        <w:t>leuprorelíniumacetátu</w:t>
      </w:r>
      <w:proofErr w:type="spellEnd"/>
      <w:r w:rsidRPr="00E82454">
        <w:rPr>
          <w:sz w:val="22"/>
          <w:szCs w:val="22"/>
        </w:rPr>
        <w:t xml:space="preserve"> v plazme pozorované na vzorke pacientov s karcinómom prostaty (N = 30) boli v </w:t>
      </w:r>
      <w:r w:rsidR="005B6176">
        <w:rPr>
          <w:sz w:val="22"/>
          <w:szCs w:val="22"/>
        </w:rPr>
        <w:t>dvoch</w:t>
      </w:r>
      <w:r w:rsidR="005B6176" w:rsidRPr="00E82454">
        <w:rPr>
          <w:sz w:val="22"/>
          <w:szCs w:val="22"/>
        </w:rPr>
        <w:t xml:space="preserve"> </w:t>
      </w:r>
      <w:r w:rsidRPr="00E82454">
        <w:rPr>
          <w:sz w:val="22"/>
          <w:szCs w:val="22"/>
        </w:rPr>
        <w:t xml:space="preserve">cykloch podobné. Po prvom podaní (dni 0-84) </w:t>
      </w:r>
      <w:proofErr w:type="spellStart"/>
      <w:r w:rsidRPr="00E82454">
        <w:rPr>
          <w:sz w:val="22"/>
          <w:szCs w:val="22"/>
        </w:rPr>
        <w:t>Cmax</w:t>
      </w:r>
      <w:proofErr w:type="spellEnd"/>
      <w:r w:rsidRPr="00E82454">
        <w:rPr>
          <w:sz w:val="22"/>
          <w:szCs w:val="22"/>
        </w:rPr>
        <w:t xml:space="preserve"> bola 46,79 ± 18,008 </w:t>
      </w:r>
      <w:proofErr w:type="spellStart"/>
      <w:r w:rsidRPr="00E82454">
        <w:rPr>
          <w:sz w:val="22"/>
          <w:szCs w:val="22"/>
        </w:rPr>
        <w:t>ng</w:t>
      </w:r>
      <w:proofErr w:type="spellEnd"/>
      <w:r w:rsidRPr="00E82454">
        <w:rPr>
          <w:sz w:val="22"/>
          <w:szCs w:val="22"/>
        </w:rPr>
        <w:t xml:space="preserve">/ml. Priemerný čas na dosiahnutie </w:t>
      </w:r>
      <w:proofErr w:type="spellStart"/>
      <w:r w:rsidRPr="00E82454">
        <w:rPr>
          <w:sz w:val="22"/>
          <w:szCs w:val="22"/>
        </w:rPr>
        <w:t>Cmax</w:t>
      </w:r>
      <w:proofErr w:type="spellEnd"/>
      <w:r w:rsidRPr="00E82454">
        <w:rPr>
          <w:sz w:val="22"/>
          <w:szCs w:val="22"/>
        </w:rPr>
        <w:t xml:space="preserve"> (</w:t>
      </w:r>
      <w:proofErr w:type="spellStart"/>
      <w:r w:rsidRPr="00E82454">
        <w:rPr>
          <w:sz w:val="22"/>
          <w:szCs w:val="22"/>
        </w:rPr>
        <w:t>Tmax</w:t>
      </w:r>
      <w:proofErr w:type="spellEnd"/>
      <w:r w:rsidRPr="00E82454">
        <w:rPr>
          <w:sz w:val="22"/>
          <w:szCs w:val="22"/>
        </w:rPr>
        <w:t xml:space="preserve">) bol 0,07 dňa, čo zodpovedá 1,68 h </w:t>
      </w:r>
      <w:r w:rsidR="00F46622" w:rsidRPr="00E82454">
        <w:rPr>
          <w:sz w:val="22"/>
          <w:szCs w:val="22"/>
        </w:rPr>
        <w:br/>
      </w:r>
      <w:r w:rsidRPr="00E82454">
        <w:rPr>
          <w:sz w:val="22"/>
          <w:szCs w:val="22"/>
        </w:rPr>
        <w:t>(rozsah 1,008 – 4,008 h).</w:t>
      </w:r>
    </w:p>
    <w:p w:rsidR="00AC2BEE" w:rsidRPr="00E82454" w:rsidRDefault="00AC2BEE" w:rsidP="00BE40F7">
      <w:pPr>
        <w:jc w:val="both"/>
        <w:rPr>
          <w:sz w:val="22"/>
          <w:szCs w:val="22"/>
          <w:u w:val="single"/>
        </w:rPr>
      </w:pPr>
    </w:p>
    <w:p w:rsidR="00AC2BEE" w:rsidRPr="00E82454" w:rsidRDefault="00AC2BEE" w:rsidP="00BE40F7">
      <w:pPr>
        <w:jc w:val="both"/>
        <w:rPr>
          <w:i/>
          <w:sz w:val="22"/>
          <w:szCs w:val="22"/>
          <w:u w:val="single"/>
        </w:rPr>
      </w:pPr>
      <w:r w:rsidRPr="00E82454">
        <w:rPr>
          <w:sz w:val="22"/>
          <w:szCs w:val="22"/>
          <w:u w:val="single"/>
        </w:rPr>
        <w:t>Distribúcia</w:t>
      </w:r>
    </w:p>
    <w:p w:rsidR="00AC2BEE" w:rsidRPr="00E82454" w:rsidRDefault="00AC2BEE" w:rsidP="00BE40F7">
      <w:pPr>
        <w:jc w:val="both"/>
        <w:rPr>
          <w:sz w:val="22"/>
          <w:szCs w:val="22"/>
        </w:rPr>
      </w:pPr>
      <w:r w:rsidRPr="00E82454">
        <w:rPr>
          <w:sz w:val="22"/>
          <w:szCs w:val="22"/>
        </w:rPr>
        <w:t xml:space="preserve">S liekom </w:t>
      </w:r>
      <w:proofErr w:type="spellStart"/>
      <w:r w:rsidR="004716C1">
        <w:rPr>
          <w:sz w:val="22"/>
          <w:szCs w:val="22"/>
        </w:rPr>
        <w:t>Lutrate</w:t>
      </w:r>
      <w:proofErr w:type="spellEnd"/>
      <w:r w:rsidR="004716C1">
        <w:rPr>
          <w:sz w:val="22"/>
          <w:szCs w:val="22"/>
        </w:rPr>
        <w:t xml:space="preserve"> </w:t>
      </w:r>
      <w:proofErr w:type="spellStart"/>
      <w:r w:rsidR="004716C1">
        <w:rPr>
          <w:sz w:val="22"/>
          <w:szCs w:val="22"/>
        </w:rPr>
        <w:t>Depot</w:t>
      </w:r>
      <w:proofErr w:type="spellEnd"/>
      <w:r w:rsidR="004716C1">
        <w:rPr>
          <w:sz w:val="22"/>
          <w:szCs w:val="22"/>
        </w:rPr>
        <w:t xml:space="preserve"> 22,5 mg</w:t>
      </w:r>
      <w:r w:rsidRPr="00E82454">
        <w:rPr>
          <w:sz w:val="22"/>
          <w:szCs w:val="22"/>
        </w:rPr>
        <w:t xml:space="preserve"> sa neuskutočnila distribučná štúdia. Avšak u zdravých dobrovoľníkov mužského pohlavia bol priemerný rovnovážny distribučný objem </w:t>
      </w:r>
      <w:proofErr w:type="spellStart"/>
      <w:r w:rsidRPr="00E82454">
        <w:rPr>
          <w:sz w:val="22"/>
          <w:szCs w:val="22"/>
        </w:rPr>
        <w:t>leuprorelíniumacetátu</w:t>
      </w:r>
      <w:proofErr w:type="spellEnd"/>
      <w:r w:rsidRPr="00E82454">
        <w:rPr>
          <w:sz w:val="22"/>
          <w:szCs w:val="22"/>
        </w:rPr>
        <w:t xml:space="preserve"> po </w:t>
      </w:r>
      <w:r w:rsidRPr="00E82454">
        <w:rPr>
          <w:sz w:val="22"/>
          <w:szCs w:val="22"/>
        </w:rPr>
        <w:lastRenderedPageBreak/>
        <w:t xml:space="preserve">intravenóznom </w:t>
      </w:r>
      <w:proofErr w:type="spellStart"/>
      <w:r w:rsidRPr="00E82454">
        <w:rPr>
          <w:sz w:val="22"/>
          <w:szCs w:val="22"/>
        </w:rPr>
        <w:t>bolusovom</w:t>
      </w:r>
      <w:proofErr w:type="spellEnd"/>
      <w:r w:rsidRPr="00E82454">
        <w:rPr>
          <w:sz w:val="22"/>
          <w:szCs w:val="22"/>
        </w:rPr>
        <w:t xml:space="preserve"> podaní 1,0 mg dávky 27 litrov. Väzba in </w:t>
      </w:r>
      <w:proofErr w:type="spellStart"/>
      <w:r w:rsidRPr="00E82454">
        <w:rPr>
          <w:sz w:val="22"/>
          <w:szCs w:val="22"/>
        </w:rPr>
        <w:t>vitro</w:t>
      </w:r>
      <w:proofErr w:type="spellEnd"/>
      <w:r w:rsidRPr="00E82454">
        <w:rPr>
          <w:sz w:val="22"/>
          <w:szCs w:val="22"/>
        </w:rPr>
        <w:t xml:space="preserve"> na proteíny ľudskej plazmy sa pohybovala v rozmedzí 43 % až 49 %.</w:t>
      </w:r>
    </w:p>
    <w:p w:rsidR="00AC2BEE" w:rsidRPr="00E82454" w:rsidRDefault="00AC2BEE" w:rsidP="00BE40F7">
      <w:pPr>
        <w:jc w:val="both"/>
        <w:rPr>
          <w:sz w:val="22"/>
          <w:szCs w:val="22"/>
          <w:u w:val="single"/>
        </w:rPr>
      </w:pPr>
    </w:p>
    <w:p w:rsidR="00AC2BEE" w:rsidRPr="00E82454" w:rsidRDefault="00DC3CF6" w:rsidP="00BE40F7">
      <w:pPr>
        <w:jc w:val="both"/>
        <w:rPr>
          <w:sz w:val="22"/>
          <w:szCs w:val="22"/>
          <w:u w:val="single"/>
        </w:rPr>
      </w:pPr>
      <w:r w:rsidRPr="00E82454">
        <w:rPr>
          <w:sz w:val="22"/>
          <w:szCs w:val="22"/>
          <w:u w:val="single"/>
        </w:rPr>
        <w:t>Eliminácia</w:t>
      </w:r>
    </w:p>
    <w:p w:rsidR="00EA72B1" w:rsidRPr="00E82454" w:rsidRDefault="00AC2BEE" w:rsidP="00BE40F7">
      <w:pPr>
        <w:jc w:val="both"/>
        <w:rPr>
          <w:sz w:val="22"/>
          <w:szCs w:val="22"/>
        </w:rPr>
      </w:pPr>
      <w:r w:rsidRPr="00E82454">
        <w:rPr>
          <w:sz w:val="22"/>
          <w:szCs w:val="22"/>
        </w:rPr>
        <w:t xml:space="preserve">S liekom </w:t>
      </w:r>
      <w:proofErr w:type="spellStart"/>
      <w:r w:rsidR="004716C1">
        <w:rPr>
          <w:sz w:val="22"/>
          <w:szCs w:val="22"/>
        </w:rPr>
        <w:t>Lutrate</w:t>
      </w:r>
      <w:proofErr w:type="spellEnd"/>
      <w:r w:rsidR="004716C1">
        <w:rPr>
          <w:sz w:val="22"/>
          <w:szCs w:val="22"/>
        </w:rPr>
        <w:t xml:space="preserve"> </w:t>
      </w:r>
      <w:proofErr w:type="spellStart"/>
      <w:r w:rsidR="004716C1">
        <w:rPr>
          <w:sz w:val="22"/>
          <w:szCs w:val="22"/>
        </w:rPr>
        <w:t>Depot</w:t>
      </w:r>
      <w:proofErr w:type="spellEnd"/>
      <w:r w:rsidR="004716C1">
        <w:rPr>
          <w:sz w:val="22"/>
          <w:szCs w:val="22"/>
        </w:rPr>
        <w:t xml:space="preserve"> 22,5 mg</w:t>
      </w:r>
      <w:r w:rsidRPr="00E82454">
        <w:rPr>
          <w:sz w:val="22"/>
          <w:szCs w:val="22"/>
        </w:rPr>
        <w:t xml:space="preserve"> sa neuskutočnila štúdia metabolizmu lieku ani štúdia vylučovania lieku. </w:t>
      </w:r>
    </w:p>
    <w:p w:rsidR="00733402" w:rsidRPr="00E82454" w:rsidRDefault="00733402" w:rsidP="00BE40F7">
      <w:pPr>
        <w:jc w:val="both"/>
        <w:rPr>
          <w:sz w:val="22"/>
          <w:szCs w:val="22"/>
        </w:rPr>
      </w:pPr>
    </w:p>
    <w:p w:rsidR="00AC2BEE" w:rsidRPr="00E82454" w:rsidDel="00EA72B1" w:rsidRDefault="00AC2BEE" w:rsidP="00BE40F7">
      <w:pPr>
        <w:jc w:val="both"/>
        <w:rPr>
          <w:sz w:val="22"/>
          <w:szCs w:val="22"/>
        </w:rPr>
      </w:pPr>
      <w:r w:rsidRPr="00E82454">
        <w:rPr>
          <w:sz w:val="22"/>
          <w:szCs w:val="22"/>
        </w:rPr>
        <w:t xml:space="preserve">Predpokladá sa, že </w:t>
      </w:r>
      <w:proofErr w:type="spellStart"/>
      <w:r w:rsidRPr="00E82454">
        <w:rPr>
          <w:sz w:val="22"/>
          <w:szCs w:val="22"/>
        </w:rPr>
        <w:t>leuprorelín</w:t>
      </w:r>
      <w:proofErr w:type="spellEnd"/>
      <w:r w:rsidRPr="00E82454">
        <w:rPr>
          <w:sz w:val="22"/>
          <w:szCs w:val="22"/>
        </w:rPr>
        <w:t xml:space="preserve"> sa metabolizuje na menšie neaktívne </w:t>
      </w:r>
      <w:proofErr w:type="spellStart"/>
      <w:r w:rsidRPr="00E82454">
        <w:rPr>
          <w:sz w:val="22"/>
          <w:szCs w:val="22"/>
        </w:rPr>
        <w:t>peptidy</w:t>
      </w:r>
      <w:proofErr w:type="spellEnd"/>
      <w:r w:rsidRPr="00E82454">
        <w:rPr>
          <w:sz w:val="22"/>
          <w:szCs w:val="22"/>
        </w:rPr>
        <w:t xml:space="preserve">, ktoré sa môžu vylučovať alebo ďalej </w:t>
      </w:r>
      <w:proofErr w:type="spellStart"/>
      <w:r w:rsidRPr="00E82454">
        <w:rPr>
          <w:sz w:val="22"/>
          <w:szCs w:val="22"/>
        </w:rPr>
        <w:t>katabolizovať</w:t>
      </w:r>
      <w:proofErr w:type="spellEnd"/>
      <w:r w:rsidRPr="00E82454">
        <w:rPr>
          <w:sz w:val="22"/>
          <w:szCs w:val="22"/>
        </w:rPr>
        <w:t>.</w:t>
      </w:r>
    </w:p>
    <w:p w:rsidR="008E1B44" w:rsidRPr="00E82454" w:rsidRDefault="008E1B44" w:rsidP="00BE40F7">
      <w:pPr>
        <w:jc w:val="both"/>
        <w:rPr>
          <w:sz w:val="22"/>
          <w:szCs w:val="22"/>
        </w:rPr>
      </w:pPr>
    </w:p>
    <w:p w:rsidR="008E1B44" w:rsidRPr="00E82454" w:rsidRDefault="008E1B44" w:rsidP="00BE40F7">
      <w:pPr>
        <w:jc w:val="both"/>
        <w:rPr>
          <w:sz w:val="22"/>
          <w:szCs w:val="22"/>
        </w:rPr>
      </w:pPr>
      <w:r w:rsidRPr="00E82454">
        <w:rPr>
          <w:sz w:val="22"/>
          <w:szCs w:val="22"/>
        </w:rPr>
        <w:t xml:space="preserve">U zdravých dobrovoľníkov mužského pohlavia 1,0 mg </w:t>
      </w:r>
      <w:proofErr w:type="spellStart"/>
      <w:r w:rsidRPr="00E82454">
        <w:rPr>
          <w:sz w:val="22"/>
          <w:szCs w:val="22"/>
        </w:rPr>
        <w:t>bolus</w:t>
      </w:r>
      <w:proofErr w:type="spellEnd"/>
      <w:r w:rsidRPr="00E82454">
        <w:rPr>
          <w:sz w:val="22"/>
          <w:szCs w:val="22"/>
        </w:rPr>
        <w:t xml:space="preserve"> </w:t>
      </w:r>
      <w:proofErr w:type="spellStart"/>
      <w:r w:rsidRPr="00E82454">
        <w:rPr>
          <w:sz w:val="22"/>
          <w:szCs w:val="22"/>
        </w:rPr>
        <w:t>leuprorelíniumacetátu</w:t>
      </w:r>
      <w:proofErr w:type="spellEnd"/>
      <w:r w:rsidRPr="00E82454">
        <w:rPr>
          <w:sz w:val="22"/>
          <w:szCs w:val="22"/>
        </w:rPr>
        <w:t xml:space="preserve"> podaný intravenózne ukázal, že priemerný systémový </w:t>
      </w:r>
      <w:proofErr w:type="spellStart"/>
      <w:r w:rsidRPr="00E82454">
        <w:rPr>
          <w:sz w:val="22"/>
          <w:szCs w:val="22"/>
        </w:rPr>
        <w:t>klírens</w:t>
      </w:r>
      <w:proofErr w:type="spellEnd"/>
      <w:r w:rsidRPr="00E82454">
        <w:rPr>
          <w:sz w:val="22"/>
          <w:szCs w:val="22"/>
        </w:rPr>
        <w:t xml:space="preserve"> je 7,6 l/h s terminálnym polčasom vylučovania približne 3 hodiny na základe </w:t>
      </w:r>
      <w:proofErr w:type="spellStart"/>
      <w:r w:rsidR="00BD4BBF" w:rsidRPr="00E82454">
        <w:rPr>
          <w:sz w:val="22"/>
          <w:szCs w:val="22"/>
        </w:rPr>
        <w:t>dvojkom</w:t>
      </w:r>
      <w:r w:rsidR="00BD4BBF">
        <w:rPr>
          <w:sz w:val="22"/>
          <w:szCs w:val="22"/>
        </w:rPr>
        <w:t>partmento</w:t>
      </w:r>
      <w:r w:rsidR="00BD4BBF" w:rsidRPr="00E82454">
        <w:rPr>
          <w:sz w:val="22"/>
          <w:szCs w:val="22"/>
        </w:rPr>
        <w:t>vého</w:t>
      </w:r>
      <w:proofErr w:type="spellEnd"/>
      <w:r w:rsidR="00BD4BBF" w:rsidRPr="00E82454">
        <w:rPr>
          <w:sz w:val="22"/>
          <w:szCs w:val="22"/>
        </w:rPr>
        <w:t xml:space="preserve"> </w:t>
      </w:r>
      <w:r w:rsidRPr="00E82454">
        <w:rPr>
          <w:sz w:val="22"/>
          <w:szCs w:val="22"/>
        </w:rPr>
        <w:t xml:space="preserve">modelu. </w:t>
      </w:r>
    </w:p>
    <w:p w:rsidR="008E1B44" w:rsidRPr="00E82454" w:rsidRDefault="008E1B44" w:rsidP="00BE40F7">
      <w:pPr>
        <w:jc w:val="both"/>
        <w:rPr>
          <w:sz w:val="22"/>
          <w:szCs w:val="22"/>
        </w:rPr>
      </w:pPr>
    </w:p>
    <w:p w:rsidR="00AC2BEE" w:rsidRPr="00E82454" w:rsidRDefault="008E1B44" w:rsidP="00BE40F7">
      <w:pPr>
        <w:jc w:val="both"/>
        <w:rPr>
          <w:sz w:val="22"/>
          <w:szCs w:val="22"/>
        </w:rPr>
      </w:pPr>
      <w:r w:rsidRPr="00E82454">
        <w:rPr>
          <w:sz w:val="22"/>
          <w:szCs w:val="22"/>
        </w:rPr>
        <w:t xml:space="preserve">Po podaní </w:t>
      </w:r>
      <w:proofErr w:type="spellStart"/>
      <w:r w:rsidRPr="00E82454">
        <w:rPr>
          <w:sz w:val="22"/>
          <w:szCs w:val="22"/>
        </w:rPr>
        <w:t>leuprorelíniumacetátu</w:t>
      </w:r>
      <w:proofErr w:type="spellEnd"/>
      <w:r w:rsidRPr="00E82454">
        <w:rPr>
          <w:sz w:val="22"/>
          <w:szCs w:val="22"/>
        </w:rPr>
        <w:t xml:space="preserve"> 3 pacientom sa menej ako 5 % dávky našlo v moči vo forme materskej látky a </w:t>
      </w:r>
      <w:proofErr w:type="spellStart"/>
      <w:r w:rsidRPr="00E82454">
        <w:rPr>
          <w:sz w:val="22"/>
          <w:szCs w:val="22"/>
        </w:rPr>
        <w:t>metabolitu</w:t>
      </w:r>
      <w:proofErr w:type="spellEnd"/>
      <w:r w:rsidRPr="00E82454">
        <w:rPr>
          <w:sz w:val="22"/>
          <w:szCs w:val="22"/>
        </w:rPr>
        <w:t xml:space="preserve"> M-I.</w:t>
      </w:r>
    </w:p>
    <w:p w:rsidR="00AC2BEE" w:rsidRPr="00E82454" w:rsidRDefault="00AC2BEE" w:rsidP="00BE40F7">
      <w:pPr>
        <w:jc w:val="both"/>
        <w:rPr>
          <w:sz w:val="22"/>
          <w:szCs w:val="22"/>
          <w:u w:val="single"/>
        </w:rPr>
      </w:pPr>
    </w:p>
    <w:p w:rsidR="00AC2BEE" w:rsidRPr="00E82454" w:rsidRDefault="00AC2BEE" w:rsidP="00BE40F7">
      <w:pPr>
        <w:jc w:val="both"/>
        <w:rPr>
          <w:sz w:val="22"/>
          <w:szCs w:val="22"/>
          <w:u w:val="single"/>
          <w:lang w:val="en-GB"/>
        </w:rPr>
      </w:pPr>
      <w:r w:rsidRPr="00E82454">
        <w:rPr>
          <w:sz w:val="22"/>
          <w:szCs w:val="22"/>
          <w:u w:val="single"/>
        </w:rPr>
        <w:t>Osobitné skupiny pacientov</w:t>
      </w:r>
    </w:p>
    <w:p w:rsidR="00AC2BEE" w:rsidRPr="00E82454" w:rsidRDefault="00AC2BEE" w:rsidP="00BE40F7">
      <w:pPr>
        <w:jc w:val="both"/>
        <w:rPr>
          <w:i/>
          <w:sz w:val="22"/>
          <w:szCs w:val="22"/>
          <w:lang w:val="en-GB"/>
        </w:rPr>
      </w:pPr>
      <w:proofErr w:type="spellStart"/>
      <w:r w:rsidRPr="00E82454">
        <w:rPr>
          <w:i/>
          <w:sz w:val="22"/>
          <w:szCs w:val="22"/>
        </w:rPr>
        <w:t>Renálna</w:t>
      </w:r>
      <w:proofErr w:type="spellEnd"/>
      <w:r w:rsidRPr="00E82454">
        <w:rPr>
          <w:i/>
          <w:sz w:val="22"/>
          <w:szCs w:val="22"/>
        </w:rPr>
        <w:t xml:space="preserve"> a </w:t>
      </w:r>
      <w:proofErr w:type="spellStart"/>
      <w:r w:rsidRPr="00E82454">
        <w:rPr>
          <w:i/>
          <w:sz w:val="22"/>
          <w:szCs w:val="22"/>
        </w:rPr>
        <w:t>hepatálna</w:t>
      </w:r>
      <w:proofErr w:type="spellEnd"/>
      <w:r w:rsidRPr="00E82454">
        <w:rPr>
          <w:i/>
          <w:sz w:val="22"/>
          <w:szCs w:val="22"/>
        </w:rPr>
        <w:t xml:space="preserve"> </w:t>
      </w:r>
      <w:proofErr w:type="spellStart"/>
      <w:r w:rsidRPr="00E82454">
        <w:rPr>
          <w:i/>
          <w:sz w:val="22"/>
          <w:szCs w:val="22"/>
        </w:rPr>
        <w:t>insuficiencia</w:t>
      </w:r>
      <w:proofErr w:type="spellEnd"/>
    </w:p>
    <w:p w:rsidR="00AC2BEE" w:rsidRPr="00E82454" w:rsidRDefault="00AC2BEE" w:rsidP="00BE40F7">
      <w:pPr>
        <w:jc w:val="both"/>
        <w:rPr>
          <w:sz w:val="22"/>
          <w:szCs w:val="22"/>
          <w:lang w:val="en-GB"/>
        </w:rPr>
      </w:pPr>
      <w:proofErr w:type="spellStart"/>
      <w:r w:rsidRPr="00E82454">
        <w:rPr>
          <w:sz w:val="22"/>
          <w:szCs w:val="22"/>
        </w:rPr>
        <w:t>Farmakokinetika</w:t>
      </w:r>
      <w:proofErr w:type="spellEnd"/>
      <w:r w:rsidRPr="00E82454">
        <w:rPr>
          <w:sz w:val="22"/>
          <w:szCs w:val="22"/>
        </w:rPr>
        <w:t xml:space="preserve"> liečiva sa neskúmala u pacientov so zhoršenou funkciou pečene a obličiek.</w:t>
      </w:r>
    </w:p>
    <w:p w:rsidR="00AC2BEE" w:rsidRPr="00E82454" w:rsidRDefault="00AC2BEE" w:rsidP="00BE40F7">
      <w:pPr>
        <w:jc w:val="both"/>
        <w:rPr>
          <w:sz w:val="22"/>
          <w:szCs w:val="22"/>
          <w:lang w:val="en-GB"/>
        </w:rPr>
      </w:pPr>
    </w:p>
    <w:p w:rsidR="00AC2BEE" w:rsidRPr="00E82454" w:rsidRDefault="00AC2BEE" w:rsidP="00BE40F7">
      <w:pPr>
        <w:jc w:val="both"/>
        <w:rPr>
          <w:b/>
          <w:sz w:val="22"/>
          <w:szCs w:val="22"/>
          <w:lang w:val="en-GB"/>
        </w:rPr>
      </w:pPr>
      <w:r w:rsidRPr="00E82454">
        <w:rPr>
          <w:b/>
          <w:sz w:val="22"/>
          <w:szCs w:val="22"/>
        </w:rPr>
        <w:t>5.3</w:t>
      </w:r>
      <w:r w:rsidRPr="00E82454">
        <w:rPr>
          <w:b/>
          <w:sz w:val="22"/>
          <w:szCs w:val="22"/>
        </w:rPr>
        <w:tab/>
        <w:t>Predklinické údaje o bezpečnosti</w:t>
      </w:r>
    </w:p>
    <w:p w:rsidR="00AC2BEE" w:rsidRPr="00E82454" w:rsidRDefault="00AC2BEE" w:rsidP="00BE40F7">
      <w:pPr>
        <w:jc w:val="both"/>
        <w:rPr>
          <w:sz w:val="22"/>
          <w:szCs w:val="22"/>
          <w:lang w:val="en-GB"/>
        </w:rPr>
      </w:pPr>
    </w:p>
    <w:p w:rsidR="00AC2BEE" w:rsidRPr="00E82454" w:rsidRDefault="00BD4BBF" w:rsidP="00BE40F7">
      <w:pPr>
        <w:jc w:val="both"/>
        <w:rPr>
          <w:sz w:val="22"/>
          <w:szCs w:val="22"/>
          <w:lang w:val="en-GB"/>
        </w:rPr>
      </w:pPr>
      <w:r w:rsidRPr="00BD4BBF">
        <w:rPr>
          <w:sz w:val="22"/>
          <w:szCs w:val="22"/>
        </w:rPr>
        <w:t>Predklinické údaje získané na základe obvyklých farmakologických štúdií bezpečnosti, toxicity po opakovanom podávaní,</w:t>
      </w:r>
      <w:r>
        <w:rPr>
          <w:sz w:val="22"/>
          <w:szCs w:val="22"/>
        </w:rPr>
        <w:t xml:space="preserve"> </w:t>
      </w:r>
      <w:proofErr w:type="spellStart"/>
      <w:r w:rsidRPr="00BD4BBF">
        <w:rPr>
          <w:sz w:val="22"/>
          <w:szCs w:val="22"/>
        </w:rPr>
        <w:t>genotoxicity</w:t>
      </w:r>
      <w:proofErr w:type="spellEnd"/>
      <w:r w:rsidRPr="00BD4BBF" w:rsidDel="00BD4BBF">
        <w:rPr>
          <w:sz w:val="22"/>
          <w:szCs w:val="22"/>
        </w:rPr>
        <w:t xml:space="preserve"> </w:t>
      </w:r>
      <w:r w:rsidR="00AC2BEE" w:rsidRPr="00E82454">
        <w:rPr>
          <w:sz w:val="22"/>
          <w:szCs w:val="22"/>
        </w:rPr>
        <w:t xml:space="preserve">uskutočnené s </w:t>
      </w:r>
      <w:proofErr w:type="spellStart"/>
      <w:r w:rsidR="00AC2BEE" w:rsidRPr="00E82454">
        <w:rPr>
          <w:sz w:val="22"/>
          <w:szCs w:val="22"/>
        </w:rPr>
        <w:t>leuprorelíniumacetátom</w:t>
      </w:r>
      <w:proofErr w:type="spellEnd"/>
      <w:r w:rsidR="00AC2BEE" w:rsidRPr="00E82454">
        <w:rPr>
          <w:sz w:val="22"/>
          <w:szCs w:val="22"/>
        </w:rPr>
        <w:t xml:space="preserve"> neodhalili žiadne osobitné riziko pre </w:t>
      </w:r>
      <w:r>
        <w:rPr>
          <w:sz w:val="22"/>
          <w:szCs w:val="22"/>
        </w:rPr>
        <w:t>ľudí</w:t>
      </w:r>
      <w:r w:rsidR="00AC2BEE" w:rsidRPr="00E82454">
        <w:rPr>
          <w:sz w:val="22"/>
          <w:szCs w:val="22"/>
        </w:rPr>
        <w:t xml:space="preserve">. </w:t>
      </w:r>
    </w:p>
    <w:p w:rsidR="00FD6145" w:rsidRPr="00E82454" w:rsidRDefault="00FD6145" w:rsidP="00BE40F7">
      <w:pPr>
        <w:jc w:val="both"/>
        <w:rPr>
          <w:sz w:val="22"/>
          <w:szCs w:val="22"/>
          <w:lang w:val="en-GB"/>
        </w:rPr>
      </w:pPr>
    </w:p>
    <w:p w:rsidR="00AC2BEE" w:rsidRPr="00E82454" w:rsidRDefault="00AC2BEE" w:rsidP="00BE40F7">
      <w:pPr>
        <w:jc w:val="both"/>
        <w:rPr>
          <w:sz w:val="22"/>
          <w:szCs w:val="22"/>
        </w:rPr>
      </w:pPr>
      <w:r w:rsidRPr="00E82454">
        <w:rPr>
          <w:sz w:val="22"/>
          <w:szCs w:val="22"/>
        </w:rPr>
        <w:t xml:space="preserve">Ako možno očakávať zo známych farmakologických vlastností tohto liečiva, v predklinických štúdiách sa zistili účinky na reprodukčné systémy, ktoré boli reverzibilné. V štúdiách reprodukčnej toxicity </w:t>
      </w:r>
      <w:proofErr w:type="spellStart"/>
      <w:r w:rsidRPr="00E82454">
        <w:rPr>
          <w:sz w:val="22"/>
          <w:szCs w:val="22"/>
        </w:rPr>
        <w:t>leuprorelíniumacetát</w:t>
      </w:r>
      <w:proofErr w:type="spellEnd"/>
      <w:r w:rsidRPr="00E82454">
        <w:rPr>
          <w:sz w:val="22"/>
          <w:szCs w:val="22"/>
        </w:rPr>
        <w:t xml:space="preserve"> nevykazoval </w:t>
      </w:r>
      <w:proofErr w:type="spellStart"/>
      <w:r w:rsidRPr="00E82454">
        <w:rPr>
          <w:sz w:val="22"/>
          <w:szCs w:val="22"/>
        </w:rPr>
        <w:t>teratogenitu</w:t>
      </w:r>
      <w:proofErr w:type="spellEnd"/>
      <w:r w:rsidRPr="00E82454">
        <w:rPr>
          <w:sz w:val="22"/>
          <w:szCs w:val="22"/>
        </w:rPr>
        <w:t xml:space="preserve">. U králikov sa však pozorovala </w:t>
      </w:r>
      <w:proofErr w:type="spellStart"/>
      <w:r w:rsidRPr="00E82454">
        <w:rPr>
          <w:sz w:val="22"/>
          <w:szCs w:val="22"/>
        </w:rPr>
        <w:t>embryotoxicita</w:t>
      </w:r>
      <w:proofErr w:type="spellEnd"/>
      <w:r w:rsidRPr="00E82454">
        <w:rPr>
          <w:sz w:val="22"/>
          <w:szCs w:val="22"/>
        </w:rPr>
        <w:t>/letalita.</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V štúdiách karcinogenity na potkanoch s </w:t>
      </w:r>
      <w:proofErr w:type="spellStart"/>
      <w:r w:rsidRPr="00E82454">
        <w:rPr>
          <w:sz w:val="22"/>
          <w:szCs w:val="22"/>
        </w:rPr>
        <w:t>leuprorelíniumacetátom</w:t>
      </w:r>
      <w:proofErr w:type="spellEnd"/>
      <w:r w:rsidRPr="00E82454">
        <w:rPr>
          <w:sz w:val="22"/>
          <w:szCs w:val="22"/>
        </w:rPr>
        <w:t xml:space="preserve"> podávaným podkožne (0,6 až 4 mg/kg/deň) sa pozoroval nárast </w:t>
      </w:r>
      <w:proofErr w:type="spellStart"/>
      <w:r w:rsidRPr="00E82454">
        <w:rPr>
          <w:sz w:val="22"/>
          <w:szCs w:val="22"/>
        </w:rPr>
        <w:t>adenómov</w:t>
      </w:r>
      <w:proofErr w:type="spellEnd"/>
      <w:r w:rsidRPr="00E82454">
        <w:rPr>
          <w:sz w:val="22"/>
          <w:szCs w:val="22"/>
        </w:rPr>
        <w:t xml:space="preserve"> hypofýzy v závislosti od dávky. Okrem toho sa pozoroval významný, ale nie závislý od dávky, nárast </w:t>
      </w:r>
      <w:proofErr w:type="spellStart"/>
      <w:r w:rsidRPr="00E82454">
        <w:rPr>
          <w:sz w:val="22"/>
          <w:szCs w:val="22"/>
        </w:rPr>
        <w:t>adenómov</w:t>
      </w:r>
      <w:proofErr w:type="spellEnd"/>
      <w:r w:rsidRPr="00E82454">
        <w:rPr>
          <w:sz w:val="22"/>
          <w:szCs w:val="22"/>
        </w:rPr>
        <w:t xml:space="preserve"> buniek ostrovčekov pankreasu u samíc a </w:t>
      </w:r>
      <w:proofErr w:type="spellStart"/>
      <w:r w:rsidRPr="00E82454">
        <w:rPr>
          <w:sz w:val="22"/>
          <w:szCs w:val="22"/>
        </w:rPr>
        <w:t>adenómov</w:t>
      </w:r>
      <w:proofErr w:type="spellEnd"/>
      <w:r w:rsidRPr="00E82454">
        <w:rPr>
          <w:sz w:val="22"/>
          <w:szCs w:val="22"/>
        </w:rPr>
        <w:t xml:space="preserve"> </w:t>
      </w:r>
      <w:proofErr w:type="spellStart"/>
      <w:r w:rsidRPr="00E82454">
        <w:rPr>
          <w:sz w:val="22"/>
          <w:szCs w:val="22"/>
        </w:rPr>
        <w:t>testikulárnych</w:t>
      </w:r>
      <w:proofErr w:type="spellEnd"/>
      <w:r w:rsidRPr="00E82454">
        <w:rPr>
          <w:sz w:val="22"/>
          <w:szCs w:val="22"/>
        </w:rPr>
        <w:t xml:space="preserve"> </w:t>
      </w:r>
      <w:proofErr w:type="spellStart"/>
      <w:r w:rsidRPr="00E82454">
        <w:rPr>
          <w:sz w:val="22"/>
          <w:szCs w:val="22"/>
        </w:rPr>
        <w:t>intersticiálnych</w:t>
      </w:r>
      <w:proofErr w:type="spellEnd"/>
      <w:r w:rsidRPr="00E82454">
        <w:rPr>
          <w:sz w:val="22"/>
          <w:szCs w:val="22"/>
        </w:rPr>
        <w:t xml:space="preserve"> buniek u samcov, pričom najväčšia </w:t>
      </w:r>
      <w:proofErr w:type="spellStart"/>
      <w:r w:rsidRPr="00E82454">
        <w:rPr>
          <w:sz w:val="22"/>
          <w:szCs w:val="22"/>
        </w:rPr>
        <w:t>incidencia</w:t>
      </w:r>
      <w:proofErr w:type="spellEnd"/>
      <w:r w:rsidRPr="00E82454">
        <w:rPr>
          <w:sz w:val="22"/>
          <w:szCs w:val="22"/>
        </w:rPr>
        <w:t xml:space="preserve"> sa pozorovala v skupine s nízkou dávkou. Výsledkom podávania </w:t>
      </w:r>
      <w:proofErr w:type="spellStart"/>
      <w:r w:rsidRPr="00E82454">
        <w:rPr>
          <w:sz w:val="22"/>
          <w:szCs w:val="22"/>
        </w:rPr>
        <w:t>leuprorelíniumacetatátu</w:t>
      </w:r>
      <w:proofErr w:type="spellEnd"/>
      <w:r w:rsidRPr="00E82454">
        <w:rPr>
          <w:sz w:val="22"/>
          <w:szCs w:val="22"/>
        </w:rPr>
        <w:t xml:space="preserve"> bolo potlačenie rastu určitých hormónovo </w:t>
      </w:r>
      <w:proofErr w:type="spellStart"/>
      <w:r w:rsidRPr="00E82454">
        <w:rPr>
          <w:sz w:val="22"/>
          <w:szCs w:val="22"/>
        </w:rPr>
        <w:t>dependentných</w:t>
      </w:r>
      <w:proofErr w:type="spellEnd"/>
      <w:r w:rsidRPr="00E82454">
        <w:rPr>
          <w:sz w:val="22"/>
          <w:szCs w:val="22"/>
        </w:rPr>
        <w:t xml:space="preserve"> tumorov (tumorov prostaty u samcov zlatých a </w:t>
      </w:r>
      <w:proofErr w:type="spellStart"/>
      <w:r w:rsidRPr="00E82454">
        <w:rPr>
          <w:sz w:val="22"/>
          <w:szCs w:val="22"/>
        </w:rPr>
        <w:t>Dunningových</w:t>
      </w:r>
      <w:proofErr w:type="spellEnd"/>
      <w:r w:rsidRPr="00E82454">
        <w:rPr>
          <w:sz w:val="22"/>
          <w:szCs w:val="22"/>
        </w:rPr>
        <w:t xml:space="preserve"> potkanov a tumorov prsníka vyvolaných s DMBA u samíc potkanov). Takéto účinky sa nepozorovali v štúdiách karcinogenity na myšiach. S liekom </w:t>
      </w:r>
      <w:proofErr w:type="spellStart"/>
      <w:r w:rsidR="008C3272">
        <w:rPr>
          <w:sz w:val="22"/>
          <w:szCs w:val="22"/>
        </w:rPr>
        <w:t>Lutrate</w:t>
      </w:r>
      <w:proofErr w:type="spellEnd"/>
      <w:r w:rsidR="008C3272">
        <w:rPr>
          <w:sz w:val="22"/>
          <w:szCs w:val="22"/>
        </w:rPr>
        <w:t xml:space="preserve"> </w:t>
      </w:r>
      <w:proofErr w:type="spellStart"/>
      <w:r w:rsidR="008C3272">
        <w:rPr>
          <w:sz w:val="22"/>
          <w:szCs w:val="22"/>
        </w:rPr>
        <w:t>Depot</w:t>
      </w:r>
      <w:proofErr w:type="spellEnd"/>
      <w:r w:rsidR="008C3272">
        <w:rPr>
          <w:sz w:val="22"/>
          <w:szCs w:val="22"/>
        </w:rPr>
        <w:t xml:space="preserve"> 22,5 mg</w:t>
      </w:r>
      <w:r w:rsidRPr="00E82454">
        <w:rPr>
          <w:sz w:val="22"/>
          <w:szCs w:val="22"/>
        </w:rPr>
        <w:t xml:space="preserve"> sa neuskutočnili štúdie karcinogenity.</w:t>
      </w:r>
    </w:p>
    <w:p w:rsidR="00AC2BEE" w:rsidRPr="00E82454" w:rsidRDefault="00AC2BEE" w:rsidP="00BE40F7">
      <w:pPr>
        <w:jc w:val="both"/>
        <w:rPr>
          <w:sz w:val="22"/>
          <w:szCs w:val="22"/>
        </w:rPr>
      </w:pPr>
    </w:p>
    <w:p w:rsidR="00AC2BEE" w:rsidRPr="00E82454" w:rsidRDefault="00AC2BEE" w:rsidP="00BE40F7">
      <w:pPr>
        <w:jc w:val="both"/>
        <w:rPr>
          <w:rFonts w:eastAsia="Times New Roman"/>
          <w:sz w:val="22"/>
          <w:szCs w:val="22"/>
          <w:lang w:eastAsia="en-US"/>
        </w:rPr>
      </w:pPr>
      <w:r w:rsidRPr="00E82454">
        <w:rPr>
          <w:rFonts w:eastAsia="Times New Roman"/>
          <w:sz w:val="22"/>
          <w:szCs w:val="22"/>
        </w:rPr>
        <w:t xml:space="preserve">Štúdie s </w:t>
      </w:r>
      <w:proofErr w:type="spellStart"/>
      <w:r w:rsidRPr="00E82454">
        <w:rPr>
          <w:rFonts w:eastAsia="Times New Roman"/>
          <w:sz w:val="22"/>
          <w:szCs w:val="22"/>
        </w:rPr>
        <w:t>leuprorelíniumacetátom</w:t>
      </w:r>
      <w:proofErr w:type="spellEnd"/>
      <w:r w:rsidRPr="00E82454">
        <w:rPr>
          <w:rFonts w:eastAsia="Times New Roman"/>
          <w:sz w:val="22"/>
          <w:szCs w:val="22"/>
        </w:rPr>
        <w:t xml:space="preserve"> ukázali, že v súbore in </w:t>
      </w:r>
      <w:proofErr w:type="spellStart"/>
      <w:r w:rsidRPr="00E82454">
        <w:rPr>
          <w:rFonts w:eastAsia="Times New Roman"/>
          <w:sz w:val="22"/>
          <w:szCs w:val="22"/>
        </w:rPr>
        <w:t>vitro</w:t>
      </w:r>
      <w:proofErr w:type="spellEnd"/>
      <w:r w:rsidRPr="00E82454">
        <w:rPr>
          <w:rFonts w:eastAsia="Times New Roman"/>
          <w:sz w:val="22"/>
          <w:szCs w:val="22"/>
        </w:rPr>
        <w:t xml:space="preserve"> a in </w:t>
      </w:r>
      <w:proofErr w:type="spellStart"/>
      <w:r w:rsidRPr="00E82454">
        <w:rPr>
          <w:rFonts w:eastAsia="Times New Roman"/>
          <w:sz w:val="22"/>
          <w:szCs w:val="22"/>
        </w:rPr>
        <w:t>vivo</w:t>
      </w:r>
      <w:proofErr w:type="spellEnd"/>
      <w:r w:rsidRPr="00E82454">
        <w:rPr>
          <w:rFonts w:eastAsia="Times New Roman"/>
          <w:sz w:val="22"/>
          <w:szCs w:val="22"/>
        </w:rPr>
        <w:t xml:space="preserve"> stanovení produkt nie je mutagénny. S liekom </w:t>
      </w:r>
      <w:proofErr w:type="spellStart"/>
      <w:r w:rsidR="008C3272">
        <w:rPr>
          <w:sz w:val="22"/>
          <w:szCs w:val="22"/>
        </w:rPr>
        <w:t>Lutrate</w:t>
      </w:r>
      <w:proofErr w:type="spellEnd"/>
      <w:r w:rsidR="008C3272">
        <w:rPr>
          <w:sz w:val="22"/>
          <w:szCs w:val="22"/>
        </w:rPr>
        <w:t xml:space="preserve"> </w:t>
      </w:r>
      <w:proofErr w:type="spellStart"/>
      <w:r w:rsidR="008C3272">
        <w:rPr>
          <w:sz w:val="22"/>
          <w:szCs w:val="22"/>
        </w:rPr>
        <w:t>Depot</w:t>
      </w:r>
      <w:proofErr w:type="spellEnd"/>
      <w:r w:rsidR="008C3272">
        <w:rPr>
          <w:sz w:val="22"/>
          <w:szCs w:val="22"/>
        </w:rPr>
        <w:t xml:space="preserve"> 22,5 mg</w:t>
      </w:r>
      <w:r w:rsidRPr="00E82454">
        <w:rPr>
          <w:rFonts w:eastAsia="Times New Roman"/>
          <w:sz w:val="22"/>
          <w:szCs w:val="22"/>
        </w:rPr>
        <w:t xml:space="preserve"> sa neuskutočnili štúdie </w:t>
      </w:r>
      <w:proofErr w:type="spellStart"/>
      <w:r w:rsidRPr="00E82454">
        <w:rPr>
          <w:rFonts w:eastAsia="Times New Roman"/>
          <w:sz w:val="22"/>
          <w:szCs w:val="22"/>
        </w:rPr>
        <w:t>mutagenity</w:t>
      </w:r>
      <w:proofErr w:type="spellEnd"/>
      <w:r w:rsidRPr="00E82454">
        <w:rPr>
          <w:rFonts w:eastAsia="Times New Roman"/>
          <w:sz w:val="22"/>
          <w:szCs w:val="22"/>
        </w:rPr>
        <w:t>.</w:t>
      </w:r>
    </w:p>
    <w:p w:rsidR="00AC2BEE" w:rsidRDefault="00AC2BEE" w:rsidP="00BE40F7">
      <w:pPr>
        <w:jc w:val="both"/>
        <w:rPr>
          <w:rFonts w:eastAsia="Times New Roman"/>
          <w:sz w:val="22"/>
          <w:szCs w:val="22"/>
          <w:lang w:eastAsia="en-US"/>
        </w:rPr>
      </w:pPr>
    </w:p>
    <w:p w:rsidR="00364557" w:rsidRPr="00E82454" w:rsidRDefault="00364557" w:rsidP="00BE40F7">
      <w:pPr>
        <w:jc w:val="both"/>
        <w:rPr>
          <w:rFonts w:eastAsia="Times New Roman"/>
          <w:sz w:val="22"/>
          <w:szCs w:val="22"/>
          <w:lang w:eastAsia="en-US"/>
        </w:rPr>
      </w:pPr>
    </w:p>
    <w:p w:rsidR="00AC2BEE" w:rsidRDefault="00AC2BEE" w:rsidP="00BE40F7">
      <w:pPr>
        <w:widowControl w:val="0"/>
        <w:jc w:val="both"/>
        <w:rPr>
          <w:b/>
          <w:noProof/>
          <w:sz w:val="22"/>
          <w:szCs w:val="22"/>
        </w:rPr>
      </w:pPr>
      <w:r w:rsidRPr="00E82454">
        <w:rPr>
          <w:b/>
          <w:noProof/>
          <w:sz w:val="22"/>
          <w:szCs w:val="22"/>
        </w:rPr>
        <w:t>6.</w:t>
      </w:r>
      <w:r w:rsidRPr="00E82454">
        <w:rPr>
          <w:b/>
          <w:noProof/>
          <w:sz w:val="22"/>
          <w:szCs w:val="22"/>
        </w:rPr>
        <w:tab/>
        <w:t>FARMACEUTICKÉ INFORMÁCIE</w:t>
      </w:r>
    </w:p>
    <w:p w:rsidR="00364557" w:rsidRPr="00E82454" w:rsidRDefault="00364557" w:rsidP="00BE40F7">
      <w:pPr>
        <w:widowControl w:val="0"/>
        <w:jc w:val="both"/>
        <w:rPr>
          <w:b/>
          <w:noProof/>
          <w:sz w:val="22"/>
          <w:szCs w:val="22"/>
        </w:rPr>
      </w:pPr>
    </w:p>
    <w:p w:rsidR="00AC2BEE" w:rsidRPr="00E82454" w:rsidRDefault="00AC2BEE" w:rsidP="00BE40F7">
      <w:pPr>
        <w:jc w:val="both"/>
        <w:rPr>
          <w:b/>
          <w:sz w:val="22"/>
          <w:szCs w:val="22"/>
        </w:rPr>
      </w:pPr>
      <w:r w:rsidRPr="00E82454">
        <w:rPr>
          <w:b/>
          <w:sz w:val="22"/>
          <w:szCs w:val="22"/>
        </w:rPr>
        <w:t>6.1</w:t>
      </w:r>
      <w:r w:rsidRPr="00E82454">
        <w:rPr>
          <w:b/>
          <w:sz w:val="22"/>
          <w:szCs w:val="22"/>
        </w:rPr>
        <w:tab/>
        <w:t>Zoznam pomocných látok</w:t>
      </w:r>
    </w:p>
    <w:p w:rsidR="00AC2BEE" w:rsidRPr="00E82454" w:rsidRDefault="00AC2BEE" w:rsidP="00BE40F7">
      <w:pPr>
        <w:jc w:val="both"/>
        <w:rPr>
          <w:sz w:val="22"/>
          <w:szCs w:val="22"/>
          <w:u w:val="single"/>
        </w:rPr>
      </w:pPr>
    </w:p>
    <w:p w:rsidR="00AC2BEE" w:rsidRPr="00E82454" w:rsidRDefault="00AC2BEE" w:rsidP="00BE40F7">
      <w:pPr>
        <w:jc w:val="both"/>
        <w:rPr>
          <w:sz w:val="22"/>
          <w:szCs w:val="22"/>
          <w:u w:val="single"/>
        </w:rPr>
      </w:pPr>
      <w:r w:rsidRPr="00E82454">
        <w:rPr>
          <w:sz w:val="22"/>
          <w:szCs w:val="22"/>
          <w:u w:val="single"/>
        </w:rPr>
        <w:t xml:space="preserve">Pomocné látky </w:t>
      </w:r>
      <w:proofErr w:type="spellStart"/>
      <w:r w:rsidRPr="00E82454">
        <w:rPr>
          <w:sz w:val="22"/>
          <w:szCs w:val="22"/>
          <w:u w:val="single"/>
        </w:rPr>
        <w:t>lyofilizátu</w:t>
      </w:r>
      <w:proofErr w:type="spellEnd"/>
      <w:r w:rsidRPr="00E82454">
        <w:rPr>
          <w:sz w:val="22"/>
          <w:szCs w:val="22"/>
          <w:u w:val="single"/>
        </w:rPr>
        <w:t xml:space="preserve"> (injekčná liekovka): </w:t>
      </w:r>
    </w:p>
    <w:p w:rsidR="00AC2BEE" w:rsidRPr="00E82454" w:rsidRDefault="00E22F24" w:rsidP="00BE40F7">
      <w:pPr>
        <w:jc w:val="both"/>
        <w:rPr>
          <w:sz w:val="22"/>
          <w:szCs w:val="22"/>
          <w:lang w:val="it-IT"/>
        </w:rPr>
      </w:pPr>
      <w:proofErr w:type="spellStart"/>
      <w:r w:rsidRPr="00E82454">
        <w:rPr>
          <w:sz w:val="22"/>
          <w:szCs w:val="22"/>
        </w:rPr>
        <w:t>polysorbát</w:t>
      </w:r>
      <w:proofErr w:type="spellEnd"/>
      <w:r w:rsidRPr="00E82454">
        <w:rPr>
          <w:sz w:val="22"/>
          <w:szCs w:val="22"/>
        </w:rPr>
        <w:t xml:space="preserve"> 80,</w:t>
      </w:r>
    </w:p>
    <w:p w:rsidR="00AC2BEE" w:rsidRPr="00E82454" w:rsidRDefault="00E22F24" w:rsidP="00BE40F7">
      <w:pPr>
        <w:jc w:val="both"/>
        <w:rPr>
          <w:sz w:val="22"/>
          <w:szCs w:val="22"/>
          <w:lang w:val="it-IT"/>
        </w:rPr>
      </w:pPr>
      <w:proofErr w:type="spellStart"/>
      <w:r w:rsidRPr="00E82454">
        <w:rPr>
          <w:sz w:val="22"/>
          <w:szCs w:val="22"/>
        </w:rPr>
        <w:t>manitol</w:t>
      </w:r>
      <w:proofErr w:type="spellEnd"/>
      <w:r w:rsidRPr="00E82454">
        <w:rPr>
          <w:sz w:val="22"/>
          <w:szCs w:val="22"/>
        </w:rPr>
        <w:t xml:space="preserve"> (E 421),</w:t>
      </w:r>
    </w:p>
    <w:p w:rsidR="00AC2BEE" w:rsidRPr="00E82454" w:rsidRDefault="00E22F24" w:rsidP="00BE40F7">
      <w:pPr>
        <w:jc w:val="both"/>
        <w:rPr>
          <w:sz w:val="22"/>
          <w:szCs w:val="22"/>
          <w:lang w:val="it-IT"/>
        </w:rPr>
      </w:pPr>
      <w:r w:rsidRPr="00E82454">
        <w:rPr>
          <w:sz w:val="22"/>
          <w:szCs w:val="22"/>
        </w:rPr>
        <w:t xml:space="preserve">sodná soľ </w:t>
      </w:r>
      <w:proofErr w:type="spellStart"/>
      <w:r w:rsidRPr="00E82454">
        <w:rPr>
          <w:sz w:val="22"/>
          <w:szCs w:val="22"/>
        </w:rPr>
        <w:t>karmelózy</w:t>
      </w:r>
      <w:proofErr w:type="spellEnd"/>
      <w:r w:rsidRPr="00E82454">
        <w:rPr>
          <w:sz w:val="22"/>
          <w:szCs w:val="22"/>
        </w:rPr>
        <w:t xml:space="preserve"> (E-466),</w:t>
      </w:r>
    </w:p>
    <w:p w:rsidR="00AC2BEE" w:rsidRPr="00E82454" w:rsidRDefault="00AC2BEE" w:rsidP="00BE40F7">
      <w:pPr>
        <w:jc w:val="both"/>
        <w:rPr>
          <w:sz w:val="22"/>
          <w:szCs w:val="22"/>
          <w:lang w:val="en-GB"/>
        </w:rPr>
      </w:pPr>
      <w:proofErr w:type="spellStart"/>
      <w:r w:rsidRPr="00E82454">
        <w:rPr>
          <w:sz w:val="22"/>
          <w:szCs w:val="22"/>
        </w:rPr>
        <w:t>trietylcitrát</w:t>
      </w:r>
      <w:proofErr w:type="spellEnd"/>
      <w:r w:rsidRPr="00E82454">
        <w:rPr>
          <w:sz w:val="22"/>
          <w:szCs w:val="22"/>
        </w:rPr>
        <w:t>,</w:t>
      </w:r>
    </w:p>
    <w:p w:rsidR="00AC2BEE" w:rsidRPr="00E82454" w:rsidRDefault="00AC2BEE" w:rsidP="00BE40F7">
      <w:pPr>
        <w:jc w:val="both"/>
        <w:rPr>
          <w:sz w:val="22"/>
          <w:szCs w:val="22"/>
          <w:lang w:val="en-GB"/>
        </w:rPr>
      </w:pPr>
      <w:r w:rsidRPr="00E82454">
        <w:rPr>
          <w:sz w:val="22"/>
          <w:szCs w:val="22"/>
        </w:rPr>
        <w:lastRenderedPageBreak/>
        <w:t xml:space="preserve">kyselina </w:t>
      </w:r>
      <w:proofErr w:type="spellStart"/>
      <w:r w:rsidR="008C3272">
        <w:rPr>
          <w:sz w:val="22"/>
          <w:szCs w:val="22"/>
        </w:rPr>
        <w:t>poly</w:t>
      </w:r>
      <w:r w:rsidRPr="00E82454">
        <w:rPr>
          <w:sz w:val="22"/>
          <w:szCs w:val="22"/>
        </w:rPr>
        <w:t>mliečna</w:t>
      </w:r>
      <w:proofErr w:type="spellEnd"/>
      <w:r w:rsidRPr="00E82454">
        <w:rPr>
          <w:sz w:val="22"/>
          <w:szCs w:val="22"/>
        </w:rPr>
        <w:t xml:space="preserve"> (PLA)</w:t>
      </w:r>
    </w:p>
    <w:p w:rsidR="00AC2BEE" w:rsidRPr="00E82454" w:rsidRDefault="00AC2BEE" w:rsidP="00BE40F7">
      <w:pPr>
        <w:jc w:val="both"/>
        <w:rPr>
          <w:sz w:val="22"/>
          <w:szCs w:val="22"/>
          <w:u w:val="single"/>
          <w:lang w:val="en-GB"/>
        </w:rPr>
      </w:pPr>
    </w:p>
    <w:p w:rsidR="00AC2BEE" w:rsidRPr="00E82454" w:rsidRDefault="00AC2BEE" w:rsidP="00BE40F7">
      <w:pPr>
        <w:jc w:val="both"/>
        <w:rPr>
          <w:sz w:val="22"/>
          <w:szCs w:val="22"/>
          <w:u w:val="single"/>
          <w:lang w:val="en-GB"/>
        </w:rPr>
      </w:pPr>
      <w:r w:rsidRPr="00E82454">
        <w:rPr>
          <w:sz w:val="22"/>
          <w:szCs w:val="22"/>
          <w:u w:val="single"/>
        </w:rPr>
        <w:t>Pomocné látky rozpúšťadla (naplnená injekčná striekačka)</w:t>
      </w:r>
    </w:p>
    <w:p w:rsidR="00AC2BEE" w:rsidRPr="00E82454" w:rsidRDefault="00AC2BEE" w:rsidP="00BE40F7">
      <w:pPr>
        <w:jc w:val="both"/>
        <w:rPr>
          <w:sz w:val="22"/>
          <w:szCs w:val="22"/>
          <w:lang w:val="en-GB"/>
        </w:rPr>
      </w:pPr>
      <w:proofErr w:type="spellStart"/>
      <w:r w:rsidRPr="00E82454">
        <w:rPr>
          <w:sz w:val="22"/>
          <w:szCs w:val="22"/>
        </w:rPr>
        <w:t>manitol</w:t>
      </w:r>
      <w:proofErr w:type="spellEnd"/>
      <w:r w:rsidRPr="00E82454">
        <w:rPr>
          <w:sz w:val="22"/>
          <w:szCs w:val="22"/>
        </w:rPr>
        <w:t xml:space="preserve"> (E 421), </w:t>
      </w:r>
    </w:p>
    <w:p w:rsidR="00AC2BEE" w:rsidRPr="00E82454" w:rsidRDefault="00AC2BEE" w:rsidP="00BE40F7">
      <w:pPr>
        <w:jc w:val="both"/>
        <w:rPr>
          <w:sz w:val="22"/>
          <w:szCs w:val="22"/>
          <w:lang w:val="en-GB"/>
        </w:rPr>
      </w:pPr>
      <w:r w:rsidRPr="00E82454">
        <w:rPr>
          <w:sz w:val="22"/>
          <w:szCs w:val="22"/>
        </w:rPr>
        <w:t>hydroxid sodný (na úpravu pH),</w:t>
      </w:r>
    </w:p>
    <w:p w:rsidR="00AC2BEE" w:rsidRPr="00E82454" w:rsidRDefault="00AC2BEE" w:rsidP="00BE40F7">
      <w:pPr>
        <w:jc w:val="both"/>
        <w:rPr>
          <w:sz w:val="22"/>
          <w:szCs w:val="22"/>
          <w:lang w:val="en-GB"/>
        </w:rPr>
      </w:pPr>
      <w:r w:rsidRPr="00E82454">
        <w:rPr>
          <w:sz w:val="22"/>
          <w:szCs w:val="22"/>
        </w:rPr>
        <w:t>kyselina chlorovodíková (na úpravu pH),</w:t>
      </w:r>
    </w:p>
    <w:p w:rsidR="00AC2BEE" w:rsidRPr="00E82454" w:rsidRDefault="00AC2BEE" w:rsidP="00BE40F7">
      <w:pPr>
        <w:jc w:val="both"/>
        <w:rPr>
          <w:sz w:val="22"/>
          <w:szCs w:val="22"/>
          <w:lang w:val="en-GB"/>
        </w:rPr>
      </w:pPr>
      <w:r w:rsidRPr="00E82454">
        <w:rPr>
          <w:sz w:val="22"/>
          <w:szCs w:val="22"/>
        </w:rPr>
        <w:t>voda pre injekciu.</w:t>
      </w:r>
    </w:p>
    <w:p w:rsidR="00AC2BEE" w:rsidRPr="00E82454" w:rsidRDefault="00AC2BEE" w:rsidP="00BE40F7">
      <w:pPr>
        <w:jc w:val="both"/>
        <w:rPr>
          <w:sz w:val="22"/>
          <w:szCs w:val="22"/>
          <w:lang w:val="en-GB"/>
        </w:rPr>
      </w:pPr>
    </w:p>
    <w:p w:rsidR="00AC2BEE" w:rsidRPr="00E82454" w:rsidRDefault="00AC2BEE" w:rsidP="00BE40F7">
      <w:pPr>
        <w:jc w:val="both"/>
        <w:rPr>
          <w:b/>
          <w:sz w:val="22"/>
          <w:szCs w:val="22"/>
          <w:lang w:val="en-GB"/>
        </w:rPr>
      </w:pPr>
      <w:r w:rsidRPr="00E82454">
        <w:rPr>
          <w:b/>
          <w:sz w:val="22"/>
          <w:szCs w:val="22"/>
        </w:rPr>
        <w:t>6.2</w:t>
      </w:r>
      <w:r w:rsidRPr="00E82454">
        <w:rPr>
          <w:b/>
          <w:sz w:val="22"/>
          <w:szCs w:val="22"/>
        </w:rPr>
        <w:tab/>
        <w:t>Inkompatibility</w:t>
      </w:r>
    </w:p>
    <w:p w:rsidR="00AC2BEE" w:rsidRPr="00E82454" w:rsidRDefault="00AC2BEE" w:rsidP="00BE40F7">
      <w:pPr>
        <w:jc w:val="both"/>
        <w:rPr>
          <w:sz w:val="22"/>
          <w:szCs w:val="22"/>
          <w:lang w:val="en-GB"/>
        </w:rPr>
      </w:pPr>
    </w:p>
    <w:p w:rsidR="00AC2BEE" w:rsidRPr="00E82454" w:rsidRDefault="008C3272" w:rsidP="00BE40F7">
      <w:pPr>
        <w:jc w:val="both"/>
        <w:rPr>
          <w:sz w:val="22"/>
          <w:szCs w:val="22"/>
          <w:lang w:val="en-GB"/>
        </w:rPr>
      </w:pPr>
      <w:r w:rsidRPr="00E82454">
        <w:rPr>
          <w:sz w:val="22"/>
          <w:szCs w:val="22"/>
        </w:rPr>
        <w:t>Pretože</w:t>
      </w:r>
      <w:r w:rsidR="00AC2BEE" w:rsidRPr="00E82454">
        <w:rPr>
          <w:sz w:val="22"/>
          <w:szCs w:val="22"/>
        </w:rPr>
        <w:t xml:space="preserve"> neboli vykonané štúdie kompatibility, tento liek sa nesmie miešať s inými liekmi.</w:t>
      </w:r>
    </w:p>
    <w:p w:rsidR="00AC2BEE" w:rsidRPr="00E82454" w:rsidRDefault="00AC2BEE" w:rsidP="00BE40F7">
      <w:pPr>
        <w:jc w:val="both"/>
        <w:rPr>
          <w:sz w:val="22"/>
          <w:szCs w:val="22"/>
          <w:lang w:val="en-GB"/>
        </w:rPr>
      </w:pPr>
    </w:p>
    <w:p w:rsidR="00AC2BEE" w:rsidRPr="00E82454" w:rsidRDefault="00AC2BEE" w:rsidP="00BE40F7">
      <w:pPr>
        <w:jc w:val="both"/>
        <w:rPr>
          <w:sz w:val="22"/>
          <w:szCs w:val="22"/>
          <w:lang w:val="en-GB"/>
        </w:rPr>
      </w:pPr>
      <w:r w:rsidRPr="00E82454">
        <w:rPr>
          <w:sz w:val="22"/>
          <w:szCs w:val="22"/>
        </w:rPr>
        <w:t xml:space="preserve">Na prípravu lieku z prášku </w:t>
      </w:r>
      <w:proofErr w:type="spellStart"/>
      <w:r w:rsidR="008C3272">
        <w:rPr>
          <w:sz w:val="22"/>
          <w:szCs w:val="22"/>
        </w:rPr>
        <w:t>Lutrate</w:t>
      </w:r>
      <w:proofErr w:type="spellEnd"/>
      <w:r w:rsidR="008C3272">
        <w:rPr>
          <w:sz w:val="22"/>
          <w:szCs w:val="22"/>
        </w:rPr>
        <w:t xml:space="preserve"> </w:t>
      </w:r>
      <w:proofErr w:type="spellStart"/>
      <w:r w:rsidR="008C3272">
        <w:rPr>
          <w:sz w:val="22"/>
          <w:szCs w:val="22"/>
        </w:rPr>
        <w:t>Depot</w:t>
      </w:r>
      <w:proofErr w:type="spellEnd"/>
      <w:r w:rsidR="008C3272">
        <w:rPr>
          <w:sz w:val="22"/>
          <w:szCs w:val="22"/>
        </w:rPr>
        <w:t xml:space="preserve"> 22,5 mg</w:t>
      </w:r>
      <w:r w:rsidRPr="00E82454">
        <w:rPr>
          <w:sz w:val="22"/>
          <w:szCs w:val="22"/>
        </w:rPr>
        <w:t xml:space="preserve"> sa nesmie použiť iné rozpúšťadlo ako sterilné rozpúšťadlo dodané pre </w:t>
      </w:r>
      <w:proofErr w:type="spellStart"/>
      <w:r w:rsidR="008C3272">
        <w:rPr>
          <w:sz w:val="22"/>
          <w:szCs w:val="22"/>
        </w:rPr>
        <w:t>Lutrate</w:t>
      </w:r>
      <w:proofErr w:type="spellEnd"/>
      <w:r w:rsidR="008C3272">
        <w:rPr>
          <w:sz w:val="22"/>
          <w:szCs w:val="22"/>
        </w:rPr>
        <w:t xml:space="preserve"> </w:t>
      </w:r>
      <w:proofErr w:type="spellStart"/>
      <w:r w:rsidR="008C3272">
        <w:rPr>
          <w:sz w:val="22"/>
          <w:szCs w:val="22"/>
        </w:rPr>
        <w:t>Depot</w:t>
      </w:r>
      <w:proofErr w:type="spellEnd"/>
      <w:r w:rsidR="008C3272">
        <w:rPr>
          <w:sz w:val="22"/>
          <w:szCs w:val="22"/>
        </w:rPr>
        <w:t xml:space="preserve"> 22,5 mg</w:t>
      </w:r>
      <w:r w:rsidRPr="00E82454">
        <w:rPr>
          <w:sz w:val="22"/>
          <w:szCs w:val="22"/>
        </w:rPr>
        <w:t xml:space="preserve">. </w:t>
      </w:r>
    </w:p>
    <w:p w:rsidR="00AC2BEE" w:rsidRPr="00E82454" w:rsidRDefault="00AC2BEE" w:rsidP="00BE40F7">
      <w:pPr>
        <w:jc w:val="both"/>
        <w:rPr>
          <w:sz w:val="22"/>
          <w:szCs w:val="22"/>
          <w:lang w:val="en-GB"/>
        </w:rPr>
      </w:pPr>
    </w:p>
    <w:p w:rsidR="00AC2BEE" w:rsidRPr="00E82454" w:rsidRDefault="00AC2BEE" w:rsidP="00BE40F7">
      <w:pPr>
        <w:jc w:val="both"/>
        <w:rPr>
          <w:b/>
          <w:sz w:val="22"/>
          <w:szCs w:val="22"/>
          <w:lang w:val="en-GB"/>
        </w:rPr>
      </w:pPr>
      <w:r w:rsidRPr="00E82454">
        <w:rPr>
          <w:b/>
          <w:sz w:val="22"/>
          <w:szCs w:val="22"/>
        </w:rPr>
        <w:t>6.3</w:t>
      </w:r>
      <w:r w:rsidRPr="00E82454">
        <w:rPr>
          <w:b/>
          <w:sz w:val="22"/>
          <w:szCs w:val="22"/>
        </w:rPr>
        <w:tab/>
        <w:t>Čas použiteľnosti</w:t>
      </w:r>
    </w:p>
    <w:p w:rsidR="00AC2BEE" w:rsidRPr="00E82454" w:rsidRDefault="00AC2BEE" w:rsidP="00BE40F7">
      <w:pPr>
        <w:jc w:val="both"/>
        <w:rPr>
          <w:b/>
          <w:sz w:val="22"/>
          <w:szCs w:val="22"/>
          <w:lang w:val="en-GB"/>
        </w:rPr>
      </w:pPr>
    </w:p>
    <w:p w:rsidR="00AC2BEE" w:rsidRPr="00E82454" w:rsidRDefault="00AC2BEE" w:rsidP="00BE40F7">
      <w:pPr>
        <w:jc w:val="both"/>
        <w:rPr>
          <w:sz w:val="22"/>
          <w:szCs w:val="22"/>
          <w:lang w:val="en-GB"/>
        </w:rPr>
      </w:pPr>
      <w:r w:rsidRPr="00E82454">
        <w:rPr>
          <w:sz w:val="22"/>
          <w:szCs w:val="22"/>
        </w:rPr>
        <w:t>3 roky neotvorený.</w:t>
      </w:r>
    </w:p>
    <w:p w:rsidR="00733402" w:rsidRPr="00E82454" w:rsidRDefault="00733402" w:rsidP="00BE40F7">
      <w:pPr>
        <w:jc w:val="both"/>
        <w:rPr>
          <w:sz w:val="22"/>
          <w:szCs w:val="22"/>
          <w:lang w:val="en-GB"/>
        </w:rPr>
      </w:pPr>
    </w:p>
    <w:p w:rsidR="00AC2BEE" w:rsidRPr="00E82454" w:rsidRDefault="00AC2BEE" w:rsidP="00BE40F7">
      <w:pPr>
        <w:jc w:val="both"/>
        <w:rPr>
          <w:sz w:val="22"/>
          <w:szCs w:val="22"/>
          <w:lang w:val="en-GB"/>
        </w:rPr>
      </w:pPr>
      <w:r w:rsidRPr="00E82454">
        <w:rPr>
          <w:sz w:val="22"/>
          <w:szCs w:val="22"/>
        </w:rPr>
        <w:t>Po príprave lieku z prášku s rozpúšťadlom treba suspenziu ihneď podať.</w:t>
      </w:r>
    </w:p>
    <w:p w:rsidR="00AC2BEE" w:rsidRPr="00E82454" w:rsidRDefault="00AC2BEE" w:rsidP="00BE40F7">
      <w:pPr>
        <w:jc w:val="both"/>
        <w:rPr>
          <w:b/>
          <w:sz w:val="22"/>
          <w:szCs w:val="22"/>
          <w:lang w:val="en-GB"/>
        </w:rPr>
      </w:pPr>
    </w:p>
    <w:p w:rsidR="00AC2BEE" w:rsidRPr="00E82454" w:rsidRDefault="00AC2BEE" w:rsidP="00BE40F7">
      <w:pPr>
        <w:jc w:val="both"/>
        <w:rPr>
          <w:b/>
          <w:sz w:val="22"/>
          <w:szCs w:val="22"/>
          <w:lang w:val="en-GB"/>
        </w:rPr>
      </w:pPr>
      <w:r w:rsidRPr="00E82454">
        <w:rPr>
          <w:b/>
          <w:sz w:val="22"/>
          <w:szCs w:val="22"/>
        </w:rPr>
        <w:t>6.4</w:t>
      </w:r>
      <w:r w:rsidRPr="00E82454">
        <w:rPr>
          <w:b/>
          <w:sz w:val="22"/>
          <w:szCs w:val="22"/>
        </w:rPr>
        <w:tab/>
        <w:t>Špeciálne upozornenie na uchovávanie</w:t>
      </w:r>
    </w:p>
    <w:p w:rsidR="00AC2BEE" w:rsidRPr="00E82454" w:rsidRDefault="00AC2BEE" w:rsidP="00BE40F7">
      <w:pPr>
        <w:jc w:val="both"/>
        <w:rPr>
          <w:sz w:val="22"/>
          <w:szCs w:val="22"/>
          <w:lang w:val="en-GB"/>
        </w:rPr>
      </w:pPr>
    </w:p>
    <w:p w:rsidR="00AC2BEE" w:rsidRPr="00E82454" w:rsidRDefault="00656AFF" w:rsidP="00BE40F7">
      <w:pPr>
        <w:jc w:val="both"/>
        <w:rPr>
          <w:sz w:val="22"/>
          <w:szCs w:val="22"/>
          <w:lang w:val="en-GB"/>
        </w:rPr>
      </w:pPr>
      <w:r w:rsidRPr="00E82454">
        <w:rPr>
          <w:sz w:val="22"/>
          <w:szCs w:val="22"/>
        </w:rPr>
        <w:t>Uchovávajte pri teplote do 25 °C. Neuchovávajte v mrazničke.</w:t>
      </w:r>
    </w:p>
    <w:p w:rsidR="00AC2BEE" w:rsidRPr="00E82454" w:rsidRDefault="00AC2BEE" w:rsidP="00BE40F7">
      <w:pPr>
        <w:jc w:val="both"/>
        <w:rPr>
          <w:sz w:val="22"/>
          <w:szCs w:val="22"/>
          <w:lang w:val="en-GB"/>
        </w:rPr>
      </w:pPr>
    </w:p>
    <w:p w:rsidR="00AC2BEE" w:rsidRPr="00E82454" w:rsidRDefault="00AC2BEE" w:rsidP="00BE40F7">
      <w:pPr>
        <w:jc w:val="both"/>
        <w:rPr>
          <w:b/>
          <w:sz w:val="22"/>
          <w:szCs w:val="22"/>
          <w:lang w:val="en-GB"/>
        </w:rPr>
      </w:pPr>
      <w:r w:rsidRPr="00E82454">
        <w:rPr>
          <w:b/>
          <w:sz w:val="22"/>
          <w:szCs w:val="22"/>
        </w:rPr>
        <w:t>6.5</w:t>
      </w:r>
      <w:r w:rsidRPr="00E82454">
        <w:rPr>
          <w:b/>
          <w:sz w:val="22"/>
          <w:szCs w:val="22"/>
        </w:rPr>
        <w:tab/>
        <w:t>Druh obalu a obsah balenia</w:t>
      </w:r>
    </w:p>
    <w:p w:rsidR="00AC2BEE" w:rsidRPr="00E82454" w:rsidRDefault="00AC2BEE" w:rsidP="00BE40F7">
      <w:pPr>
        <w:pStyle w:val="Zkladntext"/>
        <w:spacing w:after="0"/>
        <w:jc w:val="both"/>
        <w:rPr>
          <w:sz w:val="22"/>
          <w:szCs w:val="22"/>
          <w:lang w:val="en-GB"/>
        </w:rPr>
      </w:pPr>
    </w:p>
    <w:p w:rsidR="00AC2BEE" w:rsidRPr="00E82454" w:rsidRDefault="00AC2BEE" w:rsidP="00BE40F7">
      <w:pPr>
        <w:pStyle w:val="Zkladntext"/>
        <w:spacing w:after="0"/>
        <w:jc w:val="both"/>
        <w:rPr>
          <w:sz w:val="22"/>
          <w:szCs w:val="22"/>
          <w:lang w:val="en-GB"/>
        </w:rPr>
      </w:pPr>
      <w:r w:rsidRPr="00E82454">
        <w:rPr>
          <w:sz w:val="22"/>
          <w:szCs w:val="22"/>
        </w:rPr>
        <w:t>Obsah dodanej súpravy:</w:t>
      </w:r>
    </w:p>
    <w:p w:rsidR="00AC2BEE" w:rsidRPr="00E82454" w:rsidRDefault="00AC2BEE" w:rsidP="00BE40F7">
      <w:pPr>
        <w:pStyle w:val="Zkladntext"/>
        <w:tabs>
          <w:tab w:val="left" w:pos="426"/>
        </w:tabs>
        <w:spacing w:after="0"/>
        <w:jc w:val="both"/>
        <w:rPr>
          <w:sz w:val="22"/>
          <w:szCs w:val="22"/>
          <w:lang w:val="en-GB"/>
        </w:rPr>
      </w:pPr>
      <w:r w:rsidRPr="00E82454">
        <w:rPr>
          <w:sz w:val="22"/>
          <w:szCs w:val="22"/>
        </w:rPr>
        <w:t>1.</w:t>
      </w:r>
      <w:r w:rsidRPr="00E82454">
        <w:rPr>
          <w:sz w:val="22"/>
          <w:szCs w:val="22"/>
        </w:rPr>
        <w:tab/>
        <w:t xml:space="preserve">Jedna (1) sklená injekčná liekovka hydrolytickej triedy I obsahujúca 22,5 mg </w:t>
      </w:r>
      <w:r w:rsidR="00FF7196" w:rsidRPr="00E82454">
        <w:rPr>
          <w:sz w:val="22"/>
          <w:szCs w:val="22"/>
        </w:rPr>
        <w:br/>
      </w:r>
      <w:r w:rsidR="00FF7196" w:rsidRPr="00E82454">
        <w:rPr>
          <w:sz w:val="22"/>
          <w:szCs w:val="22"/>
        </w:rPr>
        <w:tab/>
      </w:r>
      <w:proofErr w:type="spellStart"/>
      <w:r w:rsidRPr="00E82454">
        <w:rPr>
          <w:sz w:val="22"/>
          <w:szCs w:val="22"/>
        </w:rPr>
        <w:t>leuprorelíniumacetátu</w:t>
      </w:r>
      <w:proofErr w:type="spellEnd"/>
      <w:r w:rsidRPr="00E82454">
        <w:rPr>
          <w:sz w:val="22"/>
          <w:szCs w:val="22"/>
        </w:rPr>
        <w:t xml:space="preserve"> vo forme </w:t>
      </w:r>
      <w:proofErr w:type="spellStart"/>
      <w:r w:rsidRPr="00E82454">
        <w:rPr>
          <w:sz w:val="22"/>
          <w:szCs w:val="22"/>
        </w:rPr>
        <w:t>lyofilizovaného</w:t>
      </w:r>
      <w:proofErr w:type="spellEnd"/>
      <w:r w:rsidRPr="00E82454">
        <w:rPr>
          <w:sz w:val="22"/>
          <w:szCs w:val="22"/>
        </w:rPr>
        <w:t xml:space="preserve"> prášku a uzavretá </w:t>
      </w:r>
      <w:proofErr w:type="spellStart"/>
      <w:r w:rsidRPr="00E82454">
        <w:rPr>
          <w:sz w:val="22"/>
          <w:szCs w:val="22"/>
        </w:rPr>
        <w:t>elastomérnou</w:t>
      </w:r>
      <w:proofErr w:type="spellEnd"/>
      <w:r w:rsidRPr="00E82454">
        <w:rPr>
          <w:sz w:val="22"/>
          <w:szCs w:val="22"/>
        </w:rPr>
        <w:t xml:space="preserve"> zátkou </w:t>
      </w:r>
      <w:r w:rsidR="00FF7196" w:rsidRPr="00E82454">
        <w:rPr>
          <w:sz w:val="22"/>
          <w:szCs w:val="22"/>
        </w:rPr>
        <w:br/>
      </w:r>
      <w:r w:rsidR="00FF7196" w:rsidRPr="00E82454">
        <w:rPr>
          <w:sz w:val="22"/>
          <w:szCs w:val="22"/>
        </w:rPr>
        <w:tab/>
      </w:r>
      <w:r w:rsidRPr="00E82454">
        <w:rPr>
          <w:sz w:val="22"/>
          <w:szCs w:val="22"/>
        </w:rPr>
        <w:t xml:space="preserve">a hliníkovým uzáverom s </w:t>
      </w:r>
      <w:proofErr w:type="spellStart"/>
      <w:r w:rsidRPr="00E82454">
        <w:rPr>
          <w:sz w:val="22"/>
          <w:szCs w:val="22"/>
        </w:rPr>
        <w:t>odlamovacím</w:t>
      </w:r>
      <w:proofErr w:type="spellEnd"/>
      <w:r w:rsidRPr="00E82454">
        <w:rPr>
          <w:sz w:val="22"/>
          <w:szCs w:val="22"/>
        </w:rPr>
        <w:t xml:space="preserve"> plastovým krúžkom.</w:t>
      </w:r>
    </w:p>
    <w:p w:rsidR="00AC2BEE" w:rsidRPr="00E82454" w:rsidRDefault="00AC2BEE" w:rsidP="00BE40F7">
      <w:pPr>
        <w:pStyle w:val="Zkladntext"/>
        <w:tabs>
          <w:tab w:val="left" w:pos="426"/>
        </w:tabs>
        <w:spacing w:after="0"/>
        <w:jc w:val="both"/>
        <w:rPr>
          <w:sz w:val="22"/>
          <w:szCs w:val="22"/>
        </w:rPr>
      </w:pPr>
      <w:r w:rsidRPr="00E82454">
        <w:rPr>
          <w:sz w:val="22"/>
          <w:szCs w:val="22"/>
        </w:rPr>
        <w:t>2.</w:t>
      </w:r>
      <w:r w:rsidRPr="00E82454">
        <w:rPr>
          <w:sz w:val="22"/>
          <w:szCs w:val="22"/>
        </w:rPr>
        <w:tab/>
        <w:t xml:space="preserve"> Jedna (1) sklená injekčná striekačka hydrolytickej triedy I obsahujúca 2 ml rozpúšťadla uzavretá </w:t>
      </w:r>
      <w:r w:rsidR="00FF7196" w:rsidRPr="00E82454">
        <w:rPr>
          <w:sz w:val="22"/>
          <w:szCs w:val="22"/>
        </w:rPr>
        <w:br/>
      </w:r>
      <w:r w:rsidR="00FF7196" w:rsidRPr="00E82454">
        <w:rPr>
          <w:sz w:val="22"/>
          <w:szCs w:val="22"/>
        </w:rPr>
        <w:tab/>
      </w:r>
      <w:proofErr w:type="spellStart"/>
      <w:r w:rsidRPr="00E82454">
        <w:rPr>
          <w:sz w:val="22"/>
          <w:szCs w:val="22"/>
        </w:rPr>
        <w:t>elastomérnou</w:t>
      </w:r>
      <w:proofErr w:type="spellEnd"/>
      <w:r w:rsidRPr="00E82454">
        <w:rPr>
          <w:sz w:val="22"/>
          <w:szCs w:val="22"/>
        </w:rPr>
        <w:t xml:space="preserve"> zátkou.</w:t>
      </w:r>
    </w:p>
    <w:p w:rsidR="00AC2BEE" w:rsidRPr="00E82454" w:rsidRDefault="00AC2BEE" w:rsidP="00BE40F7">
      <w:pPr>
        <w:pStyle w:val="Zkladntext"/>
        <w:tabs>
          <w:tab w:val="left" w:pos="426"/>
        </w:tabs>
        <w:spacing w:after="0"/>
        <w:jc w:val="both"/>
        <w:rPr>
          <w:sz w:val="22"/>
          <w:szCs w:val="22"/>
        </w:rPr>
      </w:pPr>
      <w:r w:rsidRPr="00E82454">
        <w:rPr>
          <w:sz w:val="22"/>
          <w:szCs w:val="22"/>
        </w:rPr>
        <w:t>3.</w:t>
      </w:r>
      <w:r w:rsidRPr="00E82454">
        <w:rPr>
          <w:sz w:val="22"/>
          <w:szCs w:val="22"/>
        </w:rPr>
        <w:tab/>
        <w:t xml:space="preserve">Jeden (1) </w:t>
      </w:r>
      <w:proofErr w:type="spellStart"/>
      <w:r w:rsidRPr="00E82454">
        <w:rPr>
          <w:sz w:val="22"/>
          <w:szCs w:val="22"/>
        </w:rPr>
        <w:t>polykarbonátový</w:t>
      </w:r>
      <w:proofErr w:type="spellEnd"/>
      <w:r w:rsidRPr="00E82454">
        <w:rPr>
          <w:sz w:val="22"/>
          <w:szCs w:val="22"/>
        </w:rPr>
        <w:t xml:space="preserve"> / HDPE adaptér obsahujúci jednu (1) sterilnú injekčnú </w:t>
      </w:r>
      <w:r w:rsidR="00DF3FBB">
        <w:rPr>
          <w:sz w:val="22"/>
          <w:szCs w:val="22"/>
        </w:rPr>
        <w:t>ihlu</w:t>
      </w:r>
      <w:r w:rsidR="00DF3FBB" w:rsidRPr="00E82454">
        <w:rPr>
          <w:sz w:val="22"/>
          <w:szCs w:val="22"/>
        </w:rPr>
        <w:t xml:space="preserve"> </w:t>
      </w:r>
      <w:r w:rsidR="00FF7196" w:rsidRPr="00E82454">
        <w:rPr>
          <w:sz w:val="22"/>
          <w:szCs w:val="22"/>
        </w:rPr>
        <w:br/>
      </w:r>
      <w:r w:rsidR="00FF7196" w:rsidRPr="00E82454">
        <w:rPr>
          <w:sz w:val="22"/>
          <w:szCs w:val="22"/>
        </w:rPr>
        <w:tab/>
      </w:r>
      <w:r w:rsidRPr="00E82454">
        <w:rPr>
          <w:sz w:val="22"/>
          <w:szCs w:val="22"/>
        </w:rPr>
        <w:t>veľkosti 20</w:t>
      </w:r>
      <w:r w:rsidR="001710A5">
        <w:rPr>
          <w:sz w:val="22"/>
          <w:szCs w:val="22"/>
        </w:rPr>
        <w:t xml:space="preserve"> G</w:t>
      </w:r>
      <w:r w:rsidRPr="00E82454">
        <w:rPr>
          <w:sz w:val="22"/>
          <w:szCs w:val="22"/>
        </w:rPr>
        <w:t>.</w:t>
      </w:r>
    </w:p>
    <w:p w:rsidR="00AC2BEE" w:rsidRPr="00E82454" w:rsidRDefault="00AC2BEE" w:rsidP="00BE40F7">
      <w:pPr>
        <w:pStyle w:val="Zkladntext"/>
        <w:spacing w:after="0"/>
        <w:jc w:val="center"/>
        <w:rPr>
          <w:sz w:val="22"/>
          <w:szCs w:val="22"/>
        </w:rPr>
      </w:pPr>
    </w:p>
    <w:p w:rsidR="00AC2BEE" w:rsidRPr="00E82454" w:rsidRDefault="00AC2BEE" w:rsidP="00BE40F7">
      <w:pPr>
        <w:jc w:val="both"/>
        <w:rPr>
          <w:b/>
          <w:sz w:val="22"/>
          <w:szCs w:val="22"/>
          <w:lang w:val="en-GB"/>
        </w:rPr>
      </w:pPr>
      <w:r w:rsidRPr="00E82454">
        <w:rPr>
          <w:b/>
          <w:sz w:val="22"/>
          <w:szCs w:val="22"/>
        </w:rPr>
        <w:t>6.6</w:t>
      </w:r>
      <w:r w:rsidRPr="00E82454">
        <w:rPr>
          <w:b/>
          <w:sz w:val="22"/>
          <w:szCs w:val="22"/>
        </w:rPr>
        <w:tab/>
        <w:t>Špeciálne opatrenia na likvidáciu a iné zaobchádzanie s liekom</w:t>
      </w:r>
    </w:p>
    <w:p w:rsidR="00AC2BEE" w:rsidRPr="00E82454" w:rsidRDefault="00AC2BEE" w:rsidP="00BE40F7">
      <w:pPr>
        <w:jc w:val="both"/>
        <w:rPr>
          <w:sz w:val="22"/>
          <w:szCs w:val="22"/>
          <w:u w:val="single"/>
          <w:lang w:val="en-GB"/>
        </w:rPr>
      </w:pPr>
    </w:p>
    <w:p w:rsidR="00AC2BEE" w:rsidRPr="00E82454" w:rsidRDefault="00AC2BEE" w:rsidP="00BE40F7">
      <w:pPr>
        <w:jc w:val="both"/>
        <w:rPr>
          <w:sz w:val="22"/>
          <w:szCs w:val="22"/>
          <w:u w:val="single"/>
          <w:lang w:val="en-GB"/>
        </w:rPr>
      </w:pPr>
      <w:r w:rsidRPr="00E82454">
        <w:rPr>
          <w:sz w:val="22"/>
          <w:szCs w:val="22"/>
          <w:u w:val="single"/>
        </w:rPr>
        <w:t>Spôsob podávania</w:t>
      </w:r>
    </w:p>
    <w:p w:rsidR="00AC2BEE" w:rsidRPr="00E82454" w:rsidRDefault="00AC2BEE" w:rsidP="00BE40F7">
      <w:pPr>
        <w:jc w:val="both"/>
        <w:rPr>
          <w:sz w:val="22"/>
          <w:szCs w:val="22"/>
        </w:rPr>
      </w:pPr>
      <w:r w:rsidRPr="00E82454">
        <w:rPr>
          <w:sz w:val="22"/>
          <w:szCs w:val="22"/>
        </w:rPr>
        <w:t>Suspenzia z prášku</w:t>
      </w:r>
      <w:r w:rsidR="005A5479">
        <w:rPr>
          <w:sz w:val="22"/>
          <w:szCs w:val="22"/>
        </w:rPr>
        <w:t xml:space="preserve"> z mikrosfér</w:t>
      </w:r>
      <w:r w:rsidRPr="00E82454">
        <w:rPr>
          <w:sz w:val="22"/>
          <w:szCs w:val="22"/>
        </w:rPr>
        <w:t xml:space="preserve"> </w:t>
      </w:r>
      <w:proofErr w:type="spellStart"/>
      <w:r w:rsidR="002429F4">
        <w:rPr>
          <w:sz w:val="22"/>
          <w:szCs w:val="22"/>
        </w:rPr>
        <w:t>Lutrate</w:t>
      </w:r>
      <w:proofErr w:type="spellEnd"/>
      <w:r w:rsidR="002429F4">
        <w:rPr>
          <w:sz w:val="22"/>
          <w:szCs w:val="22"/>
        </w:rPr>
        <w:t xml:space="preserve"> </w:t>
      </w:r>
      <w:proofErr w:type="spellStart"/>
      <w:r w:rsidR="002429F4">
        <w:rPr>
          <w:sz w:val="22"/>
          <w:szCs w:val="22"/>
        </w:rPr>
        <w:t>Depot</w:t>
      </w:r>
      <w:proofErr w:type="spellEnd"/>
      <w:r w:rsidR="002429F4">
        <w:rPr>
          <w:sz w:val="22"/>
          <w:szCs w:val="22"/>
        </w:rPr>
        <w:t xml:space="preserve"> 22,5 mg</w:t>
      </w:r>
      <w:r w:rsidRPr="00E82454">
        <w:rPr>
          <w:sz w:val="22"/>
          <w:szCs w:val="22"/>
        </w:rPr>
        <w:t xml:space="preserve"> sa v injekčnej liekovke má pripraviť bezprostredne pred podaním </w:t>
      </w:r>
      <w:proofErr w:type="spellStart"/>
      <w:r w:rsidRPr="00E82454">
        <w:rPr>
          <w:sz w:val="22"/>
          <w:szCs w:val="22"/>
        </w:rPr>
        <w:t>intramuskulárnej</w:t>
      </w:r>
      <w:proofErr w:type="spellEnd"/>
      <w:r w:rsidRPr="00E82454">
        <w:rPr>
          <w:sz w:val="22"/>
          <w:szCs w:val="22"/>
        </w:rPr>
        <w:t xml:space="preserve"> injekcie. Uistite sa, že sa dodržiavajú zásady aseptickej prípravy lieku.</w:t>
      </w:r>
    </w:p>
    <w:p w:rsidR="00BB1D54" w:rsidRPr="00E82454" w:rsidRDefault="00BB1D54" w:rsidP="00BE40F7">
      <w:pPr>
        <w:jc w:val="both"/>
        <w:rPr>
          <w:sz w:val="22"/>
          <w:szCs w:val="22"/>
        </w:rPr>
      </w:pPr>
    </w:p>
    <w:p w:rsidR="006F431E" w:rsidRDefault="00AC2BEE" w:rsidP="00BE40F7">
      <w:pPr>
        <w:jc w:val="both"/>
        <w:rPr>
          <w:sz w:val="22"/>
          <w:szCs w:val="22"/>
        </w:rPr>
      </w:pPr>
      <w:r w:rsidRPr="00E82454">
        <w:rPr>
          <w:sz w:val="22"/>
          <w:szCs w:val="22"/>
        </w:rPr>
        <w:t>Roztok pripravený z prášku je suspenzia mliečneho vzhľadu.</w:t>
      </w:r>
    </w:p>
    <w:p w:rsidR="00AC2BEE" w:rsidRPr="006F431E" w:rsidRDefault="00AC2BEE" w:rsidP="00BE40F7">
      <w:pPr>
        <w:jc w:val="both"/>
        <w:rPr>
          <w:sz w:val="22"/>
          <w:szCs w:val="22"/>
        </w:rPr>
      </w:pPr>
      <w:r w:rsidRPr="00E82454">
        <w:rPr>
          <w:b/>
          <w:sz w:val="22"/>
          <w:szCs w:val="22"/>
        </w:rPr>
        <w:t xml:space="preserve">Na prípravu </w:t>
      </w:r>
      <w:proofErr w:type="spellStart"/>
      <w:r w:rsidR="002429F4" w:rsidRPr="002429F4">
        <w:rPr>
          <w:b/>
          <w:sz w:val="22"/>
          <w:szCs w:val="22"/>
        </w:rPr>
        <w:t>Lutrate</w:t>
      </w:r>
      <w:proofErr w:type="spellEnd"/>
      <w:r w:rsidR="002429F4" w:rsidRPr="002429F4">
        <w:rPr>
          <w:b/>
          <w:sz w:val="22"/>
          <w:szCs w:val="22"/>
        </w:rPr>
        <w:t xml:space="preserve"> </w:t>
      </w:r>
      <w:proofErr w:type="spellStart"/>
      <w:r w:rsidR="002429F4" w:rsidRPr="002429F4">
        <w:rPr>
          <w:b/>
          <w:sz w:val="22"/>
          <w:szCs w:val="22"/>
        </w:rPr>
        <w:t>Depot</w:t>
      </w:r>
      <w:proofErr w:type="spellEnd"/>
      <w:r w:rsidR="002429F4" w:rsidRPr="002429F4">
        <w:rPr>
          <w:b/>
          <w:sz w:val="22"/>
          <w:szCs w:val="22"/>
        </w:rPr>
        <w:t xml:space="preserve"> 22,5 mg</w:t>
      </w:r>
      <w:r w:rsidRPr="00E82454">
        <w:rPr>
          <w:b/>
          <w:sz w:val="22"/>
          <w:szCs w:val="22"/>
        </w:rPr>
        <w:t xml:space="preserve"> z prášku sa nesmie použiť žiadne iné rozpúšťadlo.</w:t>
      </w:r>
    </w:p>
    <w:p w:rsidR="00364557" w:rsidRDefault="00364557">
      <w:pPr>
        <w:rPr>
          <w:sz w:val="22"/>
          <w:szCs w:val="22"/>
        </w:rPr>
      </w:pPr>
      <w:r>
        <w:rPr>
          <w:sz w:val="22"/>
          <w:szCs w:val="22"/>
        </w:rPr>
        <w:br w:type="page"/>
      </w:r>
    </w:p>
    <w:p w:rsidR="004F6D0E" w:rsidRPr="00E82454" w:rsidRDefault="00AC2BEE" w:rsidP="00BE40F7">
      <w:pPr>
        <w:jc w:val="both"/>
        <w:rPr>
          <w:sz w:val="22"/>
          <w:szCs w:val="22"/>
        </w:rPr>
      </w:pPr>
      <w:r w:rsidRPr="00E82454">
        <w:rPr>
          <w:sz w:val="22"/>
          <w:szCs w:val="22"/>
        </w:rPr>
        <w:lastRenderedPageBreak/>
        <w:t xml:space="preserve">Pripravte </w:t>
      </w:r>
      <w:proofErr w:type="spellStart"/>
      <w:r w:rsidR="002429F4">
        <w:rPr>
          <w:sz w:val="22"/>
          <w:szCs w:val="22"/>
        </w:rPr>
        <w:t>Lutrate</w:t>
      </w:r>
      <w:proofErr w:type="spellEnd"/>
      <w:r w:rsidR="002429F4">
        <w:rPr>
          <w:sz w:val="22"/>
          <w:szCs w:val="22"/>
        </w:rPr>
        <w:t xml:space="preserve"> </w:t>
      </w:r>
      <w:proofErr w:type="spellStart"/>
      <w:r w:rsidR="002429F4">
        <w:rPr>
          <w:sz w:val="22"/>
          <w:szCs w:val="22"/>
        </w:rPr>
        <w:t>Depot</w:t>
      </w:r>
      <w:proofErr w:type="spellEnd"/>
      <w:r w:rsidR="002429F4">
        <w:rPr>
          <w:sz w:val="22"/>
          <w:szCs w:val="22"/>
        </w:rPr>
        <w:t xml:space="preserve"> 22,5 mg</w:t>
      </w:r>
      <w:r w:rsidRPr="00E82454">
        <w:rPr>
          <w:sz w:val="22"/>
          <w:szCs w:val="22"/>
        </w:rPr>
        <w:t xml:space="preserve"> z prášku podľa nasledujúcich pokynov</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83"/>
        <w:gridCol w:w="2778"/>
        <w:gridCol w:w="284"/>
        <w:gridCol w:w="2916"/>
      </w:tblGrid>
      <w:tr w:rsidR="004F6D0E" w:rsidRPr="00E82454" w:rsidTr="004F6D0E">
        <w:trPr>
          <w:trHeight w:val="171"/>
        </w:trPr>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1</w:t>
            </w:r>
          </w:p>
        </w:tc>
        <w:tc>
          <w:tcPr>
            <w:tcW w:w="283" w:type="dxa"/>
            <w:tcBorders>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2</w:t>
            </w:r>
          </w:p>
        </w:tc>
        <w:tc>
          <w:tcPr>
            <w:tcW w:w="284" w:type="dxa"/>
            <w:tcBorders>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3</w:t>
            </w:r>
          </w:p>
        </w:tc>
      </w:tr>
      <w:tr w:rsidR="004F6D0E" w:rsidRPr="00E82454" w:rsidTr="004F6D0E">
        <w:tc>
          <w:tcPr>
            <w:tcW w:w="2778" w:type="dxa"/>
            <w:tcBorders>
              <w:left w:val="single" w:sz="12" w:space="0" w:color="548DD4" w:themeColor="text2" w:themeTint="99"/>
              <w:right w:val="single" w:sz="12" w:space="0" w:color="548DD4" w:themeColor="text2" w:themeTint="99"/>
            </w:tcBorders>
            <w:vAlign w:val="center"/>
          </w:tcPr>
          <w:p w:rsidR="004F6D0E" w:rsidRPr="00E82454" w:rsidRDefault="00651164" w:rsidP="00BE40F7">
            <w:pPr>
              <w:jc w:val="center"/>
              <w:rPr>
                <w:sz w:val="22"/>
                <w:szCs w:val="22"/>
                <w:lang w:val="en-US"/>
              </w:rPr>
            </w:pPr>
            <w:r w:rsidRPr="00E82454">
              <w:rPr>
                <w:noProof/>
                <w:sz w:val="22"/>
                <w:szCs w:val="22"/>
              </w:rPr>
              <w:drawing>
                <wp:inline distT="0" distB="0" distL="0" distR="0" wp14:anchorId="50F737F0" wp14:editId="3729E248">
                  <wp:extent cx="1489710" cy="103251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489710" cy="1032510"/>
                          </a:xfrm>
                          <a:prstGeom prst="rect">
                            <a:avLst/>
                          </a:prstGeom>
                          <a:noFill/>
                          <a:ln w="9525">
                            <a:noFill/>
                            <a:miter lim="800000"/>
                            <a:headEnd/>
                            <a:tailEnd/>
                          </a:ln>
                        </pic:spPr>
                      </pic:pic>
                    </a:graphicData>
                  </a:graphic>
                </wp:inline>
              </w:drawing>
            </w:r>
          </w:p>
        </w:tc>
        <w:tc>
          <w:tcPr>
            <w:tcW w:w="283" w:type="dxa"/>
            <w:tcBorders>
              <w:left w:val="single" w:sz="12" w:space="0" w:color="548DD4" w:themeColor="text2" w:themeTint="99"/>
              <w:right w:val="single" w:sz="12" w:space="0" w:color="548DD4" w:themeColor="text2" w:themeTint="99"/>
            </w:tcBorders>
            <w:vAlign w:val="center"/>
          </w:tcPr>
          <w:p w:rsidR="004F6D0E" w:rsidRPr="00E82454" w:rsidRDefault="004F6D0E" w:rsidP="00BE40F7">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4F6D0E" w:rsidRPr="00E82454" w:rsidRDefault="00651164" w:rsidP="00BE40F7">
            <w:pPr>
              <w:jc w:val="center"/>
              <w:rPr>
                <w:sz w:val="22"/>
                <w:szCs w:val="22"/>
                <w:lang w:val="en-US"/>
              </w:rPr>
            </w:pPr>
            <w:r w:rsidRPr="00E82454">
              <w:rPr>
                <w:noProof/>
                <w:sz w:val="22"/>
                <w:szCs w:val="22"/>
              </w:rPr>
              <w:drawing>
                <wp:inline distT="0" distB="0" distL="0" distR="0" wp14:anchorId="5CDAC1AA" wp14:editId="4F448AF9">
                  <wp:extent cx="1537335" cy="1001395"/>
                  <wp:effectExtent l="1905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537335" cy="1001395"/>
                          </a:xfrm>
                          <a:prstGeom prst="rect">
                            <a:avLst/>
                          </a:prstGeom>
                          <a:noFill/>
                          <a:ln w="9525">
                            <a:noFill/>
                            <a:miter lim="800000"/>
                            <a:headEnd/>
                            <a:tailEnd/>
                          </a:ln>
                        </pic:spPr>
                      </pic:pic>
                    </a:graphicData>
                  </a:graphic>
                </wp:inline>
              </w:drawing>
            </w:r>
          </w:p>
        </w:tc>
        <w:tc>
          <w:tcPr>
            <w:tcW w:w="284" w:type="dxa"/>
            <w:tcBorders>
              <w:left w:val="single" w:sz="12" w:space="0" w:color="548DD4" w:themeColor="text2" w:themeTint="99"/>
              <w:right w:val="single" w:sz="12" w:space="0" w:color="548DD4" w:themeColor="text2" w:themeTint="99"/>
            </w:tcBorders>
            <w:vAlign w:val="center"/>
          </w:tcPr>
          <w:p w:rsidR="004F6D0E" w:rsidRPr="00E82454" w:rsidRDefault="004F6D0E" w:rsidP="00BE40F7">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4F6D0E" w:rsidRPr="00E82454" w:rsidRDefault="00651164" w:rsidP="00BE40F7">
            <w:pPr>
              <w:jc w:val="center"/>
              <w:rPr>
                <w:sz w:val="22"/>
                <w:szCs w:val="22"/>
                <w:lang w:val="en-US"/>
              </w:rPr>
            </w:pPr>
            <w:r w:rsidRPr="00E82454">
              <w:rPr>
                <w:noProof/>
                <w:sz w:val="22"/>
                <w:szCs w:val="22"/>
              </w:rPr>
              <w:drawing>
                <wp:inline distT="0" distB="0" distL="0" distR="0" wp14:anchorId="139441BC" wp14:editId="39AA8384">
                  <wp:extent cx="1694815" cy="953770"/>
                  <wp:effectExtent l="1905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694815" cy="953770"/>
                          </a:xfrm>
                          <a:prstGeom prst="rect">
                            <a:avLst/>
                          </a:prstGeom>
                          <a:noFill/>
                          <a:ln w="9525">
                            <a:noFill/>
                            <a:miter lim="800000"/>
                            <a:headEnd/>
                            <a:tailEnd/>
                          </a:ln>
                        </pic:spPr>
                      </pic:pic>
                    </a:graphicData>
                  </a:graphic>
                </wp:inline>
              </w:drawing>
            </w:r>
          </w:p>
        </w:tc>
      </w:tr>
      <w:tr w:rsidR="004F6D0E" w:rsidRPr="00E82454" w:rsidTr="00BB1D54">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4734AA" w:rsidRDefault="004F6D0E" w:rsidP="00BE40F7">
            <w:pPr>
              <w:rPr>
                <w:sz w:val="22"/>
                <w:szCs w:val="22"/>
              </w:rPr>
            </w:pPr>
            <w:r w:rsidRPr="00E82454">
              <w:rPr>
                <w:sz w:val="22"/>
                <w:szCs w:val="22"/>
              </w:rPr>
              <w:t>Odstráňte viečko z injekčnej liekovky.</w:t>
            </w:r>
          </w:p>
        </w:tc>
        <w:tc>
          <w:tcPr>
            <w:tcW w:w="283" w:type="dxa"/>
            <w:tcBorders>
              <w:left w:val="single" w:sz="12" w:space="0" w:color="548DD4" w:themeColor="text2" w:themeTint="99"/>
              <w:bottom w:val="nil"/>
              <w:right w:val="single" w:sz="12" w:space="0" w:color="548DD4" w:themeColor="text2" w:themeTint="99"/>
            </w:tcBorders>
            <w:vAlign w:val="center"/>
          </w:tcPr>
          <w:p w:rsidR="004F6D0E" w:rsidRPr="00E82454" w:rsidRDefault="004F6D0E" w:rsidP="00BE40F7">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4F6D0E" w:rsidRPr="00E82454" w:rsidRDefault="00BD5F72" w:rsidP="00BE40F7">
            <w:pPr>
              <w:jc w:val="both"/>
              <w:rPr>
                <w:sz w:val="22"/>
                <w:szCs w:val="22"/>
              </w:rPr>
            </w:pPr>
            <w:r w:rsidRPr="00E82454">
              <w:rPr>
                <w:sz w:val="22"/>
                <w:szCs w:val="22"/>
              </w:rPr>
              <w:t>Nasaďte adaptér (fialový) na injekčnú liekovku pokiaľ sa neozve zacvaknutie.</w:t>
            </w:r>
          </w:p>
        </w:tc>
        <w:tc>
          <w:tcPr>
            <w:tcW w:w="284" w:type="dxa"/>
            <w:tcBorders>
              <w:left w:val="single" w:sz="12" w:space="0" w:color="548DD4" w:themeColor="text2" w:themeTint="99"/>
              <w:bottom w:val="nil"/>
              <w:right w:val="single" w:sz="12" w:space="0" w:color="548DD4" w:themeColor="text2" w:themeTint="99"/>
            </w:tcBorders>
            <w:vAlign w:val="center"/>
          </w:tcPr>
          <w:p w:rsidR="004F6D0E" w:rsidRPr="00E82454" w:rsidRDefault="004F6D0E" w:rsidP="00BE40F7">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4734AA" w:rsidRDefault="00DC7A7A" w:rsidP="00BE40F7">
            <w:pPr>
              <w:rPr>
                <w:sz w:val="22"/>
                <w:szCs w:val="22"/>
              </w:rPr>
            </w:pPr>
            <w:r w:rsidRPr="00E82454">
              <w:rPr>
                <w:sz w:val="22"/>
                <w:szCs w:val="22"/>
              </w:rPr>
              <w:t>Zafixujte biele držadlo do injekčnej striekačky obsahujúcej riedidlo.</w:t>
            </w:r>
          </w:p>
          <w:p w:rsidR="004F6D0E" w:rsidRPr="00E82454" w:rsidRDefault="004F6D0E" w:rsidP="00BE40F7">
            <w:pPr>
              <w:jc w:val="both"/>
              <w:rPr>
                <w:sz w:val="22"/>
                <w:szCs w:val="22"/>
              </w:rPr>
            </w:pPr>
            <w:r w:rsidRPr="00E82454">
              <w:rPr>
                <w:sz w:val="22"/>
                <w:szCs w:val="22"/>
              </w:rPr>
              <w:t>Odstráňte gumený kryt z injekčnej striekačky a pripojte ju k adaptéru.</w:t>
            </w:r>
          </w:p>
        </w:tc>
      </w:tr>
    </w:tbl>
    <w:p w:rsidR="004F6D0E" w:rsidRPr="00E82454" w:rsidRDefault="004F6D0E" w:rsidP="00BE40F7">
      <w:pPr>
        <w:jc w:val="both"/>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83"/>
        <w:gridCol w:w="2778"/>
        <w:gridCol w:w="284"/>
        <w:gridCol w:w="2778"/>
      </w:tblGrid>
      <w:tr w:rsidR="004F6D0E" w:rsidRPr="00E82454" w:rsidTr="004F6D0E">
        <w:trPr>
          <w:trHeight w:val="171"/>
        </w:trPr>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4</w:t>
            </w:r>
          </w:p>
        </w:tc>
        <w:tc>
          <w:tcPr>
            <w:tcW w:w="283" w:type="dxa"/>
            <w:tcBorders>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5</w:t>
            </w:r>
          </w:p>
        </w:tc>
        <w:tc>
          <w:tcPr>
            <w:tcW w:w="284" w:type="dxa"/>
            <w:tcBorders>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p>
        </w:tc>
        <w:tc>
          <w:tcPr>
            <w:tcW w:w="2778" w:type="dxa"/>
            <w:tcBorders>
              <w:top w:val="single" w:sz="12" w:space="0" w:color="548DD4" w:themeColor="text2" w:themeTint="99"/>
              <w:left w:val="single" w:sz="12" w:space="0" w:color="548DD4" w:themeColor="text2" w:themeTint="99"/>
              <w:right w:val="single" w:sz="12" w:space="0" w:color="548DD4" w:themeColor="text2" w:themeTint="99"/>
            </w:tcBorders>
          </w:tcPr>
          <w:p w:rsidR="004F6D0E" w:rsidRPr="00E82454" w:rsidRDefault="004F6D0E" w:rsidP="00BE40F7">
            <w:pPr>
              <w:jc w:val="both"/>
              <w:rPr>
                <w:color w:val="548DD4" w:themeColor="text2" w:themeTint="99"/>
                <w:sz w:val="22"/>
                <w:szCs w:val="22"/>
                <w:lang w:val="en-US"/>
              </w:rPr>
            </w:pPr>
            <w:r w:rsidRPr="00E82454">
              <w:rPr>
                <w:color w:val="548DD4" w:themeColor="text2" w:themeTint="99"/>
                <w:sz w:val="22"/>
                <w:szCs w:val="22"/>
              </w:rPr>
              <w:t>6</w:t>
            </w:r>
          </w:p>
        </w:tc>
      </w:tr>
      <w:tr w:rsidR="004F6D0E" w:rsidRPr="00E82454" w:rsidTr="004F6D0E">
        <w:tc>
          <w:tcPr>
            <w:tcW w:w="2778" w:type="dxa"/>
            <w:tcBorders>
              <w:left w:val="single" w:sz="12" w:space="0" w:color="548DD4" w:themeColor="text2" w:themeTint="99"/>
              <w:right w:val="single" w:sz="12" w:space="0" w:color="548DD4" w:themeColor="text2" w:themeTint="99"/>
            </w:tcBorders>
            <w:vAlign w:val="center"/>
          </w:tcPr>
          <w:p w:rsidR="004F6D0E" w:rsidRPr="00E82454" w:rsidRDefault="00F10654" w:rsidP="00BE40F7">
            <w:pPr>
              <w:jc w:val="center"/>
              <w:rPr>
                <w:sz w:val="22"/>
                <w:szCs w:val="22"/>
                <w:lang w:val="en-US"/>
              </w:rPr>
            </w:pPr>
            <w:r>
              <w:rPr>
                <w:noProof/>
                <w:sz w:val="22"/>
                <w:szCs w:val="22"/>
              </w:rPr>
              <mc:AlternateContent>
                <mc:Choice Requires="wps">
                  <w:drawing>
                    <wp:anchor distT="0" distB="0" distL="114300" distR="114300" simplePos="0" relativeHeight="251659776" behindDoc="0" locked="0" layoutInCell="1" allowOverlap="1" wp14:anchorId="5D843DF6" wp14:editId="3549EC7F">
                      <wp:simplePos x="0" y="0"/>
                      <wp:positionH relativeFrom="column">
                        <wp:posOffset>27940</wp:posOffset>
                      </wp:positionH>
                      <wp:positionV relativeFrom="paragraph">
                        <wp:posOffset>8890</wp:posOffset>
                      </wp:positionV>
                      <wp:extent cx="212725" cy="118110"/>
                      <wp:effectExtent l="0" t="0" r="15875" b="1524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E974B" id="Rectangle 17" o:spid="_x0000_s1026" style="position:absolute;margin-left:2.2pt;margin-top:.7pt;width:16.75pt;height: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" strokecolor="white [3212]"/>
                  </w:pict>
                </mc:Fallback>
              </mc:AlternateContent>
            </w:r>
            <w:r w:rsidR="00651164" w:rsidRPr="00E82454">
              <w:rPr>
                <w:noProof/>
                <w:sz w:val="22"/>
                <w:szCs w:val="22"/>
              </w:rPr>
              <w:drawing>
                <wp:inline distT="0" distB="0" distL="0" distR="0" wp14:anchorId="70028DB7" wp14:editId="2D038D8F">
                  <wp:extent cx="1537335" cy="946150"/>
                  <wp:effectExtent l="1905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537335" cy="946150"/>
                          </a:xfrm>
                          <a:prstGeom prst="rect">
                            <a:avLst/>
                          </a:prstGeom>
                          <a:noFill/>
                          <a:ln w="9525">
                            <a:noFill/>
                            <a:miter lim="800000"/>
                            <a:headEnd/>
                            <a:tailEnd/>
                          </a:ln>
                        </pic:spPr>
                      </pic:pic>
                    </a:graphicData>
                  </a:graphic>
                </wp:inline>
              </w:drawing>
            </w:r>
          </w:p>
        </w:tc>
        <w:tc>
          <w:tcPr>
            <w:tcW w:w="283" w:type="dxa"/>
            <w:tcBorders>
              <w:left w:val="single" w:sz="12" w:space="0" w:color="548DD4" w:themeColor="text2" w:themeTint="99"/>
              <w:right w:val="single" w:sz="12" w:space="0" w:color="548DD4" w:themeColor="text2" w:themeTint="99"/>
            </w:tcBorders>
            <w:vAlign w:val="center"/>
          </w:tcPr>
          <w:p w:rsidR="004F6D0E" w:rsidRPr="00E82454" w:rsidRDefault="004F6D0E" w:rsidP="00BE40F7">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4F6D0E" w:rsidRPr="00E82454" w:rsidRDefault="00651164" w:rsidP="00BE40F7">
            <w:pPr>
              <w:jc w:val="center"/>
              <w:rPr>
                <w:sz w:val="22"/>
                <w:szCs w:val="22"/>
                <w:lang w:val="en-US"/>
              </w:rPr>
            </w:pPr>
            <w:r w:rsidRPr="00E82454">
              <w:rPr>
                <w:noProof/>
                <w:sz w:val="22"/>
                <w:szCs w:val="22"/>
              </w:rPr>
              <w:drawing>
                <wp:inline distT="0" distB="0" distL="0" distR="0" wp14:anchorId="7C5A65F6" wp14:editId="3306855B">
                  <wp:extent cx="1473835" cy="89090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473835" cy="890905"/>
                          </a:xfrm>
                          <a:prstGeom prst="rect">
                            <a:avLst/>
                          </a:prstGeom>
                          <a:noFill/>
                          <a:ln w="9525">
                            <a:noFill/>
                            <a:miter lim="800000"/>
                            <a:headEnd/>
                            <a:tailEnd/>
                          </a:ln>
                        </pic:spPr>
                      </pic:pic>
                    </a:graphicData>
                  </a:graphic>
                </wp:inline>
              </w:drawing>
            </w:r>
          </w:p>
        </w:tc>
        <w:tc>
          <w:tcPr>
            <w:tcW w:w="284" w:type="dxa"/>
            <w:tcBorders>
              <w:left w:val="single" w:sz="12" w:space="0" w:color="548DD4" w:themeColor="text2" w:themeTint="99"/>
              <w:right w:val="single" w:sz="12" w:space="0" w:color="548DD4" w:themeColor="text2" w:themeTint="99"/>
            </w:tcBorders>
            <w:vAlign w:val="center"/>
          </w:tcPr>
          <w:p w:rsidR="004F6D0E" w:rsidRPr="00E82454" w:rsidRDefault="004F6D0E" w:rsidP="00BE40F7">
            <w:pPr>
              <w:jc w:val="center"/>
              <w:rPr>
                <w:sz w:val="22"/>
                <w:szCs w:val="22"/>
                <w:lang w:val="en-US"/>
              </w:rPr>
            </w:pPr>
          </w:p>
        </w:tc>
        <w:tc>
          <w:tcPr>
            <w:tcW w:w="2778" w:type="dxa"/>
            <w:tcBorders>
              <w:left w:val="single" w:sz="12" w:space="0" w:color="548DD4" w:themeColor="text2" w:themeTint="99"/>
              <w:right w:val="single" w:sz="12" w:space="0" w:color="548DD4" w:themeColor="text2" w:themeTint="99"/>
            </w:tcBorders>
            <w:vAlign w:val="center"/>
          </w:tcPr>
          <w:p w:rsidR="004F6D0E" w:rsidRPr="00E82454" w:rsidRDefault="00651164" w:rsidP="00BE40F7">
            <w:pPr>
              <w:jc w:val="center"/>
              <w:rPr>
                <w:sz w:val="22"/>
                <w:szCs w:val="22"/>
                <w:lang w:val="en-US"/>
              </w:rPr>
            </w:pPr>
            <w:r w:rsidRPr="00E82454">
              <w:rPr>
                <w:noProof/>
                <w:sz w:val="22"/>
                <w:szCs w:val="22"/>
              </w:rPr>
              <w:drawing>
                <wp:inline distT="0" distB="0" distL="0" distR="0" wp14:anchorId="1C36B89F" wp14:editId="7A5566F4">
                  <wp:extent cx="1434465" cy="89090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1434465" cy="890905"/>
                          </a:xfrm>
                          <a:prstGeom prst="rect">
                            <a:avLst/>
                          </a:prstGeom>
                          <a:noFill/>
                          <a:ln w="9525">
                            <a:noFill/>
                            <a:miter lim="800000"/>
                            <a:headEnd/>
                            <a:tailEnd/>
                          </a:ln>
                        </pic:spPr>
                      </pic:pic>
                    </a:graphicData>
                  </a:graphic>
                </wp:inline>
              </w:drawing>
            </w:r>
          </w:p>
        </w:tc>
      </w:tr>
      <w:tr w:rsidR="004F6D0E" w:rsidRPr="00E82454" w:rsidTr="004F6D0E">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4734AA" w:rsidRDefault="004F6D0E" w:rsidP="00BE40F7">
            <w:pPr>
              <w:rPr>
                <w:sz w:val="22"/>
                <w:szCs w:val="22"/>
              </w:rPr>
            </w:pPr>
            <w:r w:rsidRPr="00E82454">
              <w:rPr>
                <w:sz w:val="22"/>
                <w:szCs w:val="22"/>
              </w:rPr>
              <w:t>Počas toho ako pridržiavate injekčnú striekačku a injekčnú liekovku pevne spojenú vo zvislej polohe, pomaly zatláčajte piest, aby sa všetko rozpúšťadlo prenieslo do injekčnej liekovky.</w:t>
            </w:r>
          </w:p>
        </w:tc>
        <w:tc>
          <w:tcPr>
            <w:tcW w:w="283" w:type="dxa"/>
            <w:tcBorders>
              <w:left w:val="single" w:sz="12" w:space="0" w:color="548DD4" w:themeColor="text2" w:themeTint="99"/>
              <w:bottom w:val="nil"/>
              <w:right w:val="single" w:sz="12" w:space="0" w:color="548DD4" w:themeColor="text2" w:themeTint="99"/>
            </w:tcBorders>
          </w:tcPr>
          <w:p w:rsidR="004F6D0E" w:rsidRPr="00E82454" w:rsidRDefault="004F6D0E" w:rsidP="00BE40F7">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4734AA" w:rsidRDefault="00FA0C98" w:rsidP="00BE40F7">
            <w:pPr>
              <w:rPr>
                <w:sz w:val="22"/>
                <w:szCs w:val="22"/>
              </w:rPr>
            </w:pPr>
            <w:r w:rsidRPr="00E82454">
              <w:rPr>
                <w:sz w:val="22"/>
                <w:szCs w:val="22"/>
              </w:rPr>
              <w:t>S injekčnou striekačkou stále pripojenou k injekčnej liekovke opatrne pretrepávajte obsah injekčnej liekovky asi jednu minútu, kým sa nevytvorí rovnomerná mliečnobiela suspenzia</w:t>
            </w:r>
          </w:p>
        </w:tc>
        <w:tc>
          <w:tcPr>
            <w:tcW w:w="284" w:type="dxa"/>
            <w:tcBorders>
              <w:left w:val="single" w:sz="12" w:space="0" w:color="548DD4" w:themeColor="text2" w:themeTint="99"/>
              <w:bottom w:val="nil"/>
              <w:right w:val="single" w:sz="12" w:space="0" w:color="548DD4" w:themeColor="text2" w:themeTint="99"/>
            </w:tcBorders>
          </w:tcPr>
          <w:p w:rsidR="004F6D0E" w:rsidRPr="00E82454" w:rsidRDefault="004F6D0E" w:rsidP="00BE40F7">
            <w:pPr>
              <w:jc w:val="both"/>
              <w:rPr>
                <w:sz w:val="22"/>
                <w:szCs w:val="22"/>
              </w:rPr>
            </w:pPr>
          </w:p>
        </w:tc>
        <w:tc>
          <w:tcPr>
            <w:tcW w:w="2778" w:type="dxa"/>
            <w:tcBorders>
              <w:left w:val="single" w:sz="12" w:space="0" w:color="548DD4" w:themeColor="text2" w:themeTint="99"/>
              <w:bottom w:val="single" w:sz="12" w:space="0" w:color="548DD4" w:themeColor="text2" w:themeTint="99"/>
              <w:right w:val="single" w:sz="12" w:space="0" w:color="548DD4" w:themeColor="text2" w:themeTint="99"/>
            </w:tcBorders>
          </w:tcPr>
          <w:p w:rsidR="004734AA" w:rsidRDefault="00FA0C98" w:rsidP="00BE40F7">
            <w:pPr>
              <w:rPr>
                <w:sz w:val="22"/>
                <w:szCs w:val="22"/>
              </w:rPr>
            </w:pPr>
            <w:r w:rsidRPr="00E82454">
              <w:rPr>
                <w:sz w:val="22"/>
                <w:szCs w:val="22"/>
              </w:rPr>
              <w:t xml:space="preserve">Otočte systém dnom nahor a opatrne vyťahujte piest, aby sa </w:t>
            </w:r>
            <w:proofErr w:type="spellStart"/>
            <w:r w:rsidRPr="00E82454">
              <w:rPr>
                <w:sz w:val="22"/>
                <w:szCs w:val="22"/>
              </w:rPr>
              <w:t>resuspendovaný</w:t>
            </w:r>
            <w:proofErr w:type="spellEnd"/>
            <w:r w:rsidRPr="00E82454">
              <w:rPr>
                <w:sz w:val="22"/>
                <w:szCs w:val="22"/>
              </w:rPr>
              <w:t xml:space="preserve"> liek natiahol z injekčnej liekovky do injekčnej striekačky</w:t>
            </w:r>
          </w:p>
        </w:tc>
      </w:tr>
    </w:tbl>
    <w:p w:rsidR="00FA0C98" w:rsidRPr="00E82454" w:rsidRDefault="00FA0C98" w:rsidP="00BE40F7">
      <w:pPr>
        <w:jc w:val="both"/>
        <w:rPr>
          <w:sz w:val="22"/>
          <w:szCs w:val="22"/>
        </w:rPr>
      </w:pPr>
    </w:p>
    <w:tbl>
      <w:tblPr>
        <w:tblW w:w="0" w:type="auto"/>
        <w:tblInd w:w="1526" w:type="dxa"/>
        <w:tblLook w:val="04A0" w:firstRow="1" w:lastRow="0" w:firstColumn="1" w:lastColumn="0" w:noHBand="0" w:noVBand="1"/>
      </w:tblPr>
      <w:tblGrid>
        <w:gridCol w:w="2887"/>
        <w:gridCol w:w="283"/>
        <w:gridCol w:w="3006"/>
      </w:tblGrid>
      <w:tr w:rsidR="00FA0C98" w:rsidRPr="00E82454" w:rsidTr="00FA0C98">
        <w:trPr>
          <w:trHeight w:val="171"/>
        </w:trPr>
        <w:tc>
          <w:tcPr>
            <w:tcW w:w="2887" w:type="dxa"/>
            <w:tcBorders>
              <w:top w:val="single" w:sz="12" w:space="0" w:color="548DD4" w:themeColor="text2" w:themeTint="99"/>
              <w:left w:val="single" w:sz="12" w:space="0" w:color="548DD4" w:themeColor="text2" w:themeTint="99"/>
              <w:right w:val="single" w:sz="12" w:space="0" w:color="548DD4" w:themeColor="text2" w:themeTint="99"/>
            </w:tcBorders>
          </w:tcPr>
          <w:p w:rsidR="00FA0C98" w:rsidRPr="00E82454" w:rsidRDefault="00FA0C98" w:rsidP="00BE40F7">
            <w:pPr>
              <w:jc w:val="both"/>
              <w:rPr>
                <w:color w:val="548DD4" w:themeColor="text2" w:themeTint="99"/>
                <w:sz w:val="22"/>
                <w:szCs w:val="22"/>
                <w:lang w:val="en-US"/>
              </w:rPr>
            </w:pPr>
            <w:r w:rsidRPr="00E82454">
              <w:rPr>
                <w:color w:val="548DD4" w:themeColor="text2" w:themeTint="99"/>
                <w:sz w:val="22"/>
                <w:szCs w:val="22"/>
              </w:rPr>
              <w:t>7</w:t>
            </w:r>
          </w:p>
        </w:tc>
        <w:tc>
          <w:tcPr>
            <w:tcW w:w="283" w:type="dxa"/>
            <w:tcBorders>
              <w:left w:val="single" w:sz="12" w:space="0" w:color="548DD4" w:themeColor="text2" w:themeTint="99"/>
              <w:right w:val="single" w:sz="12" w:space="0" w:color="548DD4" w:themeColor="text2" w:themeTint="99"/>
            </w:tcBorders>
          </w:tcPr>
          <w:p w:rsidR="00FA0C98" w:rsidRPr="00E82454" w:rsidRDefault="00FA0C98" w:rsidP="00BE40F7">
            <w:pPr>
              <w:jc w:val="both"/>
              <w:rPr>
                <w:color w:val="548DD4" w:themeColor="text2" w:themeTint="99"/>
                <w:sz w:val="22"/>
                <w:szCs w:val="22"/>
                <w:lang w:val="en-US"/>
              </w:rPr>
            </w:pPr>
          </w:p>
        </w:tc>
        <w:tc>
          <w:tcPr>
            <w:tcW w:w="2841" w:type="dxa"/>
            <w:tcBorders>
              <w:top w:val="single" w:sz="12" w:space="0" w:color="548DD4" w:themeColor="text2" w:themeTint="99"/>
              <w:left w:val="single" w:sz="12" w:space="0" w:color="548DD4" w:themeColor="text2" w:themeTint="99"/>
              <w:right w:val="single" w:sz="12" w:space="0" w:color="548DD4" w:themeColor="text2" w:themeTint="99"/>
            </w:tcBorders>
          </w:tcPr>
          <w:p w:rsidR="00FA0C98" w:rsidRPr="00E82454" w:rsidRDefault="00FA0C98" w:rsidP="00BE40F7">
            <w:pPr>
              <w:jc w:val="both"/>
              <w:rPr>
                <w:color w:val="548DD4" w:themeColor="text2" w:themeTint="99"/>
                <w:sz w:val="22"/>
                <w:szCs w:val="22"/>
                <w:lang w:val="en-US"/>
              </w:rPr>
            </w:pPr>
            <w:r w:rsidRPr="00E82454">
              <w:rPr>
                <w:color w:val="548DD4" w:themeColor="text2" w:themeTint="99"/>
                <w:sz w:val="22"/>
                <w:szCs w:val="22"/>
              </w:rPr>
              <w:t>8</w:t>
            </w:r>
          </w:p>
        </w:tc>
      </w:tr>
      <w:tr w:rsidR="00FA0C98" w:rsidRPr="00E82454" w:rsidTr="00FA0C98">
        <w:tc>
          <w:tcPr>
            <w:tcW w:w="2887" w:type="dxa"/>
            <w:tcBorders>
              <w:left w:val="single" w:sz="12" w:space="0" w:color="548DD4" w:themeColor="text2" w:themeTint="99"/>
              <w:right w:val="single" w:sz="12" w:space="0" w:color="548DD4" w:themeColor="text2" w:themeTint="99"/>
            </w:tcBorders>
            <w:vAlign w:val="center"/>
          </w:tcPr>
          <w:p w:rsidR="00FA0C98" w:rsidRPr="00E82454" w:rsidRDefault="00651164" w:rsidP="00BE40F7">
            <w:pPr>
              <w:jc w:val="center"/>
              <w:rPr>
                <w:sz w:val="22"/>
                <w:szCs w:val="22"/>
                <w:lang w:val="en-US"/>
              </w:rPr>
            </w:pPr>
            <w:r w:rsidRPr="00E82454">
              <w:rPr>
                <w:noProof/>
                <w:sz w:val="22"/>
                <w:szCs w:val="22"/>
              </w:rPr>
              <w:drawing>
                <wp:inline distT="0" distB="0" distL="0" distR="0" wp14:anchorId="395B8B83" wp14:editId="0803F796">
                  <wp:extent cx="1505585" cy="1009015"/>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1505585" cy="1009015"/>
                          </a:xfrm>
                          <a:prstGeom prst="rect">
                            <a:avLst/>
                          </a:prstGeom>
                          <a:noFill/>
                          <a:ln w="9525">
                            <a:noFill/>
                            <a:miter lim="800000"/>
                            <a:headEnd/>
                            <a:tailEnd/>
                          </a:ln>
                        </pic:spPr>
                      </pic:pic>
                    </a:graphicData>
                  </a:graphic>
                </wp:inline>
              </w:drawing>
            </w:r>
            <w:r w:rsidR="00F10654">
              <w:rPr>
                <w:noProof/>
                <w:sz w:val="22"/>
                <w:szCs w:val="22"/>
              </w:rPr>
              <mc:AlternateContent>
                <mc:Choice Requires="wps">
                  <w:drawing>
                    <wp:anchor distT="0" distB="0" distL="114300" distR="114300" simplePos="0" relativeHeight="251665920" behindDoc="0" locked="0" layoutInCell="1" allowOverlap="1" wp14:anchorId="1B3DE48D" wp14:editId="3075AB66">
                      <wp:simplePos x="0" y="0"/>
                      <wp:positionH relativeFrom="column">
                        <wp:posOffset>27940</wp:posOffset>
                      </wp:positionH>
                      <wp:positionV relativeFrom="paragraph">
                        <wp:posOffset>8890</wp:posOffset>
                      </wp:positionV>
                      <wp:extent cx="212725" cy="118110"/>
                      <wp:effectExtent l="0" t="0" r="15875" b="1524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ABBEE" id="Rectangle 20" o:spid="_x0000_s1026" style="position:absolute;margin-left:2.2pt;margin-top:.7pt;width:16.75pt;height: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" strokecolor="white"/>
                  </w:pict>
                </mc:Fallback>
              </mc:AlternateContent>
            </w:r>
          </w:p>
        </w:tc>
        <w:tc>
          <w:tcPr>
            <w:tcW w:w="283" w:type="dxa"/>
            <w:tcBorders>
              <w:left w:val="single" w:sz="12" w:space="0" w:color="548DD4" w:themeColor="text2" w:themeTint="99"/>
              <w:right w:val="single" w:sz="12" w:space="0" w:color="548DD4" w:themeColor="text2" w:themeTint="99"/>
            </w:tcBorders>
            <w:vAlign w:val="center"/>
          </w:tcPr>
          <w:p w:rsidR="00FA0C98" w:rsidRPr="00E82454" w:rsidRDefault="00FA0C98" w:rsidP="00BE40F7">
            <w:pPr>
              <w:jc w:val="center"/>
              <w:rPr>
                <w:sz w:val="22"/>
                <w:szCs w:val="22"/>
                <w:lang w:val="en-US"/>
              </w:rPr>
            </w:pPr>
          </w:p>
        </w:tc>
        <w:tc>
          <w:tcPr>
            <w:tcW w:w="2841" w:type="dxa"/>
            <w:tcBorders>
              <w:left w:val="single" w:sz="12" w:space="0" w:color="548DD4" w:themeColor="text2" w:themeTint="99"/>
              <w:right w:val="single" w:sz="12" w:space="0" w:color="548DD4" w:themeColor="text2" w:themeTint="99"/>
            </w:tcBorders>
            <w:vAlign w:val="center"/>
          </w:tcPr>
          <w:p w:rsidR="00FA0C98" w:rsidRPr="00E82454" w:rsidRDefault="00651164" w:rsidP="00BE40F7">
            <w:pPr>
              <w:jc w:val="center"/>
              <w:rPr>
                <w:sz w:val="22"/>
                <w:szCs w:val="22"/>
                <w:lang w:val="en-US"/>
              </w:rPr>
            </w:pPr>
            <w:r w:rsidRPr="00E82454">
              <w:rPr>
                <w:noProof/>
                <w:sz w:val="22"/>
                <w:szCs w:val="22"/>
              </w:rPr>
              <w:drawing>
                <wp:inline distT="0" distB="0" distL="0" distR="0" wp14:anchorId="2D3D280C" wp14:editId="1E360C7C">
                  <wp:extent cx="1750060" cy="756920"/>
                  <wp:effectExtent l="1905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750060" cy="756920"/>
                          </a:xfrm>
                          <a:prstGeom prst="rect">
                            <a:avLst/>
                          </a:prstGeom>
                          <a:noFill/>
                          <a:ln w="9525">
                            <a:noFill/>
                            <a:miter lim="800000"/>
                            <a:headEnd/>
                            <a:tailEnd/>
                          </a:ln>
                        </pic:spPr>
                      </pic:pic>
                    </a:graphicData>
                  </a:graphic>
                </wp:inline>
              </w:drawing>
            </w:r>
          </w:p>
        </w:tc>
      </w:tr>
      <w:tr w:rsidR="00FA0C98" w:rsidRPr="00E82454" w:rsidTr="00FA0C98">
        <w:tc>
          <w:tcPr>
            <w:tcW w:w="2887" w:type="dxa"/>
            <w:tcBorders>
              <w:left w:val="single" w:sz="12" w:space="0" w:color="548DD4" w:themeColor="text2" w:themeTint="99"/>
              <w:bottom w:val="single" w:sz="12" w:space="0" w:color="548DD4" w:themeColor="text2" w:themeTint="99"/>
              <w:right w:val="single" w:sz="12" w:space="0" w:color="548DD4" w:themeColor="text2" w:themeTint="99"/>
            </w:tcBorders>
            <w:vAlign w:val="center"/>
          </w:tcPr>
          <w:p w:rsidR="00FA0C98" w:rsidRPr="00E82454" w:rsidRDefault="00FA0C98" w:rsidP="00BE40F7">
            <w:pPr>
              <w:jc w:val="both"/>
              <w:rPr>
                <w:sz w:val="22"/>
                <w:szCs w:val="22"/>
                <w:lang w:val="en-US"/>
              </w:rPr>
            </w:pPr>
            <w:r w:rsidRPr="00E82454">
              <w:rPr>
                <w:sz w:val="22"/>
                <w:szCs w:val="22"/>
              </w:rPr>
              <w:t>Odpojte injekčnú striekačku a ihlu od adaptéra otáčaním hornej časti adaptéra proti smeru hodinových ručičiek. Liek je pripravený na použitie.</w:t>
            </w:r>
          </w:p>
        </w:tc>
        <w:tc>
          <w:tcPr>
            <w:tcW w:w="283" w:type="dxa"/>
            <w:tcBorders>
              <w:left w:val="single" w:sz="12" w:space="0" w:color="548DD4" w:themeColor="text2" w:themeTint="99"/>
              <w:bottom w:val="nil"/>
              <w:right w:val="single" w:sz="12" w:space="0" w:color="548DD4" w:themeColor="text2" w:themeTint="99"/>
            </w:tcBorders>
          </w:tcPr>
          <w:p w:rsidR="00FA0C98" w:rsidRPr="00E82454" w:rsidRDefault="00FA0C98" w:rsidP="00BE40F7">
            <w:pPr>
              <w:jc w:val="both"/>
              <w:rPr>
                <w:sz w:val="22"/>
                <w:szCs w:val="22"/>
                <w:lang w:val="en-US"/>
              </w:rPr>
            </w:pPr>
          </w:p>
        </w:tc>
        <w:tc>
          <w:tcPr>
            <w:tcW w:w="2841" w:type="dxa"/>
            <w:tcBorders>
              <w:left w:val="single" w:sz="12" w:space="0" w:color="548DD4" w:themeColor="text2" w:themeTint="99"/>
              <w:bottom w:val="single" w:sz="12" w:space="0" w:color="548DD4" w:themeColor="text2" w:themeTint="99"/>
              <w:right w:val="single" w:sz="12" w:space="0" w:color="548DD4" w:themeColor="text2" w:themeTint="99"/>
            </w:tcBorders>
          </w:tcPr>
          <w:p w:rsidR="00FA0C98" w:rsidRPr="00E82454" w:rsidRDefault="00FA0C98" w:rsidP="00BE40F7">
            <w:pPr>
              <w:jc w:val="both"/>
              <w:rPr>
                <w:sz w:val="22"/>
                <w:szCs w:val="22"/>
                <w:lang w:val="en-US"/>
              </w:rPr>
            </w:pPr>
            <w:r w:rsidRPr="00E82454">
              <w:rPr>
                <w:sz w:val="22"/>
                <w:szCs w:val="22"/>
              </w:rPr>
              <w:t>Vyčistite miesto vpichu tampónom namočeným v liehu a nechajte pokožku uschnúť.</w:t>
            </w:r>
          </w:p>
          <w:p w:rsidR="00FA0C98" w:rsidRPr="00E82454" w:rsidRDefault="00FA0C98" w:rsidP="00BE40F7">
            <w:pPr>
              <w:jc w:val="both"/>
              <w:rPr>
                <w:sz w:val="22"/>
                <w:szCs w:val="22"/>
                <w:lang w:val="en-US"/>
              </w:rPr>
            </w:pPr>
            <w:r w:rsidRPr="00E82454">
              <w:rPr>
                <w:sz w:val="22"/>
                <w:szCs w:val="22"/>
              </w:rPr>
              <w:t xml:space="preserve">Podajte injekčne suspenziu </w:t>
            </w:r>
            <w:proofErr w:type="spellStart"/>
            <w:r w:rsidRPr="00E82454">
              <w:rPr>
                <w:sz w:val="22"/>
                <w:szCs w:val="22"/>
              </w:rPr>
              <w:t>intramuskulárne</w:t>
            </w:r>
            <w:proofErr w:type="spellEnd"/>
            <w:r w:rsidRPr="00E82454">
              <w:rPr>
                <w:sz w:val="22"/>
                <w:szCs w:val="22"/>
              </w:rPr>
              <w:t xml:space="preserve"> do horného vonkajšieho kvadrantu sedacieho svalu.</w:t>
            </w:r>
          </w:p>
        </w:tc>
      </w:tr>
    </w:tbl>
    <w:p w:rsidR="00FA0C98" w:rsidRPr="00E82454" w:rsidRDefault="00FA0C98" w:rsidP="00BE40F7">
      <w:pPr>
        <w:jc w:val="both"/>
        <w:rPr>
          <w:sz w:val="22"/>
          <w:szCs w:val="22"/>
          <w:lang w:val="en-GB"/>
        </w:rPr>
      </w:pPr>
    </w:p>
    <w:p w:rsidR="00AC2BEE" w:rsidRPr="00E82454" w:rsidRDefault="00AC2BEE" w:rsidP="00BE40F7">
      <w:pPr>
        <w:jc w:val="both"/>
        <w:rPr>
          <w:sz w:val="22"/>
          <w:szCs w:val="22"/>
        </w:rPr>
      </w:pPr>
      <w:r w:rsidRPr="00E82454">
        <w:rPr>
          <w:sz w:val="22"/>
          <w:szCs w:val="22"/>
        </w:rPr>
        <w:t xml:space="preserve">Časť lieku môže byť zachytená na stene liekovky v podobe stuhnutej vrstvy alebo hrudiek. To sa považuje za normálne. Počas výroby lieku sa liekovka naplní nadbytkom produktu, aby sa zaistilo, že je podaná konečná dávka 22,5 mg </w:t>
      </w:r>
      <w:proofErr w:type="spellStart"/>
      <w:r w:rsidRPr="00E82454">
        <w:rPr>
          <w:sz w:val="22"/>
          <w:szCs w:val="22"/>
        </w:rPr>
        <w:t>leuprorelíniumacetátu</w:t>
      </w:r>
      <w:proofErr w:type="spellEnd"/>
      <w:r w:rsidRPr="00E82454">
        <w:rPr>
          <w:sz w:val="22"/>
          <w:szCs w:val="22"/>
        </w:rPr>
        <w:t>.</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Liek je určený na </w:t>
      </w:r>
      <w:proofErr w:type="spellStart"/>
      <w:r w:rsidRPr="00E82454">
        <w:rPr>
          <w:sz w:val="22"/>
          <w:szCs w:val="22"/>
        </w:rPr>
        <w:t>jednorázovú</w:t>
      </w:r>
      <w:proofErr w:type="spellEnd"/>
      <w:r w:rsidRPr="00E82454">
        <w:rPr>
          <w:sz w:val="22"/>
          <w:szCs w:val="22"/>
        </w:rPr>
        <w:t xml:space="preserve"> injekciu. Všetk</w:t>
      </w:r>
      <w:r w:rsidR="002429F4">
        <w:rPr>
          <w:sz w:val="22"/>
          <w:szCs w:val="22"/>
        </w:rPr>
        <w:t>a</w:t>
      </w:r>
      <w:r w:rsidRPr="00E82454">
        <w:rPr>
          <w:sz w:val="22"/>
          <w:szCs w:val="22"/>
        </w:rPr>
        <w:t xml:space="preserve"> nespotrebovaná suspenzia sa musí zlikvidovať.</w:t>
      </w:r>
    </w:p>
    <w:p w:rsidR="00AC2BEE" w:rsidRPr="00E82454" w:rsidRDefault="00AC2BEE" w:rsidP="00BE40F7">
      <w:pPr>
        <w:pStyle w:val="Zkladntext"/>
        <w:spacing w:after="0"/>
        <w:jc w:val="both"/>
        <w:rPr>
          <w:sz w:val="22"/>
          <w:szCs w:val="22"/>
        </w:rPr>
      </w:pPr>
    </w:p>
    <w:p w:rsidR="006F431E" w:rsidRDefault="00AC2BEE" w:rsidP="00BE40F7">
      <w:pPr>
        <w:pStyle w:val="Zkladntext"/>
        <w:spacing w:after="0"/>
        <w:jc w:val="both"/>
        <w:rPr>
          <w:b/>
          <w:noProof/>
          <w:sz w:val="22"/>
          <w:szCs w:val="22"/>
        </w:rPr>
      </w:pPr>
      <w:r w:rsidRPr="00E82454">
        <w:rPr>
          <w:sz w:val="22"/>
          <w:szCs w:val="22"/>
        </w:rPr>
        <w:t>Nepoužitý liek alebo odpad vzniknutý z lieku treba likvidovať v súlade s národnými požiadavkami.</w:t>
      </w:r>
    </w:p>
    <w:p w:rsidR="006F431E" w:rsidRDefault="006F431E" w:rsidP="00BE40F7">
      <w:pPr>
        <w:pStyle w:val="Zkladntext"/>
        <w:spacing w:after="0"/>
        <w:jc w:val="both"/>
        <w:rPr>
          <w:b/>
          <w:noProof/>
          <w:sz w:val="22"/>
          <w:szCs w:val="22"/>
        </w:rPr>
      </w:pPr>
    </w:p>
    <w:p w:rsidR="00364557" w:rsidRDefault="00364557" w:rsidP="00BE40F7">
      <w:pPr>
        <w:pStyle w:val="Zkladntext"/>
        <w:spacing w:after="0"/>
        <w:jc w:val="both"/>
        <w:rPr>
          <w:b/>
          <w:noProof/>
          <w:sz w:val="22"/>
          <w:szCs w:val="22"/>
        </w:rPr>
      </w:pPr>
    </w:p>
    <w:p w:rsidR="00AC2BEE" w:rsidRPr="006F431E" w:rsidRDefault="00AC2BEE" w:rsidP="00BE40F7">
      <w:pPr>
        <w:pStyle w:val="Zkladntext"/>
        <w:spacing w:after="0"/>
        <w:jc w:val="both"/>
        <w:rPr>
          <w:sz w:val="22"/>
          <w:szCs w:val="22"/>
        </w:rPr>
      </w:pPr>
      <w:r w:rsidRPr="00E82454">
        <w:rPr>
          <w:b/>
          <w:noProof/>
          <w:sz w:val="22"/>
          <w:szCs w:val="22"/>
        </w:rPr>
        <w:t>7.</w:t>
      </w:r>
      <w:r w:rsidRPr="00E82454">
        <w:rPr>
          <w:b/>
          <w:noProof/>
          <w:sz w:val="22"/>
          <w:szCs w:val="22"/>
        </w:rPr>
        <w:tab/>
        <w:t>DRŽITEĽ ROZHODNUTIA O REGISTRÁCII</w:t>
      </w:r>
    </w:p>
    <w:p w:rsidR="00710D5F" w:rsidRDefault="00710D5F" w:rsidP="00BE40F7">
      <w:pPr>
        <w:adjustRightInd w:val="0"/>
        <w:jc w:val="both"/>
        <w:rPr>
          <w:sz w:val="22"/>
          <w:szCs w:val="22"/>
        </w:rPr>
      </w:pPr>
    </w:p>
    <w:p w:rsidR="00242E88" w:rsidRPr="007A2B62" w:rsidRDefault="00242E88" w:rsidP="00242E88">
      <w:pPr>
        <w:tabs>
          <w:tab w:val="left" w:pos="567"/>
        </w:tabs>
        <w:rPr>
          <w:sz w:val="22"/>
          <w:szCs w:val="22"/>
        </w:rPr>
      </w:pPr>
      <w:bookmarkStart w:id="1" w:name="_Hlk497148505"/>
      <w:proofErr w:type="spellStart"/>
      <w:r w:rsidRPr="00FE3F23">
        <w:rPr>
          <w:sz w:val="22"/>
          <w:szCs w:val="22"/>
        </w:rPr>
        <w:t>Angelini</w:t>
      </w:r>
      <w:proofErr w:type="spellEnd"/>
      <w:r w:rsidRPr="00FE3F23">
        <w:rPr>
          <w:sz w:val="22"/>
          <w:szCs w:val="22"/>
        </w:rPr>
        <w:t xml:space="preserve"> </w:t>
      </w:r>
      <w:proofErr w:type="spellStart"/>
      <w:r w:rsidRPr="00FE3F23">
        <w:rPr>
          <w:sz w:val="22"/>
          <w:szCs w:val="22"/>
        </w:rPr>
        <w:t>Pharma</w:t>
      </w:r>
      <w:proofErr w:type="spellEnd"/>
      <w:r w:rsidRPr="00FE3F23">
        <w:rPr>
          <w:sz w:val="22"/>
          <w:szCs w:val="22"/>
        </w:rPr>
        <w:t xml:space="preserve"> Česká republika s.r.o</w:t>
      </w:r>
      <w:r>
        <w:rPr>
          <w:sz w:val="22"/>
          <w:szCs w:val="22"/>
        </w:rPr>
        <w:t>.</w:t>
      </w:r>
    </w:p>
    <w:p w:rsidR="00242E88" w:rsidRPr="007A2B62" w:rsidRDefault="00242E88" w:rsidP="00242E88">
      <w:pPr>
        <w:tabs>
          <w:tab w:val="left" w:pos="567"/>
        </w:tabs>
        <w:rPr>
          <w:bCs/>
          <w:sz w:val="22"/>
          <w:szCs w:val="22"/>
        </w:rPr>
      </w:pPr>
      <w:proofErr w:type="spellStart"/>
      <w:r>
        <w:rPr>
          <w:bCs/>
          <w:sz w:val="22"/>
          <w:szCs w:val="22"/>
        </w:rPr>
        <w:t>Páteřní</w:t>
      </w:r>
      <w:proofErr w:type="spellEnd"/>
      <w:r>
        <w:rPr>
          <w:bCs/>
          <w:sz w:val="22"/>
          <w:szCs w:val="22"/>
        </w:rPr>
        <w:t xml:space="preserve"> 7</w:t>
      </w:r>
    </w:p>
    <w:p w:rsidR="00242E88" w:rsidRPr="007A2B62" w:rsidRDefault="00242E88" w:rsidP="00242E88">
      <w:pPr>
        <w:tabs>
          <w:tab w:val="left" w:pos="567"/>
        </w:tabs>
        <w:rPr>
          <w:sz w:val="22"/>
          <w:szCs w:val="22"/>
        </w:rPr>
      </w:pPr>
      <w:r>
        <w:rPr>
          <w:bCs/>
          <w:sz w:val="22"/>
          <w:szCs w:val="22"/>
        </w:rPr>
        <w:t>635 00 Brno</w:t>
      </w:r>
    </w:p>
    <w:p w:rsidR="00242E88" w:rsidRPr="007A2B62" w:rsidRDefault="00242E88" w:rsidP="00242E88">
      <w:pPr>
        <w:tabs>
          <w:tab w:val="left" w:pos="567"/>
        </w:tabs>
        <w:rPr>
          <w:sz w:val="22"/>
          <w:szCs w:val="22"/>
        </w:rPr>
      </w:pPr>
      <w:r>
        <w:rPr>
          <w:sz w:val="22"/>
          <w:szCs w:val="22"/>
        </w:rPr>
        <w:t>Česká republika</w:t>
      </w:r>
    </w:p>
    <w:bookmarkEnd w:id="1"/>
    <w:p w:rsidR="00AC2BEE" w:rsidRDefault="00AC2BEE" w:rsidP="00BE40F7">
      <w:pPr>
        <w:jc w:val="both"/>
        <w:rPr>
          <w:sz w:val="22"/>
          <w:szCs w:val="22"/>
        </w:rPr>
      </w:pPr>
    </w:p>
    <w:p w:rsidR="00364557" w:rsidRPr="00E82454" w:rsidRDefault="00364557" w:rsidP="00BE40F7">
      <w:pPr>
        <w:jc w:val="both"/>
        <w:rPr>
          <w:sz w:val="22"/>
          <w:szCs w:val="22"/>
        </w:rPr>
      </w:pPr>
    </w:p>
    <w:p w:rsidR="00AC2BEE" w:rsidRPr="00E82454" w:rsidRDefault="00AC2BEE" w:rsidP="00BE40F7">
      <w:pPr>
        <w:widowControl w:val="0"/>
        <w:jc w:val="both"/>
        <w:rPr>
          <w:b/>
          <w:noProof/>
          <w:sz w:val="22"/>
          <w:szCs w:val="22"/>
        </w:rPr>
      </w:pPr>
      <w:r w:rsidRPr="00E82454">
        <w:rPr>
          <w:b/>
          <w:noProof/>
          <w:sz w:val="22"/>
          <w:szCs w:val="22"/>
        </w:rPr>
        <w:t>8.</w:t>
      </w:r>
      <w:r w:rsidRPr="00E82454">
        <w:rPr>
          <w:b/>
          <w:noProof/>
          <w:sz w:val="22"/>
          <w:szCs w:val="22"/>
        </w:rPr>
        <w:tab/>
        <w:t xml:space="preserve">REGISTRAČNĚ ČÍSLO </w:t>
      </w:r>
    </w:p>
    <w:p w:rsidR="00710D5F" w:rsidRDefault="00710D5F" w:rsidP="00BE40F7">
      <w:pPr>
        <w:jc w:val="both"/>
        <w:rPr>
          <w:sz w:val="22"/>
          <w:szCs w:val="22"/>
        </w:rPr>
      </w:pPr>
    </w:p>
    <w:p w:rsidR="00AC2BEE" w:rsidRPr="00E82454" w:rsidRDefault="00F8511B" w:rsidP="00BE40F7">
      <w:pPr>
        <w:jc w:val="both"/>
        <w:rPr>
          <w:sz w:val="22"/>
          <w:szCs w:val="22"/>
        </w:rPr>
      </w:pPr>
      <w:r w:rsidRPr="00F8511B">
        <w:rPr>
          <w:sz w:val="22"/>
          <w:szCs w:val="22"/>
        </w:rPr>
        <w:t>56/0262/15-S</w:t>
      </w:r>
    </w:p>
    <w:p w:rsidR="00AC2BEE" w:rsidRDefault="00AC2BEE" w:rsidP="00BE40F7">
      <w:pPr>
        <w:jc w:val="both"/>
        <w:rPr>
          <w:sz w:val="22"/>
          <w:szCs w:val="22"/>
        </w:rPr>
      </w:pPr>
    </w:p>
    <w:p w:rsidR="00364557" w:rsidRPr="00E82454" w:rsidRDefault="00364557" w:rsidP="00BE40F7">
      <w:pPr>
        <w:jc w:val="both"/>
        <w:rPr>
          <w:sz w:val="22"/>
          <w:szCs w:val="22"/>
        </w:rPr>
      </w:pPr>
    </w:p>
    <w:p w:rsidR="00AC2BEE" w:rsidRPr="00E82454" w:rsidRDefault="00AC2BEE" w:rsidP="00BE40F7">
      <w:pPr>
        <w:widowControl w:val="0"/>
        <w:jc w:val="both"/>
        <w:rPr>
          <w:b/>
          <w:noProof/>
          <w:sz w:val="22"/>
          <w:szCs w:val="22"/>
        </w:rPr>
      </w:pPr>
      <w:r w:rsidRPr="00E82454">
        <w:rPr>
          <w:b/>
          <w:noProof/>
          <w:sz w:val="22"/>
          <w:szCs w:val="22"/>
        </w:rPr>
        <w:t>9.</w:t>
      </w:r>
      <w:r w:rsidRPr="00E82454">
        <w:rPr>
          <w:b/>
          <w:noProof/>
          <w:sz w:val="22"/>
          <w:szCs w:val="22"/>
        </w:rPr>
        <w:tab/>
        <w:t>DÁTUM PRVEJ REGISTRÁCIE/PREDĹŽENIA REGISTRÁCIE</w:t>
      </w:r>
    </w:p>
    <w:p w:rsidR="00AC2BEE" w:rsidRPr="00E82454" w:rsidRDefault="00AC2BEE" w:rsidP="00BE40F7">
      <w:pPr>
        <w:jc w:val="both"/>
        <w:rPr>
          <w:sz w:val="22"/>
          <w:szCs w:val="22"/>
        </w:rPr>
      </w:pPr>
    </w:p>
    <w:p w:rsidR="00AC2BEE" w:rsidRPr="00E82454" w:rsidRDefault="00AC2BEE" w:rsidP="00BE40F7">
      <w:pPr>
        <w:jc w:val="both"/>
        <w:rPr>
          <w:sz w:val="22"/>
          <w:szCs w:val="22"/>
        </w:rPr>
      </w:pPr>
      <w:r w:rsidRPr="00E82454">
        <w:rPr>
          <w:sz w:val="22"/>
          <w:szCs w:val="22"/>
        </w:rPr>
        <w:t xml:space="preserve">Dátum prvej registrácie: </w:t>
      </w:r>
      <w:r w:rsidR="00364557">
        <w:rPr>
          <w:sz w:val="22"/>
          <w:szCs w:val="22"/>
        </w:rPr>
        <w:t>17. júla 2015</w:t>
      </w:r>
    </w:p>
    <w:p w:rsidR="006F431E" w:rsidRDefault="006F431E" w:rsidP="00BE40F7">
      <w:pPr>
        <w:widowControl w:val="0"/>
        <w:jc w:val="both"/>
        <w:rPr>
          <w:b/>
          <w:noProof/>
          <w:sz w:val="22"/>
          <w:szCs w:val="22"/>
        </w:rPr>
      </w:pPr>
    </w:p>
    <w:p w:rsidR="00364557" w:rsidRDefault="00364557" w:rsidP="00BE40F7">
      <w:pPr>
        <w:widowControl w:val="0"/>
        <w:jc w:val="both"/>
        <w:rPr>
          <w:b/>
          <w:noProof/>
          <w:sz w:val="22"/>
          <w:szCs w:val="22"/>
        </w:rPr>
      </w:pPr>
    </w:p>
    <w:p w:rsidR="00AC2BEE" w:rsidRDefault="00AC2BEE" w:rsidP="00BE40F7">
      <w:pPr>
        <w:widowControl w:val="0"/>
        <w:jc w:val="both"/>
        <w:rPr>
          <w:b/>
          <w:noProof/>
          <w:sz w:val="22"/>
          <w:szCs w:val="22"/>
        </w:rPr>
      </w:pPr>
      <w:r w:rsidRPr="00E82454">
        <w:rPr>
          <w:b/>
          <w:noProof/>
          <w:sz w:val="22"/>
          <w:szCs w:val="22"/>
        </w:rPr>
        <w:t>10.</w:t>
      </w:r>
      <w:r w:rsidRPr="00E82454">
        <w:rPr>
          <w:b/>
          <w:noProof/>
          <w:sz w:val="22"/>
          <w:szCs w:val="22"/>
        </w:rPr>
        <w:tab/>
        <w:t>DÁTUM REVÍZIE TEXTU</w:t>
      </w:r>
    </w:p>
    <w:p w:rsidR="00710D5F" w:rsidRDefault="00710D5F" w:rsidP="00BE40F7">
      <w:pPr>
        <w:widowControl w:val="0"/>
        <w:jc w:val="both"/>
        <w:rPr>
          <w:noProof/>
          <w:sz w:val="22"/>
          <w:szCs w:val="22"/>
        </w:rPr>
      </w:pPr>
    </w:p>
    <w:p w:rsidR="00AC2BEE" w:rsidRPr="00E82454" w:rsidRDefault="00953523" w:rsidP="00BE40F7">
      <w:pPr>
        <w:jc w:val="both"/>
        <w:rPr>
          <w:sz w:val="22"/>
          <w:szCs w:val="22"/>
          <w:highlight w:val="lightGray"/>
          <w:lang w:val="de-DE"/>
        </w:rPr>
      </w:pPr>
      <w:r>
        <w:rPr>
          <w:noProof/>
          <w:sz w:val="22"/>
          <w:szCs w:val="22"/>
        </w:rPr>
        <w:t>12/2017</w:t>
      </w:r>
      <w:bookmarkStart w:id="2" w:name="_GoBack"/>
      <w:bookmarkEnd w:id="2"/>
    </w:p>
    <w:sectPr w:rsidR="00AC2BEE" w:rsidRPr="00E82454" w:rsidSect="002F67CE">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09" w:footer="9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0C" w:rsidRDefault="005D6E0C">
      <w:r>
        <w:separator/>
      </w:r>
    </w:p>
  </w:endnote>
  <w:endnote w:type="continuationSeparator" w:id="0">
    <w:p w:rsidR="005D6E0C" w:rsidRDefault="005D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2" w:rsidRDefault="005C349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30728145"/>
      <w:docPartObj>
        <w:docPartGallery w:val="Page Numbers (Bottom of Page)"/>
        <w:docPartUnique/>
      </w:docPartObj>
    </w:sdtPr>
    <w:sdtEndPr/>
    <w:sdtContent>
      <w:p w:rsidR="00364557" w:rsidRPr="00E24048" w:rsidRDefault="00364557">
        <w:pPr>
          <w:pStyle w:val="Pta"/>
          <w:jc w:val="center"/>
          <w:rPr>
            <w:sz w:val="18"/>
            <w:szCs w:val="18"/>
          </w:rPr>
        </w:pPr>
        <w:r w:rsidRPr="00E24048">
          <w:rPr>
            <w:sz w:val="18"/>
            <w:szCs w:val="18"/>
          </w:rPr>
          <w:fldChar w:fldCharType="begin"/>
        </w:r>
        <w:r w:rsidRPr="00E24048">
          <w:rPr>
            <w:sz w:val="18"/>
            <w:szCs w:val="18"/>
          </w:rPr>
          <w:instrText>PAGE   \* MERGEFORMAT</w:instrText>
        </w:r>
        <w:r w:rsidRPr="00E24048">
          <w:rPr>
            <w:sz w:val="18"/>
            <w:szCs w:val="18"/>
          </w:rPr>
          <w:fldChar w:fldCharType="separate"/>
        </w:r>
        <w:r w:rsidR="00AF13C5">
          <w:rPr>
            <w:noProof/>
            <w:sz w:val="18"/>
            <w:szCs w:val="18"/>
          </w:rPr>
          <w:t>13</w:t>
        </w:r>
        <w:r w:rsidRPr="00E24048">
          <w:rPr>
            <w:sz w:val="18"/>
            <w:szCs w:val="18"/>
          </w:rPr>
          <w:fldChar w:fldCharType="end"/>
        </w:r>
      </w:p>
    </w:sdtContent>
  </w:sdt>
  <w:p w:rsidR="00364557" w:rsidRDefault="0036455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404642"/>
      <w:docPartObj>
        <w:docPartGallery w:val="Page Numbers (Bottom of Page)"/>
        <w:docPartUnique/>
      </w:docPartObj>
    </w:sdtPr>
    <w:sdtEndPr>
      <w:rPr>
        <w:sz w:val="18"/>
        <w:szCs w:val="18"/>
      </w:rPr>
    </w:sdtEndPr>
    <w:sdtContent>
      <w:p w:rsidR="00364557" w:rsidRPr="00E24048" w:rsidRDefault="00364557">
        <w:pPr>
          <w:pStyle w:val="Pta"/>
          <w:jc w:val="center"/>
          <w:rPr>
            <w:sz w:val="18"/>
            <w:szCs w:val="18"/>
          </w:rPr>
        </w:pPr>
        <w:r w:rsidRPr="00E24048">
          <w:rPr>
            <w:sz w:val="18"/>
            <w:szCs w:val="18"/>
          </w:rPr>
          <w:fldChar w:fldCharType="begin"/>
        </w:r>
        <w:r w:rsidRPr="00E24048">
          <w:rPr>
            <w:sz w:val="18"/>
            <w:szCs w:val="18"/>
          </w:rPr>
          <w:instrText>PAGE   \* MERGEFORMAT</w:instrText>
        </w:r>
        <w:r w:rsidRPr="00E24048">
          <w:rPr>
            <w:sz w:val="18"/>
            <w:szCs w:val="18"/>
          </w:rPr>
          <w:fldChar w:fldCharType="separate"/>
        </w:r>
        <w:r w:rsidR="00AF13C5">
          <w:rPr>
            <w:noProof/>
            <w:sz w:val="18"/>
            <w:szCs w:val="18"/>
          </w:rPr>
          <w:t>1</w:t>
        </w:r>
        <w:r w:rsidRPr="00E24048">
          <w:rPr>
            <w:sz w:val="18"/>
            <w:szCs w:val="18"/>
          </w:rPr>
          <w:fldChar w:fldCharType="end"/>
        </w:r>
      </w:p>
    </w:sdtContent>
  </w:sdt>
  <w:p w:rsidR="00364557" w:rsidRDefault="003645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0C" w:rsidRDefault="005D6E0C">
      <w:r>
        <w:separator/>
      </w:r>
    </w:p>
  </w:footnote>
  <w:footnote w:type="continuationSeparator" w:id="0">
    <w:p w:rsidR="005D6E0C" w:rsidRDefault="005D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2" w:rsidRDefault="005C349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92" w:rsidRDefault="005C3492">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E88" w:rsidRPr="00311C5A" w:rsidRDefault="00242E88" w:rsidP="00242E88">
    <w:pPr>
      <w:rPr>
        <w:bCs/>
        <w:sz w:val="18"/>
        <w:szCs w:val="18"/>
      </w:rPr>
    </w:pPr>
    <w:bookmarkStart w:id="3" w:name="_Hlk497148454"/>
    <w:r w:rsidRPr="00311C5A">
      <w:rPr>
        <w:bCs/>
        <w:sz w:val="18"/>
        <w:szCs w:val="18"/>
      </w:rPr>
      <w:t>Schválený text k rozhodnutiu o prevode, ev. č.:</w:t>
    </w:r>
    <w:r>
      <w:rPr>
        <w:bCs/>
        <w:sz w:val="18"/>
        <w:szCs w:val="18"/>
      </w:rPr>
      <w:t xml:space="preserve"> </w:t>
    </w:r>
    <w:r w:rsidR="005C3492" w:rsidRPr="005C3492">
      <w:rPr>
        <w:bCs/>
        <w:sz w:val="18"/>
        <w:szCs w:val="18"/>
      </w:rPr>
      <w:t>2017/05876-TR</w:t>
    </w:r>
  </w:p>
  <w:bookmarkEnd w:id="3"/>
  <w:p w:rsidR="002F67CE" w:rsidRDefault="002F67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3277E5"/>
    <w:multiLevelType w:val="hybridMultilevel"/>
    <w:tmpl w:val="0034355A"/>
    <w:lvl w:ilvl="0" w:tplc="FFFFFFFF">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FE1D7D"/>
    <w:multiLevelType w:val="multilevel"/>
    <w:tmpl w:val="F036E3DE"/>
    <w:lvl w:ilvl="0">
      <w:start w:val="5"/>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3">
    <w:nsid w:val="12917650"/>
    <w:multiLevelType w:val="hybridMultilevel"/>
    <w:tmpl w:val="830ABED8"/>
    <w:lvl w:ilvl="0" w:tplc="3A7AA98A">
      <w:start w:val="2"/>
      <w:numFmt w:val="bullet"/>
      <w:lvlText w:val="-"/>
      <w:lvlJc w:val="left"/>
      <w:pPr>
        <w:ind w:left="1065" w:hanging="360"/>
      </w:pPr>
      <w:rPr>
        <w:rFonts w:ascii="Tahoma" w:eastAsia="Times New Roman" w:hAnsi="Tahoma"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13D17D58"/>
    <w:multiLevelType w:val="multilevel"/>
    <w:tmpl w:val="D4EA99F0"/>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5">
    <w:nsid w:val="15063674"/>
    <w:multiLevelType w:val="hybridMultilevel"/>
    <w:tmpl w:val="B1FC9A62"/>
    <w:lvl w:ilvl="0" w:tplc="0C0A0011">
      <w:start w:val="1"/>
      <w:numFmt w:val="decimal"/>
      <w:lvlText w:val="%1)"/>
      <w:lvlJc w:val="left"/>
      <w:pPr>
        <w:ind w:left="360" w:hanging="360"/>
      </w:pPr>
      <w:rPr>
        <w:rFonts w:cs="Times New Roman" w:hint="default"/>
      </w:rPr>
    </w:lvl>
    <w:lvl w:ilvl="1" w:tplc="1888A0F4">
      <w:start w:val="1"/>
      <w:numFmt w:val="bullet"/>
      <w:lvlText w:val="-"/>
      <w:lvlJc w:val="left"/>
      <w:pPr>
        <w:tabs>
          <w:tab w:val="num" w:pos="1080"/>
        </w:tabs>
        <w:ind w:left="1080" w:hanging="360"/>
      </w:pPr>
      <w:rPr>
        <w:rFonts w:ascii="Times New Roman" w:eastAsia="Times New Roman" w:hAnsi="Times New Roman" w:hint="default"/>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nsid w:val="1EE3219E"/>
    <w:multiLevelType w:val="multilevel"/>
    <w:tmpl w:val="C50CF2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FC0487"/>
    <w:multiLevelType w:val="hybridMultilevel"/>
    <w:tmpl w:val="D17E51F6"/>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nsid w:val="298216A2"/>
    <w:multiLevelType w:val="multilevel"/>
    <w:tmpl w:val="F0604F3A"/>
    <w:lvl w:ilvl="0">
      <w:start w:val="4"/>
      <w:numFmt w:val="decimal"/>
      <w:lvlText w:val="%1"/>
      <w:lvlJc w:val="left"/>
      <w:pPr>
        <w:ind w:left="375" w:hanging="375"/>
      </w:pPr>
      <w:rPr>
        <w:rFonts w:cs="Times New Roman" w:hint="default"/>
      </w:rPr>
    </w:lvl>
    <w:lvl w:ilvl="1">
      <w:start w:val="6"/>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9">
    <w:nsid w:val="32C01F82"/>
    <w:multiLevelType w:val="hybridMultilevel"/>
    <w:tmpl w:val="DDAA76D0"/>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nsid w:val="378E78A1"/>
    <w:multiLevelType w:val="multilevel"/>
    <w:tmpl w:val="1F681B78"/>
    <w:lvl w:ilvl="0">
      <w:start w:val="3"/>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1"/>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nsid w:val="3A201F09"/>
    <w:multiLevelType w:val="hybridMultilevel"/>
    <w:tmpl w:val="8BB8A2D2"/>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3CAB2369"/>
    <w:multiLevelType w:val="hybridMultilevel"/>
    <w:tmpl w:val="7A68598C"/>
    <w:lvl w:ilvl="0" w:tplc="0C0A0011">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nsid w:val="3E5E69D1"/>
    <w:multiLevelType w:val="hybridMultilevel"/>
    <w:tmpl w:val="84509A12"/>
    <w:lvl w:ilvl="0" w:tplc="FFFFFFFF">
      <w:start w:val="1"/>
      <w:numFmt w:val="bullet"/>
      <w:lvlText w:val="-"/>
      <w:lvlJc w:val="left"/>
      <w:pPr>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6A63D4"/>
    <w:multiLevelType w:val="hybridMultilevel"/>
    <w:tmpl w:val="1BFE2B88"/>
    <w:lvl w:ilvl="0" w:tplc="E5BC225C">
      <w:start w:val="1"/>
      <w:numFmt w:val="decimal"/>
      <w:lvlText w:val="6.%1"/>
      <w:lvlJc w:val="left"/>
      <w:pPr>
        <w:ind w:left="360" w:hanging="360"/>
      </w:pPr>
      <w:rPr>
        <w:rFonts w:cs="Times New Roman" w:hint="default"/>
      </w:rPr>
    </w:lvl>
    <w:lvl w:ilvl="1" w:tplc="8F30BC36">
      <w:start w:val="1"/>
      <w:numFmt w:val="decimal"/>
      <w:lvlText w:val="6.%2"/>
      <w:lvlJc w:val="left"/>
      <w:pPr>
        <w:ind w:left="360" w:hanging="360"/>
      </w:pPr>
      <w:rPr>
        <w:rFonts w:cs="Times New Roman" w:hint="default"/>
      </w:rPr>
    </w:lvl>
    <w:lvl w:ilvl="2" w:tplc="0C0A001B" w:tentative="1">
      <w:start w:val="1"/>
      <w:numFmt w:val="lowerRoman"/>
      <w:lvlText w:val="%3."/>
      <w:lvlJc w:val="right"/>
      <w:pPr>
        <w:ind w:left="1080" w:hanging="180"/>
      </w:pPr>
      <w:rPr>
        <w:rFonts w:cs="Times New Roman"/>
      </w:rPr>
    </w:lvl>
    <w:lvl w:ilvl="3" w:tplc="0C0A000F" w:tentative="1">
      <w:start w:val="1"/>
      <w:numFmt w:val="decimal"/>
      <w:lvlText w:val="%4."/>
      <w:lvlJc w:val="left"/>
      <w:pPr>
        <w:ind w:left="1800" w:hanging="360"/>
      </w:pPr>
      <w:rPr>
        <w:rFonts w:cs="Times New Roman"/>
      </w:rPr>
    </w:lvl>
    <w:lvl w:ilvl="4" w:tplc="0C0A0019" w:tentative="1">
      <w:start w:val="1"/>
      <w:numFmt w:val="lowerLetter"/>
      <w:lvlText w:val="%5."/>
      <w:lvlJc w:val="left"/>
      <w:pPr>
        <w:ind w:left="2520" w:hanging="360"/>
      </w:pPr>
      <w:rPr>
        <w:rFonts w:cs="Times New Roman"/>
      </w:rPr>
    </w:lvl>
    <w:lvl w:ilvl="5" w:tplc="0C0A001B" w:tentative="1">
      <w:start w:val="1"/>
      <w:numFmt w:val="lowerRoman"/>
      <w:lvlText w:val="%6."/>
      <w:lvlJc w:val="right"/>
      <w:pPr>
        <w:ind w:left="3240" w:hanging="180"/>
      </w:pPr>
      <w:rPr>
        <w:rFonts w:cs="Times New Roman"/>
      </w:rPr>
    </w:lvl>
    <w:lvl w:ilvl="6" w:tplc="0C0A000F" w:tentative="1">
      <w:start w:val="1"/>
      <w:numFmt w:val="decimal"/>
      <w:lvlText w:val="%7."/>
      <w:lvlJc w:val="left"/>
      <w:pPr>
        <w:ind w:left="3960" w:hanging="360"/>
      </w:pPr>
      <w:rPr>
        <w:rFonts w:cs="Times New Roman"/>
      </w:rPr>
    </w:lvl>
    <w:lvl w:ilvl="7" w:tplc="0C0A0019" w:tentative="1">
      <w:start w:val="1"/>
      <w:numFmt w:val="lowerLetter"/>
      <w:lvlText w:val="%8."/>
      <w:lvlJc w:val="left"/>
      <w:pPr>
        <w:ind w:left="4680" w:hanging="360"/>
      </w:pPr>
      <w:rPr>
        <w:rFonts w:cs="Times New Roman"/>
      </w:rPr>
    </w:lvl>
    <w:lvl w:ilvl="8" w:tplc="0C0A001B" w:tentative="1">
      <w:start w:val="1"/>
      <w:numFmt w:val="lowerRoman"/>
      <w:lvlText w:val="%9."/>
      <w:lvlJc w:val="right"/>
      <w:pPr>
        <w:ind w:left="5400" w:hanging="180"/>
      </w:pPr>
      <w:rPr>
        <w:rFonts w:cs="Times New Roman"/>
      </w:rPr>
    </w:lvl>
  </w:abstractNum>
  <w:abstractNum w:abstractNumId="15">
    <w:nsid w:val="49C83C69"/>
    <w:multiLevelType w:val="hybridMultilevel"/>
    <w:tmpl w:val="7A685528"/>
    <w:lvl w:ilvl="0" w:tplc="7CDED180">
      <w:start w:val="1"/>
      <w:numFmt w:val="decimal"/>
      <w:lvlText w:val="4.%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nsid w:val="54C70AC6"/>
    <w:multiLevelType w:val="hybridMultilevel"/>
    <w:tmpl w:val="70643068"/>
    <w:lvl w:ilvl="0" w:tplc="5A54ACFC">
      <w:start w:val="1"/>
      <w:numFmt w:val="decimal"/>
      <w:lvlText w:val="5.%1"/>
      <w:lvlJc w:val="left"/>
      <w:pPr>
        <w:ind w:left="360" w:hanging="360"/>
      </w:pPr>
      <w:rPr>
        <w:rFonts w:cs="Times New Roman" w:hint="default"/>
      </w:rPr>
    </w:lvl>
    <w:lvl w:ilvl="1" w:tplc="614E7FD4">
      <w:start w:val="1"/>
      <w:numFmt w:val="decimal"/>
      <w:lvlText w:val="5.%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5E691ECA"/>
    <w:multiLevelType w:val="multilevel"/>
    <w:tmpl w:val="C0B4504E"/>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10D6AA7"/>
    <w:multiLevelType w:val="hybridMultilevel"/>
    <w:tmpl w:val="AEDE2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51814"/>
    <w:multiLevelType w:val="multilevel"/>
    <w:tmpl w:val="1E9CADF2"/>
    <w:lvl w:ilvl="0">
      <w:numFmt w:val="none"/>
      <w:lvlText w:val="2.5.1"/>
      <w:lvlJc w:val="left"/>
      <w:pPr>
        <w:tabs>
          <w:tab w:val="num" w:pos="1134"/>
        </w:tabs>
        <w:ind w:left="1134" w:hanging="1134"/>
      </w:pPr>
      <w:rPr>
        <w:rFonts w:ascii="Times New Roman" w:hAnsi="Times New Roman" w:cs="Times New Roman" w:hint="default"/>
        <w:b/>
        <w:i w:val="0"/>
        <w:caps/>
        <w:vanish w:val="0"/>
        <w:sz w:val="22"/>
        <w:szCs w:val="22"/>
      </w:rPr>
    </w:lvl>
    <w:lvl w:ilvl="1">
      <w:start w:val="1"/>
      <w:numFmt w:val="decimal"/>
      <w:lvlText w:val="2.5.%2%1"/>
      <w:lvlJc w:val="left"/>
      <w:pPr>
        <w:tabs>
          <w:tab w:val="num" w:pos="1134"/>
        </w:tabs>
        <w:ind w:left="1134" w:hanging="1134"/>
      </w:pPr>
      <w:rPr>
        <w:rFonts w:ascii="Times New Roman" w:hAnsi="Times New Roman" w:cs="Times New Roman" w:hint="default"/>
        <w:b/>
        <w:i w:val="0"/>
        <w:caps/>
        <w:sz w:val="24"/>
        <w:szCs w:val="24"/>
      </w:rPr>
    </w:lvl>
    <w:lvl w:ilvl="2">
      <w:start w:val="1"/>
      <w:numFmt w:val="decimal"/>
      <w:lvlRestart w:val="0"/>
      <w:pStyle w:val="Estilo2"/>
      <w:lvlText w:val="2.5.4.3.%3"/>
      <w:lvlJc w:val="left"/>
      <w:pPr>
        <w:tabs>
          <w:tab w:val="num" w:pos="0"/>
        </w:tabs>
        <w:ind w:left="1134" w:hanging="1134"/>
      </w:pPr>
      <w:rPr>
        <w:rFonts w:ascii="Times New Roman" w:hAnsi="Times New Roman" w:cs="Times New Roman" w:hint="default"/>
        <w:b w:val="0"/>
        <w:i w:val="0"/>
        <w:color w:val="auto"/>
        <w:sz w:val="22"/>
        <w:szCs w:val="22"/>
      </w:rPr>
    </w:lvl>
    <w:lvl w:ilvl="3">
      <w:start w:val="1"/>
      <w:numFmt w:val="decimal"/>
      <w:lvlText w:val="%12.5.%4"/>
      <w:lvlJc w:val="left"/>
      <w:pPr>
        <w:tabs>
          <w:tab w:val="num" w:pos="539"/>
        </w:tabs>
        <w:ind w:left="1674" w:hanging="1134"/>
      </w:pPr>
      <w:rPr>
        <w:rFonts w:ascii="Times New Roman" w:hAnsi="Times New Roman" w:cs="Times New Roman" w:hint="default"/>
        <w:b/>
        <w:i w:val="0"/>
        <w:sz w:val="22"/>
        <w:szCs w:val="22"/>
      </w:rPr>
    </w:lvl>
    <w:lvl w:ilvl="4">
      <w:start w:val="1"/>
      <w:numFmt w:val="decimal"/>
      <w:lvlText w:val="%5%1.2.6.3.2"/>
      <w:lvlJc w:val="left"/>
      <w:pPr>
        <w:tabs>
          <w:tab w:val="num" w:pos="1854"/>
        </w:tabs>
        <w:ind w:left="1854" w:hanging="1134"/>
      </w:pPr>
      <w:rPr>
        <w:rFonts w:ascii="Times New Roman" w:hAnsi="Times New Roman" w:cs="Times New Roman" w:hint="default"/>
        <w:b/>
        <w:i/>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1">
    <w:nsid w:val="6DBA3BAF"/>
    <w:multiLevelType w:val="multilevel"/>
    <w:tmpl w:val="607C058A"/>
    <w:lvl w:ilvl="0">
      <w:start w:val="4"/>
      <w:numFmt w:val="decimal"/>
      <w:lvlText w:val="%1."/>
      <w:lvlJc w:val="left"/>
      <w:pPr>
        <w:tabs>
          <w:tab w:val="num" w:pos="2201"/>
        </w:tabs>
        <w:ind w:left="2201" w:hanging="360"/>
      </w:pPr>
      <w:rPr>
        <w:rFonts w:cs="Times New Roman" w:hint="default"/>
        <w:b/>
        <w:bCs w:val="0"/>
        <w:i w:val="0"/>
        <w:iCs w:val="0"/>
      </w:rPr>
    </w:lvl>
    <w:lvl w:ilvl="1">
      <w:start w:val="1"/>
      <w:numFmt w:val="decimal"/>
      <w:lvlText w:val="%1.%2"/>
      <w:lvlJc w:val="left"/>
      <w:pPr>
        <w:tabs>
          <w:tab w:val="num" w:pos="2831"/>
        </w:tabs>
        <w:ind w:left="2831" w:hanging="990"/>
      </w:pPr>
      <w:rPr>
        <w:rFonts w:cs="Times New Roman" w:hint="default"/>
        <w:b w:val="0"/>
        <w:bCs w:val="0"/>
      </w:rPr>
    </w:lvl>
    <w:lvl w:ilvl="2">
      <w:start w:val="1"/>
      <w:numFmt w:val="decimal"/>
      <w:lvlText w:val="%1.%2.%3"/>
      <w:lvlJc w:val="left"/>
      <w:pPr>
        <w:tabs>
          <w:tab w:val="num" w:pos="2831"/>
        </w:tabs>
        <w:ind w:left="2831" w:hanging="990"/>
      </w:pPr>
      <w:rPr>
        <w:rFonts w:cs="Times New Roman" w:hint="default"/>
        <w:b w:val="0"/>
        <w:bCs w:val="0"/>
      </w:rPr>
    </w:lvl>
    <w:lvl w:ilvl="3">
      <w:start w:val="1"/>
      <w:numFmt w:val="decimal"/>
      <w:lvlText w:val="%1.%2.%3.%4"/>
      <w:lvlJc w:val="left"/>
      <w:pPr>
        <w:tabs>
          <w:tab w:val="num" w:pos="2921"/>
        </w:tabs>
        <w:ind w:left="2921" w:hanging="1080"/>
      </w:pPr>
      <w:rPr>
        <w:rFonts w:cs="Times New Roman" w:hint="default"/>
        <w:b w:val="0"/>
        <w:bCs w:val="0"/>
      </w:rPr>
    </w:lvl>
    <w:lvl w:ilvl="4">
      <w:start w:val="1"/>
      <w:numFmt w:val="decimal"/>
      <w:lvlText w:val="%1.%2.%3.%4.%5"/>
      <w:lvlJc w:val="left"/>
      <w:pPr>
        <w:tabs>
          <w:tab w:val="num" w:pos="3281"/>
        </w:tabs>
        <w:ind w:left="3281" w:hanging="1440"/>
      </w:pPr>
      <w:rPr>
        <w:rFonts w:cs="Times New Roman" w:hint="default"/>
        <w:b w:val="0"/>
        <w:bCs w:val="0"/>
      </w:rPr>
    </w:lvl>
    <w:lvl w:ilvl="5">
      <w:start w:val="1"/>
      <w:numFmt w:val="decimal"/>
      <w:lvlText w:val="%1.%2.%3.%4.%5.%6"/>
      <w:lvlJc w:val="left"/>
      <w:pPr>
        <w:tabs>
          <w:tab w:val="num" w:pos="3641"/>
        </w:tabs>
        <w:ind w:left="3641" w:hanging="1800"/>
      </w:pPr>
      <w:rPr>
        <w:rFonts w:cs="Times New Roman" w:hint="default"/>
        <w:b w:val="0"/>
        <w:bCs w:val="0"/>
      </w:rPr>
    </w:lvl>
    <w:lvl w:ilvl="6">
      <w:start w:val="1"/>
      <w:numFmt w:val="decimal"/>
      <w:lvlText w:val="%1.%2.%3.%4.%5.%6.%7"/>
      <w:lvlJc w:val="left"/>
      <w:pPr>
        <w:tabs>
          <w:tab w:val="num" w:pos="3641"/>
        </w:tabs>
        <w:ind w:left="3641" w:hanging="1800"/>
      </w:pPr>
      <w:rPr>
        <w:rFonts w:cs="Times New Roman" w:hint="default"/>
        <w:b w:val="0"/>
        <w:bCs w:val="0"/>
      </w:rPr>
    </w:lvl>
    <w:lvl w:ilvl="7">
      <w:start w:val="1"/>
      <w:numFmt w:val="decimal"/>
      <w:lvlText w:val="%1.%2.%3.%4.%5.%6.%7.%8"/>
      <w:lvlJc w:val="left"/>
      <w:pPr>
        <w:tabs>
          <w:tab w:val="num" w:pos="4001"/>
        </w:tabs>
        <w:ind w:left="4001" w:hanging="2160"/>
      </w:pPr>
      <w:rPr>
        <w:rFonts w:cs="Times New Roman" w:hint="default"/>
        <w:b w:val="0"/>
        <w:bCs w:val="0"/>
      </w:rPr>
    </w:lvl>
    <w:lvl w:ilvl="8">
      <w:start w:val="1"/>
      <w:numFmt w:val="decimal"/>
      <w:lvlText w:val="%1.%2.%3.%4.%5.%6.%7.%8.%9"/>
      <w:lvlJc w:val="left"/>
      <w:pPr>
        <w:tabs>
          <w:tab w:val="num" w:pos="4361"/>
        </w:tabs>
        <w:ind w:left="4361" w:hanging="2520"/>
      </w:pPr>
      <w:rPr>
        <w:rFonts w:cs="Times New Roman" w:hint="default"/>
        <w:b w:val="0"/>
        <w:bCs w:val="0"/>
      </w:rPr>
    </w:lvl>
  </w:abstractNum>
  <w:abstractNum w:abstractNumId="22">
    <w:nsid w:val="7498465A"/>
    <w:multiLevelType w:val="hybridMultilevel"/>
    <w:tmpl w:val="3DFE9D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7"/>
  </w:num>
  <w:num w:numId="4">
    <w:abstractNumId w:val="15"/>
  </w:num>
  <w:num w:numId="5">
    <w:abstractNumId w:val="16"/>
  </w:num>
  <w:num w:numId="6">
    <w:abstractNumId w:val="14"/>
  </w:num>
  <w:num w:numId="7">
    <w:abstractNumId w:val="9"/>
  </w:num>
  <w:num w:numId="8">
    <w:abstractNumId w:val="7"/>
  </w:num>
  <w:num w:numId="9">
    <w:abstractNumId w:val="12"/>
  </w:num>
  <w:num w:numId="10">
    <w:abstractNumId w:val="20"/>
  </w:num>
  <w:num w:numId="11">
    <w:abstractNumId w:val="0"/>
    <w:lvlOverride w:ilvl="0">
      <w:lvl w:ilvl="0">
        <w:start w:val="1"/>
        <w:numFmt w:val="bullet"/>
        <w:lvlText w:val="-"/>
        <w:legacy w:legacy="1" w:legacySpace="0" w:legacyIndent="360"/>
        <w:lvlJc w:val="left"/>
        <w:pPr>
          <w:ind w:left="360" w:hanging="360"/>
        </w:pPr>
      </w:lvl>
    </w:lvlOverride>
  </w:num>
  <w:num w:numId="12">
    <w:abstractNumId w:val="13"/>
  </w:num>
  <w:num w:numId="13">
    <w:abstractNumId w:val="1"/>
  </w:num>
  <w:num w:numId="14">
    <w:abstractNumId w:val="22"/>
  </w:num>
  <w:num w:numId="15">
    <w:abstractNumId w:val="10"/>
  </w:num>
  <w:num w:numId="16">
    <w:abstractNumId w:val="21"/>
  </w:num>
  <w:num w:numId="17">
    <w:abstractNumId w:val="8"/>
  </w:num>
  <w:num w:numId="18">
    <w:abstractNumId w:val="11"/>
  </w:num>
  <w:num w:numId="19">
    <w:abstractNumId w:val="19"/>
  </w:num>
  <w:num w:numId="20">
    <w:abstractNumId w:val="19"/>
    <w:lvlOverride w:ilvl="0">
      <w:lvl w:ilvl="0">
        <w:numFmt w:val="none"/>
        <w:lvlText w:val="2.5.1"/>
        <w:lvlJc w:val="left"/>
        <w:pPr>
          <w:tabs>
            <w:tab w:val="num" w:pos="1134"/>
          </w:tabs>
          <w:ind w:left="1134" w:hanging="1134"/>
        </w:pPr>
        <w:rPr>
          <w:rFonts w:ascii="Times New Roman" w:hAnsi="Times New Roman" w:cs="Times New Roman" w:hint="default"/>
          <w:b/>
          <w:i w:val="0"/>
          <w:caps/>
          <w:vanish w:val="0"/>
          <w:sz w:val="22"/>
          <w:szCs w:val="22"/>
        </w:rPr>
      </w:lvl>
    </w:lvlOverride>
    <w:lvlOverride w:ilvl="1">
      <w:lvl w:ilvl="1">
        <w:start w:val="1"/>
        <w:numFmt w:val="decimal"/>
        <w:lvlText w:val="2.5.%2%1"/>
        <w:lvlJc w:val="left"/>
        <w:pPr>
          <w:tabs>
            <w:tab w:val="num" w:pos="1134"/>
          </w:tabs>
          <w:ind w:left="1134" w:hanging="1134"/>
        </w:pPr>
        <w:rPr>
          <w:rFonts w:ascii="Times New Roman" w:hAnsi="Times New Roman" w:cs="Times New Roman" w:hint="default"/>
          <w:b/>
          <w:i w:val="0"/>
          <w:caps/>
          <w:sz w:val="24"/>
          <w:szCs w:val="24"/>
        </w:rPr>
      </w:lvl>
    </w:lvlOverride>
    <w:lvlOverride w:ilvl="2">
      <w:lvl w:ilvl="2">
        <w:start w:val="1"/>
        <w:numFmt w:val="decimal"/>
        <w:lvlRestart w:val="0"/>
        <w:pStyle w:val="Estilo2"/>
        <w:lvlText w:val="2.5.5.2.%3"/>
        <w:lvlJc w:val="left"/>
        <w:pPr>
          <w:tabs>
            <w:tab w:val="num" w:pos="0"/>
          </w:tabs>
          <w:ind w:left="1134" w:hanging="1134"/>
        </w:pPr>
        <w:rPr>
          <w:rFonts w:ascii="Times New Roman" w:hAnsi="Times New Roman" w:cs="Times New Roman" w:hint="default"/>
          <w:b w:val="0"/>
          <w:i w:val="0"/>
          <w:color w:val="auto"/>
          <w:sz w:val="22"/>
          <w:szCs w:val="22"/>
        </w:rPr>
      </w:lvl>
    </w:lvlOverride>
    <w:lvlOverride w:ilvl="3">
      <w:lvl w:ilvl="3">
        <w:start w:val="1"/>
        <w:numFmt w:val="decimal"/>
        <w:lvlText w:val="%12.5.%4"/>
        <w:lvlJc w:val="left"/>
        <w:pPr>
          <w:tabs>
            <w:tab w:val="num" w:pos="539"/>
          </w:tabs>
          <w:ind w:left="1674" w:hanging="1134"/>
        </w:pPr>
        <w:rPr>
          <w:rFonts w:ascii="Times New Roman" w:hAnsi="Times New Roman" w:cs="Times New Roman" w:hint="default"/>
          <w:b/>
          <w:i w:val="0"/>
          <w:sz w:val="22"/>
          <w:szCs w:val="22"/>
        </w:rPr>
      </w:lvl>
    </w:lvlOverride>
    <w:lvlOverride w:ilvl="4">
      <w:lvl w:ilvl="4">
        <w:start w:val="1"/>
        <w:numFmt w:val="decimal"/>
        <w:lvlText w:val="%5%1.2.6.3.2"/>
        <w:lvlJc w:val="left"/>
        <w:pPr>
          <w:tabs>
            <w:tab w:val="num" w:pos="1854"/>
          </w:tabs>
          <w:ind w:left="1854" w:hanging="1134"/>
        </w:pPr>
        <w:rPr>
          <w:rFonts w:ascii="Times New Roman" w:hAnsi="Times New Roman" w:cs="Times New Roman" w:hint="default"/>
          <w:b/>
          <w:i/>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1">
    <w:abstractNumId w:val="3"/>
  </w:num>
  <w:num w:numId="22">
    <w:abstractNumId w:val="18"/>
  </w:num>
  <w:num w:numId="23">
    <w:abstractNumId w:val="2"/>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t">
    <w15:presenceInfo w15:providerId="None" w15:userId="kt"/>
  </w15:person>
  <w15:person w15:author="Lucia Herdova">
    <w15:presenceInfo w15:providerId="None" w15:userId="Lucia Herd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84"/>
    <w:rsid w:val="00003980"/>
    <w:rsid w:val="000047BA"/>
    <w:rsid w:val="00005035"/>
    <w:rsid w:val="0000549B"/>
    <w:rsid w:val="000054E3"/>
    <w:rsid w:val="000127E9"/>
    <w:rsid w:val="00013800"/>
    <w:rsid w:val="00014103"/>
    <w:rsid w:val="00016F1A"/>
    <w:rsid w:val="00017BD2"/>
    <w:rsid w:val="000260F8"/>
    <w:rsid w:val="00027771"/>
    <w:rsid w:val="000410F3"/>
    <w:rsid w:val="00041DAB"/>
    <w:rsid w:val="000445B8"/>
    <w:rsid w:val="00051FE0"/>
    <w:rsid w:val="000527C7"/>
    <w:rsid w:val="00053863"/>
    <w:rsid w:val="00056A0D"/>
    <w:rsid w:val="0006018E"/>
    <w:rsid w:val="00061CDB"/>
    <w:rsid w:val="00067F6B"/>
    <w:rsid w:val="000703AF"/>
    <w:rsid w:val="000763E9"/>
    <w:rsid w:val="00076E94"/>
    <w:rsid w:val="000778C8"/>
    <w:rsid w:val="0008009C"/>
    <w:rsid w:val="0008104B"/>
    <w:rsid w:val="00082CB8"/>
    <w:rsid w:val="00095026"/>
    <w:rsid w:val="000963E1"/>
    <w:rsid w:val="0009645C"/>
    <w:rsid w:val="00097BD6"/>
    <w:rsid w:val="000A14C3"/>
    <w:rsid w:val="000A254D"/>
    <w:rsid w:val="000A57BC"/>
    <w:rsid w:val="000A594C"/>
    <w:rsid w:val="000A6176"/>
    <w:rsid w:val="000B23B7"/>
    <w:rsid w:val="000B2C16"/>
    <w:rsid w:val="000B500F"/>
    <w:rsid w:val="000B786C"/>
    <w:rsid w:val="000C3091"/>
    <w:rsid w:val="000C61F2"/>
    <w:rsid w:val="000D0887"/>
    <w:rsid w:val="000D25A4"/>
    <w:rsid w:val="000D326F"/>
    <w:rsid w:val="000E3182"/>
    <w:rsid w:val="000E3931"/>
    <w:rsid w:val="000E4BB8"/>
    <w:rsid w:val="000E5FB8"/>
    <w:rsid w:val="000E71DE"/>
    <w:rsid w:val="000F01BA"/>
    <w:rsid w:val="000F05B5"/>
    <w:rsid w:val="000F0A97"/>
    <w:rsid w:val="000F29EC"/>
    <w:rsid w:val="000F305A"/>
    <w:rsid w:val="000F519F"/>
    <w:rsid w:val="000F5285"/>
    <w:rsid w:val="001002B0"/>
    <w:rsid w:val="00105CD7"/>
    <w:rsid w:val="00124773"/>
    <w:rsid w:val="00124CF4"/>
    <w:rsid w:val="00124D17"/>
    <w:rsid w:val="001259AE"/>
    <w:rsid w:val="00126AA1"/>
    <w:rsid w:val="00130E45"/>
    <w:rsid w:val="00133DFB"/>
    <w:rsid w:val="00133E75"/>
    <w:rsid w:val="00140557"/>
    <w:rsid w:val="0014181F"/>
    <w:rsid w:val="001506AD"/>
    <w:rsid w:val="00154C3B"/>
    <w:rsid w:val="00157189"/>
    <w:rsid w:val="0016047A"/>
    <w:rsid w:val="00160A94"/>
    <w:rsid w:val="0016172F"/>
    <w:rsid w:val="00161C4A"/>
    <w:rsid w:val="001665D8"/>
    <w:rsid w:val="00167162"/>
    <w:rsid w:val="00170168"/>
    <w:rsid w:val="001710A5"/>
    <w:rsid w:val="0017216E"/>
    <w:rsid w:val="00176D62"/>
    <w:rsid w:val="001772F2"/>
    <w:rsid w:val="00180E06"/>
    <w:rsid w:val="001839CE"/>
    <w:rsid w:val="00185285"/>
    <w:rsid w:val="00186F71"/>
    <w:rsid w:val="00190C6A"/>
    <w:rsid w:val="00194452"/>
    <w:rsid w:val="001945F1"/>
    <w:rsid w:val="00195183"/>
    <w:rsid w:val="00195BB9"/>
    <w:rsid w:val="001A1859"/>
    <w:rsid w:val="001A1D00"/>
    <w:rsid w:val="001A3732"/>
    <w:rsid w:val="001A6E12"/>
    <w:rsid w:val="001B1458"/>
    <w:rsid w:val="001B297C"/>
    <w:rsid w:val="001B339C"/>
    <w:rsid w:val="001B3552"/>
    <w:rsid w:val="001B372C"/>
    <w:rsid w:val="001B51A4"/>
    <w:rsid w:val="001B7B6A"/>
    <w:rsid w:val="001C3B33"/>
    <w:rsid w:val="001C3E3D"/>
    <w:rsid w:val="001C67FC"/>
    <w:rsid w:val="001D2644"/>
    <w:rsid w:val="001D6E42"/>
    <w:rsid w:val="001E189D"/>
    <w:rsid w:val="001E1D66"/>
    <w:rsid w:val="001E59BA"/>
    <w:rsid w:val="001E63A0"/>
    <w:rsid w:val="001F09CA"/>
    <w:rsid w:val="001F17B8"/>
    <w:rsid w:val="001F2F7F"/>
    <w:rsid w:val="001F34EC"/>
    <w:rsid w:val="001F77BD"/>
    <w:rsid w:val="00205208"/>
    <w:rsid w:val="00212F85"/>
    <w:rsid w:val="002131AD"/>
    <w:rsid w:val="00216F1F"/>
    <w:rsid w:val="0022053D"/>
    <w:rsid w:val="00222D64"/>
    <w:rsid w:val="00223327"/>
    <w:rsid w:val="00223BB6"/>
    <w:rsid w:val="002251F9"/>
    <w:rsid w:val="002266AB"/>
    <w:rsid w:val="00235D5B"/>
    <w:rsid w:val="0023734B"/>
    <w:rsid w:val="002429F4"/>
    <w:rsid w:val="00242E88"/>
    <w:rsid w:val="00242EA1"/>
    <w:rsid w:val="00247B00"/>
    <w:rsid w:val="0025137A"/>
    <w:rsid w:val="00261471"/>
    <w:rsid w:val="002631D7"/>
    <w:rsid w:val="00277448"/>
    <w:rsid w:val="00280C48"/>
    <w:rsid w:val="00282915"/>
    <w:rsid w:val="00292E71"/>
    <w:rsid w:val="002953A8"/>
    <w:rsid w:val="002956A6"/>
    <w:rsid w:val="002A472D"/>
    <w:rsid w:val="002A5FF4"/>
    <w:rsid w:val="002A6ECE"/>
    <w:rsid w:val="002A7BE8"/>
    <w:rsid w:val="002B10A9"/>
    <w:rsid w:val="002B1304"/>
    <w:rsid w:val="002B1ADD"/>
    <w:rsid w:val="002B3D16"/>
    <w:rsid w:val="002B49D1"/>
    <w:rsid w:val="002C02FF"/>
    <w:rsid w:val="002C559D"/>
    <w:rsid w:val="002C65BC"/>
    <w:rsid w:val="002C6CED"/>
    <w:rsid w:val="002C73C3"/>
    <w:rsid w:val="002C7C2D"/>
    <w:rsid w:val="002D0438"/>
    <w:rsid w:val="002D2A22"/>
    <w:rsid w:val="002D43AE"/>
    <w:rsid w:val="002D59DD"/>
    <w:rsid w:val="002E3238"/>
    <w:rsid w:val="002E3B53"/>
    <w:rsid w:val="002E3D48"/>
    <w:rsid w:val="002E4104"/>
    <w:rsid w:val="002E6435"/>
    <w:rsid w:val="002F177A"/>
    <w:rsid w:val="002F2EE1"/>
    <w:rsid w:val="002F48BC"/>
    <w:rsid w:val="002F585E"/>
    <w:rsid w:val="002F67CE"/>
    <w:rsid w:val="00302999"/>
    <w:rsid w:val="00307B36"/>
    <w:rsid w:val="003118D3"/>
    <w:rsid w:val="00313A3B"/>
    <w:rsid w:val="003168F1"/>
    <w:rsid w:val="003169BC"/>
    <w:rsid w:val="00320142"/>
    <w:rsid w:val="00322873"/>
    <w:rsid w:val="0033052A"/>
    <w:rsid w:val="00335BDA"/>
    <w:rsid w:val="00341D74"/>
    <w:rsid w:val="00346188"/>
    <w:rsid w:val="003476A3"/>
    <w:rsid w:val="0034780E"/>
    <w:rsid w:val="00352507"/>
    <w:rsid w:val="00353C17"/>
    <w:rsid w:val="00354A09"/>
    <w:rsid w:val="00355898"/>
    <w:rsid w:val="00360D9B"/>
    <w:rsid w:val="003614F8"/>
    <w:rsid w:val="00361759"/>
    <w:rsid w:val="00362C97"/>
    <w:rsid w:val="00364557"/>
    <w:rsid w:val="00364BDA"/>
    <w:rsid w:val="00371D3A"/>
    <w:rsid w:val="00371FD7"/>
    <w:rsid w:val="00375683"/>
    <w:rsid w:val="00380293"/>
    <w:rsid w:val="00382CFC"/>
    <w:rsid w:val="00392591"/>
    <w:rsid w:val="0039317E"/>
    <w:rsid w:val="003936D6"/>
    <w:rsid w:val="003943FD"/>
    <w:rsid w:val="003957FB"/>
    <w:rsid w:val="003A5728"/>
    <w:rsid w:val="003A67D5"/>
    <w:rsid w:val="003A734D"/>
    <w:rsid w:val="003A7998"/>
    <w:rsid w:val="003A7AF1"/>
    <w:rsid w:val="003A7FD3"/>
    <w:rsid w:val="003B5F34"/>
    <w:rsid w:val="003C096E"/>
    <w:rsid w:val="003D10D5"/>
    <w:rsid w:val="003D2128"/>
    <w:rsid w:val="003D25A1"/>
    <w:rsid w:val="003D280C"/>
    <w:rsid w:val="003D5B9D"/>
    <w:rsid w:val="003D6575"/>
    <w:rsid w:val="003D6C44"/>
    <w:rsid w:val="003D73B6"/>
    <w:rsid w:val="003D75FD"/>
    <w:rsid w:val="003E44A0"/>
    <w:rsid w:val="003E651B"/>
    <w:rsid w:val="003E7442"/>
    <w:rsid w:val="003F064E"/>
    <w:rsid w:val="003F429D"/>
    <w:rsid w:val="003F4EF5"/>
    <w:rsid w:val="003F63CA"/>
    <w:rsid w:val="003F7A66"/>
    <w:rsid w:val="00401DBF"/>
    <w:rsid w:val="00403F0A"/>
    <w:rsid w:val="0041244A"/>
    <w:rsid w:val="00415AFB"/>
    <w:rsid w:val="0041712D"/>
    <w:rsid w:val="00425E61"/>
    <w:rsid w:val="004263EA"/>
    <w:rsid w:val="00426C8C"/>
    <w:rsid w:val="00432781"/>
    <w:rsid w:val="00432A01"/>
    <w:rsid w:val="00432CAB"/>
    <w:rsid w:val="00440CAE"/>
    <w:rsid w:val="00442AC9"/>
    <w:rsid w:val="004444B3"/>
    <w:rsid w:val="00444B17"/>
    <w:rsid w:val="00447618"/>
    <w:rsid w:val="00447BBE"/>
    <w:rsid w:val="00450574"/>
    <w:rsid w:val="004512D1"/>
    <w:rsid w:val="00451A39"/>
    <w:rsid w:val="0045214F"/>
    <w:rsid w:val="0045348B"/>
    <w:rsid w:val="00453978"/>
    <w:rsid w:val="00457195"/>
    <w:rsid w:val="0045777D"/>
    <w:rsid w:val="00462888"/>
    <w:rsid w:val="00465B65"/>
    <w:rsid w:val="00467042"/>
    <w:rsid w:val="004716C1"/>
    <w:rsid w:val="0047171F"/>
    <w:rsid w:val="0047201C"/>
    <w:rsid w:val="00473016"/>
    <w:rsid w:val="004734AA"/>
    <w:rsid w:val="0047427C"/>
    <w:rsid w:val="00474E1A"/>
    <w:rsid w:val="0047694F"/>
    <w:rsid w:val="00477BB7"/>
    <w:rsid w:val="0048217B"/>
    <w:rsid w:val="0048327C"/>
    <w:rsid w:val="00486BC4"/>
    <w:rsid w:val="0048762B"/>
    <w:rsid w:val="00494244"/>
    <w:rsid w:val="00496554"/>
    <w:rsid w:val="004A17DF"/>
    <w:rsid w:val="004A1F18"/>
    <w:rsid w:val="004A3E20"/>
    <w:rsid w:val="004A64CE"/>
    <w:rsid w:val="004A7577"/>
    <w:rsid w:val="004A7F71"/>
    <w:rsid w:val="004B086D"/>
    <w:rsid w:val="004B0A4E"/>
    <w:rsid w:val="004B6493"/>
    <w:rsid w:val="004B788B"/>
    <w:rsid w:val="004C153B"/>
    <w:rsid w:val="004C368D"/>
    <w:rsid w:val="004C75CB"/>
    <w:rsid w:val="004D0D29"/>
    <w:rsid w:val="004D2AD3"/>
    <w:rsid w:val="004D6D3C"/>
    <w:rsid w:val="004D7082"/>
    <w:rsid w:val="004E190C"/>
    <w:rsid w:val="004E2EAF"/>
    <w:rsid w:val="004E5065"/>
    <w:rsid w:val="004E73B2"/>
    <w:rsid w:val="004F01CD"/>
    <w:rsid w:val="004F0814"/>
    <w:rsid w:val="004F0F34"/>
    <w:rsid w:val="004F1763"/>
    <w:rsid w:val="004F643C"/>
    <w:rsid w:val="004F6D0E"/>
    <w:rsid w:val="00505383"/>
    <w:rsid w:val="00505876"/>
    <w:rsid w:val="00510C7D"/>
    <w:rsid w:val="00512F0B"/>
    <w:rsid w:val="00513AE8"/>
    <w:rsid w:val="00513D90"/>
    <w:rsid w:val="005153B8"/>
    <w:rsid w:val="00516D3A"/>
    <w:rsid w:val="005273AC"/>
    <w:rsid w:val="00530637"/>
    <w:rsid w:val="00530B26"/>
    <w:rsid w:val="00530C85"/>
    <w:rsid w:val="00537544"/>
    <w:rsid w:val="00537EF7"/>
    <w:rsid w:val="00544BA1"/>
    <w:rsid w:val="00545DAF"/>
    <w:rsid w:val="00552404"/>
    <w:rsid w:val="00552B7C"/>
    <w:rsid w:val="005536D9"/>
    <w:rsid w:val="00554369"/>
    <w:rsid w:val="0055537E"/>
    <w:rsid w:val="00557099"/>
    <w:rsid w:val="00564C78"/>
    <w:rsid w:val="0056518A"/>
    <w:rsid w:val="00565AEA"/>
    <w:rsid w:val="00567AD9"/>
    <w:rsid w:val="00573949"/>
    <w:rsid w:val="00577D5B"/>
    <w:rsid w:val="00585734"/>
    <w:rsid w:val="005864C5"/>
    <w:rsid w:val="005865DD"/>
    <w:rsid w:val="005907DF"/>
    <w:rsid w:val="00590D1B"/>
    <w:rsid w:val="005917CE"/>
    <w:rsid w:val="005930E9"/>
    <w:rsid w:val="0059366D"/>
    <w:rsid w:val="00594106"/>
    <w:rsid w:val="00595596"/>
    <w:rsid w:val="00595708"/>
    <w:rsid w:val="005A3861"/>
    <w:rsid w:val="005A3CB0"/>
    <w:rsid w:val="005A5479"/>
    <w:rsid w:val="005B25D9"/>
    <w:rsid w:val="005B26FE"/>
    <w:rsid w:val="005B51B3"/>
    <w:rsid w:val="005B57D9"/>
    <w:rsid w:val="005B6176"/>
    <w:rsid w:val="005B7F4E"/>
    <w:rsid w:val="005C0D80"/>
    <w:rsid w:val="005C0F0C"/>
    <w:rsid w:val="005C343F"/>
    <w:rsid w:val="005C3492"/>
    <w:rsid w:val="005D3884"/>
    <w:rsid w:val="005D4E66"/>
    <w:rsid w:val="005D5A58"/>
    <w:rsid w:val="005D6E0C"/>
    <w:rsid w:val="005E3B4F"/>
    <w:rsid w:val="005E3F53"/>
    <w:rsid w:val="005F0A70"/>
    <w:rsid w:val="005F0C5A"/>
    <w:rsid w:val="005F27E9"/>
    <w:rsid w:val="005F3861"/>
    <w:rsid w:val="00600CAE"/>
    <w:rsid w:val="0060351C"/>
    <w:rsid w:val="00605FDA"/>
    <w:rsid w:val="00610DEA"/>
    <w:rsid w:val="0061167A"/>
    <w:rsid w:val="00614369"/>
    <w:rsid w:val="00620A95"/>
    <w:rsid w:val="00630514"/>
    <w:rsid w:val="0063070B"/>
    <w:rsid w:val="00632F33"/>
    <w:rsid w:val="00633788"/>
    <w:rsid w:val="006370F7"/>
    <w:rsid w:val="00643277"/>
    <w:rsid w:val="00645DC2"/>
    <w:rsid w:val="00645FA1"/>
    <w:rsid w:val="006505F8"/>
    <w:rsid w:val="00651164"/>
    <w:rsid w:val="0065251B"/>
    <w:rsid w:val="00652C57"/>
    <w:rsid w:val="00654B37"/>
    <w:rsid w:val="00654F3E"/>
    <w:rsid w:val="00655174"/>
    <w:rsid w:val="00656AFF"/>
    <w:rsid w:val="0066102A"/>
    <w:rsid w:val="00661FF6"/>
    <w:rsid w:val="00666D92"/>
    <w:rsid w:val="00670FDA"/>
    <w:rsid w:val="006719BE"/>
    <w:rsid w:val="00672444"/>
    <w:rsid w:val="00675077"/>
    <w:rsid w:val="00675BA7"/>
    <w:rsid w:val="00681EE0"/>
    <w:rsid w:val="0068527D"/>
    <w:rsid w:val="00685EB6"/>
    <w:rsid w:val="00693EC4"/>
    <w:rsid w:val="006A32A3"/>
    <w:rsid w:val="006A7FD3"/>
    <w:rsid w:val="006B39E2"/>
    <w:rsid w:val="006B4561"/>
    <w:rsid w:val="006B50E9"/>
    <w:rsid w:val="006C4290"/>
    <w:rsid w:val="006C62B2"/>
    <w:rsid w:val="006D10FD"/>
    <w:rsid w:val="006D30E3"/>
    <w:rsid w:val="006D3D6D"/>
    <w:rsid w:val="006D55BC"/>
    <w:rsid w:val="006D6F5C"/>
    <w:rsid w:val="006E0F7B"/>
    <w:rsid w:val="006E17EB"/>
    <w:rsid w:val="006E6DEB"/>
    <w:rsid w:val="006F0B95"/>
    <w:rsid w:val="006F2C84"/>
    <w:rsid w:val="006F431E"/>
    <w:rsid w:val="006F6CC3"/>
    <w:rsid w:val="006F7A5D"/>
    <w:rsid w:val="006F7B8E"/>
    <w:rsid w:val="006F7BEA"/>
    <w:rsid w:val="00700355"/>
    <w:rsid w:val="0070278D"/>
    <w:rsid w:val="007041E2"/>
    <w:rsid w:val="0070450E"/>
    <w:rsid w:val="00705E5E"/>
    <w:rsid w:val="007063CD"/>
    <w:rsid w:val="00707CA0"/>
    <w:rsid w:val="00710D5F"/>
    <w:rsid w:val="0071202A"/>
    <w:rsid w:val="00722A94"/>
    <w:rsid w:val="00725626"/>
    <w:rsid w:val="0072614C"/>
    <w:rsid w:val="007268EB"/>
    <w:rsid w:val="007311D2"/>
    <w:rsid w:val="00733402"/>
    <w:rsid w:val="00733B3B"/>
    <w:rsid w:val="00736F53"/>
    <w:rsid w:val="00742FA7"/>
    <w:rsid w:val="007601B5"/>
    <w:rsid w:val="007610BE"/>
    <w:rsid w:val="00766CD0"/>
    <w:rsid w:val="007710B9"/>
    <w:rsid w:val="00774856"/>
    <w:rsid w:val="00775165"/>
    <w:rsid w:val="00776903"/>
    <w:rsid w:val="00776BDE"/>
    <w:rsid w:val="007808CA"/>
    <w:rsid w:val="00781104"/>
    <w:rsid w:val="00782765"/>
    <w:rsid w:val="007843AE"/>
    <w:rsid w:val="0079097F"/>
    <w:rsid w:val="0079112F"/>
    <w:rsid w:val="00792529"/>
    <w:rsid w:val="00797004"/>
    <w:rsid w:val="007A20ED"/>
    <w:rsid w:val="007A2DAE"/>
    <w:rsid w:val="007A5F4F"/>
    <w:rsid w:val="007A70C2"/>
    <w:rsid w:val="007A733E"/>
    <w:rsid w:val="007B7C55"/>
    <w:rsid w:val="007C0FF8"/>
    <w:rsid w:val="007C1818"/>
    <w:rsid w:val="007C3143"/>
    <w:rsid w:val="007C41C8"/>
    <w:rsid w:val="007D107D"/>
    <w:rsid w:val="007D1D96"/>
    <w:rsid w:val="007D4C16"/>
    <w:rsid w:val="007D6049"/>
    <w:rsid w:val="007D7C0A"/>
    <w:rsid w:val="007E0BBF"/>
    <w:rsid w:val="007E0C0E"/>
    <w:rsid w:val="007E1DC2"/>
    <w:rsid w:val="007E2801"/>
    <w:rsid w:val="007E2D74"/>
    <w:rsid w:val="007E367D"/>
    <w:rsid w:val="007E432A"/>
    <w:rsid w:val="007E4735"/>
    <w:rsid w:val="007E6C54"/>
    <w:rsid w:val="007E790D"/>
    <w:rsid w:val="007F0E36"/>
    <w:rsid w:val="007F341D"/>
    <w:rsid w:val="007F4781"/>
    <w:rsid w:val="007F4A9F"/>
    <w:rsid w:val="007F6D4C"/>
    <w:rsid w:val="0080449E"/>
    <w:rsid w:val="00805D10"/>
    <w:rsid w:val="00806144"/>
    <w:rsid w:val="00806C5A"/>
    <w:rsid w:val="008075F8"/>
    <w:rsid w:val="008078D8"/>
    <w:rsid w:val="0081127B"/>
    <w:rsid w:val="00813119"/>
    <w:rsid w:val="00813E6F"/>
    <w:rsid w:val="00823F8C"/>
    <w:rsid w:val="00824BDF"/>
    <w:rsid w:val="008279F6"/>
    <w:rsid w:val="00827B2D"/>
    <w:rsid w:val="008373C5"/>
    <w:rsid w:val="008429C8"/>
    <w:rsid w:val="008431B6"/>
    <w:rsid w:val="00847559"/>
    <w:rsid w:val="0086058A"/>
    <w:rsid w:val="00861ACC"/>
    <w:rsid w:val="008624DB"/>
    <w:rsid w:val="00867969"/>
    <w:rsid w:val="00867D8F"/>
    <w:rsid w:val="00871CD6"/>
    <w:rsid w:val="00872C2B"/>
    <w:rsid w:val="00876EA0"/>
    <w:rsid w:val="00877DE4"/>
    <w:rsid w:val="0088022A"/>
    <w:rsid w:val="00880B51"/>
    <w:rsid w:val="00884364"/>
    <w:rsid w:val="00884A08"/>
    <w:rsid w:val="00884D96"/>
    <w:rsid w:val="00885408"/>
    <w:rsid w:val="008869F3"/>
    <w:rsid w:val="008939E1"/>
    <w:rsid w:val="00897F13"/>
    <w:rsid w:val="008A1AD7"/>
    <w:rsid w:val="008A27F6"/>
    <w:rsid w:val="008A60B5"/>
    <w:rsid w:val="008A7BD7"/>
    <w:rsid w:val="008B1B08"/>
    <w:rsid w:val="008B2C4B"/>
    <w:rsid w:val="008B39A2"/>
    <w:rsid w:val="008B538E"/>
    <w:rsid w:val="008B7492"/>
    <w:rsid w:val="008B76C8"/>
    <w:rsid w:val="008C3272"/>
    <w:rsid w:val="008C3B95"/>
    <w:rsid w:val="008C762A"/>
    <w:rsid w:val="008E0F9A"/>
    <w:rsid w:val="008E14B8"/>
    <w:rsid w:val="008E1B44"/>
    <w:rsid w:val="008F1F73"/>
    <w:rsid w:val="008F34CD"/>
    <w:rsid w:val="008F4395"/>
    <w:rsid w:val="008F494B"/>
    <w:rsid w:val="008F538D"/>
    <w:rsid w:val="008F6475"/>
    <w:rsid w:val="00923E52"/>
    <w:rsid w:val="009265F4"/>
    <w:rsid w:val="00926620"/>
    <w:rsid w:val="00926FF6"/>
    <w:rsid w:val="0092731F"/>
    <w:rsid w:val="00931C42"/>
    <w:rsid w:val="00935973"/>
    <w:rsid w:val="00936C63"/>
    <w:rsid w:val="0094088B"/>
    <w:rsid w:val="00940AEF"/>
    <w:rsid w:val="00940F9F"/>
    <w:rsid w:val="00943F85"/>
    <w:rsid w:val="00944EC0"/>
    <w:rsid w:val="00953523"/>
    <w:rsid w:val="00954F43"/>
    <w:rsid w:val="00955B4F"/>
    <w:rsid w:val="00960190"/>
    <w:rsid w:val="0096195F"/>
    <w:rsid w:val="009626BE"/>
    <w:rsid w:val="00966A22"/>
    <w:rsid w:val="00966CD3"/>
    <w:rsid w:val="00972B81"/>
    <w:rsid w:val="00972C52"/>
    <w:rsid w:val="00973C1B"/>
    <w:rsid w:val="00974C28"/>
    <w:rsid w:val="009754CF"/>
    <w:rsid w:val="00982BE3"/>
    <w:rsid w:val="00982F49"/>
    <w:rsid w:val="009871BC"/>
    <w:rsid w:val="0099187A"/>
    <w:rsid w:val="00992C47"/>
    <w:rsid w:val="00994236"/>
    <w:rsid w:val="009943F0"/>
    <w:rsid w:val="00994B92"/>
    <w:rsid w:val="0099602D"/>
    <w:rsid w:val="009A004E"/>
    <w:rsid w:val="009A18F9"/>
    <w:rsid w:val="009A487F"/>
    <w:rsid w:val="009A7047"/>
    <w:rsid w:val="009A78FC"/>
    <w:rsid w:val="009B1674"/>
    <w:rsid w:val="009B6D29"/>
    <w:rsid w:val="009C0467"/>
    <w:rsid w:val="009C1384"/>
    <w:rsid w:val="009C3282"/>
    <w:rsid w:val="009D032C"/>
    <w:rsid w:val="009D1021"/>
    <w:rsid w:val="009D3251"/>
    <w:rsid w:val="009D3463"/>
    <w:rsid w:val="009D3B4F"/>
    <w:rsid w:val="009D41FD"/>
    <w:rsid w:val="009D5C3B"/>
    <w:rsid w:val="009D73B9"/>
    <w:rsid w:val="009D76E9"/>
    <w:rsid w:val="009E1BEC"/>
    <w:rsid w:val="009E3A59"/>
    <w:rsid w:val="009E47BC"/>
    <w:rsid w:val="009F4E68"/>
    <w:rsid w:val="009F6068"/>
    <w:rsid w:val="009F776E"/>
    <w:rsid w:val="009F7E40"/>
    <w:rsid w:val="00A00E50"/>
    <w:rsid w:val="00A05D0A"/>
    <w:rsid w:val="00A062C7"/>
    <w:rsid w:val="00A10012"/>
    <w:rsid w:val="00A10571"/>
    <w:rsid w:val="00A10AD1"/>
    <w:rsid w:val="00A16A6F"/>
    <w:rsid w:val="00A2008F"/>
    <w:rsid w:val="00A27547"/>
    <w:rsid w:val="00A31608"/>
    <w:rsid w:val="00A378A4"/>
    <w:rsid w:val="00A41C83"/>
    <w:rsid w:val="00A43B70"/>
    <w:rsid w:val="00A44D78"/>
    <w:rsid w:val="00A477C7"/>
    <w:rsid w:val="00A50E72"/>
    <w:rsid w:val="00A5355A"/>
    <w:rsid w:val="00A56D5B"/>
    <w:rsid w:val="00A6299B"/>
    <w:rsid w:val="00A63299"/>
    <w:rsid w:val="00A635A8"/>
    <w:rsid w:val="00A63673"/>
    <w:rsid w:val="00A646EF"/>
    <w:rsid w:val="00A67463"/>
    <w:rsid w:val="00A70BC8"/>
    <w:rsid w:val="00A71837"/>
    <w:rsid w:val="00A7541E"/>
    <w:rsid w:val="00A772C4"/>
    <w:rsid w:val="00A8260D"/>
    <w:rsid w:val="00A828A6"/>
    <w:rsid w:val="00A82B7B"/>
    <w:rsid w:val="00A83ACB"/>
    <w:rsid w:val="00A87A46"/>
    <w:rsid w:val="00A9083F"/>
    <w:rsid w:val="00A908EE"/>
    <w:rsid w:val="00A93353"/>
    <w:rsid w:val="00A937C0"/>
    <w:rsid w:val="00A942B6"/>
    <w:rsid w:val="00AA0DD4"/>
    <w:rsid w:val="00AA0EFF"/>
    <w:rsid w:val="00AA27D1"/>
    <w:rsid w:val="00AA2A96"/>
    <w:rsid w:val="00AA2BFE"/>
    <w:rsid w:val="00AA36DD"/>
    <w:rsid w:val="00AA38AD"/>
    <w:rsid w:val="00AA4F95"/>
    <w:rsid w:val="00AA5961"/>
    <w:rsid w:val="00AA69E5"/>
    <w:rsid w:val="00AA7F93"/>
    <w:rsid w:val="00AB07C6"/>
    <w:rsid w:val="00AB1269"/>
    <w:rsid w:val="00AB5C72"/>
    <w:rsid w:val="00AC1CD0"/>
    <w:rsid w:val="00AC2BEE"/>
    <w:rsid w:val="00AC7012"/>
    <w:rsid w:val="00AE082F"/>
    <w:rsid w:val="00AE0F64"/>
    <w:rsid w:val="00AE3BB9"/>
    <w:rsid w:val="00AE4F7F"/>
    <w:rsid w:val="00AF13C5"/>
    <w:rsid w:val="00AF1F09"/>
    <w:rsid w:val="00AF4507"/>
    <w:rsid w:val="00AF6074"/>
    <w:rsid w:val="00AF64C1"/>
    <w:rsid w:val="00AF7B0B"/>
    <w:rsid w:val="00B012FD"/>
    <w:rsid w:val="00B01AF2"/>
    <w:rsid w:val="00B037EA"/>
    <w:rsid w:val="00B06594"/>
    <w:rsid w:val="00B11151"/>
    <w:rsid w:val="00B11C9D"/>
    <w:rsid w:val="00B121F7"/>
    <w:rsid w:val="00B14331"/>
    <w:rsid w:val="00B164D4"/>
    <w:rsid w:val="00B16C93"/>
    <w:rsid w:val="00B17859"/>
    <w:rsid w:val="00B23296"/>
    <w:rsid w:val="00B23FBA"/>
    <w:rsid w:val="00B25205"/>
    <w:rsid w:val="00B257CC"/>
    <w:rsid w:val="00B32D16"/>
    <w:rsid w:val="00B40A61"/>
    <w:rsid w:val="00B416D0"/>
    <w:rsid w:val="00B44C13"/>
    <w:rsid w:val="00B468DD"/>
    <w:rsid w:val="00B471DB"/>
    <w:rsid w:val="00B4764F"/>
    <w:rsid w:val="00B6167B"/>
    <w:rsid w:val="00B663E2"/>
    <w:rsid w:val="00B6704C"/>
    <w:rsid w:val="00B802E2"/>
    <w:rsid w:val="00B81A83"/>
    <w:rsid w:val="00B84584"/>
    <w:rsid w:val="00B8557C"/>
    <w:rsid w:val="00B860CB"/>
    <w:rsid w:val="00B95BCD"/>
    <w:rsid w:val="00BA0622"/>
    <w:rsid w:val="00BA3E25"/>
    <w:rsid w:val="00BA6DA6"/>
    <w:rsid w:val="00BB1D54"/>
    <w:rsid w:val="00BB38DB"/>
    <w:rsid w:val="00BB4167"/>
    <w:rsid w:val="00BB6CA5"/>
    <w:rsid w:val="00BB751B"/>
    <w:rsid w:val="00BC192C"/>
    <w:rsid w:val="00BC2F80"/>
    <w:rsid w:val="00BC41FE"/>
    <w:rsid w:val="00BC4365"/>
    <w:rsid w:val="00BC491A"/>
    <w:rsid w:val="00BD4BBF"/>
    <w:rsid w:val="00BD53F1"/>
    <w:rsid w:val="00BD5F72"/>
    <w:rsid w:val="00BE1248"/>
    <w:rsid w:val="00BE127C"/>
    <w:rsid w:val="00BE40F7"/>
    <w:rsid w:val="00BE7FB7"/>
    <w:rsid w:val="00BF024F"/>
    <w:rsid w:val="00BF18EF"/>
    <w:rsid w:val="00BF53DB"/>
    <w:rsid w:val="00BF6CEC"/>
    <w:rsid w:val="00C03595"/>
    <w:rsid w:val="00C03EF4"/>
    <w:rsid w:val="00C04B74"/>
    <w:rsid w:val="00C059F4"/>
    <w:rsid w:val="00C10FC2"/>
    <w:rsid w:val="00C116F8"/>
    <w:rsid w:val="00C12073"/>
    <w:rsid w:val="00C14A87"/>
    <w:rsid w:val="00C166BA"/>
    <w:rsid w:val="00C214E0"/>
    <w:rsid w:val="00C24125"/>
    <w:rsid w:val="00C2426C"/>
    <w:rsid w:val="00C2650A"/>
    <w:rsid w:val="00C273DC"/>
    <w:rsid w:val="00C27D4F"/>
    <w:rsid w:val="00C32B4E"/>
    <w:rsid w:val="00C33EA5"/>
    <w:rsid w:val="00C342B1"/>
    <w:rsid w:val="00C43110"/>
    <w:rsid w:val="00C43796"/>
    <w:rsid w:val="00C45468"/>
    <w:rsid w:val="00C47EC3"/>
    <w:rsid w:val="00C53E16"/>
    <w:rsid w:val="00C541A8"/>
    <w:rsid w:val="00C54538"/>
    <w:rsid w:val="00C61428"/>
    <w:rsid w:val="00C63F8E"/>
    <w:rsid w:val="00C712E5"/>
    <w:rsid w:val="00C737AA"/>
    <w:rsid w:val="00C74C79"/>
    <w:rsid w:val="00C754EA"/>
    <w:rsid w:val="00C825EC"/>
    <w:rsid w:val="00C82BF0"/>
    <w:rsid w:val="00C90D33"/>
    <w:rsid w:val="00C9372E"/>
    <w:rsid w:val="00C95AE6"/>
    <w:rsid w:val="00C95C84"/>
    <w:rsid w:val="00C96A6A"/>
    <w:rsid w:val="00CA223E"/>
    <w:rsid w:val="00CB20E2"/>
    <w:rsid w:val="00CB24F3"/>
    <w:rsid w:val="00CB2E66"/>
    <w:rsid w:val="00CB30DD"/>
    <w:rsid w:val="00CC4B4A"/>
    <w:rsid w:val="00CC4B82"/>
    <w:rsid w:val="00CD202F"/>
    <w:rsid w:val="00CD3916"/>
    <w:rsid w:val="00CD5890"/>
    <w:rsid w:val="00CD765C"/>
    <w:rsid w:val="00CE0C16"/>
    <w:rsid w:val="00CE3071"/>
    <w:rsid w:val="00CE4EFC"/>
    <w:rsid w:val="00CE5AED"/>
    <w:rsid w:val="00CF1CC0"/>
    <w:rsid w:val="00CF61D8"/>
    <w:rsid w:val="00D04239"/>
    <w:rsid w:val="00D064A7"/>
    <w:rsid w:val="00D06537"/>
    <w:rsid w:val="00D06684"/>
    <w:rsid w:val="00D10769"/>
    <w:rsid w:val="00D171CB"/>
    <w:rsid w:val="00D22709"/>
    <w:rsid w:val="00D26DDE"/>
    <w:rsid w:val="00D27F73"/>
    <w:rsid w:val="00D3304C"/>
    <w:rsid w:val="00D34AFD"/>
    <w:rsid w:val="00D34E63"/>
    <w:rsid w:val="00D35A9A"/>
    <w:rsid w:val="00D4123A"/>
    <w:rsid w:val="00D46A35"/>
    <w:rsid w:val="00D52CE2"/>
    <w:rsid w:val="00D53E8A"/>
    <w:rsid w:val="00D53EB0"/>
    <w:rsid w:val="00D54233"/>
    <w:rsid w:val="00D57A24"/>
    <w:rsid w:val="00D63DF0"/>
    <w:rsid w:val="00D64C2C"/>
    <w:rsid w:val="00D658F1"/>
    <w:rsid w:val="00D66F84"/>
    <w:rsid w:val="00D67B50"/>
    <w:rsid w:val="00D73439"/>
    <w:rsid w:val="00D75CD2"/>
    <w:rsid w:val="00D77E06"/>
    <w:rsid w:val="00D803F4"/>
    <w:rsid w:val="00D96CA1"/>
    <w:rsid w:val="00DA78C4"/>
    <w:rsid w:val="00DB013D"/>
    <w:rsid w:val="00DB16E8"/>
    <w:rsid w:val="00DB3427"/>
    <w:rsid w:val="00DB3985"/>
    <w:rsid w:val="00DB3CFC"/>
    <w:rsid w:val="00DB42E2"/>
    <w:rsid w:val="00DB6751"/>
    <w:rsid w:val="00DC16AF"/>
    <w:rsid w:val="00DC31B1"/>
    <w:rsid w:val="00DC3CF6"/>
    <w:rsid w:val="00DC6354"/>
    <w:rsid w:val="00DC7A7A"/>
    <w:rsid w:val="00DD0FEE"/>
    <w:rsid w:val="00DE0343"/>
    <w:rsid w:val="00DE074D"/>
    <w:rsid w:val="00DE4023"/>
    <w:rsid w:val="00DE4590"/>
    <w:rsid w:val="00DE78F3"/>
    <w:rsid w:val="00DF1473"/>
    <w:rsid w:val="00DF3FBB"/>
    <w:rsid w:val="00DF4ACD"/>
    <w:rsid w:val="00DF5D39"/>
    <w:rsid w:val="00DF5EA5"/>
    <w:rsid w:val="00E01220"/>
    <w:rsid w:val="00E034BA"/>
    <w:rsid w:val="00E047CE"/>
    <w:rsid w:val="00E0791A"/>
    <w:rsid w:val="00E11CCA"/>
    <w:rsid w:val="00E15E82"/>
    <w:rsid w:val="00E17A83"/>
    <w:rsid w:val="00E209CE"/>
    <w:rsid w:val="00E22AE7"/>
    <w:rsid w:val="00E22F24"/>
    <w:rsid w:val="00E233AF"/>
    <w:rsid w:val="00E24048"/>
    <w:rsid w:val="00E330FE"/>
    <w:rsid w:val="00E36E99"/>
    <w:rsid w:val="00E417EB"/>
    <w:rsid w:val="00E41925"/>
    <w:rsid w:val="00E441AB"/>
    <w:rsid w:val="00E4526D"/>
    <w:rsid w:val="00E61AC2"/>
    <w:rsid w:val="00E62DB9"/>
    <w:rsid w:val="00E703B4"/>
    <w:rsid w:val="00E70705"/>
    <w:rsid w:val="00E71F99"/>
    <w:rsid w:val="00E7323E"/>
    <w:rsid w:val="00E73C7F"/>
    <w:rsid w:val="00E8162D"/>
    <w:rsid w:val="00E82454"/>
    <w:rsid w:val="00E8327B"/>
    <w:rsid w:val="00E8327D"/>
    <w:rsid w:val="00E85013"/>
    <w:rsid w:val="00EA1D48"/>
    <w:rsid w:val="00EA23B4"/>
    <w:rsid w:val="00EA5C00"/>
    <w:rsid w:val="00EA72B1"/>
    <w:rsid w:val="00EB08B7"/>
    <w:rsid w:val="00EB2979"/>
    <w:rsid w:val="00EB3560"/>
    <w:rsid w:val="00EB3DB5"/>
    <w:rsid w:val="00EB624C"/>
    <w:rsid w:val="00EB6C9B"/>
    <w:rsid w:val="00EC14FB"/>
    <w:rsid w:val="00EC713A"/>
    <w:rsid w:val="00ED0033"/>
    <w:rsid w:val="00ED186C"/>
    <w:rsid w:val="00ED2125"/>
    <w:rsid w:val="00ED40FB"/>
    <w:rsid w:val="00ED4FAB"/>
    <w:rsid w:val="00EE09DC"/>
    <w:rsid w:val="00EE19DB"/>
    <w:rsid w:val="00EE4A21"/>
    <w:rsid w:val="00EE6A2C"/>
    <w:rsid w:val="00EE6E7E"/>
    <w:rsid w:val="00EE6EAD"/>
    <w:rsid w:val="00EE7AE2"/>
    <w:rsid w:val="00EF162E"/>
    <w:rsid w:val="00EF1F84"/>
    <w:rsid w:val="00EF2E2A"/>
    <w:rsid w:val="00EF6A6E"/>
    <w:rsid w:val="00EF7D33"/>
    <w:rsid w:val="00F05110"/>
    <w:rsid w:val="00F06992"/>
    <w:rsid w:val="00F10654"/>
    <w:rsid w:val="00F11C8A"/>
    <w:rsid w:val="00F161E9"/>
    <w:rsid w:val="00F226D8"/>
    <w:rsid w:val="00F22E61"/>
    <w:rsid w:val="00F23DEF"/>
    <w:rsid w:val="00F26B8E"/>
    <w:rsid w:val="00F312FF"/>
    <w:rsid w:val="00F3330E"/>
    <w:rsid w:val="00F3678F"/>
    <w:rsid w:val="00F40F02"/>
    <w:rsid w:val="00F40F99"/>
    <w:rsid w:val="00F4224D"/>
    <w:rsid w:val="00F43554"/>
    <w:rsid w:val="00F441E0"/>
    <w:rsid w:val="00F443B4"/>
    <w:rsid w:val="00F460D5"/>
    <w:rsid w:val="00F46622"/>
    <w:rsid w:val="00F47315"/>
    <w:rsid w:val="00F53279"/>
    <w:rsid w:val="00F57943"/>
    <w:rsid w:val="00F57EC3"/>
    <w:rsid w:val="00F60CDD"/>
    <w:rsid w:val="00F62E3E"/>
    <w:rsid w:val="00F6434C"/>
    <w:rsid w:val="00F64BD9"/>
    <w:rsid w:val="00F6611A"/>
    <w:rsid w:val="00F765C6"/>
    <w:rsid w:val="00F81F7C"/>
    <w:rsid w:val="00F8248B"/>
    <w:rsid w:val="00F829A8"/>
    <w:rsid w:val="00F84A36"/>
    <w:rsid w:val="00F84FF7"/>
    <w:rsid w:val="00F8511B"/>
    <w:rsid w:val="00F90429"/>
    <w:rsid w:val="00F92621"/>
    <w:rsid w:val="00F959D1"/>
    <w:rsid w:val="00F97BA6"/>
    <w:rsid w:val="00FA0C98"/>
    <w:rsid w:val="00FA2CC2"/>
    <w:rsid w:val="00FA37D9"/>
    <w:rsid w:val="00FA516E"/>
    <w:rsid w:val="00FB0562"/>
    <w:rsid w:val="00FB0C4B"/>
    <w:rsid w:val="00FB6BB3"/>
    <w:rsid w:val="00FC096B"/>
    <w:rsid w:val="00FC172F"/>
    <w:rsid w:val="00FC3FC6"/>
    <w:rsid w:val="00FC4967"/>
    <w:rsid w:val="00FD03F5"/>
    <w:rsid w:val="00FD0CCE"/>
    <w:rsid w:val="00FD6145"/>
    <w:rsid w:val="00FE21CB"/>
    <w:rsid w:val="00FE381D"/>
    <w:rsid w:val="00FF126C"/>
    <w:rsid w:val="00FF32A5"/>
    <w:rsid w:val="00FF3FED"/>
    <w:rsid w:val="00FF4E0C"/>
    <w:rsid w:val="00FF71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F84"/>
    <w:rPr>
      <w:sz w:val="24"/>
      <w:szCs w:val="24"/>
    </w:rPr>
  </w:style>
  <w:style w:type="paragraph" w:styleId="Nadpis1">
    <w:name w:val="heading 1"/>
    <w:basedOn w:val="Normlny"/>
    <w:next w:val="Normlny"/>
    <w:link w:val="Nadpis1Char"/>
    <w:qFormat/>
    <w:locked/>
    <w:rsid w:val="00513D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EF1F84"/>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sid w:val="00632F33"/>
    <w:rPr>
      <w:rFonts w:ascii="Cambria" w:hAnsi="Cambria" w:cs="Times New Roman"/>
      <w:b/>
      <w:bCs/>
      <w:i/>
      <w:iCs/>
      <w:sz w:val="28"/>
      <w:szCs w:val="28"/>
    </w:rPr>
  </w:style>
  <w:style w:type="paragraph" w:styleId="Hlavika">
    <w:name w:val="header"/>
    <w:basedOn w:val="Normlny"/>
    <w:link w:val="HlavikaChar"/>
    <w:uiPriority w:val="99"/>
    <w:rsid w:val="00EF1F84"/>
    <w:pPr>
      <w:tabs>
        <w:tab w:val="center" w:pos="4252"/>
        <w:tab w:val="right" w:pos="8504"/>
      </w:tabs>
    </w:pPr>
  </w:style>
  <w:style w:type="character" w:customStyle="1" w:styleId="HlavikaChar">
    <w:name w:val="Hlavička Char"/>
    <w:basedOn w:val="Predvolenpsmoodseku"/>
    <w:link w:val="Hlavika"/>
    <w:uiPriority w:val="99"/>
    <w:locked/>
    <w:rsid w:val="00632F33"/>
    <w:rPr>
      <w:rFonts w:cs="Times New Roman"/>
      <w:sz w:val="24"/>
      <w:szCs w:val="24"/>
    </w:rPr>
  </w:style>
  <w:style w:type="paragraph" w:styleId="Zarkazkladnhotextu">
    <w:name w:val="Body Text Indent"/>
    <w:basedOn w:val="Normlny"/>
    <w:link w:val="ZarkazkladnhotextuChar"/>
    <w:uiPriority w:val="99"/>
    <w:rsid w:val="00EF1F84"/>
    <w:pPr>
      <w:spacing w:after="120"/>
      <w:ind w:left="283"/>
    </w:pPr>
  </w:style>
  <w:style w:type="character" w:customStyle="1" w:styleId="ZarkazkladnhotextuChar">
    <w:name w:val="Zarážka základného textu Char"/>
    <w:basedOn w:val="Predvolenpsmoodseku"/>
    <w:link w:val="Zarkazkladnhotextu"/>
    <w:uiPriority w:val="99"/>
    <w:semiHidden/>
    <w:locked/>
    <w:rsid w:val="00632F33"/>
    <w:rPr>
      <w:rFonts w:cs="Times New Roman"/>
      <w:sz w:val="24"/>
      <w:szCs w:val="24"/>
    </w:rPr>
  </w:style>
  <w:style w:type="paragraph" w:customStyle="1" w:styleId="Absatz">
    <w:name w:val="Absatz"/>
    <w:basedOn w:val="Normlny"/>
    <w:uiPriority w:val="99"/>
    <w:rsid w:val="00EF1F84"/>
    <w:pPr>
      <w:ind w:left="709"/>
    </w:pPr>
  </w:style>
  <w:style w:type="paragraph" w:customStyle="1" w:styleId="Titulo1">
    <w:name w:val="Titulo 1"/>
    <w:basedOn w:val="Hlavika"/>
    <w:uiPriority w:val="99"/>
    <w:rsid w:val="00EF1F84"/>
    <w:pPr>
      <w:shd w:val="clear" w:color="auto" w:fill="E0E0E0"/>
      <w:tabs>
        <w:tab w:val="clear" w:pos="4252"/>
        <w:tab w:val="clear" w:pos="8504"/>
      </w:tabs>
      <w:ind w:left="540" w:right="361"/>
    </w:pPr>
    <w:rPr>
      <w:b/>
      <w:bCs/>
    </w:rPr>
  </w:style>
  <w:style w:type="paragraph" w:customStyle="1" w:styleId="Titulo3">
    <w:name w:val="Titulo 3"/>
    <w:basedOn w:val="Nadpis2"/>
    <w:uiPriority w:val="99"/>
    <w:rsid w:val="00EF1F84"/>
    <w:pPr>
      <w:ind w:firstLine="540"/>
    </w:pPr>
    <w:rPr>
      <w:rFonts w:ascii="Times New Roman" w:hAnsi="Times New Roman" w:cs="Times New Roman"/>
      <w:b w:val="0"/>
      <w:sz w:val="24"/>
      <w:szCs w:val="24"/>
    </w:rPr>
  </w:style>
  <w:style w:type="paragraph" w:styleId="Pta">
    <w:name w:val="footer"/>
    <w:basedOn w:val="Normlny"/>
    <w:link w:val="PtaChar"/>
    <w:uiPriority w:val="99"/>
    <w:rsid w:val="00EF1F84"/>
    <w:pPr>
      <w:tabs>
        <w:tab w:val="center" w:pos="4252"/>
        <w:tab w:val="right" w:pos="8504"/>
      </w:tabs>
    </w:pPr>
  </w:style>
  <w:style w:type="character" w:customStyle="1" w:styleId="PtaChar">
    <w:name w:val="Päta Char"/>
    <w:basedOn w:val="Predvolenpsmoodseku"/>
    <w:link w:val="Pta"/>
    <w:uiPriority w:val="99"/>
    <w:locked/>
    <w:rsid w:val="00632F33"/>
    <w:rPr>
      <w:rFonts w:cs="Times New Roman"/>
      <w:sz w:val="24"/>
      <w:szCs w:val="24"/>
    </w:rPr>
  </w:style>
  <w:style w:type="character" w:styleId="slostrany">
    <w:name w:val="page number"/>
    <w:basedOn w:val="Predvolenpsmoodseku"/>
    <w:rsid w:val="00EF1F84"/>
    <w:rPr>
      <w:rFonts w:cs="Times New Roman"/>
    </w:rPr>
  </w:style>
  <w:style w:type="paragraph" w:styleId="Zkladntext">
    <w:name w:val="Body Text"/>
    <w:basedOn w:val="Normlny"/>
    <w:link w:val="ZkladntextChar"/>
    <w:uiPriority w:val="99"/>
    <w:rsid w:val="00B663E2"/>
    <w:pPr>
      <w:spacing w:after="120"/>
    </w:pPr>
  </w:style>
  <w:style w:type="character" w:customStyle="1" w:styleId="ZkladntextChar">
    <w:name w:val="Základný text Char"/>
    <w:basedOn w:val="Predvolenpsmoodseku"/>
    <w:link w:val="Zkladntext"/>
    <w:uiPriority w:val="99"/>
    <w:semiHidden/>
    <w:locked/>
    <w:rsid w:val="00632F33"/>
    <w:rPr>
      <w:rFonts w:cs="Times New Roman"/>
      <w:sz w:val="24"/>
      <w:szCs w:val="24"/>
    </w:rPr>
  </w:style>
  <w:style w:type="paragraph" w:styleId="Textbubliny">
    <w:name w:val="Balloon Text"/>
    <w:basedOn w:val="Normlny"/>
    <w:link w:val="TextbublinyChar"/>
    <w:uiPriority w:val="99"/>
    <w:semiHidden/>
    <w:rsid w:val="00AA0DD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32F33"/>
    <w:rPr>
      <w:rFonts w:cs="Times New Roman"/>
      <w:sz w:val="2"/>
    </w:rPr>
  </w:style>
  <w:style w:type="paragraph" w:customStyle="1" w:styleId="knZulassung02">
    <w:name w:val="knZulassung02"/>
    <w:uiPriority w:val="99"/>
    <w:rsid w:val="003943FD"/>
    <w:pPr>
      <w:autoSpaceDE w:val="0"/>
      <w:autoSpaceDN w:val="0"/>
      <w:ind w:left="1843" w:right="284"/>
    </w:pPr>
    <w:rPr>
      <w:rFonts w:ascii="Courier" w:hAnsi="Courier" w:cs="Courier"/>
      <w:sz w:val="24"/>
      <w:szCs w:val="24"/>
    </w:rPr>
  </w:style>
  <w:style w:type="paragraph" w:customStyle="1" w:styleId="paragraph">
    <w:name w:val="paragraph"/>
    <w:basedOn w:val="Normlny"/>
    <w:uiPriority w:val="99"/>
    <w:rsid w:val="003943FD"/>
  </w:style>
  <w:style w:type="paragraph" w:customStyle="1" w:styleId="knZulassung01">
    <w:name w:val="knZulassung01"/>
    <w:basedOn w:val="Normlny"/>
    <w:uiPriority w:val="99"/>
    <w:rsid w:val="002A6ECE"/>
    <w:pPr>
      <w:tabs>
        <w:tab w:val="left" w:pos="567"/>
      </w:tabs>
      <w:autoSpaceDE w:val="0"/>
      <w:autoSpaceDN w:val="0"/>
      <w:ind w:left="1843" w:right="284" w:hanging="1843"/>
    </w:pPr>
    <w:rPr>
      <w:rFonts w:ascii="Courier" w:hAnsi="Courier" w:cs="Courier"/>
    </w:rPr>
  </w:style>
  <w:style w:type="paragraph" w:styleId="Normlnywebov">
    <w:name w:val="Normal (Web)"/>
    <w:basedOn w:val="Normlny"/>
    <w:uiPriority w:val="99"/>
    <w:rsid w:val="00955B4F"/>
    <w:pPr>
      <w:spacing w:before="100" w:beforeAutospacing="1" w:after="100" w:afterAutospacing="1"/>
    </w:pPr>
    <w:rPr>
      <w:color w:val="000000"/>
    </w:rPr>
  </w:style>
  <w:style w:type="character" w:styleId="Odkaznakomentr">
    <w:name w:val="annotation reference"/>
    <w:basedOn w:val="Predvolenpsmoodseku"/>
    <w:uiPriority w:val="99"/>
    <w:rsid w:val="0092731F"/>
    <w:rPr>
      <w:rFonts w:cs="Times New Roman"/>
      <w:sz w:val="16"/>
      <w:szCs w:val="16"/>
    </w:rPr>
  </w:style>
  <w:style w:type="paragraph" w:styleId="Textkomentra">
    <w:name w:val="annotation text"/>
    <w:basedOn w:val="Normlny"/>
    <w:link w:val="TextkomentraChar"/>
    <w:uiPriority w:val="99"/>
    <w:rsid w:val="0092731F"/>
    <w:rPr>
      <w:sz w:val="20"/>
      <w:szCs w:val="20"/>
    </w:rPr>
  </w:style>
  <w:style w:type="character" w:customStyle="1" w:styleId="TextkomentraChar">
    <w:name w:val="Text komentára Char"/>
    <w:basedOn w:val="Predvolenpsmoodseku"/>
    <w:link w:val="Textkomentra"/>
    <w:uiPriority w:val="99"/>
    <w:locked/>
    <w:rsid w:val="0092731F"/>
    <w:rPr>
      <w:rFonts w:eastAsia="Times New Roman" w:cs="Times New Roman"/>
    </w:rPr>
  </w:style>
  <w:style w:type="paragraph" w:styleId="Predmetkomentra">
    <w:name w:val="annotation subject"/>
    <w:basedOn w:val="Textkomentra"/>
    <w:next w:val="Textkomentra"/>
    <w:link w:val="PredmetkomentraChar"/>
    <w:uiPriority w:val="99"/>
    <w:rsid w:val="0092731F"/>
    <w:rPr>
      <w:b/>
      <w:bCs/>
    </w:rPr>
  </w:style>
  <w:style w:type="character" w:customStyle="1" w:styleId="PredmetkomentraChar">
    <w:name w:val="Predmet komentára Char"/>
    <w:basedOn w:val="TextkomentraChar"/>
    <w:link w:val="Predmetkomentra"/>
    <w:uiPriority w:val="99"/>
    <w:locked/>
    <w:rsid w:val="0092731F"/>
    <w:rPr>
      <w:rFonts w:eastAsia="Times New Roman" w:cs="Times New Roman"/>
      <w:b/>
      <w:bCs/>
    </w:rPr>
  </w:style>
  <w:style w:type="paragraph" w:customStyle="1" w:styleId="In-textfiguretitle">
    <w:name w:val="In-text figure title"/>
    <w:basedOn w:val="Normlny"/>
    <w:next w:val="Normlny"/>
    <w:uiPriority w:val="99"/>
    <w:rsid w:val="0072614C"/>
    <w:pPr>
      <w:tabs>
        <w:tab w:val="left" w:pos="2304"/>
      </w:tabs>
      <w:spacing w:after="240"/>
      <w:ind w:left="1151" w:hanging="1151"/>
      <w:jc w:val="both"/>
    </w:pPr>
    <w:rPr>
      <w:b/>
      <w:sz w:val="16"/>
      <w:szCs w:val="20"/>
    </w:rPr>
  </w:style>
  <w:style w:type="paragraph" w:customStyle="1" w:styleId="Estilo2">
    <w:name w:val="Estilo2"/>
    <w:basedOn w:val="Normlny"/>
    <w:uiPriority w:val="99"/>
    <w:rsid w:val="009D3463"/>
    <w:pPr>
      <w:numPr>
        <w:ilvl w:val="2"/>
        <w:numId w:val="19"/>
      </w:numPr>
      <w:spacing w:line="360" w:lineRule="auto"/>
      <w:jc w:val="both"/>
    </w:pPr>
    <w:rPr>
      <w:rFonts w:ascii="Tahoma" w:hAnsi="Tahoma" w:cs="Tahoma"/>
      <w:sz w:val="22"/>
    </w:rPr>
  </w:style>
  <w:style w:type="character" w:customStyle="1" w:styleId="hps">
    <w:name w:val="hps"/>
    <w:basedOn w:val="Predvolenpsmoodseku"/>
    <w:uiPriority w:val="99"/>
    <w:rsid w:val="009B6D29"/>
    <w:rPr>
      <w:rFonts w:cs="Times New Roman"/>
    </w:rPr>
  </w:style>
  <w:style w:type="character" w:customStyle="1" w:styleId="shorttext">
    <w:name w:val="short_text"/>
    <w:basedOn w:val="Predvolenpsmoodseku"/>
    <w:uiPriority w:val="99"/>
    <w:rsid w:val="00A942B6"/>
    <w:rPr>
      <w:rFonts w:cs="Times New Roman"/>
    </w:rPr>
  </w:style>
  <w:style w:type="character" w:customStyle="1" w:styleId="hpsatn">
    <w:name w:val="hps atn"/>
    <w:basedOn w:val="Predvolenpsmoodseku"/>
    <w:uiPriority w:val="99"/>
    <w:rsid w:val="00B32D16"/>
    <w:rPr>
      <w:rFonts w:cs="Times New Roman"/>
    </w:rPr>
  </w:style>
  <w:style w:type="paragraph" w:customStyle="1" w:styleId="Default">
    <w:name w:val="Default"/>
    <w:rsid w:val="0006018E"/>
    <w:pPr>
      <w:autoSpaceDE w:val="0"/>
      <w:autoSpaceDN w:val="0"/>
      <w:adjustRightInd w:val="0"/>
    </w:pPr>
    <w:rPr>
      <w:rFonts w:ascii="Book Antiqua" w:hAnsi="Book Antiqua" w:cs="Book Antiqua"/>
      <w:color w:val="000000"/>
      <w:sz w:val="24"/>
      <w:szCs w:val="24"/>
    </w:rPr>
  </w:style>
  <w:style w:type="table" w:styleId="Mriekatabuky">
    <w:name w:val="Table Grid"/>
    <w:basedOn w:val="Normlnatabuka"/>
    <w:locked/>
    <w:rsid w:val="00C96A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Predvolenpsmoodseku"/>
    <w:link w:val="Nadpis1"/>
    <w:rsid w:val="00513D90"/>
    <w:rPr>
      <w:rFonts w:asciiTheme="majorHAnsi" w:eastAsiaTheme="majorEastAsia" w:hAnsiTheme="majorHAnsi" w:cstheme="majorBidi"/>
      <w:b/>
      <w:bCs/>
      <w:color w:val="365F91" w:themeColor="accent1" w:themeShade="BF"/>
      <w:sz w:val="28"/>
      <w:szCs w:val="28"/>
    </w:rPr>
  </w:style>
  <w:style w:type="paragraph" w:styleId="Odsekzoznamu">
    <w:name w:val="List Paragraph"/>
    <w:basedOn w:val="Normlny"/>
    <w:uiPriority w:val="34"/>
    <w:qFormat/>
    <w:rsid w:val="00733402"/>
    <w:pPr>
      <w:ind w:left="720"/>
      <w:contextualSpacing/>
    </w:pPr>
  </w:style>
  <w:style w:type="character" w:styleId="Hypertextovprepojenie">
    <w:name w:val="Hyperlink"/>
    <w:basedOn w:val="Predvolenpsmoodseku"/>
    <w:uiPriority w:val="99"/>
    <w:unhideWhenUsed/>
    <w:rsid w:val="003D25A1"/>
    <w:rPr>
      <w:color w:val="0000FF" w:themeColor="hyperlink"/>
      <w:u w:val="single"/>
    </w:rPr>
  </w:style>
  <w:style w:type="paragraph" w:styleId="Revzia">
    <w:name w:val="Revision"/>
    <w:hidden/>
    <w:uiPriority w:val="99"/>
    <w:semiHidden/>
    <w:rsid w:val="00931C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F84"/>
    <w:rPr>
      <w:sz w:val="24"/>
      <w:szCs w:val="24"/>
    </w:rPr>
  </w:style>
  <w:style w:type="paragraph" w:styleId="Nadpis1">
    <w:name w:val="heading 1"/>
    <w:basedOn w:val="Normlny"/>
    <w:next w:val="Normlny"/>
    <w:link w:val="Nadpis1Char"/>
    <w:qFormat/>
    <w:locked/>
    <w:rsid w:val="00513D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EF1F84"/>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sid w:val="00632F33"/>
    <w:rPr>
      <w:rFonts w:ascii="Cambria" w:hAnsi="Cambria" w:cs="Times New Roman"/>
      <w:b/>
      <w:bCs/>
      <w:i/>
      <w:iCs/>
      <w:sz w:val="28"/>
      <w:szCs w:val="28"/>
    </w:rPr>
  </w:style>
  <w:style w:type="paragraph" w:styleId="Hlavika">
    <w:name w:val="header"/>
    <w:basedOn w:val="Normlny"/>
    <w:link w:val="HlavikaChar"/>
    <w:uiPriority w:val="99"/>
    <w:rsid w:val="00EF1F84"/>
    <w:pPr>
      <w:tabs>
        <w:tab w:val="center" w:pos="4252"/>
        <w:tab w:val="right" w:pos="8504"/>
      </w:tabs>
    </w:pPr>
  </w:style>
  <w:style w:type="character" w:customStyle="1" w:styleId="HlavikaChar">
    <w:name w:val="Hlavička Char"/>
    <w:basedOn w:val="Predvolenpsmoodseku"/>
    <w:link w:val="Hlavika"/>
    <w:uiPriority w:val="99"/>
    <w:locked/>
    <w:rsid w:val="00632F33"/>
    <w:rPr>
      <w:rFonts w:cs="Times New Roman"/>
      <w:sz w:val="24"/>
      <w:szCs w:val="24"/>
    </w:rPr>
  </w:style>
  <w:style w:type="paragraph" w:styleId="Zarkazkladnhotextu">
    <w:name w:val="Body Text Indent"/>
    <w:basedOn w:val="Normlny"/>
    <w:link w:val="ZarkazkladnhotextuChar"/>
    <w:uiPriority w:val="99"/>
    <w:rsid w:val="00EF1F84"/>
    <w:pPr>
      <w:spacing w:after="120"/>
      <w:ind w:left="283"/>
    </w:pPr>
  </w:style>
  <w:style w:type="character" w:customStyle="1" w:styleId="ZarkazkladnhotextuChar">
    <w:name w:val="Zarážka základného textu Char"/>
    <w:basedOn w:val="Predvolenpsmoodseku"/>
    <w:link w:val="Zarkazkladnhotextu"/>
    <w:uiPriority w:val="99"/>
    <w:semiHidden/>
    <w:locked/>
    <w:rsid w:val="00632F33"/>
    <w:rPr>
      <w:rFonts w:cs="Times New Roman"/>
      <w:sz w:val="24"/>
      <w:szCs w:val="24"/>
    </w:rPr>
  </w:style>
  <w:style w:type="paragraph" w:customStyle="1" w:styleId="Absatz">
    <w:name w:val="Absatz"/>
    <w:basedOn w:val="Normlny"/>
    <w:uiPriority w:val="99"/>
    <w:rsid w:val="00EF1F84"/>
    <w:pPr>
      <w:ind w:left="709"/>
    </w:pPr>
  </w:style>
  <w:style w:type="paragraph" w:customStyle="1" w:styleId="Titulo1">
    <w:name w:val="Titulo 1"/>
    <w:basedOn w:val="Hlavika"/>
    <w:uiPriority w:val="99"/>
    <w:rsid w:val="00EF1F84"/>
    <w:pPr>
      <w:shd w:val="clear" w:color="auto" w:fill="E0E0E0"/>
      <w:tabs>
        <w:tab w:val="clear" w:pos="4252"/>
        <w:tab w:val="clear" w:pos="8504"/>
      </w:tabs>
      <w:ind w:left="540" w:right="361"/>
    </w:pPr>
    <w:rPr>
      <w:b/>
      <w:bCs/>
    </w:rPr>
  </w:style>
  <w:style w:type="paragraph" w:customStyle="1" w:styleId="Titulo3">
    <w:name w:val="Titulo 3"/>
    <w:basedOn w:val="Nadpis2"/>
    <w:uiPriority w:val="99"/>
    <w:rsid w:val="00EF1F84"/>
    <w:pPr>
      <w:ind w:firstLine="540"/>
    </w:pPr>
    <w:rPr>
      <w:rFonts w:ascii="Times New Roman" w:hAnsi="Times New Roman" w:cs="Times New Roman"/>
      <w:b w:val="0"/>
      <w:sz w:val="24"/>
      <w:szCs w:val="24"/>
    </w:rPr>
  </w:style>
  <w:style w:type="paragraph" w:styleId="Pta">
    <w:name w:val="footer"/>
    <w:basedOn w:val="Normlny"/>
    <w:link w:val="PtaChar"/>
    <w:uiPriority w:val="99"/>
    <w:rsid w:val="00EF1F84"/>
    <w:pPr>
      <w:tabs>
        <w:tab w:val="center" w:pos="4252"/>
        <w:tab w:val="right" w:pos="8504"/>
      </w:tabs>
    </w:pPr>
  </w:style>
  <w:style w:type="character" w:customStyle="1" w:styleId="PtaChar">
    <w:name w:val="Päta Char"/>
    <w:basedOn w:val="Predvolenpsmoodseku"/>
    <w:link w:val="Pta"/>
    <w:uiPriority w:val="99"/>
    <w:locked/>
    <w:rsid w:val="00632F33"/>
    <w:rPr>
      <w:rFonts w:cs="Times New Roman"/>
      <w:sz w:val="24"/>
      <w:szCs w:val="24"/>
    </w:rPr>
  </w:style>
  <w:style w:type="character" w:styleId="slostrany">
    <w:name w:val="page number"/>
    <w:basedOn w:val="Predvolenpsmoodseku"/>
    <w:rsid w:val="00EF1F84"/>
    <w:rPr>
      <w:rFonts w:cs="Times New Roman"/>
    </w:rPr>
  </w:style>
  <w:style w:type="paragraph" w:styleId="Zkladntext">
    <w:name w:val="Body Text"/>
    <w:basedOn w:val="Normlny"/>
    <w:link w:val="ZkladntextChar"/>
    <w:uiPriority w:val="99"/>
    <w:rsid w:val="00B663E2"/>
    <w:pPr>
      <w:spacing w:after="120"/>
    </w:pPr>
  </w:style>
  <w:style w:type="character" w:customStyle="1" w:styleId="ZkladntextChar">
    <w:name w:val="Základný text Char"/>
    <w:basedOn w:val="Predvolenpsmoodseku"/>
    <w:link w:val="Zkladntext"/>
    <w:uiPriority w:val="99"/>
    <w:semiHidden/>
    <w:locked/>
    <w:rsid w:val="00632F33"/>
    <w:rPr>
      <w:rFonts w:cs="Times New Roman"/>
      <w:sz w:val="24"/>
      <w:szCs w:val="24"/>
    </w:rPr>
  </w:style>
  <w:style w:type="paragraph" w:styleId="Textbubliny">
    <w:name w:val="Balloon Text"/>
    <w:basedOn w:val="Normlny"/>
    <w:link w:val="TextbublinyChar"/>
    <w:uiPriority w:val="99"/>
    <w:semiHidden/>
    <w:rsid w:val="00AA0DD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32F33"/>
    <w:rPr>
      <w:rFonts w:cs="Times New Roman"/>
      <w:sz w:val="2"/>
    </w:rPr>
  </w:style>
  <w:style w:type="paragraph" w:customStyle="1" w:styleId="knZulassung02">
    <w:name w:val="knZulassung02"/>
    <w:uiPriority w:val="99"/>
    <w:rsid w:val="003943FD"/>
    <w:pPr>
      <w:autoSpaceDE w:val="0"/>
      <w:autoSpaceDN w:val="0"/>
      <w:ind w:left="1843" w:right="284"/>
    </w:pPr>
    <w:rPr>
      <w:rFonts w:ascii="Courier" w:hAnsi="Courier" w:cs="Courier"/>
      <w:sz w:val="24"/>
      <w:szCs w:val="24"/>
    </w:rPr>
  </w:style>
  <w:style w:type="paragraph" w:customStyle="1" w:styleId="paragraph">
    <w:name w:val="paragraph"/>
    <w:basedOn w:val="Normlny"/>
    <w:uiPriority w:val="99"/>
    <w:rsid w:val="003943FD"/>
  </w:style>
  <w:style w:type="paragraph" w:customStyle="1" w:styleId="knZulassung01">
    <w:name w:val="knZulassung01"/>
    <w:basedOn w:val="Normlny"/>
    <w:uiPriority w:val="99"/>
    <w:rsid w:val="002A6ECE"/>
    <w:pPr>
      <w:tabs>
        <w:tab w:val="left" w:pos="567"/>
      </w:tabs>
      <w:autoSpaceDE w:val="0"/>
      <w:autoSpaceDN w:val="0"/>
      <w:ind w:left="1843" w:right="284" w:hanging="1843"/>
    </w:pPr>
    <w:rPr>
      <w:rFonts w:ascii="Courier" w:hAnsi="Courier" w:cs="Courier"/>
    </w:rPr>
  </w:style>
  <w:style w:type="paragraph" w:styleId="Normlnywebov">
    <w:name w:val="Normal (Web)"/>
    <w:basedOn w:val="Normlny"/>
    <w:uiPriority w:val="99"/>
    <w:rsid w:val="00955B4F"/>
    <w:pPr>
      <w:spacing w:before="100" w:beforeAutospacing="1" w:after="100" w:afterAutospacing="1"/>
    </w:pPr>
    <w:rPr>
      <w:color w:val="000000"/>
    </w:rPr>
  </w:style>
  <w:style w:type="character" w:styleId="Odkaznakomentr">
    <w:name w:val="annotation reference"/>
    <w:basedOn w:val="Predvolenpsmoodseku"/>
    <w:uiPriority w:val="99"/>
    <w:rsid w:val="0092731F"/>
    <w:rPr>
      <w:rFonts w:cs="Times New Roman"/>
      <w:sz w:val="16"/>
      <w:szCs w:val="16"/>
    </w:rPr>
  </w:style>
  <w:style w:type="paragraph" w:styleId="Textkomentra">
    <w:name w:val="annotation text"/>
    <w:basedOn w:val="Normlny"/>
    <w:link w:val="TextkomentraChar"/>
    <w:uiPriority w:val="99"/>
    <w:rsid w:val="0092731F"/>
    <w:rPr>
      <w:sz w:val="20"/>
      <w:szCs w:val="20"/>
    </w:rPr>
  </w:style>
  <w:style w:type="character" w:customStyle="1" w:styleId="TextkomentraChar">
    <w:name w:val="Text komentára Char"/>
    <w:basedOn w:val="Predvolenpsmoodseku"/>
    <w:link w:val="Textkomentra"/>
    <w:uiPriority w:val="99"/>
    <w:locked/>
    <w:rsid w:val="0092731F"/>
    <w:rPr>
      <w:rFonts w:eastAsia="Times New Roman" w:cs="Times New Roman"/>
    </w:rPr>
  </w:style>
  <w:style w:type="paragraph" w:styleId="Predmetkomentra">
    <w:name w:val="annotation subject"/>
    <w:basedOn w:val="Textkomentra"/>
    <w:next w:val="Textkomentra"/>
    <w:link w:val="PredmetkomentraChar"/>
    <w:uiPriority w:val="99"/>
    <w:rsid w:val="0092731F"/>
    <w:rPr>
      <w:b/>
      <w:bCs/>
    </w:rPr>
  </w:style>
  <w:style w:type="character" w:customStyle="1" w:styleId="PredmetkomentraChar">
    <w:name w:val="Predmet komentára Char"/>
    <w:basedOn w:val="TextkomentraChar"/>
    <w:link w:val="Predmetkomentra"/>
    <w:uiPriority w:val="99"/>
    <w:locked/>
    <w:rsid w:val="0092731F"/>
    <w:rPr>
      <w:rFonts w:eastAsia="Times New Roman" w:cs="Times New Roman"/>
      <w:b/>
      <w:bCs/>
    </w:rPr>
  </w:style>
  <w:style w:type="paragraph" w:customStyle="1" w:styleId="In-textfiguretitle">
    <w:name w:val="In-text figure title"/>
    <w:basedOn w:val="Normlny"/>
    <w:next w:val="Normlny"/>
    <w:uiPriority w:val="99"/>
    <w:rsid w:val="0072614C"/>
    <w:pPr>
      <w:tabs>
        <w:tab w:val="left" w:pos="2304"/>
      </w:tabs>
      <w:spacing w:after="240"/>
      <w:ind w:left="1151" w:hanging="1151"/>
      <w:jc w:val="both"/>
    </w:pPr>
    <w:rPr>
      <w:b/>
      <w:sz w:val="16"/>
      <w:szCs w:val="20"/>
    </w:rPr>
  </w:style>
  <w:style w:type="paragraph" w:customStyle="1" w:styleId="Estilo2">
    <w:name w:val="Estilo2"/>
    <w:basedOn w:val="Normlny"/>
    <w:uiPriority w:val="99"/>
    <w:rsid w:val="009D3463"/>
    <w:pPr>
      <w:numPr>
        <w:ilvl w:val="2"/>
        <w:numId w:val="19"/>
      </w:numPr>
      <w:spacing w:line="360" w:lineRule="auto"/>
      <w:jc w:val="both"/>
    </w:pPr>
    <w:rPr>
      <w:rFonts w:ascii="Tahoma" w:hAnsi="Tahoma" w:cs="Tahoma"/>
      <w:sz w:val="22"/>
    </w:rPr>
  </w:style>
  <w:style w:type="character" w:customStyle="1" w:styleId="hps">
    <w:name w:val="hps"/>
    <w:basedOn w:val="Predvolenpsmoodseku"/>
    <w:uiPriority w:val="99"/>
    <w:rsid w:val="009B6D29"/>
    <w:rPr>
      <w:rFonts w:cs="Times New Roman"/>
    </w:rPr>
  </w:style>
  <w:style w:type="character" w:customStyle="1" w:styleId="shorttext">
    <w:name w:val="short_text"/>
    <w:basedOn w:val="Predvolenpsmoodseku"/>
    <w:uiPriority w:val="99"/>
    <w:rsid w:val="00A942B6"/>
    <w:rPr>
      <w:rFonts w:cs="Times New Roman"/>
    </w:rPr>
  </w:style>
  <w:style w:type="character" w:customStyle="1" w:styleId="hpsatn">
    <w:name w:val="hps atn"/>
    <w:basedOn w:val="Predvolenpsmoodseku"/>
    <w:uiPriority w:val="99"/>
    <w:rsid w:val="00B32D16"/>
    <w:rPr>
      <w:rFonts w:cs="Times New Roman"/>
    </w:rPr>
  </w:style>
  <w:style w:type="paragraph" w:customStyle="1" w:styleId="Default">
    <w:name w:val="Default"/>
    <w:rsid w:val="0006018E"/>
    <w:pPr>
      <w:autoSpaceDE w:val="0"/>
      <w:autoSpaceDN w:val="0"/>
      <w:adjustRightInd w:val="0"/>
    </w:pPr>
    <w:rPr>
      <w:rFonts w:ascii="Book Antiqua" w:hAnsi="Book Antiqua" w:cs="Book Antiqua"/>
      <w:color w:val="000000"/>
      <w:sz w:val="24"/>
      <w:szCs w:val="24"/>
    </w:rPr>
  </w:style>
  <w:style w:type="table" w:styleId="Mriekatabuky">
    <w:name w:val="Table Grid"/>
    <w:basedOn w:val="Normlnatabuka"/>
    <w:locked/>
    <w:rsid w:val="00C96A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Predvolenpsmoodseku"/>
    <w:link w:val="Nadpis1"/>
    <w:rsid w:val="00513D90"/>
    <w:rPr>
      <w:rFonts w:asciiTheme="majorHAnsi" w:eastAsiaTheme="majorEastAsia" w:hAnsiTheme="majorHAnsi" w:cstheme="majorBidi"/>
      <w:b/>
      <w:bCs/>
      <w:color w:val="365F91" w:themeColor="accent1" w:themeShade="BF"/>
      <w:sz w:val="28"/>
      <w:szCs w:val="28"/>
    </w:rPr>
  </w:style>
  <w:style w:type="paragraph" w:styleId="Odsekzoznamu">
    <w:name w:val="List Paragraph"/>
    <w:basedOn w:val="Normlny"/>
    <w:uiPriority w:val="34"/>
    <w:qFormat/>
    <w:rsid w:val="00733402"/>
    <w:pPr>
      <w:ind w:left="720"/>
      <w:contextualSpacing/>
    </w:pPr>
  </w:style>
  <w:style w:type="character" w:styleId="Hypertextovprepojenie">
    <w:name w:val="Hyperlink"/>
    <w:basedOn w:val="Predvolenpsmoodseku"/>
    <w:uiPriority w:val="99"/>
    <w:unhideWhenUsed/>
    <w:rsid w:val="003D25A1"/>
    <w:rPr>
      <w:color w:val="0000FF" w:themeColor="hyperlink"/>
      <w:u w:val="single"/>
    </w:rPr>
  </w:style>
  <w:style w:type="paragraph" w:styleId="Revzia">
    <w:name w:val="Revision"/>
    <w:hidden/>
    <w:uiPriority w:val="99"/>
    <w:semiHidden/>
    <w:rsid w:val="00931C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8516">
      <w:bodyDiv w:val="1"/>
      <w:marLeft w:val="0"/>
      <w:marRight w:val="0"/>
      <w:marTop w:val="0"/>
      <w:marBottom w:val="0"/>
      <w:divBdr>
        <w:top w:val="none" w:sz="0" w:space="0" w:color="auto"/>
        <w:left w:val="none" w:sz="0" w:space="0" w:color="auto"/>
        <w:bottom w:val="none" w:sz="0" w:space="0" w:color="auto"/>
        <w:right w:val="none" w:sz="0" w:space="0" w:color="auto"/>
      </w:divBdr>
    </w:div>
    <w:div w:id="746074128">
      <w:bodyDiv w:val="1"/>
      <w:marLeft w:val="0"/>
      <w:marRight w:val="0"/>
      <w:marTop w:val="0"/>
      <w:marBottom w:val="0"/>
      <w:divBdr>
        <w:top w:val="none" w:sz="0" w:space="0" w:color="auto"/>
        <w:left w:val="none" w:sz="0" w:space="0" w:color="auto"/>
        <w:bottom w:val="none" w:sz="0" w:space="0" w:color="auto"/>
        <w:right w:val="none" w:sz="0" w:space="0" w:color="auto"/>
      </w:divBdr>
    </w:div>
    <w:div w:id="980766203">
      <w:marLeft w:val="0"/>
      <w:marRight w:val="0"/>
      <w:marTop w:val="0"/>
      <w:marBottom w:val="0"/>
      <w:divBdr>
        <w:top w:val="none" w:sz="0" w:space="0" w:color="auto"/>
        <w:left w:val="none" w:sz="0" w:space="0" w:color="auto"/>
        <w:bottom w:val="none" w:sz="0" w:space="0" w:color="auto"/>
        <w:right w:val="none" w:sz="0" w:space="0" w:color="auto"/>
      </w:divBdr>
    </w:div>
    <w:div w:id="980766204">
      <w:marLeft w:val="0"/>
      <w:marRight w:val="0"/>
      <w:marTop w:val="0"/>
      <w:marBottom w:val="0"/>
      <w:divBdr>
        <w:top w:val="none" w:sz="0" w:space="0" w:color="auto"/>
        <w:left w:val="none" w:sz="0" w:space="0" w:color="auto"/>
        <w:bottom w:val="none" w:sz="0" w:space="0" w:color="auto"/>
        <w:right w:val="none" w:sz="0" w:space="0" w:color="auto"/>
      </w:divBdr>
    </w:div>
    <w:div w:id="980766205">
      <w:marLeft w:val="0"/>
      <w:marRight w:val="0"/>
      <w:marTop w:val="0"/>
      <w:marBottom w:val="0"/>
      <w:divBdr>
        <w:top w:val="none" w:sz="0" w:space="0" w:color="auto"/>
        <w:left w:val="none" w:sz="0" w:space="0" w:color="auto"/>
        <w:bottom w:val="none" w:sz="0" w:space="0" w:color="auto"/>
        <w:right w:val="none" w:sz="0" w:space="0" w:color="auto"/>
      </w:divBdr>
    </w:div>
    <w:div w:id="980766206">
      <w:marLeft w:val="0"/>
      <w:marRight w:val="0"/>
      <w:marTop w:val="0"/>
      <w:marBottom w:val="0"/>
      <w:divBdr>
        <w:top w:val="none" w:sz="0" w:space="0" w:color="auto"/>
        <w:left w:val="none" w:sz="0" w:space="0" w:color="auto"/>
        <w:bottom w:val="none" w:sz="0" w:space="0" w:color="auto"/>
        <w:right w:val="none" w:sz="0" w:space="0" w:color="auto"/>
      </w:divBdr>
    </w:div>
    <w:div w:id="980766207">
      <w:marLeft w:val="0"/>
      <w:marRight w:val="0"/>
      <w:marTop w:val="0"/>
      <w:marBottom w:val="0"/>
      <w:divBdr>
        <w:top w:val="none" w:sz="0" w:space="0" w:color="auto"/>
        <w:left w:val="none" w:sz="0" w:space="0" w:color="auto"/>
        <w:bottom w:val="none" w:sz="0" w:space="0" w:color="auto"/>
        <w:right w:val="none" w:sz="0" w:space="0" w:color="auto"/>
      </w:divBdr>
    </w:div>
    <w:div w:id="980766208">
      <w:marLeft w:val="0"/>
      <w:marRight w:val="0"/>
      <w:marTop w:val="0"/>
      <w:marBottom w:val="0"/>
      <w:divBdr>
        <w:top w:val="none" w:sz="0" w:space="0" w:color="auto"/>
        <w:left w:val="none" w:sz="0" w:space="0" w:color="auto"/>
        <w:bottom w:val="none" w:sz="0" w:space="0" w:color="auto"/>
        <w:right w:val="none" w:sz="0" w:space="0" w:color="auto"/>
      </w:divBdr>
    </w:div>
    <w:div w:id="980766209">
      <w:marLeft w:val="0"/>
      <w:marRight w:val="0"/>
      <w:marTop w:val="0"/>
      <w:marBottom w:val="0"/>
      <w:divBdr>
        <w:top w:val="none" w:sz="0" w:space="0" w:color="auto"/>
        <w:left w:val="none" w:sz="0" w:space="0" w:color="auto"/>
        <w:bottom w:val="none" w:sz="0" w:space="0" w:color="auto"/>
        <w:right w:val="none" w:sz="0" w:space="0" w:color="auto"/>
      </w:divBdr>
    </w:div>
    <w:div w:id="980766210">
      <w:marLeft w:val="0"/>
      <w:marRight w:val="0"/>
      <w:marTop w:val="0"/>
      <w:marBottom w:val="0"/>
      <w:divBdr>
        <w:top w:val="none" w:sz="0" w:space="0" w:color="auto"/>
        <w:left w:val="none" w:sz="0" w:space="0" w:color="auto"/>
        <w:bottom w:val="none" w:sz="0" w:space="0" w:color="auto"/>
        <w:right w:val="none" w:sz="0" w:space="0" w:color="auto"/>
      </w:divBdr>
    </w:div>
    <w:div w:id="980766211">
      <w:marLeft w:val="0"/>
      <w:marRight w:val="0"/>
      <w:marTop w:val="0"/>
      <w:marBottom w:val="0"/>
      <w:divBdr>
        <w:top w:val="none" w:sz="0" w:space="0" w:color="auto"/>
        <w:left w:val="none" w:sz="0" w:space="0" w:color="auto"/>
        <w:bottom w:val="none" w:sz="0" w:space="0" w:color="auto"/>
        <w:right w:val="none" w:sz="0" w:space="0" w:color="auto"/>
      </w:divBdr>
    </w:div>
    <w:div w:id="980766212">
      <w:marLeft w:val="0"/>
      <w:marRight w:val="0"/>
      <w:marTop w:val="0"/>
      <w:marBottom w:val="0"/>
      <w:divBdr>
        <w:top w:val="none" w:sz="0" w:space="0" w:color="auto"/>
        <w:left w:val="none" w:sz="0" w:space="0" w:color="auto"/>
        <w:bottom w:val="none" w:sz="0" w:space="0" w:color="auto"/>
        <w:right w:val="none" w:sz="0" w:space="0" w:color="auto"/>
      </w:divBdr>
    </w:div>
    <w:div w:id="980766213">
      <w:marLeft w:val="0"/>
      <w:marRight w:val="0"/>
      <w:marTop w:val="0"/>
      <w:marBottom w:val="0"/>
      <w:divBdr>
        <w:top w:val="none" w:sz="0" w:space="0" w:color="auto"/>
        <w:left w:val="none" w:sz="0" w:space="0" w:color="auto"/>
        <w:bottom w:val="none" w:sz="0" w:space="0" w:color="auto"/>
        <w:right w:val="none" w:sz="0" w:space="0" w:color="auto"/>
      </w:divBdr>
    </w:div>
    <w:div w:id="980766214">
      <w:marLeft w:val="0"/>
      <w:marRight w:val="0"/>
      <w:marTop w:val="0"/>
      <w:marBottom w:val="0"/>
      <w:divBdr>
        <w:top w:val="none" w:sz="0" w:space="0" w:color="auto"/>
        <w:left w:val="none" w:sz="0" w:space="0" w:color="auto"/>
        <w:bottom w:val="none" w:sz="0" w:space="0" w:color="auto"/>
        <w:right w:val="none" w:sz="0" w:space="0" w:color="auto"/>
      </w:divBdr>
    </w:div>
    <w:div w:id="1100562724">
      <w:bodyDiv w:val="1"/>
      <w:marLeft w:val="0"/>
      <w:marRight w:val="0"/>
      <w:marTop w:val="0"/>
      <w:marBottom w:val="0"/>
      <w:divBdr>
        <w:top w:val="none" w:sz="0" w:space="0" w:color="auto"/>
        <w:left w:val="none" w:sz="0" w:space="0" w:color="auto"/>
        <w:bottom w:val="none" w:sz="0" w:space="0" w:color="auto"/>
        <w:right w:val="none" w:sz="0" w:space="0" w:color="auto"/>
      </w:divBdr>
    </w:div>
    <w:div w:id="1291015869">
      <w:bodyDiv w:val="1"/>
      <w:marLeft w:val="0"/>
      <w:marRight w:val="0"/>
      <w:marTop w:val="0"/>
      <w:marBottom w:val="0"/>
      <w:divBdr>
        <w:top w:val="none" w:sz="0" w:space="0" w:color="auto"/>
        <w:left w:val="none" w:sz="0" w:space="0" w:color="auto"/>
        <w:bottom w:val="none" w:sz="0" w:space="0" w:color="auto"/>
        <w:right w:val="none" w:sz="0" w:space="0" w:color="auto"/>
      </w:divBdr>
    </w:div>
    <w:div w:id="1449659899">
      <w:bodyDiv w:val="1"/>
      <w:marLeft w:val="0"/>
      <w:marRight w:val="0"/>
      <w:marTop w:val="0"/>
      <w:marBottom w:val="0"/>
      <w:divBdr>
        <w:top w:val="none" w:sz="0" w:space="0" w:color="auto"/>
        <w:left w:val="none" w:sz="0" w:space="0" w:color="auto"/>
        <w:bottom w:val="none" w:sz="0" w:space="0" w:color="auto"/>
        <w:right w:val="none" w:sz="0" w:space="0" w:color="auto"/>
      </w:divBdr>
    </w:div>
    <w:div w:id="1484470131">
      <w:bodyDiv w:val="1"/>
      <w:marLeft w:val="0"/>
      <w:marRight w:val="0"/>
      <w:marTop w:val="0"/>
      <w:marBottom w:val="0"/>
      <w:divBdr>
        <w:top w:val="none" w:sz="0" w:space="0" w:color="auto"/>
        <w:left w:val="none" w:sz="0" w:space="0" w:color="auto"/>
        <w:bottom w:val="none" w:sz="0" w:space="0" w:color="auto"/>
        <w:right w:val="none" w:sz="0" w:space="0" w:color="auto"/>
      </w:divBdr>
    </w:div>
    <w:div w:id="1907302313">
      <w:bodyDiv w:val="1"/>
      <w:marLeft w:val="0"/>
      <w:marRight w:val="0"/>
      <w:marTop w:val="0"/>
      <w:marBottom w:val="0"/>
      <w:divBdr>
        <w:top w:val="none" w:sz="0" w:space="0" w:color="auto"/>
        <w:left w:val="none" w:sz="0" w:space="0" w:color="auto"/>
        <w:bottom w:val="none" w:sz="0" w:space="0" w:color="auto"/>
        <w:right w:val="none" w:sz="0" w:space="0" w:color="auto"/>
      </w:divBdr>
    </w:div>
    <w:div w:id="2086874081">
      <w:bodyDiv w:val="1"/>
      <w:marLeft w:val="0"/>
      <w:marRight w:val="0"/>
      <w:marTop w:val="0"/>
      <w:marBottom w:val="0"/>
      <w:divBdr>
        <w:top w:val="none" w:sz="0" w:space="0" w:color="auto"/>
        <w:left w:val="none" w:sz="0" w:space="0" w:color="auto"/>
        <w:bottom w:val="none" w:sz="0" w:space="0" w:color="auto"/>
        <w:right w:val="none" w:sz="0" w:space="0" w:color="auto"/>
      </w:divBdr>
      <w:divsChild>
        <w:div w:id="839662226">
          <w:marLeft w:val="0"/>
          <w:marRight w:val="0"/>
          <w:marTop w:val="0"/>
          <w:marBottom w:val="0"/>
          <w:divBdr>
            <w:top w:val="none" w:sz="0" w:space="0" w:color="auto"/>
            <w:left w:val="none" w:sz="0" w:space="0" w:color="auto"/>
            <w:bottom w:val="none" w:sz="0" w:space="0" w:color="auto"/>
            <w:right w:val="none" w:sz="0" w:space="0" w:color="auto"/>
          </w:divBdr>
          <w:divsChild>
            <w:div w:id="678893971">
              <w:marLeft w:val="0"/>
              <w:marRight w:val="0"/>
              <w:marTop w:val="0"/>
              <w:marBottom w:val="0"/>
              <w:divBdr>
                <w:top w:val="none" w:sz="0" w:space="0" w:color="auto"/>
                <w:left w:val="none" w:sz="0" w:space="0" w:color="auto"/>
                <w:bottom w:val="none" w:sz="0" w:space="0" w:color="auto"/>
                <w:right w:val="none" w:sz="0" w:space="0" w:color="auto"/>
              </w:divBdr>
              <w:divsChild>
                <w:div w:id="426463442">
                  <w:marLeft w:val="0"/>
                  <w:marRight w:val="0"/>
                  <w:marTop w:val="0"/>
                  <w:marBottom w:val="0"/>
                  <w:divBdr>
                    <w:top w:val="none" w:sz="0" w:space="0" w:color="auto"/>
                    <w:left w:val="none" w:sz="0" w:space="0" w:color="auto"/>
                    <w:bottom w:val="none" w:sz="0" w:space="0" w:color="auto"/>
                    <w:right w:val="none" w:sz="0" w:space="0" w:color="auto"/>
                  </w:divBdr>
                  <w:divsChild>
                    <w:div w:id="979843574">
                      <w:marLeft w:val="0"/>
                      <w:marRight w:val="0"/>
                      <w:marTop w:val="0"/>
                      <w:marBottom w:val="0"/>
                      <w:divBdr>
                        <w:top w:val="none" w:sz="0" w:space="0" w:color="auto"/>
                        <w:left w:val="none" w:sz="0" w:space="0" w:color="auto"/>
                        <w:bottom w:val="none" w:sz="0" w:space="0" w:color="auto"/>
                        <w:right w:val="none" w:sz="0" w:space="0" w:color="auto"/>
                      </w:divBdr>
                      <w:divsChild>
                        <w:div w:id="2049596744">
                          <w:marLeft w:val="0"/>
                          <w:marRight w:val="0"/>
                          <w:marTop w:val="0"/>
                          <w:marBottom w:val="0"/>
                          <w:divBdr>
                            <w:top w:val="none" w:sz="0" w:space="0" w:color="auto"/>
                            <w:left w:val="none" w:sz="0" w:space="0" w:color="auto"/>
                            <w:bottom w:val="none" w:sz="0" w:space="0" w:color="auto"/>
                            <w:right w:val="none" w:sz="0" w:space="0" w:color="auto"/>
                          </w:divBdr>
                          <w:divsChild>
                            <w:div w:id="232082671">
                              <w:marLeft w:val="0"/>
                              <w:marRight w:val="0"/>
                              <w:marTop w:val="0"/>
                              <w:marBottom w:val="0"/>
                              <w:divBdr>
                                <w:top w:val="none" w:sz="0" w:space="0" w:color="auto"/>
                                <w:left w:val="none" w:sz="0" w:space="0" w:color="auto"/>
                                <w:bottom w:val="none" w:sz="0" w:space="0" w:color="auto"/>
                                <w:right w:val="none" w:sz="0" w:space="0" w:color="auto"/>
                              </w:divBdr>
                              <w:divsChild>
                                <w:div w:id="297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emf"/><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0B9FC-C52C-4ECC-A9A7-07875B0B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4239</Words>
  <Characters>27092</Characters>
  <Application>Microsoft Office Word</Application>
  <DocSecurity>0</DocSecurity>
  <Lines>225</Lines>
  <Paragraphs>62</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1</vt:lpstr>
      <vt:lpstr>1</vt:lpstr>
      <vt:lpstr>1</vt:lpstr>
    </vt:vector>
  </TitlesOfParts>
  <Company>Microsoft</Company>
  <LinksUpToDate>false</LinksUpToDate>
  <CharactersWithSpaces>31269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jsegui</dc:creator>
  <cp:lastModifiedBy>Miroslava Slahúčková</cp:lastModifiedBy>
  <cp:revision>2</cp:revision>
  <cp:lastPrinted>2014-12-09T13:25:00Z</cp:lastPrinted>
  <dcterms:created xsi:type="dcterms:W3CDTF">2017-11-29T07:48:00Z</dcterms:created>
  <dcterms:modified xsi:type="dcterms:W3CDTF">2017-11-29T07:48:00Z</dcterms:modified>
</cp:coreProperties>
</file>