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AE8" w:rsidRDefault="00522AF7" w:rsidP="004F5AE8">
      <w:pPr>
        <w:spacing w:after="0"/>
        <w:jc w:val="both"/>
        <w:rPr>
          <w:rFonts w:ascii="Times New Roman" w:hAnsi="Times New Roman" w:cs="Times New Roman"/>
          <w:sz w:val="18"/>
          <w:szCs w:val="18"/>
          <w:lang w:val="sk-SK"/>
        </w:rPr>
      </w:pPr>
      <w:bookmarkStart w:id="0" w:name="_GoBack"/>
      <w:bookmarkEnd w:id="0"/>
      <w:r>
        <w:rPr>
          <w:rFonts w:ascii="Times New Roman" w:hAnsi="Times New Roman" w:cs="Times New Roman"/>
          <w:sz w:val="18"/>
          <w:szCs w:val="18"/>
          <w:lang w:val="sk-SK"/>
        </w:rPr>
        <w:t xml:space="preserve">Príloha č.2 k notifikácii o zmene, </w:t>
      </w:r>
      <w:proofErr w:type="spellStart"/>
      <w:r>
        <w:rPr>
          <w:rFonts w:ascii="Times New Roman" w:hAnsi="Times New Roman" w:cs="Times New Roman"/>
          <w:sz w:val="18"/>
          <w:szCs w:val="18"/>
          <w:lang w:val="sk-SK"/>
        </w:rPr>
        <w:t>ev.</w:t>
      </w:r>
      <w:r w:rsidR="004F5AE8">
        <w:rPr>
          <w:rFonts w:ascii="Times New Roman" w:hAnsi="Times New Roman" w:cs="Times New Roman"/>
          <w:sz w:val="18"/>
          <w:szCs w:val="18"/>
          <w:lang w:val="sk-SK"/>
        </w:rPr>
        <w:t>č</w:t>
      </w:r>
      <w:proofErr w:type="spellEnd"/>
      <w:r w:rsidR="004F5AE8">
        <w:rPr>
          <w:rFonts w:ascii="Times New Roman" w:hAnsi="Times New Roman" w:cs="Times New Roman"/>
          <w:sz w:val="18"/>
          <w:szCs w:val="18"/>
          <w:lang w:val="sk-SK"/>
        </w:rPr>
        <w:t>. 2017/0</w:t>
      </w:r>
      <w:r>
        <w:rPr>
          <w:rFonts w:ascii="Times New Roman" w:hAnsi="Times New Roman" w:cs="Times New Roman"/>
          <w:sz w:val="18"/>
          <w:szCs w:val="18"/>
          <w:lang w:val="sk-SK"/>
        </w:rPr>
        <w:t>3426</w:t>
      </w:r>
      <w:r w:rsidR="000A72E1">
        <w:rPr>
          <w:rFonts w:ascii="Times New Roman" w:hAnsi="Times New Roman" w:cs="Times New Roman"/>
          <w:sz w:val="18"/>
          <w:szCs w:val="18"/>
          <w:lang w:val="sk-SK"/>
        </w:rPr>
        <w:t>-ZIB</w:t>
      </w:r>
    </w:p>
    <w:p w:rsidR="00272BA0" w:rsidRPr="00272BA0" w:rsidRDefault="00272BA0" w:rsidP="00272BA0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272BA0" w:rsidRDefault="00272BA0" w:rsidP="00272BA0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272BA0" w:rsidRPr="001340C5" w:rsidRDefault="00272BA0" w:rsidP="00272BA0">
      <w:pPr>
        <w:pStyle w:val="Nzov"/>
        <w:rPr>
          <w:szCs w:val="22"/>
          <w:lang w:val="sk-SK"/>
        </w:rPr>
      </w:pPr>
      <w:r w:rsidRPr="001340C5">
        <w:rPr>
          <w:szCs w:val="22"/>
          <w:lang w:val="sk-SK"/>
        </w:rPr>
        <w:t>SÚHRN CHARAKTERISTICKÝCH VLASTNOSTÍ LIEKU</w:t>
      </w:r>
    </w:p>
    <w:p w:rsidR="00272BA0" w:rsidRDefault="00272BA0" w:rsidP="00272BA0">
      <w:pPr>
        <w:jc w:val="center"/>
        <w:rPr>
          <w:rFonts w:ascii="Times New Roman" w:hAnsi="Times New Roman" w:cs="Times New Roman"/>
          <w:lang w:val="sk-SK"/>
        </w:rPr>
      </w:pPr>
    </w:p>
    <w:p w:rsidR="00272BA0" w:rsidRPr="001340C5" w:rsidRDefault="00272BA0" w:rsidP="00244BAB">
      <w:pPr>
        <w:jc w:val="both"/>
        <w:rPr>
          <w:rFonts w:ascii="Times New Roman" w:hAnsi="Times New Roman" w:cs="Times New Roman"/>
          <w:lang w:val="sk-SK"/>
        </w:rPr>
      </w:pPr>
    </w:p>
    <w:p w:rsidR="003E70FA" w:rsidRPr="001340C5" w:rsidRDefault="003E70FA" w:rsidP="00B16CC3">
      <w:pPr>
        <w:pStyle w:val="Odsekzoznamu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b/>
          <w:lang w:val="sk-SK"/>
        </w:rPr>
      </w:pPr>
      <w:r w:rsidRPr="001340C5">
        <w:rPr>
          <w:rFonts w:ascii="Times New Roman" w:hAnsi="Times New Roman" w:cs="Times New Roman"/>
          <w:b/>
          <w:lang w:val="sk-SK"/>
        </w:rPr>
        <w:t>NÁZOV LIEKU</w:t>
      </w:r>
    </w:p>
    <w:p w:rsidR="00C43A89" w:rsidRPr="001340C5" w:rsidRDefault="00C43A89" w:rsidP="00244BAB">
      <w:pPr>
        <w:spacing w:after="0"/>
        <w:jc w:val="both"/>
        <w:rPr>
          <w:rFonts w:ascii="Times New Roman" w:hAnsi="Times New Roman" w:cs="Times New Roman"/>
          <w:b/>
          <w:lang w:val="sk-SK"/>
        </w:rPr>
      </w:pPr>
    </w:p>
    <w:p w:rsidR="00C43A89" w:rsidRPr="001340C5" w:rsidRDefault="00522AF7" w:rsidP="00244BAB">
      <w:pPr>
        <w:spacing w:after="0"/>
        <w:jc w:val="both"/>
        <w:rPr>
          <w:rFonts w:ascii="Times New Roman" w:hAnsi="Times New Roman"/>
          <w:lang w:val="sk-SK"/>
        </w:rPr>
      </w:pPr>
      <w:proofErr w:type="spellStart"/>
      <w:r>
        <w:rPr>
          <w:rFonts w:ascii="Times New Roman" w:hAnsi="Times New Roman" w:cs="Times New Roman"/>
          <w:lang w:val="sk-SK"/>
        </w:rPr>
        <w:t>C</w:t>
      </w:r>
      <w:r w:rsidR="00EB16D2" w:rsidRPr="001340C5">
        <w:rPr>
          <w:rFonts w:ascii="Times New Roman" w:hAnsi="Times New Roman" w:cs="Times New Roman"/>
          <w:lang w:val="sk-SK"/>
        </w:rPr>
        <w:t>andesartan</w:t>
      </w:r>
      <w:proofErr w:type="spellEnd"/>
      <w:r w:rsidR="00EB16D2" w:rsidRPr="001340C5">
        <w:rPr>
          <w:rFonts w:ascii="Times New Roman" w:hAnsi="Times New Roman" w:cs="Times New Roman"/>
          <w:lang w:val="sk-SK"/>
        </w:rPr>
        <w:t xml:space="preserve"> HCT </w:t>
      </w:r>
      <w:proofErr w:type="spellStart"/>
      <w:r>
        <w:rPr>
          <w:rFonts w:ascii="Times New Roman" w:hAnsi="Times New Roman" w:cs="Times New Roman"/>
          <w:lang w:val="sk-SK"/>
        </w:rPr>
        <w:t>Swyssi</w:t>
      </w:r>
      <w:proofErr w:type="spellEnd"/>
      <w:r w:rsidR="00EB16D2" w:rsidRPr="001340C5">
        <w:rPr>
          <w:rFonts w:ascii="Times New Roman" w:hAnsi="Times New Roman" w:cs="Times New Roman"/>
          <w:lang w:val="sk-SK"/>
        </w:rPr>
        <w:t xml:space="preserve"> </w:t>
      </w:r>
      <w:r w:rsidR="00AD7A4F" w:rsidRPr="001340C5">
        <w:rPr>
          <w:rFonts w:ascii="Times New Roman" w:hAnsi="Times New Roman" w:cs="Times New Roman"/>
          <w:lang w:val="sk-SK"/>
        </w:rPr>
        <w:t xml:space="preserve">8 mg/12,5 mg </w:t>
      </w:r>
    </w:p>
    <w:p w:rsidR="00B5425F" w:rsidRDefault="00522AF7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>
        <w:rPr>
          <w:rFonts w:ascii="Times New Roman" w:hAnsi="Times New Roman" w:cs="Times New Roman"/>
          <w:lang w:val="sk-SK"/>
        </w:rPr>
        <w:t>Candesartan</w:t>
      </w:r>
      <w:proofErr w:type="spellEnd"/>
      <w:r>
        <w:rPr>
          <w:rFonts w:ascii="Times New Roman" w:hAnsi="Times New Roman" w:cs="Times New Roman"/>
          <w:lang w:val="sk-SK"/>
        </w:rPr>
        <w:t xml:space="preserve"> HCT </w:t>
      </w:r>
      <w:proofErr w:type="spellStart"/>
      <w:r>
        <w:rPr>
          <w:rFonts w:ascii="Times New Roman" w:hAnsi="Times New Roman" w:cs="Times New Roman"/>
          <w:lang w:val="sk-SK"/>
        </w:rPr>
        <w:t>Swyssi</w:t>
      </w:r>
      <w:proofErr w:type="spellEnd"/>
      <w:r w:rsidR="00EB16D2" w:rsidRPr="001340C5">
        <w:rPr>
          <w:rFonts w:ascii="Times New Roman" w:hAnsi="Times New Roman" w:cs="Times New Roman"/>
          <w:lang w:val="sk-SK"/>
        </w:rPr>
        <w:t xml:space="preserve"> </w:t>
      </w:r>
      <w:r w:rsidR="00AD7A4F" w:rsidRPr="001340C5">
        <w:rPr>
          <w:rFonts w:ascii="Times New Roman" w:hAnsi="Times New Roman" w:cs="Times New Roman"/>
          <w:lang w:val="sk-SK"/>
        </w:rPr>
        <w:t xml:space="preserve">16 mg/12,5 mg </w:t>
      </w:r>
    </w:p>
    <w:p w:rsidR="00AD7A4F" w:rsidRPr="001340C5" w:rsidRDefault="00AD7A4F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/>
          <w:lang w:val="sk-SK"/>
        </w:rPr>
        <w:t>tablety</w:t>
      </w:r>
    </w:p>
    <w:p w:rsidR="00AD7A4F" w:rsidRPr="001340C5" w:rsidRDefault="00AD7A4F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594278" w:rsidRPr="001340C5" w:rsidRDefault="00594278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594278" w:rsidRPr="001340C5" w:rsidRDefault="00594278" w:rsidP="00B16CC3">
      <w:pPr>
        <w:pStyle w:val="Odsekzoznamu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b/>
          <w:lang w:val="sk-SK"/>
        </w:rPr>
      </w:pPr>
      <w:r w:rsidRPr="001340C5">
        <w:rPr>
          <w:rFonts w:ascii="Times New Roman" w:hAnsi="Times New Roman" w:cs="Times New Roman"/>
          <w:b/>
          <w:lang w:val="sk-SK"/>
        </w:rPr>
        <w:t>KVALITATÍVNE A KVANTITATÍVNE ZLOŽENIE</w:t>
      </w:r>
    </w:p>
    <w:p w:rsidR="008D762D" w:rsidRPr="001340C5" w:rsidRDefault="008D762D" w:rsidP="00244BAB">
      <w:pPr>
        <w:spacing w:after="0"/>
        <w:jc w:val="both"/>
        <w:rPr>
          <w:rFonts w:ascii="Times New Roman" w:hAnsi="Times New Roman" w:cs="Times New Roman"/>
          <w:b/>
          <w:lang w:val="sk-SK"/>
        </w:rPr>
      </w:pPr>
    </w:p>
    <w:p w:rsidR="008D762D" w:rsidRPr="001340C5" w:rsidRDefault="009B50C0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Jedna tableta </w:t>
      </w:r>
      <w:proofErr w:type="spellStart"/>
      <w:r w:rsidR="00522AF7">
        <w:rPr>
          <w:rFonts w:ascii="Times New Roman" w:hAnsi="Times New Roman" w:cs="Times New Roman"/>
          <w:lang w:val="sk-SK"/>
        </w:rPr>
        <w:t>Candesartanu</w:t>
      </w:r>
      <w:proofErr w:type="spellEnd"/>
      <w:r w:rsidR="00522AF7">
        <w:rPr>
          <w:rFonts w:ascii="Times New Roman" w:hAnsi="Times New Roman" w:cs="Times New Roman"/>
          <w:lang w:val="sk-SK"/>
        </w:rPr>
        <w:t xml:space="preserve"> HCT </w:t>
      </w:r>
      <w:proofErr w:type="spellStart"/>
      <w:r w:rsidR="00522AF7">
        <w:rPr>
          <w:rFonts w:ascii="Times New Roman" w:hAnsi="Times New Roman" w:cs="Times New Roman"/>
          <w:lang w:val="sk-SK"/>
        </w:rPr>
        <w:t>Swyssi</w:t>
      </w:r>
      <w:proofErr w:type="spellEnd"/>
      <w:r w:rsidR="00EB16D2" w:rsidRPr="001340C5">
        <w:rPr>
          <w:rFonts w:ascii="Times New Roman" w:hAnsi="Times New Roman" w:cs="Times New Roman"/>
          <w:lang w:val="sk-SK"/>
        </w:rPr>
        <w:t xml:space="preserve"> </w:t>
      </w:r>
      <w:r w:rsidR="00E97B6B" w:rsidRPr="001340C5">
        <w:rPr>
          <w:rFonts w:ascii="Times New Roman" w:hAnsi="Times New Roman" w:cs="Times New Roman"/>
          <w:lang w:val="sk-SK"/>
        </w:rPr>
        <w:t>8</w:t>
      </w:r>
      <w:r w:rsidR="003C739F" w:rsidRPr="001340C5">
        <w:rPr>
          <w:rFonts w:ascii="Times New Roman" w:hAnsi="Times New Roman" w:cs="Times New Roman"/>
          <w:lang w:val="sk-SK"/>
        </w:rPr>
        <w:t xml:space="preserve"> mg</w:t>
      </w:r>
      <w:r w:rsidRPr="001340C5">
        <w:rPr>
          <w:rFonts w:ascii="Times New Roman" w:hAnsi="Times New Roman" w:cs="Times New Roman"/>
          <w:lang w:val="sk-SK"/>
        </w:rPr>
        <w:t xml:space="preserve">/12,5 mg obsahuje </w:t>
      </w:r>
      <w:r w:rsidR="003C7122" w:rsidRPr="001340C5">
        <w:rPr>
          <w:rFonts w:ascii="Times New Roman" w:hAnsi="Times New Roman" w:cs="Times New Roman"/>
          <w:lang w:val="sk-SK"/>
        </w:rPr>
        <w:t xml:space="preserve">8 mg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</w:t>
      </w:r>
      <w:r w:rsidR="003C7122" w:rsidRPr="001340C5">
        <w:rPr>
          <w:rFonts w:ascii="Times New Roman" w:hAnsi="Times New Roman" w:cs="Times New Roman"/>
          <w:lang w:val="sk-SK"/>
        </w:rPr>
        <w:t>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cilexetil</w:t>
      </w:r>
      <w:r w:rsidR="003C7122" w:rsidRPr="001340C5">
        <w:rPr>
          <w:rFonts w:ascii="Times New Roman" w:hAnsi="Times New Roman" w:cs="Times New Roman"/>
          <w:lang w:val="sk-SK"/>
        </w:rPr>
        <w:t>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 </w:t>
      </w:r>
      <w:r w:rsidR="003C7122" w:rsidRPr="001340C5">
        <w:rPr>
          <w:rFonts w:ascii="Times New Roman" w:hAnsi="Times New Roman" w:cs="Times New Roman"/>
          <w:lang w:val="sk-SK"/>
        </w:rPr>
        <w:t xml:space="preserve">12,5 mg 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</w:t>
      </w:r>
      <w:r w:rsidR="003C7122" w:rsidRPr="001340C5">
        <w:rPr>
          <w:rFonts w:ascii="Times New Roman" w:hAnsi="Times New Roman" w:cs="Times New Roman"/>
          <w:lang w:val="sk-SK"/>
        </w:rPr>
        <w:t>u</w:t>
      </w:r>
      <w:proofErr w:type="spellEnd"/>
      <w:r w:rsidRPr="001340C5">
        <w:rPr>
          <w:rFonts w:ascii="Times New Roman" w:hAnsi="Times New Roman" w:cs="Times New Roman"/>
          <w:lang w:val="sk-SK"/>
        </w:rPr>
        <w:t>.</w:t>
      </w:r>
    </w:p>
    <w:p w:rsidR="00975040" w:rsidRPr="001340C5" w:rsidRDefault="00975040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3C739F" w:rsidRPr="001340C5" w:rsidRDefault="003C739F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Jedna tableta </w:t>
      </w:r>
      <w:proofErr w:type="spellStart"/>
      <w:r w:rsidR="00522AF7">
        <w:rPr>
          <w:rFonts w:ascii="Times New Roman" w:hAnsi="Times New Roman" w:cs="Times New Roman"/>
          <w:lang w:val="sk-SK"/>
        </w:rPr>
        <w:t>C</w:t>
      </w:r>
      <w:r w:rsidR="00EB16D2" w:rsidRPr="001340C5">
        <w:rPr>
          <w:rFonts w:ascii="Times New Roman" w:hAnsi="Times New Roman" w:cs="Times New Roman"/>
          <w:lang w:val="sk-SK"/>
        </w:rPr>
        <w:t>andesartanu</w:t>
      </w:r>
      <w:proofErr w:type="spellEnd"/>
      <w:r w:rsidR="00EB16D2" w:rsidRPr="001340C5">
        <w:rPr>
          <w:rFonts w:ascii="Times New Roman" w:hAnsi="Times New Roman" w:cs="Times New Roman"/>
          <w:lang w:val="sk-SK"/>
        </w:rPr>
        <w:t xml:space="preserve"> HCT </w:t>
      </w:r>
      <w:proofErr w:type="spellStart"/>
      <w:r w:rsidR="00522AF7">
        <w:rPr>
          <w:rFonts w:ascii="Times New Roman" w:hAnsi="Times New Roman" w:cs="Times New Roman"/>
          <w:lang w:val="sk-SK"/>
        </w:rPr>
        <w:t>Swyssi</w:t>
      </w:r>
      <w:proofErr w:type="spellEnd"/>
      <w:r w:rsidR="00EB16D2" w:rsidRPr="001340C5">
        <w:rPr>
          <w:rFonts w:ascii="Times New Roman" w:hAnsi="Times New Roman" w:cs="Times New Roman"/>
          <w:lang w:val="sk-SK"/>
        </w:rPr>
        <w:t xml:space="preserve"> </w:t>
      </w:r>
      <w:r w:rsidRPr="001340C5">
        <w:rPr>
          <w:rFonts w:ascii="Times New Roman" w:hAnsi="Times New Roman" w:cs="Times New Roman"/>
          <w:lang w:val="sk-SK"/>
        </w:rPr>
        <w:t xml:space="preserve">16 mg/12,5 mg obsahuje </w:t>
      </w:r>
      <w:r w:rsidR="003C7122" w:rsidRPr="001340C5">
        <w:rPr>
          <w:rFonts w:ascii="Times New Roman" w:hAnsi="Times New Roman" w:cs="Times New Roman"/>
          <w:lang w:val="sk-SK"/>
        </w:rPr>
        <w:t xml:space="preserve">16 mg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</w:t>
      </w:r>
      <w:r w:rsidR="003C7122" w:rsidRPr="001340C5">
        <w:rPr>
          <w:rFonts w:ascii="Times New Roman" w:hAnsi="Times New Roman" w:cs="Times New Roman"/>
          <w:lang w:val="sk-SK"/>
        </w:rPr>
        <w:t>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cilexetil</w:t>
      </w:r>
      <w:r w:rsidR="003C7122" w:rsidRPr="001340C5">
        <w:rPr>
          <w:rFonts w:ascii="Times New Roman" w:hAnsi="Times New Roman" w:cs="Times New Roman"/>
          <w:lang w:val="sk-SK"/>
        </w:rPr>
        <w:t>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 </w:t>
      </w:r>
      <w:r w:rsidR="003C7122" w:rsidRPr="001340C5">
        <w:rPr>
          <w:rFonts w:ascii="Times New Roman" w:hAnsi="Times New Roman" w:cs="Times New Roman"/>
          <w:lang w:val="sk-SK"/>
        </w:rPr>
        <w:t xml:space="preserve">12,5 mg 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</w:t>
      </w:r>
      <w:r w:rsidR="003C7122" w:rsidRPr="001340C5">
        <w:rPr>
          <w:rFonts w:ascii="Times New Roman" w:hAnsi="Times New Roman" w:cs="Times New Roman"/>
          <w:lang w:val="sk-SK"/>
        </w:rPr>
        <w:t>u</w:t>
      </w:r>
      <w:proofErr w:type="spellEnd"/>
      <w:r w:rsidRPr="001340C5">
        <w:rPr>
          <w:rFonts w:ascii="Times New Roman" w:hAnsi="Times New Roman" w:cs="Times New Roman"/>
          <w:lang w:val="sk-SK"/>
        </w:rPr>
        <w:t>.</w:t>
      </w:r>
    </w:p>
    <w:p w:rsidR="00DF3336" w:rsidRPr="001340C5" w:rsidRDefault="00DF3336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DF3336" w:rsidRPr="001340C5" w:rsidRDefault="00DF3336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>Úplný zoznam pomocných látok, pozri časť 6.1.</w:t>
      </w:r>
    </w:p>
    <w:p w:rsidR="00DA3EEA" w:rsidRPr="001340C5" w:rsidRDefault="00DA3EEA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DA3EEA" w:rsidRPr="001340C5" w:rsidRDefault="00DA3EEA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DA3EEA" w:rsidRPr="001340C5" w:rsidRDefault="00DA3EEA" w:rsidP="00B16CC3">
      <w:pPr>
        <w:pStyle w:val="Odsekzoznamu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b/>
          <w:lang w:val="sk-SK"/>
        </w:rPr>
      </w:pPr>
      <w:r w:rsidRPr="001340C5">
        <w:rPr>
          <w:rFonts w:ascii="Times New Roman" w:hAnsi="Times New Roman" w:cs="Times New Roman"/>
          <w:b/>
          <w:lang w:val="sk-SK"/>
        </w:rPr>
        <w:t>LIEKOVÁ FORMA</w:t>
      </w:r>
    </w:p>
    <w:p w:rsidR="00513FA6" w:rsidRPr="001340C5" w:rsidRDefault="00513FA6" w:rsidP="00244BAB">
      <w:pPr>
        <w:spacing w:after="0"/>
        <w:jc w:val="both"/>
        <w:rPr>
          <w:rFonts w:ascii="Times New Roman" w:hAnsi="Times New Roman" w:cs="Times New Roman"/>
          <w:b/>
          <w:lang w:val="sk-SK"/>
        </w:rPr>
      </w:pPr>
    </w:p>
    <w:p w:rsidR="00513FA6" w:rsidRPr="001340C5" w:rsidRDefault="00513FA6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>Tableta</w:t>
      </w:r>
    </w:p>
    <w:p w:rsidR="00513FA6" w:rsidRPr="001340C5" w:rsidRDefault="00513FA6" w:rsidP="00244BAB">
      <w:pPr>
        <w:spacing w:after="0"/>
        <w:jc w:val="both"/>
        <w:rPr>
          <w:rFonts w:ascii="Times New Roman" w:hAnsi="Times New Roman" w:cs="Times New Roman"/>
          <w:highlight w:val="yellow"/>
          <w:lang w:val="sk-SK"/>
        </w:rPr>
      </w:pPr>
    </w:p>
    <w:p w:rsidR="00343050" w:rsidRPr="001340C5" w:rsidRDefault="00522AF7" w:rsidP="00244BAB">
      <w:pPr>
        <w:spacing w:after="0"/>
        <w:jc w:val="both"/>
        <w:rPr>
          <w:rFonts w:ascii="Times New Roman" w:hAnsi="Times New Roman" w:cs="Times New Roman"/>
          <w:highlight w:val="yellow"/>
          <w:lang w:val="sk-SK"/>
        </w:rPr>
      </w:pPr>
      <w:proofErr w:type="spellStart"/>
      <w:r>
        <w:rPr>
          <w:rFonts w:ascii="Times New Roman" w:hAnsi="Times New Roman" w:cs="Times New Roman"/>
          <w:lang w:val="sk-SK"/>
        </w:rPr>
        <w:t>C</w:t>
      </w:r>
      <w:r w:rsidR="00EB16D2" w:rsidRPr="001340C5">
        <w:rPr>
          <w:rFonts w:ascii="Times New Roman" w:hAnsi="Times New Roman" w:cs="Times New Roman"/>
          <w:lang w:val="sk-SK"/>
        </w:rPr>
        <w:t>andesartan</w:t>
      </w:r>
      <w:proofErr w:type="spellEnd"/>
      <w:r w:rsidR="00EB16D2" w:rsidRPr="001340C5">
        <w:rPr>
          <w:rFonts w:ascii="Times New Roman" w:hAnsi="Times New Roman" w:cs="Times New Roman"/>
          <w:lang w:val="sk-SK"/>
        </w:rPr>
        <w:t xml:space="preserve"> HC</w:t>
      </w:r>
      <w:r w:rsidR="005906EC">
        <w:rPr>
          <w:rFonts w:ascii="Times New Roman" w:hAnsi="Times New Roman" w:cs="Times New Roman"/>
          <w:lang w:val="sk-SK"/>
        </w:rPr>
        <w:t>T</w:t>
      </w:r>
      <w:r w:rsidR="00EB16D2"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lang w:val="sk-SK"/>
        </w:rPr>
        <w:t>Swyssi</w:t>
      </w:r>
      <w:proofErr w:type="spellEnd"/>
      <w:r w:rsidR="00386EDA" w:rsidRPr="001340C5">
        <w:rPr>
          <w:rFonts w:ascii="Times New Roman" w:hAnsi="Times New Roman" w:cs="Times New Roman"/>
          <w:lang w:val="sk-SK"/>
        </w:rPr>
        <w:t xml:space="preserve"> 8 mg/12,5 mg </w:t>
      </w:r>
      <w:r w:rsidR="00343050" w:rsidRPr="001340C5">
        <w:rPr>
          <w:rFonts w:ascii="Times New Roman" w:hAnsi="Times New Roman" w:cs="Times New Roman"/>
          <w:lang w:val="sk-SK"/>
        </w:rPr>
        <w:t>sú biele až takmer biele oválne, bikonvexné</w:t>
      </w:r>
      <w:r w:rsidR="005B2A19" w:rsidRPr="001340C5">
        <w:rPr>
          <w:rFonts w:ascii="Times New Roman" w:hAnsi="Times New Roman" w:cs="Times New Roman"/>
          <w:lang w:val="sk-SK"/>
        </w:rPr>
        <w:t xml:space="preserve"> (~9,5 x 4,5 mm)</w:t>
      </w:r>
      <w:r w:rsidR="00343050" w:rsidRPr="001340C5">
        <w:rPr>
          <w:rFonts w:ascii="Times New Roman" w:hAnsi="Times New Roman" w:cs="Times New Roman"/>
          <w:lang w:val="sk-SK"/>
        </w:rPr>
        <w:t xml:space="preserve"> </w:t>
      </w:r>
      <w:r w:rsidR="0065714E" w:rsidRPr="001340C5">
        <w:rPr>
          <w:rFonts w:ascii="Times New Roman" w:hAnsi="Times New Roman" w:cs="Times New Roman"/>
          <w:lang w:val="sk-SK"/>
        </w:rPr>
        <w:t>ne</w:t>
      </w:r>
      <w:r w:rsidR="003C7122" w:rsidRPr="001340C5">
        <w:rPr>
          <w:rFonts w:ascii="Times New Roman" w:hAnsi="Times New Roman" w:cs="Times New Roman"/>
          <w:lang w:val="sk-SK"/>
        </w:rPr>
        <w:t>obalené</w:t>
      </w:r>
      <w:r w:rsidR="0065714E" w:rsidRPr="001340C5">
        <w:rPr>
          <w:rFonts w:ascii="Times New Roman" w:hAnsi="Times New Roman" w:cs="Times New Roman"/>
          <w:lang w:val="sk-SK"/>
        </w:rPr>
        <w:t xml:space="preserve"> </w:t>
      </w:r>
      <w:r w:rsidR="00343050" w:rsidRPr="001340C5">
        <w:rPr>
          <w:rFonts w:ascii="Times New Roman" w:hAnsi="Times New Roman" w:cs="Times New Roman"/>
          <w:lang w:val="sk-SK"/>
        </w:rPr>
        <w:t>tablety, s deliacou ryhou na jednej strane.</w:t>
      </w:r>
    </w:p>
    <w:p w:rsidR="00B01EB3" w:rsidRPr="001340C5" w:rsidRDefault="00522AF7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>
        <w:rPr>
          <w:rFonts w:ascii="Times New Roman" w:hAnsi="Times New Roman" w:cs="Times New Roman"/>
          <w:lang w:val="sk-SK"/>
        </w:rPr>
        <w:t>C</w:t>
      </w:r>
      <w:r w:rsidR="00EB16D2" w:rsidRPr="001340C5">
        <w:rPr>
          <w:rFonts w:ascii="Times New Roman" w:hAnsi="Times New Roman" w:cs="Times New Roman"/>
          <w:lang w:val="sk-SK"/>
        </w:rPr>
        <w:t>andesartan</w:t>
      </w:r>
      <w:proofErr w:type="spellEnd"/>
      <w:r w:rsidR="00EB16D2" w:rsidRPr="001340C5">
        <w:rPr>
          <w:rFonts w:ascii="Times New Roman" w:hAnsi="Times New Roman" w:cs="Times New Roman"/>
          <w:lang w:val="sk-SK"/>
        </w:rPr>
        <w:t xml:space="preserve"> HC</w:t>
      </w:r>
      <w:r w:rsidR="005906EC">
        <w:rPr>
          <w:rFonts w:ascii="Times New Roman" w:hAnsi="Times New Roman" w:cs="Times New Roman"/>
          <w:lang w:val="sk-SK"/>
        </w:rPr>
        <w:t>T</w:t>
      </w:r>
      <w:r w:rsidR="00EB16D2"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lang w:val="sk-SK"/>
        </w:rPr>
        <w:t>Swyssi</w:t>
      </w:r>
      <w:proofErr w:type="spellEnd"/>
      <w:r w:rsidR="00513FA6" w:rsidRPr="001340C5">
        <w:rPr>
          <w:rFonts w:ascii="Times New Roman" w:hAnsi="Times New Roman" w:cs="Times New Roman"/>
          <w:lang w:val="sk-SK"/>
        </w:rPr>
        <w:t xml:space="preserve"> 16 mg/12,5 mg </w:t>
      </w:r>
      <w:r w:rsidR="00B01EB3" w:rsidRPr="001340C5">
        <w:rPr>
          <w:rFonts w:ascii="Times New Roman" w:hAnsi="Times New Roman" w:cs="Times New Roman"/>
          <w:lang w:val="sk-SK"/>
        </w:rPr>
        <w:t>sú oválne, bikonvexné (~ 9,5 x 4,5 mm)</w:t>
      </w:r>
      <w:r w:rsidR="003C7122" w:rsidRPr="001340C5">
        <w:rPr>
          <w:rFonts w:ascii="Times New Roman" w:hAnsi="Times New Roman" w:cs="Times New Roman"/>
          <w:lang w:val="sk-SK"/>
        </w:rPr>
        <w:t xml:space="preserve"> </w:t>
      </w:r>
      <w:r w:rsidR="00B01EB3" w:rsidRPr="001340C5">
        <w:rPr>
          <w:rFonts w:ascii="Times New Roman" w:hAnsi="Times New Roman" w:cs="Times New Roman"/>
          <w:lang w:val="sk-SK"/>
        </w:rPr>
        <w:t>ne</w:t>
      </w:r>
      <w:r w:rsidR="003C7122" w:rsidRPr="001340C5">
        <w:rPr>
          <w:rFonts w:ascii="Times New Roman" w:hAnsi="Times New Roman" w:cs="Times New Roman"/>
          <w:lang w:val="sk-SK"/>
        </w:rPr>
        <w:t>obalené</w:t>
      </w:r>
      <w:r w:rsidR="00B01EB3" w:rsidRPr="001340C5">
        <w:rPr>
          <w:rFonts w:ascii="Times New Roman" w:hAnsi="Times New Roman" w:cs="Times New Roman"/>
          <w:lang w:val="sk-SK"/>
        </w:rPr>
        <w:t xml:space="preserve"> tablety</w:t>
      </w:r>
      <w:r w:rsidR="003C7122" w:rsidRPr="001340C5">
        <w:rPr>
          <w:rFonts w:ascii="Times New Roman" w:hAnsi="Times New Roman" w:cs="Times New Roman"/>
          <w:lang w:val="sk-SK"/>
        </w:rPr>
        <w:t xml:space="preserve"> broskyňovej farby</w:t>
      </w:r>
      <w:r w:rsidR="00B01EB3" w:rsidRPr="001340C5">
        <w:rPr>
          <w:rFonts w:ascii="Times New Roman" w:hAnsi="Times New Roman" w:cs="Times New Roman"/>
          <w:lang w:val="sk-SK"/>
        </w:rPr>
        <w:t>, s deliacou ryhou na jednej strane.</w:t>
      </w:r>
    </w:p>
    <w:p w:rsidR="00386EDA" w:rsidRPr="001340C5" w:rsidRDefault="00386EDA" w:rsidP="00244BAB">
      <w:pPr>
        <w:spacing w:after="0"/>
        <w:jc w:val="both"/>
        <w:rPr>
          <w:rFonts w:ascii="Times New Roman" w:hAnsi="Times New Roman" w:cs="Times New Roman"/>
          <w:highlight w:val="yellow"/>
          <w:lang w:val="sk-SK"/>
        </w:rPr>
      </w:pPr>
    </w:p>
    <w:p w:rsidR="00386EDA" w:rsidRPr="001340C5" w:rsidRDefault="00825C24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>Tabletu možno rozdeliť na dve rovnaké dávky.</w:t>
      </w:r>
    </w:p>
    <w:p w:rsidR="0058218A" w:rsidRPr="001340C5" w:rsidRDefault="0058218A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58218A" w:rsidRPr="001340C5" w:rsidRDefault="0058218A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58218A" w:rsidRPr="001340C5" w:rsidRDefault="0058218A" w:rsidP="00B16CC3">
      <w:pPr>
        <w:pStyle w:val="Odsekzoznamu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b/>
          <w:lang w:val="sk-SK"/>
        </w:rPr>
      </w:pPr>
      <w:r w:rsidRPr="001340C5">
        <w:rPr>
          <w:rFonts w:ascii="Times New Roman" w:hAnsi="Times New Roman" w:cs="Times New Roman"/>
          <w:b/>
          <w:lang w:val="sk-SK"/>
        </w:rPr>
        <w:t>KLINICKÉ ÚDAJE</w:t>
      </w:r>
    </w:p>
    <w:p w:rsidR="00E26D13" w:rsidRPr="001340C5" w:rsidRDefault="00E26D13" w:rsidP="00244BAB">
      <w:pPr>
        <w:spacing w:after="0"/>
        <w:jc w:val="both"/>
        <w:rPr>
          <w:rFonts w:ascii="Times New Roman" w:hAnsi="Times New Roman" w:cs="Times New Roman"/>
          <w:b/>
          <w:lang w:val="sk-SK"/>
        </w:rPr>
      </w:pPr>
    </w:p>
    <w:p w:rsidR="00E26D13" w:rsidRPr="001340C5" w:rsidRDefault="00E26D13" w:rsidP="00B16CC3">
      <w:pPr>
        <w:pStyle w:val="Odsekzoznamu"/>
        <w:widowControl w:val="0"/>
        <w:numPr>
          <w:ilvl w:val="0"/>
          <w:numId w:val="16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/>
          <w:lang w:val="sk-SK"/>
        </w:rPr>
      </w:pPr>
      <w:r w:rsidRPr="001340C5">
        <w:rPr>
          <w:rFonts w:ascii="Times New Roman" w:hAnsi="Times New Roman"/>
          <w:b/>
          <w:bCs/>
          <w:lang w:val="sk-SK"/>
        </w:rPr>
        <w:t>Terapeutické indikácie</w:t>
      </w:r>
    </w:p>
    <w:p w:rsidR="00E26D13" w:rsidRPr="001340C5" w:rsidRDefault="00E26D13" w:rsidP="00244BAB">
      <w:pPr>
        <w:spacing w:after="0"/>
        <w:jc w:val="both"/>
        <w:rPr>
          <w:rFonts w:ascii="Times New Roman" w:hAnsi="Times New Roman" w:cs="Times New Roman"/>
          <w:b/>
          <w:lang w:val="sk-SK"/>
        </w:rPr>
      </w:pPr>
    </w:p>
    <w:p w:rsidR="00D100C3" w:rsidRPr="001340C5" w:rsidRDefault="00522AF7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>
        <w:rPr>
          <w:rFonts w:ascii="Times New Roman" w:hAnsi="Times New Roman" w:cs="Times New Roman"/>
          <w:lang w:val="sk-SK"/>
        </w:rPr>
        <w:t>C</w:t>
      </w:r>
      <w:r w:rsidR="0067076C" w:rsidRPr="001340C5">
        <w:rPr>
          <w:rFonts w:ascii="Times New Roman" w:hAnsi="Times New Roman" w:cs="Times New Roman"/>
          <w:lang w:val="sk-SK"/>
        </w:rPr>
        <w:t>andesartan</w:t>
      </w:r>
      <w:proofErr w:type="spellEnd"/>
      <w:r w:rsidR="0067076C" w:rsidRPr="001340C5">
        <w:rPr>
          <w:rFonts w:ascii="Times New Roman" w:hAnsi="Times New Roman" w:cs="Times New Roman"/>
          <w:lang w:val="sk-SK"/>
        </w:rPr>
        <w:t xml:space="preserve"> HC</w:t>
      </w:r>
      <w:r w:rsidR="005906EC">
        <w:rPr>
          <w:rFonts w:ascii="Times New Roman" w:hAnsi="Times New Roman" w:cs="Times New Roman"/>
          <w:lang w:val="sk-SK"/>
        </w:rPr>
        <w:t>T</w:t>
      </w:r>
      <w:r w:rsidR="0067076C"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lang w:val="sk-SK"/>
        </w:rPr>
        <w:t>Swyssi</w:t>
      </w:r>
      <w:proofErr w:type="spellEnd"/>
      <w:r w:rsidR="0067076C" w:rsidRPr="001340C5">
        <w:rPr>
          <w:rFonts w:ascii="Times New Roman" w:hAnsi="Times New Roman" w:cs="Times New Roman"/>
          <w:lang w:val="sk-SK"/>
        </w:rPr>
        <w:t xml:space="preserve"> </w:t>
      </w:r>
      <w:r w:rsidR="00D100C3" w:rsidRPr="001340C5">
        <w:rPr>
          <w:rFonts w:ascii="Times New Roman" w:hAnsi="Times New Roman" w:cs="Times New Roman"/>
          <w:lang w:val="sk-SK"/>
        </w:rPr>
        <w:t>je indikovaný na:</w:t>
      </w:r>
    </w:p>
    <w:p w:rsidR="00D100C3" w:rsidRPr="001340C5" w:rsidRDefault="003C7122" w:rsidP="00244BAB">
      <w:pPr>
        <w:pStyle w:val="Odsekzoznamu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>l</w:t>
      </w:r>
      <w:r w:rsidR="00D100C3" w:rsidRPr="001340C5">
        <w:rPr>
          <w:rFonts w:ascii="Times New Roman" w:hAnsi="Times New Roman" w:cs="Times New Roman"/>
          <w:lang w:val="sk-SK"/>
        </w:rPr>
        <w:t xml:space="preserve">iečbu esenciálnej hypertenzie u dospelých pacientov, ktorých krvný tlak nie je optimálne kontrolovaný </w:t>
      </w:r>
      <w:proofErr w:type="spellStart"/>
      <w:r w:rsidR="00D100C3" w:rsidRPr="001340C5">
        <w:rPr>
          <w:rFonts w:ascii="Times New Roman" w:hAnsi="Times New Roman" w:cs="Times New Roman"/>
          <w:lang w:val="sk-SK"/>
        </w:rPr>
        <w:t>monoterapiou</w:t>
      </w:r>
      <w:proofErr w:type="spellEnd"/>
      <w:r w:rsidR="00D100C3"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D100C3" w:rsidRPr="001340C5">
        <w:rPr>
          <w:rFonts w:ascii="Times New Roman" w:hAnsi="Times New Roman" w:cs="Times New Roman"/>
          <w:lang w:val="sk-SK"/>
        </w:rPr>
        <w:t>kandesartanom</w:t>
      </w:r>
      <w:proofErr w:type="spellEnd"/>
      <w:r w:rsidR="00D100C3"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D100C3" w:rsidRPr="001340C5">
        <w:rPr>
          <w:rFonts w:ascii="Times New Roman" w:hAnsi="Times New Roman" w:cs="Times New Roman"/>
          <w:lang w:val="sk-SK"/>
        </w:rPr>
        <w:t>cilexetilom</w:t>
      </w:r>
      <w:proofErr w:type="spellEnd"/>
      <w:r w:rsidR="00D100C3" w:rsidRPr="001340C5">
        <w:rPr>
          <w:rFonts w:ascii="Times New Roman" w:hAnsi="Times New Roman" w:cs="Times New Roman"/>
          <w:lang w:val="sk-SK"/>
        </w:rPr>
        <w:t xml:space="preserve"> alebo </w:t>
      </w:r>
      <w:proofErr w:type="spellStart"/>
      <w:r w:rsidR="00D100C3" w:rsidRPr="001340C5">
        <w:rPr>
          <w:rFonts w:ascii="Times New Roman" w:hAnsi="Times New Roman" w:cs="Times New Roman"/>
          <w:lang w:val="sk-SK"/>
        </w:rPr>
        <w:t>monoterapiou</w:t>
      </w:r>
      <w:proofErr w:type="spellEnd"/>
      <w:r w:rsidR="00D100C3"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D100C3" w:rsidRPr="001340C5">
        <w:rPr>
          <w:rFonts w:ascii="Times New Roman" w:hAnsi="Times New Roman" w:cs="Times New Roman"/>
          <w:lang w:val="sk-SK"/>
        </w:rPr>
        <w:t>hydrochlorotiazidom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(pozri časti </w:t>
      </w:r>
      <w:r w:rsidR="009335A1" w:rsidRPr="009335A1">
        <w:rPr>
          <w:rFonts w:ascii="Times New Roman" w:eastAsia="Times New Roman" w:hAnsi="Times New Roman" w:cs="Times New Roman"/>
          <w:lang w:val="sk-SK"/>
        </w:rPr>
        <w:t>4.3,</w:t>
      </w:r>
      <w:r w:rsidR="009335A1" w:rsidRPr="009335A1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="009335A1" w:rsidRPr="009335A1">
        <w:rPr>
          <w:rFonts w:ascii="Times New Roman" w:eastAsia="Times New Roman" w:hAnsi="Times New Roman" w:cs="Times New Roman"/>
          <w:lang w:val="sk-SK"/>
        </w:rPr>
        <w:t>4.4, 4.5 a 5.1</w:t>
      </w:r>
      <w:r w:rsidRPr="001340C5">
        <w:rPr>
          <w:rFonts w:ascii="Times New Roman" w:eastAsia="Times New Roman" w:hAnsi="Times New Roman" w:cs="Times New Roman"/>
          <w:lang w:val="sk-SK"/>
        </w:rPr>
        <w:t>)</w:t>
      </w:r>
      <w:r w:rsidR="00D100C3" w:rsidRPr="001340C5">
        <w:rPr>
          <w:rFonts w:ascii="Times New Roman" w:hAnsi="Times New Roman" w:cs="Times New Roman"/>
          <w:lang w:val="sk-SK"/>
        </w:rPr>
        <w:t>.</w:t>
      </w:r>
    </w:p>
    <w:p w:rsidR="00B651A9" w:rsidRPr="001340C5" w:rsidRDefault="00B651A9" w:rsidP="00244BAB">
      <w:pPr>
        <w:spacing w:after="0"/>
        <w:ind w:left="709" w:hanging="709"/>
        <w:jc w:val="both"/>
        <w:rPr>
          <w:rFonts w:ascii="Times New Roman" w:hAnsi="Times New Roman" w:cs="Times New Roman"/>
          <w:lang w:val="sk-SK"/>
        </w:rPr>
      </w:pPr>
    </w:p>
    <w:p w:rsidR="00B651A9" w:rsidRPr="001340C5" w:rsidRDefault="00B651A9" w:rsidP="00B16CC3">
      <w:pPr>
        <w:pStyle w:val="Odsekzoznamu"/>
        <w:numPr>
          <w:ilvl w:val="1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b/>
          <w:lang w:val="sk-SK"/>
        </w:rPr>
      </w:pPr>
      <w:r w:rsidRPr="001340C5">
        <w:rPr>
          <w:rFonts w:ascii="Times New Roman" w:hAnsi="Times New Roman" w:cs="Times New Roman"/>
          <w:b/>
          <w:lang w:val="sk-SK"/>
        </w:rPr>
        <w:t>Dávkovanie a spôsob podávania</w:t>
      </w:r>
    </w:p>
    <w:p w:rsidR="00B37318" w:rsidRPr="001340C5" w:rsidRDefault="00B37318" w:rsidP="00244BAB">
      <w:pPr>
        <w:spacing w:after="0"/>
        <w:jc w:val="both"/>
        <w:rPr>
          <w:rFonts w:ascii="Times New Roman" w:hAnsi="Times New Roman" w:cs="Times New Roman"/>
          <w:b/>
          <w:lang w:val="sk-SK"/>
        </w:rPr>
      </w:pPr>
    </w:p>
    <w:p w:rsidR="00B37318" w:rsidRPr="001340C5" w:rsidRDefault="00B37318" w:rsidP="00244BAB">
      <w:pPr>
        <w:spacing w:after="0"/>
        <w:jc w:val="both"/>
        <w:rPr>
          <w:rFonts w:ascii="Times New Roman" w:hAnsi="Times New Roman" w:cs="Times New Roman"/>
          <w:u w:val="single"/>
          <w:lang w:val="sk-SK"/>
        </w:rPr>
      </w:pPr>
      <w:r w:rsidRPr="001340C5">
        <w:rPr>
          <w:rFonts w:ascii="Times New Roman" w:hAnsi="Times New Roman" w:cs="Times New Roman"/>
          <w:u w:val="single"/>
          <w:lang w:val="sk-SK"/>
        </w:rPr>
        <w:t>Dávkovanie</w:t>
      </w:r>
    </w:p>
    <w:p w:rsidR="00B37318" w:rsidRPr="001340C5" w:rsidRDefault="00B37318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B37318" w:rsidRPr="001340C5" w:rsidRDefault="00B37318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Odporúčaná dávka </w:t>
      </w:r>
      <w:proofErr w:type="spellStart"/>
      <w:r w:rsidR="00522AF7">
        <w:rPr>
          <w:rFonts w:ascii="Times New Roman" w:hAnsi="Times New Roman" w:cs="Times New Roman"/>
          <w:lang w:val="sk-SK"/>
        </w:rPr>
        <w:t>C</w:t>
      </w:r>
      <w:r w:rsidR="004A7997" w:rsidRPr="001340C5">
        <w:rPr>
          <w:rFonts w:ascii="Times New Roman" w:hAnsi="Times New Roman" w:cs="Times New Roman"/>
          <w:lang w:val="sk-SK"/>
        </w:rPr>
        <w:t>andesartanu</w:t>
      </w:r>
      <w:proofErr w:type="spellEnd"/>
      <w:r w:rsidR="004A7997" w:rsidRPr="001340C5">
        <w:rPr>
          <w:rFonts w:ascii="Times New Roman" w:hAnsi="Times New Roman" w:cs="Times New Roman"/>
          <w:lang w:val="sk-SK"/>
        </w:rPr>
        <w:t xml:space="preserve"> HC</w:t>
      </w:r>
      <w:r w:rsidR="005906EC">
        <w:rPr>
          <w:rFonts w:ascii="Times New Roman" w:hAnsi="Times New Roman" w:cs="Times New Roman"/>
          <w:lang w:val="sk-SK"/>
        </w:rPr>
        <w:t>T</w:t>
      </w:r>
      <w:r w:rsidR="004A7997"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22AF7">
        <w:rPr>
          <w:rFonts w:ascii="Times New Roman" w:hAnsi="Times New Roman" w:cs="Times New Roman"/>
          <w:lang w:val="sk-SK"/>
        </w:rPr>
        <w:t>Swyssi</w:t>
      </w:r>
      <w:proofErr w:type="spellEnd"/>
      <w:r w:rsidR="004A7997" w:rsidRPr="001340C5">
        <w:rPr>
          <w:rFonts w:ascii="Times New Roman" w:hAnsi="Times New Roman" w:cs="Times New Roman"/>
          <w:lang w:val="sk-SK"/>
        </w:rPr>
        <w:t xml:space="preserve"> </w:t>
      </w:r>
      <w:r w:rsidRPr="001340C5">
        <w:rPr>
          <w:rFonts w:ascii="Times New Roman" w:hAnsi="Times New Roman" w:cs="Times New Roman"/>
          <w:lang w:val="sk-SK"/>
        </w:rPr>
        <w:t>je jedna tableta raz denne.</w:t>
      </w:r>
    </w:p>
    <w:p w:rsidR="00272ADB" w:rsidRPr="001340C5" w:rsidRDefault="00272ADB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Odporúča sa </w:t>
      </w:r>
      <w:proofErr w:type="spellStart"/>
      <w:r w:rsidRPr="001340C5">
        <w:rPr>
          <w:rFonts w:ascii="Times New Roman" w:hAnsi="Times New Roman" w:cs="Times New Roman"/>
          <w:lang w:val="sk-SK"/>
        </w:rPr>
        <w:t>vytitrovať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dávku  jednotlivých zložiek (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cilexetilu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). </w:t>
      </w:r>
    </w:p>
    <w:p w:rsidR="003C7122" w:rsidRPr="001340C5" w:rsidRDefault="00272ADB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V klinicky vhodných prípadoch sa môže zvážiť priama zmena z </w:t>
      </w:r>
      <w:proofErr w:type="spellStart"/>
      <w:r w:rsidRPr="001340C5">
        <w:rPr>
          <w:rFonts w:ascii="Times New Roman" w:hAnsi="Times New Roman" w:cs="Times New Roman"/>
          <w:lang w:val="sk-SK"/>
        </w:rPr>
        <w:t>monoterapie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na podávanie </w:t>
      </w:r>
      <w:proofErr w:type="spellStart"/>
      <w:r w:rsidR="00522AF7">
        <w:rPr>
          <w:rFonts w:ascii="Times New Roman" w:hAnsi="Times New Roman" w:cs="Times New Roman"/>
          <w:lang w:val="sk-SK"/>
        </w:rPr>
        <w:t>C</w:t>
      </w:r>
      <w:r w:rsidR="00CC38D1" w:rsidRPr="001340C5">
        <w:rPr>
          <w:rFonts w:ascii="Times New Roman" w:hAnsi="Times New Roman" w:cs="Times New Roman"/>
          <w:lang w:val="sk-SK"/>
        </w:rPr>
        <w:t>andesartanu</w:t>
      </w:r>
      <w:proofErr w:type="spellEnd"/>
      <w:r w:rsidR="00CC38D1" w:rsidRPr="001340C5">
        <w:rPr>
          <w:rFonts w:ascii="Times New Roman" w:hAnsi="Times New Roman" w:cs="Times New Roman"/>
          <w:lang w:val="sk-SK"/>
        </w:rPr>
        <w:t xml:space="preserve"> HC</w:t>
      </w:r>
      <w:r w:rsidR="005906EC">
        <w:rPr>
          <w:rFonts w:ascii="Times New Roman" w:hAnsi="Times New Roman" w:cs="Times New Roman"/>
          <w:lang w:val="sk-SK"/>
        </w:rPr>
        <w:t>T</w:t>
      </w:r>
      <w:r w:rsidR="00CC38D1"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22AF7">
        <w:rPr>
          <w:rFonts w:ascii="Times New Roman" w:hAnsi="Times New Roman" w:cs="Times New Roman"/>
          <w:lang w:val="sk-SK"/>
        </w:rPr>
        <w:t>Swyssi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. Odporúča sa </w:t>
      </w:r>
      <w:proofErr w:type="spellStart"/>
      <w:r w:rsidRPr="001340C5">
        <w:rPr>
          <w:rFonts w:ascii="Times New Roman" w:hAnsi="Times New Roman" w:cs="Times New Roman"/>
          <w:lang w:val="sk-SK"/>
        </w:rPr>
        <w:t>vytitrovať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dávku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cilexetilu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pred zmenou liečby </w:t>
      </w:r>
      <w:r w:rsidRPr="001340C5">
        <w:rPr>
          <w:rFonts w:ascii="Times New Roman" w:hAnsi="Times New Roman" w:cs="Times New Roman"/>
          <w:lang w:val="sk-SK"/>
        </w:rPr>
        <w:lastRenderedPageBreak/>
        <w:t xml:space="preserve">z </w:t>
      </w:r>
      <w:proofErr w:type="spellStart"/>
      <w:r w:rsidRPr="001340C5">
        <w:rPr>
          <w:rFonts w:ascii="Times New Roman" w:hAnsi="Times New Roman" w:cs="Times New Roman"/>
          <w:lang w:val="sk-SK"/>
        </w:rPr>
        <w:t>monoterapie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hydrochlorotiazidom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. </w:t>
      </w:r>
      <w:proofErr w:type="spellStart"/>
      <w:r w:rsidR="00522AF7">
        <w:rPr>
          <w:rFonts w:ascii="Times New Roman" w:hAnsi="Times New Roman" w:cs="Times New Roman"/>
          <w:lang w:val="sk-SK"/>
        </w:rPr>
        <w:t>C</w:t>
      </w:r>
      <w:r w:rsidR="00A7310B" w:rsidRPr="001340C5">
        <w:rPr>
          <w:rFonts w:ascii="Times New Roman" w:hAnsi="Times New Roman" w:cs="Times New Roman"/>
          <w:lang w:val="sk-SK"/>
        </w:rPr>
        <w:t>andesartan</w:t>
      </w:r>
      <w:proofErr w:type="spellEnd"/>
      <w:r w:rsidR="00A7310B" w:rsidRPr="001340C5">
        <w:rPr>
          <w:rFonts w:ascii="Times New Roman" w:hAnsi="Times New Roman" w:cs="Times New Roman"/>
          <w:lang w:val="sk-SK"/>
        </w:rPr>
        <w:t xml:space="preserve"> HC</w:t>
      </w:r>
      <w:r w:rsidR="005906EC">
        <w:rPr>
          <w:rFonts w:ascii="Times New Roman" w:hAnsi="Times New Roman" w:cs="Times New Roman"/>
          <w:lang w:val="sk-SK"/>
        </w:rPr>
        <w:t>T</w:t>
      </w:r>
      <w:r w:rsidR="00A7310B"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22AF7">
        <w:rPr>
          <w:rFonts w:ascii="Times New Roman" w:hAnsi="Times New Roman" w:cs="Times New Roman"/>
          <w:lang w:val="sk-SK"/>
        </w:rPr>
        <w:t>Swyssi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sa má používať u pacientov, ktorých krvný tlak nie je optimálne kontrolovaný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kandesartanom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cilexetilom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alebo </w:t>
      </w:r>
      <w:proofErr w:type="spellStart"/>
      <w:r w:rsidRPr="001340C5">
        <w:rPr>
          <w:rFonts w:ascii="Times New Roman" w:hAnsi="Times New Roman" w:cs="Times New Roman"/>
          <w:lang w:val="sk-SK"/>
        </w:rPr>
        <w:t>monoterapiou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hydrochlorotiazidom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alebo </w:t>
      </w:r>
      <w:proofErr w:type="spellStart"/>
      <w:r w:rsidR="00522AF7">
        <w:rPr>
          <w:rFonts w:ascii="Times New Roman" w:hAnsi="Times New Roman" w:cs="Times New Roman"/>
          <w:lang w:val="sk-SK"/>
        </w:rPr>
        <w:t>C</w:t>
      </w:r>
      <w:r w:rsidR="00A7310B" w:rsidRPr="001340C5">
        <w:rPr>
          <w:rFonts w:ascii="Times New Roman" w:hAnsi="Times New Roman" w:cs="Times New Roman"/>
          <w:lang w:val="sk-SK"/>
        </w:rPr>
        <w:t>andesartanom</w:t>
      </w:r>
      <w:proofErr w:type="spellEnd"/>
      <w:r w:rsidR="00A7310B" w:rsidRPr="001340C5">
        <w:rPr>
          <w:rFonts w:ascii="Times New Roman" w:hAnsi="Times New Roman" w:cs="Times New Roman"/>
          <w:lang w:val="sk-SK"/>
        </w:rPr>
        <w:t xml:space="preserve"> HC</w:t>
      </w:r>
      <w:r w:rsidR="005906EC">
        <w:rPr>
          <w:rFonts w:ascii="Times New Roman" w:hAnsi="Times New Roman" w:cs="Times New Roman"/>
          <w:lang w:val="sk-SK"/>
        </w:rPr>
        <w:t>T</w:t>
      </w:r>
      <w:r w:rsidR="00A7310B"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22AF7">
        <w:rPr>
          <w:rFonts w:ascii="Times New Roman" w:hAnsi="Times New Roman" w:cs="Times New Roman"/>
          <w:lang w:val="sk-SK"/>
        </w:rPr>
        <w:t>Swyssi</w:t>
      </w:r>
      <w:proofErr w:type="spellEnd"/>
      <w:r w:rsidR="00A7310B" w:rsidRPr="001340C5">
        <w:rPr>
          <w:rFonts w:ascii="Times New Roman" w:hAnsi="Times New Roman" w:cs="Times New Roman"/>
          <w:lang w:val="sk-SK"/>
        </w:rPr>
        <w:t xml:space="preserve"> </w:t>
      </w:r>
      <w:r w:rsidRPr="001340C5">
        <w:rPr>
          <w:rFonts w:ascii="Times New Roman" w:hAnsi="Times New Roman" w:cs="Times New Roman"/>
          <w:lang w:val="sk-SK"/>
        </w:rPr>
        <w:t>v nižších dávkach.</w:t>
      </w:r>
      <w:r w:rsidR="003C7122" w:rsidRPr="001340C5">
        <w:rPr>
          <w:rFonts w:ascii="Times New Roman" w:hAnsi="Times New Roman" w:cs="Times New Roman"/>
          <w:lang w:val="sk-SK"/>
        </w:rPr>
        <w:t xml:space="preserve"> (Pozri časti 4.3, 4.4, 4.5 a 5.1).</w:t>
      </w:r>
    </w:p>
    <w:p w:rsidR="009027D1" w:rsidRPr="001340C5" w:rsidRDefault="009027D1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272ADB" w:rsidRPr="001340C5" w:rsidRDefault="00272ADB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Maximum </w:t>
      </w:r>
      <w:proofErr w:type="spellStart"/>
      <w:r w:rsidRPr="001340C5">
        <w:rPr>
          <w:rFonts w:ascii="Times New Roman" w:hAnsi="Times New Roman" w:cs="Times New Roman"/>
          <w:lang w:val="sk-SK"/>
        </w:rPr>
        <w:t>antihypertenzného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účinku sa dosiahne počas 4 týždňov od začiatku liečby.</w:t>
      </w:r>
    </w:p>
    <w:p w:rsidR="00947F9E" w:rsidRPr="001340C5" w:rsidRDefault="00947F9E" w:rsidP="00244BAB">
      <w:pPr>
        <w:spacing w:after="0"/>
        <w:jc w:val="both"/>
        <w:rPr>
          <w:rFonts w:ascii="Times New Roman" w:hAnsi="Times New Roman" w:cs="Times New Roman"/>
          <w:u w:val="single"/>
          <w:lang w:val="sk-SK"/>
        </w:rPr>
      </w:pPr>
    </w:p>
    <w:p w:rsidR="00643F94" w:rsidRPr="001340C5" w:rsidRDefault="00643F94" w:rsidP="00244BAB">
      <w:pPr>
        <w:spacing w:after="0"/>
        <w:jc w:val="both"/>
        <w:rPr>
          <w:rFonts w:ascii="Times New Roman" w:hAnsi="Times New Roman" w:cs="Times New Roman"/>
          <w:u w:val="single"/>
          <w:lang w:val="sk-SK"/>
        </w:rPr>
      </w:pPr>
      <w:r w:rsidRPr="001340C5">
        <w:rPr>
          <w:rFonts w:ascii="Times New Roman" w:hAnsi="Times New Roman" w:cs="Times New Roman"/>
          <w:u w:val="single"/>
          <w:lang w:val="sk-SK"/>
        </w:rPr>
        <w:t>Osobitné skupiny pacientov</w:t>
      </w:r>
    </w:p>
    <w:p w:rsidR="00643F94" w:rsidRPr="001340C5" w:rsidRDefault="00643F94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643F94" w:rsidRPr="001340C5" w:rsidRDefault="00643F94" w:rsidP="00244BAB">
      <w:pPr>
        <w:spacing w:after="0"/>
        <w:jc w:val="both"/>
        <w:rPr>
          <w:rFonts w:ascii="Times New Roman" w:hAnsi="Times New Roman" w:cs="Times New Roman"/>
          <w:i/>
          <w:lang w:val="sk-SK"/>
        </w:rPr>
      </w:pPr>
      <w:r w:rsidRPr="001340C5">
        <w:rPr>
          <w:rFonts w:ascii="Times New Roman" w:hAnsi="Times New Roman" w:cs="Times New Roman"/>
          <w:i/>
          <w:lang w:val="sk-SK"/>
        </w:rPr>
        <w:t xml:space="preserve">Starší pacienti </w:t>
      </w:r>
    </w:p>
    <w:p w:rsidR="00643F94" w:rsidRPr="001340C5" w:rsidRDefault="00643F94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>U starších pacientov nie je potrebná úprava dávkovania.</w:t>
      </w:r>
    </w:p>
    <w:p w:rsidR="00643F94" w:rsidRPr="001340C5" w:rsidRDefault="00643F94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643F94" w:rsidRPr="001340C5" w:rsidRDefault="00643F94" w:rsidP="00244BAB">
      <w:pPr>
        <w:spacing w:after="0"/>
        <w:jc w:val="both"/>
        <w:rPr>
          <w:rFonts w:ascii="Times New Roman" w:hAnsi="Times New Roman" w:cs="Times New Roman"/>
          <w:i/>
          <w:lang w:val="sk-SK"/>
        </w:rPr>
      </w:pPr>
      <w:r w:rsidRPr="001340C5">
        <w:rPr>
          <w:rFonts w:ascii="Times New Roman" w:hAnsi="Times New Roman" w:cs="Times New Roman"/>
          <w:i/>
          <w:lang w:val="sk-SK"/>
        </w:rPr>
        <w:t xml:space="preserve">Pacienti s </w:t>
      </w:r>
      <w:proofErr w:type="spellStart"/>
      <w:r w:rsidRPr="001340C5">
        <w:rPr>
          <w:rFonts w:ascii="Times New Roman" w:hAnsi="Times New Roman" w:cs="Times New Roman"/>
          <w:i/>
          <w:lang w:val="sk-SK"/>
        </w:rPr>
        <w:t>depléciou</w:t>
      </w:r>
      <w:proofErr w:type="spellEnd"/>
      <w:r w:rsidRPr="001340C5">
        <w:rPr>
          <w:rFonts w:ascii="Times New Roman" w:hAnsi="Times New Roman" w:cs="Times New Roman"/>
          <w:i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i/>
          <w:lang w:val="sk-SK"/>
        </w:rPr>
        <w:t>intravaskulárneho</w:t>
      </w:r>
      <w:proofErr w:type="spellEnd"/>
      <w:r w:rsidRPr="001340C5">
        <w:rPr>
          <w:rFonts w:ascii="Times New Roman" w:hAnsi="Times New Roman" w:cs="Times New Roman"/>
          <w:i/>
          <w:lang w:val="sk-SK"/>
        </w:rPr>
        <w:t xml:space="preserve"> objemu</w:t>
      </w:r>
    </w:p>
    <w:p w:rsidR="00643F94" w:rsidRPr="001340C5" w:rsidRDefault="00643F94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U pacientov s rizikom vzniku hypotenzie, akými sú pacienti s možným znížením cirkulujúceho objemu, sa odporúča titrácia dávky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cilexetilu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(je potrebné zvážiť u týchto pacientov začiatočnú dávku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cilexetilu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4 mg).</w:t>
      </w:r>
    </w:p>
    <w:p w:rsidR="007F0D90" w:rsidRPr="001340C5" w:rsidRDefault="007F0D90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111FD2" w:rsidRPr="001340C5" w:rsidRDefault="00111FD2" w:rsidP="00244BAB">
      <w:pPr>
        <w:spacing w:after="0"/>
        <w:jc w:val="both"/>
        <w:rPr>
          <w:rFonts w:ascii="Times New Roman" w:hAnsi="Times New Roman" w:cs="Times New Roman"/>
          <w:i/>
          <w:lang w:val="sk-SK"/>
        </w:rPr>
      </w:pPr>
      <w:r w:rsidRPr="001340C5">
        <w:rPr>
          <w:rFonts w:ascii="Times New Roman" w:hAnsi="Times New Roman" w:cs="Times New Roman"/>
          <w:i/>
          <w:lang w:val="sk-SK"/>
        </w:rPr>
        <w:t>Pacienti s po</w:t>
      </w:r>
      <w:r w:rsidR="003C7122" w:rsidRPr="001340C5">
        <w:rPr>
          <w:rFonts w:ascii="Times New Roman" w:hAnsi="Times New Roman" w:cs="Times New Roman"/>
          <w:i/>
          <w:lang w:val="sk-SK"/>
        </w:rPr>
        <w:t>ruchou</w:t>
      </w:r>
      <w:r w:rsidRPr="001340C5">
        <w:rPr>
          <w:rFonts w:ascii="Times New Roman" w:hAnsi="Times New Roman" w:cs="Times New Roman"/>
          <w:i/>
          <w:lang w:val="sk-SK"/>
        </w:rPr>
        <w:t xml:space="preserve"> funkcie obličiek</w:t>
      </w:r>
    </w:p>
    <w:p w:rsidR="00111FD2" w:rsidRPr="001340C5" w:rsidRDefault="00111FD2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U týchto pacientov sa pred </w:t>
      </w:r>
      <w:proofErr w:type="spellStart"/>
      <w:r w:rsidRPr="001340C5">
        <w:rPr>
          <w:rFonts w:ascii="Times New Roman" w:hAnsi="Times New Roman" w:cs="Times New Roman"/>
          <w:lang w:val="sk-SK"/>
        </w:rPr>
        <w:t>tiazidovými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diuretikami uprednostňujú slučkové diuretiká. U pacientov s miernym až stredne ťažkým poškodením obličiek (</w:t>
      </w:r>
      <w:proofErr w:type="spellStart"/>
      <w:r w:rsidRPr="001340C5">
        <w:rPr>
          <w:rFonts w:ascii="Times New Roman" w:hAnsi="Times New Roman" w:cs="Times New Roman"/>
          <w:lang w:val="sk-SK"/>
        </w:rPr>
        <w:t>klírens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kreatinínu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r w:rsidR="0038139E" w:rsidRPr="001340C5">
        <w:rPr>
          <w:rFonts w:ascii="Times New Roman" w:hAnsi="Times New Roman" w:cs="Times New Roman"/>
          <w:lang w:val="sk-SK"/>
        </w:rPr>
        <w:t>≥</w:t>
      </w:r>
      <w:r w:rsidRPr="001340C5">
        <w:rPr>
          <w:rFonts w:ascii="Times New Roman" w:hAnsi="Times New Roman" w:cs="Times New Roman"/>
          <w:lang w:val="sk-SK"/>
        </w:rPr>
        <w:t xml:space="preserve"> 30 ml/min/1,73 m</w:t>
      </w:r>
      <w:r w:rsidRPr="001340C5">
        <w:rPr>
          <w:rFonts w:ascii="Times New Roman" w:hAnsi="Times New Roman" w:cs="Times New Roman"/>
          <w:vertAlign w:val="superscript"/>
          <w:lang w:val="sk-SK"/>
        </w:rPr>
        <w:t>2</w:t>
      </w:r>
      <w:r w:rsidRPr="001340C5">
        <w:rPr>
          <w:rFonts w:ascii="Times New Roman" w:hAnsi="Times New Roman" w:cs="Times New Roman"/>
          <w:lang w:val="sk-SK"/>
        </w:rPr>
        <w:t xml:space="preserve"> plochy tela, Body </w:t>
      </w:r>
      <w:proofErr w:type="spellStart"/>
      <w:r w:rsidRPr="001340C5">
        <w:rPr>
          <w:rFonts w:ascii="Times New Roman" w:hAnsi="Times New Roman" w:cs="Times New Roman"/>
          <w:lang w:val="sk-SK"/>
        </w:rPr>
        <w:t>Surface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Area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(BSA)) sa odporúča pred liečbou </w:t>
      </w:r>
      <w:proofErr w:type="spellStart"/>
      <w:r w:rsidR="00522AF7">
        <w:rPr>
          <w:rFonts w:ascii="Times New Roman" w:hAnsi="Times New Roman" w:cs="Times New Roman"/>
          <w:lang w:val="sk-SK"/>
        </w:rPr>
        <w:t>Candesartanom</w:t>
      </w:r>
      <w:proofErr w:type="spellEnd"/>
      <w:r w:rsidR="00522AF7">
        <w:rPr>
          <w:rFonts w:ascii="Times New Roman" w:hAnsi="Times New Roman" w:cs="Times New Roman"/>
          <w:lang w:val="sk-SK"/>
        </w:rPr>
        <w:t xml:space="preserve"> HC</w:t>
      </w:r>
      <w:r w:rsidR="005906EC">
        <w:rPr>
          <w:rFonts w:ascii="Times New Roman" w:hAnsi="Times New Roman" w:cs="Times New Roman"/>
          <w:lang w:val="sk-SK"/>
        </w:rPr>
        <w:t>T</w:t>
      </w:r>
      <w:r w:rsidR="00522AF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22AF7">
        <w:rPr>
          <w:rFonts w:ascii="Times New Roman" w:hAnsi="Times New Roman" w:cs="Times New Roman"/>
          <w:lang w:val="sk-SK"/>
        </w:rPr>
        <w:t>Swyssi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vytitrovať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dávku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cilexetilu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(odporúčaná počiatočná dávka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cilexetilu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u týchto pacientov je 4 mg).</w:t>
      </w:r>
    </w:p>
    <w:p w:rsidR="00111FD2" w:rsidRPr="001340C5" w:rsidRDefault="00522AF7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>
        <w:rPr>
          <w:rFonts w:ascii="Times New Roman" w:hAnsi="Times New Roman" w:cs="Times New Roman"/>
          <w:lang w:val="sk-SK"/>
        </w:rPr>
        <w:t>C</w:t>
      </w:r>
      <w:r w:rsidR="00B327FA" w:rsidRPr="001340C5">
        <w:rPr>
          <w:rFonts w:ascii="Times New Roman" w:hAnsi="Times New Roman" w:cs="Times New Roman"/>
          <w:lang w:val="sk-SK"/>
        </w:rPr>
        <w:t>andesartan</w:t>
      </w:r>
      <w:proofErr w:type="spellEnd"/>
      <w:r w:rsidR="00B327FA" w:rsidRPr="001340C5">
        <w:rPr>
          <w:rFonts w:ascii="Times New Roman" w:hAnsi="Times New Roman" w:cs="Times New Roman"/>
          <w:lang w:val="sk-SK"/>
        </w:rPr>
        <w:t xml:space="preserve"> HC</w:t>
      </w:r>
      <w:r w:rsidR="005906EC">
        <w:rPr>
          <w:rFonts w:ascii="Times New Roman" w:hAnsi="Times New Roman" w:cs="Times New Roman"/>
          <w:lang w:val="sk-SK"/>
        </w:rPr>
        <w:t>T</w:t>
      </w:r>
      <w:r w:rsidR="00B327FA"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lang w:val="sk-SK"/>
        </w:rPr>
        <w:t>Swyssi</w:t>
      </w:r>
      <w:proofErr w:type="spellEnd"/>
      <w:r w:rsidR="00B327FA" w:rsidRPr="001340C5">
        <w:rPr>
          <w:rFonts w:ascii="Times New Roman" w:hAnsi="Times New Roman" w:cs="Times New Roman"/>
          <w:lang w:val="sk-SK"/>
        </w:rPr>
        <w:t xml:space="preserve"> </w:t>
      </w:r>
      <w:r w:rsidR="00111FD2" w:rsidRPr="001340C5">
        <w:rPr>
          <w:rFonts w:ascii="Times New Roman" w:hAnsi="Times New Roman" w:cs="Times New Roman"/>
          <w:lang w:val="sk-SK"/>
        </w:rPr>
        <w:t>je kontraindikovaný u pacientov s ťažkým poškodením obličiek (</w:t>
      </w:r>
      <w:proofErr w:type="spellStart"/>
      <w:r w:rsidR="00111FD2" w:rsidRPr="001340C5">
        <w:rPr>
          <w:rFonts w:ascii="Times New Roman" w:hAnsi="Times New Roman" w:cs="Times New Roman"/>
          <w:lang w:val="sk-SK"/>
        </w:rPr>
        <w:t>klírens</w:t>
      </w:r>
      <w:proofErr w:type="spellEnd"/>
      <w:r w:rsidR="00111FD2"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11FD2" w:rsidRPr="001340C5">
        <w:rPr>
          <w:rFonts w:ascii="Times New Roman" w:hAnsi="Times New Roman" w:cs="Times New Roman"/>
          <w:lang w:val="sk-SK"/>
        </w:rPr>
        <w:t>kreatinínu</w:t>
      </w:r>
      <w:proofErr w:type="spellEnd"/>
      <w:r w:rsidR="00111FD2" w:rsidRPr="001340C5">
        <w:rPr>
          <w:rFonts w:ascii="Times New Roman" w:hAnsi="Times New Roman" w:cs="Times New Roman"/>
          <w:lang w:val="sk-SK"/>
        </w:rPr>
        <w:t xml:space="preserve"> &lt; 30 ml/min/1,73 m</w:t>
      </w:r>
      <w:r w:rsidR="00111FD2" w:rsidRPr="001340C5">
        <w:rPr>
          <w:rFonts w:ascii="Times New Roman" w:hAnsi="Times New Roman" w:cs="Times New Roman"/>
          <w:vertAlign w:val="superscript"/>
          <w:lang w:val="sk-SK"/>
        </w:rPr>
        <w:t>2</w:t>
      </w:r>
      <w:r w:rsidR="00111FD2" w:rsidRPr="001340C5">
        <w:rPr>
          <w:rFonts w:ascii="Times New Roman" w:hAnsi="Times New Roman" w:cs="Times New Roman"/>
          <w:lang w:val="sk-SK"/>
        </w:rPr>
        <w:t xml:space="preserve"> BSA) (pozri časť 4.3).</w:t>
      </w:r>
    </w:p>
    <w:p w:rsidR="007F0D90" w:rsidRPr="001340C5" w:rsidRDefault="007F0D90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2B7BDB" w:rsidRPr="001340C5" w:rsidRDefault="002B7BDB" w:rsidP="00244BAB">
      <w:pPr>
        <w:spacing w:after="0"/>
        <w:jc w:val="both"/>
        <w:rPr>
          <w:rFonts w:ascii="Times New Roman" w:hAnsi="Times New Roman" w:cs="Times New Roman"/>
          <w:i/>
          <w:lang w:val="sk-SK"/>
        </w:rPr>
      </w:pPr>
      <w:r w:rsidRPr="001340C5">
        <w:rPr>
          <w:rFonts w:ascii="Times New Roman" w:hAnsi="Times New Roman" w:cs="Times New Roman"/>
          <w:i/>
          <w:lang w:val="sk-SK"/>
        </w:rPr>
        <w:t>Pacienti s po</w:t>
      </w:r>
      <w:r w:rsidR="003C7122" w:rsidRPr="001340C5">
        <w:rPr>
          <w:rFonts w:ascii="Times New Roman" w:hAnsi="Times New Roman" w:cs="Times New Roman"/>
          <w:i/>
          <w:lang w:val="sk-SK"/>
        </w:rPr>
        <w:t>ruchou</w:t>
      </w:r>
      <w:r w:rsidRPr="001340C5">
        <w:rPr>
          <w:rFonts w:ascii="Times New Roman" w:hAnsi="Times New Roman" w:cs="Times New Roman"/>
          <w:i/>
          <w:lang w:val="sk-SK"/>
        </w:rPr>
        <w:t xml:space="preserve"> funkcie pečene</w:t>
      </w:r>
    </w:p>
    <w:p w:rsidR="002B7BDB" w:rsidRPr="001340C5" w:rsidRDefault="002B7BDB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>U pacientov s miernym alebo stredne ťažkým poškodením p</w:t>
      </w:r>
      <w:r w:rsidR="00522AF7">
        <w:rPr>
          <w:rFonts w:ascii="Times New Roman" w:hAnsi="Times New Roman" w:cs="Times New Roman"/>
          <w:lang w:val="sk-SK"/>
        </w:rPr>
        <w:t xml:space="preserve">ečene sa odporúča pred liečbou </w:t>
      </w:r>
      <w:proofErr w:type="spellStart"/>
      <w:r w:rsidR="00522AF7">
        <w:rPr>
          <w:rFonts w:ascii="Times New Roman" w:hAnsi="Times New Roman" w:cs="Times New Roman"/>
          <w:lang w:val="sk-SK"/>
        </w:rPr>
        <w:t>C</w:t>
      </w:r>
      <w:r w:rsidR="00A83040" w:rsidRPr="001340C5">
        <w:rPr>
          <w:rFonts w:ascii="Times New Roman" w:hAnsi="Times New Roman" w:cs="Times New Roman"/>
          <w:lang w:val="sk-SK"/>
        </w:rPr>
        <w:t>andesartanom</w:t>
      </w:r>
      <w:proofErr w:type="spellEnd"/>
      <w:r w:rsidR="00A83040" w:rsidRPr="001340C5">
        <w:rPr>
          <w:rFonts w:ascii="Times New Roman" w:hAnsi="Times New Roman" w:cs="Times New Roman"/>
          <w:lang w:val="sk-SK"/>
        </w:rPr>
        <w:t xml:space="preserve"> HC</w:t>
      </w:r>
      <w:r w:rsidR="005906EC">
        <w:rPr>
          <w:rFonts w:ascii="Times New Roman" w:hAnsi="Times New Roman" w:cs="Times New Roman"/>
          <w:lang w:val="sk-SK"/>
        </w:rPr>
        <w:t>T</w:t>
      </w:r>
      <w:r w:rsidR="00A83040"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22AF7">
        <w:rPr>
          <w:rFonts w:ascii="Times New Roman" w:hAnsi="Times New Roman" w:cs="Times New Roman"/>
          <w:lang w:val="sk-SK"/>
        </w:rPr>
        <w:t>Swyssi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vytitrovať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dávku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cilexetilu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(odporúčaná počiatočná dávka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cilexetilu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u týchto pacientov je 4 mg).</w:t>
      </w:r>
    </w:p>
    <w:p w:rsidR="002B7BDB" w:rsidRPr="001340C5" w:rsidRDefault="00522AF7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>
        <w:rPr>
          <w:rFonts w:ascii="Times New Roman" w:hAnsi="Times New Roman" w:cs="Times New Roman"/>
          <w:lang w:val="sk-SK"/>
        </w:rPr>
        <w:t>C</w:t>
      </w:r>
      <w:r w:rsidR="00A83040" w:rsidRPr="001340C5">
        <w:rPr>
          <w:rFonts w:ascii="Times New Roman" w:hAnsi="Times New Roman" w:cs="Times New Roman"/>
          <w:lang w:val="sk-SK"/>
        </w:rPr>
        <w:t>andesartan</w:t>
      </w:r>
      <w:proofErr w:type="spellEnd"/>
      <w:r w:rsidR="00A83040" w:rsidRPr="001340C5">
        <w:rPr>
          <w:rFonts w:ascii="Times New Roman" w:hAnsi="Times New Roman" w:cs="Times New Roman"/>
          <w:lang w:val="sk-SK"/>
        </w:rPr>
        <w:t xml:space="preserve"> HC</w:t>
      </w:r>
      <w:r w:rsidR="005906EC">
        <w:rPr>
          <w:rFonts w:ascii="Times New Roman" w:hAnsi="Times New Roman" w:cs="Times New Roman"/>
          <w:lang w:val="sk-SK"/>
        </w:rPr>
        <w:t>T</w:t>
      </w:r>
      <w:r w:rsidR="00A83040"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lang w:val="sk-SK"/>
        </w:rPr>
        <w:t>Swyssi</w:t>
      </w:r>
      <w:proofErr w:type="spellEnd"/>
      <w:r w:rsidR="00A83040" w:rsidRPr="001340C5">
        <w:rPr>
          <w:rFonts w:ascii="Times New Roman" w:hAnsi="Times New Roman" w:cs="Times New Roman"/>
          <w:lang w:val="sk-SK"/>
        </w:rPr>
        <w:t xml:space="preserve"> </w:t>
      </w:r>
      <w:r w:rsidR="002B7BDB" w:rsidRPr="001340C5">
        <w:rPr>
          <w:rFonts w:ascii="Times New Roman" w:hAnsi="Times New Roman" w:cs="Times New Roman"/>
          <w:lang w:val="sk-SK"/>
        </w:rPr>
        <w:t>je kontraindikovaný u pacientov s ťažkým poškodením pečene a/alebo</w:t>
      </w:r>
      <w:r w:rsidR="00A83040" w:rsidRPr="001340C5">
        <w:rPr>
          <w:rFonts w:ascii="Times New Roman" w:hAnsi="Times New Roman" w:cs="Times New Roman"/>
          <w:lang w:val="sk-SK"/>
        </w:rPr>
        <w:t xml:space="preserve"> </w:t>
      </w:r>
      <w:r w:rsidR="002B7BDB" w:rsidRPr="001340C5">
        <w:rPr>
          <w:rFonts w:ascii="Times New Roman" w:hAnsi="Times New Roman" w:cs="Times New Roman"/>
          <w:lang w:val="sk-SK"/>
        </w:rPr>
        <w:t xml:space="preserve">s </w:t>
      </w:r>
      <w:proofErr w:type="spellStart"/>
      <w:r w:rsidR="002B7BDB" w:rsidRPr="001340C5">
        <w:rPr>
          <w:rFonts w:ascii="Times New Roman" w:hAnsi="Times New Roman" w:cs="Times New Roman"/>
          <w:lang w:val="sk-SK"/>
        </w:rPr>
        <w:t>cholestázou</w:t>
      </w:r>
      <w:proofErr w:type="spellEnd"/>
      <w:r w:rsidR="002B7BDB" w:rsidRPr="001340C5">
        <w:rPr>
          <w:rFonts w:ascii="Times New Roman" w:hAnsi="Times New Roman" w:cs="Times New Roman"/>
          <w:lang w:val="sk-SK"/>
        </w:rPr>
        <w:t xml:space="preserve"> (pozri časť 4.3).</w:t>
      </w:r>
    </w:p>
    <w:p w:rsidR="00C54471" w:rsidRPr="001340C5" w:rsidRDefault="00C54471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C54471" w:rsidRPr="001340C5" w:rsidRDefault="0082070B" w:rsidP="00244BAB">
      <w:pPr>
        <w:spacing w:after="0"/>
        <w:jc w:val="both"/>
        <w:rPr>
          <w:rFonts w:ascii="Times New Roman" w:hAnsi="Times New Roman" w:cs="Times New Roman"/>
          <w:u w:val="single"/>
          <w:lang w:val="sk-SK"/>
        </w:rPr>
      </w:pPr>
      <w:r w:rsidRPr="001340C5">
        <w:rPr>
          <w:rFonts w:ascii="Times New Roman" w:hAnsi="Times New Roman" w:cs="Times New Roman"/>
          <w:u w:val="single"/>
          <w:lang w:val="sk-SK"/>
        </w:rPr>
        <w:t>Pediatrická populácia</w:t>
      </w:r>
    </w:p>
    <w:p w:rsidR="0082070B" w:rsidRPr="001340C5" w:rsidRDefault="0082070B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C54471" w:rsidRPr="001340C5" w:rsidRDefault="00C54471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Bezpečnosť a účinnosť </w:t>
      </w:r>
      <w:proofErr w:type="spellStart"/>
      <w:r w:rsidR="00522AF7">
        <w:rPr>
          <w:rFonts w:ascii="Times New Roman" w:hAnsi="Times New Roman" w:cs="Times New Roman"/>
          <w:lang w:val="sk-SK"/>
        </w:rPr>
        <w:t>C</w:t>
      </w:r>
      <w:r w:rsidR="006220DB" w:rsidRPr="001340C5">
        <w:rPr>
          <w:rFonts w:ascii="Times New Roman" w:hAnsi="Times New Roman" w:cs="Times New Roman"/>
          <w:lang w:val="sk-SK"/>
        </w:rPr>
        <w:t>andesartanu</w:t>
      </w:r>
      <w:proofErr w:type="spellEnd"/>
      <w:r w:rsidR="006220DB" w:rsidRPr="001340C5">
        <w:rPr>
          <w:rFonts w:ascii="Times New Roman" w:hAnsi="Times New Roman" w:cs="Times New Roman"/>
          <w:lang w:val="sk-SK"/>
        </w:rPr>
        <w:t xml:space="preserve"> HC</w:t>
      </w:r>
      <w:r w:rsidR="005906EC">
        <w:rPr>
          <w:rFonts w:ascii="Times New Roman" w:hAnsi="Times New Roman" w:cs="Times New Roman"/>
          <w:lang w:val="sk-SK"/>
        </w:rPr>
        <w:t>T</w:t>
      </w:r>
      <w:r w:rsidR="006220DB"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22AF7">
        <w:rPr>
          <w:rFonts w:ascii="Times New Roman" w:hAnsi="Times New Roman" w:cs="Times New Roman"/>
          <w:lang w:val="sk-SK"/>
        </w:rPr>
        <w:t>Swyssi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u detí a mladistvých od narodenia do 18 rokov nebola stanovená. K dispozícii nie sú žiadne údaje.</w:t>
      </w:r>
    </w:p>
    <w:p w:rsidR="00C54471" w:rsidRPr="001340C5" w:rsidRDefault="00C54471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C54471" w:rsidRPr="001340C5" w:rsidRDefault="00C54471" w:rsidP="00244BAB">
      <w:pPr>
        <w:spacing w:after="0"/>
        <w:jc w:val="both"/>
        <w:rPr>
          <w:rFonts w:ascii="Times New Roman" w:hAnsi="Times New Roman" w:cs="Times New Roman"/>
          <w:u w:val="single"/>
          <w:lang w:val="sk-SK"/>
        </w:rPr>
      </w:pPr>
      <w:r w:rsidRPr="001340C5">
        <w:rPr>
          <w:rFonts w:ascii="Times New Roman" w:hAnsi="Times New Roman" w:cs="Times New Roman"/>
          <w:u w:val="single"/>
          <w:lang w:val="sk-SK"/>
        </w:rPr>
        <w:t>Spôsob podávania</w:t>
      </w:r>
    </w:p>
    <w:p w:rsidR="00A863C3" w:rsidRPr="001340C5" w:rsidRDefault="00A863C3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EB390A" w:rsidRPr="001340C5" w:rsidRDefault="00EB390A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>Perorálne.</w:t>
      </w:r>
    </w:p>
    <w:p w:rsidR="00EB390A" w:rsidRPr="001340C5" w:rsidRDefault="00522AF7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>
        <w:rPr>
          <w:rFonts w:ascii="Times New Roman" w:hAnsi="Times New Roman" w:cs="Times New Roman"/>
          <w:lang w:val="sk-SK"/>
        </w:rPr>
        <w:t>C</w:t>
      </w:r>
      <w:r w:rsidR="00D51005" w:rsidRPr="001340C5">
        <w:rPr>
          <w:rFonts w:ascii="Times New Roman" w:hAnsi="Times New Roman" w:cs="Times New Roman"/>
          <w:lang w:val="sk-SK"/>
        </w:rPr>
        <w:t>andesartan</w:t>
      </w:r>
      <w:proofErr w:type="spellEnd"/>
      <w:r w:rsidR="00D51005" w:rsidRPr="001340C5">
        <w:rPr>
          <w:rFonts w:ascii="Times New Roman" w:hAnsi="Times New Roman" w:cs="Times New Roman"/>
          <w:lang w:val="sk-SK"/>
        </w:rPr>
        <w:t xml:space="preserve"> HC</w:t>
      </w:r>
      <w:r w:rsidR="005906EC">
        <w:rPr>
          <w:rFonts w:ascii="Times New Roman" w:hAnsi="Times New Roman" w:cs="Times New Roman"/>
          <w:lang w:val="sk-SK"/>
        </w:rPr>
        <w:t>T</w:t>
      </w:r>
      <w:r w:rsidR="00D51005"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lang w:val="sk-SK"/>
        </w:rPr>
        <w:t>Swyssi</w:t>
      </w:r>
      <w:proofErr w:type="spellEnd"/>
      <w:r w:rsidR="00EB390A" w:rsidRPr="001340C5">
        <w:rPr>
          <w:rFonts w:ascii="Times New Roman" w:hAnsi="Times New Roman" w:cs="Times New Roman"/>
          <w:lang w:val="sk-SK"/>
        </w:rPr>
        <w:t xml:space="preserve"> sa môže užívať nezávisle od príjmu </w:t>
      </w:r>
      <w:r w:rsidR="00C1681E" w:rsidRPr="001340C5">
        <w:rPr>
          <w:rFonts w:ascii="Times New Roman" w:hAnsi="Times New Roman" w:cs="Times New Roman"/>
          <w:lang w:val="sk-SK"/>
        </w:rPr>
        <w:t>jedla</w:t>
      </w:r>
      <w:r w:rsidR="00EB390A" w:rsidRPr="001340C5">
        <w:rPr>
          <w:rFonts w:ascii="Times New Roman" w:hAnsi="Times New Roman" w:cs="Times New Roman"/>
          <w:lang w:val="sk-SK"/>
        </w:rPr>
        <w:t>.</w:t>
      </w:r>
    </w:p>
    <w:p w:rsidR="00EB390A" w:rsidRPr="001340C5" w:rsidRDefault="00EB390A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Biologická dostupnosť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nie je ovplyvnená </w:t>
      </w:r>
      <w:r w:rsidR="00C1681E" w:rsidRPr="001340C5">
        <w:rPr>
          <w:rFonts w:ascii="Times New Roman" w:hAnsi="Times New Roman" w:cs="Times New Roman"/>
          <w:lang w:val="sk-SK"/>
        </w:rPr>
        <w:t>jedlom</w:t>
      </w:r>
      <w:r w:rsidRPr="001340C5">
        <w:rPr>
          <w:rFonts w:ascii="Times New Roman" w:hAnsi="Times New Roman" w:cs="Times New Roman"/>
          <w:lang w:val="sk-SK"/>
        </w:rPr>
        <w:t>.</w:t>
      </w:r>
    </w:p>
    <w:p w:rsidR="00EB390A" w:rsidRPr="001340C5" w:rsidRDefault="00EB390A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Nie sú žiadne klinicky významné interakcie medzi 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hydrochlorotiazidom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 </w:t>
      </w:r>
      <w:r w:rsidR="00C1681E" w:rsidRPr="001340C5">
        <w:rPr>
          <w:rFonts w:ascii="Times New Roman" w:hAnsi="Times New Roman" w:cs="Times New Roman"/>
          <w:lang w:val="sk-SK"/>
        </w:rPr>
        <w:t>jedlom</w:t>
      </w:r>
      <w:r w:rsidRPr="001340C5">
        <w:rPr>
          <w:rFonts w:ascii="Times New Roman" w:hAnsi="Times New Roman" w:cs="Times New Roman"/>
          <w:lang w:val="sk-SK"/>
        </w:rPr>
        <w:t>.</w:t>
      </w:r>
    </w:p>
    <w:p w:rsidR="00EB390A" w:rsidRPr="001340C5" w:rsidRDefault="00EB390A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C54471" w:rsidRPr="001340C5" w:rsidRDefault="00EB390A" w:rsidP="00B16CC3">
      <w:pPr>
        <w:pStyle w:val="Odsekzoznamu"/>
        <w:numPr>
          <w:ilvl w:val="1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b/>
          <w:lang w:val="sk-SK"/>
        </w:rPr>
      </w:pPr>
      <w:r w:rsidRPr="001340C5">
        <w:rPr>
          <w:rFonts w:ascii="Times New Roman" w:hAnsi="Times New Roman" w:cs="Times New Roman"/>
          <w:b/>
          <w:lang w:val="sk-SK"/>
        </w:rPr>
        <w:t>Kontraindikácie</w:t>
      </w:r>
    </w:p>
    <w:p w:rsidR="00D54CDE" w:rsidRPr="001340C5" w:rsidRDefault="00D54CDE" w:rsidP="00244BAB">
      <w:pPr>
        <w:spacing w:after="0"/>
        <w:jc w:val="both"/>
        <w:rPr>
          <w:rFonts w:ascii="Times New Roman" w:hAnsi="Times New Roman" w:cs="Times New Roman"/>
          <w:b/>
          <w:lang w:val="sk-SK"/>
        </w:rPr>
      </w:pPr>
    </w:p>
    <w:p w:rsidR="00D54CDE" w:rsidRPr="001340C5" w:rsidRDefault="00D54CDE" w:rsidP="004842F6">
      <w:pPr>
        <w:pStyle w:val="Odsekzoznamu"/>
        <w:numPr>
          <w:ilvl w:val="0"/>
          <w:numId w:val="17"/>
        </w:numPr>
        <w:spacing w:after="0"/>
        <w:ind w:left="567" w:hanging="567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>Precitlivenosť na liečiv</w:t>
      </w:r>
      <w:r w:rsidR="00F27968" w:rsidRPr="001340C5">
        <w:rPr>
          <w:rFonts w:ascii="Times New Roman" w:hAnsi="Times New Roman" w:cs="Times New Roman"/>
          <w:lang w:val="sk-SK"/>
        </w:rPr>
        <w:t>á</w:t>
      </w:r>
      <w:r w:rsidRPr="001340C5">
        <w:rPr>
          <w:rFonts w:ascii="Times New Roman" w:hAnsi="Times New Roman" w:cs="Times New Roman"/>
          <w:lang w:val="sk-SK"/>
        </w:rPr>
        <w:t xml:space="preserve"> alebo na ktorúkoľvek z pomocných látok uvedených v časti 6.1 alebo na deriváty sulfónamidových liečiv. 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je sulfónamidový derivát.</w:t>
      </w:r>
    </w:p>
    <w:p w:rsidR="00D54CDE" w:rsidRPr="001340C5" w:rsidRDefault="00D54CDE" w:rsidP="004842F6">
      <w:pPr>
        <w:pStyle w:val="Odsekzoznamu"/>
        <w:numPr>
          <w:ilvl w:val="0"/>
          <w:numId w:val="17"/>
        </w:numPr>
        <w:spacing w:after="0"/>
        <w:ind w:left="567" w:hanging="567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Druhý a tretí </w:t>
      </w:r>
      <w:proofErr w:type="spellStart"/>
      <w:r w:rsidRPr="001340C5">
        <w:rPr>
          <w:rFonts w:ascii="Times New Roman" w:hAnsi="Times New Roman" w:cs="Times New Roman"/>
          <w:lang w:val="sk-SK"/>
        </w:rPr>
        <w:t>trimester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gravidity (pozri časť 4.4 a 4.6).</w:t>
      </w:r>
    </w:p>
    <w:p w:rsidR="00D54CDE" w:rsidRPr="001340C5" w:rsidRDefault="00D54CDE" w:rsidP="004842F6">
      <w:pPr>
        <w:pStyle w:val="Odsekzoznamu"/>
        <w:numPr>
          <w:ilvl w:val="0"/>
          <w:numId w:val="17"/>
        </w:numPr>
        <w:spacing w:after="0"/>
        <w:ind w:left="567" w:hanging="567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>Ťažké poškodenie obličiek (</w:t>
      </w:r>
      <w:proofErr w:type="spellStart"/>
      <w:r w:rsidRPr="001340C5">
        <w:rPr>
          <w:rFonts w:ascii="Times New Roman" w:hAnsi="Times New Roman" w:cs="Times New Roman"/>
          <w:lang w:val="sk-SK"/>
        </w:rPr>
        <w:t>klírens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kreatinínu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&lt; 30 ml/min/1,73 m</w:t>
      </w:r>
      <w:r w:rsidRPr="001340C5">
        <w:rPr>
          <w:rFonts w:ascii="Times New Roman" w:hAnsi="Times New Roman" w:cs="Times New Roman"/>
          <w:vertAlign w:val="superscript"/>
          <w:lang w:val="sk-SK"/>
        </w:rPr>
        <w:t>2</w:t>
      </w:r>
      <w:r w:rsidRPr="001340C5">
        <w:rPr>
          <w:rFonts w:ascii="Times New Roman" w:hAnsi="Times New Roman" w:cs="Times New Roman"/>
          <w:lang w:val="sk-SK"/>
        </w:rPr>
        <w:t xml:space="preserve"> BSA).</w:t>
      </w:r>
    </w:p>
    <w:p w:rsidR="00D54CDE" w:rsidRPr="001340C5" w:rsidRDefault="00D54CDE" w:rsidP="004842F6">
      <w:pPr>
        <w:pStyle w:val="Odsekzoznamu"/>
        <w:numPr>
          <w:ilvl w:val="0"/>
          <w:numId w:val="17"/>
        </w:numPr>
        <w:spacing w:after="0"/>
        <w:ind w:left="567" w:hanging="567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Ťažké poškodenie pečene a/alebo </w:t>
      </w:r>
      <w:proofErr w:type="spellStart"/>
      <w:r w:rsidRPr="001340C5">
        <w:rPr>
          <w:rFonts w:ascii="Times New Roman" w:hAnsi="Times New Roman" w:cs="Times New Roman"/>
          <w:lang w:val="sk-SK"/>
        </w:rPr>
        <w:t>cholestáza</w:t>
      </w:r>
      <w:proofErr w:type="spellEnd"/>
      <w:r w:rsidRPr="001340C5">
        <w:rPr>
          <w:rFonts w:ascii="Times New Roman" w:hAnsi="Times New Roman" w:cs="Times New Roman"/>
          <w:lang w:val="sk-SK"/>
        </w:rPr>
        <w:t>.</w:t>
      </w:r>
    </w:p>
    <w:p w:rsidR="00D54CDE" w:rsidRPr="001340C5" w:rsidRDefault="00D54CDE" w:rsidP="004842F6">
      <w:pPr>
        <w:pStyle w:val="Odsekzoznamu"/>
        <w:numPr>
          <w:ilvl w:val="0"/>
          <w:numId w:val="17"/>
        </w:numPr>
        <w:spacing w:after="0"/>
        <w:ind w:left="567" w:hanging="567"/>
        <w:jc w:val="both"/>
        <w:rPr>
          <w:rFonts w:ascii="Times New Roman" w:hAnsi="Times New Roman" w:cs="Times New Roman"/>
          <w:lang w:val="sk-SK"/>
        </w:rPr>
      </w:pPr>
      <w:proofErr w:type="spellStart"/>
      <w:r w:rsidRPr="001340C5">
        <w:rPr>
          <w:rFonts w:ascii="Times New Roman" w:hAnsi="Times New Roman" w:cs="Times New Roman"/>
          <w:lang w:val="sk-SK"/>
        </w:rPr>
        <w:t>Refraktérna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hypokaliémia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Pr="001340C5">
        <w:rPr>
          <w:rFonts w:ascii="Times New Roman" w:hAnsi="Times New Roman" w:cs="Times New Roman"/>
          <w:lang w:val="sk-SK"/>
        </w:rPr>
        <w:t>hyperkalciémia</w:t>
      </w:r>
      <w:proofErr w:type="spellEnd"/>
      <w:r w:rsidRPr="001340C5">
        <w:rPr>
          <w:rFonts w:ascii="Times New Roman" w:hAnsi="Times New Roman" w:cs="Times New Roman"/>
          <w:lang w:val="sk-SK"/>
        </w:rPr>
        <w:t>.</w:t>
      </w:r>
    </w:p>
    <w:p w:rsidR="00D54CDE" w:rsidRPr="001340C5" w:rsidRDefault="00D54CDE" w:rsidP="004842F6">
      <w:pPr>
        <w:pStyle w:val="Odsekzoznamu"/>
        <w:numPr>
          <w:ilvl w:val="0"/>
          <w:numId w:val="17"/>
        </w:numPr>
        <w:spacing w:after="0"/>
        <w:ind w:left="567" w:hanging="567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>Dna.</w:t>
      </w:r>
    </w:p>
    <w:p w:rsidR="00F27968" w:rsidRPr="001340C5" w:rsidRDefault="00F27968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4F5AE8" w:rsidRDefault="00D54CDE" w:rsidP="004F5AE8">
      <w:pPr>
        <w:spacing w:after="0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Súbežné </w:t>
      </w:r>
      <w:r w:rsidR="00522AF7">
        <w:rPr>
          <w:rFonts w:ascii="Times New Roman" w:hAnsi="Times New Roman" w:cs="Times New Roman"/>
          <w:lang w:val="sk-SK"/>
        </w:rPr>
        <w:t xml:space="preserve">používanie </w:t>
      </w:r>
      <w:proofErr w:type="spellStart"/>
      <w:r w:rsidR="00522AF7">
        <w:rPr>
          <w:rFonts w:ascii="Times New Roman" w:hAnsi="Times New Roman" w:cs="Times New Roman"/>
          <w:lang w:val="sk-SK"/>
        </w:rPr>
        <w:t>C</w:t>
      </w:r>
      <w:r w:rsidRPr="001340C5">
        <w:rPr>
          <w:rFonts w:ascii="Times New Roman" w:hAnsi="Times New Roman" w:cs="Times New Roman"/>
          <w:lang w:val="sk-SK"/>
        </w:rPr>
        <w:t>andesartanu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HC</w:t>
      </w:r>
      <w:r w:rsidR="005906EC">
        <w:rPr>
          <w:rFonts w:ascii="Times New Roman" w:hAnsi="Times New Roman" w:cs="Times New Roman"/>
          <w:lang w:val="sk-SK"/>
        </w:rPr>
        <w:t>T</w:t>
      </w:r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22AF7">
        <w:rPr>
          <w:rFonts w:ascii="Times New Roman" w:hAnsi="Times New Roman" w:cs="Times New Roman"/>
          <w:lang w:val="sk-SK"/>
        </w:rPr>
        <w:t>Swyssi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s liekmi obsahujúcimi </w:t>
      </w:r>
      <w:proofErr w:type="spellStart"/>
      <w:r w:rsidRPr="001340C5">
        <w:rPr>
          <w:rFonts w:ascii="Times New Roman" w:hAnsi="Times New Roman" w:cs="Times New Roman"/>
          <w:lang w:val="sk-SK"/>
        </w:rPr>
        <w:t>aliskiren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je kontraindikované u pacientov s diabet</w:t>
      </w:r>
      <w:r w:rsidR="00F27968" w:rsidRPr="001340C5">
        <w:rPr>
          <w:rFonts w:ascii="Times New Roman" w:hAnsi="Times New Roman" w:cs="Times New Roman"/>
          <w:lang w:val="sk-SK"/>
        </w:rPr>
        <w:t>om</w:t>
      </w:r>
      <w:r w:rsidRPr="001340C5">
        <w:rPr>
          <w:rFonts w:ascii="Times New Roman" w:hAnsi="Times New Roman" w:cs="Times New Roman"/>
          <w:lang w:val="sk-SK"/>
        </w:rPr>
        <w:t xml:space="preserve"> mellitus alebo poruchou funkcie obličiek (GFR &lt; 60 ml/min/1,73 m</w:t>
      </w:r>
      <w:r w:rsidRPr="001340C5">
        <w:rPr>
          <w:rFonts w:ascii="Times New Roman" w:hAnsi="Times New Roman" w:cs="Times New Roman"/>
          <w:vertAlign w:val="superscript"/>
          <w:lang w:val="sk-SK"/>
        </w:rPr>
        <w:t>2</w:t>
      </w:r>
      <w:r w:rsidRPr="001340C5">
        <w:rPr>
          <w:rFonts w:ascii="Times New Roman" w:hAnsi="Times New Roman" w:cs="Times New Roman"/>
          <w:lang w:val="sk-SK"/>
        </w:rPr>
        <w:t>) (pozri časti 4.5 a 5.1).</w:t>
      </w:r>
    </w:p>
    <w:p w:rsidR="004F5AE8" w:rsidRDefault="004F5AE8" w:rsidP="004F5AE8">
      <w:pPr>
        <w:spacing w:after="0"/>
        <w:rPr>
          <w:rFonts w:ascii="Times New Roman" w:hAnsi="Times New Roman" w:cs="Times New Roman"/>
          <w:lang w:val="sk-SK"/>
        </w:rPr>
      </w:pPr>
    </w:p>
    <w:p w:rsidR="00D54CDE" w:rsidRPr="001340C5" w:rsidRDefault="004F5AE8" w:rsidP="004F5AE8">
      <w:pPr>
        <w:spacing w:after="0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4.4</w:t>
      </w:r>
      <w:r>
        <w:rPr>
          <w:rFonts w:ascii="Times New Roman" w:hAnsi="Times New Roman" w:cs="Times New Roman"/>
          <w:b/>
          <w:lang w:val="sk-SK"/>
        </w:rPr>
        <w:tab/>
      </w:r>
      <w:r w:rsidR="007C68C2" w:rsidRPr="001340C5">
        <w:rPr>
          <w:rFonts w:ascii="Times New Roman" w:hAnsi="Times New Roman" w:cs="Times New Roman"/>
          <w:b/>
          <w:lang w:val="sk-SK"/>
        </w:rPr>
        <w:t>Osobitné upozornenia a opatrenia pri používaní</w:t>
      </w:r>
    </w:p>
    <w:p w:rsidR="004F5AE8" w:rsidRDefault="004F5AE8" w:rsidP="00244BAB">
      <w:pPr>
        <w:spacing w:after="0"/>
        <w:jc w:val="both"/>
        <w:rPr>
          <w:rFonts w:ascii="Times New Roman" w:hAnsi="Times New Roman" w:cs="Times New Roman"/>
          <w:i/>
          <w:lang w:val="sk-SK"/>
        </w:rPr>
      </w:pPr>
    </w:p>
    <w:p w:rsidR="00A261AD" w:rsidRPr="001340C5" w:rsidRDefault="00A261AD" w:rsidP="00244BAB">
      <w:pPr>
        <w:spacing w:after="0"/>
        <w:jc w:val="both"/>
        <w:rPr>
          <w:rFonts w:ascii="Times New Roman" w:hAnsi="Times New Roman" w:cs="Times New Roman"/>
          <w:i/>
          <w:lang w:val="sk-SK"/>
        </w:rPr>
      </w:pPr>
      <w:r w:rsidRPr="001340C5">
        <w:rPr>
          <w:rFonts w:ascii="Times New Roman" w:hAnsi="Times New Roman" w:cs="Times New Roman"/>
          <w:i/>
          <w:lang w:val="sk-SK"/>
        </w:rPr>
        <w:t>Po</w:t>
      </w:r>
      <w:r w:rsidR="00F27968" w:rsidRPr="001340C5">
        <w:rPr>
          <w:rFonts w:ascii="Times New Roman" w:hAnsi="Times New Roman" w:cs="Times New Roman"/>
          <w:i/>
          <w:lang w:val="sk-SK"/>
        </w:rPr>
        <w:t>rucha</w:t>
      </w:r>
      <w:r w:rsidRPr="001340C5">
        <w:rPr>
          <w:rFonts w:ascii="Times New Roman" w:hAnsi="Times New Roman" w:cs="Times New Roman"/>
          <w:i/>
          <w:lang w:val="sk-SK"/>
        </w:rPr>
        <w:t xml:space="preserve"> funkcie obličiek/transplantácia obličk</w:t>
      </w:r>
      <w:r w:rsidR="00F27968" w:rsidRPr="001340C5">
        <w:rPr>
          <w:rFonts w:ascii="Times New Roman" w:hAnsi="Times New Roman" w:cs="Times New Roman"/>
          <w:i/>
          <w:lang w:val="sk-SK"/>
        </w:rPr>
        <w:t>y</w:t>
      </w:r>
    </w:p>
    <w:p w:rsidR="00A261AD" w:rsidRPr="001340C5" w:rsidRDefault="00A261AD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U týchto pacientov sa pred </w:t>
      </w:r>
      <w:proofErr w:type="spellStart"/>
      <w:r w:rsidRPr="001340C5">
        <w:rPr>
          <w:rFonts w:ascii="Times New Roman" w:hAnsi="Times New Roman" w:cs="Times New Roman"/>
          <w:lang w:val="sk-SK"/>
        </w:rPr>
        <w:t>tiazidovými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diuretikami uprednostňujú slučkové diuretiká.</w:t>
      </w:r>
    </w:p>
    <w:p w:rsidR="00A261AD" w:rsidRPr="001340C5" w:rsidRDefault="00A261AD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Keď sa </w:t>
      </w:r>
      <w:proofErr w:type="spellStart"/>
      <w:r w:rsidR="00522AF7">
        <w:rPr>
          <w:rFonts w:ascii="Times New Roman" w:hAnsi="Times New Roman" w:cs="Times New Roman"/>
          <w:lang w:val="sk-SK"/>
        </w:rPr>
        <w:t>C</w:t>
      </w:r>
      <w:r w:rsidR="002A63E8" w:rsidRPr="001340C5">
        <w:rPr>
          <w:rFonts w:ascii="Times New Roman" w:hAnsi="Times New Roman" w:cs="Times New Roman"/>
          <w:lang w:val="sk-SK"/>
        </w:rPr>
        <w:t>andesartan</w:t>
      </w:r>
      <w:proofErr w:type="spellEnd"/>
      <w:r w:rsidR="002A63E8" w:rsidRPr="001340C5">
        <w:rPr>
          <w:rFonts w:ascii="Times New Roman" w:hAnsi="Times New Roman" w:cs="Times New Roman"/>
          <w:lang w:val="sk-SK"/>
        </w:rPr>
        <w:t xml:space="preserve"> HC</w:t>
      </w:r>
      <w:r w:rsidR="005906EC">
        <w:rPr>
          <w:rFonts w:ascii="Times New Roman" w:hAnsi="Times New Roman" w:cs="Times New Roman"/>
          <w:lang w:val="sk-SK"/>
        </w:rPr>
        <w:t>T</w:t>
      </w:r>
      <w:r w:rsidR="002A63E8"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22AF7">
        <w:rPr>
          <w:rFonts w:ascii="Times New Roman" w:hAnsi="Times New Roman" w:cs="Times New Roman"/>
          <w:lang w:val="sk-SK"/>
        </w:rPr>
        <w:t>Swyssi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podáva pacientom s p</w:t>
      </w:r>
      <w:r w:rsidR="00F27968" w:rsidRPr="001340C5">
        <w:rPr>
          <w:rFonts w:ascii="Times New Roman" w:hAnsi="Times New Roman" w:cs="Times New Roman"/>
          <w:lang w:val="sk-SK"/>
        </w:rPr>
        <w:t>oruchou</w:t>
      </w:r>
      <w:r w:rsidRPr="001340C5">
        <w:rPr>
          <w:rFonts w:ascii="Times New Roman" w:hAnsi="Times New Roman" w:cs="Times New Roman"/>
          <w:lang w:val="sk-SK"/>
        </w:rPr>
        <w:t xml:space="preserve"> funkcie obličiek, odporúča sa vykonávať pravidelnú kontrolu hladiny draslíka, </w:t>
      </w:r>
      <w:proofErr w:type="spellStart"/>
      <w:r w:rsidRPr="001340C5">
        <w:rPr>
          <w:rFonts w:ascii="Times New Roman" w:hAnsi="Times New Roman" w:cs="Times New Roman"/>
          <w:lang w:val="sk-SK"/>
        </w:rPr>
        <w:t>kreatinínu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 kyseliny močovej. </w:t>
      </w:r>
    </w:p>
    <w:p w:rsidR="00A261AD" w:rsidRPr="001340C5" w:rsidRDefault="00A261AD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S podávaním </w:t>
      </w:r>
      <w:proofErr w:type="spellStart"/>
      <w:r w:rsidR="00522AF7">
        <w:rPr>
          <w:rFonts w:ascii="Times New Roman" w:hAnsi="Times New Roman" w:cs="Times New Roman"/>
          <w:lang w:val="sk-SK"/>
        </w:rPr>
        <w:t>Candesartanu</w:t>
      </w:r>
      <w:proofErr w:type="spellEnd"/>
      <w:r w:rsidR="00522AF7">
        <w:rPr>
          <w:rFonts w:ascii="Times New Roman" w:hAnsi="Times New Roman" w:cs="Times New Roman"/>
          <w:lang w:val="sk-SK"/>
        </w:rPr>
        <w:t xml:space="preserve"> HC</w:t>
      </w:r>
      <w:r w:rsidR="005906EC">
        <w:rPr>
          <w:rFonts w:ascii="Times New Roman" w:hAnsi="Times New Roman" w:cs="Times New Roman"/>
          <w:lang w:val="sk-SK"/>
        </w:rPr>
        <w:t>T</w:t>
      </w:r>
      <w:r w:rsidR="00522AF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22AF7">
        <w:rPr>
          <w:rFonts w:ascii="Times New Roman" w:hAnsi="Times New Roman" w:cs="Times New Roman"/>
          <w:lang w:val="sk-SK"/>
        </w:rPr>
        <w:t>Swyssi</w:t>
      </w:r>
      <w:proofErr w:type="spellEnd"/>
      <w:r w:rsidR="00F27968" w:rsidRPr="001340C5">
        <w:rPr>
          <w:rFonts w:ascii="Times New Roman" w:hAnsi="Times New Roman" w:cs="Times New Roman"/>
          <w:lang w:val="sk-SK"/>
        </w:rPr>
        <w:t xml:space="preserve"> </w:t>
      </w:r>
      <w:r w:rsidRPr="001340C5">
        <w:rPr>
          <w:rFonts w:ascii="Times New Roman" w:hAnsi="Times New Roman" w:cs="Times New Roman"/>
          <w:lang w:val="sk-SK"/>
        </w:rPr>
        <w:t>pacientom po nedávno vykonanej transplantácii obličky nie sú zatiaľ žiadne skúsenosti.</w:t>
      </w:r>
    </w:p>
    <w:p w:rsidR="00A261AD" w:rsidRPr="001340C5" w:rsidRDefault="00A261AD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A261AD" w:rsidRPr="001340C5" w:rsidRDefault="00A261AD" w:rsidP="00244BAB">
      <w:pPr>
        <w:spacing w:after="0"/>
        <w:jc w:val="both"/>
        <w:rPr>
          <w:rFonts w:ascii="Times New Roman" w:hAnsi="Times New Roman" w:cs="Times New Roman"/>
          <w:i/>
          <w:lang w:val="sk-SK"/>
        </w:rPr>
      </w:pPr>
      <w:proofErr w:type="spellStart"/>
      <w:r w:rsidRPr="001340C5">
        <w:rPr>
          <w:rFonts w:ascii="Times New Roman" w:hAnsi="Times New Roman" w:cs="Times New Roman"/>
          <w:i/>
          <w:lang w:val="sk-SK"/>
        </w:rPr>
        <w:t>Stenóza</w:t>
      </w:r>
      <w:proofErr w:type="spellEnd"/>
      <w:r w:rsidRPr="001340C5">
        <w:rPr>
          <w:rFonts w:ascii="Times New Roman" w:hAnsi="Times New Roman" w:cs="Times New Roman"/>
          <w:i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i/>
          <w:lang w:val="sk-SK"/>
        </w:rPr>
        <w:t>renálnej</w:t>
      </w:r>
      <w:proofErr w:type="spellEnd"/>
      <w:r w:rsidRPr="001340C5">
        <w:rPr>
          <w:rFonts w:ascii="Times New Roman" w:hAnsi="Times New Roman" w:cs="Times New Roman"/>
          <w:i/>
          <w:lang w:val="sk-SK"/>
        </w:rPr>
        <w:t xml:space="preserve"> artérie</w:t>
      </w:r>
    </w:p>
    <w:p w:rsidR="007C68C2" w:rsidRPr="001340C5" w:rsidRDefault="00A261AD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Lieky ovplyvňujúce systém </w:t>
      </w:r>
      <w:proofErr w:type="spellStart"/>
      <w:r w:rsidRPr="001340C5">
        <w:rPr>
          <w:rFonts w:ascii="Times New Roman" w:hAnsi="Times New Roman" w:cs="Times New Roman"/>
          <w:lang w:val="sk-SK"/>
        </w:rPr>
        <w:t>renín-angiotenzín-aldosterón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vrátane antagonistov receptora </w:t>
      </w:r>
      <w:proofErr w:type="spellStart"/>
      <w:r w:rsidRPr="001340C5">
        <w:rPr>
          <w:rFonts w:ascii="Times New Roman" w:hAnsi="Times New Roman" w:cs="Times New Roman"/>
          <w:lang w:val="sk-SK"/>
        </w:rPr>
        <w:t>angiotenzínu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II (</w:t>
      </w:r>
      <w:proofErr w:type="spellStart"/>
      <w:r w:rsidRPr="001340C5">
        <w:rPr>
          <w:rFonts w:ascii="Times New Roman" w:hAnsi="Times New Roman" w:cs="Times New Roman"/>
          <w:lang w:val="sk-SK"/>
        </w:rPr>
        <w:t>AIIRAs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), môžu zvyšovať hladinu </w:t>
      </w:r>
      <w:proofErr w:type="spellStart"/>
      <w:r w:rsidRPr="001340C5">
        <w:rPr>
          <w:rFonts w:ascii="Times New Roman" w:hAnsi="Times New Roman" w:cs="Times New Roman"/>
          <w:lang w:val="sk-SK"/>
        </w:rPr>
        <w:t>urey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v krvi a </w:t>
      </w:r>
      <w:proofErr w:type="spellStart"/>
      <w:r w:rsidRPr="001340C5">
        <w:rPr>
          <w:rFonts w:ascii="Times New Roman" w:hAnsi="Times New Roman" w:cs="Times New Roman"/>
          <w:lang w:val="sk-SK"/>
        </w:rPr>
        <w:t>kreatinínu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v sére pacientov s bilaterálnou </w:t>
      </w:r>
      <w:proofErr w:type="spellStart"/>
      <w:r w:rsidRPr="001340C5">
        <w:rPr>
          <w:rFonts w:ascii="Times New Roman" w:hAnsi="Times New Roman" w:cs="Times New Roman"/>
          <w:lang w:val="sk-SK"/>
        </w:rPr>
        <w:t>stenózou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 </w:t>
      </w:r>
      <w:proofErr w:type="spellStart"/>
      <w:r w:rsidRPr="001340C5">
        <w:rPr>
          <w:rFonts w:ascii="Times New Roman" w:hAnsi="Times New Roman" w:cs="Times New Roman"/>
          <w:lang w:val="sk-SK"/>
        </w:rPr>
        <w:t>renálnej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artérie alebo u pacientov so </w:t>
      </w:r>
      <w:proofErr w:type="spellStart"/>
      <w:r w:rsidRPr="001340C5">
        <w:rPr>
          <w:rFonts w:ascii="Times New Roman" w:hAnsi="Times New Roman" w:cs="Times New Roman"/>
          <w:lang w:val="sk-SK"/>
        </w:rPr>
        <w:t>stenózou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artérie zásobujúcej jednu funkčnú obličku.</w:t>
      </w:r>
    </w:p>
    <w:p w:rsidR="002A63E8" w:rsidRPr="001340C5" w:rsidRDefault="002A63E8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5454B9" w:rsidRPr="001340C5" w:rsidRDefault="005454B9" w:rsidP="00244BAB">
      <w:pPr>
        <w:spacing w:after="0"/>
        <w:jc w:val="both"/>
        <w:rPr>
          <w:rFonts w:ascii="Times New Roman" w:hAnsi="Times New Roman" w:cs="Times New Roman"/>
          <w:i/>
          <w:lang w:val="sk-SK"/>
        </w:rPr>
      </w:pPr>
      <w:proofErr w:type="spellStart"/>
      <w:r w:rsidRPr="001340C5">
        <w:rPr>
          <w:rFonts w:ascii="Times New Roman" w:hAnsi="Times New Roman" w:cs="Times New Roman"/>
          <w:i/>
          <w:lang w:val="sk-SK"/>
        </w:rPr>
        <w:t>Deplécia</w:t>
      </w:r>
      <w:proofErr w:type="spellEnd"/>
      <w:r w:rsidRPr="001340C5">
        <w:rPr>
          <w:rFonts w:ascii="Times New Roman" w:hAnsi="Times New Roman" w:cs="Times New Roman"/>
          <w:i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i/>
          <w:lang w:val="sk-SK"/>
        </w:rPr>
        <w:t>intravaskulárneho</w:t>
      </w:r>
      <w:proofErr w:type="spellEnd"/>
      <w:r w:rsidRPr="001340C5">
        <w:rPr>
          <w:rFonts w:ascii="Times New Roman" w:hAnsi="Times New Roman" w:cs="Times New Roman"/>
          <w:i/>
          <w:lang w:val="sk-SK"/>
        </w:rPr>
        <w:t xml:space="preserve"> objemu </w:t>
      </w:r>
    </w:p>
    <w:p w:rsidR="005454B9" w:rsidRPr="001340C5" w:rsidRDefault="005454B9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U pacientov so znížením </w:t>
      </w:r>
      <w:proofErr w:type="spellStart"/>
      <w:r w:rsidRPr="001340C5">
        <w:rPr>
          <w:rFonts w:ascii="Times New Roman" w:hAnsi="Times New Roman" w:cs="Times New Roman"/>
          <w:lang w:val="sk-SK"/>
        </w:rPr>
        <w:t>intravaskulárneho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objemu a/alebo sodíkovou </w:t>
      </w:r>
      <w:proofErr w:type="spellStart"/>
      <w:r w:rsidRPr="001340C5">
        <w:rPr>
          <w:rFonts w:ascii="Times New Roman" w:hAnsi="Times New Roman" w:cs="Times New Roman"/>
          <w:lang w:val="sk-SK"/>
        </w:rPr>
        <w:t>depléciou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môže dôjsť k vzniku symptomatickej hypotenzie, podobne ako pri iných liekoch ovplyvňujúcich </w:t>
      </w:r>
      <w:proofErr w:type="spellStart"/>
      <w:r w:rsidRPr="001340C5">
        <w:rPr>
          <w:rFonts w:ascii="Times New Roman" w:hAnsi="Times New Roman" w:cs="Times New Roman"/>
          <w:lang w:val="sk-SK"/>
        </w:rPr>
        <w:t>renínový-angiotenzínový-aldosterónový</w:t>
      </w:r>
      <w:proofErr w:type="spellEnd"/>
      <w:r w:rsidR="00522AF7">
        <w:rPr>
          <w:rFonts w:ascii="Times New Roman" w:hAnsi="Times New Roman" w:cs="Times New Roman"/>
          <w:lang w:val="sk-SK"/>
        </w:rPr>
        <w:t xml:space="preserve"> systém. Z uvedeného dôvodu sa </w:t>
      </w:r>
      <w:proofErr w:type="spellStart"/>
      <w:r w:rsidR="00522AF7">
        <w:rPr>
          <w:rFonts w:ascii="Times New Roman" w:hAnsi="Times New Roman" w:cs="Times New Roman"/>
          <w:lang w:val="sk-SK"/>
        </w:rPr>
        <w:t>C</w:t>
      </w:r>
      <w:r w:rsidRPr="001340C5">
        <w:rPr>
          <w:rFonts w:ascii="Times New Roman" w:hAnsi="Times New Roman" w:cs="Times New Roman"/>
          <w:lang w:val="sk-SK"/>
        </w:rPr>
        <w:t>andesartan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HC</w:t>
      </w:r>
      <w:r w:rsidR="005906EC">
        <w:rPr>
          <w:rFonts w:ascii="Times New Roman" w:hAnsi="Times New Roman" w:cs="Times New Roman"/>
          <w:lang w:val="sk-SK"/>
        </w:rPr>
        <w:t>T</w:t>
      </w:r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22AF7">
        <w:rPr>
          <w:rFonts w:ascii="Times New Roman" w:hAnsi="Times New Roman" w:cs="Times New Roman"/>
          <w:lang w:val="sk-SK"/>
        </w:rPr>
        <w:t>Swyssi</w:t>
      </w:r>
      <w:proofErr w:type="spellEnd"/>
      <w:r w:rsidR="00F27968" w:rsidRPr="001340C5">
        <w:rPr>
          <w:rFonts w:ascii="Times New Roman" w:hAnsi="Times New Roman" w:cs="Times New Roman"/>
          <w:lang w:val="sk-SK"/>
        </w:rPr>
        <w:t xml:space="preserve"> </w:t>
      </w:r>
      <w:r w:rsidRPr="001340C5">
        <w:rPr>
          <w:rFonts w:ascii="Times New Roman" w:hAnsi="Times New Roman" w:cs="Times New Roman"/>
          <w:lang w:val="sk-SK"/>
        </w:rPr>
        <w:t>odporúča podávať až po úprave tohto stavu.</w:t>
      </w:r>
    </w:p>
    <w:p w:rsidR="005454B9" w:rsidRPr="001340C5" w:rsidRDefault="005454B9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5454B9" w:rsidRPr="001340C5" w:rsidRDefault="005454B9" w:rsidP="00244BAB">
      <w:pPr>
        <w:spacing w:after="0"/>
        <w:jc w:val="both"/>
        <w:rPr>
          <w:rFonts w:ascii="Times New Roman" w:hAnsi="Times New Roman" w:cs="Times New Roman"/>
          <w:i/>
          <w:lang w:val="sk-SK"/>
        </w:rPr>
      </w:pPr>
      <w:r w:rsidRPr="001340C5">
        <w:rPr>
          <w:rFonts w:ascii="Times New Roman" w:hAnsi="Times New Roman" w:cs="Times New Roman"/>
          <w:i/>
          <w:lang w:val="sk-SK"/>
        </w:rPr>
        <w:t>Anestézia a chirurgický zákrok</w:t>
      </w:r>
    </w:p>
    <w:p w:rsidR="002A63E8" w:rsidRPr="001340C5" w:rsidRDefault="005454B9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U pacientov liečených s </w:t>
      </w:r>
      <w:proofErr w:type="spellStart"/>
      <w:r w:rsidRPr="001340C5">
        <w:rPr>
          <w:rFonts w:ascii="Times New Roman" w:hAnsi="Times New Roman" w:cs="Times New Roman"/>
          <w:lang w:val="sk-SK"/>
        </w:rPr>
        <w:t>AIIRAs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sa môže počas anestézie a chirurgického zákroku vyskytnúť hypotenzia na základe blokády </w:t>
      </w:r>
      <w:proofErr w:type="spellStart"/>
      <w:r w:rsidRPr="001340C5">
        <w:rPr>
          <w:rFonts w:ascii="Times New Roman" w:hAnsi="Times New Roman" w:cs="Times New Roman"/>
          <w:lang w:val="sk-SK"/>
        </w:rPr>
        <w:t>renínového-angiotenzínového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systému. Vo veľmi zriedkavých prípadoch môže ísť o ťažkú hypotenziu, ktorá si môže vyžadovať podanie intravenóznych tekutín a/alebo </w:t>
      </w:r>
      <w:proofErr w:type="spellStart"/>
      <w:r w:rsidRPr="001340C5">
        <w:rPr>
          <w:rFonts w:ascii="Times New Roman" w:hAnsi="Times New Roman" w:cs="Times New Roman"/>
          <w:lang w:val="sk-SK"/>
        </w:rPr>
        <w:t>vazopresorov</w:t>
      </w:r>
      <w:proofErr w:type="spellEnd"/>
      <w:r w:rsidRPr="001340C5">
        <w:rPr>
          <w:rFonts w:ascii="Times New Roman" w:hAnsi="Times New Roman" w:cs="Times New Roman"/>
          <w:lang w:val="sk-SK"/>
        </w:rPr>
        <w:t>.</w:t>
      </w:r>
    </w:p>
    <w:p w:rsidR="002A63E8" w:rsidRPr="001340C5" w:rsidRDefault="002A63E8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A015BC" w:rsidRPr="001340C5" w:rsidRDefault="00A015BC" w:rsidP="00244BAB">
      <w:pPr>
        <w:spacing w:after="0"/>
        <w:jc w:val="both"/>
        <w:rPr>
          <w:rFonts w:ascii="Times New Roman" w:hAnsi="Times New Roman" w:cs="Times New Roman"/>
          <w:i/>
          <w:lang w:val="sk-SK"/>
        </w:rPr>
      </w:pPr>
      <w:r w:rsidRPr="001340C5">
        <w:rPr>
          <w:rFonts w:ascii="Times New Roman" w:hAnsi="Times New Roman" w:cs="Times New Roman"/>
          <w:i/>
          <w:lang w:val="sk-SK"/>
        </w:rPr>
        <w:t>Po</w:t>
      </w:r>
      <w:r w:rsidR="00F27968" w:rsidRPr="001340C5">
        <w:rPr>
          <w:rFonts w:ascii="Times New Roman" w:hAnsi="Times New Roman" w:cs="Times New Roman"/>
          <w:i/>
          <w:lang w:val="sk-SK"/>
        </w:rPr>
        <w:t>rucha</w:t>
      </w:r>
      <w:r w:rsidRPr="001340C5">
        <w:rPr>
          <w:rFonts w:ascii="Times New Roman" w:hAnsi="Times New Roman" w:cs="Times New Roman"/>
          <w:i/>
          <w:lang w:val="sk-SK"/>
        </w:rPr>
        <w:t xml:space="preserve"> funkcie pečene</w:t>
      </w:r>
    </w:p>
    <w:p w:rsidR="00A015BC" w:rsidRPr="001340C5" w:rsidRDefault="00A015BC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 w:rsidRPr="001340C5">
        <w:rPr>
          <w:rFonts w:ascii="Times New Roman" w:hAnsi="Times New Roman" w:cs="Times New Roman"/>
          <w:lang w:val="sk-SK"/>
        </w:rPr>
        <w:t>Tiazidy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sa majú podávať s opatrnosťou u pacientov s po</w:t>
      </w:r>
      <w:r w:rsidR="00F27968" w:rsidRPr="001340C5">
        <w:rPr>
          <w:rFonts w:ascii="Times New Roman" w:hAnsi="Times New Roman" w:cs="Times New Roman"/>
          <w:lang w:val="sk-SK"/>
        </w:rPr>
        <w:t>ruchou</w:t>
      </w:r>
      <w:r w:rsidRPr="001340C5">
        <w:rPr>
          <w:rFonts w:ascii="Times New Roman" w:hAnsi="Times New Roman" w:cs="Times New Roman"/>
          <w:lang w:val="sk-SK"/>
        </w:rPr>
        <w:t xml:space="preserve"> funkci</w:t>
      </w:r>
      <w:r w:rsidR="00F27968" w:rsidRPr="001340C5">
        <w:rPr>
          <w:rFonts w:ascii="Times New Roman" w:hAnsi="Times New Roman" w:cs="Times New Roman"/>
          <w:lang w:val="sk-SK"/>
        </w:rPr>
        <w:t>e</w:t>
      </w:r>
      <w:r w:rsidRPr="001340C5">
        <w:rPr>
          <w:rFonts w:ascii="Times New Roman" w:hAnsi="Times New Roman" w:cs="Times New Roman"/>
          <w:lang w:val="sk-SK"/>
        </w:rPr>
        <w:t xml:space="preserve"> pečene alebo s </w:t>
      </w:r>
      <w:proofErr w:type="spellStart"/>
      <w:r w:rsidRPr="001340C5">
        <w:rPr>
          <w:rFonts w:ascii="Times New Roman" w:hAnsi="Times New Roman" w:cs="Times New Roman"/>
          <w:lang w:val="sk-SK"/>
        </w:rPr>
        <w:t>progredujúcimi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pečeňovými ochoreniami, pretože už mierna zmena rovnováhy tekutín a elektrolytov môže vyvolať </w:t>
      </w:r>
      <w:proofErr w:type="spellStart"/>
      <w:r w:rsidRPr="001340C5">
        <w:rPr>
          <w:rFonts w:ascii="Times New Roman" w:hAnsi="Times New Roman" w:cs="Times New Roman"/>
          <w:lang w:val="sk-SK"/>
        </w:rPr>
        <w:t>hepatálnu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kómu. Nie je dostatok klinických skúseností s podávaním </w:t>
      </w:r>
      <w:proofErr w:type="spellStart"/>
      <w:r w:rsidR="00522AF7">
        <w:rPr>
          <w:rFonts w:ascii="Times New Roman" w:hAnsi="Times New Roman" w:cs="Times New Roman"/>
          <w:lang w:val="sk-SK"/>
        </w:rPr>
        <w:t>C</w:t>
      </w:r>
      <w:r w:rsidR="007C631A" w:rsidRPr="001340C5">
        <w:rPr>
          <w:rFonts w:ascii="Times New Roman" w:hAnsi="Times New Roman" w:cs="Times New Roman"/>
          <w:lang w:val="sk-SK"/>
        </w:rPr>
        <w:t>andesartanu</w:t>
      </w:r>
      <w:proofErr w:type="spellEnd"/>
      <w:r w:rsidR="007C631A" w:rsidRPr="001340C5">
        <w:rPr>
          <w:rFonts w:ascii="Times New Roman" w:hAnsi="Times New Roman" w:cs="Times New Roman"/>
          <w:lang w:val="sk-SK"/>
        </w:rPr>
        <w:t xml:space="preserve"> HC</w:t>
      </w:r>
      <w:r w:rsidR="005906EC">
        <w:rPr>
          <w:rFonts w:ascii="Times New Roman" w:hAnsi="Times New Roman" w:cs="Times New Roman"/>
          <w:lang w:val="sk-SK"/>
        </w:rPr>
        <w:t>T</w:t>
      </w:r>
      <w:r w:rsidR="007C631A"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22AF7">
        <w:rPr>
          <w:rFonts w:ascii="Times New Roman" w:hAnsi="Times New Roman" w:cs="Times New Roman"/>
          <w:lang w:val="sk-SK"/>
        </w:rPr>
        <w:t>Swyssi</w:t>
      </w:r>
      <w:proofErr w:type="spellEnd"/>
      <w:r w:rsidR="00F27968" w:rsidRPr="001340C5">
        <w:rPr>
          <w:rFonts w:ascii="Times New Roman" w:hAnsi="Times New Roman" w:cs="Times New Roman"/>
          <w:lang w:val="sk-SK"/>
        </w:rPr>
        <w:t xml:space="preserve"> </w:t>
      </w:r>
      <w:r w:rsidRPr="001340C5">
        <w:rPr>
          <w:rFonts w:ascii="Times New Roman" w:hAnsi="Times New Roman" w:cs="Times New Roman"/>
          <w:lang w:val="sk-SK"/>
        </w:rPr>
        <w:t>pacientom s po</w:t>
      </w:r>
      <w:r w:rsidR="00F27968" w:rsidRPr="001340C5">
        <w:rPr>
          <w:rFonts w:ascii="Times New Roman" w:hAnsi="Times New Roman" w:cs="Times New Roman"/>
          <w:lang w:val="sk-SK"/>
        </w:rPr>
        <w:t>ruchou</w:t>
      </w:r>
      <w:r w:rsidRPr="001340C5">
        <w:rPr>
          <w:rFonts w:ascii="Times New Roman" w:hAnsi="Times New Roman" w:cs="Times New Roman"/>
          <w:lang w:val="sk-SK"/>
        </w:rPr>
        <w:t xml:space="preserve"> funkcie pečene.</w:t>
      </w:r>
    </w:p>
    <w:p w:rsidR="00A015BC" w:rsidRPr="001340C5" w:rsidRDefault="00A015BC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A015BC" w:rsidRPr="001340C5" w:rsidRDefault="00A015BC" w:rsidP="00244BAB">
      <w:pPr>
        <w:spacing w:after="0"/>
        <w:jc w:val="both"/>
        <w:rPr>
          <w:rFonts w:ascii="Times New Roman" w:hAnsi="Times New Roman" w:cs="Times New Roman"/>
          <w:i/>
          <w:lang w:val="sk-SK"/>
        </w:rPr>
      </w:pPr>
      <w:proofErr w:type="spellStart"/>
      <w:r w:rsidRPr="001340C5">
        <w:rPr>
          <w:rFonts w:ascii="Times New Roman" w:hAnsi="Times New Roman" w:cs="Times New Roman"/>
          <w:i/>
          <w:lang w:val="sk-SK"/>
        </w:rPr>
        <w:t>Stenóza</w:t>
      </w:r>
      <w:proofErr w:type="spellEnd"/>
      <w:r w:rsidRPr="001340C5">
        <w:rPr>
          <w:rFonts w:ascii="Times New Roman" w:hAnsi="Times New Roman" w:cs="Times New Roman"/>
          <w:i/>
          <w:lang w:val="sk-SK"/>
        </w:rPr>
        <w:t xml:space="preserve"> aortálnej a </w:t>
      </w:r>
      <w:proofErr w:type="spellStart"/>
      <w:r w:rsidRPr="001340C5">
        <w:rPr>
          <w:rFonts w:ascii="Times New Roman" w:hAnsi="Times New Roman" w:cs="Times New Roman"/>
          <w:i/>
          <w:lang w:val="sk-SK"/>
        </w:rPr>
        <w:t>mitrálnej</w:t>
      </w:r>
      <w:proofErr w:type="spellEnd"/>
      <w:r w:rsidRPr="001340C5">
        <w:rPr>
          <w:rFonts w:ascii="Times New Roman" w:hAnsi="Times New Roman" w:cs="Times New Roman"/>
          <w:i/>
          <w:lang w:val="sk-SK"/>
        </w:rPr>
        <w:t xml:space="preserve"> chlopne (obštrukčná hypertrofická </w:t>
      </w:r>
      <w:proofErr w:type="spellStart"/>
      <w:r w:rsidRPr="001340C5">
        <w:rPr>
          <w:rFonts w:ascii="Times New Roman" w:hAnsi="Times New Roman" w:cs="Times New Roman"/>
          <w:i/>
          <w:lang w:val="sk-SK"/>
        </w:rPr>
        <w:t>kardiomyopatia</w:t>
      </w:r>
      <w:proofErr w:type="spellEnd"/>
      <w:r w:rsidRPr="001340C5">
        <w:rPr>
          <w:rFonts w:ascii="Times New Roman" w:hAnsi="Times New Roman" w:cs="Times New Roman"/>
          <w:i/>
          <w:lang w:val="sk-SK"/>
        </w:rPr>
        <w:t>)</w:t>
      </w:r>
    </w:p>
    <w:p w:rsidR="008F3209" w:rsidRPr="001340C5" w:rsidRDefault="00A015BC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Podobne, ako je tomu aj pri iných </w:t>
      </w:r>
      <w:proofErr w:type="spellStart"/>
      <w:r w:rsidRPr="001340C5">
        <w:rPr>
          <w:rFonts w:ascii="Times New Roman" w:hAnsi="Times New Roman" w:cs="Times New Roman"/>
          <w:lang w:val="sk-SK"/>
        </w:rPr>
        <w:t>vazodilatátoroch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u pacientov s </w:t>
      </w:r>
      <w:proofErr w:type="spellStart"/>
      <w:r w:rsidRPr="001340C5">
        <w:rPr>
          <w:rFonts w:ascii="Times New Roman" w:hAnsi="Times New Roman" w:cs="Times New Roman"/>
          <w:lang w:val="sk-SK"/>
        </w:rPr>
        <w:t>hemodynamicky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závažnou </w:t>
      </w:r>
      <w:proofErr w:type="spellStart"/>
      <w:r w:rsidRPr="001340C5">
        <w:rPr>
          <w:rFonts w:ascii="Times New Roman" w:hAnsi="Times New Roman" w:cs="Times New Roman"/>
          <w:lang w:val="sk-SK"/>
        </w:rPr>
        <w:t>stenózou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aortálnej alebo </w:t>
      </w:r>
      <w:proofErr w:type="spellStart"/>
      <w:r w:rsidRPr="001340C5">
        <w:rPr>
          <w:rFonts w:ascii="Times New Roman" w:hAnsi="Times New Roman" w:cs="Times New Roman"/>
          <w:lang w:val="sk-SK"/>
        </w:rPr>
        <w:t>mitrálnej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chlopne alebo s obštrukčnou hypertrofickou </w:t>
      </w:r>
      <w:proofErr w:type="spellStart"/>
      <w:r w:rsidRPr="001340C5">
        <w:rPr>
          <w:rFonts w:ascii="Times New Roman" w:hAnsi="Times New Roman" w:cs="Times New Roman"/>
          <w:lang w:val="sk-SK"/>
        </w:rPr>
        <w:t>kardiomyopatiou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je potrebná zvýšená opatrnosť.</w:t>
      </w:r>
    </w:p>
    <w:p w:rsidR="008F3209" w:rsidRPr="001340C5" w:rsidRDefault="008F3209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505D56" w:rsidRPr="001340C5" w:rsidRDefault="00505D56" w:rsidP="00244BAB">
      <w:pPr>
        <w:spacing w:after="0"/>
        <w:jc w:val="both"/>
        <w:rPr>
          <w:rFonts w:ascii="Times New Roman" w:hAnsi="Times New Roman" w:cs="Times New Roman"/>
          <w:i/>
          <w:lang w:val="sk-SK"/>
        </w:rPr>
      </w:pPr>
      <w:r w:rsidRPr="001340C5">
        <w:rPr>
          <w:rFonts w:ascii="Times New Roman" w:hAnsi="Times New Roman" w:cs="Times New Roman"/>
          <w:i/>
          <w:lang w:val="sk-SK"/>
        </w:rPr>
        <w:t xml:space="preserve">Primárny </w:t>
      </w:r>
      <w:proofErr w:type="spellStart"/>
      <w:r w:rsidRPr="001340C5">
        <w:rPr>
          <w:rFonts w:ascii="Times New Roman" w:hAnsi="Times New Roman" w:cs="Times New Roman"/>
          <w:i/>
          <w:lang w:val="sk-SK"/>
        </w:rPr>
        <w:t>hyperaldosteronizmus</w:t>
      </w:r>
      <w:proofErr w:type="spellEnd"/>
    </w:p>
    <w:p w:rsidR="00505D56" w:rsidRPr="001340C5" w:rsidRDefault="00505D56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U pacientov s primárnym </w:t>
      </w:r>
      <w:proofErr w:type="spellStart"/>
      <w:r w:rsidRPr="001340C5">
        <w:rPr>
          <w:rFonts w:ascii="Times New Roman" w:hAnsi="Times New Roman" w:cs="Times New Roman"/>
          <w:lang w:val="sk-SK"/>
        </w:rPr>
        <w:t>hyperaldosteronizmom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sa všeobecne nedosahujú pozitívne výsledky pri podávaní </w:t>
      </w:r>
      <w:proofErr w:type="spellStart"/>
      <w:r w:rsidRPr="001340C5">
        <w:rPr>
          <w:rFonts w:ascii="Times New Roman" w:hAnsi="Times New Roman" w:cs="Times New Roman"/>
          <w:lang w:val="sk-SK"/>
        </w:rPr>
        <w:t>antihypertenzív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pôsobiacich prostredníctvom inhibície </w:t>
      </w:r>
      <w:proofErr w:type="spellStart"/>
      <w:r w:rsidRPr="001340C5">
        <w:rPr>
          <w:rFonts w:ascii="Times New Roman" w:hAnsi="Times New Roman" w:cs="Times New Roman"/>
          <w:lang w:val="sk-SK"/>
        </w:rPr>
        <w:t>renín-angiotenzín-aldosterónového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systému. Preto sa u týchto pacientov podávanie </w:t>
      </w:r>
      <w:proofErr w:type="spellStart"/>
      <w:r w:rsidR="00522AF7">
        <w:rPr>
          <w:rFonts w:ascii="Times New Roman" w:hAnsi="Times New Roman" w:cs="Times New Roman"/>
          <w:lang w:val="sk-SK"/>
        </w:rPr>
        <w:t>C</w:t>
      </w:r>
      <w:r w:rsidR="00974C98" w:rsidRPr="001340C5">
        <w:rPr>
          <w:rFonts w:ascii="Times New Roman" w:hAnsi="Times New Roman" w:cs="Times New Roman"/>
          <w:lang w:val="sk-SK"/>
        </w:rPr>
        <w:t>andesartanu</w:t>
      </w:r>
      <w:proofErr w:type="spellEnd"/>
      <w:r w:rsidR="00974C98" w:rsidRPr="001340C5">
        <w:rPr>
          <w:rFonts w:ascii="Times New Roman" w:hAnsi="Times New Roman" w:cs="Times New Roman"/>
          <w:lang w:val="sk-SK"/>
        </w:rPr>
        <w:t xml:space="preserve"> HC</w:t>
      </w:r>
      <w:r w:rsidR="005906EC">
        <w:rPr>
          <w:rFonts w:ascii="Times New Roman" w:hAnsi="Times New Roman" w:cs="Times New Roman"/>
          <w:lang w:val="sk-SK"/>
        </w:rPr>
        <w:t>T</w:t>
      </w:r>
      <w:r w:rsidR="00974C98"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22AF7">
        <w:rPr>
          <w:rFonts w:ascii="Times New Roman" w:hAnsi="Times New Roman" w:cs="Times New Roman"/>
          <w:lang w:val="sk-SK"/>
        </w:rPr>
        <w:t>Swyssi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neodporúča.</w:t>
      </w:r>
    </w:p>
    <w:p w:rsidR="00505D56" w:rsidRPr="001340C5" w:rsidRDefault="00505D56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505D56" w:rsidRPr="001340C5" w:rsidRDefault="00505D56" w:rsidP="00244BAB">
      <w:pPr>
        <w:spacing w:after="0"/>
        <w:jc w:val="both"/>
        <w:rPr>
          <w:rFonts w:ascii="Times New Roman" w:hAnsi="Times New Roman" w:cs="Times New Roman"/>
          <w:i/>
          <w:lang w:val="sk-SK"/>
        </w:rPr>
      </w:pPr>
      <w:r w:rsidRPr="001340C5">
        <w:rPr>
          <w:rFonts w:ascii="Times New Roman" w:hAnsi="Times New Roman" w:cs="Times New Roman"/>
          <w:i/>
          <w:lang w:val="sk-SK"/>
        </w:rPr>
        <w:t>Nerovnováha elektrolytov</w:t>
      </w:r>
    </w:p>
    <w:p w:rsidR="008F3209" w:rsidRPr="001340C5" w:rsidRDefault="00505D56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V primeraných intervaloch sa majú stanovovať hladiny elektrolytov v sére. </w:t>
      </w:r>
      <w:proofErr w:type="spellStart"/>
      <w:r w:rsidRPr="001340C5">
        <w:rPr>
          <w:rFonts w:ascii="Times New Roman" w:hAnsi="Times New Roman" w:cs="Times New Roman"/>
          <w:lang w:val="sk-SK"/>
        </w:rPr>
        <w:t>Tiazidy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vrátane 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hydrochlorotiazidu</w:t>
      </w:r>
      <w:proofErr w:type="spellEnd"/>
      <w:r w:rsidRPr="001340C5">
        <w:rPr>
          <w:rFonts w:ascii="Times New Roman" w:hAnsi="Times New Roman" w:cs="Times New Roman"/>
          <w:lang w:val="sk-SK"/>
        </w:rPr>
        <w:t>, môžu spôsobiť nerovnováhu tekutín alebo elektrolytov (</w:t>
      </w:r>
      <w:proofErr w:type="spellStart"/>
      <w:r w:rsidRPr="001340C5">
        <w:rPr>
          <w:rFonts w:ascii="Times New Roman" w:hAnsi="Times New Roman" w:cs="Times New Roman"/>
          <w:lang w:val="sk-SK"/>
        </w:rPr>
        <w:t>hyperkalciémia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340C5">
        <w:rPr>
          <w:rFonts w:ascii="Times New Roman" w:hAnsi="Times New Roman" w:cs="Times New Roman"/>
          <w:lang w:val="sk-SK"/>
        </w:rPr>
        <w:t>hypokaliémia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340C5">
        <w:rPr>
          <w:rFonts w:ascii="Times New Roman" w:hAnsi="Times New Roman" w:cs="Times New Roman"/>
          <w:lang w:val="sk-SK"/>
        </w:rPr>
        <w:t>hyponatriémia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340C5">
        <w:rPr>
          <w:rFonts w:ascii="Times New Roman" w:hAnsi="Times New Roman" w:cs="Times New Roman"/>
          <w:lang w:val="sk-SK"/>
        </w:rPr>
        <w:t>hypomagneziémia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Pr="001340C5">
        <w:rPr>
          <w:rFonts w:ascii="Times New Roman" w:hAnsi="Times New Roman" w:cs="Times New Roman"/>
          <w:lang w:val="sk-SK"/>
        </w:rPr>
        <w:t>hypochloremická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alkalóza</w:t>
      </w:r>
      <w:proofErr w:type="spellEnd"/>
      <w:r w:rsidRPr="001340C5">
        <w:rPr>
          <w:rFonts w:ascii="Times New Roman" w:hAnsi="Times New Roman" w:cs="Times New Roman"/>
          <w:lang w:val="sk-SK"/>
        </w:rPr>
        <w:t>).</w:t>
      </w:r>
    </w:p>
    <w:p w:rsidR="008F3209" w:rsidRPr="001340C5" w:rsidRDefault="008F3209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CB1BAE" w:rsidRPr="001340C5" w:rsidRDefault="00CB1BAE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 w:rsidRPr="001340C5">
        <w:rPr>
          <w:rFonts w:ascii="Times New Roman" w:hAnsi="Times New Roman" w:cs="Times New Roman"/>
          <w:lang w:val="sk-SK"/>
        </w:rPr>
        <w:t>Tiazidové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diuretiká môžu znižovať vylučovanie vápnika močom a môžu zapríčiniť prechodné mierne zvýšené koncentrácie vápnika v sére. Značná </w:t>
      </w:r>
      <w:proofErr w:type="spellStart"/>
      <w:r w:rsidRPr="001340C5">
        <w:rPr>
          <w:rFonts w:ascii="Times New Roman" w:hAnsi="Times New Roman" w:cs="Times New Roman"/>
          <w:lang w:val="sk-SK"/>
        </w:rPr>
        <w:t>hyperkalciémia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môže byť znakom skrytej </w:t>
      </w:r>
      <w:proofErr w:type="spellStart"/>
      <w:r w:rsidRPr="001340C5">
        <w:rPr>
          <w:rFonts w:ascii="Times New Roman" w:hAnsi="Times New Roman" w:cs="Times New Roman"/>
          <w:lang w:val="sk-SK"/>
        </w:rPr>
        <w:t>hyperparatyreózy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. Pred vyšetrením funkcie </w:t>
      </w:r>
      <w:proofErr w:type="spellStart"/>
      <w:r w:rsidRPr="001340C5">
        <w:rPr>
          <w:rFonts w:ascii="Times New Roman" w:hAnsi="Times New Roman" w:cs="Times New Roman"/>
          <w:lang w:val="sk-SK"/>
        </w:rPr>
        <w:t>prištítnej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žľazy sa má podávanie </w:t>
      </w:r>
      <w:proofErr w:type="spellStart"/>
      <w:r w:rsidRPr="001340C5">
        <w:rPr>
          <w:rFonts w:ascii="Times New Roman" w:hAnsi="Times New Roman" w:cs="Times New Roman"/>
          <w:lang w:val="sk-SK"/>
        </w:rPr>
        <w:t>tiazidov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vysadiť.</w:t>
      </w:r>
    </w:p>
    <w:p w:rsidR="008F3209" w:rsidRPr="001340C5" w:rsidRDefault="00CB1BAE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lastRenderedPageBreak/>
        <w:t xml:space="preserve">V závislosti na dávke, 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zvyšuje vylučovanie draslíka močom, čo môže mať za následok vznik </w:t>
      </w:r>
      <w:proofErr w:type="spellStart"/>
      <w:r w:rsidRPr="001340C5">
        <w:rPr>
          <w:rFonts w:ascii="Times New Roman" w:hAnsi="Times New Roman" w:cs="Times New Roman"/>
          <w:lang w:val="sk-SK"/>
        </w:rPr>
        <w:t>hypokaliémie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. Zdá sa, že tento účinok 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je menej zjavný v kombinácii s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kandesartanom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cilexetilom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. Riziko </w:t>
      </w:r>
      <w:proofErr w:type="spellStart"/>
      <w:r w:rsidRPr="001340C5">
        <w:rPr>
          <w:rFonts w:ascii="Times New Roman" w:hAnsi="Times New Roman" w:cs="Times New Roman"/>
          <w:lang w:val="sk-SK"/>
        </w:rPr>
        <w:t>hypokaliémie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môže byť zvýšené u pacientov s cirhózou pečene, u pacientov s rýchlou </w:t>
      </w:r>
      <w:proofErr w:type="spellStart"/>
      <w:r w:rsidRPr="001340C5">
        <w:rPr>
          <w:rFonts w:ascii="Times New Roman" w:hAnsi="Times New Roman" w:cs="Times New Roman"/>
          <w:lang w:val="sk-SK"/>
        </w:rPr>
        <w:t>diurézou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u pacientov s </w:t>
      </w:r>
      <w:proofErr w:type="spellStart"/>
      <w:r w:rsidRPr="001340C5">
        <w:rPr>
          <w:rFonts w:ascii="Times New Roman" w:hAnsi="Times New Roman" w:cs="Times New Roman"/>
          <w:lang w:val="sk-SK"/>
        </w:rPr>
        <w:t>inadekvátnym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perorálnym príjmom elektrolytov a u pacientov, ktorí sú súbežne liečení </w:t>
      </w:r>
      <w:proofErr w:type="spellStart"/>
      <w:r w:rsidRPr="001340C5">
        <w:rPr>
          <w:rFonts w:ascii="Times New Roman" w:hAnsi="Times New Roman" w:cs="Times New Roman"/>
          <w:lang w:val="sk-SK"/>
        </w:rPr>
        <w:t>kortikosteroidmi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alebo </w:t>
      </w:r>
      <w:proofErr w:type="spellStart"/>
      <w:r w:rsidRPr="001340C5">
        <w:rPr>
          <w:rFonts w:ascii="Times New Roman" w:hAnsi="Times New Roman" w:cs="Times New Roman"/>
          <w:lang w:val="sk-SK"/>
        </w:rPr>
        <w:t>adrenokortikotropným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hormónom (ACTH).</w:t>
      </w:r>
    </w:p>
    <w:p w:rsidR="002A63E8" w:rsidRPr="001340C5" w:rsidRDefault="002A63E8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BD35AA" w:rsidRPr="001340C5" w:rsidRDefault="00BD35AA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Liečba s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kandesartanom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cilexetilom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môže spôsobiť </w:t>
      </w:r>
      <w:proofErr w:type="spellStart"/>
      <w:r w:rsidRPr="001340C5">
        <w:rPr>
          <w:rFonts w:ascii="Times New Roman" w:hAnsi="Times New Roman" w:cs="Times New Roman"/>
          <w:lang w:val="sk-SK"/>
        </w:rPr>
        <w:t>hyperkaliémiu</w:t>
      </w:r>
      <w:proofErr w:type="spellEnd"/>
      <w:r w:rsidRPr="001340C5">
        <w:rPr>
          <w:rFonts w:ascii="Times New Roman" w:hAnsi="Times New Roman" w:cs="Times New Roman"/>
          <w:lang w:val="sk-SK"/>
        </w:rPr>
        <w:t>, hlavne u pacientov so srdcovým zlyhaním a/alebo poškoden</w:t>
      </w:r>
      <w:r w:rsidR="00522AF7">
        <w:rPr>
          <w:rFonts w:ascii="Times New Roman" w:hAnsi="Times New Roman" w:cs="Times New Roman"/>
          <w:lang w:val="sk-SK"/>
        </w:rPr>
        <w:t xml:space="preserve">ím obličiek. Súbežné podávanie </w:t>
      </w:r>
      <w:proofErr w:type="spellStart"/>
      <w:r w:rsidR="00522AF7">
        <w:rPr>
          <w:rFonts w:ascii="Times New Roman" w:hAnsi="Times New Roman" w:cs="Times New Roman"/>
          <w:lang w:val="sk-SK"/>
        </w:rPr>
        <w:t>C</w:t>
      </w:r>
      <w:r w:rsidRPr="001340C5">
        <w:rPr>
          <w:rFonts w:ascii="Times New Roman" w:hAnsi="Times New Roman" w:cs="Times New Roman"/>
          <w:lang w:val="sk-SK"/>
        </w:rPr>
        <w:t>andesartanu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HC</w:t>
      </w:r>
      <w:r w:rsidR="005906EC">
        <w:rPr>
          <w:rFonts w:ascii="Times New Roman" w:hAnsi="Times New Roman" w:cs="Times New Roman"/>
          <w:lang w:val="sk-SK"/>
        </w:rPr>
        <w:t>T</w:t>
      </w:r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22AF7">
        <w:rPr>
          <w:rFonts w:ascii="Times New Roman" w:hAnsi="Times New Roman" w:cs="Times New Roman"/>
          <w:lang w:val="sk-SK"/>
        </w:rPr>
        <w:t>Swyssi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 draslík šetriacich diuretík, doplnkov draslíka, náhrad solí obsahujúcich draslík alebo iných liečiv, ktoré môžu zvyšovať koncentrácie draslíka (napr. </w:t>
      </w:r>
      <w:r w:rsidR="00506406" w:rsidRPr="001340C5">
        <w:rPr>
          <w:rFonts w:ascii="Times New Roman" w:hAnsi="Times New Roman" w:cs="Times New Roman"/>
          <w:lang w:val="sk-SK"/>
        </w:rPr>
        <w:t xml:space="preserve">sodná soľ </w:t>
      </w:r>
      <w:proofErr w:type="spellStart"/>
      <w:r w:rsidR="00506406" w:rsidRPr="001340C5">
        <w:rPr>
          <w:rFonts w:ascii="Times New Roman" w:hAnsi="Times New Roman" w:cs="Times New Roman"/>
          <w:lang w:val="sk-SK"/>
        </w:rPr>
        <w:t>heparínu</w:t>
      </w:r>
      <w:proofErr w:type="spellEnd"/>
      <w:r w:rsidRPr="001340C5">
        <w:rPr>
          <w:rFonts w:ascii="Times New Roman" w:hAnsi="Times New Roman" w:cs="Times New Roman"/>
          <w:lang w:val="sk-SK"/>
        </w:rPr>
        <w:t>)</w:t>
      </w:r>
      <w:r w:rsidR="00594972" w:rsidRPr="001340C5">
        <w:rPr>
          <w:rFonts w:ascii="Times New Roman" w:hAnsi="Times New Roman" w:cs="Times New Roman"/>
          <w:lang w:val="sk-SK"/>
        </w:rPr>
        <w:t>,</w:t>
      </w:r>
      <w:r w:rsidRPr="001340C5">
        <w:rPr>
          <w:rFonts w:ascii="Times New Roman" w:hAnsi="Times New Roman" w:cs="Times New Roman"/>
          <w:lang w:val="sk-SK"/>
        </w:rPr>
        <w:t xml:space="preserve"> môže viesť k zvýšeniu koncentrácie draslíka v sére. Sledovanie draslíka sa má vykonávať podľa potreby.</w:t>
      </w:r>
    </w:p>
    <w:p w:rsidR="002A63E8" w:rsidRPr="001340C5" w:rsidRDefault="00BD35AA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Ukázalo sa, že </w:t>
      </w:r>
      <w:proofErr w:type="spellStart"/>
      <w:r w:rsidRPr="001340C5">
        <w:rPr>
          <w:rFonts w:ascii="Times New Roman" w:hAnsi="Times New Roman" w:cs="Times New Roman"/>
          <w:lang w:val="sk-SK"/>
        </w:rPr>
        <w:t>tiazidy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zvyšujú vylučovanie horčíka do moču, čo môže viesť k </w:t>
      </w:r>
      <w:proofErr w:type="spellStart"/>
      <w:r w:rsidRPr="001340C5">
        <w:rPr>
          <w:rFonts w:ascii="Times New Roman" w:hAnsi="Times New Roman" w:cs="Times New Roman"/>
          <w:lang w:val="sk-SK"/>
        </w:rPr>
        <w:t>hypomagneziémii</w:t>
      </w:r>
      <w:proofErr w:type="spellEnd"/>
      <w:r w:rsidRPr="001340C5">
        <w:rPr>
          <w:rFonts w:ascii="Times New Roman" w:hAnsi="Times New Roman" w:cs="Times New Roman"/>
          <w:lang w:val="sk-SK"/>
        </w:rPr>
        <w:t>.</w:t>
      </w:r>
    </w:p>
    <w:p w:rsidR="002A63E8" w:rsidRPr="001340C5" w:rsidRDefault="002A63E8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DC41EC" w:rsidRPr="001340C5" w:rsidRDefault="009335A1" w:rsidP="00244BAB">
      <w:pPr>
        <w:spacing w:after="0"/>
        <w:jc w:val="both"/>
        <w:rPr>
          <w:rFonts w:ascii="Times New Roman" w:hAnsi="Times New Roman" w:cs="Times New Roman"/>
          <w:i/>
          <w:highlight w:val="yellow"/>
          <w:lang w:val="sk-SK"/>
        </w:rPr>
      </w:pPr>
      <w:r w:rsidRPr="009335A1">
        <w:rPr>
          <w:rFonts w:ascii="Times New Roman" w:hAnsi="Times New Roman" w:cs="Times New Roman"/>
          <w:i/>
          <w:lang w:val="sk-SK"/>
        </w:rPr>
        <w:t>Súbežná liečba inhibítorom ACE pri srdcovom zlyhávaní</w:t>
      </w:r>
      <w:r w:rsidRPr="009335A1">
        <w:rPr>
          <w:rFonts w:ascii="Times New Roman" w:hAnsi="Times New Roman" w:cs="Times New Roman"/>
          <w:i/>
          <w:highlight w:val="yellow"/>
          <w:lang w:val="sk-SK"/>
        </w:rPr>
        <w:t xml:space="preserve"> </w:t>
      </w:r>
    </w:p>
    <w:p w:rsidR="00514387" w:rsidRPr="001340C5" w:rsidRDefault="009335A1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9335A1">
        <w:rPr>
          <w:rFonts w:ascii="Times New Roman" w:hAnsi="Times New Roman" w:cs="Times New Roman"/>
          <w:lang w:val="sk-SK"/>
        </w:rPr>
        <w:t xml:space="preserve">Riziko nežiaducich reakcií, najmä hypotenzie, </w:t>
      </w:r>
      <w:proofErr w:type="spellStart"/>
      <w:r w:rsidRPr="009335A1">
        <w:rPr>
          <w:rFonts w:ascii="Times New Roman" w:hAnsi="Times New Roman" w:cs="Times New Roman"/>
          <w:lang w:val="sk-SK"/>
        </w:rPr>
        <w:t>hyperkaliémie</w:t>
      </w:r>
      <w:proofErr w:type="spellEnd"/>
      <w:r w:rsidRPr="009335A1">
        <w:rPr>
          <w:rFonts w:ascii="Times New Roman" w:hAnsi="Times New Roman" w:cs="Times New Roman"/>
          <w:lang w:val="sk-SK"/>
        </w:rPr>
        <w:t xml:space="preserve"> a zníženej funkcie obličiek (vrátane akútneho zlyhania obličie</w:t>
      </w:r>
      <w:r w:rsidR="00522AF7">
        <w:rPr>
          <w:rFonts w:ascii="Times New Roman" w:hAnsi="Times New Roman" w:cs="Times New Roman"/>
          <w:lang w:val="sk-SK"/>
        </w:rPr>
        <w:t xml:space="preserve">k), sa môže zvýšiť pri použití </w:t>
      </w:r>
      <w:proofErr w:type="spellStart"/>
      <w:r w:rsidR="00522AF7">
        <w:rPr>
          <w:rFonts w:ascii="Times New Roman" w:hAnsi="Times New Roman" w:cs="Times New Roman"/>
          <w:lang w:val="sk-SK"/>
        </w:rPr>
        <w:t>C</w:t>
      </w:r>
      <w:r w:rsidRPr="009335A1">
        <w:rPr>
          <w:rFonts w:ascii="Times New Roman" w:hAnsi="Times New Roman" w:cs="Times New Roman"/>
          <w:lang w:val="sk-SK"/>
        </w:rPr>
        <w:t>andesartanu</w:t>
      </w:r>
      <w:proofErr w:type="spellEnd"/>
      <w:r w:rsidRPr="009335A1">
        <w:rPr>
          <w:rFonts w:ascii="Times New Roman" w:hAnsi="Times New Roman" w:cs="Times New Roman"/>
          <w:lang w:val="sk-SK"/>
        </w:rPr>
        <w:t xml:space="preserve"> HC</w:t>
      </w:r>
      <w:r w:rsidR="005906EC">
        <w:rPr>
          <w:rFonts w:ascii="Times New Roman" w:hAnsi="Times New Roman" w:cs="Times New Roman"/>
          <w:lang w:val="sk-SK"/>
        </w:rPr>
        <w:t>T</w:t>
      </w:r>
      <w:r w:rsidRPr="009335A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22AF7">
        <w:rPr>
          <w:rFonts w:ascii="Times New Roman" w:hAnsi="Times New Roman" w:cs="Times New Roman"/>
          <w:lang w:val="sk-SK"/>
        </w:rPr>
        <w:t>Swyssi</w:t>
      </w:r>
      <w:proofErr w:type="spellEnd"/>
      <w:r w:rsidRPr="009335A1">
        <w:rPr>
          <w:rFonts w:ascii="Times New Roman" w:hAnsi="Times New Roman" w:cs="Times New Roman"/>
          <w:lang w:val="sk-SK"/>
        </w:rPr>
        <w:t xml:space="preserve"> v kombinácii s inhibítorom ACE. </w:t>
      </w:r>
      <w:proofErr w:type="spellStart"/>
      <w:r w:rsidRPr="009335A1">
        <w:rPr>
          <w:rFonts w:ascii="Times New Roman" w:hAnsi="Times New Roman" w:cs="Times New Roman"/>
          <w:lang w:val="sk-SK"/>
        </w:rPr>
        <w:t>Trojkombinácia</w:t>
      </w:r>
      <w:proofErr w:type="spellEnd"/>
      <w:r w:rsidRPr="009335A1">
        <w:rPr>
          <w:rFonts w:ascii="Times New Roman" w:hAnsi="Times New Roman" w:cs="Times New Roman"/>
          <w:lang w:val="sk-SK"/>
        </w:rPr>
        <w:t xml:space="preserve"> inhibítora ACE, antagonistu </w:t>
      </w:r>
      <w:proofErr w:type="spellStart"/>
      <w:r w:rsidRPr="009335A1">
        <w:rPr>
          <w:rFonts w:ascii="Times New Roman" w:hAnsi="Times New Roman" w:cs="Times New Roman"/>
          <w:lang w:val="sk-SK"/>
        </w:rPr>
        <w:t>mineralokortikoidových</w:t>
      </w:r>
      <w:proofErr w:type="spellEnd"/>
      <w:r w:rsidRPr="009335A1">
        <w:rPr>
          <w:rFonts w:ascii="Times New Roman" w:hAnsi="Times New Roman" w:cs="Times New Roman"/>
          <w:lang w:val="sk-SK"/>
        </w:rPr>
        <w:t xml:space="preserve"> receptorov a </w:t>
      </w:r>
      <w:proofErr w:type="spellStart"/>
      <w:r w:rsidRPr="009335A1">
        <w:rPr>
          <w:rFonts w:ascii="Times New Roman" w:hAnsi="Times New Roman" w:cs="Times New Roman"/>
          <w:lang w:val="sk-SK"/>
        </w:rPr>
        <w:t>kandesartanu</w:t>
      </w:r>
      <w:proofErr w:type="spellEnd"/>
      <w:r w:rsidRPr="009335A1">
        <w:rPr>
          <w:rFonts w:ascii="Times New Roman" w:hAnsi="Times New Roman" w:cs="Times New Roman"/>
          <w:lang w:val="sk-SK"/>
        </w:rPr>
        <w:t xml:space="preserve"> sa tiež neodporúča. Tieto kombinácie sa majú použiť pod dohľadom odborníka a u pacienta sa majú často a dôsledne kontrolovať funkcia obličiek, elektrolyty a krvný tlak.</w:t>
      </w:r>
    </w:p>
    <w:p w:rsidR="00514387" w:rsidRPr="001340C5" w:rsidRDefault="00514387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514387" w:rsidRPr="001340C5" w:rsidRDefault="009335A1" w:rsidP="00244BAB">
      <w:pPr>
        <w:spacing w:after="0"/>
        <w:jc w:val="both"/>
        <w:rPr>
          <w:rFonts w:ascii="Times New Roman" w:hAnsi="Times New Roman" w:cs="Times New Roman"/>
          <w:highlight w:val="yellow"/>
          <w:lang w:val="sk-SK"/>
        </w:rPr>
      </w:pPr>
      <w:r w:rsidRPr="009335A1">
        <w:rPr>
          <w:rFonts w:ascii="Times New Roman" w:hAnsi="Times New Roman" w:cs="Times New Roman"/>
          <w:lang w:val="sk-SK"/>
        </w:rPr>
        <w:t xml:space="preserve">Inhibítory ACE a </w:t>
      </w:r>
      <w:proofErr w:type="spellStart"/>
      <w:r w:rsidRPr="009335A1">
        <w:rPr>
          <w:rFonts w:ascii="Times New Roman" w:hAnsi="Times New Roman" w:cs="Times New Roman"/>
          <w:lang w:val="sk-SK"/>
        </w:rPr>
        <w:t>blokátory</w:t>
      </w:r>
      <w:proofErr w:type="spellEnd"/>
      <w:r w:rsidRPr="009335A1">
        <w:rPr>
          <w:rFonts w:ascii="Times New Roman" w:hAnsi="Times New Roman" w:cs="Times New Roman"/>
          <w:lang w:val="sk-SK"/>
        </w:rPr>
        <w:t xml:space="preserve"> receptorov </w:t>
      </w:r>
      <w:proofErr w:type="spellStart"/>
      <w:r w:rsidRPr="009335A1">
        <w:rPr>
          <w:rFonts w:ascii="Times New Roman" w:hAnsi="Times New Roman" w:cs="Times New Roman"/>
          <w:lang w:val="sk-SK"/>
        </w:rPr>
        <w:t>angiotenzínu</w:t>
      </w:r>
      <w:proofErr w:type="spellEnd"/>
      <w:r w:rsidRPr="009335A1">
        <w:rPr>
          <w:rFonts w:ascii="Times New Roman" w:hAnsi="Times New Roman" w:cs="Times New Roman"/>
          <w:lang w:val="sk-SK"/>
        </w:rPr>
        <w:t xml:space="preserve"> II sa nemajú súbežne používať u pacientov s diabetickou </w:t>
      </w:r>
      <w:proofErr w:type="spellStart"/>
      <w:r w:rsidRPr="009335A1">
        <w:rPr>
          <w:rFonts w:ascii="Times New Roman" w:hAnsi="Times New Roman" w:cs="Times New Roman"/>
          <w:lang w:val="sk-SK"/>
        </w:rPr>
        <w:t>nefropatiou</w:t>
      </w:r>
      <w:proofErr w:type="spellEnd"/>
      <w:r w:rsidRPr="009335A1">
        <w:rPr>
          <w:rFonts w:ascii="Times New Roman" w:hAnsi="Times New Roman" w:cs="Times New Roman"/>
          <w:lang w:val="sk-SK"/>
        </w:rPr>
        <w:t>.</w:t>
      </w:r>
    </w:p>
    <w:p w:rsidR="003058B5" w:rsidRPr="001340C5" w:rsidRDefault="003058B5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0C60BB" w:rsidRPr="001340C5" w:rsidRDefault="000C60BB" w:rsidP="00244BAB">
      <w:pPr>
        <w:spacing w:after="0"/>
        <w:jc w:val="both"/>
        <w:rPr>
          <w:rFonts w:ascii="Times New Roman" w:hAnsi="Times New Roman" w:cs="Times New Roman"/>
          <w:i/>
          <w:lang w:val="sk-SK"/>
        </w:rPr>
      </w:pPr>
      <w:r w:rsidRPr="001340C5">
        <w:rPr>
          <w:rFonts w:ascii="Times New Roman" w:hAnsi="Times New Roman" w:cs="Times New Roman"/>
          <w:i/>
          <w:lang w:val="sk-SK"/>
        </w:rPr>
        <w:t>Metabolické a endokrinné účinky</w:t>
      </w:r>
    </w:p>
    <w:p w:rsidR="000C60BB" w:rsidRPr="001340C5" w:rsidRDefault="000C60BB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Liečba </w:t>
      </w:r>
      <w:proofErr w:type="spellStart"/>
      <w:r w:rsidRPr="001340C5">
        <w:rPr>
          <w:rFonts w:ascii="Times New Roman" w:hAnsi="Times New Roman" w:cs="Times New Roman"/>
          <w:lang w:val="sk-SK"/>
        </w:rPr>
        <w:t>tiazidovými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diuretikami môže znížiť glukózovú toleranciu. Môže byť potrebné upraviť dávky </w:t>
      </w:r>
      <w:proofErr w:type="spellStart"/>
      <w:r w:rsidRPr="001340C5">
        <w:rPr>
          <w:rFonts w:ascii="Times New Roman" w:hAnsi="Times New Roman" w:cs="Times New Roman"/>
          <w:lang w:val="sk-SK"/>
        </w:rPr>
        <w:t>antidiabetických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liekov vrátane inzulínu. Počas liečby </w:t>
      </w:r>
      <w:proofErr w:type="spellStart"/>
      <w:r w:rsidRPr="001340C5">
        <w:rPr>
          <w:rFonts w:ascii="Times New Roman" w:hAnsi="Times New Roman" w:cs="Times New Roman"/>
          <w:lang w:val="sk-SK"/>
        </w:rPr>
        <w:t>tiazidovými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liekmi sa môže manifestovať latentný diabetes mellitus. Zvýšenie hladiny cholesterolu a </w:t>
      </w:r>
      <w:proofErr w:type="spellStart"/>
      <w:r w:rsidRPr="001340C5">
        <w:rPr>
          <w:rFonts w:ascii="Times New Roman" w:hAnsi="Times New Roman" w:cs="Times New Roman"/>
          <w:lang w:val="sk-SK"/>
        </w:rPr>
        <w:t>triglyceridov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v sére sa dáva do súvislosti s liečbou </w:t>
      </w:r>
      <w:proofErr w:type="spellStart"/>
      <w:r w:rsidRPr="001340C5">
        <w:rPr>
          <w:rFonts w:ascii="Times New Roman" w:hAnsi="Times New Roman" w:cs="Times New Roman"/>
          <w:lang w:val="sk-SK"/>
        </w:rPr>
        <w:t>tiazidovými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diuretikami. V dávkach, ktoré obsahuje </w:t>
      </w:r>
      <w:proofErr w:type="spellStart"/>
      <w:r w:rsidR="00522AF7">
        <w:rPr>
          <w:rFonts w:ascii="Times New Roman" w:hAnsi="Times New Roman" w:cs="Times New Roman"/>
          <w:lang w:val="sk-SK"/>
        </w:rPr>
        <w:t>C</w:t>
      </w:r>
      <w:r w:rsidR="00AE084D" w:rsidRPr="001340C5">
        <w:rPr>
          <w:rFonts w:ascii="Times New Roman" w:hAnsi="Times New Roman" w:cs="Times New Roman"/>
          <w:lang w:val="sk-SK"/>
        </w:rPr>
        <w:t>andesartan</w:t>
      </w:r>
      <w:proofErr w:type="spellEnd"/>
      <w:r w:rsidR="00AE084D" w:rsidRPr="001340C5">
        <w:rPr>
          <w:rFonts w:ascii="Times New Roman" w:hAnsi="Times New Roman" w:cs="Times New Roman"/>
          <w:lang w:val="sk-SK"/>
        </w:rPr>
        <w:t xml:space="preserve"> HC</w:t>
      </w:r>
      <w:r w:rsidR="005906EC">
        <w:rPr>
          <w:rFonts w:ascii="Times New Roman" w:hAnsi="Times New Roman" w:cs="Times New Roman"/>
          <w:lang w:val="sk-SK"/>
        </w:rPr>
        <w:t>T</w:t>
      </w:r>
      <w:r w:rsidR="00AE084D"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22AF7">
        <w:rPr>
          <w:rFonts w:ascii="Times New Roman" w:hAnsi="Times New Roman" w:cs="Times New Roman"/>
          <w:lang w:val="sk-SK"/>
        </w:rPr>
        <w:t>Swyssi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sa pozorovali iba minimálne účinky. </w:t>
      </w:r>
      <w:proofErr w:type="spellStart"/>
      <w:r w:rsidRPr="001340C5">
        <w:rPr>
          <w:rFonts w:ascii="Times New Roman" w:hAnsi="Times New Roman" w:cs="Times New Roman"/>
          <w:lang w:val="sk-SK"/>
        </w:rPr>
        <w:t>Tiazidové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diuretiká zvyšujú koncentráciu kyseliny močovej v sére, čo môže u vnímavých pacientov vyústiť do dny.</w:t>
      </w:r>
    </w:p>
    <w:p w:rsidR="000C60BB" w:rsidRPr="001340C5" w:rsidRDefault="000C60BB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0C60BB" w:rsidRPr="001340C5" w:rsidRDefault="000C60BB" w:rsidP="00244BAB">
      <w:pPr>
        <w:spacing w:after="0"/>
        <w:jc w:val="both"/>
        <w:rPr>
          <w:rFonts w:ascii="Times New Roman" w:hAnsi="Times New Roman" w:cs="Times New Roman"/>
          <w:i/>
          <w:lang w:val="sk-SK"/>
        </w:rPr>
      </w:pPr>
      <w:proofErr w:type="spellStart"/>
      <w:r w:rsidRPr="001340C5">
        <w:rPr>
          <w:rFonts w:ascii="Times New Roman" w:hAnsi="Times New Roman" w:cs="Times New Roman"/>
          <w:i/>
          <w:lang w:val="sk-SK"/>
        </w:rPr>
        <w:t>Fotosenzitivita</w:t>
      </w:r>
      <w:proofErr w:type="spellEnd"/>
    </w:p>
    <w:p w:rsidR="002A452F" w:rsidRPr="001340C5" w:rsidRDefault="000C60BB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Pri užívaní </w:t>
      </w:r>
      <w:proofErr w:type="spellStart"/>
      <w:r w:rsidRPr="001340C5">
        <w:rPr>
          <w:rFonts w:ascii="Times New Roman" w:hAnsi="Times New Roman" w:cs="Times New Roman"/>
          <w:lang w:val="sk-SK"/>
        </w:rPr>
        <w:t>tiazidových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diuretík sa hlásili prípady </w:t>
      </w:r>
      <w:proofErr w:type="spellStart"/>
      <w:r w:rsidRPr="001340C5">
        <w:rPr>
          <w:rFonts w:ascii="Times New Roman" w:hAnsi="Times New Roman" w:cs="Times New Roman"/>
          <w:lang w:val="sk-SK"/>
        </w:rPr>
        <w:t>fotosenzitívnej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reakcie (pozri časť 4.8). Ak sa vyskytnú </w:t>
      </w:r>
      <w:proofErr w:type="spellStart"/>
      <w:r w:rsidRPr="001340C5">
        <w:rPr>
          <w:rFonts w:ascii="Times New Roman" w:hAnsi="Times New Roman" w:cs="Times New Roman"/>
          <w:lang w:val="sk-SK"/>
        </w:rPr>
        <w:t>fotosenzitívne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reakcie, odporúča sa ukončenie liečby. Ak je nevyhnutné znovu podať liečbu, odporúča sa chrániť miesta vystavené slnku alebo umelému UVA žiareniu.</w:t>
      </w:r>
    </w:p>
    <w:p w:rsidR="00595ED9" w:rsidRPr="001340C5" w:rsidRDefault="00595ED9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174E1F" w:rsidRPr="001340C5" w:rsidRDefault="00174E1F" w:rsidP="00244BAB">
      <w:pPr>
        <w:spacing w:after="0"/>
        <w:jc w:val="both"/>
        <w:rPr>
          <w:rFonts w:ascii="Times New Roman" w:hAnsi="Times New Roman" w:cs="Times New Roman"/>
          <w:i/>
          <w:lang w:val="sk-SK"/>
        </w:rPr>
      </w:pPr>
      <w:r w:rsidRPr="001340C5">
        <w:rPr>
          <w:rFonts w:ascii="Times New Roman" w:hAnsi="Times New Roman" w:cs="Times New Roman"/>
          <w:i/>
          <w:lang w:val="sk-SK"/>
        </w:rPr>
        <w:t>Všeobecné upozornenia</w:t>
      </w:r>
    </w:p>
    <w:p w:rsidR="00174E1F" w:rsidRPr="001340C5" w:rsidRDefault="00174E1F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>U pacientov, ktorých cievny tonus a funkci</w:t>
      </w:r>
      <w:r w:rsidR="00594972" w:rsidRPr="001340C5">
        <w:rPr>
          <w:rFonts w:ascii="Times New Roman" w:hAnsi="Times New Roman" w:cs="Times New Roman"/>
          <w:lang w:val="sk-SK"/>
        </w:rPr>
        <w:t>a</w:t>
      </w:r>
      <w:r w:rsidRPr="001340C5">
        <w:rPr>
          <w:rFonts w:ascii="Times New Roman" w:hAnsi="Times New Roman" w:cs="Times New Roman"/>
          <w:lang w:val="sk-SK"/>
        </w:rPr>
        <w:t xml:space="preserve"> obličiek závisia hlavne od aktivity </w:t>
      </w:r>
      <w:proofErr w:type="spellStart"/>
      <w:r w:rsidRPr="001340C5">
        <w:rPr>
          <w:rFonts w:ascii="Times New Roman" w:hAnsi="Times New Roman" w:cs="Times New Roman"/>
          <w:lang w:val="sk-SK"/>
        </w:rPr>
        <w:t>renín-angiotenzín-aldosterónového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systému (napr. pacienti so závažným </w:t>
      </w:r>
      <w:proofErr w:type="spellStart"/>
      <w:r w:rsidRPr="001340C5">
        <w:rPr>
          <w:rFonts w:ascii="Times New Roman" w:hAnsi="Times New Roman" w:cs="Times New Roman"/>
          <w:lang w:val="sk-SK"/>
        </w:rPr>
        <w:t>kongestívnym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srdcovým zlyhaním alebo s primárnym ochorením obličiek, vrátane </w:t>
      </w:r>
      <w:proofErr w:type="spellStart"/>
      <w:r w:rsidRPr="001340C5">
        <w:rPr>
          <w:rFonts w:ascii="Times New Roman" w:hAnsi="Times New Roman" w:cs="Times New Roman"/>
          <w:lang w:val="sk-SK"/>
        </w:rPr>
        <w:t>stenózy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renálnej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artérie), liečba s liekmi ovplyvňujúcimi tento systém vrátane </w:t>
      </w:r>
      <w:proofErr w:type="spellStart"/>
      <w:r w:rsidRPr="001340C5">
        <w:rPr>
          <w:rFonts w:ascii="Times New Roman" w:hAnsi="Times New Roman" w:cs="Times New Roman"/>
          <w:lang w:val="sk-SK"/>
        </w:rPr>
        <w:t>AIIRAs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bola spojená s akútnou hypotenziou, </w:t>
      </w:r>
      <w:proofErr w:type="spellStart"/>
      <w:r w:rsidRPr="001340C5">
        <w:rPr>
          <w:rFonts w:ascii="Times New Roman" w:hAnsi="Times New Roman" w:cs="Times New Roman"/>
          <w:lang w:val="sk-SK"/>
        </w:rPr>
        <w:t>azotémiou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340C5">
        <w:rPr>
          <w:rFonts w:ascii="Times New Roman" w:hAnsi="Times New Roman" w:cs="Times New Roman"/>
          <w:lang w:val="sk-SK"/>
        </w:rPr>
        <w:t>oligúriou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alebo zriedkavejšie s akútnym zlyhaním obličiek. Ako pri všetkých </w:t>
      </w:r>
      <w:proofErr w:type="spellStart"/>
      <w:r w:rsidRPr="001340C5">
        <w:rPr>
          <w:rFonts w:ascii="Times New Roman" w:hAnsi="Times New Roman" w:cs="Times New Roman"/>
          <w:lang w:val="sk-SK"/>
        </w:rPr>
        <w:t>antihypertenzívach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nadmerné zníženie krvného tlaku u pacientov s ischemickou chorobou srdca alebo s ischemickým </w:t>
      </w:r>
      <w:proofErr w:type="spellStart"/>
      <w:r w:rsidRPr="001340C5">
        <w:rPr>
          <w:rFonts w:ascii="Times New Roman" w:hAnsi="Times New Roman" w:cs="Times New Roman"/>
          <w:lang w:val="sk-SK"/>
        </w:rPr>
        <w:t>cerebrovaskulárnym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ochorením môže mať za následok infarkt myokardu alebo cievnu mozgovú príhodu.</w:t>
      </w:r>
    </w:p>
    <w:p w:rsidR="006C69CB" w:rsidRPr="001340C5" w:rsidRDefault="006C69CB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174E1F" w:rsidRPr="001340C5" w:rsidRDefault="00174E1F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Precitlivenosť na 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sa môže vyskytnúť u pacientov s anamnézou alergie alebo bronchiálnej astmy alebo bez nej, avšak je pravdepodobnejšia u pacientov s touto anamnézou.</w:t>
      </w:r>
    </w:p>
    <w:p w:rsidR="00174E1F" w:rsidRPr="001340C5" w:rsidRDefault="00174E1F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V spojitosti s liečbou </w:t>
      </w:r>
      <w:proofErr w:type="spellStart"/>
      <w:r w:rsidRPr="001340C5">
        <w:rPr>
          <w:rFonts w:ascii="Times New Roman" w:hAnsi="Times New Roman" w:cs="Times New Roman"/>
          <w:lang w:val="sk-SK"/>
        </w:rPr>
        <w:t>tiazidovými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diuretikami sa zaznamenala </w:t>
      </w:r>
      <w:proofErr w:type="spellStart"/>
      <w:r w:rsidRPr="001340C5">
        <w:rPr>
          <w:rFonts w:ascii="Times New Roman" w:hAnsi="Times New Roman" w:cs="Times New Roman"/>
          <w:lang w:val="sk-SK"/>
        </w:rPr>
        <w:t>exacerbácia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alebo aktivácia systémového </w:t>
      </w:r>
      <w:proofErr w:type="spellStart"/>
      <w:r w:rsidRPr="001340C5">
        <w:rPr>
          <w:rFonts w:ascii="Times New Roman" w:hAnsi="Times New Roman" w:cs="Times New Roman"/>
          <w:lang w:val="sk-SK"/>
        </w:rPr>
        <w:t>lupus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erythematosus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. </w:t>
      </w:r>
    </w:p>
    <w:p w:rsidR="00595ED9" w:rsidRPr="001340C5" w:rsidRDefault="00174E1F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 w:rsidRPr="001340C5">
        <w:rPr>
          <w:rFonts w:ascii="Times New Roman" w:hAnsi="Times New Roman" w:cs="Times New Roman"/>
          <w:lang w:val="sk-SK"/>
        </w:rPr>
        <w:t>Antihypertenzný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účinok </w:t>
      </w:r>
      <w:proofErr w:type="spellStart"/>
      <w:r w:rsidR="00522AF7">
        <w:rPr>
          <w:rFonts w:ascii="Times New Roman" w:hAnsi="Times New Roman" w:cs="Times New Roman"/>
          <w:lang w:val="sk-SK"/>
        </w:rPr>
        <w:t>C</w:t>
      </w:r>
      <w:r w:rsidR="00C97ED6" w:rsidRPr="001340C5">
        <w:rPr>
          <w:rFonts w:ascii="Times New Roman" w:hAnsi="Times New Roman" w:cs="Times New Roman"/>
          <w:lang w:val="sk-SK"/>
        </w:rPr>
        <w:t>andesartanu</w:t>
      </w:r>
      <w:proofErr w:type="spellEnd"/>
      <w:r w:rsidR="00C97ED6" w:rsidRPr="001340C5">
        <w:rPr>
          <w:rFonts w:ascii="Times New Roman" w:hAnsi="Times New Roman" w:cs="Times New Roman"/>
          <w:lang w:val="sk-SK"/>
        </w:rPr>
        <w:t xml:space="preserve"> HC</w:t>
      </w:r>
      <w:r w:rsidR="005906EC">
        <w:rPr>
          <w:rFonts w:ascii="Times New Roman" w:hAnsi="Times New Roman" w:cs="Times New Roman"/>
          <w:lang w:val="sk-SK"/>
        </w:rPr>
        <w:t>T</w:t>
      </w:r>
      <w:r w:rsidR="00C97ED6"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22AF7">
        <w:rPr>
          <w:rFonts w:ascii="Times New Roman" w:hAnsi="Times New Roman" w:cs="Times New Roman"/>
          <w:lang w:val="sk-SK"/>
        </w:rPr>
        <w:t>Swyssi</w:t>
      </w:r>
      <w:proofErr w:type="spellEnd"/>
      <w:r w:rsidR="00594972" w:rsidRPr="001340C5">
        <w:rPr>
          <w:rFonts w:ascii="Times New Roman" w:hAnsi="Times New Roman" w:cs="Times New Roman"/>
          <w:lang w:val="sk-SK"/>
        </w:rPr>
        <w:t xml:space="preserve"> </w:t>
      </w:r>
      <w:r w:rsidRPr="001340C5">
        <w:rPr>
          <w:rFonts w:ascii="Times New Roman" w:hAnsi="Times New Roman" w:cs="Times New Roman"/>
          <w:lang w:val="sk-SK"/>
        </w:rPr>
        <w:t xml:space="preserve">sa môže zvýšiť ďalšími </w:t>
      </w:r>
      <w:proofErr w:type="spellStart"/>
      <w:r w:rsidRPr="001340C5">
        <w:rPr>
          <w:rFonts w:ascii="Times New Roman" w:hAnsi="Times New Roman" w:cs="Times New Roman"/>
          <w:lang w:val="sk-SK"/>
        </w:rPr>
        <w:t>antihypertenzívami</w:t>
      </w:r>
      <w:proofErr w:type="spellEnd"/>
      <w:r w:rsidRPr="001340C5">
        <w:rPr>
          <w:rFonts w:ascii="Times New Roman" w:hAnsi="Times New Roman" w:cs="Times New Roman"/>
          <w:lang w:val="sk-SK"/>
        </w:rPr>
        <w:t>.</w:t>
      </w:r>
    </w:p>
    <w:p w:rsidR="006C69CB" w:rsidRPr="001340C5" w:rsidRDefault="006C69CB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6C69CB" w:rsidRPr="001340C5" w:rsidRDefault="006C69CB" w:rsidP="00244BAB">
      <w:pPr>
        <w:spacing w:after="0"/>
        <w:jc w:val="both"/>
        <w:rPr>
          <w:rFonts w:ascii="Times New Roman" w:hAnsi="Times New Roman" w:cs="Times New Roman"/>
          <w:i/>
          <w:lang w:val="sk-SK"/>
        </w:rPr>
      </w:pPr>
      <w:r w:rsidRPr="001340C5">
        <w:rPr>
          <w:rFonts w:ascii="Times New Roman" w:hAnsi="Times New Roman" w:cs="Times New Roman"/>
          <w:i/>
          <w:lang w:val="sk-SK"/>
        </w:rPr>
        <w:t>Gravidita</w:t>
      </w:r>
    </w:p>
    <w:p w:rsidR="006C69CB" w:rsidRPr="001340C5" w:rsidRDefault="006C69CB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 w:rsidRPr="001340C5">
        <w:rPr>
          <w:rFonts w:ascii="Times New Roman" w:hAnsi="Times New Roman" w:cs="Times New Roman"/>
          <w:lang w:val="sk-SK"/>
        </w:rPr>
        <w:t>AIIRAs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sa nemajú začať podávať počas gravidity. Ak pokračovanie s AIIRA terapiou nie je považované za nevyhnutné, pacientky plánujúce graviditu musia byť prevedené na iné </w:t>
      </w:r>
      <w:proofErr w:type="spellStart"/>
      <w:r w:rsidRPr="001340C5">
        <w:rPr>
          <w:rFonts w:ascii="Times New Roman" w:hAnsi="Times New Roman" w:cs="Times New Roman"/>
          <w:lang w:val="sk-SK"/>
        </w:rPr>
        <w:t>antihypertenzné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liečby, ktoré </w:t>
      </w:r>
      <w:r w:rsidRPr="001340C5">
        <w:rPr>
          <w:rFonts w:ascii="Times New Roman" w:hAnsi="Times New Roman" w:cs="Times New Roman"/>
          <w:lang w:val="sk-SK"/>
        </w:rPr>
        <w:lastRenderedPageBreak/>
        <w:t xml:space="preserve">majú stanovený bezpečnostný profil na použitie v gravidite. Ak sa zistí gravidita, liečba s </w:t>
      </w:r>
      <w:proofErr w:type="spellStart"/>
      <w:r w:rsidRPr="001340C5">
        <w:rPr>
          <w:rFonts w:ascii="Times New Roman" w:hAnsi="Times New Roman" w:cs="Times New Roman"/>
          <w:lang w:val="sk-SK"/>
        </w:rPr>
        <w:t>AIIRAs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musí byť okamžite ukončená, a ak je to vhodné, má sa začať alternatívna liečba (pozri časti 4.3 a 4.6).</w:t>
      </w:r>
    </w:p>
    <w:p w:rsidR="006053B6" w:rsidRPr="001340C5" w:rsidRDefault="006053B6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7C68C2" w:rsidRPr="001340C5" w:rsidRDefault="007C68C2" w:rsidP="00244BAB">
      <w:pPr>
        <w:spacing w:after="0"/>
        <w:jc w:val="both"/>
        <w:rPr>
          <w:rFonts w:ascii="Times New Roman" w:hAnsi="Times New Roman" w:cs="Times New Roman"/>
          <w:i/>
          <w:lang w:val="sk-SK"/>
        </w:rPr>
      </w:pPr>
      <w:r w:rsidRPr="001340C5">
        <w:rPr>
          <w:rFonts w:ascii="Times New Roman" w:hAnsi="Times New Roman" w:cs="Times New Roman"/>
          <w:i/>
          <w:lang w:val="sk-SK"/>
        </w:rPr>
        <w:t xml:space="preserve">Duálna inhibícia systému </w:t>
      </w:r>
      <w:proofErr w:type="spellStart"/>
      <w:r w:rsidRPr="001340C5">
        <w:rPr>
          <w:rFonts w:ascii="Times New Roman" w:hAnsi="Times New Roman" w:cs="Times New Roman"/>
          <w:i/>
          <w:lang w:val="sk-SK"/>
        </w:rPr>
        <w:t>renín-angiotenzín-aldosterón</w:t>
      </w:r>
      <w:proofErr w:type="spellEnd"/>
      <w:r w:rsidRPr="001340C5">
        <w:rPr>
          <w:rFonts w:ascii="Times New Roman" w:hAnsi="Times New Roman" w:cs="Times New Roman"/>
          <w:i/>
          <w:lang w:val="sk-SK"/>
        </w:rPr>
        <w:t xml:space="preserve"> (RAAS)</w:t>
      </w:r>
    </w:p>
    <w:p w:rsidR="007C68C2" w:rsidRPr="001340C5" w:rsidRDefault="007C68C2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Preukázalo sa, že súbežné použitie inhibítorov ACE, </w:t>
      </w:r>
      <w:proofErr w:type="spellStart"/>
      <w:r w:rsidRPr="001340C5">
        <w:rPr>
          <w:rFonts w:ascii="Times New Roman" w:hAnsi="Times New Roman" w:cs="Times New Roman"/>
          <w:lang w:val="sk-SK"/>
        </w:rPr>
        <w:t>blokátorov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receptorov </w:t>
      </w:r>
      <w:proofErr w:type="spellStart"/>
      <w:r w:rsidRPr="001340C5">
        <w:rPr>
          <w:rFonts w:ascii="Times New Roman" w:hAnsi="Times New Roman" w:cs="Times New Roman"/>
          <w:lang w:val="sk-SK"/>
        </w:rPr>
        <w:t>angiotenzínu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II alebo </w:t>
      </w:r>
      <w:proofErr w:type="spellStart"/>
      <w:r w:rsidRPr="001340C5">
        <w:rPr>
          <w:rFonts w:ascii="Times New Roman" w:hAnsi="Times New Roman" w:cs="Times New Roman"/>
          <w:lang w:val="sk-SK"/>
        </w:rPr>
        <w:t>aliskirenu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zvyšuje riziko hypotenzie, </w:t>
      </w:r>
      <w:proofErr w:type="spellStart"/>
      <w:r w:rsidRPr="001340C5">
        <w:rPr>
          <w:rFonts w:ascii="Times New Roman" w:hAnsi="Times New Roman" w:cs="Times New Roman"/>
          <w:lang w:val="sk-SK"/>
        </w:rPr>
        <w:t>hyperkaliémie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 zníženia funkcie obličiek (vrátane akútneho zlyhania obličiek). Duálna inhibícia RAAS kombinovaným použitím inhibítorov ACE, </w:t>
      </w:r>
      <w:proofErr w:type="spellStart"/>
      <w:r w:rsidRPr="001340C5">
        <w:rPr>
          <w:rFonts w:ascii="Times New Roman" w:hAnsi="Times New Roman" w:cs="Times New Roman"/>
          <w:lang w:val="sk-SK"/>
        </w:rPr>
        <w:t>blokátorov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receptorov </w:t>
      </w:r>
      <w:proofErr w:type="spellStart"/>
      <w:r w:rsidRPr="001340C5">
        <w:rPr>
          <w:rFonts w:ascii="Times New Roman" w:hAnsi="Times New Roman" w:cs="Times New Roman"/>
          <w:lang w:val="sk-SK"/>
        </w:rPr>
        <w:t>angiotenzínu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II alebo </w:t>
      </w:r>
      <w:proofErr w:type="spellStart"/>
      <w:r w:rsidRPr="001340C5">
        <w:rPr>
          <w:rFonts w:ascii="Times New Roman" w:hAnsi="Times New Roman" w:cs="Times New Roman"/>
          <w:lang w:val="sk-SK"/>
        </w:rPr>
        <w:t>aliskirenu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sa preto neodporúča (pozri časti 4.5 a 5.1).</w:t>
      </w:r>
    </w:p>
    <w:p w:rsidR="007C68C2" w:rsidRPr="001340C5" w:rsidRDefault="007C68C2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>Ak sa liečba duálnou inhibíciou považuje za absolútne nevyhnutnú, má sa podať iba pod dohľadom odborníka a u pacienta sa majú často a dôsledne kontrolovať funkcia obličiek, elektrolyty a krvný tlak.</w:t>
      </w:r>
    </w:p>
    <w:p w:rsidR="007C68C2" w:rsidRPr="001340C5" w:rsidRDefault="007C68C2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Inhibítory ACE a </w:t>
      </w:r>
      <w:proofErr w:type="spellStart"/>
      <w:r w:rsidRPr="001340C5">
        <w:rPr>
          <w:rFonts w:ascii="Times New Roman" w:hAnsi="Times New Roman" w:cs="Times New Roman"/>
          <w:lang w:val="sk-SK"/>
        </w:rPr>
        <w:t>blokátory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receptorov </w:t>
      </w:r>
      <w:proofErr w:type="spellStart"/>
      <w:r w:rsidRPr="001340C5">
        <w:rPr>
          <w:rFonts w:ascii="Times New Roman" w:hAnsi="Times New Roman" w:cs="Times New Roman"/>
          <w:lang w:val="sk-SK"/>
        </w:rPr>
        <w:t>angiotenzínu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II sa nemajú súbežne používať u pacientov s diabetickou </w:t>
      </w:r>
      <w:proofErr w:type="spellStart"/>
      <w:r w:rsidRPr="001340C5">
        <w:rPr>
          <w:rFonts w:ascii="Times New Roman" w:hAnsi="Times New Roman" w:cs="Times New Roman"/>
          <w:lang w:val="sk-SK"/>
        </w:rPr>
        <w:t>nefropatiou</w:t>
      </w:r>
      <w:proofErr w:type="spellEnd"/>
      <w:r w:rsidRPr="001340C5">
        <w:rPr>
          <w:rFonts w:ascii="Times New Roman" w:hAnsi="Times New Roman" w:cs="Times New Roman"/>
          <w:lang w:val="sk-SK"/>
        </w:rPr>
        <w:t>.</w:t>
      </w:r>
    </w:p>
    <w:p w:rsidR="007C68C2" w:rsidRPr="001340C5" w:rsidRDefault="007C68C2" w:rsidP="00244BAB">
      <w:pPr>
        <w:spacing w:after="0"/>
        <w:jc w:val="both"/>
        <w:rPr>
          <w:rFonts w:ascii="Times New Roman" w:hAnsi="Times New Roman" w:cs="Times New Roman"/>
          <w:b/>
          <w:lang w:val="sk-SK"/>
        </w:rPr>
      </w:pPr>
    </w:p>
    <w:p w:rsidR="007C68C2" w:rsidRPr="001340C5" w:rsidRDefault="0090791F" w:rsidP="004F5AE8">
      <w:pPr>
        <w:pStyle w:val="Odsekzoznamu"/>
        <w:numPr>
          <w:ilvl w:val="1"/>
          <w:numId w:val="19"/>
        </w:numPr>
        <w:spacing w:after="0"/>
        <w:ind w:left="709" w:hanging="709"/>
        <w:jc w:val="both"/>
        <w:rPr>
          <w:rFonts w:ascii="Times New Roman" w:hAnsi="Times New Roman" w:cs="Times New Roman"/>
          <w:b/>
          <w:lang w:val="sk-SK"/>
        </w:rPr>
      </w:pPr>
      <w:r w:rsidRPr="001340C5">
        <w:rPr>
          <w:rFonts w:ascii="Times New Roman" w:hAnsi="Times New Roman" w:cs="Times New Roman"/>
          <w:b/>
          <w:lang w:val="sk-SK"/>
        </w:rPr>
        <w:t>Liekové a iné interakcie</w:t>
      </w:r>
    </w:p>
    <w:p w:rsidR="00FB3F97" w:rsidRPr="001340C5" w:rsidRDefault="00FB3F97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90791F" w:rsidRPr="001340C5" w:rsidRDefault="00FB3F97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V klinických </w:t>
      </w:r>
      <w:proofErr w:type="spellStart"/>
      <w:r w:rsidRPr="001340C5">
        <w:rPr>
          <w:rFonts w:ascii="Times New Roman" w:hAnsi="Times New Roman" w:cs="Times New Roman"/>
          <w:lang w:val="sk-SK"/>
        </w:rPr>
        <w:t>farmakokinetických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štúdiách sa skúmali možné interakcie s </w:t>
      </w:r>
      <w:proofErr w:type="spellStart"/>
      <w:r w:rsidRPr="001340C5">
        <w:rPr>
          <w:rFonts w:ascii="Times New Roman" w:hAnsi="Times New Roman" w:cs="Times New Roman"/>
          <w:lang w:val="sk-SK"/>
        </w:rPr>
        <w:t>warfarínom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340C5">
        <w:rPr>
          <w:rFonts w:ascii="Times New Roman" w:hAnsi="Times New Roman" w:cs="Times New Roman"/>
          <w:lang w:val="sk-SK"/>
        </w:rPr>
        <w:t>digoxínom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 perorálnymi </w:t>
      </w:r>
      <w:proofErr w:type="spellStart"/>
      <w:r w:rsidRPr="001340C5">
        <w:rPr>
          <w:rFonts w:ascii="Times New Roman" w:hAnsi="Times New Roman" w:cs="Times New Roman"/>
          <w:lang w:val="sk-SK"/>
        </w:rPr>
        <w:t>kontraceptívami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(</w:t>
      </w:r>
      <w:proofErr w:type="spellStart"/>
      <w:r w:rsidRPr="001340C5">
        <w:rPr>
          <w:rFonts w:ascii="Times New Roman" w:hAnsi="Times New Roman" w:cs="Times New Roman"/>
          <w:lang w:val="sk-SK"/>
        </w:rPr>
        <w:t>t.j</w:t>
      </w:r>
      <w:proofErr w:type="spellEnd"/>
      <w:r w:rsidRPr="001340C5">
        <w:rPr>
          <w:rFonts w:ascii="Times New Roman" w:hAnsi="Times New Roman" w:cs="Times New Roman"/>
          <w:lang w:val="sk-SK"/>
        </w:rPr>
        <w:t>.</w:t>
      </w:r>
      <w:r w:rsidR="00256711"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etinylestradiol</w:t>
      </w:r>
      <w:proofErr w:type="spellEnd"/>
      <w:r w:rsidRPr="001340C5">
        <w:rPr>
          <w:rFonts w:ascii="Times New Roman" w:hAnsi="Times New Roman" w:cs="Times New Roman"/>
          <w:lang w:val="sk-SK"/>
        </w:rPr>
        <w:t>/</w:t>
      </w:r>
      <w:proofErr w:type="spellStart"/>
      <w:r w:rsidRPr="001340C5">
        <w:rPr>
          <w:rFonts w:ascii="Times New Roman" w:hAnsi="Times New Roman" w:cs="Times New Roman"/>
          <w:lang w:val="sk-SK"/>
        </w:rPr>
        <w:t>levonorgestrel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), </w:t>
      </w:r>
      <w:proofErr w:type="spellStart"/>
      <w:r w:rsidRPr="001340C5">
        <w:rPr>
          <w:rFonts w:ascii="Times New Roman" w:hAnsi="Times New Roman" w:cs="Times New Roman"/>
          <w:lang w:val="sk-SK"/>
        </w:rPr>
        <w:t>glibenklamidom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Pr="001340C5">
        <w:rPr>
          <w:rFonts w:ascii="Times New Roman" w:hAnsi="Times New Roman" w:cs="Times New Roman"/>
          <w:lang w:val="sk-SK"/>
        </w:rPr>
        <w:t>nifedipínom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. V týchto štúdiách sa nezistili žiadne klinicky významné </w:t>
      </w:r>
      <w:proofErr w:type="spellStart"/>
      <w:r w:rsidRPr="001340C5">
        <w:rPr>
          <w:rFonts w:ascii="Times New Roman" w:hAnsi="Times New Roman" w:cs="Times New Roman"/>
          <w:lang w:val="sk-SK"/>
        </w:rPr>
        <w:t>farmakokinetické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liekové interakcie.</w:t>
      </w:r>
    </w:p>
    <w:p w:rsidR="0090791F" w:rsidRPr="001340C5" w:rsidRDefault="0090791F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530DAB" w:rsidRPr="001340C5" w:rsidRDefault="00530DAB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Účinok 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na </w:t>
      </w:r>
      <w:proofErr w:type="spellStart"/>
      <w:r w:rsidRPr="001340C5">
        <w:rPr>
          <w:rFonts w:ascii="Times New Roman" w:hAnsi="Times New Roman" w:cs="Times New Roman"/>
          <w:lang w:val="sk-SK"/>
        </w:rPr>
        <w:t>depléciu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draslíka môže byť zvýšený súbežným podávaním iných liečiv, ktoré majú spojitosť s úbytkom draslíka a </w:t>
      </w:r>
      <w:proofErr w:type="spellStart"/>
      <w:r w:rsidRPr="001340C5">
        <w:rPr>
          <w:rFonts w:ascii="Times New Roman" w:hAnsi="Times New Roman" w:cs="Times New Roman"/>
          <w:lang w:val="sk-SK"/>
        </w:rPr>
        <w:t>hypokaliémiou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(</w:t>
      </w:r>
      <w:proofErr w:type="spellStart"/>
      <w:r w:rsidRPr="001340C5">
        <w:rPr>
          <w:rFonts w:ascii="Times New Roman" w:hAnsi="Times New Roman" w:cs="Times New Roman"/>
          <w:lang w:val="sk-SK"/>
        </w:rPr>
        <w:t>t.j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. iné </w:t>
      </w:r>
      <w:proofErr w:type="spellStart"/>
      <w:r w:rsidRPr="001340C5">
        <w:rPr>
          <w:rFonts w:ascii="Times New Roman" w:hAnsi="Times New Roman" w:cs="Times New Roman"/>
          <w:lang w:val="sk-SK"/>
        </w:rPr>
        <w:t>kaliuretické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diuretiká, laxatíva, </w:t>
      </w:r>
      <w:proofErr w:type="spellStart"/>
      <w:r w:rsidRPr="001340C5">
        <w:rPr>
          <w:rFonts w:ascii="Times New Roman" w:hAnsi="Times New Roman" w:cs="Times New Roman"/>
          <w:lang w:val="sk-SK"/>
        </w:rPr>
        <w:t>amfotericín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340C5">
        <w:rPr>
          <w:rFonts w:ascii="Times New Roman" w:hAnsi="Times New Roman" w:cs="Times New Roman"/>
          <w:lang w:val="sk-SK"/>
        </w:rPr>
        <w:t>karbenoxolón</w:t>
      </w:r>
      <w:proofErr w:type="spellEnd"/>
      <w:r w:rsidRPr="001340C5">
        <w:rPr>
          <w:rFonts w:ascii="Times New Roman" w:hAnsi="Times New Roman" w:cs="Times New Roman"/>
          <w:lang w:val="sk-SK"/>
        </w:rPr>
        <w:t>, penicilín G</w:t>
      </w:r>
      <w:r w:rsidR="00A40FA0" w:rsidRPr="001340C5">
        <w:rPr>
          <w:rFonts w:ascii="Times New Roman" w:hAnsi="Times New Roman" w:cs="Times New Roman"/>
          <w:lang w:val="sk-SK"/>
        </w:rPr>
        <w:t>-</w:t>
      </w:r>
      <w:r w:rsidRPr="001340C5">
        <w:rPr>
          <w:rFonts w:ascii="Times New Roman" w:hAnsi="Times New Roman" w:cs="Times New Roman"/>
          <w:lang w:val="sk-SK"/>
        </w:rPr>
        <w:t xml:space="preserve">sodná soľ, deriváty kyseliny salicylovej, </w:t>
      </w:r>
      <w:proofErr w:type="spellStart"/>
      <w:r w:rsidRPr="001340C5">
        <w:rPr>
          <w:rFonts w:ascii="Times New Roman" w:hAnsi="Times New Roman" w:cs="Times New Roman"/>
          <w:lang w:val="sk-SK"/>
        </w:rPr>
        <w:t>steroidy</w:t>
      </w:r>
      <w:proofErr w:type="spellEnd"/>
      <w:r w:rsidRPr="001340C5">
        <w:rPr>
          <w:rFonts w:ascii="Times New Roman" w:hAnsi="Times New Roman" w:cs="Times New Roman"/>
          <w:lang w:val="sk-SK"/>
        </w:rPr>
        <w:t>, ACTH).</w:t>
      </w:r>
    </w:p>
    <w:p w:rsidR="00530DAB" w:rsidRPr="001340C5" w:rsidRDefault="00530DAB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90791F" w:rsidRPr="001340C5" w:rsidRDefault="00B37EDA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Súbežné podávanie </w:t>
      </w:r>
      <w:proofErr w:type="spellStart"/>
      <w:r>
        <w:rPr>
          <w:rFonts w:ascii="Times New Roman" w:hAnsi="Times New Roman" w:cs="Times New Roman"/>
          <w:lang w:val="sk-SK"/>
        </w:rPr>
        <w:t>C</w:t>
      </w:r>
      <w:r w:rsidR="00530DAB" w:rsidRPr="001340C5">
        <w:rPr>
          <w:rFonts w:ascii="Times New Roman" w:hAnsi="Times New Roman" w:cs="Times New Roman"/>
          <w:lang w:val="sk-SK"/>
        </w:rPr>
        <w:t>andesartanu</w:t>
      </w:r>
      <w:proofErr w:type="spellEnd"/>
      <w:r w:rsidR="00530DAB" w:rsidRPr="001340C5">
        <w:rPr>
          <w:rFonts w:ascii="Times New Roman" w:hAnsi="Times New Roman" w:cs="Times New Roman"/>
          <w:lang w:val="sk-SK"/>
        </w:rPr>
        <w:t xml:space="preserve"> HC</w:t>
      </w:r>
      <w:r w:rsidR="005906EC">
        <w:rPr>
          <w:rFonts w:ascii="Times New Roman" w:hAnsi="Times New Roman" w:cs="Times New Roman"/>
          <w:lang w:val="sk-SK"/>
        </w:rPr>
        <w:t>T</w:t>
      </w:r>
      <w:r w:rsidR="00530DAB"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lang w:val="sk-SK"/>
        </w:rPr>
        <w:t>Swyssi</w:t>
      </w:r>
      <w:proofErr w:type="spellEnd"/>
      <w:r w:rsidR="00256711" w:rsidRPr="001340C5">
        <w:rPr>
          <w:rFonts w:ascii="Times New Roman" w:hAnsi="Times New Roman" w:cs="Times New Roman"/>
          <w:lang w:val="sk-SK"/>
        </w:rPr>
        <w:t xml:space="preserve"> </w:t>
      </w:r>
      <w:r w:rsidR="00530DAB" w:rsidRPr="001340C5">
        <w:rPr>
          <w:rFonts w:ascii="Times New Roman" w:hAnsi="Times New Roman" w:cs="Times New Roman"/>
          <w:lang w:val="sk-SK"/>
        </w:rPr>
        <w:t>a</w:t>
      </w:r>
      <w:r w:rsidR="00256711" w:rsidRPr="001340C5">
        <w:rPr>
          <w:rFonts w:ascii="Times New Roman" w:hAnsi="Times New Roman" w:cs="Times New Roman"/>
          <w:lang w:val="sk-SK"/>
        </w:rPr>
        <w:t xml:space="preserve"> draslík</w:t>
      </w:r>
      <w:r w:rsidR="00530DAB" w:rsidRPr="001340C5">
        <w:rPr>
          <w:rFonts w:ascii="Times New Roman" w:hAnsi="Times New Roman" w:cs="Times New Roman"/>
          <w:lang w:val="sk-SK"/>
        </w:rPr>
        <w:t xml:space="preserve"> šetriacich diuretík, draslíkových doplnkov, náhrad solí obsahujúcich draslík alebo iných liečiv, ktoré môžu zvyšovať hladinu draslíka v sére (napr. </w:t>
      </w:r>
      <w:r w:rsidR="00506406" w:rsidRPr="001340C5">
        <w:rPr>
          <w:rFonts w:ascii="Times New Roman" w:hAnsi="Times New Roman" w:cs="Times New Roman"/>
          <w:lang w:val="sk-SK"/>
        </w:rPr>
        <w:t xml:space="preserve">sodná soľ </w:t>
      </w:r>
      <w:proofErr w:type="spellStart"/>
      <w:r w:rsidR="00506406" w:rsidRPr="001340C5">
        <w:rPr>
          <w:rFonts w:ascii="Times New Roman" w:hAnsi="Times New Roman" w:cs="Times New Roman"/>
          <w:lang w:val="sk-SK"/>
        </w:rPr>
        <w:t>heparínu</w:t>
      </w:r>
      <w:proofErr w:type="spellEnd"/>
      <w:r w:rsidR="00530DAB" w:rsidRPr="001340C5">
        <w:rPr>
          <w:rFonts w:ascii="Times New Roman" w:hAnsi="Times New Roman" w:cs="Times New Roman"/>
          <w:lang w:val="sk-SK"/>
        </w:rPr>
        <w:t>), môže zvyšovať koncentrácie draslíka. V prípade potreby sa má vykonať monitorovanie hladín draslíka (pozri časť 4.4).</w:t>
      </w:r>
    </w:p>
    <w:p w:rsidR="000337EA" w:rsidRPr="001340C5" w:rsidRDefault="000337EA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382711" w:rsidRPr="001340C5" w:rsidRDefault="00382711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Diuretikami spôsobená </w:t>
      </w:r>
      <w:proofErr w:type="spellStart"/>
      <w:r w:rsidRPr="001340C5">
        <w:rPr>
          <w:rFonts w:ascii="Times New Roman" w:hAnsi="Times New Roman" w:cs="Times New Roman"/>
          <w:lang w:val="sk-SK"/>
        </w:rPr>
        <w:t>hypokaliémia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Pr="001340C5">
        <w:rPr>
          <w:rFonts w:ascii="Times New Roman" w:hAnsi="Times New Roman" w:cs="Times New Roman"/>
          <w:lang w:val="sk-SK"/>
        </w:rPr>
        <w:t>hypomagneziémia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zvyšuj</w:t>
      </w:r>
      <w:r w:rsidR="00256711" w:rsidRPr="001340C5">
        <w:rPr>
          <w:rFonts w:ascii="Times New Roman" w:hAnsi="Times New Roman" w:cs="Times New Roman"/>
          <w:lang w:val="sk-SK"/>
        </w:rPr>
        <w:t>ú</w:t>
      </w:r>
      <w:r w:rsidRPr="001340C5">
        <w:rPr>
          <w:rFonts w:ascii="Times New Roman" w:hAnsi="Times New Roman" w:cs="Times New Roman"/>
          <w:lang w:val="sk-SK"/>
        </w:rPr>
        <w:t xml:space="preserve"> možnosť prípadného </w:t>
      </w:r>
      <w:proofErr w:type="spellStart"/>
      <w:r w:rsidRPr="001340C5">
        <w:rPr>
          <w:rFonts w:ascii="Times New Roman" w:hAnsi="Times New Roman" w:cs="Times New Roman"/>
          <w:lang w:val="sk-SK"/>
        </w:rPr>
        <w:t>kardiotoxického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účinku </w:t>
      </w:r>
      <w:proofErr w:type="spellStart"/>
      <w:r w:rsidRPr="001340C5">
        <w:rPr>
          <w:rFonts w:ascii="Times New Roman" w:hAnsi="Times New Roman" w:cs="Times New Roman"/>
          <w:lang w:val="sk-SK"/>
        </w:rPr>
        <w:t>digitálisových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glykozidov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Pr="001340C5">
        <w:rPr>
          <w:rFonts w:ascii="Times New Roman" w:hAnsi="Times New Roman" w:cs="Times New Roman"/>
          <w:lang w:val="sk-SK"/>
        </w:rPr>
        <w:t>antiarytmík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. Odporúča sa pravidelná kontrola hladiny draslíka v sére, ak sa </w:t>
      </w:r>
      <w:proofErr w:type="spellStart"/>
      <w:r w:rsidR="00B37EDA">
        <w:rPr>
          <w:rFonts w:ascii="Times New Roman" w:hAnsi="Times New Roman" w:cs="Times New Roman"/>
          <w:lang w:val="sk-SK"/>
        </w:rPr>
        <w:t>C</w:t>
      </w:r>
      <w:r w:rsidR="00FC2D1F" w:rsidRPr="001340C5">
        <w:rPr>
          <w:rFonts w:ascii="Times New Roman" w:hAnsi="Times New Roman" w:cs="Times New Roman"/>
          <w:lang w:val="sk-SK"/>
        </w:rPr>
        <w:t>andesartan</w:t>
      </w:r>
      <w:proofErr w:type="spellEnd"/>
      <w:r w:rsidR="00FC2D1F" w:rsidRPr="001340C5">
        <w:rPr>
          <w:rFonts w:ascii="Times New Roman" w:hAnsi="Times New Roman" w:cs="Times New Roman"/>
          <w:lang w:val="sk-SK"/>
        </w:rPr>
        <w:t xml:space="preserve"> HC</w:t>
      </w:r>
      <w:r w:rsidR="005906EC">
        <w:rPr>
          <w:rFonts w:ascii="Times New Roman" w:hAnsi="Times New Roman" w:cs="Times New Roman"/>
          <w:lang w:val="sk-SK"/>
        </w:rPr>
        <w:t>T</w:t>
      </w:r>
      <w:r w:rsidR="00FC2D1F"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B37EDA">
        <w:rPr>
          <w:rFonts w:ascii="Times New Roman" w:hAnsi="Times New Roman" w:cs="Times New Roman"/>
          <w:lang w:val="sk-SK"/>
        </w:rPr>
        <w:t>Swyssi</w:t>
      </w:r>
      <w:proofErr w:type="spellEnd"/>
      <w:r w:rsidR="00256711" w:rsidRPr="001340C5">
        <w:rPr>
          <w:rFonts w:ascii="Times New Roman" w:hAnsi="Times New Roman" w:cs="Times New Roman"/>
          <w:lang w:val="sk-SK"/>
        </w:rPr>
        <w:t xml:space="preserve"> </w:t>
      </w:r>
      <w:r w:rsidRPr="001340C5">
        <w:rPr>
          <w:rFonts w:ascii="Times New Roman" w:hAnsi="Times New Roman" w:cs="Times New Roman"/>
          <w:lang w:val="sk-SK"/>
        </w:rPr>
        <w:t xml:space="preserve">používa v kombinácii s takýmito liekmi a nasledovnými liekmi, ktoré by mohli indukovať </w:t>
      </w:r>
      <w:proofErr w:type="spellStart"/>
      <w:r w:rsidRPr="001340C5">
        <w:rPr>
          <w:rFonts w:ascii="Times New Roman" w:hAnsi="Times New Roman" w:cs="Times New Roman"/>
          <w:lang w:val="sk-SK"/>
        </w:rPr>
        <w:t>torsades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de </w:t>
      </w:r>
      <w:proofErr w:type="spellStart"/>
      <w:r w:rsidRPr="001340C5">
        <w:rPr>
          <w:rFonts w:ascii="Times New Roman" w:hAnsi="Times New Roman" w:cs="Times New Roman"/>
          <w:lang w:val="sk-SK"/>
        </w:rPr>
        <w:t>pointes</w:t>
      </w:r>
      <w:proofErr w:type="spellEnd"/>
      <w:r w:rsidRPr="001340C5">
        <w:rPr>
          <w:rFonts w:ascii="Times New Roman" w:hAnsi="Times New Roman" w:cs="Times New Roman"/>
          <w:lang w:val="sk-SK"/>
        </w:rPr>
        <w:t>:</w:t>
      </w:r>
    </w:p>
    <w:p w:rsidR="00382711" w:rsidRPr="001340C5" w:rsidRDefault="00382711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382711" w:rsidRPr="001340C5" w:rsidRDefault="00382711" w:rsidP="00244BAB">
      <w:pPr>
        <w:pStyle w:val="Odsekzoznamu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 w:rsidRPr="001340C5">
        <w:rPr>
          <w:rFonts w:ascii="Times New Roman" w:hAnsi="Times New Roman" w:cs="Times New Roman"/>
          <w:lang w:val="sk-SK"/>
        </w:rPr>
        <w:t>Antiarytmiká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 trieda </w:t>
      </w:r>
      <w:proofErr w:type="spellStart"/>
      <w:r w:rsidRPr="001340C5">
        <w:rPr>
          <w:rFonts w:ascii="Times New Roman" w:hAnsi="Times New Roman" w:cs="Times New Roman"/>
          <w:lang w:val="sk-SK"/>
        </w:rPr>
        <w:t>Ia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(napr. </w:t>
      </w:r>
      <w:proofErr w:type="spellStart"/>
      <w:r w:rsidRPr="001340C5">
        <w:rPr>
          <w:rFonts w:ascii="Times New Roman" w:hAnsi="Times New Roman" w:cs="Times New Roman"/>
          <w:lang w:val="sk-SK"/>
        </w:rPr>
        <w:t>chinidín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340C5">
        <w:rPr>
          <w:rFonts w:ascii="Times New Roman" w:hAnsi="Times New Roman" w:cs="Times New Roman"/>
          <w:lang w:val="sk-SK"/>
        </w:rPr>
        <w:t>hydrochinidín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340C5">
        <w:rPr>
          <w:rFonts w:ascii="Times New Roman" w:hAnsi="Times New Roman" w:cs="Times New Roman"/>
          <w:lang w:val="sk-SK"/>
        </w:rPr>
        <w:t>dizopyramid</w:t>
      </w:r>
      <w:proofErr w:type="spellEnd"/>
      <w:r w:rsidRPr="001340C5">
        <w:rPr>
          <w:rFonts w:ascii="Times New Roman" w:hAnsi="Times New Roman" w:cs="Times New Roman"/>
          <w:lang w:val="sk-SK"/>
        </w:rPr>
        <w:t>)</w:t>
      </w:r>
    </w:p>
    <w:p w:rsidR="00382711" w:rsidRPr="001340C5" w:rsidRDefault="00382711" w:rsidP="00244BAB">
      <w:pPr>
        <w:pStyle w:val="Odsekzoznamu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 w:rsidRPr="001340C5">
        <w:rPr>
          <w:rFonts w:ascii="Times New Roman" w:hAnsi="Times New Roman" w:cs="Times New Roman"/>
          <w:lang w:val="sk-SK"/>
        </w:rPr>
        <w:t>Antiarytmiká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trieda III (napr. </w:t>
      </w:r>
      <w:proofErr w:type="spellStart"/>
      <w:r w:rsidRPr="001340C5">
        <w:rPr>
          <w:rFonts w:ascii="Times New Roman" w:hAnsi="Times New Roman" w:cs="Times New Roman"/>
          <w:lang w:val="sk-SK"/>
        </w:rPr>
        <w:t>amiodarón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340C5">
        <w:rPr>
          <w:rFonts w:ascii="Times New Roman" w:hAnsi="Times New Roman" w:cs="Times New Roman"/>
          <w:lang w:val="sk-SK"/>
        </w:rPr>
        <w:t>sotalol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340C5">
        <w:rPr>
          <w:rFonts w:ascii="Times New Roman" w:hAnsi="Times New Roman" w:cs="Times New Roman"/>
          <w:lang w:val="sk-SK"/>
        </w:rPr>
        <w:t>dofetilid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340C5">
        <w:rPr>
          <w:rFonts w:ascii="Times New Roman" w:hAnsi="Times New Roman" w:cs="Times New Roman"/>
          <w:lang w:val="sk-SK"/>
        </w:rPr>
        <w:t>ibutilid</w:t>
      </w:r>
      <w:proofErr w:type="spellEnd"/>
      <w:r w:rsidRPr="001340C5">
        <w:rPr>
          <w:rFonts w:ascii="Times New Roman" w:hAnsi="Times New Roman" w:cs="Times New Roman"/>
          <w:lang w:val="sk-SK"/>
        </w:rPr>
        <w:t>)</w:t>
      </w:r>
    </w:p>
    <w:p w:rsidR="00382711" w:rsidRPr="001340C5" w:rsidRDefault="00382711" w:rsidP="00244BAB">
      <w:pPr>
        <w:pStyle w:val="Odsekzoznamu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Niektoré </w:t>
      </w:r>
      <w:proofErr w:type="spellStart"/>
      <w:r w:rsidRPr="001340C5">
        <w:rPr>
          <w:rFonts w:ascii="Times New Roman" w:hAnsi="Times New Roman" w:cs="Times New Roman"/>
          <w:lang w:val="sk-SK"/>
        </w:rPr>
        <w:t>antipsychotiká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(napr. </w:t>
      </w:r>
      <w:proofErr w:type="spellStart"/>
      <w:r w:rsidRPr="001340C5">
        <w:rPr>
          <w:rFonts w:ascii="Times New Roman" w:hAnsi="Times New Roman" w:cs="Times New Roman"/>
          <w:lang w:val="sk-SK"/>
        </w:rPr>
        <w:t>tioridazín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340C5">
        <w:rPr>
          <w:rFonts w:ascii="Times New Roman" w:hAnsi="Times New Roman" w:cs="Times New Roman"/>
          <w:lang w:val="sk-SK"/>
        </w:rPr>
        <w:t>chlórpromazín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340C5">
        <w:rPr>
          <w:rFonts w:ascii="Times New Roman" w:hAnsi="Times New Roman" w:cs="Times New Roman"/>
          <w:lang w:val="sk-SK"/>
        </w:rPr>
        <w:t>levomepromazín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340C5">
        <w:rPr>
          <w:rFonts w:ascii="Times New Roman" w:hAnsi="Times New Roman" w:cs="Times New Roman"/>
          <w:lang w:val="sk-SK"/>
        </w:rPr>
        <w:t>trifluoperazín</w:t>
      </w:r>
      <w:proofErr w:type="spellEnd"/>
      <w:r w:rsidRPr="001340C5">
        <w:rPr>
          <w:rFonts w:ascii="Times New Roman" w:hAnsi="Times New Roman" w:cs="Times New Roman"/>
          <w:lang w:val="sk-SK"/>
        </w:rPr>
        <w:t>,</w:t>
      </w:r>
      <w:r w:rsidR="00B230F3"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cyamemazín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340C5">
        <w:rPr>
          <w:rFonts w:ascii="Times New Roman" w:hAnsi="Times New Roman" w:cs="Times New Roman"/>
          <w:lang w:val="sk-SK"/>
        </w:rPr>
        <w:t>sulpirid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340C5">
        <w:rPr>
          <w:rFonts w:ascii="Times New Roman" w:hAnsi="Times New Roman" w:cs="Times New Roman"/>
          <w:lang w:val="sk-SK"/>
        </w:rPr>
        <w:t>sultoprid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340C5">
        <w:rPr>
          <w:rFonts w:ascii="Times New Roman" w:hAnsi="Times New Roman" w:cs="Times New Roman"/>
          <w:lang w:val="sk-SK"/>
        </w:rPr>
        <w:t>amisulprid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340C5">
        <w:rPr>
          <w:rFonts w:ascii="Times New Roman" w:hAnsi="Times New Roman" w:cs="Times New Roman"/>
          <w:lang w:val="sk-SK"/>
        </w:rPr>
        <w:t>tiaprid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340C5">
        <w:rPr>
          <w:rFonts w:ascii="Times New Roman" w:hAnsi="Times New Roman" w:cs="Times New Roman"/>
          <w:lang w:val="sk-SK"/>
        </w:rPr>
        <w:t>pimozid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340C5">
        <w:rPr>
          <w:rFonts w:ascii="Times New Roman" w:hAnsi="Times New Roman" w:cs="Times New Roman"/>
          <w:lang w:val="sk-SK"/>
        </w:rPr>
        <w:t>haloperidol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340C5">
        <w:rPr>
          <w:rFonts w:ascii="Times New Roman" w:hAnsi="Times New Roman" w:cs="Times New Roman"/>
          <w:lang w:val="sk-SK"/>
        </w:rPr>
        <w:t>droperidol</w:t>
      </w:r>
      <w:proofErr w:type="spellEnd"/>
      <w:r w:rsidRPr="001340C5">
        <w:rPr>
          <w:rFonts w:ascii="Times New Roman" w:hAnsi="Times New Roman" w:cs="Times New Roman"/>
          <w:lang w:val="sk-SK"/>
        </w:rPr>
        <w:t>)</w:t>
      </w:r>
    </w:p>
    <w:p w:rsidR="000337EA" w:rsidRPr="001340C5" w:rsidRDefault="00382711" w:rsidP="00244BAB">
      <w:pPr>
        <w:pStyle w:val="Odsekzoznamu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Ďalšie (napr. </w:t>
      </w:r>
      <w:proofErr w:type="spellStart"/>
      <w:r w:rsidRPr="001340C5">
        <w:rPr>
          <w:rFonts w:ascii="Times New Roman" w:hAnsi="Times New Roman" w:cs="Times New Roman"/>
          <w:lang w:val="sk-SK"/>
        </w:rPr>
        <w:t>bepridil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340C5">
        <w:rPr>
          <w:rFonts w:ascii="Times New Roman" w:hAnsi="Times New Roman" w:cs="Times New Roman"/>
          <w:lang w:val="sk-SK"/>
        </w:rPr>
        <w:t>cisaprid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340C5">
        <w:rPr>
          <w:rFonts w:ascii="Times New Roman" w:hAnsi="Times New Roman" w:cs="Times New Roman"/>
          <w:lang w:val="sk-SK"/>
        </w:rPr>
        <w:t>difemanil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340C5">
        <w:rPr>
          <w:rFonts w:ascii="Times New Roman" w:hAnsi="Times New Roman" w:cs="Times New Roman"/>
          <w:lang w:val="sk-SK"/>
        </w:rPr>
        <w:t>erytromycín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i.v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., </w:t>
      </w:r>
      <w:proofErr w:type="spellStart"/>
      <w:r w:rsidRPr="001340C5">
        <w:rPr>
          <w:rFonts w:ascii="Times New Roman" w:hAnsi="Times New Roman" w:cs="Times New Roman"/>
          <w:lang w:val="sk-SK"/>
        </w:rPr>
        <w:t>halofantrín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340C5">
        <w:rPr>
          <w:rFonts w:ascii="Times New Roman" w:hAnsi="Times New Roman" w:cs="Times New Roman"/>
          <w:lang w:val="sk-SK"/>
        </w:rPr>
        <w:t>ketanserín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340C5">
        <w:rPr>
          <w:rFonts w:ascii="Times New Roman" w:hAnsi="Times New Roman" w:cs="Times New Roman"/>
          <w:lang w:val="sk-SK"/>
        </w:rPr>
        <w:t>mizolastín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340C5">
        <w:rPr>
          <w:rFonts w:ascii="Times New Roman" w:hAnsi="Times New Roman" w:cs="Times New Roman"/>
          <w:lang w:val="sk-SK"/>
        </w:rPr>
        <w:t>pentamidín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340C5">
        <w:rPr>
          <w:rFonts w:ascii="Times New Roman" w:hAnsi="Times New Roman" w:cs="Times New Roman"/>
          <w:lang w:val="sk-SK"/>
        </w:rPr>
        <w:t>sparfloxacín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340C5">
        <w:rPr>
          <w:rFonts w:ascii="Times New Roman" w:hAnsi="Times New Roman" w:cs="Times New Roman"/>
          <w:lang w:val="sk-SK"/>
        </w:rPr>
        <w:t>terfenadín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340C5">
        <w:rPr>
          <w:rFonts w:ascii="Times New Roman" w:hAnsi="Times New Roman" w:cs="Times New Roman"/>
          <w:lang w:val="sk-SK"/>
        </w:rPr>
        <w:t>vinkamín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i.v</w:t>
      </w:r>
      <w:proofErr w:type="spellEnd"/>
      <w:r w:rsidRPr="001340C5">
        <w:rPr>
          <w:rFonts w:ascii="Times New Roman" w:hAnsi="Times New Roman" w:cs="Times New Roman"/>
          <w:lang w:val="sk-SK"/>
        </w:rPr>
        <w:t>.)</w:t>
      </w:r>
    </w:p>
    <w:p w:rsidR="0041038C" w:rsidRPr="001340C5" w:rsidRDefault="0041038C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13175C" w:rsidRPr="001340C5" w:rsidRDefault="0013175C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Pri súbežnom podaní lítia s ACE inhibítormi alebo 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hydrochlorotiazidom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sa zaznamenalo reverzibilné zvýšenie koncentrácie lítia v sére a jeho toxicita. Podobný účinok sa zaznamenal s </w:t>
      </w:r>
      <w:proofErr w:type="spellStart"/>
      <w:r w:rsidRPr="001340C5">
        <w:rPr>
          <w:rFonts w:ascii="Times New Roman" w:hAnsi="Times New Roman" w:cs="Times New Roman"/>
          <w:lang w:val="sk-SK"/>
        </w:rPr>
        <w:t>AIIRAs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. Použitie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s lítiom sa neodporúča. Ak je táto kombinácia potrebná, odporúča sa starostlivo sledovať koncentrácie lítia v sére.</w:t>
      </w:r>
    </w:p>
    <w:p w:rsidR="0013175C" w:rsidRPr="001340C5" w:rsidRDefault="0013175C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41038C" w:rsidRPr="001340C5" w:rsidRDefault="0013175C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Pri súbežnom podávaní </w:t>
      </w:r>
      <w:proofErr w:type="spellStart"/>
      <w:r w:rsidRPr="001340C5">
        <w:rPr>
          <w:rFonts w:ascii="Times New Roman" w:hAnsi="Times New Roman" w:cs="Times New Roman"/>
          <w:lang w:val="sk-SK"/>
        </w:rPr>
        <w:t>AIIRAs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spolu s </w:t>
      </w:r>
      <w:proofErr w:type="spellStart"/>
      <w:r w:rsidRPr="001340C5">
        <w:rPr>
          <w:rFonts w:ascii="Times New Roman" w:hAnsi="Times New Roman" w:cs="Times New Roman"/>
          <w:lang w:val="sk-SK"/>
        </w:rPr>
        <w:t>nesteroidnými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protizápalovými liekmi  (</w:t>
      </w:r>
      <w:proofErr w:type="spellStart"/>
      <w:r w:rsidRPr="001340C5">
        <w:rPr>
          <w:rFonts w:ascii="Times New Roman" w:hAnsi="Times New Roman" w:cs="Times New Roman"/>
          <w:lang w:val="sk-SK"/>
        </w:rPr>
        <w:t>NSAIDs</w:t>
      </w:r>
      <w:proofErr w:type="spellEnd"/>
      <w:r w:rsidRPr="001340C5">
        <w:rPr>
          <w:rFonts w:ascii="Times New Roman" w:hAnsi="Times New Roman" w:cs="Times New Roman"/>
          <w:lang w:val="sk-SK"/>
        </w:rPr>
        <w:t>) (</w:t>
      </w:r>
      <w:proofErr w:type="spellStart"/>
      <w:r w:rsidRPr="001340C5">
        <w:rPr>
          <w:rFonts w:ascii="Times New Roman" w:hAnsi="Times New Roman" w:cs="Times New Roman"/>
          <w:lang w:val="sk-SK"/>
        </w:rPr>
        <w:t>t.j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. selektívne COX-2 inhibítory, kyselina </w:t>
      </w:r>
      <w:proofErr w:type="spellStart"/>
      <w:r w:rsidRPr="001340C5">
        <w:rPr>
          <w:rFonts w:ascii="Times New Roman" w:hAnsi="Times New Roman" w:cs="Times New Roman"/>
          <w:lang w:val="sk-SK"/>
        </w:rPr>
        <w:t>acetylsalicylová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(&gt;3 g/deň) a neselektívne </w:t>
      </w:r>
      <w:proofErr w:type="spellStart"/>
      <w:r w:rsidRPr="001340C5">
        <w:rPr>
          <w:rFonts w:ascii="Times New Roman" w:hAnsi="Times New Roman" w:cs="Times New Roman"/>
          <w:lang w:val="sk-SK"/>
        </w:rPr>
        <w:t>NSAIDs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) môže dôjsť k oslabeniu </w:t>
      </w:r>
      <w:proofErr w:type="spellStart"/>
      <w:r w:rsidRPr="001340C5">
        <w:rPr>
          <w:rFonts w:ascii="Times New Roman" w:hAnsi="Times New Roman" w:cs="Times New Roman"/>
          <w:lang w:val="sk-SK"/>
        </w:rPr>
        <w:t>antihypertenzného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účinku.</w:t>
      </w:r>
    </w:p>
    <w:p w:rsidR="00382711" w:rsidRPr="001340C5" w:rsidRDefault="00382711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775E62" w:rsidRPr="001340C5" w:rsidRDefault="00775E62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Ako u ACE inhibítorov, súbežné užívanie </w:t>
      </w:r>
      <w:proofErr w:type="spellStart"/>
      <w:r w:rsidRPr="001340C5">
        <w:rPr>
          <w:rFonts w:ascii="Times New Roman" w:hAnsi="Times New Roman" w:cs="Times New Roman"/>
          <w:lang w:val="sk-SK"/>
        </w:rPr>
        <w:t>AIIRAs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Pr="001340C5">
        <w:rPr>
          <w:rFonts w:ascii="Times New Roman" w:hAnsi="Times New Roman" w:cs="Times New Roman"/>
          <w:lang w:val="sk-SK"/>
        </w:rPr>
        <w:t>NSAIDs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môže viesť k zvýšenému riziku zhoršenia </w:t>
      </w:r>
      <w:proofErr w:type="spellStart"/>
      <w:r w:rsidRPr="001340C5">
        <w:rPr>
          <w:rFonts w:ascii="Times New Roman" w:hAnsi="Times New Roman" w:cs="Times New Roman"/>
          <w:lang w:val="sk-SK"/>
        </w:rPr>
        <w:t>renálnych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funkcií, vrátane možného akútneho zlyhania obličiek a k zvýšeniu hladiny draslíka v sére, predovšetkým u pacientov s už predtým existujúcou zníženou funkciou obličiek. Táto kombinácia sa má podávať opatrne, a to najmä u starších pacientov. Pacienti majú byť primerane hydratovaní a je potrebné zvážiť monitorovanie </w:t>
      </w:r>
      <w:proofErr w:type="spellStart"/>
      <w:r w:rsidRPr="001340C5">
        <w:rPr>
          <w:rFonts w:ascii="Times New Roman" w:hAnsi="Times New Roman" w:cs="Times New Roman"/>
          <w:lang w:val="sk-SK"/>
        </w:rPr>
        <w:t>renálnych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funkcií po začatí súbežnej liečby a neskôr v pravidelných intervaloch.</w:t>
      </w:r>
    </w:p>
    <w:p w:rsidR="00D878E3" w:rsidRPr="001340C5" w:rsidRDefault="00D878E3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775E62" w:rsidRPr="001340C5" w:rsidRDefault="00775E62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Diuretický, </w:t>
      </w:r>
      <w:proofErr w:type="spellStart"/>
      <w:r w:rsidRPr="001340C5">
        <w:rPr>
          <w:rFonts w:ascii="Times New Roman" w:hAnsi="Times New Roman" w:cs="Times New Roman"/>
          <w:lang w:val="sk-SK"/>
        </w:rPr>
        <w:t>nátriuretický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Pr="001340C5">
        <w:rPr>
          <w:rFonts w:ascii="Times New Roman" w:hAnsi="Times New Roman" w:cs="Times New Roman"/>
          <w:lang w:val="sk-SK"/>
        </w:rPr>
        <w:t>antihypertenzný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účinok 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je znížený pri súbežnom podávaní </w:t>
      </w:r>
      <w:proofErr w:type="spellStart"/>
      <w:r w:rsidRPr="001340C5">
        <w:rPr>
          <w:rFonts w:ascii="Times New Roman" w:hAnsi="Times New Roman" w:cs="Times New Roman"/>
          <w:lang w:val="sk-SK"/>
        </w:rPr>
        <w:t>NSAIDs</w:t>
      </w:r>
      <w:proofErr w:type="spellEnd"/>
      <w:r w:rsidRPr="001340C5">
        <w:rPr>
          <w:rFonts w:ascii="Times New Roman" w:hAnsi="Times New Roman" w:cs="Times New Roman"/>
          <w:lang w:val="sk-SK"/>
        </w:rPr>
        <w:t>.</w:t>
      </w:r>
      <w:r w:rsidR="00D878E3" w:rsidRPr="001340C5">
        <w:rPr>
          <w:rFonts w:ascii="Times New Roman" w:hAnsi="Times New Roman" w:cs="Times New Roman"/>
          <w:lang w:val="sk-SK"/>
        </w:rPr>
        <w:t xml:space="preserve"> </w:t>
      </w:r>
      <w:r w:rsidRPr="001340C5">
        <w:rPr>
          <w:rFonts w:ascii="Times New Roman" w:hAnsi="Times New Roman" w:cs="Times New Roman"/>
          <w:lang w:val="sk-SK"/>
        </w:rPr>
        <w:t xml:space="preserve">Absorpcia 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je znížená </w:t>
      </w:r>
      <w:proofErr w:type="spellStart"/>
      <w:r w:rsidRPr="001340C5">
        <w:rPr>
          <w:rFonts w:ascii="Times New Roman" w:hAnsi="Times New Roman" w:cs="Times New Roman"/>
          <w:lang w:val="sk-SK"/>
        </w:rPr>
        <w:t>kolestipolom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alebo </w:t>
      </w:r>
      <w:proofErr w:type="spellStart"/>
      <w:r w:rsidRPr="001340C5">
        <w:rPr>
          <w:rFonts w:ascii="Times New Roman" w:hAnsi="Times New Roman" w:cs="Times New Roman"/>
          <w:lang w:val="sk-SK"/>
        </w:rPr>
        <w:t>cholestyramínom</w:t>
      </w:r>
      <w:proofErr w:type="spellEnd"/>
      <w:r w:rsidRPr="001340C5">
        <w:rPr>
          <w:rFonts w:ascii="Times New Roman" w:hAnsi="Times New Roman" w:cs="Times New Roman"/>
          <w:lang w:val="sk-SK"/>
        </w:rPr>
        <w:t>.</w:t>
      </w:r>
    </w:p>
    <w:p w:rsidR="00775E62" w:rsidRPr="001340C5" w:rsidRDefault="00775E62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382711" w:rsidRPr="001340C5" w:rsidRDefault="00775E62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Účinok </w:t>
      </w:r>
      <w:proofErr w:type="spellStart"/>
      <w:r w:rsidRPr="001340C5">
        <w:rPr>
          <w:rFonts w:ascii="Times New Roman" w:hAnsi="Times New Roman" w:cs="Times New Roman"/>
          <w:lang w:val="sk-SK"/>
        </w:rPr>
        <w:t>nedepolarizujúcich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myorelaxancií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(napr. </w:t>
      </w:r>
      <w:proofErr w:type="spellStart"/>
      <w:r w:rsidRPr="001340C5">
        <w:rPr>
          <w:rFonts w:ascii="Times New Roman" w:hAnsi="Times New Roman" w:cs="Times New Roman"/>
          <w:lang w:val="sk-SK"/>
        </w:rPr>
        <w:t>tubokurarínu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) môže byť zosilnený 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hydrochlorotiazidom</w:t>
      </w:r>
      <w:proofErr w:type="spellEnd"/>
      <w:r w:rsidRPr="001340C5">
        <w:rPr>
          <w:rFonts w:ascii="Times New Roman" w:hAnsi="Times New Roman" w:cs="Times New Roman"/>
          <w:lang w:val="sk-SK"/>
        </w:rPr>
        <w:t>.</w:t>
      </w:r>
    </w:p>
    <w:p w:rsidR="00B71724" w:rsidRPr="001340C5" w:rsidRDefault="00B71724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FF1185" w:rsidRPr="001340C5" w:rsidRDefault="00FF1185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 w:rsidRPr="001340C5">
        <w:rPr>
          <w:rFonts w:ascii="Times New Roman" w:hAnsi="Times New Roman" w:cs="Times New Roman"/>
          <w:lang w:val="sk-SK"/>
        </w:rPr>
        <w:t>Tiazidové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diuretiká môžu zvýšiť hladinu vápnika v krvnom sére v dôsledku zníženej exkrécie. Ak sa zároveň musia predpísať aj doplnky vápnika alebo vitamín D, má sa monitorovať hladina vápnika v sére, a podľa nej upraviť dávky. </w:t>
      </w:r>
    </w:p>
    <w:p w:rsidR="00FF1185" w:rsidRPr="001340C5" w:rsidRDefault="00FF1185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FF1185" w:rsidRPr="001340C5" w:rsidRDefault="00FF1185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 w:rsidRPr="001340C5">
        <w:rPr>
          <w:rFonts w:ascii="Times New Roman" w:hAnsi="Times New Roman" w:cs="Times New Roman"/>
          <w:lang w:val="sk-SK"/>
        </w:rPr>
        <w:t>Tiazidy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môžu zosilniť </w:t>
      </w:r>
      <w:proofErr w:type="spellStart"/>
      <w:r w:rsidRPr="001340C5">
        <w:rPr>
          <w:rFonts w:ascii="Times New Roman" w:hAnsi="Times New Roman" w:cs="Times New Roman"/>
          <w:lang w:val="sk-SK"/>
        </w:rPr>
        <w:t>hyperglykemizujúci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účinok beta-</w:t>
      </w:r>
      <w:proofErr w:type="spellStart"/>
      <w:r w:rsidRPr="001340C5">
        <w:rPr>
          <w:rFonts w:ascii="Times New Roman" w:hAnsi="Times New Roman" w:cs="Times New Roman"/>
          <w:lang w:val="sk-SK"/>
        </w:rPr>
        <w:t>blokátorov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Pr="001340C5">
        <w:rPr>
          <w:rFonts w:ascii="Times New Roman" w:hAnsi="Times New Roman" w:cs="Times New Roman"/>
          <w:lang w:val="sk-SK"/>
        </w:rPr>
        <w:t>diazoxidu</w:t>
      </w:r>
      <w:proofErr w:type="spellEnd"/>
      <w:r w:rsidRPr="001340C5">
        <w:rPr>
          <w:rFonts w:ascii="Times New Roman" w:hAnsi="Times New Roman" w:cs="Times New Roman"/>
          <w:lang w:val="sk-SK"/>
        </w:rPr>
        <w:t>.</w:t>
      </w:r>
    </w:p>
    <w:p w:rsidR="00AE3C3C" w:rsidRPr="001340C5" w:rsidRDefault="00AE3C3C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FF1185" w:rsidRPr="001340C5" w:rsidRDefault="00FF1185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 w:rsidRPr="001340C5">
        <w:rPr>
          <w:rFonts w:ascii="Times New Roman" w:hAnsi="Times New Roman" w:cs="Times New Roman"/>
          <w:lang w:val="sk-SK"/>
        </w:rPr>
        <w:t>Anticholinergné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látky (napr. atropín, </w:t>
      </w:r>
      <w:proofErr w:type="spellStart"/>
      <w:r w:rsidRPr="001340C5">
        <w:rPr>
          <w:rFonts w:ascii="Times New Roman" w:hAnsi="Times New Roman" w:cs="Times New Roman"/>
          <w:lang w:val="sk-SK"/>
        </w:rPr>
        <w:t>biperidén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) môžu zvýšiť biologickú dostupnosť </w:t>
      </w:r>
      <w:proofErr w:type="spellStart"/>
      <w:r w:rsidRPr="001340C5">
        <w:rPr>
          <w:rFonts w:ascii="Times New Roman" w:hAnsi="Times New Roman" w:cs="Times New Roman"/>
          <w:lang w:val="sk-SK"/>
        </w:rPr>
        <w:t>tiazidových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diuretík znížením </w:t>
      </w:r>
      <w:proofErr w:type="spellStart"/>
      <w:r w:rsidRPr="001340C5">
        <w:rPr>
          <w:rFonts w:ascii="Times New Roman" w:hAnsi="Times New Roman" w:cs="Times New Roman"/>
          <w:lang w:val="sk-SK"/>
        </w:rPr>
        <w:t>gastrointestinálnej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motility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 rýchlosti vyprázdňovania žalúdka.</w:t>
      </w:r>
    </w:p>
    <w:p w:rsidR="00FF1185" w:rsidRPr="001340C5" w:rsidRDefault="00FF1185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FF1185" w:rsidRPr="001340C5" w:rsidRDefault="00FF1185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 w:rsidRPr="001340C5">
        <w:rPr>
          <w:rFonts w:ascii="Times New Roman" w:hAnsi="Times New Roman" w:cs="Times New Roman"/>
          <w:lang w:val="sk-SK"/>
        </w:rPr>
        <w:t>Tiazidy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môžu zvýšiť riziko nežiaducich účinkov spôsobených </w:t>
      </w:r>
      <w:proofErr w:type="spellStart"/>
      <w:r w:rsidRPr="001340C5">
        <w:rPr>
          <w:rFonts w:ascii="Times New Roman" w:hAnsi="Times New Roman" w:cs="Times New Roman"/>
          <w:lang w:val="sk-SK"/>
        </w:rPr>
        <w:t>amantadínom</w:t>
      </w:r>
      <w:proofErr w:type="spellEnd"/>
      <w:r w:rsidRPr="001340C5">
        <w:rPr>
          <w:rFonts w:ascii="Times New Roman" w:hAnsi="Times New Roman" w:cs="Times New Roman"/>
          <w:lang w:val="sk-SK"/>
        </w:rPr>
        <w:t>.</w:t>
      </w:r>
    </w:p>
    <w:p w:rsidR="00FF1185" w:rsidRPr="001340C5" w:rsidRDefault="00FF1185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FF1185" w:rsidRPr="001340C5" w:rsidRDefault="00FF1185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 w:rsidRPr="001340C5">
        <w:rPr>
          <w:rFonts w:ascii="Times New Roman" w:hAnsi="Times New Roman" w:cs="Times New Roman"/>
          <w:lang w:val="sk-SK"/>
        </w:rPr>
        <w:t>Tiazidy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môžu znížiť </w:t>
      </w:r>
      <w:proofErr w:type="spellStart"/>
      <w:r w:rsidRPr="001340C5">
        <w:rPr>
          <w:rFonts w:ascii="Times New Roman" w:hAnsi="Times New Roman" w:cs="Times New Roman"/>
          <w:lang w:val="sk-SK"/>
        </w:rPr>
        <w:t>renálnu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exkréciu </w:t>
      </w:r>
      <w:proofErr w:type="spellStart"/>
      <w:r w:rsidRPr="001340C5">
        <w:rPr>
          <w:rFonts w:ascii="Times New Roman" w:hAnsi="Times New Roman" w:cs="Times New Roman"/>
          <w:lang w:val="sk-SK"/>
        </w:rPr>
        <w:t>cytotoxických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liečiv (napr. </w:t>
      </w:r>
      <w:proofErr w:type="spellStart"/>
      <w:r w:rsidRPr="001340C5">
        <w:rPr>
          <w:rFonts w:ascii="Times New Roman" w:hAnsi="Times New Roman" w:cs="Times New Roman"/>
          <w:lang w:val="sk-SK"/>
        </w:rPr>
        <w:t>cyklofosfamidu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340C5">
        <w:rPr>
          <w:rFonts w:ascii="Times New Roman" w:hAnsi="Times New Roman" w:cs="Times New Roman"/>
          <w:lang w:val="sk-SK"/>
        </w:rPr>
        <w:t>metotrexátu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) a zosilniť ich </w:t>
      </w:r>
      <w:proofErr w:type="spellStart"/>
      <w:r w:rsidRPr="001340C5">
        <w:rPr>
          <w:rFonts w:ascii="Times New Roman" w:hAnsi="Times New Roman" w:cs="Times New Roman"/>
          <w:lang w:val="sk-SK"/>
        </w:rPr>
        <w:t>myelosupresívny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účinok.</w:t>
      </w:r>
    </w:p>
    <w:p w:rsidR="00FF1185" w:rsidRPr="001340C5" w:rsidRDefault="00FF1185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B71724" w:rsidRPr="001340C5" w:rsidRDefault="00FF1185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 w:rsidRPr="001340C5">
        <w:rPr>
          <w:rFonts w:ascii="Times New Roman" w:hAnsi="Times New Roman" w:cs="Times New Roman"/>
          <w:lang w:val="sk-SK"/>
        </w:rPr>
        <w:t>Posturálna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hypotenzia sa môže zhoršiť pri súčasnom príjme alkoholu, barbiturátov alebo anestetík.</w:t>
      </w:r>
    </w:p>
    <w:p w:rsidR="00DC7626" w:rsidRPr="001340C5" w:rsidRDefault="00DC7626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572CB3" w:rsidRPr="001340C5" w:rsidRDefault="00572CB3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Liečba </w:t>
      </w:r>
      <w:proofErr w:type="spellStart"/>
      <w:r w:rsidRPr="001340C5">
        <w:rPr>
          <w:rFonts w:ascii="Times New Roman" w:hAnsi="Times New Roman" w:cs="Times New Roman"/>
          <w:lang w:val="sk-SK"/>
        </w:rPr>
        <w:t>tiazidovými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diuretikami môže zhoršovať glukózovú toleranciu. Môže byť potrebná úprava dávkovania </w:t>
      </w:r>
      <w:proofErr w:type="spellStart"/>
      <w:r w:rsidRPr="001340C5">
        <w:rPr>
          <w:rFonts w:ascii="Times New Roman" w:hAnsi="Times New Roman" w:cs="Times New Roman"/>
          <w:lang w:val="sk-SK"/>
        </w:rPr>
        <w:t>antidiabetík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vrátane inzulínu. </w:t>
      </w:r>
      <w:proofErr w:type="spellStart"/>
      <w:r w:rsidRPr="001340C5">
        <w:rPr>
          <w:rFonts w:ascii="Times New Roman" w:hAnsi="Times New Roman" w:cs="Times New Roman"/>
          <w:lang w:val="sk-SK"/>
        </w:rPr>
        <w:t>Metformín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sa má používať opatrne, pretože je možné riziko </w:t>
      </w:r>
      <w:proofErr w:type="spellStart"/>
      <w:r w:rsidRPr="001340C5">
        <w:rPr>
          <w:rFonts w:ascii="Times New Roman" w:hAnsi="Times New Roman" w:cs="Times New Roman"/>
          <w:lang w:val="sk-SK"/>
        </w:rPr>
        <w:t>laktátovej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acidózy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indukovanej možným funkčným zlyhaním obličiek v spojitosti s 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hydrochlorotiazidom</w:t>
      </w:r>
      <w:proofErr w:type="spellEnd"/>
      <w:r w:rsidRPr="001340C5">
        <w:rPr>
          <w:rFonts w:ascii="Times New Roman" w:hAnsi="Times New Roman" w:cs="Times New Roman"/>
          <w:lang w:val="sk-SK"/>
        </w:rPr>
        <w:t>.</w:t>
      </w:r>
    </w:p>
    <w:p w:rsidR="00572CB3" w:rsidRPr="001340C5" w:rsidRDefault="00572CB3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572CB3" w:rsidRPr="001340C5" w:rsidRDefault="00572CB3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 w:rsidRPr="001340C5">
        <w:rPr>
          <w:rFonts w:ascii="Times New Roman" w:hAnsi="Times New Roman" w:cs="Times New Roman"/>
          <w:lang w:val="sk-SK"/>
        </w:rPr>
        <w:t>Hydrochlorotiazid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môže znížiť odpoveď na </w:t>
      </w:r>
      <w:proofErr w:type="spellStart"/>
      <w:r w:rsidRPr="001340C5">
        <w:rPr>
          <w:rFonts w:ascii="Times New Roman" w:hAnsi="Times New Roman" w:cs="Times New Roman"/>
          <w:lang w:val="sk-SK"/>
        </w:rPr>
        <w:t>amíny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zvyšujúce krvný tlak (napr. adrenalín), avšak nie natoľko, aby sa ich účinok na krvný tlak eliminoval. </w:t>
      </w:r>
    </w:p>
    <w:p w:rsidR="00572CB3" w:rsidRPr="001340C5" w:rsidRDefault="00572CB3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572CB3" w:rsidRPr="001340C5" w:rsidRDefault="00572CB3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 w:rsidRPr="001340C5">
        <w:rPr>
          <w:rFonts w:ascii="Times New Roman" w:hAnsi="Times New Roman" w:cs="Times New Roman"/>
          <w:lang w:val="sk-SK"/>
        </w:rPr>
        <w:t>Hydrochlorotiazid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môže zvýšiť riziko akútnej </w:t>
      </w:r>
      <w:proofErr w:type="spellStart"/>
      <w:r w:rsidRPr="001340C5">
        <w:rPr>
          <w:rFonts w:ascii="Times New Roman" w:hAnsi="Times New Roman" w:cs="Times New Roman"/>
          <w:lang w:val="sk-SK"/>
        </w:rPr>
        <w:t>renálnej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insuficiencie</w:t>
      </w:r>
      <w:proofErr w:type="spellEnd"/>
      <w:r w:rsidRPr="001340C5">
        <w:rPr>
          <w:rFonts w:ascii="Times New Roman" w:hAnsi="Times New Roman" w:cs="Times New Roman"/>
          <w:lang w:val="sk-SK"/>
        </w:rPr>
        <w:t>, predovšetkým pri vysokých dávkach jódových kontrastných látok.</w:t>
      </w:r>
    </w:p>
    <w:p w:rsidR="00572CB3" w:rsidRPr="001340C5" w:rsidRDefault="00572CB3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572CB3" w:rsidRPr="001340C5" w:rsidRDefault="00572CB3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Súbežná liečba s </w:t>
      </w:r>
      <w:proofErr w:type="spellStart"/>
      <w:r w:rsidRPr="001340C5">
        <w:rPr>
          <w:rFonts w:ascii="Times New Roman" w:hAnsi="Times New Roman" w:cs="Times New Roman"/>
          <w:lang w:val="sk-SK"/>
        </w:rPr>
        <w:t>cyklosporínom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môže zvýšiť riziko </w:t>
      </w:r>
      <w:proofErr w:type="spellStart"/>
      <w:r w:rsidRPr="001340C5">
        <w:rPr>
          <w:rFonts w:ascii="Times New Roman" w:hAnsi="Times New Roman" w:cs="Times New Roman"/>
          <w:lang w:val="sk-SK"/>
        </w:rPr>
        <w:t>hyperurikémie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 komplikácií typu dna.</w:t>
      </w:r>
    </w:p>
    <w:p w:rsidR="00572CB3" w:rsidRPr="001340C5" w:rsidRDefault="00572CB3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DC7626" w:rsidRPr="001340C5" w:rsidRDefault="00572CB3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Súbežná liečba s </w:t>
      </w:r>
      <w:proofErr w:type="spellStart"/>
      <w:r w:rsidRPr="001340C5">
        <w:rPr>
          <w:rFonts w:ascii="Times New Roman" w:hAnsi="Times New Roman" w:cs="Times New Roman"/>
          <w:lang w:val="sk-SK"/>
        </w:rPr>
        <w:t>baklofénom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340C5">
        <w:rPr>
          <w:rFonts w:ascii="Times New Roman" w:hAnsi="Times New Roman" w:cs="Times New Roman"/>
          <w:lang w:val="sk-SK"/>
        </w:rPr>
        <w:t>amifostínom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340C5">
        <w:rPr>
          <w:rFonts w:ascii="Times New Roman" w:hAnsi="Times New Roman" w:cs="Times New Roman"/>
          <w:lang w:val="sk-SK"/>
        </w:rPr>
        <w:t>tricyklickými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antidepresívami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alebo </w:t>
      </w:r>
      <w:proofErr w:type="spellStart"/>
      <w:r w:rsidRPr="001340C5">
        <w:rPr>
          <w:rFonts w:ascii="Times New Roman" w:hAnsi="Times New Roman" w:cs="Times New Roman"/>
          <w:lang w:val="sk-SK"/>
        </w:rPr>
        <w:t>neuroleptikami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môže viesť k zvýšeniu </w:t>
      </w:r>
      <w:proofErr w:type="spellStart"/>
      <w:r w:rsidRPr="001340C5">
        <w:rPr>
          <w:rFonts w:ascii="Times New Roman" w:hAnsi="Times New Roman" w:cs="Times New Roman"/>
          <w:lang w:val="sk-SK"/>
        </w:rPr>
        <w:t>antihypertenzného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účinku a môže navodiť hypotenziu.</w:t>
      </w:r>
    </w:p>
    <w:p w:rsidR="00572CB3" w:rsidRPr="001340C5" w:rsidRDefault="00572CB3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0337EA" w:rsidRPr="001340C5" w:rsidRDefault="00FB3F97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Údaje z klinických skúšaní ukázali, že duálna inhibícia systému </w:t>
      </w:r>
      <w:proofErr w:type="spellStart"/>
      <w:r w:rsidRPr="001340C5">
        <w:rPr>
          <w:rFonts w:ascii="Times New Roman" w:hAnsi="Times New Roman" w:cs="Times New Roman"/>
          <w:lang w:val="sk-SK"/>
        </w:rPr>
        <w:t>renín-angiotenzín-aldosterón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(RAAS) kombinovaným použitím inhibítorov ACE, </w:t>
      </w:r>
      <w:proofErr w:type="spellStart"/>
      <w:r w:rsidRPr="001340C5">
        <w:rPr>
          <w:rFonts w:ascii="Times New Roman" w:hAnsi="Times New Roman" w:cs="Times New Roman"/>
          <w:lang w:val="sk-SK"/>
        </w:rPr>
        <w:t>blokátorov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receptorov </w:t>
      </w:r>
      <w:proofErr w:type="spellStart"/>
      <w:r w:rsidRPr="001340C5">
        <w:rPr>
          <w:rFonts w:ascii="Times New Roman" w:hAnsi="Times New Roman" w:cs="Times New Roman"/>
          <w:lang w:val="sk-SK"/>
        </w:rPr>
        <w:t>angiotenzínu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II alebo </w:t>
      </w:r>
      <w:proofErr w:type="spellStart"/>
      <w:r w:rsidRPr="001340C5">
        <w:rPr>
          <w:rFonts w:ascii="Times New Roman" w:hAnsi="Times New Roman" w:cs="Times New Roman"/>
          <w:lang w:val="sk-SK"/>
        </w:rPr>
        <w:t>aliskirenu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sa spája s vyššou frekvenciou nežiaducich udalostí, ako sú hypotenzia, </w:t>
      </w:r>
      <w:proofErr w:type="spellStart"/>
      <w:r w:rsidRPr="001340C5">
        <w:rPr>
          <w:rFonts w:ascii="Times New Roman" w:hAnsi="Times New Roman" w:cs="Times New Roman"/>
          <w:lang w:val="sk-SK"/>
        </w:rPr>
        <w:t>hyperkaliémia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 znížená funkcia obličiek (vrátane akútneho zlyhania obličiek), v porovnaní s použitím látky ovplyvňujúcej RAAS v </w:t>
      </w:r>
      <w:proofErr w:type="spellStart"/>
      <w:r w:rsidRPr="001340C5">
        <w:rPr>
          <w:rFonts w:ascii="Times New Roman" w:hAnsi="Times New Roman" w:cs="Times New Roman"/>
          <w:lang w:val="sk-SK"/>
        </w:rPr>
        <w:t>monoterapii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(pozri časti 4.3, 4.4 a 5.1).</w:t>
      </w:r>
    </w:p>
    <w:p w:rsidR="0090791F" w:rsidRPr="001340C5" w:rsidRDefault="0090791F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90791F" w:rsidRPr="001340C5" w:rsidRDefault="00DC0578" w:rsidP="004F5AE8">
      <w:pPr>
        <w:pStyle w:val="Odsekzoznamu"/>
        <w:numPr>
          <w:ilvl w:val="1"/>
          <w:numId w:val="19"/>
        </w:numPr>
        <w:spacing w:after="0"/>
        <w:ind w:left="567" w:hanging="567"/>
        <w:jc w:val="both"/>
        <w:rPr>
          <w:rFonts w:ascii="Times New Roman" w:hAnsi="Times New Roman" w:cs="Times New Roman"/>
          <w:b/>
          <w:lang w:val="sk-SK"/>
        </w:rPr>
      </w:pPr>
      <w:proofErr w:type="spellStart"/>
      <w:r w:rsidRPr="001340C5">
        <w:rPr>
          <w:rFonts w:ascii="Times New Roman" w:hAnsi="Times New Roman" w:cs="Times New Roman"/>
          <w:b/>
          <w:lang w:val="sk-SK"/>
        </w:rPr>
        <w:t>Fetilita</w:t>
      </w:r>
      <w:proofErr w:type="spellEnd"/>
      <w:r w:rsidRPr="001340C5">
        <w:rPr>
          <w:rFonts w:ascii="Times New Roman" w:hAnsi="Times New Roman" w:cs="Times New Roman"/>
          <w:b/>
          <w:lang w:val="sk-SK"/>
        </w:rPr>
        <w:t>, gravidita a</w:t>
      </w:r>
      <w:r w:rsidR="00D86CDB" w:rsidRPr="001340C5">
        <w:rPr>
          <w:rFonts w:ascii="Times New Roman" w:hAnsi="Times New Roman" w:cs="Times New Roman"/>
          <w:b/>
          <w:lang w:val="sk-SK"/>
        </w:rPr>
        <w:t> </w:t>
      </w:r>
      <w:r w:rsidRPr="001340C5">
        <w:rPr>
          <w:rFonts w:ascii="Times New Roman" w:hAnsi="Times New Roman" w:cs="Times New Roman"/>
          <w:b/>
          <w:lang w:val="sk-SK"/>
        </w:rPr>
        <w:t>laktácia</w:t>
      </w:r>
    </w:p>
    <w:p w:rsidR="00D86CDB" w:rsidRPr="001340C5" w:rsidRDefault="00D86CDB" w:rsidP="00244BAB">
      <w:pPr>
        <w:spacing w:after="0"/>
        <w:jc w:val="both"/>
        <w:rPr>
          <w:rFonts w:ascii="Times New Roman" w:hAnsi="Times New Roman" w:cs="Times New Roman"/>
          <w:b/>
          <w:lang w:val="sk-SK"/>
        </w:rPr>
      </w:pPr>
    </w:p>
    <w:p w:rsidR="00737BD7" w:rsidRPr="001340C5" w:rsidRDefault="00737BD7" w:rsidP="00244BAB">
      <w:pPr>
        <w:spacing w:after="0"/>
        <w:jc w:val="both"/>
        <w:rPr>
          <w:rFonts w:ascii="Times New Roman" w:hAnsi="Times New Roman" w:cs="Times New Roman"/>
          <w:i/>
          <w:iCs/>
          <w:u w:val="single"/>
          <w:lang w:val="sk-SK"/>
        </w:rPr>
      </w:pPr>
      <w:r w:rsidRPr="001340C5">
        <w:rPr>
          <w:rFonts w:ascii="Times New Roman" w:hAnsi="Times New Roman" w:cs="Times New Roman"/>
          <w:i/>
          <w:iCs/>
          <w:u w:val="single"/>
          <w:lang w:val="sk-SK"/>
        </w:rPr>
        <w:t>Gravidita</w:t>
      </w:r>
    </w:p>
    <w:p w:rsidR="00737BD7" w:rsidRPr="001340C5" w:rsidRDefault="00737BD7" w:rsidP="00244BAB">
      <w:pPr>
        <w:spacing w:after="0"/>
        <w:jc w:val="both"/>
        <w:rPr>
          <w:rFonts w:ascii="Times New Roman" w:hAnsi="Times New Roman" w:cs="Times New Roman"/>
          <w:i/>
          <w:iCs/>
          <w:u w:val="single"/>
          <w:lang w:val="sk-SK"/>
        </w:rPr>
      </w:pPr>
      <w:proofErr w:type="spellStart"/>
      <w:r w:rsidRPr="001340C5">
        <w:rPr>
          <w:rFonts w:ascii="Times New Roman" w:hAnsi="Times New Roman" w:cs="Times New Roman"/>
          <w:bCs/>
          <w:i/>
          <w:lang w:val="sk-SK"/>
        </w:rPr>
        <w:t>A</w:t>
      </w:r>
      <w:r w:rsidRPr="001340C5">
        <w:rPr>
          <w:rFonts w:ascii="Times New Roman" w:hAnsi="Times New Roman" w:cs="Times New Roman"/>
          <w:i/>
          <w:lang w:val="sk-SK"/>
        </w:rPr>
        <w:t>ntagonisty</w:t>
      </w:r>
      <w:proofErr w:type="spellEnd"/>
      <w:r w:rsidRPr="001340C5">
        <w:rPr>
          <w:rFonts w:ascii="Times New Roman" w:hAnsi="Times New Roman" w:cs="Times New Roman"/>
          <w:i/>
          <w:lang w:val="sk-SK"/>
        </w:rPr>
        <w:t xml:space="preserve"> receptora pre </w:t>
      </w:r>
      <w:proofErr w:type="spellStart"/>
      <w:r w:rsidRPr="001340C5">
        <w:rPr>
          <w:rFonts w:ascii="Times New Roman" w:hAnsi="Times New Roman" w:cs="Times New Roman"/>
          <w:i/>
          <w:lang w:val="sk-SK"/>
        </w:rPr>
        <w:t>angiotenzín</w:t>
      </w:r>
      <w:proofErr w:type="spellEnd"/>
      <w:r w:rsidRPr="001340C5">
        <w:rPr>
          <w:rFonts w:ascii="Times New Roman" w:hAnsi="Times New Roman" w:cs="Times New Roman"/>
          <w:i/>
          <w:lang w:val="sk-SK"/>
        </w:rPr>
        <w:t xml:space="preserve"> II</w:t>
      </w:r>
      <w:r w:rsidRPr="001340C5">
        <w:rPr>
          <w:rFonts w:ascii="Times New Roman" w:hAnsi="Times New Roman" w:cs="Times New Roman"/>
          <w:lang w:val="sk-SK"/>
        </w:rPr>
        <w:t xml:space="preserve"> </w:t>
      </w:r>
      <w:r w:rsidRPr="001340C5">
        <w:rPr>
          <w:rFonts w:ascii="Times New Roman" w:hAnsi="Times New Roman" w:cs="Times New Roman"/>
          <w:i/>
          <w:lang w:val="sk-SK"/>
        </w:rPr>
        <w:t>(</w:t>
      </w:r>
      <w:proofErr w:type="spellStart"/>
      <w:r w:rsidRPr="001340C5">
        <w:rPr>
          <w:rFonts w:ascii="Times New Roman" w:hAnsi="Times New Roman" w:cs="Times New Roman"/>
          <w:i/>
          <w:lang w:val="sk-SK"/>
        </w:rPr>
        <w:t>AIIRAs</w:t>
      </w:r>
      <w:proofErr w:type="spellEnd"/>
      <w:r w:rsidRPr="001340C5">
        <w:rPr>
          <w:rFonts w:ascii="Times New Roman" w:hAnsi="Times New Roman" w:cs="Times New Roman"/>
          <w:i/>
          <w:lang w:val="sk-SK"/>
        </w:rPr>
        <w:t>):</w:t>
      </w:r>
    </w:p>
    <w:p w:rsidR="00737BD7" w:rsidRPr="001340C5" w:rsidRDefault="00737BD7" w:rsidP="00244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Style w:val="longtext1"/>
          <w:rFonts w:ascii="Times New Roman" w:hAnsi="Times New Roman" w:cs="Times New Roman"/>
          <w:sz w:val="22"/>
          <w:szCs w:val="22"/>
          <w:shd w:val="clear" w:color="auto" w:fill="FFFFFF"/>
          <w:lang w:val="sk-SK"/>
        </w:rPr>
      </w:pPr>
      <w:r w:rsidRPr="001340C5">
        <w:rPr>
          <w:rStyle w:val="longtext1"/>
          <w:rFonts w:ascii="Times New Roman" w:hAnsi="Times New Roman" w:cs="Times New Roman"/>
          <w:sz w:val="22"/>
          <w:szCs w:val="22"/>
          <w:shd w:val="clear" w:color="auto" w:fill="FFFFFF"/>
          <w:lang w:val="sk-SK"/>
        </w:rPr>
        <w:t xml:space="preserve">Použitie </w:t>
      </w:r>
      <w:proofErr w:type="spellStart"/>
      <w:r w:rsidRPr="001340C5">
        <w:rPr>
          <w:rStyle w:val="longtext1"/>
          <w:rFonts w:ascii="Times New Roman" w:hAnsi="Times New Roman" w:cs="Times New Roman"/>
          <w:sz w:val="22"/>
          <w:szCs w:val="22"/>
          <w:shd w:val="clear" w:color="auto" w:fill="FFFFFF"/>
          <w:lang w:val="sk-SK"/>
        </w:rPr>
        <w:t>AIIRAs</w:t>
      </w:r>
      <w:proofErr w:type="spellEnd"/>
      <w:r w:rsidRPr="001340C5">
        <w:rPr>
          <w:rStyle w:val="longtext1"/>
          <w:rFonts w:ascii="Times New Roman" w:hAnsi="Times New Roman" w:cs="Times New Roman"/>
          <w:sz w:val="22"/>
          <w:szCs w:val="22"/>
          <w:shd w:val="clear" w:color="auto" w:fill="FFFFFF"/>
          <w:lang w:val="sk-SK"/>
        </w:rPr>
        <w:t xml:space="preserve"> sa neodporúča v prvom </w:t>
      </w:r>
      <w:proofErr w:type="spellStart"/>
      <w:r w:rsidRPr="001340C5">
        <w:rPr>
          <w:rStyle w:val="longtext1"/>
          <w:rFonts w:ascii="Times New Roman" w:hAnsi="Times New Roman" w:cs="Times New Roman"/>
          <w:sz w:val="22"/>
          <w:szCs w:val="22"/>
          <w:shd w:val="clear" w:color="auto" w:fill="FFFFFF"/>
          <w:lang w:val="sk-SK"/>
        </w:rPr>
        <w:t>trimestri</w:t>
      </w:r>
      <w:proofErr w:type="spellEnd"/>
      <w:r w:rsidRPr="001340C5">
        <w:rPr>
          <w:rStyle w:val="longtext1"/>
          <w:rFonts w:ascii="Times New Roman" w:hAnsi="Times New Roman" w:cs="Times New Roman"/>
          <w:sz w:val="22"/>
          <w:szCs w:val="22"/>
          <w:shd w:val="clear" w:color="auto" w:fill="FFFFFF"/>
          <w:lang w:val="sk-SK"/>
        </w:rPr>
        <w:t xml:space="preserve"> gravidity (pozri časť 4.4). Použitie </w:t>
      </w:r>
      <w:proofErr w:type="spellStart"/>
      <w:r w:rsidRPr="001340C5">
        <w:rPr>
          <w:rStyle w:val="longtext1"/>
          <w:rFonts w:ascii="Times New Roman" w:hAnsi="Times New Roman" w:cs="Times New Roman"/>
          <w:sz w:val="22"/>
          <w:szCs w:val="22"/>
          <w:shd w:val="clear" w:color="auto" w:fill="FFFFFF"/>
          <w:lang w:val="sk-SK"/>
        </w:rPr>
        <w:t>AIIRAs</w:t>
      </w:r>
      <w:proofErr w:type="spellEnd"/>
      <w:r w:rsidRPr="001340C5">
        <w:rPr>
          <w:rStyle w:val="longtext1"/>
          <w:rFonts w:ascii="Times New Roman" w:hAnsi="Times New Roman" w:cs="Times New Roman"/>
          <w:sz w:val="22"/>
          <w:szCs w:val="22"/>
          <w:shd w:val="clear" w:color="auto" w:fill="FFFFFF"/>
          <w:lang w:val="sk-SK"/>
        </w:rPr>
        <w:t xml:space="preserve"> je</w:t>
      </w:r>
    </w:p>
    <w:p w:rsidR="00737BD7" w:rsidRPr="001340C5" w:rsidRDefault="00737BD7" w:rsidP="00244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Style w:val="longtext1"/>
          <w:rFonts w:ascii="Times New Roman" w:hAnsi="Times New Roman" w:cs="Times New Roman"/>
          <w:sz w:val="22"/>
          <w:szCs w:val="22"/>
          <w:shd w:val="clear" w:color="auto" w:fill="FFFFFF"/>
          <w:lang w:val="sk-SK"/>
        </w:rPr>
      </w:pPr>
      <w:r w:rsidRPr="001340C5">
        <w:rPr>
          <w:rStyle w:val="longtext1"/>
          <w:rFonts w:ascii="Times New Roman" w:hAnsi="Times New Roman" w:cs="Times New Roman"/>
          <w:sz w:val="22"/>
          <w:szCs w:val="22"/>
          <w:shd w:val="clear" w:color="auto" w:fill="FFFFFF"/>
          <w:lang w:val="sk-SK"/>
        </w:rPr>
        <w:t xml:space="preserve">kontraindikované počas druhého a tretieho </w:t>
      </w:r>
      <w:proofErr w:type="spellStart"/>
      <w:r w:rsidRPr="001340C5">
        <w:rPr>
          <w:rStyle w:val="longtext1"/>
          <w:rFonts w:ascii="Times New Roman" w:hAnsi="Times New Roman" w:cs="Times New Roman"/>
          <w:sz w:val="22"/>
          <w:szCs w:val="22"/>
          <w:shd w:val="clear" w:color="auto" w:fill="FFFFFF"/>
          <w:lang w:val="sk-SK"/>
        </w:rPr>
        <w:t>trimestra</w:t>
      </w:r>
      <w:proofErr w:type="spellEnd"/>
      <w:r w:rsidRPr="001340C5">
        <w:rPr>
          <w:rStyle w:val="longtext1"/>
          <w:rFonts w:ascii="Times New Roman" w:hAnsi="Times New Roman" w:cs="Times New Roman"/>
          <w:sz w:val="22"/>
          <w:szCs w:val="22"/>
          <w:shd w:val="clear" w:color="auto" w:fill="FFFFFF"/>
          <w:lang w:val="sk-SK"/>
        </w:rPr>
        <w:t xml:space="preserve"> gravidity (pozri časti 4.3 a 4.4).</w:t>
      </w:r>
    </w:p>
    <w:p w:rsidR="002A6F5F" w:rsidRPr="001340C5" w:rsidRDefault="002A6F5F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Epidemiologické dôkazy týkajúce sa rizika </w:t>
      </w:r>
      <w:proofErr w:type="spellStart"/>
      <w:r w:rsidRPr="001340C5">
        <w:rPr>
          <w:rFonts w:ascii="Times New Roman" w:hAnsi="Times New Roman" w:cs="Times New Roman"/>
          <w:lang w:val="sk-SK"/>
        </w:rPr>
        <w:t>teratogenity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pri podávaní ACE inhibítorov počas prvého</w:t>
      </w:r>
    </w:p>
    <w:p w:rsidR="002A6F5F" w:rsidRPr="001340C5" w:rsidRDefault="002A6F5F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 w:rsidRPr="001340C5">
        <w:rPr>
          <w:rFonts w:ascii="Times New Roman" w:hAnsi="Times New Roman" w:cs="Times New Roman"/>
          <w:lang w:val="sk-SK"/>
        </w:rPr>
        <w:t>trimestra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gravidity nie sú presvedčivé, avšak malé zvýšenie rizika nemožno vylúčiť. Aj keď neexistujú</w:t>
      </w:r>
    </w:p>
    <w:p w:rsidR="002A6F5F" w:rsidRPr="001340C5" w:rsidRDefault="002A6F5F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žiadne kontrolované epidemiologické údaje o riziku s </w:t>
      </w:r>
      <w:proofErr w:type="spellStart"/>
      <w:r w:rsidRPr="001340C5">
        <w:rPr>
          <w:rFonts w:ascii="Times New Roman" w:hAnsi="Times New Roman" w:cs="Times New Roman"/>
          <w:lang w:val="sk-SK"/>
        </w:rPr>
        <w:t>AIIRAs</w:t>
      </w:r>
      <w:proofErr w:type="spellEnd"/>
      <w:r w:rsidRPr="001340C5">
        <w:rPr>
          <w:rFonts w:ascii="Times New Roman" w:hAnsi="Times New Roman" w:cs="Times New Roman"/>
          <w:lang w:val="sk-SK"/>
        </w:rPr>
        <w:t>, môžu existovať podobné riziká pre túto</w:t>
      </w:r>
    </w:p>
    <w:p w:rsidR="002A6F5F" w:rsidRPr="001340C5" w:rsidRDefault="002A6F5F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>skupinu liekov. Ak pokračovanie s terapiou AIIRA nie je považované za nevyhnutné, pacientky</w:t>
      </w:r>
    </w:p>
    <w:p w:rsidR="002A6F5F" w:rsidRPr="001340C5" w:rsidRDefault="002A6F5F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lastRenderedPageBreak/>
        <w:t xml:space="preserve">plánujúce graviditu musia byť prevedené na iné </w:t>
      </w:r>
      <w:proofErr w:type="spellStart"/>
      <w:r w:rsidRPr="001340C5">
        <w:rPr>
          <w:rFonts w:ascii="Times New Roman" w:hAnsi="Times New Roman" w:cs="Times New Roman"/>
          <w:lang w:val="sk-SK"/>
        </w:rPr>
        <w:t>antihypertenzné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liečby, ktoré majú stanovený</w:t>
      </w:r>
    </w:p>
    <w:p w:rsidR="002A6F5F" w:rsidRPr="001340C5" w:rsidRDefault="002A6F5F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bezpečnostný profil na použitie v gravidite. Ak sa zistí gravidita, liečba </w:t>
      </w:r>
      <w:proofErr w:type="spellStart"/>
      <w:r w:rsidRPr="001340C5">
        <w:rPr>
          <w:rFonts w:ascii="Times New Roman" w:hAnsi="Times New Roman" w:cs="Times New Roman"/>
          <w:lang w:val="sk-SK"/>
        </w:rPr>
        <w:t>AIIRAs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sa má okamžite</w:t>
      </w:r>
    </w:p>
    <w:p w:rsidR="002A6F5F" w:rsidRPr="001340C5" w:rsidRDefault="002A6F5F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>ukončiť, a ak je to vhodné, má sa začať alternatívna liečba.</w:t>
      </w:r>
    </w:p>
    <w:p w:rsidR="002A6F5F" w:rsidRPr="001340C5" w:rsidRDefault="002A6F5F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2A6F5F" w:rsidRPr="001340C5" w:rsidRDefault="002A6F5F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Je známe, že vystavenie AIIRA terapii počas druhého a tretieho </w:t>
      </w:r>
      <w:proofErr w:type="spellStart"/>
      <w:r w:rsidRPr="001340C5">
        <w:rPr>
          <w:rFonts w:ascii="Times New Roman" w:hAnsi="Times New Roman" w:cs="Times New Roman"/>
          <w:lang w:val="sk-SK"/>
        </w:rPr>
        <w:t>trimestra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indukuje humánnu</w:t>
      </w:r>
    </w:p>
    <w:p w:rsidR="002A6F5F" w:rsidRPr="001340C5" w:rsidRDefault="002A6F5F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 w:rsidRPr="001340C5">
        <w:rPr>
          <w:rFonts w:ascii="Times New Roman" w:hAnsi="Times New Roman" w:cs="Times New Roman"/>
          <w:lang w:val="sk-SK"/>
        </w:rPr>
        <w:t>fetotoxicitu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(zníženie </w:t>
      </w:r>
      <w:proofErr w:type="spellStart"/>
      <w:r w:rsidRPr="001340C5">
        <w:rPr>
          <w:rFonts w:ascii="Times New Roman" w:hAnsi="Times New Roman" w:cs="Times New Roman"/>
          <w:lang w:val="sk-SK"/>
        </w:rPr>
        <w:t>renálnej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funkcie, </w:t>
      </w:r>
      <w:proofErr w:type="spellStart"/>
      <w:r w:rsidRPr="001340C5">
        <w:rPr>
          <w:rFonts w:ascii="Times New Roman" w:hAnsi="Times New Roman" w:cs="Times New Roman"/>
          <w:lang w:val="sk-SK"/>
        </w:rPr>
        <w:t>oligohydramnión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retardácia osifikácie lebky) a </w:t>
      </w:r>
      <w:proofErr w:type="spellStart"/>
      <w:r w:rsidRPr="001340C5">
        <w:rPr>
          <w:rFonts w:ascii="Times New Roman" w:hAnsi="Times New Roman" w:cs="Times New Roman"/>
          <w:lang w:val="sk-SK"/>
        </w:rPr>
        <w:t>neonatálnu</w:t>
      </w:r>
      <w:proofErr w:type="spellEnd"/>
    </w:p>
    <w:p w:rsidR="002A6F5F" w:rsidRPr="001340C5" w:rsidRDefault="002A6F5F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>toxicitu (</w:t>
      </w:r>
      <w:proofErr w:type="spellStart"/>
      <w:r w:rsidRPr="001340C5">
        <w:rPr>
          <w:rFonts w:ascii="Times New Roman" w:hAnsi="Times New Roman" w:cs="Times New Roman"/>
          <w:lang w:val="sk-SK"/>
        </w:rPr>
        <w:t>renálne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zlyhanie, hypotenziu, </w:t>
      </w:r>
      <w:proofErr w:type="spellStart"/>
      <w:r w:rsidRPr="001340C5">
        <w:rPr>
          <w:rFonts w:ascii="Times New Roman" w:hAnsi="Times New Roman" w:cs="Times New Roman"/>
          <w:lang w:val="sk-SK"/>
        </w:rPr>
        <w:t>hyperkaliémiu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) (pozri časť 5.3). </w:t>
      </w:r>
    </w:p>
    <w:p w:rsidR="002A6F5F" w:rsidRPr="001340C5" w:rsidRDefault="002A6F5F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Ak dôjde k expozícii </w:t>
      </w:r>
      <w:proofErr w:type="spellStart"/>
      <w:r w:rsidRPr="001340C5">
        <w:rPr>
          <w:rFonts w:ascii="Times New Roman" w:hAnsi="Times New Roman" w:cs="Times New Roman"/>
          <w:lang w:val="sk-SK"/>
        </w:rPr>
        <w:t>AIIRAs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od druhého </w:t>
      </w:r>
      <w:proofErr w:type="spellStart"/>
      <w:r w:rsidRPr="001340C5">
        <w:rPr>
          <w:rFonts w:ascii="Times New Roman" w:hAnsi="Times New Roman" w:cs="Times New Roman"/>
          <w:lang w:val="sk-SK"/>
        </w:rPr>
        <w:t>trimestra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gravidity, odporúča sa ultrazvuková</w:t>
      </w:r>
    </w:p>
    <w:p w:rsidR="002A6F5F" w:rsidRPr="001340C5" w:rsidRDefault="002A6F5F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kontrola funkcie obličiek a lebky. </w:t>
      </w:r>
    </w:p>
    <w:p w:rsidR="002A6F5F" w:rsidRPr="001340C5" w:rsidRDefault="002A6F5F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Dojčatá, ktorých matky užívali </w:t>
      </w:r>
      <w:proofErr w:type="spellStart"/>
      <w:r w:rsidRPr="001340C5">
        <w:rPr>
          <w:rFonts w:ascii="Times New Roman" w:hAnsi="Times New Roman" w:cs="Times New Roman"/>
          <w:lang w:val="sk-SK"/>
        </w:rPr>
        <w:t>AIIRAs</w:t>
      </w:r>
      <w:proofErr w:type="spellEnd"/>
      <w:r w:rsidRPr="001340C5">
        <w:rPr>
          <w:rFonts w:ascii="Times New Roman" w:hAnsi="Times New Roman" w:cs="Times New Roman"/>
          <w:lang w:val="sk-SK"/>
        </w:rPr>
        <w:t>, majú byť starostlivo sledované, pokiaľ ide o</w:t>
      </w:r>
    </w:p>
    <w:p w:rsidR="00D86CDB" w:rsidRPr="001340C5" w:rsidRDefault="002A6F5F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>hypotenziu (pozri čas</w:t>
      </w:r>
      <w:r w:rsidR="00656D47">
        <w:rPr>
          <w:rFonts w:ascii="Times New Roman" w:hAnsi="Times New Roman" w:cs="Times New Roman"/>
          <w:lang w:val="sk-SK"/>
        </w:rPr>
        <w:t>ti</w:t>
      </w:r>
      <w:r w:rsidRPr="001340C5">
        <w:rPr>
          <w:rFonts w:ascii="Times New Roman" w:hAnsi="Times New Roman" w:cs="Times New Roman"/>
          <w:lang w:val="sk-SK"/>
        </w:rPr>
        <w:t xml:space="preserve"> 4.3 a 4.4).</w:t>
      </w:r>
    </w:p>
    <w:p w:rsidR="00D86CDB" w:rsidRPr="001340C5" w:rsidRDefault="00D86CDB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6B50DC" w:rsidRPr="001340C5" w:rsidRDefault="006B50DC" w:rsidP="00244BAB">
      <w:pPr>
        <w:spacing w:after="0"/>
        <w:jc w:val="both"/>
        <w:rPr>
          <w:rFonts w:ascii="Times New Roman" w:hAnsi="Times New Roman" w:cs="Times New Roman"/>
          <w:i/>
          <w:lang w:val="sk-SK"/>
        </w:rPr>
      </w:pPr>
      <w:proofErr w:type="spellStart"/>
      <w:r w:rsidRPr="001340C5">
        <w:rPr>
          <w:rFonts w:ascii="Times New Roman" w:hAnsi="Times New Roman" w:cs="Times New Roman"/>
          <w:i/>
          <w:lang w:val="sk-SK"/>
        </w:rPr>
        <w:t>Hydrochlorotiazid</w:t>
      </w:r>
      <w:proofErr w:type="spellEnd"/>
    </w:p>
    <w:p w:rsidR="006B50DC" w:rsidRPr="001340C5" w:rsidRDefault="006B50DC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Skúsenosti s 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hydrochlorotiazidom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sú počas gravidity obmedzené, obzvlášť počas prvého </w:t>
      </w:r>
      <w:proofErr w:type="spellStart"/>
      <w:r w:rsidRPr="001340C5">
        <w:rPr>
          <w:rFonts w:ascii="Times New Roman" w:hAnsi="Times New Roman" w:cs="Times New Roman"/>
          <w:lang w:val="sk-SK"/>
        </w:rPr>
        <w:t>trimestra</w:t>
      </w:r>
      <w:proofErr w:type="spellEnd"/>
      <w:r w:rsidRPr="001340C5">
        <w:rPr>
          <w:rFonts w:ascii="Times New Roman" w:hAnsi="Times New Roman" w:cs="Times New Roman"/>
          <w:lang w:val="sk-SK"/>
        </w:rPr>
        <w:t>. Štúdie na zvieratách nie sú dostatočné.</w:t>
      </w:r>
    </w:p>
    <w:p w:rsidR="00A9590F" w:rsidRPr="001340C5" w:rsidRDefault="00A9590F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6B50DC" w:rsidRPr="001340C5" w:rsidRDefault="006B50DC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 w:rsidRPr="001340C5">
        <w:rPr>
          <w:rFonts w:ascii="Times New Roman" w:hAnsi="Times New Roman" w:cs="Times New Roman"/>
          <w:lang w:val="sk-SK"/>
        </w:rPr>
        <w:t>Hydrochlorotiazid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prechádza placentou. Na základe farmakologického mechanizmu účinku 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jeho použitie počas druhého a tretieho </w:t>
      </w:r>
      <w:proofErr w:type="spellStart"/>
      <w:r w:rsidRPr="001340C5">
        <w:rPr>
          <w:rFonts w:ascii="Times New Roman" w:hAnsi="Times New Roman" w:cs="Times New Roman"/>
          <w:lang w:val="sk-SK"/>
        </w:rPr>
        <w:t>trimestra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môže ohroziť </w:t>
      </w:r>
      <w:proofErr w:type="spellStart"/>
      <w:r w:rsidRPr="001340C5">
        <w:rPr>
          <w:rFonts w:ascii="Times New Roman" w:hAnsi="Times New Roman" w:cs="Times New Roman"/>
          <w:lang w:val="sk-SK"/>
        </w:rPr>
        <w:t>fetálno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-placentárnu </w:t>
      </w:r>
      <w:proofErr w:type="spellStart"/>
      <w:r w:rsidRPr="001340C5">
        <w:rPr>
          <w:rFonts w:ascii="Times New Roman" w:hAnsi="Times New Roman" w:cs="Times New Roman"/>
          <w:lang w:val="sk-SK"/>
        </w:rPr>
        <w:t>perfúziu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 môže spôsobiť </w:t>
      </w:r>
      <w:proofErr w:type="spellStart"/>
      <w:r w:rsidRPr="001340C5">
        <w:rPr>
          <w:rFonts w:ascii="Times New Roman" w:hAnsi="Times New Roman" w:cs="Times New Roman"/>
          <w:lang w:val="sk-SK"/>
        </w:rPr>
        <w:t>fetálne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Pr="001340C5">
        <w:rPr>
          <w:rFonts w:ascii="Times New Roman" w:hAnsi="Times New Roman" w:cs="Times New Roman"/>
          <w:lang w:val="sk-SK"/>
        </w:rPr>
        <w:t>neonatálne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účinky ako je žltačka, poruchy </w:t>
      </w:r>
      <w:proofErr w:type="spellStart"/>
      <w:r w:rsidRPr="001340C5">
        <w:rPr>
          <w:rFonts w:ascii="Times New Roman" w:hAnsi="Times New Roman" w:cs="Times New Roman"/>
          <w:lang w:val="sk-SK"/>
        </w:rPr>
        <w:t>elektrolytovej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rovnováhy a </w:t>
      </w:r>
      <w:proofErr w:type="spellStart"/>
      <w:r w:rsidRPr="001340C5">
        <w:rPr>
          <w:rFonts w:ascii="Times New Roman" w:hAnsi="Times New Roman" w:cs="Times New Roman"/>
          <w:lang w:val="sk-SK"/>
        </w:rPr>
        <w:t>trombocytopénia</w:t>
      </w:r>
      <w:proofErr w:type="spellEnd"/>
      <w:r w:rsidRPr="001340C5">
        <w:rPr>
          <w:rFonts w:ascii="Times New Roman" w:hAnsi="Times New Roman" w:cs="Times New Roman"/>
          <w:lang w:val="sk-SK"/>
        </w:rPr>
        <w:t>.</w:t>
      </w:r>
    </w:p>
    <w:p w:rsidR="00A9590F" w:rsidRPr="001340C5" w:rsidRDefault="00A9590F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6B50DC" w:rsidRPr="001340C5" w:rsidRDefault="006B50DC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Vzhľadom na riziko zníženia objemu plazmy a placentárnej </w:t>
      </w:r>
      <w:proofErr w:type="spellStart"/>
      <w:r w:rsidRPr="001340C5">
        <w:rPr>
          <w:rFonts w:ascii="Times New Roman" w:hAnsi="Times New Roman" w:cs="Times New Roman"/>
          <w:lang w:val="sk-SK"/>
        </w:rPr>
        <w:t>hypoperfúzie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sa 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nemá používať na liečbu </w:t>
      </w:r>
      <w:proofErr w:type="spellStart"/>
      <w:r w:rsidRPr="001340C5">
        <w:rPr>
          <w:rFonts w:ascii="Times New Roman" w:hAnsi="Times New Roman" w:cs="Times New Roman"/>
          <w:lang w:val="sk-SK"/>
        </w:rPr>
        <w:t>gestačného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edému, </w:t>
      </w:r>
      <w:proofErr w:type="spellStart"/>
      <w:r w:rsidRPr="001340C5">
        <w:rPr>
          <w:rFonts w:ascii="Times New Roman" w:hAnsi="Times New Roman" w:cs="Times New Roman"/>
          <w:lang w:val="sk-SK"/>
        </w:rPr>
        <w:t>gestačnej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hypertenzie alebo </w:t>
      </w:r>
      <w:proofErr w:type="spellStart"/>
      <w:r w:rsidRPr="001340C5">
        <w:rPr>
          <w:rFonts w:ascii="Times New Roman" w:hAnsi="Times New Roman" w:cs="Times New Roman"/>
          <w:lang w:val="sk-SK"/>
        </w:rPr>
        <w:t>preeklampsie</w:t>
      </w:r>
      <w:proofErr w:type="spellEnd"/>
      <w:r w:rsidRPr="001340C5">
        <w:rPr>
          <w:rFonts w:ascii="Times New Roman" w:hAnsi="Times New Roman" w:cs="Times New Roman"/>
          <w:lang w:val="sk-SK"/>
        </w:rPr>
        <w:t>, bez priaznivé</w:t>
      </w:r>
      <w:r w:rsidR="00A9590F" w:rsidRPr="001340C5">
        <w:rPr>
          <w:rFonts w:ascii="Times New Roman" w:hAnsi="Times New Roman" w:cs="Times New Roman"/>
          <w:lang w:val="sk-SK"/>
        </w:rPr>
        <w:t>ho vplyvu na priebeh ochorenia.</w:t>
      </w:r>
    </w:p>
    <w:p w:rsidR="00A9590F" w:rsidRPr="001340C5" w:rsidRDefault="00A9590F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6B50DC" w:rsidRPr="001340C5" w:rsidRDefault="006B50DC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 w:rsidRPr="001340C5">
        <w:rPr>
          <w:rFonts w:ascii="Times New Roman" w:hAnsi="Times New Roman" w:cs="Times New Roman"/>
          <w:lang w:val="sk-SK"/>
        </w:rPr>
        <w:t>Hydrochlorotiazid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sa nemá používať u tehotných žien na liečbu esenciálnej hypertenzie, s výnimkou </w:t>
      </w:r>
    </w:p>
    <w:p w:rsidR="006B50DC" w:rsidRPr="001340C5" w:rsidRDefault="006B50DC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>ojedinelých prípadov, kde by sa nemohla použiť žiadna iná liečba.</w:t>
      </w:r>
    </w:p>
    <w:p w:rsidR="00D86CDB" w:rsidRPr="001340C5" w:rsidRDefault="00D86CDB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593586" w:rsidRPr="001340C5" w:rsidRDefault="00593586" w:rsidP="00244BAB">
      <w:pPr>
        <w:spacing w:after="0"/>
        <w:jc w:val="both"/>
        <w:rPr>
          <w:rFonts w:ascii="Times New Roman" w:hAnsi="Times New Roman" w:cs="Times New Roman"/>
          <w:u w:val="single"/>
          <w:lang w:val="sk-SK"/>
        </w:rPr>
      </w:pPr>
      <w:r w:rsidRPr="001340C5">
        <w:rPr>
          <w:rFonts w:ascii="Times New Roman" w:hAnsi="Times New Roman" w:cs="Times New Roman"/>
          <w:u w:val="single"/>
          <w:lang w:val="sk-SK"/>
        </w:rPr>
        <w:t xml:space="preserve">Laktácia </w:t>
      </w:r>
    </w:p>
    <w:p w:rsidR="000C62D0" w:rsidRPr="001340C5" w:rsidRDefault="000C62D0" w:rsidP="00244BAB">
      <w:pPr>
        <w:spacing w:after="0"/>
        <w:jc w:val="both"/>
        <w:rPr>
          <w:rFonts w:ascii="Times New Roman" w:hAnsi="Times New Roman" w:cs="Times New Roman"/>
          <w:i/>
          <w:lang w:val="sk-SK"/>
        </w:rPr>
      </w:pPr>
      <w:proofErr w:type="spellStart"/>
      <w:r w:rsidRPr="001340C5">
        <w:rPr>
          <w:rFonts w:ascii="Times New Roman" w:hAnsi="Times New Roman" w:cs="Times New Roman"/>
          <w:i/>
          <w:lang w:val="sk-SK"/>
        </w:rPr>
        <w:t>Antagonisty</w:t>
      </w:r>
      <w:proofErr w:type="spellEnd"/>
      <w:r w:rsidRPr="001340C5">
        <w:rPr>
          <w:rFonts w:ascii="Times New Roman" w:hAnsi="Times New Roman" w:cs="Times New Roman"/>
          <w:i/>
          <w:lang w:val="sk-SK"/>
        </w:rPr>
        <w:t xml:space="preserve"> receptora pre </w:t>
      </w:r>
      <w:proofErr w:type="spellStart"/>
      <w:r w:rsidRPr="001340C5">
        <w:rPr>
          <w:rFonts w:ascii="Times New Roman" w:hAnsi="Times New Roman" w:cs="Times New Roman"/>
          <w:i/>
          <w:lang w:val="sk-SK"/>
        </w:rPr>
        <w:t>angiotenzín</w:t>
      </w:r>
      <w:proofErr w:type="spellEnd"/>
      <w:r w:rsidRPr="001340C5">
        <w:rPr>
          <w:rFonts w:ascii="Times New Roman" w:hAnsi="Times New Roman" w:cs="Times New Roman"/>
          <w:i/>
          <w:lang w:val="sk-SK"/>
        </w:rPr>
        <w:t xml:space="preserve"> II (</w:t>
      </w:r>
      <w:proofErr w:type="spellStart"/>
      <w:r w:rsidRPr="001340C5">
        <w:rPr>
          <w:rFonts w:ascii="Times New Roman" w:hAnsi="Times New Roman" w:cs="Times New Roman"/>
          <w:i/>
          <w:lang w:val="sk-SK"/>
        </w:rPr>
        <w:t>AIIRAs</w:t>
      </w:r>
      <w:proofErr w:type="spellEnd"/>
      <w:r w:rsidRPr="001340C5">
        <w:rPr>
          <w:rFonts w:ascii="Times New Roman" w:hAnsi="Times New Roman" w:cs="Times New Roman"/>
          <w:i/>
          <w:lang w:val="sk-SK"/>
        </w:rPr>
        <w:t>):</w:t>
      </w:r>
    </w:p>
    <w:p w:rsidR="000C62D0" w:rsidRPr="001340C5" w:rsidRDefault="000C62D0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Pretože nie sú dostupné žiadne informácie o použití </w:t>
      </w:r>
      <w:proofErr w:type="spellStart"/>
      <w:r w:rsidR="00B37EDA">
        <w:rPr>
          <w:rFonts w:ascii="Times New Roman" w:hAnsi="Times New Roman" w:cs="Times New Roman"/>
          <w:lang w:val="sk-SK"/>
        </w:rPr>
        <w:t>C</w:t>
      </w:r>
      <w:r w:rsidR="009300E6" w:rsidRPr="001340C5">
        <w:rPr>
          <w:rFonts w:ascii="Times New Roman" w:hAnsi="Times New Roman" w:cs="Times New Roman"/>
          <w:lang w:val="sk-SK"/>
        </w:rPr>
        <w:t>andesartanu</w:t>
      </w:r>
      <w:proofErr w:type="spellEnd"/>
      <w:r w:rsidR="009300E6" w:rsidRPr="001340C5">
        <w:rPr>
          <w:rFonts w:ascii="Times New Roman" w:hAnsi="Times New Roman" w:cs="Times New Roman"/>
          <w:lang w:val="sk-SK"/>
        </w:rPr>
        <w:t xml:space="preserve"> HC</w:t>
      </w:r>
      <w:r w:rsidR="005906EC">
        <w:rPr>
          <w:rFonts w:ascii="Times New Roman" w:hAnsi="Times New Roman" w:cs="Times New Roman"/>
          <w:lang w:val="sk-SK"/>
        </w:rPr>
        <w:t>T</w:t>
      </w:r>
      <w:r w:rsidR="009300E6"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B37EDA">
        <w:rPr>
          <w:rFonts w:ascii="Times New Roman" w:hAnsi="Times New Roman" w:cs="Times New Roman"/>
          <w:lang w:val="sk-SK"/>
        </w:rPr>
        <w:t>Swyssi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 počas dojčenia, </w:t>
      </w:r>
      <w:proofErr w:type="spellStart"/>
      <w:r w:rsidR="00B37EDA">
        <w:rPr>
          <w:rFonts w:ascii="Times New Roman" w:hAnsi="Times New Roman" w:cs="Times New Roman"/>
          <w:lang w:val="sk-SK"/>
        </w:rPr>
        <w:t>C</w:t>
      </w:r>
      <w:r w:rsidR="009300E6" w:rsidRPr="001340C5">
        <w:rPr>
          <w:rFonts w:ascii="Times New Roman" w:hAnsi="Times New Roman" w:cs="Times New Roman"/>
          <w:lang w:val="sk-SK"/>
        </w:rPr>
        <w:t>andesartan</w:t>
      </w:r>
      <w:proofErr w:type="spellEnd"/>
      <w:r w:rsidR="009300E6" w:rsidRPr="001340C5">
        <w:rPr>
          <w:rFonts w:ascii="Times New Roman" w:hAnsi="Times New Roman" w:cs="Times New Roman"/>
          <w:lang w:val="sk-SK"/>
        </w:rPr>
        <w:t xml:space="preserve"> HC</w:t>
      </w:r>
      <w:r w:rsidR="005906EC">
        <w:rPr>
          <w:rFonts w:ascii="Times New Roman" w:hAnsi="Times New Roman" w:cs="Times New Roman"/>
          <w:lang w:val="sk-SK"/>
        </w:rPr>
        <w:t>T</w:t>
      </w:r>
      <w:r w:rsidR="009300E6"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B37EDA">
        <w:rPr>
          <w:rFonts w:ascii="Times New Roman" w:hAnsi="Times New Roman" w:cs="Times New Roman"/>
          <w:lang w:val="sk-SK"/>
        </w:rPr>
        <w:t>Swyssi</w:t>
      </w:r>
      <w:proofErr w:type="spellEnd"/>
      <w:r w:rsidR="00256711" w:rsidRPr="001340C5">
        <w:rPr>
          <w:rFonts w:ascii="Times New Roman" w:hAnsi="Times New Roman" w:cs="Times New Roman"/>
          <w:lang w:val="sk-SK"/>
        </w:rPr>
        <w:t xml:space="preserve"> </w:t>
      </w:r>
      <w:r w:rsidRPr="001340C5">
        <w:rPr>
          <w:rFonts w:ascii="Times New Roman" w:hAnsi="Times New Roman" w:cs="Times New Roman"/>
          <w:lang w:val="sk-SK"/>
        </w:rPr>
        <w:t>sa neodporúča a alternatívne liečby s lepšie stanovenými bezpečnostnými profilmi počas dojčenia sú vhodnejšie, obzvlášť pri dojčení novorodenca alebo predčasne narodeného dieťaťa.</w:t>
      </w:r>
    </w:p>
    <w:p w:rsidR="000C62D0" w:rsidRPr="001340C5" w:rsidRDefault="000C62D0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0C62D0" w:rsidRPr="001340C5" w:rsidRDefault="000C62D0" w:rsidP="00244BAB">
      <w:pPr>
        <w:spacing w:after="0"/>
        <w:jc w:val="both"/>
        <w:rPr>
          <w:rFonts w:ascii="Times New Roman" w:hAnsi="Times New Roman" w:cs="Times New Roman"/>
          <w:i/>
          <w:lang w:val="sk-SK"/>
        </w:rPr>
      </w:pPr>
      <w:proofErr w:type="spellStart"/>
      <w:r w:rsidRPr="001340C5">
        <w:rPr>
          <w:rFonts w:ascii="Times New Roman" w:hAnsi="Times New Roman" w:cs="Times New Roman"/>
          <w:i/>
          <w:lang w:val="sk-SK"/>
        </w:rPr>
        <w:t>Hydrochlorotiazid</w:t>
      </w:r>
      <w:proofErr w:type="spellEnd"/>
      <w:r w:rsidRPr="001340C5">
        <w:rPr>
          <w:rFonts w:ascii="Times New Roman" w:hAnsi="Times New Roman" w:cs="Times New Roman"/>
          <w:i/>
          <w:lang w:val="sk-SK"/>
        </w:rPr>
        <w:t>:</w:t>
      </w:r>
    </w:p>
    <w:p w:rsidR="00D86CDB" w:rsidRPr="001340C5" w:rsidRDefault="000C62D0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 w:rsidRPr="001340C5">
        <w:rPr>
          <w:rFonts w:ascii="Times New Roman" w:hAnsi="Times New Roman" w:cs="Times New Roman"/>
          <w:lang w:val="sk-SK"/>
        </w:rPr>
        <w:t>Hydrochlorotiazid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sa vylučuje v malom množstve do materského mlieka. </w:t>
      </w:r>
      <w:proofErr w:type="spellStart"/>
      <w:r w:rsidRPr="001340C5">
        <w:rPr>
          <w:rFonts w:ascii="Times New Roman" w:hAnsi="Times New Roman" w:cs="Times New Roman"/>
          <w:lang w:val="sk-SK"/>
        </w:rPr>
        <w:t>Tiazidy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vo vyšších dávkach spôsobujúce intenzívnu </w:t>
      </w:r>
      <w:proofErr w:type="spellStart"/>
      <w:r w:rsidRPr="001340C5">
        <w:rPr>
          <w:rFonts w:ascii="Times New Roman" w:hAnsi="Times New Roman" w:cs="Times New Roman"/>
          <w:lang w:val="sk-SK"/>
        </w:rPr>
        <w:t>diurézu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môžu </w:t>
      </w:r>
      <w:proofErr w:type="spellStart"/>
      <w:r w:rsidRPr="001340C5">
        <w:rPr>
          <w:rFonts w:ascii="Times New Roman" w:hAnsi="Times New Roman" w:cs="Times New Roman"/>
          <w:lang w:val="sk-SK"/>
        </w:rPr>
        <w:t>inhibovať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produkciu mlieka. Použitie </w:t>
      </w:r>
      <w:proofErr w:type="spellStart"/>
      <w:r w:rsidR="00B37EDA">
        <w:rPr>
          <w:rFonts w:ascii="Times New Roman" w:hAnsi="Times New Roman" w:cs="Times New Roman"/>
          <w:lang w:val="sk-SK"/>
        </w:rPr>
        <w:t>Candesartanu</w:t>
      </w:r>
      <w:proofErr w:type="spellEnd"/>
      <w:r w:rsidR="00B37EDA">
        <w:rPr>
          <w:rFonts w:ascii="Times New Roman" w:hAnsi="Times New Roman" w:cs="Times New Roman"/>
          <w:lang w:val="sk-SK"/>
        </w:rPr>
        <w:t xml:space="preserve"> HC</w:t>
      </w:r>
      <w:r w:rsidR="005906EC">
        <w:rPr>
          <w:rFonts w:ascii="Times New Roman" w:hAnsi="Times New Roman" w:cs="Times New Roman"/>
          <w:lang w:val="sk-SK"/>
        </w:rPr>
        <w:t>T</w:t>
      </w:r>
      <w:r w:rsidR="00B37EDA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B37EDA">
        <w:rPr>
          <w:rFonts w:ascii="Times New Roman" w:hAnsi="Times New Roman" w:cs="Times New Roman"/>
          <w:lang w:val="sk-SK"/>
        </w:rPr>
        <w:t>Swyssi</w:t>
      </w:r>
      <w:proofErr w:type="spellEnd"/>
      <w:r w:rsidR="00256711" w:rsidRPr="001340C5">
        <w:rPr>
          <w:rFonts w:ascii="Times New Roman" w:hAnsi="Times New Roman" w:cs="Times New Roman"/>
          <w:lang w:val="sk-SK"/>
        </w:rPr>
        <w:t xml:space="preserve"> </w:t>
      </w:r>
      <w:r w:rsidRPr="001340C5">
        <w:rPr>
          <w:rFonts w:ascii="Times New Roman" w:hAnsi="Times New Roman" w:cs="Times New Roman"/>
          <w:lang w:val="sk-SK"/>
        </w:rPr>
        <w:t>v p</w:t>
      </w:r>
      <w:r w:rsidR="00314B42" w:rsidRPr="001340C5">
        <w:rPr>
          <w:rFonts w:ascii="Times New Roman" w:hAnsi="Times New Roman" w:cs="Times New Roman"/>
          <w:lang w:val="sk-SK"/>
        </w:rPr>
        <w:t>riebehu dojčenia sa neodporúča.</w:t>
      </w:r>
    </w:p>
    <w:p w:rsidR="000D6301" w:rsidRPr="001340C5" w:rsidRDefault="000D6301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E6085C" w:rsidRPr="001340C5" w:rsidRDefault="009335A1" w:rsidP="00244BAB">
      <w:pPr>
        <w:spacing w:after="0"/>
        <w:jc w:val="both"/>
        <w:rPr>
          <w:rFonts w:ascii="Times New Roman" w:hAnsi="Times New Roman" w:cs="Times New Roman"/>
          <w:i/>
          <w:u w:val="single"/>
          <w:lang w:val="sk-SK"/>
        </w:rPr>
      </w:pPr>
      <w:proofErr w:type="spellStart"/>
      <w:r w:rsidRPr="009335A1">
        <w:rPr>
          <w:rFonts w:ascii="Times New Roman" w:hAnsi="Times New Roman" w:cs="Times New Roman"/>
          <w:i/>
          <w:u w:val="single"/>
          <w:lang w:val="sk-SK"/>
        </w:rPr>
        <w:t>Fertilita</w:t>
      </w:r>
      <w:proofErr w:type="spellEnd"/>
      <w:r w:rsidRPr="009335A1">
        <w:rPr>
          <w:rFonts w:ascii="Times New Roman" w:hAnsi="Times New Roman" w:cs="Times New Roman"/>
          <w:i/>
          <w:u w:val="single"/>
          <w:lang w:val="sk-SK"/>
        </w:rPr>
        <w:t xml:space="preserve"> </w:t>
      </w:r>
    </w:p>
    <w:p w:rsidR="00D86CDB" w:rsidRPr="001340C5" w:rsidRDefault="009335A1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9335A1">
        <w:rPr>
          <w:rFonts w:ascii="Times New Roman" w:hAnsi="Times New Roman" w:cs="Times New Roman"/>
          <w:lang w:val="sk-SK"/>
        </w:rPr>
        <w:t xml:space="preserve">K dispozícii nie sú údaje o účinkoch </w:t>
      </w:r>
      <w:proofErr w:type="spellStart"/>
      <w:r w:rsidRPr="009335A1">
        <w:rPr>
          <w:rFonts w:ascii="Times New Roman" w:hAnsi="Times New Roman" w:cs="Times New Roman"/>
          <w:lang w:val="sk-SK"/>
        </w:rPr>
        <w:t>kandesartan</w:t>
      </w:r>
      <w:r w:rsidR="00256711" w:rsidRPr="001340C5">
        <w:rPr>
          <w:rFonts w:ascii="Times New Roman" w:hAnsi="Times New Roman" w:cs="Times New Roman"/>
          <w:lang w:val="sk-SK"/>
        </w:rPr>
        <w:t>u</w:t>
      </w:r>
      <w:proofErr w:type="spellEnd"/>
      <w:r w:rsidRPr="009335A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9335A1">
        <w:rPr>
          <w:rFonts w:ascii="Times New Roman" w:hAnsi="Times New Roman" w:cs="Times New Roman"/>
          <w:lang w:val="sk-SK"/>
        </w:rPr>
        <w:t>cilexetilu</w:t>
      </w:r>
      <w:proofErr w:type="spellEnd"/>
      <w:r w:rsidRPr="009335A1">
        <w:rPr>
          <w:rFonts w:ascii="Times New Roman" w:hAnsi="Times New Roman" w:cs="Times New Roman"/>
          <w:lang w:val="sk-SK"/>
        </w:rPr>
        <w:t>/</w:t>
      </w:r>
      <w:proofErr w:type="spellStart"/>
      <w:r w:rsidRPr="009335A1">
        <w:rPr>
          <w:rFonts w:ascii="Times New Roman" w:hAnsi="Times New Roman" w:cs="Times New Roman"/>
          <w:lang w:val="sk-SK"/>
        </w:rPr>
        <w:t>hydrochlorotiazidu</w:t>
      </w:r>
      <w:proofErr w:type="spellEnd"/>
      <w:r w:rsidRPr="009335A1">
        <w:rPr>
          <w:rFonts w:ascii="Times New Roman" w:hAnsi="Times New Roman" w:cs="Times New Roman"/>
          <w:lang w:val="sk-SK"/>
        </w:rPr>
        <w:t xml:space="preserve"> na </w:t>
      </w:r>
      <w:proofErr w:type="spellStart"/>
      <w:r w:rsidRPr="009335A1">
        <w:rPr>
          <w:rFonts w:ascii="Times New Roman" w:hAnsi="Times New Roman" w:cs="Times New Roman"/>
          <w:lang w:val="sk-SK"/>
        </w:rPr>
        <w:t>fertilitu</w:t>
      </w:r>
      <w:proofErr w:type="spellEnd"/>
      <w:r w:rsidRPr="009335A1">
        <w:rPr>
          <w:rFonts w:ascii="Times New Roman" w:hAnsi="Times New Roman" w:cs="Times New Roman"/>
          <w:lang w:val="sk-SK"/>
        </w:rPr>
        <w:t xml:space="preserve"> u ľudí.</w:t>
      </w:r>
    </w:p>
    <w:p w:rsidR="00E6085C" w:rsidRPr="001340C5" w:rsidRDefault="00E6085C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D86CDB" w:rsidRPr="001340C5" w:rsidRDefault="007856E1" w:rsidP="004F5AE8">
      <w:pPr>
        <w:pStyle w:val="Odsekzoznamu"/>
        <w:numPr>
          <w:ilvl w:val="1"/>
          <w:numId w:val="19"/>
        </w:numPr>
        <w:spacing w:after="0"/>
        <w:ind w:left="567" w:hanging="567"/>
        <w:jc w:val="both"/>
        <w:rPr>
          <w:rFonts w:ascii="Times New Roman" w:hAnsi="Times New Roman" w:cs="Times New Roman"/>
          <w:b/>
          <w:lang w:val="sk-SK"/>
        </w:rPr>
      </w:pPr>
      <w:r w:rsidRPr="001340C5">
        <w:rPr>
          <w:rFonts w:ascii="Times New Roman" w:hAnsi="Times New Roman" w:cs="Times New Roman"/>
          <w:b/>
          <w:lang w:val="sk-SK"/>
        </w:rPr>
        <w:t>Ovplyvnenie schopnosti viesť vozidlá a obsluhovať stroje</w:t>
      </w:r>
    </w:p>
    <w:p w:rsidR="00D451D7" w:rsidRPr="001340C5" w:rsidRDefault="00D451D7" w:rsidP="00244BAB">
      <w:pPr>
        <w:spacing w:after="0"/>
        <w:jc w:val="both"/>
        <w:rPr>
          <w:rFonts w:ascii="Times New Roman" w:hAnsi="Times New Roman" w:cs="Times New Roman"/>
          <w:b/>
          <w:lang w:val="sk-SK"/>
        </w:rPr>
      </w:pPr>
    </w:p>
    <w:p w:rsidR="00D451D7" w:rsidRPr="001340C5" w:rsidRDefault="00F93EAF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>Nevykonali sa žiadne štúdie na schopnosť viesť vozidlá a obsluhovať stroje. Pri vedení vozidiel alebo obsluhe strojov treba vziať do úvahy, ž</w:t>
      </w:r>
      <w:r w:rsidR="00B37EDA">
        <w:rPr>
          <w:rFonts w:ascii="Times New Roman" w:hAnsi="Times New Roman" w:cs="Times New Roman"/>
          <w:lang w:val="sk-SK"/>
        </w:rPr>
        <w:t xml:space="preserve">e počas liečby s </w:t>
      </w:r>
      <w:proofErr w:type="spellStart"/>
      <w:r w:rsidR="00B37EDA">
        <w:rPr>
          <w:rFonts w:ascii="Times New Roman" w:hAnsi="Times New Roman" w:cs="Times New Roman"/>
          <w:lang w:val="sk-SK"/>
        </w:rPr>
        <w:t>C</w:t>
      </w:r>
      <w:r w:rsidRPr="001340C5">
        <w:rPr>
          <w:rFonts w:ascii="Times New Roman" w:hAnsi="Times New Roman" w:cs="Times New Roman"/>
          <w:lang w:val="sk-SK"/>
        </w:rPr>
        <w:t>andesartanom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HC</w:t>
      </w:r>
      <w:r w:rsidR="005906EC">
        <w:rPr>
          <w:rFonts w:ascii="Times New Roman" w:hAnsi="Times New Roman" w:cs="Times New Roman"/>
          <w:lang w:val="sk-SK"/>
        </w:rPr>
        <w:t>T</w:t>
      </w:r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B37EDA">
        <w:rPr>
          <w:rFonts w:ascii="Times New Roman" w:hAnsi="Times New Roman" w:cs="Times New Roman"/>
          <w:lang w:val="sk-SK"/>
        </w:rPr>
        <w:t>Swyssi</w:t>
      </w:r>
      <w:proofErr w:type="spellEnd"/>
      <w:r w:rsidR="00256711" w:rsidRPr="001340C5">
        <w:rPr>
          <w:rFonts w:ascii="Times New Roman" w:hAnsi="Times New Roman" w:cs="Times New Roman"/>
          <w:lang w:val="sk-SK"/>
        </w:rPr>
        <w:t xml:space="preserve"> </w:t>
      </w:r>
      <w:r w:rsidRPr="001340C5">
        <w:rPr>
          <w:rFonts w:ascii="Times New Roman" w:hAnsi="Times New Roman" w:cs="Times New Roman"/>
          <w:lang w:val="sk-SK"/>
        </w:rPr>
        <w:t xml:space="preserve">sa môže príležitostne vyskytnúť závrat alebo pocit únavy.  </w:t>
      </w:r>
    </w:p>
    <w:p w:rsidR="00D451D7" w:rsidRPr="001340C5" w:rsidRDefault="00D451D7" w:rsidP="009141B8">
      <w:pPr>
        <w:spacing w:after="0"/>
        <w:ind w:left="567" w:hanging="567"/>
        <w:jc w:val="both"/>
        <w:rPr>
          <w:rFonts w:ascii="Times New Roman" w:hAnsi="Times New Roman" w:cs="Times New Roman"/>
          <w:lang w:val="sk-SK"/>
        </w:rPr>
      </w:pPr>
    </w:p>
    <w:p w:rsidR="00D451D7" w:rsidRPr="001340C5" w:rsidRDefault="00AF7BB1" w:rsidP="004F5AE8">
      <w:pPr>
        <w:pStyle w:val="Odsekzoznamu"/>
        <w:numPr>
          <w:ilvl w:val="1"/>
          <w:numId w:val="19"/>
        </w:numPr>
        <w:spacing w:after="0"/>
        <w:ind w:left="567" w:hanging="567"/>
        <w:jc w:val="both"/>
        <w:rPr>
          <w:rFonts w:ascii="Times New Roman" w:hAnsi="Times New Roman" w:cs="Times New Roman"/>
          <w:b/>
          <w:lang w:val="sk-SK"/>
        </w:rPr>
      </w:pPr>
      <w:r w:rsidRPr="001340C5">
        <w:rPr>
          <w:rFonts w:ascii="Times New Roman" w:hAnsi="Times New Roman" w:cs="Times New Roman"/>
          <w:b/>
          <w:lang w:val="sk-SK"/>
        </w:rPr>
        <w:t>Nežiaduce účinky</w:t>
      </w:r>
    </w:p>
    <w:p w:rsidR="000F334C" w:rsidRPr="001340C5" w:rsidRDefault="000F334C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000BB7" w:rsidRPr="001340C5" w:rsidRDefault="00000BB7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V kontrolovaných klinických skúšaniach s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kandesartanom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cilexetilom</w:t>
      </w:r>
      <w:proofErr w:type="spellEnd"/>
      <w:r w:rsidRPr="001340C5">
        <w:rPr>
          <w:rFonts w:ascii="Times New Roman" w:hAnsi="Times New Roman" w:cs="Times New Roman"/>
          <w:lang w:val="sk-SK"/>
        </w:rPr>
        <w:t>/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hydrochlorotiazidom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boli nežiaduce účinky mierne a prechodné. Výskyt prípadov prerušenia liečby v dôsledku nežiaducich účinkov bol pri kombinácii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cilexetil</w:t>
      </w:r>
      <w:proofErr w:type="spellEnd"/>
      <w:r w:rsidRPr="001340C5">
        <w:rPr>
          <w:rFonts w:ascii="Times New Roman" w:hAnsi="Times New Roman" w:cs="Times New Roman"/>
          <w:lang w:val="sk-SK"/>
        </w:rPr>
        <w:t>/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(2,3 - 3,3 %) podobný ako pri placebe (2,7 – 4,3 %).</w:t>
      </w:r>
    </w:p>
    <w:p w:rsidR="00000BB7" w:rsidRPr="001340C5" w:rsidRDefault="00000BB7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lastRenderedPageBreak/>
        <w:t xml:space="preserve">Nežiaduce účinky získané z klinických štúdií s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kandesartanom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cilexetilom</w:t>
      </w:r>
      <w:proofErr w:type="spellEnd"/>
      <w:r w:rsidRPr="001340C5">
        <w:rPr>
          <w:rFonts w:ascii="Times New Roman" w:hAnsi="Times New Roman" w:cs="Times New Roman"/>
          <w:lang w:val="sk-SK"/>
        </w:rPr>
        <w:t>/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hydrochlorotiazidom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boli limitované na tie, ktoré boli predtým hlásené pri samotnom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kandesartane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cilexetile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a/alebo 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hydrochlorotiazide</w:t>
      </w:r>
      <w:proofErr w:type="spellEnd"/>
      <w:r w:rsidRPr="001340C5">
        <w:rPr>
          <w:rFonts w:ascii="Times New Roman" w:hAnsi="Times New Roman" w:cs="Times New Roman"/>
          <w:lang w:val="sk-SK"/>
        </w:rPr>
        <w:t>.</w:t>
      </w:r>
    </w:p>
    <w:p w:rsidR="00000BB7" w:rsidRPr="001340C5" w:rsidRDefault="00000BB7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000BB7" w:rsidRPr="001340C5" w:rsidRDefault="00000BB7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Tabuľka nižšie uvádza nežiaduce reakcie z klinických skúšaní a z hlásení po uvedení lieku na trh. </w:t>
      </w:r>
    </w:p>
    <w:p w:rsidR="00000BB7" w:rsidRPr="001340C5" w:rsidRDefault="00000BB7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V súhrnnej analýze údajov z klinických skúšaní u pacientov s hypertenziou boli nežiaduce reakcie s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kandesartanom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cilexetilom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definované na základe výskytu nežiaducich udalostí s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kandesartanom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cilexetilom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najmenej o 1 % vyšším ako u placeba.</w:t>
      </w:r>
    </w:p>
    <w:p w:rsidR="00000BB7" w:rsidRPr="001340C5" w:rsidRDefault="00000BB7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000BB7" w:rsidRPr="001340C5" w:rsidRDefault="00000BB7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>Frekvencie výskytu použité v tabuľkách v rámci časti 4.8 sú: veľmi časté (≥1/10), časté (≥1/100 až &lt;1/10), menej časté (≥1/1000 až &lt;1/100), zriedkavé (≥1/10 000 až &lt;1/1000) a veľmi zriedkavé (&lt;1/10 000) a neznáme (z dostupných údajov).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1440"/>
        <w:gridCol w:w="3780"/>
      </w:tblGrid>
      <w:tr w:rsidR="002F0A97" w:rsidRPr="001340C5" w:rsidTr="005B2A19">
        <w:trPr>
          <w:tblHeader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97" w:rsidRPr="001340C5" w:rsidRDefault="002F0A97" w:rsidP="00244BAB">
            <w:pPr>
              <w:pStyle w:val="Zarkazkladnhotextu"/>
              <w:tabs>
                <w:tab w:val="left" w:pos="3119"/>
              </w:tabs>
              <w:ind w:left="0" w:right="-2"/>
              <w:rPr>
                <w:b/>
                <w:bCs/>
              </w:rPr>
            </w:pPr>
            <w:r w:rsidRPr="001340C5">
              <w:rPr>
                <w:b/>
                <w:bCs/>
              </w:rPr>
              <w:t>Trieda orgánových systémov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97" w:rsidRPr="001340C5" w:rsidRDefault="002F0A97" w:rsidP="00244BAB">
            <w:pPr>
              <w:pStyle w:val="Zarkazkladnhotextu"/>
              <w:tabs>
                <w:tab w:val="left" w:pos="3119"/>
              </w:tabs>
              <w:ind w:left="0" w:right="-2"/>
            </w:pPr>
            <w:r w:rsidRPr="001340C5">
              <w:rPr>
                <w:b/>
                <w:bCs/>
              </w:rPr>
              <w:t>Frekvencia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97" w:rsidRPr="001340C5" w:rsidRDefault="002F0A97" w:rsidP="00244BAB">
            <w:pPr>
              <w:pStyle w:val="Zarkazkladnhotextu"/>
              <w:tabs>
                <w:tab w:val="left" w:pos="3119"/>
              </w:tabs>
              <w:ind w:left="0" w:right="-2"/>
            </w:pPr>
            <w:r w:rsidRPr="001340C5">
              <w:rPr>
                <w:b/>
                <w:bCs/>
              </w:rPr>
              <w:t>Nežiaduci účinok</w:t>
            </w:r>
          </w:p>
        </w:tc>
      </w:tr>
      <w:tr w:rsidR="002F0A97" w:rsidRPr="001340C5" w:rsidTr="005B2A19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97" w:rsidRPr="001340C5" w:rsidRDefault="002F0A97" w:rsidP="00244BAB">
            <w:pPr>
              <w:spacing w:after="0"/>
              <w:jc w:val="both"/>
              <w:rPr>
                <w:rFonts w:ascii="Times New Roman" w:hAnsi="Times New Roman" w:cs="Times New Roman"/>
                <w:lang w:val="sk-SK"/>
              </w:rPr>
            </w:pPr>
            <w:r w:rsidRPr="001340C5">
              <w:rPr>
                <w:rFonts w:ascii="Times New Roman" w:hAnsi="Times New Roman" w:cs="Times New Roman"/>
                <w:lang w:val="sk-SK"/>
              </w:rPr>
              <w:t>Infekcie a nákazy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97" w:rsidRPr="001340C5" w:rsidRDefault="002F0A97" w:rsidP="00244BAB">
            <w:pPr>
              <w:pStyle w:val="Zarkazkladnhotextu"/>
              <w:tabs>
                <w:tab w:val="left" w:pos="3119"/>
              </w:tabs>
              <w:ind w:left="0" w:right="-2"/>
            </w:pPr>
            <w:r w:rsidRPr="001340C5">
              <w:t>Časté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97" w:rsidRPr="001340C5" w:rsidRDefault="002F0A97" w:rsidP="00244BAB">
            <w:pPr>
              <w:pStyle w:val="Zarkazkladnhotextu"/>
              <w:tabs>
                <w:tab w:val="left" w:pos="3119"/>
              </w:tabs>
              <w:ind w:left="0" w:right="-2"/>
            </w:pPr>
            <w:r w:rsidRPr="001340C5">
              <w:t>Respiračné infekcie</w:t>
            </w:r>
          </w:p>
        </w:tc>
      </w:tr>
      <w:tr w:rsidR="002F0A97" w:rsidRPr="001340C5" w:rsidTr="005B2A19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97" w:rsidRPr="001340C5" w:rsidRDefault="002F0A97" w:rsidP="00244BAB">
            <w:pPr>
              <w:pStyle w:val="Zarkazkladnhotextu"/>
              <w:tabs>
                <w:tab w:val="left" w:pos="3119"/>
              </w:tabs>
              <w:ind w:left="0" w:right="-2"/>
            </w:pPr>
            <w:r w:rsidRPr="001340C5">
              <w:t>Poruchy krvi a lymfatického systému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97" w:rsidRPr="001340C5" w:rsidRDefault="002F0A97" w:rsidP="00244BAB">
            <w:pPr>
              <w:pStyle w:val="Zarkazkladnhotextu"/>
              <w:tabs>
                <w:tab w:val="left" w:pos="3119"/>
              </w:tabs>
              <w:ind w:left="0" w:right="-2"/>
            </w:pPr>
            <w:r w:rsidRPr="001340C5">
              <w:t>Veľmi zriedkavé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97" w:rsidRPr="001340C5" w:rsidRDefault="002F0A97" w:rsidP="00244BAB">
            <w:pPr>
              <w:pStyle w:val="Zarkazkladnhotextu"/>
              <w:tabs>
                <w:tab w:val="left" w:pos="3119"/>
              </w:tabs>
              <w:ind w:left="0" w:right="-2"/>
            </w:pPr>
            <w:proofErr w:type="spellStart"/>
            <w:r w:rsidRPr="001340C5">
              <w:t>Leukopénia</w:t>
            </w:r>
            <w:proofErr w:type="spellEnd"/>
            <w:r w:rsidRPr="001340C5">
              <w:t xml:space="preserve">, </w:t>
            </w:r>
            <w:proofErr w:type="spellStart"/>
            <w:r w:rsidRPr="001340C5">
              <w:t>neutropénia</w:t>
            </w:r>
            <w:proofErr w:type="spellEnd"/>
            <w:r w:rsidRPr="001340C5">
              <w:t xml:space="preserve"> a </w:t>
            </w:r>
            <w:proofErr w:type="spellStart"/>
            <w:r w:rsidRPr="001340C5">
              <w:t>agranulocytóza</w:t>
            </w:r>
            <w:proofErr w:type="spellEnd"/>
          </w:p>
        </w:tc>
      </w:tr>
      <w:tr w:rsidR="002F0A97" w:rsidRPr="001340C5" w:rsidTr="005B2A19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97" w:rsidRPr="001340C5" w:rsidRDefault="002F0A97" w:rsidP="00244BAB">
            <w:pPr>
              <w:pStyle w:val="Zarkazkladnhotextu"/>
              <w:tabs>
                <w:tab w:val="left" w:pos="3119"/>
              </w:tabs>
              <w:ind w:left="0" w:right="-2"/>
            </w:pPr>
            <w:r w:rsidRPr="001340C5">
              <w:t xml:space="preserve">Poruchy metabolizmu </w:t>
            </w:r>
          </w:p>
          <w:p w:rsidR="002F0A97" w:rsidRPr="001340C5" w:rsidRDefault="002F0A97" w:rsidP="00244BAB">
            <w:pPr>
              <w:pStyle w:val="Zarkazkladnhotextu"/>
              <w:tabs>
                <w:tab w:val="left" w:pos="3119"/>
              </w:tabs>
              <w:ind w:left="0" w:right="-2"/>
            </w:pPr>
            <w:r w:rsidRPr="001340C5">
              <w:t>a výživy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97" w:rsidRPr="001340C5" w:rsidRDefault="002F0A97" w:rsidP="00244BAB">
            <w:pPr>
              <w:pStyle w:val="Zarkazkladnhotextu"/>
              <w:tabs>
                <w:tab w:val="left" w:pos="3119"/>
              </w:tabs>
              <w:ind w:left="0" w:right="-2"/>
            </w:pPr>
            <w:r w:rsidRPr="001340C5">
              <w:t>Veľmi zriedkavé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97" w:rsidRPr="001340C5" w:rsidRDefault="002F0A97" w:rsidP="00244BAB">
            <w:pPr>
              <w:pStyle w:val="Zarkazkladnhotextu"/>
              <w:tabs>
                <w:tab w:val="left" w:pos="3119"/>
              </w:tabs>
              <w:ind w:left="0" w:right="-2"/>
            </w:pPr>
            <w:proofErr w:type="spellStart"/>
            <w:r w:rsidRPr="001340C5">
              <w:t>Hyperkaliémia</w:t>
            </w:r>
            <w:proofErr w:type="spellEnd"/>
            <w:r w:rsidRPr="001340C5">
              <w:t xml:space="preserve">, </w:t>
            </w:r>
            <w:proofErr w:type="spellStart"/>
            <w:r w:rsidRPr="001340C5">
              <w:t>hyponatriémia</w:t>
            </w:r>
            <w:proofErr w:type="spellEnd"/>
          </w:p>
        </w:tc>
      </w:tr>
      <w:tr w:rsidR="002F0A97" w:rsidRPr="001340C5" w:rsidTr="005B2A19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97" w:rsidRPr="001340C5" w:rsidRDefault="002F0A97" w:rsidP="00244BAB">
            <w:pPr>
              <w:pStyle w:val="Zarkazkladnhotextu"/>
              <w:tabs>
                <w:tab w:val="left" w:pos="3119"/>
              </w:tabs>
              <w:ind w:left="0" w:right="-2"/>
            </w:pPr>
            <w:r w:rsidRPr="001340C5">
              <w:t>Poruchy nervového systému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97" w:rsidRPr="001340C5" w:rsidRDefault="002F0A97" w:rsidP="00244BAB">
            <w:pPr>
              <w:pStyle w:val="Zarkazkladnhotextu"/>
              <w:tabs>
                <w:tab w:val="left" w:pos="3119"/>
              </w:tabs>
              <w:ind w:left="0" w:right="-2"/>
            </w:pPr>
            <w:r w:rsidRPr="001340C5">
              <w:t>Časté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97" w:rsidRPr="001340C5" w:rsidRDefault="002F0A97" w:rsidP="00244BAB">
            <w:pPr>
              <w:pStyle w:val="Zarkazkladnhotextu"/>
              <w:tabs>
                <w:tab w:val="left" w:pos="3119"/>
              </w:tabs>
              <w:ind w:left="0" w:right="-2"/>
            </w:pPr>
            <w:r w:rsidRPr="001340C5">
              <w:t>Závraty/</w:t>
            </w:r>
            <w:proofErr w:type="spellStart"/>
            <w:r w:rsidRPr="001340C5">
              <w:t>vertigo</w:t>
            </w:r>
            <w:proofErr w:type="spellEnd"/>
            <w:r w:rsidRPr="001340C5">
              <w:t>, bolesť hlavy</w:t>
            </w:r>
          </w:p>
        </w:tc>
      </w:tr>
      <w:tr w:rsidR="002F0A97" w:rsidRPr="001340C5" w:rsidTr="005B2A19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97" w:rsidRPr="001340C5" w:rsidRDefault="002F0A97" w:rsidP="00244BAB">
            <w:pPr>
              <w:spacing w:after="0"/>
              <w:jc w:val="both"/>
              <w:rPr>
                <w:rFonts w:ascii="Times New Roman" w:hAnsi="Times New Roman" w:cs="Times New Roman"/>
                <w:lang w:val="sk-SK"/>
              </w:rPr>
            </w:pPr>
            <w:r w:rsidRPr="001340C5">
              <w:rPr>
                <w:rFonts w:ascii="Times New Roman" w:hAnsi="Times New Roman" w:cs="Times New Roman"/>
                <w:lang w:val="sk-SK"/>
              </w:rPr>
              <w:t xml:space="preserve">Poruchy dýchacej sústavy, hrudníka a </w:t>
            </w:r>
            <w:proofErr w:type="spellStart"/>
            <w:r w:rsidRPr="001340C5">
              <w:rPr>
                <w:rFonts w:ascii="Times New Roman" w:hAnsi="Times New Roman" w:cs="Times New Roman"/>
                <w:lang w:val="sk-SK"/>
              </w:rPr>
              <w:t>mediastína</w:t>
            </w:r>
            <w:proofErr w:type="spellEnd"/>
            <w:r w:rsidRPr="001340C5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97" w:rsidRPr="001340C5" w:rsidRDefault="002F0A97" w:rsidP="00244BAB">
            <w:pPr>
              <w:spacing w:after="0"/>
              <w:jc w:val="both"/>
              <w:rPr>
                <w:rFonts w:ascii="Times New Roman" w:hAnsi="Times New Roman" w:cs="Times New Roman"/>
                <w:lang w:val="sk-SK"/>
              </w:rPr>
            </w:pPr>
            <w:r w:rsidRPr="001340C5">
              <w:rPr>
                <w:rFonts w:ascii="Times New Roman" w:hAnsi="Times New Roman" w:cs="Times New Roman"/>
                <w:lang w:val="sk-SK"/>
              </w:rPr>
              <w:t>Veľmi zriedkavé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97" w:rsidRPr="001340C5" w:rsidRDefault="002F0A97" w:rsidP="00244BAB">
            <w:pPr>
              <w:spacing w:after="0"/>
              <w:jc w:val="both"/>
              <w:rPr>
                <w:rFonts w:ascii="Times New Roman" w:hAnsi="Times New Roman" w:cs="Times New Roman"/>
                <w:lang w:val="sk-SK"/>
              </w:rPr>
            </w:pPr>
            <w:r w:rsidRPr="001340C5">
              <w:rPr>
                <w:rFonts w:ascii="Times New Roman" w:hAnsi="Times New Roman" w:cs="Times New Roman"/>
                <w:lang w:val="sk-SK"/>
              </w:rPr>
              <w:t>Kašeľ</w:t>
            </w:r>
          </w:p>
        </w:tc>
      </w:tr>
      <w:tr w:rsidR="002F0A97" w:rsidRPr="001340C5" w:rsidTr="005B2A19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97" w:rsidRPr="001340C5" w:rsidRDefault="002F0A97" w:rsidP="00244BAB">
            <w:pPr>
              <w:pStyle w:val="Zarkazkladnhotextu"/>
              <w:tabs>
                <w:tab w:val="left" w:pos="3119"/>
              </w:tabs>
              <w:ind w:left="0" w:right="-2"/>
            </w:pPr>
            <w:r w:rsidRPr="001340C5">
              <w:t xml:space="preserve">Poruchy </w:t>
            </w:r>
            <w:proofErr w:type="spellStart"/>
            <w:r w:rsidRPr="001340C5">
              <w:t>gastrointestinálneho</w:t>
            </w:r>
            <w:proofErr w:type="spellEnd"/>
            <w:r w:rsidRPr="001340C5">
              <w:t xml:space="preserve"> traktu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97" w:rsidRPr="001340C5" w:rsidRDefault="002F0A97" w:rsidP="00244BAB">
            <w:pPr>
              <w:pStyle w:val="Zarkazkladnhotextu"/>
              <w:tabs>
                <w:tab w:val="left" w:pos="3119"/>
              </w:tabs>
              <w:ind w:left="0" w:right="-2"/>
            </w:pPr>
            <w:r w:rsidRPr="001340C5">
              <w:t>Veľmi zriedkavé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97" w:rsidRPr="001340C5" w:rsidRDefault="002F0A97" w:rsidP="00244BAB">
            <w:pPr>
              <w:pStyle w:val="Zarkazkladnhotextu"/>
              <w:tabs>
                <w:tab w:val="left" w:pos="284"/>
                <w:tab w:val="left" w:pos="3402"/>
                <w:tab w:val="left" w:pos="5387"/>
              </w:tabs>
              <w:ind w:left="0" w:right="-2"/>
            </w:pPr>
            <w:r w:rsidRPr="001340C5">
              <w:t>Nauzea</w:t>
            </w:r>
          </w:p>
        </w:tc>
      </w:tr>
      <w:tr w:rsidR="002F0A97" w:rsidRPr="001340C5" w:rsidTr="00622016">
        <w:trPr>
          <w:trHeight w:val="53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97" w:rsidRPr="001340C5" w:rsidRDefault="002F0A97" w:rsidP="00244BAB">
            <w:pPr>
              <w:pStyle w:val="Zarkazkladnhotextu"/>
              <w:tabs>
                <w:tab w:val="left" w:pos="3119"/>
              </w:tabs>
              <w:ind w:left="0" w:right="-2"/>
            </w:pPr>
            <w:r w:rsidRPr="001340C5">
              <w:t>Poruchy pečene a žlčových ciest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97" w:rsidRPr="001340C5" w:rsidRDefault="002F0A97" w:rsidP="00244BAB">
            <w:pPr>
              <w:pStyle w:val="Zarkazkladnhotextu"/>
              <w:tabs>
                <w:tab w:val="left" w:pos="3119"/>
              </w:tabs>
              <w:ind w:left="0" w:right="-2"/>
            </w:pPr>
            <w:r w:rsidRPr="001340C5">
              <w:t>Veľmi zriedkavé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97" w:rsidRPr="001340C5" w:rsidRDefault="002F0A97" w:rsidP="00244BAB">
            <w:pPr>
              <w:pStyle w:val="Zarkazkladnhotextu"/>
              <w:tabs>
                <w:tab w:val="left" w:pos="284"/>
                <w:tab w:val="left" w:pos="3564"/>
                <w:tab w:val="left" w:pos="5387"/>
              </w:tabs>
              <w:ind w:left="0" w:right="-2"/>
            </w:pPr>
            <w:r w:rsidRPr="001340C5">
              <w:t>Zvýšenie hladín pečeňových enzýmov, poruchy funkcie pečene alebo hepatitída</w:t>
            </w:r>
          </w:p>
        </w:tc>
      </w:tr>
      <w:tr w:rsidR="002F0A97" w:rsidRPr="001340C5" w:rsidTr="005B2A19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97" w:rsidRPr="001340C5" w:rsidRDefault="002F0A97" w:rsidP="00244BAB">
            <w:pPr>
              <w:pStyle w:val="Zarkazkladnhotextu"/>
              <w:tabs>
                <w:tab w:val="left" w:pos="3119"/>
              </w:tabs>
              <w:ind w:left="0" w:right="-2"/>
            </w:pPr>
            <w:r w:rsidRPr="001340C5">
              <w:rPr>
                <w:bCs/>
              </w:rPr>
              <w:t>Poruchy kože a podkožného tkaniva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97" w:rsidRPr="001340C5" w:rsidRDefault="002F0A97" w:rsidP="00244BAB">
            <w:pPr>
              <w:pStyle w:val="Zarkazkladnhotextu"/>
              <w:tabs>
                <w:tab w:val="left" w:pos="3119"/>
              </w:tabs>
              <w:ind w:left="0" w:right="-2"/>
            </w:pPr>
            <w:r w:rsidRPr="001340C5">
              <w:t>Veľmi zriedkavé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97" w:rsidRPr="001340C5" w:rsidRDefault="002F0A97" w:rsidP="00244BAB">
            <w:pPr>
              <w:pStyle w:val="Zarkazkladnhotextu"/>
              <w:tabs>
                <w:tab w:val="left" w:pos="284"/>
                <w:tab w:val="left" w:pos="3402"/>
                <w:tab w:val="left" w:pos="5387"/>
              </w:tabs>
              <w:ind w:left="0" w:right="-2"/>
            </w:pPr>
            <w:proofErr w:type="spellStart"/>
            <w:r w:rsidRPr="001340C5">
              <w:t>Angioedém</w:t>
            </w:r>
            <w:proofErr w:type="spellEnd"/>
            <w:r w:rsidRPr="001340C5">
              <w:t>, vyrážka, žihľavka, svrbenie</w:t>
            </w:r>
          </w:p>
        </w:tc>
      </w:tr>
      <w:tr w:rsidR="002F0A97" w:rsidRPr="001340C5" w:rsidTr="005B2A19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97" w:rsidRPr="001340C5" w:rsidRDefault="002F0A97" w:rsidP="00244BAB">
            <w:pPr>
              <w:pStyle w:val="Zarkazkladnhotextu"/>
              <w:tabs>
                <w:tab w:val="left" w:pos="3119"/>
              </w:tabs>
              <w:ind w:left="0" w:right="-2"/>
            </w:pPr>
            <w:r w:rsidRPr="001340C5">
              <w:t>Poruchy kostrovej a svalovej sústavy a spojivového tkaniva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97" w:rsidRPr="001340C5" w:rsidRDefault="002F0A97" w:rsidP="00244BAB">
            <w:pPr>
              <w:pStyle w:val="Zarkazkladnhotextu"/>
              <w:tabs>
                <w:tab w:val="left" w:pos="3119"/>
              </w:tabs>
              <w:ind w:left="0" w:right="-2"/>
            </w:pPr>
            <w:r w:rsidRPr="001340C5">
              <w:t>Veľmi zriedkavé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97" w:rsidRPr="001340C5" w:rsidRDefault="002F0A97" w:rsidP="00244BAB">
            <w:pPr>
              <w:pStyle w:val="Zarkazkladnhotextu"/>
              <w:tabs>
                <w:tab w:val="left" w:pos="284"/>
                <w:tab w:val="left" w:pos="3402"/>
                <w:tab w:val="left" w:pos="5387"/>
              </w:tabs>
              <w:ind w:left="0" w:right="-2"/>
            </w:pPr>
            <w:r w:rsidRPr="001340C5">
              <w:t xml:space="preserve">Bolesť chrbta, </w:t>
            </w:r>
            <w:proofErr w:type="spellStart"/>
            <w:r w:rsidRPr="001340C5">
              <w:t>artralgia</w:t>
            </w:r>
            <w:proofErr w:type="spellEnd"/>
            <w:r w:rsidRPr="001340C5">
              <w:t xml:space="preserve">, </w:t>
            </w:r>
            <w:proofErr w:type="spellStart"/>
            <w:r w:rsidRPr="001340C5">
              <w:t>myalgia</w:t>
            </w:r>
            <w:proofErr w:type="spellEnd"/>
          </w:p>
        </w:tc>
      </w:tr>
      <w:tr w:rsidR="002F0A97" w:rsidRPr="001340C5" w:rsidTr="005B2A19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97" w:rsidRPr="001340C5" w:rsidRDefault="002F0A97" w:rsidP="00244BAB">
            <w:pPr>
              <w:pStyle w:val="Zarkazkladnhotextu"/>
              <w:tabs>
                <w:tab w:val="left" w:pos="3119"/>
              </w:tabs>
              <w:ind w:left="0" w:right="-2"/>
            </w:pPr>
            <w:r w:rsidRPr="001340C5">
              <w:t>Poruchy obličiek a močových ciest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97" w:rsidRPr="001340C5" w:rsidRDefault="002F0A97" w:rsidP="00244BAB">
            <w:pPr>
              <w:pStyle w:val="Zarkazkladnhotextu"/>
              <w:tabs>
                <w:tab w:val="left" w:pos="3119"/>
              </w:tabs>
              <w:ind w:left="0" w:right="-2"/>
            </w:pPr>
            <w:r w:rsidRPr="001340C5">
              <w:t>Veľmi zriedkavé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97" w:rsidRPr="001340C5" w:rsidRDefault="002F0A97" w:rsidP="00244BAB">
            <w:pPr>
              <w:pStyle w:val="Zarkazkladnhotextu"/>
              <w:tabs>
                <w:tab w:val="left" w:pos="3119"/>
              </w:tabs>
              <w:ind w:left="0" w:right="-2"/>
            </w:pPr>
            <w:r w:rsidRPr="001340C5">
              <w:t>Po</w:t>
            </w:r>
            <w:r w:rsidR="00FC3825" w:rsidRPr="001340C5">
              <w:t>rucha</w:t>
            </w:r>
            <w:r w:rsidRPr="001340C5">
              <w:t xml:space="preserve"> funkcie obličiek, vrátane zlyhania obličiek u vnímavých pacientov (pozri časť 4.4).</w:t>
            </w:r>
          </w:p>
        </w:tc>
      </w:tr>
    </w:tbl>
    <w:p w:rsidR="000F334C" w:rsidRPr="001340C5" w:rsidRDefault="000F334C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4F23EB" w:rsidRPr="001340C5" w:rsidRDefault="004F23EB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Tabuľka nižšie uvádza nežiaduce reakcie s </w:t>
      </w:r>
      <w:proofErr w:type="spellStart"/>
      <w:r w:rsidRPr="001340C5">
        <w:rPr>
          <w:rFonts w:ascii="Times New Roman" w:hAnsi="Times New Roman" w:cs="Times New Roman"/>
          <w:lang w:val="sk-SK"/>
        </w:rPr>
        <w:t>monoterapiou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hydrochlorotiazidom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zvyčajne s </w:t>
      </w:r>
    </w:p>
    <w:p w:rsidR="000F334C" w:rsidRPr="001340C5" w:rsidRDefault="004F23EB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>dávkami 25 mg alebo vyššími.</w:t>
      </w:r>
    </w:p>
    <w:p w:rsidR="00E26916" w:rsidRPr="001340C5" w:rsidRDefault="00E26916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1440"/>
        <w:gridCol w:w="3780"/>
      </w:tblGrid>
      <w:tr w:rsidR="00A35AF1" w:rsidRPr="001340C5" w:rsidTr="005B2A19">
        <w:trPr>
          <w:trHeight w:hRule="exact" w:val="269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F1" w:rsidRPr="001340C5" w:rsidRDefault="00F70788" w:rsidP="00244BAB">
            <w:pPr>
              <w:spacing w:after="0"/>
              <w:ind w:left="102" w:right="-20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Trieda orgánových systémov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F1" w:rsidRPr="001340C5" w:rsidRDefault="009335A1" w:rsidP="00244BAB">
            <w:pPr>
              <w:spacing w:after="0"/>
              <w:ind w:left="102" w:right="-20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9335A1">
              <w:rPr>
                <w:rFonts w:ascii="Times New Roman" w:hAnsi="Times New Roman" w:cs="Times New Roman"/>
                <w:b/>
                <w:bCs/>
                <w:lang w:val="sk-SK"/>
              </w:rPr>
              <w:t>Frekvencia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F1" w:rsidRPr="001340C5" w:rsidRDefault="009335A1" w:rsidP="00244BAB">
            <w:pPr>
              <w:spacing w:after="0"/>
              <w:ind w:left="102" w:right="-20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9335A1">
              <w:rPr>
                <w:rFonts w:ascii="Times New Roman" w:hAnsi="Times New Roman" w:cs="Times New Roman"/>
                <w:b/>
                <w:bCs/>
                <w:lang w:val="sk-SK"/>
              </w:rPr>
              <w:t>Nežiaduci účinok</w:t>
            </w:r>
          </w:p>
        </w:tc>
      </w:tr>
      <w:tr w:rsidR="008804BF" w:rsidRPr="001340C5" w:rsidTr="005B2A19">
        <w:trPr>
          <w:trHeight w:hRule="exact" w:val="1306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4BF" w:rsidRPr="001340C5" w:rsidRDefault="008804BF" w:rsidP="00244BAB">
            <w:pPr>
              <w:tabs>
                <w:tab w:val="left" w:pos="860"/>
                <w:tab w:val="left" w:pos="1400"/>
                <w:tab w:val="left" w:pos="2500"/>
              </w:tabs>
              <w:spacing w:after="0"/>
              <w:ind w:left="102" w:right="40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lang w:val="sk-SK"/>
              </w:rPr>
              <w:t>Poruchy krvi a lymfatického systému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4BF" w:rsidRPr="001340C5" w:rsidRDefault="008804BF" w:rsidP="00244BAB">
            <w:pPr>
              <w:pStyle w:val="Zarkazkladnhotextu"/>
              <w:tabs>
                <w:tab w:val="left" w:pos="3119"/>
              </w:tabs>
              <w:ind w:left="0" w:right="-2"/>
            </w:pPr>
            <w:r w:rsidRPr="001340C5">
              <w:t>Zriedkavé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4BF" w:rsidRPr="001340C5" w:rsidRDefault="008804BF" w:rsidP="00244BAB">
            <w:pPr>
              <w:tabs>
                <w:tab w:val="left" w:pos="1980"/>
                <w:tab w:val="left" w:pos="2860"/>
              </w:tabs>
              <w:spacing w:after="0"/>
              <w:ind w:left="102" w:right="43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1340C5">
              <w:rPr>
                <w:rFonts w:ascii="Times New Roman" w:eastAsia="Times New Roman" w:hAnsi="Times New Roman" w:cs="Times New Roman"/>
                <w:lang w:val="sk-SK"/>
              </w:rPr>
              <w:t>Leukopénia</w:t>
            </w:r>
            <w:proofErr w:type="spellEnd"/>
            <w:r w:rsidRPr="001340C5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proofErr w:type="spellStart"/>
            <w:r w:rsidRPr="001340C5">
              <w:rPr>
                <w:rFonts w:ascii="Times New Roman" w:eastAsia="Times New Roman" w:hAnsi="Times New Roman" w:cs="Times New Roman"/>
                <w:lang w:val="sk-SK"/>
              </w:rPr>
              <w:t>neutropénia</w:t>
            </w:r>
            <w:proofErr w:type="spellEnd"/>
            <w:r w:rsidRPr="001340C5">
              <w:rPr>
                <w:rFonts w:ascii="Times New Roman" w:eastAsia="Times New Roman" w:hAnsi="Times New Roman" w:cs="Times New Roman"/>
                <w:lang w:val="sk-SK"/>
              </w:rPr>
              <w:t>/</w:t>
            </w:r>
            <w:proofErr w:type="spellStart"/>
            <w:r w:rsidRPr="001340C5">
              <w:rPr>
                <w:rFonts w:ascii="Times New Roman" w:eastAsia="Times New Roman" w:hAnsi="Times New Roman" w:cs="Times New Roman"/>
                <w:lang w:val="sk-SK"/>
              </w:rPr>
              <w:t>agranulocytóza</w:t>
            </w:r>
            <w:proofErr w:type="spellEnd"/>
            <w:r w:rsidRPr="001340C5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proofErr w:type="spellStart"/>
            <w:r w:rsidRPr="001340C5">
              <w:rPr>
                <w:rFonts w:ascii="Times New Roman" w:eastAsia="Times New Roman" w:hAnsi="Times New Roman" w:cs="Times New Roman"/>
                <w:lang w:val="sk-SK"/>
              </w:rPr>
              <w:t>trombocytopénia</w:t>
            </w:r>
            <w:proofErr w:type="spellEnd"/>
            <w:r w:rsidRPr="001340C5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proofErr w:type="spellStart"/>
            <w:r w:rsidRPr="001340C5">
              <w:rPr>
                <w:rFonts w:ascii="Times New Roman" w:eastAsia="Times New Roman" w:hAnsi="Times New Roman" w:cs="Times New Roman"/>
                <w:lang w:val="sk-SK"/>
              </w:rPr>
              <w:t>aplastická</w:t>
            </w:r>
            <w:proofErr w:type="spellEnd"/>
            <w:r w:rsidRPr="001340C5">
              <w:rPr>
                <w:rFonts w:ascii="Times New Roman" w:eastAsia="Times New Roman" w:hAnsi="Times New Roman" w:cs="Times New Roman"/>
                <w:lang w:val="sk-SK"/>
              </w:rPr>
              <w:t xml:space="preserve"> anémia, zníženie tvorby kostnej drene, </w:t>
            </w:r>
            <w:proofErr w:type="spellStart"/>
            <w:r w:rsidRPr="001340C5">
              <w:rPr>
                <w:rFonts w:ascii="Times New Roman" w:eastAsia="Times New Roman" w:hAnsi="Times New Roman" w:cs="Times New Roman"/>
                <w:lang w:val="sk-SK"/>
              </w:rPr>
              <w:t>hemolytická</w:t>
            </w:r>
            <w:proofErr w:type="spellEnd"/>
            <w:r w:rsidRPr="001340C5">
              <w:rPr>
                <w:rFonts w:ascii="Times New Roman" w:eastAsia="Times New Roman" w:hAnsi="Times New Roman" w:cs="Times New Roman"/>
                <w:lang w:val="sk-SK"/>
              </w:rPr>
              <w:t xml:space="preserve"> anémia</w:t>
            </w:r>
          </w:p>
        </w:tc>
      </w:tr>
      <w:tr w:rsidR="008804BF" w:rsidRPr="001340C5" w:rsidTr="005B2A19">
        <w:trPr>
          <w:trHeight w:hRule="exact" w:val="269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4BF" w:rsidRPr="001340C5" w:rsidRDefault="008804BF" w:rsidP="00244BAB">
            <w:pPr>
              <w:spacing w:after="0"/>
              <w:ind w:left="102"/>
              <w:jc w:val="both"/>
              <w:rPr>
                <w:rFonts w:ascii="Times New Roman" w:hAnsi="Times New Roman" w:cs="Times New Roman"/>
                <w:lang w:val="sk-SK"/>
              </w:rPr>
            </w:pPr>
            <w:r w:rsidRPr="001340C5">
              <w:rPr>
                <w:rFonts w:ascii="Times New Roman" w:hAnsi="Times New Roman" w:cs="Times New Roman"/>
                <w:lang w:val="sk-SK"/>
              </w:rPr>
              <w:t>Poruchy imunitného systému</w:t>
            </w:r>
            <w:r w:rsidRPr="001340C5">
              <w:rPr>
                <w:rFonts w:ascii="Times New Roman" w:hAnsi="Times New Roman" w:cs="Times New Roman"/>
                <w:lang w:val="sk-SK"/>
              </w:rPr>
              <w:tab/>
            </w:r>
            <w:r w:rsidRPr="001340C5">
              <w:rPr>
                <w:rFonts w:ascii="Times New Roman" w:hAnsi="Times New Roman" w:cs="Times New Roman"/>
                <w:lang w:val="sk-SK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4BF" w:rsidRPr="001340C5" w:rsidRDefault="008804BF" w:rsidP="00244BAB">
            <w:pPr>
              <w:spacing w:after="0"/>
              <w:jc w:val="both"/>
              <w:rPr>
                <w:rFonts w:ascii="Times New Roman" w:hAnsi="Times New Roman" w:cs="Times New Roman"/>
                <w:lang w:val="sk-SK"/>
              </w:rPr>
            </w:pPr>
            <w:r w:rsidRPr="001340C5">
              <w:rPr>
                <w:rFonts w:ascii="Times New Roman" w:hAnsi="Times New Roman" w:cs="Times New Roman"/>
                <w:lang w:val="sk-SK"/>
              </w:rPr>
              <w:t>Zriedkavé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4BF" w:rsidRPr="001340C5" w:rsidRDefault="008804BF" w:rsidP="00244BAB">
            <w:pPr>
              <w:spacing w:after="0"/>
              <w:ind w:left="102" w:right="-20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1340C5">
              <w:rPr>
                <w:rFonts w:ascii="Times New Roman" w:eastAsia="Times New Roman" w:hAnsi="Times New Roman" w:cs="Times New Roman"/>
                <w:lang w:val="sk-SK"/>
              </w:rPr>
              <w:t>Anafylaktické</w:t>
            </w:r>
            <w:proofErr w:type="spellEnd"/>
            <w:r w:rsidRPr="001340C5">
              <w:rPr>
                <w:rFonts w:ascii="Times New Roman" w:eastAsia="Times New Roman" w:hAnsi="Times New Roman" w:cs="Times New Roman"/>
                <w:lang w:val="sk-SK"/>
              </w:rPr>
              <w:t xml:space="preserve"> reakcie</w:t>
            </w:r>
          </w:p>
        </w:tc>
      </w:tr>
      <w:tr w:rsidR="008804BF" w:rsidRPr="001340C5" w:rsidTr="009141B8">
        <w:trPr>
          <w:trHeight w:hRule="exact" w:val="549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4BF" w:rsidRPr="001340C5" w:rsidRDefault="008804BF" w:rsidP="00244BAB">
            <w:pPr>
              <w:spacing w:after="0"/>
              <w:ind w:left="102"/>
              <w:jc w:val="both"/>
              <w:rPr>
                <w:rFonts w:ascii="Times New Roman" w:hAnsi="Times New Roman" w:cs="Times New Roman"/>
                <w:b/>
                <w:lang w:val="sk-SK"/>
              </w:rPr>
            </w:pPr>
            <w:r w:rsidRPr="001340C5">
              <w:rPr>
                <w:rFonts w:ascii="Times New Roman" w:hAnsi="Times New Roman" w:cs="Times New Roman"/>
                <w:lang w:val="sk-SK"/>
              </w:rPr>
              <w:t>Poruchy metabolizmu a výživy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4BF" w:rsidRPr="001340C5" w:rsidRDefault="008804BF" w:rsidP="00244BAB">
            <w:pPr>
              <w:spacing w:after="0"/>
              <w:jc w:val="both"/>
              <w:rPr>
                <w:rFonts w:ascii="Times New Roman" w:hAnsi="Times New Roman" w:cs="Times New Roman"/>
                <w:lang w:val="sk-SK"/>
              </w:rPr>
            </w:pPr>
            <w:r w:rsidRPr="001340C5">
              <w:rPr>
                <w:rFonts w:ascii="Times New Roman" w:hAnsi="Times New Roman" w:cs="Times New Roman"/>
                <w:lang w:val="sk-SK"/>
              </w:rPr>
              <w:t>Časté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4BF" w:rsidRPr="001340C5" w:rsidRDefault="008804BF" w:rsidP="00244BAB">
            <w:pPr>
              <w:spacing w:after="0"/>
              <w:ind w:left="102" w:right="198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lang w:val="sk-SK"/>
              </w:rPr>
              <w:t xml:space="preserve">Hyperglykémia, </w:t>
            </w:r>
            <w:proofErr w:type="spellStart"/>
            <w:r w:rsidRPr="001340C5">
              <w:rPr>
                <w:rFonts w:ascii="Times New Roman" w:eastAsia="Times New Roman" w:hAnsi="Times New Roman" w:cs="Times New Roman"/>
                <w:lang w:val="sk-SK"/>
              </w:rPr>
              <w:t>hyperurikémia</w:t>
            </w:r>
            <w:proofErr w:type="spellEnd"/>
            <w:r w:rsidRPr="001340C5">
              <w:rPr>
                <w:rFonts w:ascii="Times New Roman" w:eastAsia="Times New Roman" w:hAnsi="Times New Roman" w:cs="Times New Roman"/>
                <w:lang w:val="sk-SK"/>
              </w:rPr>
              <w:t xml:space="preserve">, nerovnováha elektrolytov (vrátane </w:t>
            </w:r>
            <w:proofErr w:type="spellStart"/>
            <w:r w:rsidRPr="001340C5">
              <w:rPr>
                <w:rFonts w:ascii="Times New Roman" w:eastAsia="Times New Roman" w:hAnsi="Times New Roman" w:cs="Times New Roman"/>
                <w:lang w:val="sk-SK"/>
              </w:rPr>
              <w:t>hyponatriémie</w:t>
            </w:r>
            <w:proofErr w:type="spellEnd"/>
            <w:r w:rsidRPr="001340C5">
              <w:rPr>
                <w:rFonts w:ascii="Times New Roman" w:eastAsia="Times New Roman" w:hAnsi="Times New Roman" w:cs="Times New Roman"/>
                <w:lang w:val="sk-SK"/>
              </w:rPr>
              <w:t xml:space="preserve"> a </w:t>
            </w:r>
            <w:proofErr w:type="spellStart"/>
            <w:r w:rsidRPr="001340C5">
              <w:rPr>
                <w:rFonts w:ascii="Times New Roman" w:eastAsia="Times New Roman" w:hAnsi="Times New Roman" w:cs="Times New Roman"/>
                <w:lang w:val="sk-SK"/>
              </w:rPr>
              <w:t>hypokaliémie</w:t>
            </w:r>
            <w:proofErr w:type="spellEnd"/>
            <w:r w:rsidRPr="001340C5">
              <w:rPr>
                <w:rFonts w:ascii="Times New Roman" w:eastAsia="Times New Roman" w:hAnsi="Times New Roman" w:cs="Times New Roman"/>
                <w:lang w:val="sk-SK"/>
              </w:rPr>
              <w:t>)</w:t>
            </w:r>
          </w:p>
        </w:tc>
      </w:tr>
      <w:tr w:rsidR="00A35AF1" w:rsidRPr="001340C5" w:rsidTr="005B2A19">
        <w:trPr>
          <w:trHeight w:hRule="exact" w:val="52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F1" w:rsidRPr="001340C5" w:rsidRDefault="00ED4F1A" w:rsidP="00244BAB">
            <w:pPr>
              <w:spacing w:after="0"/>
              <w:ind w:left="102" w:right="-20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lang w:val="sk-SK"/>
              </w:rPr>
              <w:t>Psychické poruchy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F1" w:rsidRPr="001340C5" w:rsidRDefault="006A2812" w:rsidP="00244BAB">
            <w:pPr>
              <w:spacing w:after="0"/>
              <w:ind w:left="102" w:right="-20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lang w:val="sk-SK"/>
              </w:rPr>
              <w:t>Zriedkavé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F1" w:rsidRPr="001340C5" w:rsidRDefault="00C9008F" w:rsidP="00244BAB">
            <w:pPr>
              <w:tabs>
                <w:tab w:val="left" w:pos="1040"/>
                <w:tab w:val="left" w:pos="2660"/>
              </w:tabs>
              <w:spacing w:after="0"/>
              <w:ind w:left="102" w:right="44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lang w:val="sk-SK"/>
              </w:rPr>
              <w:t>Poruchy spánku, depresia, nepokoj</w:t>
            </w:r>
          </w:p>
        </w:tc>
      </w:tr>
      <w:tr w:rsidR="00A35AF1" w:rsidRPr="001340C5" w:rsidTr="005B2A19">
        <w:trPr>
          <w:trHeight w:hRule="exact" w:val="269"/>
        </w:trPr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5AF1" w:rsidRPr="001340C5" w:rsidRDefault="00ED4F1A" w:rsidP="00244BAB">
            <w:pPr>
              <w:spacing w:after="0"/>
              <w:ind w:left="102" w:right="-20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lang w:val="sk-SK"/>
              </w:rPr>
              <w:t>Poruchy nervového systému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F1" w:rsidRPr="001340C5" w:rsidRDefault="006A2812" w:rsidP="00244BAB">
            <w:pPr>
              <w:spacing w:after="0"/>
              <w:ind w:left="102" w:right="-20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F1" w:rsidRPr="001340C5" w:rsidRDefault="00C9008F" w:rsidP="00244BAB">
            <w:pPr>
              <w:spacing w:after="0"/>
              <w:ind w:left="102" w:right="-20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lang w:val="sk-SK"/>
              </w:rPr>
              <w:t xml:space="preserve">Pocit závratu/mdloby, </w:t>
            </w:r>
            <w:proofErr w:type="spellStart"/>
            <w:r w:rsidRPr="001340C5">
              <w:rPr>
                <w:rFonts w:ascii="Times New Roman" w:eastAsia="Times New Roman" w:hAnsi="Times New Roman" w:cs="Times New Roman"/>
                <w:lang w:val="sk-SK"/>
              </w:rPr>
              <w:t>vertigo</w:t>
            </w:r>
            <w:proofErr w:type="spellEnd"/>
          </w:p>
        </w:tc>
      </w:tr>
      <w:tr w:rsidR="00A35AF1" w:rsidRPr="001340C5" w:rsidTr="005B2A19">
        <w:trPr>
          <w:trHeight w:hRule="exact" w:val="269"/>
        </w:trPr>
        <w:tc>
          <w:tcPr>
            <w:tcW w:w="3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F1" w:rsidRPr="001340C5" w:rsidRDefault="00A35AF1" w:rsidP="00244BAB">
            <w:pPr>
              <w:spacing w:after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F1" w:rsidRPr="001340C5" w:rsidRDefault="006A2812" w:rsidP="00244BAB">
            <w:pPr>
              <w:spacing w:after="0"/>
              <w:ind w:left="102" w:right="-20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lang w:val="sk-SK"/>
              </w:rPr>
              <w:t>Zriedkavé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F1" w:rsidRPr="001340C5" w:rsidRDefault="00C9008F" w:rsidP="00244BAB">
            <w:pPr>
              <w:spacing w:after="0"/>
              <w:ind w:left="102" w:right="-20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1340C5">
              <w:rPr>
                <w:rFonts w:ascii="Times New Roman" w:eastAsia="Times New Roman" w:hAnsi="Times New Roman" w:cs="Times New Roman"/>
                <w:lang w:val="sk-SK"/>
              </w:rPr>
              <w:t>Parestézia</w:t>
            </w:r>
            <w:proofErr w:type="spellEnd"/>
          </w:p>
        </w:tc>
      </w:tr>
      <w:tr w:rsidR="00AA341F" w:rsidRPr="001340C5" w:rsidTr="005B2A19">
        <w:trPr>
          <w:trHeight w:hRule="exact" w:val="269"/>
        </w:trPr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341F" w:rsidRPr="001340C5" w:rsidRDefault="00ED4F1A" w:rsidP="00244BAB">
            <w:pPr>
              <w:spacing w:after="0"/>
              <w:ind w:left="102" w:right="-20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lang w:val="sk-SK"/>
              </w:rPr>
              <w:t>Poruchy oka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1F" w:rsidRPr="001340C5" w:rsidRDefault="006A2812" w:rsidP="00244BAB">
            <w:pPr>
              <w:spacing w:after="0"/>
              <w:ind w:left="102" w:right="-20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lang w:val="sk-SK"/>
              </w:rPr>
              <w:t>Zriedkavé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1F" w:rsidRPr="001340C5" w:rsidRDefault="00106794" w:rsidP="00244BAB">
            <w:pPr>
              <w:spacing w:after="0"/>
              <w:ind w:left="102" w:right="-20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lang w:val="sk-SK"/>
              </w:rPr>
              <w:t>Prechodné neostré (rozmazané) videnie</w:t>
            </w:r>
          </w:p>
        </w:tc>
      </w:tr>
      <w:tr w:rsidR="00AA341F" w:rsidRPr="001340C5" w:rsidTr="005B2A19">
        <w:trPr>
          <w:trHeight w:hRule="exact" w:val="528"/>
        </w:trPr>
        <w:tc>
          <w:tcPr>
            <w:tcW w:w="3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1F" w:rsidRPr="001340C5" w:rsidRDefault="00AA341F" w:rsidP="00244BAB">
            <w:pPr>
              <w:spacing w:after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1F" w:rsidRPr="001340C5" w:rsidRDefault="006A2812" w:rsidP="00244BAB">
            <w:pPr>
              <w:spacing w:after="0"/>
              <w:ind w:left="102" w:right="-20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lang w:val="sk-SK"/>
              </w:rPr>
              <w:t>Neznáme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1F" w:rsidRPr="001340C5" w:rsidRDefault="00106794" w:rsidP="00244BAB">
            <w:pPr>
              <w:tabs>
                <w:tab w:val="left" w:pos="840"/>
                <w:tab w:val="left" w:pos="1780"/>
                <w:tab w:val="left" w:pos="2460"/>
              </w:tabs>
              <w:spacing w:after="0"/>
              <w:ind w:left="102" w:right="45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lang w:val="sk-SK"/>
              </w:rPr>
              <w:t xml:space="preserve">Akútna </w:t>
            </w:r>
            <w:proofErr w:type="spellStart"/>
            <w:r w:rsidRPr="001340C5">
              <w:rPr>
                <w:rFonts w:ascii="Times New Roman" w:eastAsia="Times New Roman" w:hAnsi="Times New Roman" w:cs="Times New Roman"/>
                <w:lang w:val="sk-SK"/>
              </w:rPr>
              <w:t>myopatia</w:t>
            </w:r>
            <w:proofErr w:type="spellEnd"/>
            <w:r w:rsidRPr="001340C5">
              <w:rPr>
                <w:rFonts w:ascii="Times New Roman" w:eastAsia="Times New Roman" w:hAnsi="Times New Roman" w:cs="Times New Roman"/>
                <w:lang w:val="sk-SK"/>
              </w:rPr>
              <w:t xml:space="preserve">, akútny </w:t>
            </w:r>
            <w:proofErr w:type="spellStart"/>
            <w:r w:rsidRPr="001340C5">
              <w:rPr>
                <w:rFonts w:ascii="Times New Roman" w:eastAsia="Times New Roman" w:hAnsi="Times New Roman" w:cs="Times New Roman"/>
                <w:lang w:val="sk-SK"/>
              </w:rPr>
              <w:t>glaukóm</w:t>
            </w:r>
            <w:proofErr w:type="spellEnd"/>
            <w:r w:rsidRPr="001340C5">
              <w:rPr>
                <w:rFonts w:ascii="Times New Roman" w:eastAsia="Times New Roman" w:hAnsi="Times New Roman" w:cs="Times New Roman"/>
                <w:lang w:val="sk-SK"/>
              </w:rPr>
              <w:t xml:space="preserve"> s uzavretým uhlom</w:t>
            </w:r>
          </w:p>
        </w:tc>
      </w:tr>
      <w:tr w:rsidR="00A35AF1" w:rsidRPr="001340C5" w:rsidTr="005B2A19">
        <w:trPr>
          <w:trHeight w:hRule="exact" w:val="269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F1" w:rsidRPr="001340C5" w:rsidRDefault="00B67766" w:rsidP="00244BAB">
            <w:pPr>
              <w:spacing w:after="0"/>
              <w:ind w:left="102" w:right="-20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lang w:val="sk-SK"/>
              </w:rPr>
              <w:t>Poruchy srdca a srdcovej činnosti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F1" w:rsidRPr="001340C5" w:rsidRDefault="006A2812" w:rsidP="00244BAB">
            <w:pPr>
              <w:spacing w:after="0"/>
              <w:ind w:left="102" w:right="-20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lang w:val="sk-SK"/>
              </w:rPr>
              <w:t>Zriedkavé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F1" w:rsidRPr="001340C5" w:rsidRDefault="00D2317C" w:rsidP="00244BAB">
            <w:pPr>
              <w:spacing w:after="0"/>
              <w:ind w:left="102" w:right="-20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lang w:val="sk-SK"/>
              </w:rPr>
              <w:t xml:space="preserve">Srdcové </w:t>
            </w:r>
            <w:proofErr w:type="spellStart"/>
            <w:r w:rsidRPr="001340C5">
              <w:rPr>
                <w:rFonts w:ascii="Times New Roman" w:eastAsia="Times New Roman" w:hAnsi="Times New Roman" w:cs="Times New Roman"/>
                <w:lang w:val="sk-SK"/>
              </w:rPr>
              <w:t>arytmie</w:t>
            </w:r>
            <w:proofErr w:type="spellEnd"/>
          </w:p>
        </w:tc>
      </w:tr>
      <w:tr w:rsidR="00A35AF1" w:rsidRPr="001340C5" w:rsidTr="005B2A19">
        <w:trPr>
          <w:trHeight w:hRule="exact" w:val="269"/>
        </w:trPr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5AF1" w:rsidRPr="001340C5" w:rsidRDefault="00B67766" w:rsidP="00244BAB">
            <w:pPr>
              <w:spacing w:after="0"/>
              <w:ind w:left="102" w:right="-20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lang w:val="sk-SK"/>
              </w:rPr>
              <w:lastRenderedPageBreak/>
              <w:t>Poruchy ciev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F1" w:rsidRPr="001340C5" w:rsidRDefault="006A2812" w:rsidP="00244BAB">
            <w:pPr>
              <w:spacing w:after="0"/>
              <w:ind w:left="102" w:right="-20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lang w:val="sk-SK"/>
              </w:rPr>
              <w:t>Menej časté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F1" w:rsidRPr="001340C5" w:rsidRDefault="00D2317C" w:rsidP="00244BAB">
            <w:pPr>
              <w:spacing w:after="0"/>
              <w:ind w:left="102" w:right="-20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1340C5">
              <w:rPr>
                <w:rFonts w:ascii="Times New Roman" w:eastAsia="Times New Roman" w:hAnsi="Times New Roman" w:cs="Times New Roman"/>
                <w:lang w:val="sk-SK"/>
              </w:rPr>
              <w:t>Posturálna</w:t>
            </w:r>
            <w:proofErr w:type="spellEnd"/>
            <w:r w:rsidRPr="001340C5">
              <w:rPr>
                <w:rFonts w:ascii="Times New Roman" w:eastAsia="Times New Roman" w:hAnsi="Times New Roman" w:cs="Times New Roman"/>
                <w:lang w:val="sk-SK"/>
              </w:rPr>
              <w:t xml:space="preserve"> hypotenzia</w:t>
            </w:r>
          </w:p>
        </w:tc>
      </w:tr>
      <w:tr w:rsidR="00A35AF1" w:rsidRPr="001340C5" w:rsidTr="005B2A19">
        <w:trPr>
          <w:trHeight w:hRule="exact" w:val="528"/>
        </w:trPr>
        <w:tc>
          <w:tcPr>
            <w:tcW w:w="3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F1" w:rsidRPr="001340C5" w:rsidRDefault="00A35AF1" w:rsidP="00244BAB">
            <w:pPr>
              <w:spacing w:after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F1" w:rsidRPr="001340C5" w:rsidRDefault="006A2812" w:rsidP="00244BAB">
            <w:pPr>
              <w:spacing w:after="0"/>
              <w:ind w:left="102" w:right="-20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lang w:val="sk-SK"/>
              </w:rPr>
              <w:t>Zriedkavé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F1" w:rsidRPr="001340C5" w:rsidRDefault="00D2317C" w:rsidP="00244BAB">
            <w:pPr>
              <w:tabs>
                <w:tab w:val="left" w:pos="1580"/>
                <w:tab w:val="left" w:pos="2680"/>
              </w:tabs>
              <w:spacing w:after="0"/>
              <w:ind w:left="102" w:right="43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1340C5">
              <w:rPr>
                <w:rFonts w:ascii="Times New Roman" w:eastAsia="Times New Roman" w:hAnsi="Times New Roman" w:cs="Times New Roman"/>
                <w:lang w:val="sk-SK"/>
              </w:rPr>
              <w:t>Nekrotizujúca</w:t>
            </w:r>
            <w:proofErr w:type="spellEnd"/>
            <w:r w:rsidRPr="001340C5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proofErr w:type="spellStart"/>
            <w:r w:rsidRPr="001340C5">
              <w:rPr>
                <w:rFonts w:ascii="Times New Roman" w:eastAsia="Times New Roman" w:hAnsi="Times New Roman" w:cs="Times New Roman"/>
                <w:lang w:val="sk-SK"/>
              </w:rPr>
              <w:t>angiitída</w:t>
            </w:r>
            <w:proofErr w:type="spellEnd"/>
            <w:r w:rsidRPr="001340C5">
              <w:rPr>
                <w:rFonts w:ascii="Times New Roman" w:eastAsia="Times New Roman" w:hAnsi="Times New Roman" w:cs="Times New Roman"/>
                <w:lang w:val="sk-SK"/>
              </w:rPr>
              <w:t xml:space="preserve"> (</w:t>
            </w:r>
            <w:proofErr w:type="spellStart"/>
            <w:r w:rsidRPr="001340C5">
              <w:rPr>
                <w:rFonts w:ascii="Times New Roman" w:eastAsia="Times New Roman" w:hAnsi="Times New Roman" w:cs="Times New Roman"/>
                <w:lang w:val="sk-SK"/>
              </w:rPr>
              <w:t>vaskulitída</w:t>
            </w:r>
            <w:proofErr w:type="spellEnd"/>
            <w:r w:rsidRPr="001340C5">
              <w:rPr>
                <w:rFonts w:ascii="Times New Roman" w:eastAsia="Times New Roman" w:hAnsi="Times New Roman" w:cs="Times New Roman"/>
                <w:lang w:val="sk-SK"/>
              </w:rPr>
              <w:t xml:space="preserve">, kožná </w:t>
            </w:r>
            <w:proofErr w:type="spellStart"/>
            <w:r w:rsidRPr="001340C5">
              <w:rPr>
                <w:rFonts w:ascii="Times New Roman" w:eastAsia="Times New Roman" w:hAnsi="Times New Roman" w:cs="Times New Roman"/>
                <w:lang w:val="sk-SK"/>
              </w:rPr>
              <w:t>vaskulitída</w:t>
            </w:r>
            <w:proofErr w:type="spellEnd"/>
            <w:r w:rsidRPr="001340C5">
              <w:rPr>
                <w:rFonts w:ascii="Times New Roman" w:eastAsia="Times New Roman" w:hAnsi="Times New Roman" w:cs="Times New Roman"/>
                <w:lang w:val="sk-SK"/>
              </w:rPr>
              <w:t>)</w:t>
            </w:r>
          </w:p>
        </w:tc>
      </w:tr>
      <w:tr w:rsidR="00A35AF1" w:rsidRPr="001340C5" w:rsidTr="005B2A19">
        <w:trPr>
          <w:trHeight w:hRule="exact" w:val="52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F1" w:rsidRPr="001340C5" w:rsidRDefault="00B2764C" w:rsidP="00244BAB">
            <w:pPr>
              <w:tabs>
                <w:tab w:val="left" w:pos="1640"/>
                <w:tab w:val="left" w:pos="2800"/>
              </w:tabs>
              <w:spacing w:after="0"/>
              <w:ind w:left="102" w:right="44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lang w:val="sk-SK"/>
              </w:rPr>
              <w:t xml:space="preserve">Poruchy dýchacej sústavy, hrudníka a </w:t>
            </w:r>
            <w:proofErr w:type="spellStart"/>
            <w:r w:rsidRPr="001340C5">
              <w:rPr>
                <w:rFonts w:ascii="Times New Roman" w:eastAsia="Times New Roman" w:hAnsi="Times New Roman" w:cs="Times New Roman"/>
                <w:lang w:val="sk-SK"/>
              </w:rPr>
              <w:t>mediastína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F1" w:rsidRPr="001340C5" w:rsidRDefault="00B2764C" w:rsidP="00244BAB">
            <w:pPr>
              <w:spacing w:after="0"/>
              <w:ind w:left="102" w:right="-20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lang w:val="sk-SK"/>
              </w:rPr>
              <w:t>Zriedkavé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F1" w:rsidRPr="001340C5" w:rsidRDefault="00B2764C" w:rsidP="00244BAB">
            <w:pPr>
              <w:tabs>
                <w:tab w:val="left" w:pos="1600"/>
                <w:tab w:val="left" w:pos="2740"/>
              </w:tabs>
              <w:spacing w:after="0"/>
              <w:ind w:left="102" w:right="41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lang w:val="sk-SK"/>
              </w:rPr>
              <w:t xml:space="preserve">Ťažkosti s dýchaním (vrátane </w:t>
            </w:r>
            <w:proofErr w:type="spellStart"/>
            <w:r w:rsidRPr="001340C5">
              <w:rPr>
                <w:rFonts w:ascii="Times New Roman" w:eastAsia="Times New Roman" w:hAnsi="Times New Roman" w:cs="Times New Roman"/>
                <w:lang w:val="sk-SK"/>
              </w:rPr>
              <w:t>pneumonitídy</w:t>
            </w:r>
            <w:proofErr w:type="spellEnd"/>
            <w:r w:rsidRPr="001340C5">
              <w:rPr>
                <w:rFonts w:ascii="Times New Roman" w:eastAsia="Times New Roman" w:hAnsi="Times New Roman" w:cs="Times New Roman"/>
                <w:lang w:val="sk-SK"/>
              </w:rPr>
              <w:t xml:space="preserve"> a pľúcneho edému)</w:t>
            </w:r>
          </w:p>
        </w:tc>
      </w:tr>
      <w:tr w:rsidR="00A35AF1" w:rsidRPr="001340C5" w:rsidTr="005B2A19">
        <w:trPr>
          <w:trHeight w:hRule="exact" w:val="528"/>
        </w:trPr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7C6B" w:rsidRPr="001340C5" w:rsidRDefault="00B17C6B" w:rsidP="00244BAB">
            <w:pPr>
              <w:spacing w:after="0"/>
              <w:ind w:left="102" w:right="81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lang w:val="sk-SK"/>
              </w:rPr>
              <w:t xml:space="preserve">Poruchy </w:t>
            </w:r>
            <w:proofErr w:type="spellStart"/>
            <w:r w:rsidRPr="001340C5">
              <w:rPr>
                <w:rFonts w:ascii="Times New Roman" w:eastAsia="Times New Roman" w:hAnsi="Times New Roman" w:cs="Times New Roman"/>
                <w:lang w:val="sk-SK"/>
              </w:rPr>
              <w:t>gastrointestinálneho</w:t>
            </w:r>
            <w:proofErr w:type="spellEnd"/>
            <w:r w:rsidRPr="001340C5">
              <w:rPr>
                <w:rFonts w:ascii="Times New Roman" w:eastAsia="Times New Roman" w:hAnsi="Times New Roman" w:cs="Times New Roman"/>
                <w:lang w:val="sk-SK"/>
              </w:rPr>
              <w:t xml:space="preserve"> traktu</w:t>
            </w:r>
          </w:p>
          <w:p w:rsidR="00A35AF1" w:rsidRPr="001340C5" w:rsidRDefault="00A35AF1" w:rsidP="00244BAB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F1" w:rsidRPr="001340C5" w:rsidRDefault="00FE441C" w:rsidP="00244BAB">
            <w:pPr>
              <w:spacing w:after="0"/>
              <w:ind w:left="102" w:right="-20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lang w:val="sk-SK"/>
              </w:rPr>
              <w:t>Menej časté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F1" w:rsidRPr="001340C5" w:rsidRDefault="00FE441C" w:rsidP="00244BAB">
            <w:pPr>
              <w:tabs>
                <w:tab w:val="left" w:pos="1180"/>
                <w:tab w:val="left" w:pos="1720"/>
                <w:tab w:val="left" w:pos="2100"/>
                <w:tab w:val="left" w:pos="3060"/>
              </w:tabs>
              <w:spacing w:after="0"/>
              <w:ind w:left="102" w:right="44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1340C5">
              <w:rPr>
                <w:rFonts w:ascii="Times New Roman" w:eastAsia="Times New Roman" w:hAnsi="Times New Roman" w:cs="Times New Roman"/>
                <w:lang w:val="sk-SK"/>
              </w:rPr>
              <w:t>Anorexia</w:t>
            </w:r>
            <w:proofErr w:type="spellEnd"/>
            <w:r w:rsidRPr="001340C5">
              <w:rPr>
                <w:rFonts w:ascii="Times New Roman" w:eastAsia="Times New Roman" w:hAnsi="Times New Roman" w:cs="Times New Roman"/>
                <w:lang w:val="sk-SK"/>
              </w:rPr>
              <w:t>, strata chuti do jedenia, podráždenie žalúdka, hnačka, zápcha</w:t>
            </w:r>
          </w:p>
        </w:tc>
      </w:tr>
      <w:tr w:rsidR="00A35AF1" w:rsidRPr="001340C5" w:rsidTr="005B2A19">
        <w:trPr>
          <w:trHeight w:hRule="exact" w:val="269"/>
        </w:trPr>
        <w:tc>
          <w:tcPr>
            <w:tcW w:w="3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F1" w:rsidRPr="001340C5" w:rsidRDefault="00A35AF1" w:rsidP="00244BAB">
            <w:pPr>
              <w:spacing w:after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F1" w:rsidRPr="001340C5" w:rsidRDefault="00FE441C" w:rsidP="00244BAB">
            <w:pPr>
              <w:spacing w:after="0"/>
              <w:ind w:left="102" w:right="-20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lang w:val="sk-SK"/>
              </w:rPr>
              <w:t>Zriedkavé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F1" w:rsidRPr="001340C5" w:rsidRDefault="00FE441C" w:rsidP="00244BAB">
            <w:pPr>
              <w:spacing w:after="0"/>
              <w:ind w:left="102" w:right="-20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1340C5">
              <w:rPr>
                <w:rFonts w:ascii="Times New Roman" w:eastAsia="Times New Roman" w:hAnsi="Times New Roman" w:cs="Times New Roman"/>
                <w:lang w:val="sk-SK"/>
              </w:rPr>
              <w:t>Pankreatitída</w:t>
            </w:r>
            <w:proofErr w:type="spellEnd"/>
          </w:p>
        </w:tc>
      </w:tr>
      <w:tr w:rsidR="00A35AF1" w:rsidRPr="001340C5" w:rsidTr="005B2A19">
        <w:trPr>
          <w:trHeight w:hRule="exact" w:val="52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F1" w:rsidRPr="001340C5" w:rsidRDefault="00837D7B" w:rsidP="00244BAB">
            <w:pPr>
              <w:spacing w:after="0"/>
              <w:ind w:left="102" w:right="-20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lang w:val="sk-SK"/>
              </w:rPr>
              <w:t>Poruchy pečene a žlčových ciest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F1" w:rsidRPr="001340C5" w:rsidRDefault="00837D7B" w:rsidP="00244BAB">
            <w:pPr>
              <w:spacing w:after="0"/>
              <w:ind w:left="102" w:right="-20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lang w:val="sk-SK"/>
              </w:rPr>
              <w:t>Zriedkavé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F1" w:rsidRPr="001340C5" w:rsidRDefault="00837D7B" w:rsidP="00244BAB">
            <w:pPr>
              <w:tabs>
                <w:tab w:val="left" w:pos="1220"/>
                <w:tab w:val="left" w:pos="2700"/>
              </w:tabs>
              <w:spacing w:after="0"/>
              <w:ind w:left="102" w:right="43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lang w:val="sk-SK"/>
              </w:rPr>
              <w:t>Žltačka (</w:t>
            </w:r>
            <w:proofErr w:type="spellStart"/>
            <w:r w:rsidRPr="001340C5">
              <w:rPr>
                <w:rFonts w:ascii="Times New Roman" w:eastAsia="Times New Roman" w:hAnsi="Times New Roman" w:cs="Times New Roman"/>
                <w:lang w:val="sk-SK"/>
              </w:rPr>
              <w:t>intrahepatálna</w:t>
            </w:r>
            <w:proofErr w:type="spellEnd"/>
            <w:r w:rsidRPr="001340C5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proofErr w:type="spellStart"/>
            <w:r w:rsidRPr="001340C5">
              <w:rPr>
                <w:rFonts w:ascii="Times New Roman" w:eastAsia="Times New Roman" w:hAnsi="Times New Roman" w:cs="Times New Roman"/>
                <w:lang w:val="sk-SK"/>
              </w:rPr>
              <w:t>cholestatická</w:t>
            </w:r>
            <w:proofErr w:type="spellEnd"/>
            <w:r w:rsidRPr="001340C5">
              <w:rPr>
                <w:rFonts w:ascii="Times New Roman" w:eastAsia="Times New Roman" w:hAnsi="Times New Roman" w:cs="Times New Roman"/>
                <w:lang w:val="sk-SK"/>
              </w:rPr>
              <w:t xml:space="preserve"> forma)</w:t>
            </w:r>
          </w:p>
        </w:tc>
      </w:tr>
      <w:tr w:rsidR="00602EBD" w:rsidRPr="001340C5" w:rsidTr="005B2A19">
        <w:trPr>
          <w:trHeight w:hRule="exact" w:val="528"/>
        </w:trPr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2EBD" w:rsidRPr="001340C5" w:rsidRDefault="00C41586" w:rsidP="00244BAB">
            <w:pPr>
              <w:tabs>
                <w:tab w:val="left" w:pos="700"/>
                <w:tab w:val="left" w:pos="1220"/>
              </w:tabs>
              <w:spacing w:after="0"/>
              <w:ind w:left="102" w:right="44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lang w:val="sk-SK"/>
              </w:rPr>
              <w:t>Poruchy kože a podkožného tkaniva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EBD" w:rsidRPr="001340C5" w:rsidRDefault="00C41586" w:rsidP="00244BAB">
            <w:pPr>
              <w:spacing w:after="0"/>
              <w:ind w:left="102" w:right="-20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lang w:val="sk-SK"/>
              </w:rPr>
              <w:t>Menej časté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EBD" w:rsidRPr="001340C5" w:rsidRDefault="00C41586" w:rsidP="00244BAB">
            <w:pPr>
              <w:tabs>
                <w:tab w:val="left" w:pos="1020"/>
                <w:tab w:val="left" w:pos="2240"/>
              </w:tabs>
              <w:spacing w:after="0"/>
              <w:ind w:left="102" w:right="41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lang w:val="sk-SK"/>
              </w:rPr>
              <w:t xml:space="preserve">Vyrážka, žihľavka, </w:t>
            </w:r>
            <w:proofErr w:type="spellStart"/>
            <w:r w:rsidRPr="001340C5">
              <w:rPr>
                <w:rFonts w:ascii="Times New Roman" w:eastAsia="Times New Roman" w:hAnsi="Times New Roman" w:cs="Times New Roman"/>
                <w:lang w:val="sk-SK"/>
              </w:rPr>
              <w:t>fotosenzitívne</w:t>
            </w:r>
            <w:proofErr w:type="spellEnd"/>
            <w:r w:rsidRPr="001340C5">
              <w:rPr>
                <w:rFonts w:ascii="Times New Roman" w:eastAsia="Times New Roman" w:hAnsi="Times New Roman" w:cs="Times New Roman"/>
                <w:lang w:val="sk-SK"/>
              </w:rPr>
              <w:t xml:space="preserve"> reakcie</w:t>
            </w:r>
          </w:p>
        </w:tc>
      </w:tr>
      <w:tr w:rsidR="00602EBD" w:rsidRPr="001340C5" w:rsidTr="005B2A19">
        <w:trPr>
          <w:trHeight w:hRule="exact" w:val="1046"/>
        </w:trPr>
        <w:tc>
          <w:tcPr>
            <w:tcW w:w="3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EBD" w:rsidRPr="001340C5" w:rsidRDefault="00602EBD" w:rsidP="00244BAB">
            <w:pPr>
              <w:spacing w:after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EBD" w:rsidRPr="001340C5" w:rsidRDefault="00C41586" w:rsidP="00244BAB">
            <w:pPr>
              <w:spacing w:after="0"/>
              <w:ind w:left="102" w:right="-20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lang w:val="sk-SK"/>
              </w:rPr>
              <w:t>Zriedkavé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EBD" w:rsidRPr="001340C5" w:rsidRDefault="00C41586" w:rsidP="00244BAB">
            <w:pPr>
              <w:spacing w:after="0"/>
              <w:ind w:left="102" w:right="198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lang w:val="sk-SK"/>
              </w:rPr>
              <w:t xml:space="preserve">Toxická </w:t>
            </w:r>
            <w:proofErr w:type="spellStart"/>
            <w:r w:rsidRPr="001340C5">
              <w:rPr>
                <w:rFonts w:ascii="Times New Roman" w:eastAsia="Times New Roman" w:hAnsi="Times New Roman" w:cs="Times New Roman"/>
                <w:lang w:val="sk-SK"/>
              </w:rPr>
              <w:t>epidermálna</w:t>
            </w:r>
            <w:proofErr w:type="spellEnd"/>
            <w:r w:rsidRPr="001340C5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proofErr w:type="spellStart"/>
            <w:r w:rsidRPr="001340C5">
              <w:rPr>
                <w:rFonts w:ascii="Times New Roman" w:eastAsia="Times New Roman" w:hAnsi="Times New Roman" w:cs="Times New Roman"/>
                <w:lang w:val="sk-SK"/>
              </w:rPr>
              <w:t>nekrolýza</w:t>
            </w:r>
            <w:proofErr w:type="spellEnd"/>
            <w:r w:rsidRPr="001340C5">
              <w:rPr>
                <w:rFonts w:ascii="Times New Roman" w:eastAsia="Times New Roman" w:hAnsi="Times New Roman" w:cs="Times New Roman"/>
                <w:lang w:val="sk-SK"/>
              </w:rPr>
              <w:t xml:space="preserve">, kožné reakcie podobné </w:t>
            </w:r>
            <w:proofErr w:type="spellStart"/>
            <w:r w:rsidRPr="001340C5">
              <w:rPr>
                <w:rFonts w:ascii="Times New Roman" w:eastAsia="Times New Roman" w:hAnsi="Times New Roman" w:cs="Times New Roman"/>
                <w:lang w:val="sk-SK"/>
              </w:rPr>
              <w:t>lupus</w:t>
            </w:r>
            <w:proofErr w:type="spellEnd"/>
            <w:r w:rsidRPr="001340C5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proofErr w:type="spellStart"/>
            <w:r w:rsidRPr="001340C5">
              <w:rPr>
                <w:rFonts w:ascii="Times New Roman" w:eastAsia="Times New Roman" w:hAnsi="Times New Roman" w:cs="Times New Roman"/>
                <w:lang w:val="sk-SK"/>
              </w:rPr>
              <w:t>erythematosus</w:t>
            </w:r>
            <w:proofErr w:type="spellEnd"/>
            <w:r w:rsidRPr="001340C5">
              <w:rPr>
                <w:rFonts w:ascii="Times New Roman" w:eastAsia="Times New Roman" w:hAnsi="Times New Roman" w:cs="Times New Roman"/>
                <w:lang w:val="sk-SK"/>
              </w:rPr>
              <w:t xml:space="preserve">, reaktivácia kožného </w:t>
            </w:r>
            <w:proofErr w:type="spellStart"/>
            <w:r w:rsidRPr="001340C5">
              <w:rPr>
                <w:rFonts w:ascii="Times New Roman" w:eastAsia="Times New Roman" w:hAnsi="Times New Roman" w:cs="Times New Roman"/>
                <w:lang w:val="sk-SK"/>
              </w:rPr>
              <w:t>lupus</w:t>
            </w:r>
            <w:proofErr w:type="spellEnd"/>
            <w:r w:rsidRPr="001340C5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proofErr w:type="spellStart"/>
            <w:r w:rsidRPr="001340C5">
              <w:rPr>
                <w:rFonts w:ascii="Times New Roman" w:eastAsia="Times New Roman" w:hAnsi="Times New Roman" w:cs="Times New Roman"/>
                <w:lang w:val="sk-SK"/>
              </w:rPr>
              <w:t>erythematosus</w:t>
            </w:r>
            <w:proofErr w:type="spellEnd"/>
          </w:p>
        </w:tc>
      </w:tr>
      <w:tr w:rsidR="00A35AF1" w:rsidRPr="001340C5" w:rsidTr="005B2A19">
        <w:trPr>
          <w:trHeight w:hRule="exact" w:val="52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F1" w:rsidRPr="001340C5" w:rsidRDefault="002D6B54" w:rsidP="00244BAB">
            <w:pPr>
              <w:spacing w:after="0"/>
              <w:ind w:left="102" w:right="44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lang w:val="sk-SK"/>
              </w:rPr>
              <w:t>Poruchy kostrovej a svalovej sústavy a spojivového tkaniva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F1" w:rsidRPr="001340C5" w:rsidRDefault="00CD678F" w:rsidP="00244BAB">
            <w:pPr>
              <w:spacing w:after="0"/>
              <w:ind w:left="102" w:right="-20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lang w:val="sk-SK"/>
              </w:rPr>
              <w:t>Zriedkavé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F1" w:rsidRPr="001340C5" w:rsidRDefault="00CD678F" w:rsidP="00244BAB">
            <w:pPr>
              <w:spacing w:after="0"/>
              <w:ind w:left="102" w:right="-20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lang w:val="sk-SK"/>
              </w:rPr>
              <w:t xml:space="preserve">Svalové </w:t>
            </w:r>
            <w:proofErr w:type="spellStart"/>
            <w:r w:rsidRPr="001340C5">
              <w:rPr>
                <w:rFonts w:ascii="Times New Roman" w:eastAsia="Times New Roman" w:hAnsi="Times New Roman" w:cs="Times New Roman"/>
                <w:lang w:val="sk-SK"/>
              </w:rPr>
              <w:t>spazmy</w:t>
            </w:r>
            <w:proofErr w:type="spellEnd"/>
          </w:p>
        </w:tc>
      </w:tr>
      <w:tr w:rsidR="00A35AF1" w:rsidRPr="001340C5" w:rsidTr="005B2A19">
        <w:trPr>
          <w:trHeight w:hRule="exact" w:val="269"/>
        </w:trPr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5AF1" w:rsidRPr="001340C5" w:rsidRDefault="002D6B54" w:rsidP="00244BAB">
            <w:pPr>
              <w:spacing w:after="0"/>
              <w:ind w:left="102" w:right="81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lang w:val="sk-SK"/>
              </w:rPr>
              <w:t>Poruchy obličiek a močových ciest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F1" w:rsidRPr="001340C5" w:rsidRDefault="00CD678F" w:rsidP="00244BAB">
            <w:pPr>
              <w:spacing w:after="0"/>
              <w:ind w:left="102" w:right="-20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F1" w:rsidRPr="001340C5" w:rsidRDefault="00DC6F11" w:rsidP="00244BAB">
            <w:pPr>
              <w:spacing w:after="0"/>
              <w:ind w:left="102" w:right="-20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1340C5">
              <w:rPr>
                <w:rFonts w:ascii="Times New Roman" w:eastAsia="Times New Roman" w:hAnsi="Times New Roman" w:cs="Times New Roman"/>
                <w:lang w:val="sk-SK"/>
              </w:rPr>
              <w:t>Glykozúria</w:t>
            </w:r>
            <w:proofErr w:type="spellEnd"/>
          </w:p>
        </w:tc>
      </w:tr>
      <w:tr w:rsidR="00A35AF1" w:rsidRPr="001340C5" w:rsidTr="005B2A19">
        <w:trPr>
          <w:trHeight w:hRule="exact" w:val="528"/>
        </w:trPr>
        <w:tc>
          <w:tcPr>
            <w:tcW w:w="3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F1" w:rsidRPr="001340C5" w:rsidRDefault="00A35AF1" w:rsidP="00244BAB">
            <w:pPr>
              <w:spacing w:after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F1" w:rsidRPr="001340C5" w:rsidRDefault="00CD678F" w:rsidP="00244BAB">
            <w:pPr>
              <w:spacing w:after="0"/>
              <w:ind w:left="102" w:right="-20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lang w:val="sk-SK"/>
              </w:rPr>
              <w:t>Zriedkavé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F1" w:rsidRPr="001340C5" w:rsidRDefault="00DC6F11" w:rsidP="00244BAB">
            <w:pPr>
              <w:tabs>
                <w:tab w:val="left" w:pos="880"/>
                <w:tab w:val="left" w:pos="2180"/>
                <w:tab w:val="left" w:pos="2760"/>
              </w:tabs>
              <w:spacing w:after="0"/>
              <w:ind w:left="102" w:right="44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1340C5">
              <w:rPr>
                <w:rFonts w:ascii="Times New Roman" w:eastAsia="Times New Roman" w:hAnsi="Times New Roman" w:cs="Times New Roman"/>
                <w:lang w:val="sk-SK"/>
              </w:rPr>
              <w:t>Renálna</w:t>
            </w:r>
            <w:proofErr w:type="spellEnd"/>
            <w:r w:rsidRPr="001340C5">
              <w:rPr>
                <w:rFonts w:ascii="Times New Roman" w:eastAsia="Times New Roman" w:hAnsi="Times New Roman" w:cs="Times New Roman"/>
                <w:lang w:val="sk-SK"/>
              </w:rPr>
              <w:t xml:space="preserve"> dysfunkcia, </w:t>
            </w:r>
            <w:proofErr w:type="spellStart"/>
            <w:r w:rsidRPr="001340C5">
              <w:rPr>
                <w:rFonts w:ascii="Times New Roman" w:eastAsia="Times New Roman" w:hAnsi="Times New Roman" w:cs="Times New Roman"/>
                <w:lang w:val="sk-SK"/>
              </w:rPr>
              <w:t>intersticiálna</w:t>
            </w:r>
            <w:proofErr w:type="spellEnd"/>
            <w:r w:rsidRPr="001340C5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proofErr w:type="spellStart"/>
            <w:r w:rsidRPr="001340C5">
              <w:rPr>
                <w:rFonts w:ascii="Times New Roman" w:eastAsia="Times New Roman" w:hAnsi="Times New Roman" w:cs="Times New Roman"/>
                <w:lang w:val="sk-SK"/>
              </w:rPr>
              <w:t>nefritída</w:t>
            </w:r>
            <w:proofErr w:type="spellEnd"/>
          </w:p>
        </w:tc>
      </w:tr>
      <w:tr w:rsidR="00A35AF1" w:rsidRPr="001340C5" w:rsidTr="00DC6F11">
        <w:trPr>
          <w:trHeight w:hRule="exact" w:val="264"/>
        </w:trPr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5AF1" w:rsidRPr="001340C5" w:rsidRDefault="00DC6F11" w:rsidP="00244BAB">
            <w:pPr>
              <w:tabs>
                <w:tab w:val="left" w:pos="1380"/>
                <w:tab w:val="left" w:pos="2800"/>
              </w:tabs>
              <w:spacing w:after="0"/>
              <w:ind w:left="102" w:right="44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lang w:val="sk-SK"/>
              </w:rPr>
              <w:t>Celkové poruchy a reakcie v mieste podania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F1" w:rsidRPr="001340C5" w:rsidRDefault="00DC6F11" w:rsidP="00244BAB">
            <w:pPr>
              <w:spacing w:after="0"/>
              <w:ind w:left="102" w:right="-20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F1" w:rsidRPr="001340C5" w:rsidRDefault="00DC6F11" w:rsidP="00244BAB">
            <w:pPr>
              <w:spacing w:after="0"/>
              <w:ind w:left="102" w:right="-20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lang w:val="sk-SK"/>
              </w:rPr>
              <w:t>Slabosť</w:t>
            </w:r>
          </w:p>
        </w:tc>
      </w:tr>
      <w:tr w:rsidR="00A35AF1" w:rsidRPr="001340C5" w:rsidTr="005B2A19">
        <w:trPr>
          <w:trHeight w:hRule="exact" w:val="269"/>
        </w:trPr>
        <w:tc>
          <w:tcPr>
            <w:tcW w:w="3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F1" w:rsidRPr="001340C5" w:rsidRDefault="00A35AF1" w:rsidP="00244BAB">
            <w:pPr>
              <w:spacing w:after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F1" w:rsidRPr="001340C5" w:rsidRDefault="00DC6F11" w:rsidP="00244BAB">
            <w:pPr>
              <w:spacing w:after="0"/>
              <w:ind w:left="102" w:right="-20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lang w:val="sk-SK"/>
              </w:rPr>
              <w:t>Zriedkavé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F1" w:rsidRPr="001340C5" w:rsidRDefault="00DC6F11" w:rsidP="00244BAB">
            <w:pPr>
              <w:spacing w:after="0"/>
              <w:ind w:left="102" w:right="-20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lang w:val="sk-SK"/>
              </w:rPr>
              <w:t>Horúčka</w:t>
            </w:r>
          </w:p>
        </w:tc>
      </w:tr>
      <w:tr w:rsidR="00A35AF1" w:rsidRPr="001340C5" w:rsidTr="005B2A19">
        <w:trPr>
          <w:trHeight w:hRule="exact" w:val="528"/>
        </w:trPr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5AF1" w:rsidRPr="001340C5" w:rsidRDefault="00DC6F11" w:rsidP="00244BAB">
            <w:pPr>
              <w:spacing w:after="0"/>
              <w:ind w:left="102" w:right="-20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lang w:val="sk-SK"/>
              </w:rPr>
              <w:t>Laboratórne a funkčné vyšetrenia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F1" w:rsidRPr="001340C5" w:rsidRDefault="00DC6F11" w:rsidP="00244BAB">
            <w:pPr>
              <w:spacing w:after="0"/>
              <w:ind w:left="102" w:right="-20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F1" w:rsidRPr="001340C5" w:rsidRDefault="00DC6F11" w:rsidP="00244BAB">
            <w:pPr>
              <w:tabs>
                <w:tab w:val="left" w:pos="1340"/>
                <w:tab w:val="left" w:pos="1940"/>
                <w:tab w:val="left" w:pos="3340"/>
              </w:tabs>
              <w:spacing w:after="0"/>
              <w:ind w:left="102" w:right="44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lang w:val="sk-SK"/>
              </w:rPr>
              <w:t xml:space="preserve">Zvýšenie hladín cholesterolu a </w:t>
            </w:r>
            <w:proofErr w:type="spellStart"/>
            <w:r w:rsidRPr="001340C5">
              <w:rPr>
                <w:rFonts w:ascii="Times New Roman" w:eastAsia="Times New Roman" w:hAnsi="Times New Roman" w:cs="Times New Roman"/>
                <w:lang w:val="sk-SK"/>
              </w:rPr>
              <w:t>triglyceridov</w:t>
            </w:r>
            <w:proofErr w:type="spellEnd"/>
          </w:p>
        </w:tc>
      </w:tr>
      <w:tr w:rsidR="00A35AF1" w:rsidRPr="001340C5" w:rsidTr="006B41D1">
        <w:trPr>
          <w:trHeight w:hRule="exact" w:val="619"/>
        </w:trPr>
        <w:tc>
          <w:tcPr>
            <w:tcW w:w="3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F1" w:rsidRPr="001340C5" w:rsidRDefault="00A35AF1" w:rsidP="00244BAB">
            <w:pPr>
              <w:spacing w:after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F1" w:rsidRPr="001340C5" w:rsidRDefault="00DC6F11" w:rsidP="00244BAB">
            <w:pPr>
              <w:spacing w:after="0"/>
              <w:ind w:left="102" w:right="-20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lang w:val="sk-SK"/>
              </w:rPr>
              <w:t>Zriedkavé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F1" w:rsidRPr="001340C5" w:rsidRDefault="00DC6F11" w:rsidP="00244BAB">
            <w:pPr>
              <w:spacing w:after="0"/>
              <w:ind w:left="102" w:right="198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1340C5">
              <w:rPr>
                <w:rFonts w:ascii="Times New Roman" w:eastAsia="Times New Roman" w:hAnsi="Times New Roman" w:cs="Times New Roman"/>
                <w:lang w:val="sk-SK"/>
              </w:rPr>
              <w:t xml:space="preserve">Zvýšenie koncentrácií dusíka močoviny v krvi a sérového </w:t>
            </w:r>
            <w:proofErr w:type="spellStart"/>
            <w:r w:rsidRPr="001340C5">
              <w:rPr>
                <w:rFonts w:ascii="Times New Roman" w:eastAsia="Times New Roman" w:hAnsi="Times New Roman" w:cs="Times New Roman"/>
                <w:lang w:val="sk-SK"/>
              </w:rPr>
              <w:t>kreatinínu</w:t>
            </w:r>
            <w:proofErr w:type="spellEnd"/>
          </w:p>
        </w:tc>
      </w:tr>
    </w:tbl>
    <w:p w:rsidR="000F334C" w:rsidRPr="001340C5" w:rsidRDefault="000F334C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AC11C2" w:rsidRPr="00DE2736" w:rsidRDefault="00AC11C2" w:rsidP="00244BAB">
      <w:pPr>
        <w:spacing w:after="0"/>
        <w:jc w:val="both"/>
        <w:rPr>
          <w:rFonts w:ascii="Times New Roman" w:hAnsi="Times New Roman" w:cs="Times New Roman"/>
          <w:u w:val="single"/>
          <w:lang w:val="sk-SK"/>
        </w:rPr>
      </w:pPr>
      <w:r w:rsidRPr="00DE2736">
        <w:rPr>
          <w:rFonts w:ascii="Times New Roman" w:hAnsi="Times New Roman" w:cs="Times New Roman"/>
          <w:u w:val="single"/>
          <w:lang w:val="sk-SK"/>
        </w:rPr>
        <w:t>Hlásenie podozrení na nežiaduce reakcie</w:t>
      </w:r>
    </w:p>
    <w:p w:rsidR="004F23EB" w:rsidRPr="001340C5" w:rsidRDefault="00AC11C2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4F5AE8">
        <w:rPr>
          <w:rFonts w:ascii="Times New Roman" w:hAnsi="Times New Roman" w:cs="Times New Roman"/>
          <w:lang w:val="sk-SK"/>
        </w:rPr>
        <w:t>na</w:t>
      </w:r>
      <w:r w:rsidR="004F5AE8" w:rsidRPr="001340C5">
        <w:rPr>
          <w:rFonts w:ascii="Times New Roman" w:hAnsi="Times New Roman" w:cs="Times New Roman"/>
          <w:lang w:val="sk-SK"/>
        </w:rPr>
        <w:t xml:space="preserve"> </w:t>
      </w:r>
      <w:r w:rsidRPr="00DE2736">
        <w:rPr>
          <w:rFonts w:ascii="Times New Roman" w:hAnsi="Times New Roman" w:cs="Times New Roman"/>
          <w:highlight w:val="lightGray"/>
          <w:lang w:val="sk-SK"/>
        </w:rPr>
        <w:t xml:space="preserve">národné </w:t>
      </w:r>
      <w:r w:rsidR="004F5AE8" w:rsidRPr="00DE2736">
        <w:rPr>
          <w:rFonts w:ascii="Times New Roman" w:hAnsi="Times New Roman" w:cs="Times New Roman"/>
          <w:highlight w:val="lightGray"/>
          <w:lang w:val="sk-SK"/>
        </w:rPr>
        <w:t xml:space="preserve">centrum </w:t>
      </w:r>
      <w:r w:rsidRPr="00DE2736">
        <w:rPr>
          <w:rFonts w:ascii="Times New Roman" w:hAnsi="Times New Roman" w:cs="Times New Roman"/>
          <w:highlight w:val="lightGray"/>
          <w:lang w:val="sk-SK"/>
        </w:rPr>
        <w:t>hlásenia</w:t>
      </w:r>
      <w:r w:rsidR="009335A1" w:rsidRPr="004F5AE8">
        <w:rPr>
          <w:rFonts w:ascii="Times New Roman" w:hAnsi="Times New Roman" w:cs="Times New Roman"/>
          <w:noProof/>
          <w:highlight w:val="lightGray"/>
          <w:lang w:val="sk-SK"/>
        </w:rPr>
        <w:t xml:space="preserve"> uvedené v </w:t>
      </w:r>
      <w:hyperlink r:id="rId7" w:history="1">
        <w:r w:rsidR="009335A1" w:rsidRPr="004F5AE8">
          <w:rPr>
            <w:rFonts w:ascii="Times New Roman" w:hAnsi="Times New Roman" w:cs="Times New Roman"/>
            <w:highlight w:val="lightGray"/>
            <w:lang w:val="sk-SK"/>
          </w:rPr>
          <w:t>P</w:t>
        </w:r>
        <w:r w:rsidR="009335A1" w:rsidRPr="004F5AE8">
          <w:rPr>
            <w:rFonts w:ascii="Times New Roman" w:hAnsi="Times New Roman" w:cs="Times New Roman"/>
            <w:noProof/>
            <w:highlight w:val="lightGray"/>
            <w:lang w:val="sk-SK"/>
          </w:rPr>
          <w:t xml:space="preserve">rílohe </w:t>
        </w:r>
        <w:r w:rsidR="009335A1" w:rsidRPr="004F5AE8">
          <w:rPr>
            <w:rFonts w:ascii="Times New Roman" w:hAnsi="Times New Roman" w:cs="Times New Roman"/>
            <w:highlight w:val="lightGray"/>
            <w:lang w:val="sk-SK"/>
          </w:rPr>
          <w:t>V</w:t>
        </w:r>
      </w:hyperlink>
      <w:r w:rsidRPr="00DE2736">
        <w:rPr>
          <w:rFonts w:ascii="Times New Roman" w:hAnsi="Times New Roman" w:cs="Times New Roman"/>
          <w:highlight w:val="lightGray"/>
          <w:lang w:val="sk-SK"/>
        </w:rPr>
        <w:t>.</w:t>
      </w:r>
    </w:p>
    <w:p w:rsidR="000F334C" w:rsidRPr="001340C5" w:rsidRDefault="000F334C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1C76B6" w:rsidRPr="001340C5" w:rsidRDefault="003E6671" w:rsidP="004F5AE8">
      <w:pPr>
        <w:pStyle w:val="Odsekzoznamu"/>
        <w:numPr>
          <w:ilvl w:val="1"/>
          <w:numId w:val="19"/>
        </w:numPr>
        <w:spacing w:after="0"/>
        <w:ind w:left="567" w:hanging="567"/>
        <w:jc w:val="both"/>
        <w:rPr>
          <w:rFonts w:ascii="Times New Roman" w:hAnsi="Times New Roman" w:cs="Times New Roman"/>
          <w:b/>
          <w:lang w:val="sk-SK"/>
        </w:rPr>
      </w:pPr>
      <w:r w:rsidRPr="001340C5">
        <w:rPr>
          <w:rFonts w:ascii="Times New Roman" w:hAnsi="Times New Roman" w:cs="Times New Roman"/>
          <w:b/>
          <w:lang w:val="sk-SK"/>
        </w:rPr>
        <w:t>Predávkovanie</w:t>
      </w:r>
    </w:p>
    <w:p w:rsidR="0024142B" w:rsidRPr="001340C5" w:rsidRDefault="0024142B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590383" w:rsidRPr="001340C5" w:rsidRDefault="00590383" w:rsidP="00244BAB">
      <w:pPr>
        <w:spacing w:after="0"/>
        <w:jc w:val="both"/>
        <w:rPr>
          <w:rFonts w:ascii="Times New Roman" w:hAnsi="Times New Roman" w:cs="Times New Roman"/>
          <w:i/>
          <w:lang w:val="sk-SK"/>
        </w:rPr>
      </w:pPr>
      <w:r w:rsidRPr="001340C5">
        <w:rPr>
          <w:rFonts w:ascii="Times New Roman" w:hAnsi="Times New Roman" w:cs="Times New Roman"/>
          <w:i/>
          <w:lang w:val="sk-SK"/>
        </w:rPr>
        <w:t>Symptómy</w:t>
      </w:r>
    </w:p>
    <w:p w:rsidR="00590383" w:rsidRPr="001340C5" w:rsidRDefault="00590383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Na základe farmakologických úvah je pravdepodobné, že hlavnými prejavmi predávkovania </w:t>
      </w:r>
      <w:proofErr w:type="spellStart"/>
      <w:r w:rsidR="009335A1" w:rsidRPr="009335A1">
        <w:rPr>
          <w:rFonts w:ascii="Times New Roman" w:hAnsi="Times New Roman" w:cs="Times New Roman"/>
          <w:lang w:val="sk-SK"/>
        </w:rPr>
        <w:t>kandesartanom</w:t>
      </w:r>
      <w:proofErr w:type="spellEnd"/>
      <w:r w:rsidR="009335A1" w:rsidRPr="009335A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9335A1" w:rsidRPr="009335A1">
        <w:rPr>
          <w:rFonts w:ascii="Times New Roman" w:hAnsi="Times New Roman" w:cs="Times New Roman"/>
          <w:lang w:val="sk-SK"/>
        </w:rPr>
        <w:t>cilexetilom</w:t>
      </w:r>
      <w:proofErr w:type="spellEnd"/>
      <w:r w:rsidR="009335A1" w:rsidRPr="009335A1">
        <w:rPr>
          <w:lang w:val="sk-SK"/>
        </w:rPr>
        <w:t xml:space="preserve"> </w:t>
      </w:r>
      <w:r w:rsidRPr="001340C5">
        <w:rPr>
          <w:rFonts w:ascii="Times New Roman" w:hAnsi="Times New Roman" w:cs="Times New Roman"/>
          <w:lang w:val="sk-SK"/>
        </w:rPr>
        <w:t xml:space="preserve">môžu byť symptomatická hypotenzia a závrat. V jednotlivých prípadoch predávkovania (až do 672 mg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cilexetilu</w:t>
      </w:r>
      <w:proofErr w:type="spellEnd"/>
      <w:r w:rsidRPr="001340C5">
        <w:rPr>
          <w:rFonts w:ascii="Times New Roman" w:hAnsi="Times New Roman" w:cs="Times New Roman"/>
          <w:lang w:val="sk-SK"/>
        </w:rPr>
        <w:t>) prebehlo zotavenie pacientov bez komplikácií.</w:t>
      </w:r>
    </w:p>
    <w:p w:rsidR="00590383" w:rsidRPr="001340C5" w:rsidRDefault="00590383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24142B" w:rsidRPr="001340C5" w:rsidRDefault="00590383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Hlavným príznakom predávkovania 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hydrochlorotiazidom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je náhla strata tekutín a elektrolytov. </w:t>
      </w:r>
      <w:r w:rsidR="000E19CB" w:rsidRPr="001340C5">
        <w:rPr>
          <w:rFonts w:ascii="Times New Roman" w:hAnsi="Times New Roman" w:cs="Times New Roman"/>
          <w:lang w:val="sk-SK"/>
        </w:rPr>
        <w:t>Môžu sa tiež p</w:t>
      </w:r>
      <w:r w:rsidRPr="001340C5">
        <w:rPr>
          <w:rFonts w:ascii="Times New Roman" w:hAnsi="Times New Roman" w:cs="Times New Roman"/>
          <w:lang w:val="sk-SK"/>
        </w:rPr>
        <w:t>ozorova</w:t>
      </w:r>
      <w:r w:rsidR="000E19CB" w:rsidRPr="001340C5">
        <w:rPr>
          <w:rFonts w:ascii="Times New Roman" w:hAnsi="Times New Roman" w:cs="Times New Roman"/>
          <w:lang w:val="sk-SK"/>
        </w:rPr>
        <w:t>ť</w:t>
      </w:r>
      <w:r w:rsidRPr="001340C5">
        <w:rPr>
          <w:rFonts w:ascii="Times New Roman" w:hAnsi="Times New Roman" w:cs="Times New Roman"/>
          <w:lang w:val="sk-SK"/>
        </w:rPr>
        <w:t xml:space="preserve"> symptómy ako závrat, hypotenzia, smäd, </w:t>
      </w:r>
      <w:proofErr w:type="spellStart"/>
      <w:r w:rsidRPr="001340C5">
        <w:rPr>
          <w:rFonts w:ascii="Times New Roman" w:hAnsi="Times New Roman" w:cs="Times New Roman"/>
          <w:lang w:val="sk-SK"/>
        </w:rPr>
        <w:t>tachykardia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komorové poruchy rytmu, </w:t>
      </w:r>
      <w:proofErr w:type="spellStart"/>
      <w:r w:rsidRPr="001340C5">
        <w:rPr>
          <w:rFonts w:ascii="Times New Roman" w:hAnsi="Times New Roman" w:cs="Times New Roman"/>
          <w:lang w:val="sk-SK"/>
        </w:rPr>
        <w:t>sedácia</w:t>
      </w:r>
      <w:proofErr w:type="spellEnd"/>
      <w:r w:rsidRPr="001340C5">
        <w:rPr>
          <w:rFonts w:ascii="Times New Roman" w:hAnsi="Times New Roman" w:cs="Times New Roman"/>
          <w:lang w:val="sk-SK"/>
        </w:rPr>
        <w:t>/poruchy vedomia a svalové kŕče.</w:t>
      </w:r>
    </w:p>
    <w:p w:rsidR="0024142B" w:rsidRPr="001340C5" w:rsidRDefault="0024142B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3302D6" w:rsidRPr="001340C5" w:rsidRDefault="003302D6" w:rsidP="00244BAB">
      <w:pPr>
        <w:spacing w:after="0"/>
        <w:jc w:val="both"/>
        <w:rPr>
          <w:rFonts w:ascii="Times New Roman" w:hAnsi="Times New Roman" w:cs="Times New Roman"/>
          <w:i/>
          <w:lang w:val="sk-SK"/>
        </w:rPr>
      </w:pPr>
      <w:r w:rsidRPr="001340C5">
        <w:rPr>
          <w:rFonts w:ascii="Times New Roman" w:hAnsi="Times New Roman" w:cs="Times New Roman"/>
          <w:i/>
          <w:lang w:val="sk-SK"/>
        </w:rPr>
        <w:t>Liečba</w:t>
      </w:r>
    </w:p>
    <w:p w:rsidR="003302D6" w:rsidRPr="001340C5" w:rsidRDefault="003302D6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O liečbe predávkovania </w:t>
      </w:r>
      <w:proofErr w:type="spellStart"/>
      <w:r w:rsidR="00B37EDA">
        <w:rPr>
          <w:rFonts w:ascii="Times New Roman" w:hAnsi="Times New Roman" w:cs="Times New Roman"/>
          <w:lang w:val="sk-SK"/>
        </w:rPr>
        <w:t>C</w:t>
      </w:r>
      <w:r w:rsidR="001D0B6E" w:rsidRPr="001340C5">
        <w:rPr>
          <w:rFonts w:ascii="Times New Roman" w:hAnsi="Times New Roman" w:cs="Times New Roman"/>
          <w:lang w:val="sk-SK"/>
        </w:rPr>
        <w:t>andesartanom</w:t>
      </w:r>
      <w:proofErr w:type="spellEnd"/>
      <w:r w:rsidR="001D0B6E" w:rsidRPr="001340C5">
        <w:rPr>
          <w:rFonts w:ascii="Times New Roman" w:hAnsi="Times New Roman" w:cs="Times New Roman"/>
          <w:lang w:val="sk-SK"/>
        </w:rPr>
        <w:t xml:space="preserve"> H</w:t>
      </w:r>
      <w:r w:rsidR="005906EC">
        <w:rPr>
          <w:rFonts w:ascii="Times New Roman" w:hAnsi="Times New Roman" w:cs="Times New Roman"/>
          <w:lang w:val="sk-SK"/>
        </w:rPr>
        <w:t>CT</w:t>
      </w:r>
      <w:r w:rsidR="001D0B6E"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B37EDA">
        <w:rPr>
          <w:rFonts w:ascii="Times New Roman" w:hAnsi="Times New Roman" w:cs="Times New Roman"/>
          <w:lang w:val="sk-SK"/>
        </w:rPr>
        <w:t>Swyssi</w:t>
      </w:r>
      <w:proofErr w:type="spellEnd"/>
      <w:r w:rsidR="001D0B6E" w:rsidRPr="001340C5">
        <w:rPr>
          <w:rFonts w:ascii="Times New Roman" w:hAnsi="Times New Roman" w:cs="Times New Roman"/>
          <w:lang w:val="sk-SK"/>
        </w:rPr>
        <w:t xml:space="preserve"> </w:t>
      </w:r>
      <w:r w:rsidRPr="001340C5">
        <w:rPr>
          <w:rFonts w:ascii="Times New Roman" w:hAnsi="Times New Roman" w:cs="Times New Roman"/>
          <w:lang w:val="sk-SK"/>
        </w:rPr>
        <w:t>nie je dostupná žiadna osobitná informácia. V prípade predávkovania sa odporúčajú nasledujúce opatrenia</w:t>
      </w:r>
      <w:r w:rsidR="001911E6" w:rsidRPr="001340C5">
        <w:rPr>
          <w:rFonts w:ascii="Times New Roman" w:hAnsi="Times New Roman" w:cs="Times New Roman"/>
          <w:lang w:val="sk-SK"/>
        </w:rPr>
        <w:t>.</w:t>
      </w:r>
    </w:p>
    <w:p w:rsidR="003302D6" w:rsidRPr="001340C5" w:rsidRDefault="003302D6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Indikované môže byť vyvolanie vracania alebo výplach žalúdka. V prípade vzniku symptomatickej hypotenzie je potrebné začať symptomatickú liečbu a sledovať vitálne funkcie. Pacient má byť uložený na chrbát s dolnými končatinami zdvihnutými nad podložkou. Ak to nepostačuje, je nutné doplniť objem plazmy napr. infúziou </w:t>
      </w:r>
      <w:proofErr w:type="spellStart"/>
      <w:r w:rsidRPr="001340C5">
        <w:rPr>
          <w:rFonts w:ascii="Times New Roman" w:hAnsi="Times New Roman" w:cs="Times New Roman"/>
          <w:lang w:val="sk-SK"/>
        </w:rPr>
        <w:t>izotonického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fyziologického roztoku. Skontrolovať, a ak je potrebné, upraviť hladiny sérových elektrolytov a acidobázu. Ak sa uvedenými opatreniami nepodarí hypotenziu zvládnuť, môžu sa podať </w:t>
      </w:r>
      <w:proofErr w:type="spellStart"/>
      <w:r w:rsidRPr="001340C5">
        <w:rPr>
          <w:rFonts w:ascii="Times New Roman" w:hAnsi="Times New Roman" w:cs="Times New Roman"/>
          <w:lang w:val="sk-SK"/>
        </w:rPr>
        <w:t>sympatomimetické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látky.</w:t>
      </w:r>
    </w:p>
    <w:p w:rsidR="003302D6" w:rsidRPr="001340C5" w:rsidRDefault="003302D6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24142B" w:rsidRPr="001340C5" w:rsidRDefault="003302D6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 w:rsidRPr="001340C5">
        <w:rPr>
          <w:rFonts w:ascii="Times New Roman" w:hAnsi="Times New Roman" w:cs="Times New Roman"/>
          <w:lang w:val="sk-SK"/>
        </w:rPr>
        <w:t>Kandesartan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nie je možné odstrániť hemodialýzou. Nie je známe, do akej miery sa dá hemodialýzou odstrániť 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</w:t>
      </w:r>
      <w:proofErr w:type="spellEnd"/>
      <w:r w:rsidRPr="001340C5">
        <w:rPr>
          <w:rFonts w:ascii="Times New Roman" w:hAnsi="Times New Roman" w:cs="Times New Roman"/>
          <w:lang w:val="sk-SK"/>
        </w:rPr>
        <w:t>.</w:t>
      </w:r>
    </w:p>
    <w:p w:rsidR="0024142B" w:rsidRPr="001340C5" w:rsidRDefault="0024142B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24142B" w:rsidRPr="001340C5" w:rsidRDefault="0024142B" w:rsidP="00244BAB">
      <w:pPr>
        <w:spacing w:after="0"/>
        <w:jc w:val="both"/>
        <w:rPr>
          <w:rFonts w:ascii="Times New Roman" w:hAnsi="Times New Roman" w:cs="Times New Roman"/>
          <w:b/>
          <w:lang w:val="sk-SK"/>
        </w:rPr>
      </w:pPr>
    </w:p>
    <w:p w:rsidR="000D1B72" w:rsidRPr="001340C5" w:rsidRDefault="007E0A50" w:rsidP="004F5AE8">
      <w:pPr>
        <w:pStyle w:val="Odsekzoznamu"/>
        <w:numPr>
          <w:ilvl w:val="0"/>
          <w:numId w:val="19"/>
        </w:numPr>
        <w:spacing w:after="0"/>
        <w:ind w:left="567" w:hanging="567"/>
        <w:jc w:val="both"/>
        <w:rPr>
          <w:rFonts w:ascii="Times New Roman" w:hAnsi="Times New Roman" w:cs="Times New Roman"/>
          <w:b/>
          <w:lang w:val="sk-SK"/>
        </w:rPr>
      </w:pPr>
      <w:r w:rsidRPr="001340C5">
        <w:rPr>
          <w:rFonts w:ascii="Times New Roman" w:hAnsi="Times New Roman" w:cs="Times New Roman"/>
          <w:b/>
          <w:lang w:val="sk-SK"/>
        </w:rPr>
        <w:t>FARMAKOLOGICKÉ VLASTNOSTI</w:t>
      </w:r>
    </w:p>
    <w:p w:rsidR="00C509F4" w:rsidRPr="001340C5" w:rsidRDefault="00C509F4" w:rsidP="00103E2E">
      <w:pPr>
        <w:spacing w:after="0"/>
        <w:ind w:left="567" w:hanging="567"/>
        <w:jc w:val="both"/>
        <w:rPr>
          <w:rFonts w:ascii="Times New Roman" w:hAnsi="Times New Roman" w:cs="Times New Roman"/>
          <w:b/>
          <w:lang w:val="sk-SK"/>
        </w:rPr>
      </w:pPr>
    </w:p>
    <w:p w:rsidR="000D1B72" w:rsidRPr="001340C5" w:rsidRDefault="001060EC" w:rsidP="00103E2E">
      <w:pPr>
        <w:pStyle w:val="Odsekzoznamu"/>
        <w:numPr>
          <w:ilvl w:val="0"/>
          <w:numId w:val="12"/>
        </w:numPr>
        <w:spacing w:after="0"/>
        <w:ind w:left="567" w:hanging="567"/>
        <w:jc w:val="both"/>
        <w:rPr>
          <w:rFonts w:ascii="Times New Roman" w:hAnsi="Times New Roman" w:cs="Times New Roman"/>
          <w:b/>
          <w:lang w:val="sk-SK"/>
        </w:rPr>
      </w:pPr>
      <w:proofErr w:type="spellStart"/>
      <w:r w:rsidRPr="001340C5">
        <w:rPr>
          <w:rFonts w:ascii="Times New Roman" w:hAnsi="Times New Roman" w:cs="Times New Roman"/>
          <w:b/>
          <w:lang w:val="sk-SK"/>
        </w:rPr>
        <w:t>Farmakodynamické</w:t>
      </w:r>
      <w:proofErr w:type="spellEnd"/>
      <w:r w:rsidRPr="001340C5">
        <w:rPr>
          <w:rFonts w:ascii="Times New Roman" w:hAnsi="Times New Roman" w:cs="Times New Roman"/>
          <w:b/>
          <w:lang w:val="sk-SK"/>
        </w:rPr>
        <w:t xml:space="preserve"> vlastnosti</w:t>
      </w:r>
    </w:p>
    <w:p w:rsidR="007E0A50" w:rsidRPr="001340C5" w:rsidRDefault="007E0A50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F36FFD" w:rsidRPr="001340C5" w:rsidRDefault="00F36FFD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 w:rsidRPr="001340C5">
        <w:rPr>
          <w:rFonts w:ascii="Times New Roman" w:hAnsi="Times New Roman" w:cs="Times New Roman"/>
          <w:lang w:val="sk-SK"/>
        </w:rPr>
        <w:t>Farmakoterapeutická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skupina: liečivá </w:t>
      </w:r>
      <w:r w:rsidR="000A1B66" w:rsidRPr="001340C5">
        <w:rPr>
          <w:rFonts w:ascii="Times New Roman" w:hAnsi="Times New Roman" w:cs="Times New Roman"/>
          <w:lang w:val="sk-SK"/>
        </w:rPr>
        <w:t>s účinkom</w:t>
      </w:r>
      <w:r w:rsidRPr="001340C5">
        <w:rPr>
          <w:rFonts w:ascii="Times New Roman" w:hAnsi="Times New Roman" w:cs="Times New Roman"/>
          <w:lang w:val="sk-SK"/>
        </w:rPr>
        <w:t xml:space="preserve"> na </w:t>
      </w:r>
      <w:proofErr w:type="spellStart"/>
      <w:r w:rsidRPr="001340C5">
        <w:rPr>
          <w:rFonts w:ascii="Times New Roman" w:hAnsi="Times New Roman" w:cs="Times New Roman"/>
          <w:lang w:val="sk-SK"/>
        </w:rPr>
        <w:t>renín-angiotenzínový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systém, </w:t>
      </w:r>
      <w:proofErr w:type="spellStart"/>
      <w:r w:rsidRPr="001340C5">
        <w:rPr>
          <w:rFonts w:ascii="Times New Roman" w:hAnsi="Times New Roman" w:cs="Times New Roman"/>
          <w:lang w:val="sk-SK"/>
        </w:rPr>
        <w:t>antagonisty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angiotenzínu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II a diuretiká, </w:t>
      </w:r>
    </w:p>
    <w:p w:rsidR="00F36FFD" w:rsidRPr="001340C5" w:rsidRDefault="00F36FFD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>ATC kód: C09DA06</w:t>
      </w:r>
    </w:p>
    <w:p w:rsidR="00F36FFD" w:rsidRPr="001340C5" w:rsidRDefault="00F36FFD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7E0A50" w:rsidRPr="001340C5" w:rsidRDefault="00F36FFD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 w:rsidRPr="001340C5">
        <w:rPr>
          <w:rFonts w:ascii="Times New Roman" w:hAnsi="Times New Roman" w:cs="Times New Roman"/>
          <w:lang w:val="sk-SK"/>
        </w:rPr>
        <w:t>Angiotenzín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II je primárny </w:t>
      </w:r>
      <w:proofErr w:type="spellStart"/>
      <w:r w:rsidRPr="001340C5">
        <w:rPr>
          <w:rFonts w:ascii="Times New Roman" w:hAnsi="Times New Roman" w:cs="Times New Roman"/>
          <w:lang w:val="sk-SK"/>
        </w:rPr>
        <w:t>vazoaktívny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hormón systému </w:t>
      </w:r>
      <w:proofErr w:type="spellStart"/>
      <w:r w:rsidRPr="001340C5">
        <w:rPr>
          <w:rFonts w:ascii="Times New Roman" w:hAnsi="Times New Roman" w:cs="Times New Roman"/>
          <w:lang w:val="sk-SK"/>
        </w:rPr>
        <w:t>renín-angiotenzín-aldosterón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ktorý zohráva úlohu v </w:t>
      </w:r>
      <w:proofErr w:type="spellStart"/>
      <w:r w:rsidRPr="001340C5">
        <w:rPr>
          <w:rFonts w:ascii="Times New Roman" w:hAnsi="Times New Roman" w:cs="Times New Roman"/>
          <w:lang w:val="sk-SK"/>
        </w:rPr>
        <w:t>patofyziológii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hypertenzie a iných kardiovaskulárnych ochorení. Taktiež má dôležitý význam aj v patogenéze hypertrofie orgánov a poškodenia cieľových orgánov. Najdôležitejšie fyziologické účinky </w:t>
      </w:r>
      <w:proofErr w:type="spellStart"/>
      <w:r w:rsidRPr="001340C5">
        <w:rPr>
          <w:rFonts w:ascii="Times New Roman" w:hAnsi="Times New Roman" w:cs="Times New Roman"/>
          <w:lang w:val="sk-SK"/>
        </w:rPr>
        <w:t>angiotenzínu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II, akými sú </w:t>
      </w:r>
      <w:proofErr w:type="spellStart"/>
      <w:r w:rsidRPr="001340C5">
        <w:rPr>
          <w:rFonts w:ascii="Times New Roman" w:hAnsi="Times New Roman" w:cs="Times New Roman"/>
          <w:lang w:val="sk-SK"/>
        </w:rPr>
        <w:t>vazokonstrikcia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stimulácia sekrécie </w:t>
      </w:r>
      <w:proofErr w:type="spellStart"/>
      <w:r w:rsidRPr="001340C5">
        <w:rPr>
          <w:rFonts w:ascii="Times New Roman" w:hAnsi="Times New Roman" w:cs="Times New Roman"/>
          <w:lang w:val="sk-SK"/>
        </w:rPr>
        <w:t>aldosterónu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regulácia </w:t>
      </w:r>
      <w:proofErr w:type="spellStart"/>
      <w:r w:rsidRPr="001340C5">
        <w:rPr>
          <w:rFonts w:ascii="Times New Roman" w:hAnsi="Times New Roman" w:cs="Times New Roman"/>
          <w:lang w:val="sk-SK"/>
        </w:rPr>
        <w:t>homeostázy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vody a solí a stimulácia rastu buniek, sú sprostredkované prostredníctvom receptora typu I (AT</w:t>
      </w:r>
      <w:r w:rsidRPr="001340C5">
        <w:rPr>
          <w:rFonts w:ascii="Times New Roman" w:hAnsi="Times New Roman" w:cs="Times New Roman"/>
          <w:vertAlign w:val="subscript"/>
          <w:lang w:val="sk-SK"/>
        </w:rPr>
        <w:t>1</w:t>
      </w:r>
      <w:r w:rsidRPr="001340C5">
        <w:rPr>
          <w:rFonts w:ascii="Times New Roman" w:hAnsi="Times New Roman" w:cs="Times New Roman"/>
          <w:lang w:val="sk-SK"/>
        </w:rPr>
        <w:t>).</w:t>
      </w:r>
    </w:p>
    <w:p w:rsidR="00874839" w:rsidRPr="001340C5" w:rsidRDefault="00874839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49160D" w:rsidRPr="001340C5" w:rsidRDefault="0049160D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 w:rsidRPr="001340C5">
        <w:rPr>
          <w:rFonts w:ascii="Times New Roman" w:hAnsi="Times New Roman" w:cs="Times New Roman"/>
          <w:lang w:val="sk-SK"/>
        </w:rPr>
        <w:t>Kandesartan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cilexetil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je rýchlo sa konvertujúcim prekurzorom liečiva,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tento proces prebieha v dôsledku hydrolýzy esteru počas vstrebávania v </w:t>
      </w:r>
      <w:proofErr w:type="spellStart"/>
      <w:r w:rsidRPr="001340C5">
        <w:rPr>
          <w:rFonts w:ascii="Times New Roman" w:hAnsi="Times New Roman" w:cs="Times New Roman"/>
          <w:lang w:val="sk-SK"/>
        </w:rPr>
        <w:t>gastrointestinálnom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trakte.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je AIIRA, selektívny voči AT</w:t>
      </w:r>
      <w:r w:rsidRPr="001340C5">
        <w:rPr>
          <w:rFonts w:ascii="Times New Roman" w:hAnsi="Times New Roman" w:cs="Times New Roman"/>
          <w:vertAlign w:val="subscript"/>
          <w:lang w:val="sk-SK"/>
        </w:rPr>
        <w:t>1</w:t>
      </w:r>
      <w:r w:rsidRPr="001340C5">
        <w:rPr>
          <w:rFonts w:ascii="Times New Roman" w:hAnsi="Times New Roman" w:cs="Times New Roman"/>
          <w:lang w:val="sk-SK"/>
        </w:rPr>
        <w:t xml:space="preserve"> receptorom, na ktoré sa pevne viaže a z ktorých sa pomaly uvoľňuje. Nemá žiadnu </w:t>
      </w:r>
      <w:proofErr w:type="spellStart"/>
      <w:r w:rsidRPr="001340C5">
        <w:rPr>
          <w:rFonts w:ascii="Times New Roman" w:hAnsi="Times New Roman" w:cs="Times New Roman"/>
          <w:lang w:val="sk-SK"/>
        </w:rPr>
        <w:t>agonistickú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aktivitu.</w:t>
      </w:r>
    </w:p>
    <w:p w:rsidR="0049160D" w:rsidRPr="001340C5" w:rsidRDefault="0049160D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874839" w:rsidRPr="001340C5" w:rsidRDefault="0049160D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 w:rsidRPr="001340C5">
        <w:rPr>
          <w:rFonts w:ascii="Times New Roman" w:hAnsi="Times New Roman" w:cs="Times New Roman"/>
          <w:lang w:val="sk-SK"/>
        </w:rPr>
        <w:t>Kandesartan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nemá vplyv na ACE, alebo iné enzymatické systémy zvyčajne spájané s použitím ACE inhibítorov. Vzhľadom na chýbanie účinku na degradáciu </w:t>
      </w:r>
      <w:proofErr w:type="spellStart"/>
      <w:r w:rsidRPr="001340C5">
        <w:rPr>
          <w:rFonts w:ascii="Times New Roman" w:hAnsi="Times New Roman" w:cs="Times New Roman"/>
          <w:lang w:val="sk-SK"/>
        </w:rPr>
        <w:t>kinínov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alebo na metabolizmus iných látok, ako je substancia P, nie je pravdepodobné, že by </w:t>
      </w:r>
      <w:proofErr w:type="spellStart"/>
      <w:r w:rsidRPr="001340C5">
        <w:rPr>
          <w:rFonts w:ascii="Times New Roman" w:hAnsi="Times New Roman" w:cs="Times New Roman"/>
          <w:lang w:val="sk-SK"/>
        </w:rPr>
        <w:t>AIIRAs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vyvolávali kašeľ. V kontrolovaných klinických štúdiách, porovnávajúcich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cilexetil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s ACE inhibítormi, bola </w:t>
      </w:r>
      <w:proofErr w:type="spellStart"/>
      <w:r w:rsidRPr="001340C5">
        <w:rPr>
          <w:rFonts w:ascii="Times New Roman" w:hAnsi="Times New Roman" w:cs="Times New Roman"/>
          <w:lang w:val="sk-SK"/>
        </w:rPr>
        <w:t>incidencia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kašľa nižšia u pacientov užívajúcich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cilexetil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.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sa neviaže, ani neblokuje iné receptory pre hormóny alebo iónové kanály, ktoré sú dôležité v kardiovaskulárnych regulačných procesoch. Antagonizmus AT</w:t>
      </w:r>
      <w:r w:rsidRPr="001340C5">
        <w:rPr>
          <w:rFonts w:ascii="Times New Roman" w:hAnsi="Times New Roman" w:cs="Times New Roman"/>
          <w:vertAlign w:val="subscript"/>
          <w:lang w:val="sk-SK"/>
        </w:rPr>
        <w:t>1</w:t>
      </w:r>
      <w:r w:rsidRPr="001340C5">
        <w:rPr>
          <w:rFonts w:ascii="Times New Roman" w:hAnsi="Times New Roman" w:cs="Times New Roman"/>
          <w:lang w:val="sk-SK"/>
        </w:rPr>
        <w:t xml:space="preserve"> receptora má za následok na dávke závislé zvýšenie hladiny </w:t>
      </w:r>
      <w:proofErr w:type="spellStart"/>
      <w:r w:rsidRPr="001340C5">
        <w:rPr>
          <w:rFonts w:ascii="Times New Roman" w:hAnsi="Times New Roman" w:cs="Times New Roman"/>
          <w:lang w:val="sk-SK"/>
        </w:rPr>
        <w:t>renínu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v plazme, ako aj koncentrácií </w:t>
      </w:r>
      <w:proofErr w:type="spellStart"/>
      <w:r w:rsidRPr="001340C5">
        <w:rPr>
          <w:rFonts w:ascii="Times New Roman" w:hAnsi="Times New Roman" w:cs="Times New Roman"/>
          <w:lang w:val="sk-SK"/>
        </w:rPr>
        <w:t>angiotenzínu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I a </w:t>
      </w:r>
      <w:proofErr w:type="spellStart"/>
      <w:r w:rsidRPr="001340C5">
        <w:rPr>
          <w:rFonts w:ascii="Times New Roman" w:hAnsi="Times New Roman" w:cs="Times New Roman"/>
          <w:lang w:val="sk-SK"/>
        </w:rPr>
        <w:t>angiotenzínu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II, a zníženie koncentrácie plazmatického </w:t>
      </w:r>
      <w:proofErr w:type="spellStart"/>
      <w:r w:rsidRPr="001340C5">
        <w:rPr>
          <w:rFonts w:ascii="Times New Roman" w:hAnsi="Times New Roman" w:cs="Times New Roman"/>
          <w:lang w:val="sk-SK"/>
        </w:rPr>
        <w:t>aldosterónu</w:t>
      </w:r>
      <w:proofErr w:type="spellEnd"/>
      <w:r w:rsidRPr="001340C5">
        <w:rPr>
          <w:rFonts w:ascii="Times New Roman" w:hAnsi="Times New Roman" w:cs="Times New Roman"/>
          <w:lang w:val="sk-SK"/>
        </w:rPr>
        <w:t>.</w:t>
      </w:r>
    </w:p>
    <w:p w:rsidR="007E0A50" w:rsidRPr="001340C5" w:rsidRDefault="007E0A50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8E4B13" w:rsidRPr="001340C5" w:rsidRDefault="000A2C8B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Účinok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cilexetilu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podávaného raz denne v dávke 8-16 mg (priemerne 12 mg) na kardiovaskulárnu morbiditu a mortalitu sa hodnotil v </w:t>
      </w:r>
      <w:proofErr w:type="spellStart"/>
      <w:r w:rsidRPr="001340C5">
        <w:rPr>
          <w:rFonts w:ascii="Times New Roman" w:hAnsi="Times New Roman" w:cs="Times New Roman"/>
          <w:lang w:val="sk-SK"/>
        </w:rPr>
        <w:t>randomizovanej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klinickej štúdii, do ktorej bolo zaradených 4937 starších pacientov (vo veku 70-89 rokov; z toho 21 % 80 ročných a starších) s ľahkou až stredne ťažkou hypertenziou trvajúcou v priemere 3,7 rokov (Study on </w:t>
      </w:r>
      <w:proofErr w:type="spellStart"/>
      <w:r w:rsidRPr="001340C5">
        <w:rPr>
          <w:rFonts w:ascii="Times New Roman" w:hAnsi="Times New Roman" w:cs="Times New Roman"/>
          <w:lang w:val="sk-SK"/>
        </w:rPr>
        <w:t>Cognition</w:t>
      </w:r>
      <w:proofErr w:type="spellEnd"/>
      <w:r w:rsidR="008E4B13" w:rsidRPr="001340C5">
        <w:rPr>
          <w:rFonts w:ascii="Times New Roman" w:hAnsi="Times New Roman" w:cs="Times New Roman"/>
          <w:lang w:val="sk-SK"/>
        </w:rPr>
        <w:t xml:space="preserve"> and </w:t>
      </w:r>
      <w:proofErr w:type="spellStart"/>
      <w:r w:rsidR="008E4B13" w:rsidRPr="001340C5">
        <w:rPr>
          <w:rFonts w:ascii="Times New Roman" w:hAnsi="Times New Roman" w:cs="Times New Roman"/>
          <w:lang w:val="sk-SK"/>
        </w:rPr>
        <w:t>Prognosis</w:t>
      </w:r>
      <w:proofErr w:type="spellEnd"/>
      <w:r w:rsidR="008E4B13" w:rsidRPr="001340C5">
        <w:rPr>
          <w:rFonts w:ascii="Times New Roman" w:hAnsi="Times New Roman" w:cs="Times New Roman"/>
          <w:lang w:val="sk-SK"/>
        </w:rPr>
        <w:t xml:space="preserve"> in </w:t>
      </w:r>
      <w:proofErr w:type="spellStart"/>
      <w:r w:rsidR="008E4B13" w:rsidRPr="001340C5">
        <w:rPr>
          <w:rFonts w:ascii="Times New Roman" w:hAnsi="Times New Roman" w:cs="Times New Roman"/>
          <w:lang w:val="sk-SK"/>
        </w:rPr>
        <w:t>the</w:t>
      </w:r>
      <w:proofErr w:type="spellEnd"/>
      <w:r w:rsidR="008E4B13"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8E4B13" w:rsidRPr="001340C5">
        <w:rPr>
          <w:rFonts w:ascii="Times New Roman" w:hAnsi="Times New Roman" w:cs="Times New Roman"/>
          <w:lang w:val="sk-SK"/>
        </w:rPr>
        <w:t>Elderly</w:t>
      </w:r>
      <w:proofErr w:type="spellEnd"/>
      <w:r w:rsidR="008E4B13" w:rsidRPr="001340C5">
        <w:rPr>
          <w:rFonts w:ascii="Times New Roman" w:hAnsi="Times New Roman" w:cs="Times New Roman"/>
          <w:lang w:val="sk-SK"/>
        </w:rPr>
        <w:t>).</w:t>
      </w:r>
    </w:p>
    <w:p w:rsidR="008E4B13" w:rsidRPr="001340C5" w:rsidRDefault="008E4B13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0A2C8B" w:rsidRPr="001340C5" w:rsidRDefault="000A2C8B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Pacienti užívali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alebo placebo spolu s ďalšou </w:t>
      </w:r>
      <w:proofErr w:type="spellStart"/>
      <w:r w:rsidRPr="001340C5">
        <w:rPr>
          <w:rFonts w:ascii="Times New Roman" w:hAnsi="Times New Roman" w:cs="Times New Roman"/>
          <w:lang w:val="sk-SK"/>
        </w:rPr>
        <w:t>antihypertenznou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liečbou, pridanou podľa potreby. V skupine pacientov, ktorí užívali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bolo pozorované zníženie krvného tlaku zo 166/90 na 145/80 </w:t>
      </w:r>
      <w:proofErr w:type="spellStart"/>
      <w:r w:rsidRPr="001340C5">
        <w:rPr>
          <w:rFonts w:ascii="Times New Roman" w:hAnsi="Times New Roman" w:cs="Times New Roman"/>
          <w:lang w:val="sk-SK"/>
        </w:rPr>
        <w:t>mmHg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 v kontrolnej skupine nastalo zníženie tlaku zo 167/90 na 149/82 </w:t>
      </w:r>
      <w:proofErr w:type="spellStart"/>
      <w:r w:rsidRPr="001340C5">
        <w:rPr>
          <w:rFonts w:ascii="Times New Roman" w:hAnsi="Times New Roman" w:cs="Times New Roman"/>
          <w:lang w:val="sk-SK"/>
        </w:rPr>
        <w:t>mmHg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. V primárnom cieľovom ukazovateli, </w:t>
      </w:r>
      <w:proofErr w:type="spellStart"/>
      <w:r w:rsidRPr="001340C5">
        <w:rPr>
          <w:rFonts w:ascii="Times New Roman" w:hAnsi="Times New Roman" w:cs="Times New Roman"/>
          <w:lang w:val="sk-SK"/>
        </w:rPr>
        <w:t>t.j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. pri závažných kardiovaskulárnych príhodách (kardiovaskulárna mortalita, nefatálna mozgová príhoda a infarkt myokardu bez smrteľných následkov) sa nezistili štatisticky významné rozdiely. Vyskytlo sa 26,7 prípadov na 1000 </w:t>
      </w:r>
      <w:proofErr w:type="spellStart"/>
      <w:r w:rsidRPr="001340C5">
        <w:rPr>
          <w:rFonts w:ascii="Times New Roman" w:hAnsi="Times New Roman" w:cs="Times New Roman"/>
          <w:lang w:val="sk-SK"/>
        </w:rPr>
        <w:t>pacientorokov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v skupine pacientov, ktorí užívali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v porovnaní s 30 prípadmi na 1000 </w:t>
      </w:r>
      <w:proofErr w:type="spellStart"/>
      <w:r w:rsidRPr="001340C5">
        <w:rPr>
          <w:rFonts w:ascii="Times New Roman" w:hAnsi="Times New Roman" w:cs="Times New Roman"/>
          <w:lang w:val="sk-SK"/>
        </w:rPr>
        <w:t>pacientorokov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v kontrolnej skupine (relatívne riziko 0,89, 95 % CI 0,75 až 1,06, p=0,19).</w:t>
      </w:r>
    </w:p>
    <w:p w:rsidR="00BA6317" w:rsidRPr="001340C5" w:rsidRDefault="00BA6317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 w:rsidRPr="001340C5">
        <w:rPr>
          <w:rFonts w:ascii="Times New Roman" w:hAnsi="Times New Roman" w:cs="Times New Roman"/>
          <w:lang w:val="sk-SK"/>
        </w:rPr>
        <w:t>Hydrochlorotiazid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inhibuje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aktívnu </w:t>
      </w:r>
      <w:proofErr w:type="spellStart"/>
      <w:r w:rsidRPr="001340C5">
        <w:rPr>
          <w:rFonts w:ascii="Times New Roman" w:hAnsi="Times New Roman" w:cs="Times New Roman"/>
          <w:lang w:val="sk-SK"/>
        </w:rPr>
        <w:t>reabsorpciu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sodíka, hlavne v </w:t>
      </w:r>
      <w:proofErr w:type="spellStart"/>
      <w:r w:rsidRPr="001340C5">
        <w:rPr>
          <w:rFonts w:ascii="Times New Roman" w:hAnsi="Times New Roman" w:cs="Times New Roman"/>
          <w:lang w:val="sk-SK"/>
        </w:rPr>
        <w:t>distálnom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tubule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 podporuje vylučovanie sodíka, chloridov a vody. Vylučovanie draslíka a horčíka obličkami sa zvyšuje v závislosti od dávky, zatiaľ čo vápnik sa vo väčšom rozsahu </w:t>
      </w:r>
      <w:proofErr w:type="spellStart"/>
      <w:r w:rsidRPr="001340C5">
        <w:rPr>
          <w:rFonts w:ascii="Times New Roman" w:hAnsi="Times New Roman" w:cs="Times New Roman"/>
          <w:lang w:val="sk-SK"/>
        </w:rPr>
        <w:t>reabsorbuje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. 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znižuje objem plazmy a </w:t>
      </w:r>
      <w:proofErr w:type="spellStart"/>
      <w:r w:rsidRPr="001340C5">
        <w:rPr>
          <w:rFonts w:ascii="Times New Roman" w:hAnsi="Times New Roman" w:cs="Times New Roman"/>
          <w:lang w:val="sk-SK"/>
        </w:rPr>
        <w:t>extracelulárnych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tekutín, zmenšuje srdcový výdaj a krvný tlak. Počas dlhodobej liečby prispieva znížená periférna rezistencia k poklesu tlaku krvi. </w:t>
      </w:r>
    </w:p>
    <w:p w:rsidR="00BA6317" w:rsidRPr="001340C5" w:rsidRDefault="00BA6317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BA6317" w:rsidRPr="001340C5" w:rsidRDefault="00BA6317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lastRenderedPageBreak/>
        <w:t xml:space="preserve">Rozsiahle klinické skúšky ukázali, že dlhodobá liečba 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hydrochlorotiazidom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znižuje riziko výskytu kardiovaskulárnych ochorení a úmrtí na tieto ochorenia.</w:t>
      </w:r>
    </w:p>
    <w:p w:rsidR="00831E9D" w:rsidRPr="001340C5" w:rsidRDefault="00831E9D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48341F" w:rsidRPr="001340C5" w:rsidRDefault="00BA6317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 w:rsidRPr="001340C5">
        <w:rPr>
          <w:rFonts w:ascii="Times New Roman" w:hAnsi="Times New Roman" w:cs="Times New Roman"/>
          <w:lang w:val="sk-SK"/>
        </w:rPr>
        <w:t>Kandesartan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majú aditívny </w:t>
      </w:r>
      <w:proofErr w:type="spellStart"/>
      <w:r w:rsidRPr="001340C5">
        <w:rPr>
          <w:rFonts w:ascii="Times New Roman" w:hAnsi="Times New Roman" w:cs="Times New Roman"/>
          <w:lang w:val="sk-SK"/>
        </w:rPr>
        <w:t>antihypertenzný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účinok.</w:t>
      </w:r>
    </w:p>
    <w:p w:rsidR="0093048F" w:rsidRPr="001340C5" w:rsidRDefault="0093048F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576F40" w:rsidRPr="001340C5" w:rsidRDefault="00576F40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U pacientov s vysokým krvným tlakom </w:t>
      </w:r>
      <w:proofErr w:type="spellStart"/>
      <w:r w:rsidR="007A1222" w:rsidRPr="001340C5">
        <w:rPr>
          <w:rFonts w:ascii="Times New Roman" w:hAnsi="Times New Roman" w:cs="Times New Roman"/>
          <w:lang w:val="sk-SK"/>
        </w:rPr>
        <w:t>kandesartan</w:t>
      </w:r>
      <w:proofErr w:type="spellEnd"/>
      <w:r w:rsidR="007A1222"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7A1222" w:rsidRPr="001340C5">
        <w:rPr>
          <w:rFonts w:ascii="Times New Roman" w:hAnsi="Times New Roman" w:cs="Times New Roman"/>
          <w:lang w:val="sk-SK"/>
        </w:rPr>
        <w:t>cilexetil</w:t>
      </w:r>
      <w:proofErr w:type="spellEnd"/>
      <w:r w:rsidR="007A1222" w:rsidRPr="001340C5">
        <w:rPr>
          <w:rFonts w:ascii="Times New Roman" w:hAnsi="Times New Roman" w:cs="Times New Roman"/>
          <w:lang w:val="sk-SK"/>
        </w:rPr>
        <w:t>/</w:t>
      </w:r>
      <w:proofErr w:type="spellStart"/>
      <w:r w:rsidR="007A1222" w:rsidRPr="001340C5">
        <w:rPr>
          <w:rFonts w:ascii="Times New Roman" w:hAnsi="Times New Roman" w:cs="Times New Roman"/>
          <w:lang w:val="sk-SK"/>
        </w:rPr>
        <w:t>hydrochlorotiazid</w:t>
      </w:r>
      <w:proofErr w:type="spellEnd"/>
      <w:r w:rsidR="007A1222" w:rsidRPr="001340C5">
        <w:rPr>
          <w:rFonts w:ascii="Times New Roman" w:hAnsi="Times New Roman" w:cs="Times New Roman"/>
          <w:lang w:val="sk-SK"/>
        </w:rPr>
        <w:t xml:space="preserve"> </w:t>
      </w:r>
      <w:r w:rsidRPr="001340C5">
        <w:rPr>
          <w:rFonts w:ascii="Times New Roman" w:hAnsi="Times New Roman" w:cs="Times New Roman"/>
          <w:lang w:val="sk-SK"/>
        </w:rPr>
        <w:t xml:space="preserve">spôsobuje na dávke závislé a dlhotrvajúce zníženie </w:t>
      </w:r>
      <w:proofErr w:type="spellStart"/>
      <w:r w:rsidRPr="001340C5">
        <w:rPr>
          <w:rFonts w:ascii="Times New Roman" w:hAnsi="Times New Roman" w:cs="Times New Roman"/>
          <w:lang w:val="sk-SK"/>
        </w:rPr>
        <w:t>arteriálneho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krvného tlaku bez reflexného zvýšenia srdcovej frekvencie. Nebol zistený žiadny náznak závažnej alebo vystupňovanej hypotenzie po podaní prvej dávky, ani „</w:t>
      </w:r>
      <w:proofErr w:type="spellStart"/>
      <w:r w:rsidRPr="001340C5">
        <w:rPr>
          <w:rFonts w:ascii="Times New Roman" w:hAnsi="Times New Roman" w:cs="Times New Roman"/>
          <w:lang w:val="sk-SK"/>
        </w:rPr>
        <w:t>rebound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“ fenomén po skončení liečby. Po podaní jednorazovej dávky </w:t>
      </w:r>
      <w:proofErr w:type="spellStart"/>
      <w:r w:rsidR="007A1222" w:rsidRPr="001340C5">
        <w:rPr>
          <w:rFonts w:ascii="Times New Roman" w:hAnsi="Times New Roman" w:cs="Times New Roman"/>
          <w:lang w:val="sk-SK"/>
        </w:rPr>
        <w:t>kandesartan</w:t>
      </w:r>
      <w:r w:rsidR="000A1B66" w:rsidRPr="001340C5">
        <w:rPr>
          <w:rFonts w:ascii="Times New Roman" w:hAnsi="Times New Roman" w:cs="Times New Roman"/>
          <w:lang w:val="sk-SK"/>
        </w:rPr>
        <w:t>u</w:t>
      </w:r>
      <w:proofErr w:type="spellEnd"/>
      <w:r w:rsidR="007A1222"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7A1222" w:rsidRPr="001340C5">
        <w:rPr>
          <w:rFonts w:ascii="Times New Roman" w:hAnsi="Times New Roman" w:cs="Times New Roman"/>
          <w:lang w:val="sk-SK"/>
        </w:rPr>
        <w:t>cilexetil</w:t>
      </w:r>
      <w:r w:rsidR="000A1B66" w:rsidRPr="001340C5">
        <w:rPr>
          <w:rFonts w:ascii="Times New Roman" w:hAnsi="Times New Roman" w:cs="Times New Roman"/>
          <w:lang w:val="sk-SK"/>
        </w:rPr>
        <w:t>u</w:t>
      </w:r>
      <w:proofErr w:type="spellEnd"/>
      <w:r w:rsidR="007A1222" w:rsidRPr="001340C5">
        <w:rPr>
          <w:rFonts w:ascii="Times New Roman" w:hAnsi="Times New Roman" w:cs="Times New Roman"/>
          <w:lang w:val="sk-SK"/>
        </w:rPr>
        <w:t>/</w:t>
      </w:r>
      <w:proofErr w:type="spellStart"/>
      <w:r w:rsidR="007A1222" w:rsidRPr="001340C5">
        <w:rPr>
          <w:rFonts w:ascii="Times New Roman" w:hAnsi="Times New Roman" w:cs="Times New Roman"/>
          <w:lang w:val="sk-SK"/>
        </w:rPr>
        <w:t>hydrochlorotiazid</w:t>
      </w:r>
      <w:r w:rsidR="000A1B66" w:rsidRPr="001340C5">
        <w:rPr>
          <w:rFonts w:ascii="Times New Roman" w:hAnsi="Times New Roman" w:cs="Times New Roman"/>
          <w:lang w:val="sk-SK"/>
        </w:rPr>
        <w:t>u</w:t>
      </w:r>
      <w:proofErr w:type="spellEnd"/>
      <w:r w:rsidR="007A1222" w:rsidRPr="001340C5">
        <w:rPr>
          <w:rFonts w:ascii="Times New Roman" w:hAnsi="Times New Roman" w:cs="Times New Roman"/>
          <w:lang w:val="sk-SK"/>
        </w:rPr>
        <w:t xml:space="preserve"> </w:t>
      </w:r>
      <w:r w:rsidRPr="001340C5">
        <w:rPr>
          <w:rFonts w:ascii="Times New Roman" w:hAnsi="Times New Roman" w:cs="Times New Roman"/>
          <w:lang w:val="sk-SK"/>
        </w:rPr>
        <w:t xml:space="preserve">začiatok </w:t>
      </w:r>
      <w:proofErr w:type="spellStart"/>
      <w:r w:rsidRPr="001340C5">
        <w:rPr>
          <w:rFonts w:ascii="Times New Roman" w:hAnsi="Times New Roman" w:cs="Times New Roman"/>
          <w:lang w:val="sk-SK"/>
        </w:rPr>
        <w:t>antihypertenzného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účinku vo všeobecnosti nastane v priebehu dvoch hodín. Pri nepretržitej liečbe sa maximálne zníženie tlaku krvi obyčajne dosiahne v priebehu 4 týždňov a udržuje sa počas dlhodobej liečby. </w:t>
      </w:r>
    </w:p>
    <w:p w:rsidR="0093048F" w:rsidRPr="001340C5" w:rsidRDefault="00576F40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Terapia </w:t>
      </w:r>
      <w:proofErr w:type="spellStart"/>
      <w:r w:rsidR="007A1222" w:rsidRPr="001340C5">
        <w:rPr>
          <w:rFonts w:ascii="Times New Roman" w:hAnsi="Times New Roman" w:cs="Times New Roman"/>
          <w:lang w:val="sk-SK"/>
        </w:rPr>
        <w:t>kandesartan</w:t>
      </w:r>
      <w:r w:rsidR="00BD7904" w:rsidRPr="001340C5">
        <w:rPr>
          <w:rFonts w:ascii="Times New Roman" w:hAnsi="Times New Roman" w:cs="Times New Roman"/>
          <w:lang w:val="sk-SK"/>
        </w:rPr>
        <w:t>om</w:t>
      </w:r>
      <w:proofErr w:type="spellEnd"/>
      <w:r w:rsidR="007A1222"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7A1222" w:rsidRPr="001340C5">
        <w:rPr>
          <w:rFonts w:ascii="Times New Roman" w:hAnsi="Times New Roman" w:cs="Times New Roman"/>
          <w:lang w:val="sk-SK"/>
        </w:rPr>
        <w:t>cilexetil</w:t>
      </w:r>
      <w:r w:rsidR="00BD7904" w:rsidRPr="001340C5">
        <w:rPr>
          <w:rFonts w:ascii="Times New Roman" w:hAnsi="Times New Roman" w:cs="Times New Roman"/>
          <w:lang w:val="sk-SK"/>
        </w:rPr>
        <w:t>om</w:t>
      </w:r>
      <w:proofErr w:type="spellEnd"/>
      <w:r w:rsidR="007A1222" w:rsidRPr="001340C5">
        <w:rPr>
          <w:rFonts w:ascii="Times New Roman" w:hAnsi="Times New Roman" w:cs="Times New Roman"/>
          <w:lang w:val="sk-SK"/>
        </w:rPr>
        <w:t>/</w:t>
      </w:r>
      <w:proofErr w:type="spellStart"/>
      <w:r w:rsidR="007A1222" w:rsidRPr="001340C5">
        <w:rPr>
          <w:rFonts w:ascii="Times New Roman" w:hAnsi="Times New Roman" w:cs="Times New Roman"/>
          <w:lang w:val="sk-SK"/>
        </w:rPr>
        <w:t>hydrochlorotiazid</w:t>
      </w:r>
      <w:r w:rsidR="00BD7904" w:rsidRPr="001340C5">
        <w:rPr>
          <w:rFonts w:ascii="Times New Roman" w:hAnsi="Times New Roman" w:cs="Times New Roman"/>
          <w:lang w:val="sk-SK"/>
        </w:rPr>
        <w:t>om</w:t>
      </w:r>
      <w:proofErr w:type="spellEnd"/>
      <w:r w:rsidR="007A1222" w:rsidRPr="001340C5">
        <w:rPr>
          <w:rFonts w:ascii="Times New Roman" w:hAnsi="Times New Roman" w:cs="Times New Roman"/>
          <w:lang w:val="sk-SK"/>
        </w:rPr>
        <w:t xml:space="preserve"> </w:t>
      </w:r>
      <w:r w:rsidRPr="001340C5">
        <w:rPr>
          <w:rFonts w:ascii="Times New Roman" w:hAnsi="Times New Roman" w:cs="Times New Roman"/>
          <w:lang w:val="sk-SK"/>
        </w:rPr>
        <w:t>v dávkovaní raz denne zabezpečuje účinné a plynulé zníženie tlaku krvi počas 24</w:t>
      </w:r>
      <w:r w:rsidR="000A1B66" w:rsidRPr="001340C5">
        <w:rPr>
          <w:rFonts w:ascii="Times New Roman" w:hAnsi="Times New Roman" w:cs="Times New Roman"/>
          <w:lang w:val="sk-SK"/>
        </w:rPr>
        <w:t xml:space="preserve"> </w:t>
      </w:r>
      <w:r w:rsidRPr="001340C5">
        <w:rPr>
          <w:rFonts w:ascii="Times New Roman" w:hAnsi="Times New Roman" w:cs="Times New Roman"/>
          <w:lang w:val="sk-SK"/>
        </w:rPr>
        <w:t xml:space="preserve">hodín s malou zmenou medzi maximálnym a minimálnym účinkom počas dávkovacieho intervalu. V dvojito zaslepenej, </w:t>
      </w:r>
      <w:proofErr w:type="spellStart"/>
      <w:r w:rsidRPr="001340C5">
        <w:rPr>
          <w:rFonts w:ascii="Times New Roman" w:hAnsi="Times New Roman" w:cs="Times New Roman"/>
          <w:lang w:val="sk-SK"/>
        </w:rPr>
        <w:t>randomizovanej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klinickej štúdii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cilexetil</w:t>
      </w:r>
      <w:proofErr w:type="spellEnd"/>
      <w:r w:rsidRPr="001340C5">
        <w:rPr>
          <w:rFonts w:ascii="Times New Roman" w:hAnsi="Times New Roman" w:cs="Times New Roman"/>
          <w:lang w:val="sk-SK"/>
        </w:rPr>
        <w:t>/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16 mg/12,5 mg podaný jedenkrát denne znižoval tlak krvi štatisticky významne viac ako kombinácia </w:t>
      </w:r>
      <w:proofErr w:type="spellStart"/>
      <w:r w:rsidRPr="001340C5">
        <w:rPr>
          <w:rFonts w:ascii="Times New Roman" w:hAnsi="Times New Roman" w:cs="Times New Roman"/>
          <w:lang w:val="sk-SK"/>
        </w:rPr>
        <w:t>losartan</w:t>
      </w:r>
      <w:proofErr w:type="spellEnd"/>
      <w:r w:rsidRPr="001340C5">
        <w:rPr>
          <w:rFonts w:ascii="Times New Roman" w:hAnsi="Times New Roman" w:cs="Times New Roman"/>
          <w:lang w:val="sk-SK"/>
        </w:rPr>
        <w:t>/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50 mg/12,5 mg podaný jedenkrát denne.</w:t>
      </w:r>
    </w:p>
    <w:p w:rsidR="0048341F" w:rsidRPr="001340C5" w:rsidRDefault="0048341F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23049D" w:rsidRPr="001340C5" w:rsidRDefault="0023049D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V dvojito zaslepených, </w:t>
      </w:r>
      <w:proofErr w:type="spellStart"/>
      <w:r w:rsidRPr="001340C5">
        <w:rPr>
          <w:rFonts w:ascii="Times New Roman" w:hAnsi="Times New Roman" w:cs="Times New Roman"/>
          <w:lang w:val="sk-SK"/>
        </w:rPr>
        <w:t>randomizovaných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klinických štúdiách bol výskyt nežiaducich účinkov, hlavne kašľa, nižší počas liečby kombináciou liečiv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cilexetil</w:t>
      </w:r>
      <w:proofErr w:type="spellEnd"/>
      <w:r w:rsidRPr="001340C5">
        <w:rPr>
          <w:rFonts w:ascii="Times New Roman" w:hAnsi="Times New Roman" w:cs="Times New Roman"/>
          <w:lang w:val="sk-SK"/>
        </w:rPr>
        <w:t>/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ako počas liečby kombináciou ACE inhibítor/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</w:t>
      </w:r>
      <w:proofErr w:type="spellEnd"/>
      <w:r w:rsidRPr="001340C5">
        <w:rPr>
          <w:rFonts w:ascii="Times New Roman" w:hAnsi="Times New Roman" w:cs="Times New Roman"/>
          <w:lang w:val="sk-SK"/>
        </w:rPr>
        <w:t>.</w:t>
      </w:r>
    </w:p>
    <w:p w:rsidR="0023049D" w:rsidRPr="001340C5" w:rsidRDefault="0023049D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23049D" w:rsidRPr="001340C5" w:rsidRDefault="0023049D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>V dvoch klinických skúšaniach (</w:t>
      </w:r>
      <w:proofErr w:type="spellStart"/>
      <w:r w:rsidRPr="001340C5">
        <w:rPr>
          <w:rFonts w:ascii="Times New Roman" w:hAnsi="Times New Roman" w:cs="Times New Roman"/>
          <w:lang w:val="sk-SK"/>
        </w:rPr>
        <w:t>randomizované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dvojito zaslepené, placebom kontrolované, s paralelnou skupinou) zahŕňajúcich 275 a 1524 </w:t>
      </w:r>
      <w:proofErr w:type="spellStart"/>
      <w:r w:rsidRPr="001340C5">
        <w:rPr>
          <w:rFonts w:ascii="Times New Roman" w:hAnsi="Times New Roman" w:cs="Times New Roman"/>
          <w:lang w:val="sk-SK"/>
        </w:rPr>
        <w:t>randomizovaných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pacientov kombinácia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cilexetilu</w:t>
      </w:r>
      <w:proofErr w:type="spellEnd"/>
      <w:r w:rsidRPr="001340C5">
        <w:rPr>
          <w:rFonts w:ascii="Times New Roman" w:hAnsi="Times New Roman" w:cs="Times New Roman"/>
          <w:lang w:val="sk-SK"/>
        </w:rPr>
        <w:t>/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32 mg/12,5 mg a 32 mg/25 mg mali za následok redukciu krvného tlaku na 22/15 </w:t>
      </w:r>
      <w:proofErr w:type="spellStart"/>
      <w:r w:rsidRPr="001340C5">
        <w:rPr>
          <w:rFonts w:ascii="Times New Roman" w:hAnsi="Times New Roman" w:cs="Times New Roman"/>
          <w:lang w:val="sk-SK"/>
        </w:rPr>
        <w:t>mmHg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pre nižšiu dávku a na 21/14 </w:t>
      </w:r>
      <w:proofErr w:type="spellStart"/>
      <w:r w:rsidRPr="001340C5">
        <w:rPr>
          <w:rFonts w:ascii="Times New Roman" w:hAnsi="Times New Roman" w:cs="Times New Roman"/>
          <w:lang w:val="sk-SK"/>
        </w:rPr>
        <w:t>mmHg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pre vyššiu dávku a boli signifikantne účinnejšie než samotné zložky.</w:t>
      </w:r>
    </w:p>
    <w:p w:rsidR="0023049D" w:rsidRPr="001340C5" w:rsidRDefault="0023049D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23049D" w:rsidRPr="001340C5" w:rsidRDefault="0023049D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V </w:t>
      </w:r>
      <w:proofErr w:type="spellStart"/>
      <w:r w:rsidRPr="001340C5">
        <w:rPr>
          <w:rFonts w:ascii="Times New Roman" w:hAnsi="Times New Roman" w:cs="Times New Roman"/>
          <w:lang w:val="sk-SK"/>
        </w:rPr>
        <w:t>randomizovanom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dvojito zaslepenom klinickom skúšaní s paralelnou skupinou u 1975 </w:t>
      </w:r>
      <w:proofErr w:type="spellStart"/>
      <w:r w:rsidRPr="001340C5">
        <w:rPr>
          <w:rFonts w:ascii="Times New Roman" w:hAnsi="Times New Roman" w:cs="Times New Roman"/>
          <w:lang w:val="sk-SK"/>
        </w:rPr>
        <w:t>randomizovaných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pacientov neoptimálne kontrolovaných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kandesartanom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cilexetilom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v dávke 32 mg jedenkrát denne malo pridanie 12,5 mg alebo 25 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 za následok ďalšiu redukciu krvného tlaku. Kombinácia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cilexetilu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32 mg/25 mg bola signifikantne účinnejšia než kombinácia 32 mg/12,5 mg, pričom priemerná redukcia krvného tlaku bola 16/10 </w:t>
      </w:r>
      <w:proofErr w:type="spellStart"/>
      <w:r w:rsidRPr="001340C5">
        <w:rPr>
          <w:rFonts w:ascii="Times New Roman" w:hAnsi="Times New Roman" w:cs="Times New Roman"/>
          <w:lang w:val="sk-SK"/>
        </w:rPr>
        <w:t>mmHg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pre dávku 32 mg/25 mg a 13/9 </w:t>
      </w:r>
      <w:proofErr w:type="spellStart"/>
      <w:r w:rsidRPr="001340C5">
        <w:rPr>
          <w:rFonts w:ascii="Times New Roman" w:hAnsi="Times New Roman" w:cs="Times New Roman"/>
          <w:lang w:val="sk-SK"/>
        </w:rPr>
        <w:t>mmHg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pre dávku 32 mg/12,5 mg.</w:t>
      </w:r>
    </w:p>
    <w:p w:rsidR="00B7456A" w:rsidRPr="001340C5" w:rsidRDefault="00B7456A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B7456A" w:rsidRPr="001340C5" w:rsidRDefault="00B7456A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 w:rsidRPr="001340C5">
        <w:rPr>
          <w:rFonts w:ascii="Times New Roman" w:hAnsi="Times New Roman" w:cs="Times New Roman"/>
          <w:lang w:val="sk-SK"/>
        </w:rPr>
        <w:t>Kandesartan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cilexetil</w:t>
      </w:r>
      <w:proofErr w:type="spellEnd"/>
      <w:r w:rsidRPr="001340C5">
        <w:rPr>
          <w:rFonts w:ascii="Times New Roman" w:hAnsi="Times New Roman" w:cs="Times New Roman"/>
          <w:lang w:val="sk-SK"/>
        </w:rPr>
        <w:t>/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je podobne účinný u všetkých pacientov bez ohľadu na vek </w:t>
      </w:r>
    </w:p>
    <w:p w:rsidR="00B7456A" w:rsidRPr="001340C5" w:rsidRDefault="00B7456A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>a pohlavie.</w:t>
      </w:r>
    </w:p>
    <w:p w:rsidR="00B7456A" w:rsidRPr="001340C5" w:rsidRDefault="00B7456A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B7456A" w:rsidRPr="001340C5" w:rsidRDefault="00B7456A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V súčasnosti nie sú k dispozícii údaje o použití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cilexetilu</w:t>
      </w:r>
      <w:proofErr w:type="spellEnd"/>
      <w:r w:rsidRPr="001340C5">
        <w:rPr>
          <w:rFonts w:ascii="Times New Roman" w:hAnsi="Times New Roman" w:cs="Times New Roman"/>
          <w:lang w:val="sk-SK"/>
        </w:rPr>
        <w:t>/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u pacientov s </w:t>
      </w:r>
      <w:proofErr w:type="spellStart"/>
      <w:r w:rsidRPr="001340C5">
        <w:rPr>
          <w:rFonts w:ascii="Times New Roman" w:hAnsi="Times New Roman" w:cs="Times New Roman"/>
          <w:lang w:val="sk-SK"/>
        </w:rPr>
        <w:t>renálnym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ochorením/</w:t>
      </w:r>
      <w:proofErr w:type="spellStart"/>
      <w:r w:rsidRPr="001340C5">
        <w:rPr>
          <w:rFonts w:ascii="Times New Roman" w:hAnsi="Times New Roman" w:cs="Times New Roman"/>
          <w:lang w:val="sk-SK"/>
        </w:rPr>
        <w:t>nefropatiou</w:t>
      </w:r>
      <w:proofErr w:type="spellEnd"/>
      <w:r w:rsidRPr="001340C5">
        <w:rPr>
          <w:rFonts w:ascii="Times New Roman" w:hAnsi="Times New Roman" w:cs="Times New Roman"/>
          <w:lang w:val="sk-SK"/>
        </w:rPr>
        <w:t>, zníženou funkciou ľavej komory/</w:t>
      </w:r>
      <w:proofErr w:type="spellStart"/>
      <w:r w:rsidRPr="001340C5">
        <w:rPr>
          <w:rFonts w:ascii="Times New Roman" w:hAnsi="Times New Roman" w:cs="Times New Roman"/>
          <w:lang w:val="sk-SK"/>
        </w:rPr>
        <w:t>kongestívnym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srdcovým zlyhaním a u pacientov, ktorí prekonali infarkt myokardu.</w:t>
      </w:r>
    </w:p>
    <w:p w:rsidR="00B7456A" w:rsidRPr="001340C5" w:rsidRDefault="00B7456A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B7456A" w:rsidRPr="001340C5" w:rsidRDefault="00B7456A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Dve rozsiahle </w:t>
      </w:r>
      <w:proofErr w:type="spellStart"/>
      <w:r w:rsidRPr="001340C5">
        <w:rPr>
          <w:rFonts w:ascii="Times New Roman" w:hAnsi="Times New Roman" w:cs="Times New Roman"/>
          <w:lang w:val="sk-SK"/>
        </w:rPr>
        <w:t>randomizované</w:t>
      </w:r>
      <w:proofErr w:type="spellEnd"/>
      <w:r w:rsidRPr="001340C5">
        <w:rPr>
          <w:rFonts w:ascii="Times New Roman" w:hAnsi="Times New Roman" w:cs="Times New Roman"/>
          <w:lang w:val="sk-SK"/>
        </w:rPr>
        <w:t>, kontrolované klinické skúšania (ONTARGET (</w:t>
      </w:r>
      <w:proofErr w:type="spellStart"/>
      <w:r w:rsidRPr="001340C5">
        <w:rPr>
          <w:rFonts w:ascii="Times New Roman" w:hAnsi="Times New Roman" w:cs="Times New Roman"/>
          <w:lang w:val="sk-SK"/>
        </w:rPr>
        <w:t>ONgoing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Telmisartan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Alone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and in </w:t>
      </w:r>
      <w:proofErr w:type="spellStart"/>
      <w:r w:rsidRPr="001340C5">
        <w:rPr>
          <w:rFonts w:ascii="Times New Roman" w:hAnsi="Times New Roman" w:cs="Times New Roman"/>
          <w:lang w:val="sk-SK"/>
        </w:rPr>
        <w:t>combination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with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Ramipril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Global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Endpoint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Trial) a VA NEPHRON-D (</w:t>
      </w:r>
      <w:proofErr w:type="spellStart"/>
      <w:r w:rsidRPr="001340C5">
        <w:rPr>
          <w:rFonts w:ascii="Times New Roman" w:hAnsi="Times New Roman" w:cs="Times New Roman"/>
          <w:lang w:val="sk-SK"/>
        </w:rPr>
        <w:t>The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Veterans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Affairs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Nephropathy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in Diabetes)) skúmali použitie kombinácie inhibítora ACE a </w:t>
      </w:r>
      <w:proofErr w:type="spellStart"/>
      <w:r w:rsidRPr="001340C5">
        <w:rPr>
          <w:rFonts w:ascii="Times New Roman" w:hAnsi="Times New Roman" w:cs="Times New Roman"/>
          <w:lang w:val="sk-SK"/>
        </w:rPr>
        <w:t>blokátora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receptorov </w:t>
      </w:r>
      <w:proofErr w:type="spellStart"/>
      <w:r w:rsidRPr="001340C5">
        <w:rPr>
          <w:rFonts w:ascii="Times New Roman" w:hAnsi="Times New Roman" w:cs="Times New Roman"/>
          <w:lang w:val="sk-SK"/>
        </w:rPr>
        <w:t>angiotenzínu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II.</w:t>
      </w:r>
    </w:p>
    <w:p w:rsidR="00B7456A" w:rsidRPr="001340C5" w:rsidRDefault="00B7456A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B7456A" w:rsidRPr="001340C5" w:rsidRDefault="00B7456A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Skúšanie ONTARGET sa vykonalo u pacientov s kardiovaskulárnym alebo </w:t>
      </w:r>
      <w:proofErr w:type="spellStart"/>
      <w:r w:rsidRPr="001340C5">
        <w:rPr>
          <w:rFonts w:ascii="Times New Roman" w:hAnsi="Times New Roman" w:cs="Times New Roman"/>
          <w:lang w:val="sk-SK"/>
        </w:rPr>
        <w:t>cerebrovaskulárnym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ochorením v anamnéze, alebo u pacientov s diabet</w:t>
      </w:r>
      <w:r w:rsidR="008D6E72" w:rsidRPr="001340C5">
        <w:rPr>
          <w:rFonts w:ascii="Times New Roman" w:hAnsi="Times New Roman" w:cs="Times New Roman"/>
          <w:lang w:val="sk-SK"/>
        </w:rPr>
        <w:t>om</w:t>
      </w:r>
      <w:r w:rsidRPr="001340C5">
        <w:rPr>
          <w:rFonts w:ascii="Times New Roman" w:hAnsi="Times New Roman" w:cs="Times New Roman"/>
          <w:lang w:val="sk-SK"/>
        </w:rPr>
        <w:t xml:space="preserve"> mellitus 2. typu, u ktorých sa preukázalo poškodenie cieľových orgánov. Skúšanie VA NEPHRON-D sa vykonalo u pacientov s diabet</w:t>
      </w:r>
      <w:r w:rsidR="008D6E72" w:rsidRPr="001340C5">
        <w:rPr>
          <w:rFonts w:ascii="Times New Roman" w:hAnsi="Times New Roman" w:cs="Times New Roman"/>
          <w:lang w:val="sk-SK"/>
        </w:rPr>
        <w:t>om</w:t>
      </w:r>
      <w:r w:rsidRPr="001340C5">
        <w:rPr>
          <w:rFonts w:ascii="Times New Roman" w:hAnsi="Times New Roman" w:cs="Times New Roman"/>
          <w:lang w:val="sk-SK"/>
        </w:rPr>
        <w:t xml:space="preserve"> mellitus 2. typu a diabetickou </w:t>
      </w:r>
      <w:proofErr w:type="spellStart"/>
      <w:r w:rsidRPr="001340C5">
        <w:rPr>
          <w:rFonts w:ascii="Times New Roman" w:hAnsi="Times New Roman" w:cs="Times New Roman"/>
          <w:lang w:val="sk-SK"/>
        </w:rPr>
        <w:t>nefropatiou</w:t>
      </w:r>
      <w:proofErr w:type="spellEnd"/>
      <w:r w:rsidRPr="001340C5">
        <w:rPr>
          <w:rFonts w:ascii="Times New Roman" w:hAnsi="Times New Roman" w:cs="Times New Roman"/>
          <w:lang w:val="sk-SK"/>
        </w:rPr>
        <w:t>.</w:t>
      </w:r>
    </w:p>
    <w:p w:rsidR="00F2193E" w:rsidRPr="001340C5" w:rsidRDefault="00F2193E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B7456A" w:rsidRPr="001340C5" w:rsidRDefault="00B7456A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Tieto skúšania neukázali významný priaznivý účinok na </w:t>
      </w:r>
      <w:proofErr w:type="spellStart"/>
      <w:r w:rsidRPr="001340C5">
        <w:rPr>
          <w:rFonts w:ascii="Times New Roman" w:hAnsi="Times New Roman" w:cs="Times New Roman"/>
          <w:lang w:val="sk-SK"/>
        </w:rPr>
        <w:t>renálne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a/alebo kardiovaskulárne ukazovatele a mortalitu, zatiaľ čo v porovnaní s </w:t>
      </w:r>
      <w:proofErr w:type="spellStart"/>
      <w:r w:rsidRPr="001340C5">
        <w:rPr>
          <w:rFonts w:ascii="Times New Roman" w:hAnsi="Times New Roman" w:cs="Times New Roman"/>
          <w:lang w:val="sk-SK"/>
        </w:rPr>
        <w:t>monoterapiou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sa pozorovalo zvýšené riziko </w:t>
      </w:r>
      <w:proofErr w:type="spellStart"/>
      <w:r w:rsidRPr="001340C5">
        <w:rPr>
          <w:rFonts w:ascii="Times New Roman" w:hAnsi="Times New Roman" w:cs="Times New Roman"/>
          <w:lang w:val="sk-SK"/>
        </w:rPr>
        <w:t>hyperkaliémie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akútneho </w:t>
      </w:r>
      <w:r w:rsidRPr="001340C5">
        <w:rPr>
          <w:rFonts w:ascii="Times New Roman" w:hAnsi="Times New Roman" w:cs="Times New Roman"/>
          <w:lang w:val="sk-SK"/>
        </w:rPr>
        <w:lastRenderedPageBreak/>
        <w:t xml:space="preserve">poškodenia obličiek a/alebo hypotenzie. Vzhľadom na podobné </w:t>
      </w:r>
      <w:proofErr w:type="spellStart"/>
      <w:r w:rsidRPr="001340C5">
        <w:rPr>
          <w:rFonts w:ascii="Times New Roman" w:hAnsi="Times New Roman" w:cs="Times New Roman"/>
          <w:lang w:val="sk-SK"/>
        </w:rPr>
        <w:t>farmakodynamické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vlastnosti sú tieto výsledky relevantné aj pre ostatné inhibítory ACE a </w:t>
      </w:r>
      <w:proofErr w:type="spellStart"/>
      <w:r w:rsidRPr="001340C5">
        <w:rPr>
          <w:rFonts w:ascii="Times New Roman" w:hAnsi="Times New Roman" w:cs="Times New Roman"/>
          <w:lang w:val="sk-SK"/>
        </w:rPr>
        <w:t>blokátory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receptorov </w:t>
      </w:r>
      <w:proofErr w:type="spellStart"/>
      <w:r w:rsidRPr="001340C5">
        <w:rPr>
          <w:rFonts w:ascii="Times New Roman" w:hAnsi="Times New Roman" w:cs="Times New Roman"/>
          <w:lang w:val="sk-SK"/>
        </w:rPr>
        <w:t>angiotenzínu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II.</w:t>
      </w:r>
    </w:p>
    <w:p w:rsidR="00B7456A" w:rsidRPr="001340C5" w:rsidRDefault="00B7456A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B7456A" w:rsidRPr="001340C5" w:rsidRDefault="00B7456A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Inhibítory ACE a </w:t>
      </w:r>
      <w:proofErr w:type="spellStart"/>
      <w:r w:rsidRPr="001340C5">
        <w:rPr>
          <w:rFonts w:ascii="Times New Roman" w:hAnsi="Times New Roman" w:cs="Times New Roman"/>
          <w:lang w:val="sk-SK"/>
        </w:rPr>
        <w:t>blokátory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receptorov </w:t>
      </w:r>
      <w:proofErr w:type="spellStart"/>
      <w:r w:rsidRPr="001340C5">
        <w:rPr>
          <w:rFonts w:ascii="Times New Roman" w:hAnsi="Times New Roman" w:cs="Times New Roman"/>
          <w:lang w:val="sk-SK"/>
        </w:rPr>
        <w:t>angiotenzínu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II sa preto nemajú používať súbežne u pacientov s diabetickou </w:t>
      </w:r>
      <w:proofErr w:type="spellStart"/>
      <w:r w:rsidRPr="001340C5">
        <w:rPr>
          <w:rFonts w:ascii="Times New Roman" w:hAnsi="Times New Roman" w:cs="Times New Roman"/>
          <w:lang w:val="sk-SK"/>
        </w:rPr>
        <w:t>nefropatiou</w:t>
      </w:r>
      <w:proofErr w:type="spellEnd"/>
      <w:r w:rsidRPr="001340C5">
        <w:rPr>
          <w:rFonts w:ascii="Times New Roman" w:hAnsi="Times New Roman" w:cs="Times New Roman"/>
          <w:lang w:val="sk-SK"/>
        </w:rPr>
        <w:t>.</w:t>
      </w:r>
    </w:p>
    <w:p w:rsidR="00B7456A" w:rsidRPr="001340C5" w:rsidRDefault="00B7456A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B7456A" w:rsidRPr="001340C5" w:rsidRDefault="00B7456A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>Skúšanie ALTITUDE (</w:t>
      </w:r>
      <w:proofErr w:type="spellStart"/>
      <w:r w:rsidRPr="001340C5">
        <w:rPr>
          <w:rFonts w:ascii="Times New Roman" w:hAnsi="Times New Roman" w:cs="Times New Roman"/>
          <w:lang w:val="sk-SK"/>
        </w:rPr>
        <w:t>Aliskiren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Trial in Type 2 Diabetes </w:t>
      </w:r>
      <w:proofErr w:type="spellStart"/>
      <w:r w:rsidRPr="001340C5">
        <w:rPr>
          <w:rFonts w:ascii="Times New Roman" w:hAnsi="Times New Roman" w:cs="Times New Roman"/>
          <w:lang w:val="sk-SK"/>
        </w:rPr>
        <w:t>Using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Cardiovascular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and </w:t>
      </w:r>
      <w:proofErr w:type="spellStart"/>
      <w:r w:rsidRPr="001340C5">
        <w:rPr>
          <w:rFonts w:ascii="Times New Roman" w:hAnsi="Times New Roman" w:cs="Times New Roman"/>
          <w:lang w:val="sk-SK"/>
        </w:rPr>
        <w:t>Renal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Disease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Endpoints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) bolo navrhnuté na otestovanie prínosu pridania </w:t>
      </w:r>
      <w:proofErr w:type="spellStart"/>
      <w:r w:rsidRPr="001340C5">
        <w:rPr>
          <w:rFonts w:ascii="Times New Roman" w:hAnsi="Times New Roman" w:cs="Times New Roman"/>
          <w:lang w:val="sk-SK"/>
        </w:rPr>
        <w:t>aliskirenu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k štandardnej liečbe inhibítorom ACE alebo </w:t>
      </w:r>
      <w:proofErr w:type="spellStart"/>
      <w:r w:rsidRPr="001340C5">
        <w:rPr>
          <w:rFonts w:ascii="Times New Roman" w:hAnsi="Times New Roman" w:cs="Times New Roman"/>
          <w:lang w:val="sk-SK"/>
        </w:rPr>
        <w:t>blokátorom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receptorov </w:t>
      </w:r>
      <w:proofErr w:type="spellStart"/>
      <w:r w:rsidRPr="001340C5">
        <w:rPr>
          <w:rFonts w:ascii="Times New Roman" w:hAnsi="Times New Roman" w:cs="Times New Roman"/>
          <w:lang w:val="sk-SK"/>
        </w:rPr>
        <w:t>angiotenzínu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II u pacientov s diabet</w:t>
      </w:r>
      <w:r w:rsidR="008D6E72" w:rsidRPr="001340C5">
        <w:rPr>
          <w:rFonts w:ascii="Times New Roman" w:hAnsi="Times New Roman" w:cs="Times New Roman"/>
          <w:lang w:val="sk-SK"/>
        </w:rPr>
        <w:t>om</w:t>
      </w:r>
      <w:r w:rsidRPr="001340C5">
        <w:rPr>
          <w:rFonts w:ascii="Times New Roman" w:hAnsi="Times New Roman" w:cs="Times New Roman"/>
          <w:lang w:val="sk-SK"/>
        </w:rPr>
        <w:t xml:space="preserve"> mellitus 2. typu a chronickým ochorením obličiek, kardiovaskulárnym ochorením, alebo oboma ochoreniami. Skúšanie bolo predčasne ukončené pre zvýšené riziko nežiaducich udalostí. V skupine </w:t>
      </w:r>
      <w:proofErr w:type="spellStart"/>
      <w:r w:rsidRPr="001340C5">
        <w:rPr>
          <w:rFonts w:ascii="Times New Roman" w:hAnsi="Times New Roman" w:cs="Times New Roman"/>
          <w:lang w:val="sk-SK"/>
        </w:rPr>
        <w:t>aliskirenu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bolo viac úmrtí z kardiovaskulárnej príčiny a cievnych mozgových príhod ako v skupine placeba a v skupine </w:t>
      </w:r>
      <w:proofErr w:type="spellStart"/>
      <w:r w:rsidRPr="001340C5">
        <w:rPr>
          <w:rFonts w:ascii="Times New Roman" w:hAnsi="Times New Roman" w:cs="Times New Roman"/>
          <w:lang w:val="sk-SK"/>
        </w:rPr>
        <w:t>aliskirenu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boli častejšie hlásené sledované nežiaduce udalosti a závažné nežiaduce udalosti (</w:t>
      </w:r>
      <w:proofErr w:type="spellStart"/>
      <w:r w:rsidRPr="001340C5">
        <w:rPr>
          <w:rFonts w:ascii="Times New Roman" w:hAnsi="Times New Roman" w:cs="Times New Roman"/>
          <w:lang w:val="sk-SK"/>
        </w:rPr>
        <w:t>hyperkaliémia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hypotenzia a </w:t>
      </w:r>
      <w:proofErr w:type="spellStart"/>
      <w:r w:rsidRPr="001340C5">
        <w:rPr>
          <w:rFonts w:ascii="Times New Roman" w:hAnsi="Times New Roman" w:cs="Times New Roman"/>
          <w:lang w:val="sk-SK"/>
        </w:rPr>
        <w:t>renálna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dysfunkcia) ako v skupine placeba.</w:t>
      </w:r>
    </w:p>
    <w:p w:rsidR="007E0A50" w:rsidRPr="001340C5" w:rsidRDefault="007E0A50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7E0A50" w:rsidRPr="001340C5" w:rsidRDefault="00302375" w:rsidP="00103E2E">
      <w:pPr>
        <w:pStyle w:val="Odsekzoznamu"/>
        <w:numPr>
          <w:ilvl w:val="0"/>
          <w:numId w:val="12"/>
        </w:numPr>
        <w:spacing w:after="0"/>
        <w:ind w:left="567" w:hanging="567"/>
        <w:jc w:val="both"/>
        <w:rPr>
          <w:rFonts w:ascii="Times New Roman" w:hAnsi="Times New Roman" w:cs="Times New Roman"/>
          <w:b/>
          <w:lang w:val="sk-SK"/>
        </w:rPr>
      </w:pPr>
      <w:proofErr w:type="spellStart"/>
      <w:r w:rsidRPr="001340C5">
        <w:rPr>
          <w:rFonts w:ascii="Times New Roman" w:hAnsi="Times New Roman" w:cs="Times New Roman"/>
          <w:b/>
          <w:lang w:val="sk-SK"/>
        </w:rPr>
        <w:t>Farmakokinetické</w:t>
      </w:r>
      <w:proofErr w:type="spellEnd"/>
      <w:r w:rsidRPr="001340C5">
        <w:rPr>
          <w:rFonts w:ascii="Times New Roman" w:hAnsi="Times New Roman" w:cs="Times New Roman"/>
          <w:b/>
          <w:lang w:val="sk-SK"/>
        </w:rPr>
        <w:t xml:space="preserve"> vlastnosti</w:t>
      </w:r>
    </w:p>
    <w:p w:rsidR="00A82D37" w:rsidRPr="001340C5" w:rsidRDefault="00A82D37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3C6556" w:rsidRPr="001340C5" w:rsidRDefault="003C6556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Súbežné používanie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cilexetilu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nemá klinicky signifikantný účinok na </w:t>
      </w:r>
      <w:proofErr w:type="spellStart"/>
      <w:r w:rsidRPr="001340C5">
        <w:rPr>
          <w:rFonts w:ascii="Times New Roman" w:hAnsi="Times New Roman" w:cs="Times New Roman"/>
          <w:lang w:val="sk-SK"/>
        </w:rPr>
        <w:t>farmakokinetiku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oboch </w:t>
      </w:r>
      <w:r w:rsidR="001340C5" w:rsidRPr="001340C5">
        <w:rPr>
          <w:rFonts w:ascii="Times New Roman" w:hAnsi="Times New Roman" w:cs="Times New Roman"/>
          <w:lang w:val="sk-SK"/>
        </w:rPr>
        <w:t>liečiv</w:t>
      </w:r>
      <w:r w:rsidRPr="001340C5">
        <w:rPr>
          <w:rFonts w:ascii="Times New Roman" w:hAnsi="Times New Roman" w:cs="Times New Roman"/>
          <w:lang w:val="sk-SK"/>
        </w:rPr>
        <w:t>.</w:t>
      </w:r>
    </w:p>
    <w:p w:rsidR="003C6556" w:rsidRPr="001340C5" w:rsidRDefault="003C6556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3C6556" w:rsidRPr="001340C5" w:rsidRDefault="003C6556" w:rsidP="00244BAB">
      <w:pPr>
        <w:spacing w:after="0"/>
        <w:jc w:val="both"/>
        <w:rPr>
          <w:rFonts w:ascii="Times New Roman" w:hAnsi="Times New Roman" w:cs="Times New Roman"/>
          <w:i/>
          <w:u w:val="single"/>
          <w:lang w:val="sk-SK"/>
        </w:rPr>
      </w:pPr>
      <w:r w:rsidRPr="001340C5">
        <w:rPr>
          <w:rFonts w:ascii="Times New Roman" w:hAnsi="Times New Roman" w:cs="Times New Roman"/>
          <w:i/>
          <w:u w:val="single"/>
          <w:lang w:val="sk-SK"/>
        </w:rPr>
        <w:t>Absorpcia a distribúcia</w:t>
      </w:r>
    </w:p>
    <w:p w:rsidR="003C6556" w:rsidRPr="001340C5" w:rsidRDefault="003C6556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3C6556" w:rsidRPr="001340C5" w:rsidRDefault="003C6556" w:rsidP="00244BAB">
      <w:pPr>
        <w:spacing w:after="0"/>
        <w:jc w:val="both"/>
        <w:rPr>
          <w:rFonts w:ascii="Times New Roman" w:hAnsi="Times New Roman" w:cs="Times New Roman"/>
          <w:i/>
          <w:lang w:val="sk-SK"/>
        </w:rPr>
      </w:pPr>
      <w:proofErr w:type="spellStart"/>
      <w:r w:rsidRPr="001340C5">
        <w:rPr>
          <w:rFonts w:ascii="Times New Roman" w:hAnsi="Times New Roman" w:cs="Times New Roman"/>
          <w:i/>
          <w:lang w:val="sk-SK"/>
        </w:rPr>
        <w:t>Kandesartan</w:t>
      </w:r>
      <w:proofErr w:type="spellEnd"/>
      <w:r w:rsidRPr="001340C5">
        <w:rPr>
          <w:rFonts w:ascii="Times New Roman" w:hAnsi="Times New Roman" w:cs="Times New Roman"/>
          <w:i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i/>
          <w:lang w:val="sk-SK"/>
        </w:rPr>
        <w:t>cilexetil</w:t>
      </w:r>
      <w:proofErr w:type="spellEnd"/>
    </w:p>
    <w:p w:rsidR="003C6556" w:rsidRPr="001340C5" w:rsidRDefault="003C6556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 w:rsidRPr="001340C5">
        <w:rPr>
          <w:rFonts w:ascii="Times New Roman" w:hAnsi="Times New Roman" w:cs="Times New Roman"/>
          <w:lang w:val="sk-SK"/>
        </w:rPr>
        <w:t>Kandesartan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cilexetil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sa po perorálnom podaní konvertuje na liečivo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. Absolútna biologická dostupnosť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po podaní perorálneho roztoku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cilexetilu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je približne 40 %. </w:t>
      </w:r>
    </w:p>
    <w:p w:rsidR="003C6556" w:rsidRPr="001340C5" w:rsidRDefault="003C6556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A82D37" w:rsidRPr="001340C5" w:rsidRDefault="003C6556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Relatívna biologická dostupnosť </w:t>
      </w:r>
      <w:proofErr w:type="spellStart"/>
      <w:r w:rsidRPr="001340C5">
        <w:rPr>
          <w:rFonts w:ascii="Times New Roman" w:hAnsi="Times New Roman" w:cs="Times New Roman"/>
          <w:lang w:val="sk-SK"/>
        </w:rPr>
        <w:t>tabletovej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formy v porovnaní s tým istým perorálnym roztokom je približne 34 % s veľmi malými odchýlkami. Priemerné maximálne sérové koncentrácie (</w:t>
      </w:r>
      <w:proofErr w:type="spellStart"/>
      <w:r w:rsidRPr="001340C5">
        <w:rPr>
          <w:rFonts w:ascii="Times New Roman" w:hAnsi="Times New Roman" w:cs="Times New Roman"/>
          <w:lang w:val="sk-SK"/>
        </w:rPr>
        <w:t>C</w:t>
      </w:r>
      <w:r w:rsidRPr="001340C5">
        <w:rPr>
          <w:rFonts w:ascii="Times New Roman" w:hAnsi="Times New Roman" w:cs="Times New Roman"/>
          <w:vertAlign w:val="subscript"/>
          <w:lang w:val="sk-SK"/>
        </w:rPr>
        <w:t>max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) sa dosiahnu o 3-4 hodiny po užití tablety. Sérové koncentrácie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sa zvyšujú priamo úmerne so zvyšujúcimi sa dávkami v terapeutickom rozmedzí. Vo </w:t>
      </w:r>
      <w:proofErr w:type="spellStart"/>
      <w:r w:rsidRPr="001340C5">
        <w:rPr>
          <w:rFonts w:ascii="Times New Roman" w:hAnsi="Times New Roman" w:cs="Times New Roman"/>
          <w:lang w:val="sk-SK"/>
        </w:rPr>
        <w:t>farmakokinetike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sa nepozorovali žiadne rozdiely medzi oboma pohlaviami. </w:t>
      </w:r>
      <w:r w:rsidR="00A40FA0" w:rsidRPr="001340C5">
        <w:rPr>
          <w:rFonts w:ascii="Times New Roman" w:hAnsi="Times New Roman" w:cs="Times New Roman"/>
          <w:lang w:val="sk-SK"/>
        </w:rPr>
        <w:t>Jedlo</w:t>
      </w:r>
      <w:r w:rsidRPr="001340C5">
        <w:rPr>
          <w:rFonts w:ascii="Times New Roman" w:hAnsi="Times New Roman" w:cs="Times New Roman"/>
          <w:lang w:val="sk-SK"/>
        </w:rPr>
        <w:t xml:space="preserve"> nemá významný vplyv na veľkosť plochy pod krivkou </w:t>
      </w:r>
      <w:r w:rsidR="007A76BF" w:rsidRPr="001340C5">
        <w:rPr>
          <w:rFonts w:ascii="Times New Roman" w:hAnsi="Times New Roman" w:cs="Times New Roman"/>
          <w:lang w:val="sk-SK"/>
        </w:rPr>
        <w:t xml:space="preserve">závislosti </w:t>
      </w:r>
      <w:r w:rsidRPr="001340C5">
        <w:rPr>
          <w:rFonts w:ascii="Times New Roman" w:hAnsi="Times New Roman" w:cs="Times New Roman"/>
          <w:lang w:val="sk-SK"/>
        </w:rPr>
        <w:t xml:space="preserve">sérovej koncentrácie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r w:rsidR="007A76BF" w:rsidRPr="001340C5">
        <w:rPr>
          <w:rFonts w:ascii="Times New Roman" w:hAnsi="Times New Roman" w:cs="Times New Roman"/>
          <w:lang w:val="sk-SK"/>
        </w:rPr>
        <w:t>na</w:t>
      </w:r>
      <w:r w:rsidRPr="001340C5">
        <w:rPr>
          <w:rFonts w:ascii="Times New Roman" w:hAnsi="Times New Roman" w:cs="Times New Roman"/>
          <w:lang w:val="sk-SK"/>
        </w:rPr>
        <w:t xml:space="preserve"> čase (AUC).</w:t>
      </w:r>
    </w:p>
    <w:p w:rsidR="003C6556" w:rsidRPr="001340C5" w:rsidRDefault="003C6556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220CE2" w:rsidRPr="001340C5" w:rsidRDefault="00220CE2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 w:rsidRPr="001340C5">
        <w:rPr>
          <w:rFonts w:ascii="Times New Roman" w:hAnsi="Times New Roman" w:cs="Times New Roman"/>
          <w:lang w:val="sk-SK"/>
        </w:rPr>
        <w:t>Kandesartan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sa výrazne viaže na plazmatické bielkoviny (viac ako 99 %). Zjavný distribučný objem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je 0,1 l/kg.</w:t>
      </w:r>
    </w:p>
    <w:p w:rsidR="00350227" w:rsidRPr="001340C5" w:rsidRDefault="00350227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220CE2" w:rsidRPr="001340C5" w:rsidRDefault="00220CE2" w:rsidP="00244BAB">
      <w:pPr>
        <w:spacing w:after="0"/>
        <w:jc w:val="both"/>
        <w:rPr>
          <w:rFonts w:ascii="Times New Roman" w:hAnsi="Times New Roman" w:cs="Times New Roman"/>
          <w:i/>
          <w:lang w:val="sk-SK"/>
        </w:rPr>
      </w:pPr>
      <w:proofErr w:type="spellStart"/>
      <w:r w:rsidRPr="001340C5">
        <w:rPr>
          <w:rFonts w:ascii="Times New Roman" w:hAnsi="Times New Roman" w:cs="Times New Roman"/>
          <w:i/>
          <w:lang w:val="sk-SK"/>
        </w:rPr>
        <w:t>Hydrochlorotiazid</w:t>
      </w:r>
      <w:proofErr w:type="spellEnd"/>
    </w:p>
    <w:p w:rsidR="00220CE2" w:rsidRPr="001340C5" w:rsidRDefault="00220CE2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 w:rsidRPr="001340C5">
        <w:rPr>
          <w:rFonts w:ascii="Times New Roman" w:hAnsi="Times New Roman" w:cs="Times New Roman"/>
          <w:lang w:val="sk-SK"/>
        </w:rPr>
        <w:t>Hydrochlorotiazid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sa rýchlo absorbuje z </w:t>
      </w:r>
      <w:proofErr w:type="spellStart"/>
      <w:r w:rsidRPr="001340C5">
        <w:rPr>
          <w:rFonts w:ascii="Times New Roman" w:hAnsi="Times New Roman" w:cs="Times New Roman"/>
          <w:lang w:val="sk-SK"/>
        </w:rPr>
        <w:t>gastrointestinálneho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traktu s absolútnou hodnotou biologickej dostupnosti približne 70 %. Súčasné podanie jedla zvýši túto absorpciu približne o 15 %. Biologická dostupnosť môže byť znížená u pacientov so srdcovým zlyhaním a s výraznými edémami.</w:t>
      </w:r>
    </w:p>
    <w:p w:rsidR="00220CE2" w:rsidRPr="001340C5" w:rsidRDefault="00220CE2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220CE2" w:rsidRPr="001340C5" w:rsidRDefault="00220CE2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Približne 60 % 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sa viaže na plazmatické bielkoviny. Zjavný distribučný objem je približne 0,8 l/kg.</w:t>
      </w:r>
    </w:p>
    <w:p w:rsidR="00220CE2" w:rsidRPr="001340C5" w:rsidRDefault="00220CE2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3C6556" w:rsidRPr="001340C5" w:rsidRDefault="00220CE2" w:rsidP="00244BAB">
      <w:pPr>
        <w:spacing w:after="0"/>
        <w:jc w:val="both"/>
        <w:rPr>
          <w:rFonts w:ascii="Times New Roman" w:hAnsi="Times New Roman" w:cs="Times New Roman"/>
          <w:i/>
          <w:u w:val="single"/>
          <w:lang w:val="sk-SK"/>
        </w:rPr>
      </w:pPr>
      <w:proofErr w:type="spellStart"/>
      <w:r w:rsidRPr="001340C5">
        <w:rPr>
          <w:rFonts w:ascii="Times New Roman" w:hAnsi="Times New Roman" w:cs="Times New Roman"/>
          <w:i/>
          <w:u w:val="single"/>
          <w:lang w:val="sk-SK"/>
        </w:rPr>
        <w:t>Biotransformácia</w:t>
      </w:r>
      <w:proofErr w:type="spellEnd"/>
      <w:r w:rsidRPr="001340C5">
        <w:rPr>
          <w:rFonts w:ascii="Times New Roman" w:hAnsi="Times New Roman" w:cs="Times New Roman"/>
          <w:i/>
          <w:u w:val="single"/>
          <w:lang w:val="sk-SK"/>
        </w:rPr>
        <w:t xml:space="preserve"> a eliminácia</w:t>
      </w:r>
    </w:p>
    <w:p w:rsidR="003C6556" w:rsidRPr="001340C5" w:rsidRDefault="003C6556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4B1ED5" w:rsidRPr="001340C5" w:rsidRDefault="004B1ED5" w:rsidP="00244BAB">
      <w:pPr>
        <w:spacing w:after="0"/>
        <w:jc w:val="both"/>
        <w:rPr>
          <w:rFonts w:ascii="Times New Roman" w:hAnsi="Times New Roman" w:cs="Times New Roman"/>
          <w:i/>
          <w:lang w:val="sk-SK"/>
        </w:rPr>
      </w:pPr>
      <w:proofErr w:type="spellStart"/>
      <w:r w:rsidRPr="001340C5">
        <w:rPr>
          <w:rFonts w:ascii="Times New Roman" w:hAnsi="Times New Roman" w:cs="Times New Roman"/>
          <w:i/>
          <w:lang w:val="sk-SK"/>
        </w:rPr>
        <w:t>Kandesartan</w:t>
      </w:r>
      <w:proofErr w:type="spellEnd"/>
      <w:r w:rsidRPr="001340C5">
        <w:rPr>
          <w:rFonts w:ascii="Times New Roman" w:hAnsi="Times New Roman" w:cs="Times New Roman"/>
          <w:i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i/>
          <w:lang w:val="sk-SK"/>
        </w:rPr>
        <w:t>cilexetil</w:t>
      </w:r>
      <w:proofErr w:type="spellEnd"/>
    </w:p>
    <w:p w:rsidR="00A05A6E" w:rsidRPr="001340C5" w:rsidRDefault="004B1ED5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 w:rsidRPr="001340C5">
        <w:rPr>
          <w:rFonts w:ascii="Times New Roman" w:hAnsi="Times New Roman" w:cs="Times New Roman"/>
          <w:lang w:val="sk-SK"/>
        </w:rPr>
        <w:t>Kandesartan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sa vylučuje do moču a do žlče prevažne v nezmenenej forme, iba v malej miere sa eliminuje prostredníctvom pečeňového metabolizmu (CYP2C9).  Dostupné interakčné štúdie nenaznačujú účinok na CYP2C9 a CYP3A4. </w:t>
      </w:r>
    </w:p>
    <w:p w:rsidR="00A05A6E" w:rsidRPr="001340C5" w:rsidRDefault="00A05A6E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3C6556" w:rsidRPr="001340C5" w:rsidRDefault="004B1ED5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>Na základe údajov získaných</w:t>
      </w:r>
      <w:r w:rsidR="00401041" w:rsidRPr="001340C5">
        <w:rPr>
          <w:rFonts w:ascii="Times New Roman" w:hAnsi="Times New Roman" w:cs="Times New Roman"/>
          <w:lang w:val="sk-SK"/>
        </w:rPr>
        <w:t xml:space="preserve"> </w:t>
      </w:r>
      <w:r w:rsidRPr="001340C5">
        <w:rPr>
          <w:rFonts w:ascii="Times New Roman" w:hAnsi="Times New Roman" w:cs="Times New Roman"/>
          <w:i/>
          <w:lang w:val="sk-SK"/>
        </w:rPr>
        <w:t>in vitro</w:t>
      </w:r>
      <w:r w:rsidRPr="001340C5">
        <w:rPr>
          <w:rFonts w:ascii="Times New Roman" w:hAnsi="Times New Roman" w:cs="Times New Roman"/>
          <w:lang w:val="sk-SK"/>
        </w:rPr>
        <w:t xml:space="preserve"> by sa nemala očakávať žiadna interakcia </w:t>
      </w:r>
      <w:r w:rsidRPr="001340C5">
        <w:rPr>
          <w:rFonts w:ascii="Times New Roman" w:hAnsi="Times New Roman" w:cs="Times New Roman"/>
          <w:i/>
          <w:lang w:val="sk-SK"/>
        </w:rPr>
        <w:t xml:space="preserve">in </w:t>
      </w:r>
      <w:proofErr w:type="spellStart"/>
      <w:r w:rsidRPr="001340C5">
        <w:rPr>
          <w:rFonts w:ascii="Times New Roman" w:hAnsi="Times New Roman" w:cs="Times New Roman"/>
          <w:i/>
          <w:lang w:val="sk-SK"/>
        </w:rPr>
        <w:t>vivo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s liekmi, ktorých metabolizmus je závislý od </w:t>
      </w:r>
      <w:proofErr w:type="spellStart"/>
      <w:r w:rsidRPr="001340C5">
        <w:rPr>
          <w:rFonts w:ascii="Times New Roman" w:hAnsi="Times New Roman" w:cs="Times New Roman"/>
          <w:lang w:val="sk-SK"/>
        </w:rPr>
        <w:t>izoenzýmov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cytochrómu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P450 CYP1A2, CYP2A6, CYP2C9, CYP2C19</w:t>
      </w:r>
      <w:r w:rsidR="00B37EDA">
        <w:rPr>
          <w:rFonts w:ascii="Times New Roman" w:hAnsi="Times New Roman" w:cs="Times New Roman"/>
          <w:lang w:val="sk-SK"/>
        </w:rPr>
        <w:t xml:space="preserve">, CYP2D6, CYP2E1 alebo CYP3A4. </w:t>
      </w:r>
      <w:r w:rsidRPr="001340C5">
        <w:rPr>
          <w:rFonts w:ascii="Times New Roman" w:hAnsi="Times New Roman" w:cs="Times New Roman"/>
          <w:lang w:val="sk-SK"/>
        </w:rPr>
        <w:t>Terminálny polčas eliminácie (t</w:t>
      </w:r>
      <w:r w:rsidRPr="001340C5">
        <w:rPr>
          <w:rFonts w:ascii="Times New Roman" w:hAnsi="Times New Roman" w:cs="Times New Roman"/>
          <w:vertAlign w:val="subscript"/>
          <w:lang w:val="sk-SK"/>
        </w:rPr>
        <w:t>½</w:t>
      </w:r>
      <w:r w:rsidRPr="001340C5">
        <w:rPr>
          <w:rFonts w:ascii="Times New Roman" w:hAnsi="Times New Roman" w:cs="Times New Roman"/>
          <w:lang w:val="sk-SK"/>
        </w:rPr>
        <w:t xml:space="preserve">)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je približne 9 hodín. Po podaní opakovaných dávok nedochádza ku kumulácii lieku. Polčas eliminácie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zostáva </w:t>
      </w:r>
      <w:r w:rsidRPr="001340C5">
        <w:rPr>
          <w:rFonts w:ascii="Times New Roman" w:hAnsi="Times New Roman" w:cs="Times New Roman"/>
          <w:lang w:val="sk-SK"/>
        </w:rPr>
        <w:lastRenderedPageBreak/>
        <w:t xml:space="preserve">nezmenený (približne 9 h) po podaní kombinácie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cilexetil</w:t>
      </w:r>
      <w:proofErr w:type="spellEnd"/>
      <w:r w:rsidRPr="001340C5">
        <w:rPr>
          <w:rFonts w:ascii="Times New Roman" w:hAnsi="Times New Roman" w:cs="Times New Roman"/>
          <w:lang w:val="sk-SK"/>
        </w:rPr>
        <w:t>/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. V porovnaní s </w:t>
      </w:r>
      <w:proofErr w:type="spellStart"/>
      <w:r w:rsidRPr="001340C5">
        <w:rPr>
          <w:rFonts w:ascii="Times New Roman" w:hAnsi="Times New Roman" w:cs="Times New Roman"/>
          <w:lang w:val="sk-SK"/>
        </w:rPr>
        <w:t>monoterapiou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nedochádza ani v kombinovanej liečbe ku kumulácii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pri opakovanom podaní.</w:t>
      </w:r>
    </w:p>
    <w:p w:rsidR="003C6556" w:rsidRPr="001340C5" w:rsidRDefault="003C6556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A05A6E" w:rsidRPr="001340C5" w:rsidRDefault="00A05A6E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Celková hodnota plazmatického </w:t>
      </w:r>
      <w:proofErr w:type="spellStart"/>
      <w:r w:rsidRPr="001340C5">
        <w:rPr>
          <w:rFonts w:ascii="Times New Roman" w:hAnsi="Times New Roman" w:cs="Times New Roman"/>
          <w:lang w:val="sk-SK"/>
        </w:rPr>
        <w:t>klírensu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je približne 0,37 ml/min/kg, pričom hodnota </w:t>
      </w:r>
      <w:proofErr w:type="spellStart"/>
      <w:r w:rsidRPr="001340C5">
        <w:rPr>
          <w:rFonts w:ascii="Times New Roman" w:hAnsi="Times New Roman" w:cs="Times New Roman"/>
          <w:lang w:val="sk-SK"/>
        </w:rPr>
        <w:t>klírensu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v obličkách je približne 0,19 ml/min/kg.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sa eliminuje obličkami - </w:t>
      </w:r>
      <w:proofErr w:type="spellStart"/>
      <w:r w:rsidRPr="001340C5">
        <w:rPr>
          <w:rFonts w:ascii="Times New Roman" w:hAnsi="Times New Roman" w:cs="Times New Roman"/>
          <w:lang w:val="sk-SK"/>
        </w:rPr>
        <w:t>glomerulárnou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filtráciou aj aktívnou </w:t>
      </w:r>
      <w:proofErr w:type="spellStart"/>
      <w:r w:rsidRPr="001340C5">
        <w:rPr>
          <w:rFonts w:ascii="Times New Roman" w:hAnsi="Times New Roman" w:cs="Times New Roman"/>
          <w:lang w:val="sk-SK"/>
        </w:rPr>
        <w:t>tubulárnou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sekréciou. Po perorálnom podaní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cilexetilu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značeného 14C, približne 26 % dávky sa vylúči močom ako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 7 % ako </w:t>
      </w:r>
      <w:proofErr w:type="spellStart"/>
      <w:r w:rsidRPr="001340C5">
        <w:rPr>
          <w:rFonts w:ascii="Times New Roman" w:hAnsi="Times New Roman" w:cs="Times New Roman"/>
          <w:lang w:val="sk-SK"/>
        </w:rPr>
        <w:t>inaktívny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metabolit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zatiaľ čo približne 56 % dávky sa nachádza v stolici ako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 10 % ako </w:t>
      </w:r>
      <w:proofErr w:type="spellStart"/>
      <w:r w:rsidRPr="001340C5">
        <w:rPr>
          <w:rFonts w:ascii="Times New Roman" w:hAnsi="Times New Roman" w:cs="Times New Roman"/>
          <w:lang w:val="sk-SK"/>
        </w:rPr>
        <w:t>inaktívny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metabolit</w:t>
      </w:r>
      <w:proofErr w:type="spellEnd"/>
      <w:r w:rsidRPr="001340C5">
        <w:rPr>
          <w:rFonts w:ascii="Times New Roman" w:hAnsi="Times New Roman" w:cs="Times New Roman"/>
          <w:lang w:val="sk-SK"/>
        </w:rPr>
        <w:t>.</w:t>
      </w:r>
    </w:p>
    <w:p w:rsidR="00A05A6E" w:rsidRPr="001340C5" w:rsidRDefault="00A05A6E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A05A6E" w:rsidRPr="001340C5" w:rsidRDefault="00A05A6E" w:rsidP="00244BAB">
      <w:pPr>
        <w:spacing w:after="0"/>
        <w:jc w:val="both"/>
        <w:rPr>
          <w:rFonts w:ascii="Times New Roman" w:hAnsi="Times New Roman" w:cs="Times New Roman"/>
          <w:i/>
          <w:lang w:val="sk-SK"/>
        </w:rPr>
      </w:pPr>
      <w:proofErr w:type="spellStart"/>
      <w:r w:rsidRPr="001340C5">
        <w:rPr>
          <w:rFonts w:ascii="Times New Roman" w:hAnsi="Times New Roman" w:cs="Times New Roman"/>
          <w:i/>
          <w:lang w:val="sk-SK"/>
        </w:rPr>
        <w:t>Hydrochlorotiazid</w:t>
      </w:r>
      <w:proofErr w:type="spellEnd"/>
    </w:p>
    <w:p w:rsidR="003C6556" w:rsidRPr="001340C5" w:rsidRDefault="00A05A6E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 w:rsidRPr="001340C5">
        <w:rPr>
          <w:rFonts w:ascii="Times New Roman" w:hAnsi="Times New Roman" w:cs="Times New Roman"/>
          <w:lang w:val="sk-SK"/>
        </w:rPr>
        <w:t>Hydrochlorotiazid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sa nemetabolizuje a vylučuje sa </w:t>
      </w:r>
      <w:proofErr w:type="spellStart"/>
      <w:r w:rsidRPr="001340C5">
        <w:rPr>
          <w:rFonts w:ascii="Times New Roman" w:hAnsi="Times New Roman" w:cs="Times New Roman"/>
          <w:lang w:val="sk-SK"/>
        </w:rPr>
        <w:t>glomerulárnou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filtráciou a aktívnou </w:t>
      </w:r>
      <w:proofErr w:type="spellStart"/>
      <w:r w:rsidRPr="001340C5">
        <w:rPr>
          <w:rFonts w:ascii="Times New Roman" w:hAnsi="Times New Roman" w:cs="Times New Roman"/>
          <w:lang w:val="sk-SK"/>
        </w:rPr>
        <w:t>tubulárnou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sekréciou takmer úplne ako nezmenená látka. Terminálny polčas (t</w:t>
      </w:r>
      <w:r w:rsidRPr="001340C5">
        <w:rPr>
          <w:rFonts w:ascii="Times New Roman" w:hAnsi="Times New Roman" w:cs="Times New Roman"/>
          <w:vertAlign w:val="subscript"/>
          <w:lang w:val="sk-SK"/>
        </w:rPr>
        <w:t>½</w:t>
      </w:r>
      <w:r w:rsidRPr="001340C5">
        <w:rPr>
          <w:rFonts w:ascii="Times New Roman" w:hAnsi="Times New Roman" w:cs="Times New Roman"/>
          <w:lang w:val="sk-SK"/>
        </w:rPr>
        <w:t xml:space="preserve">) 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je približne 8 hodín. Približne 70 % dávky podanej perorálne sa vylúči močom v priebehu 48 hodín. Polčas eliminácie 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ostáva nezmenený (približne 8 hodín) po podaní 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v kombinácii s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kandesartanom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cilexetilom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. V porovnaní s </w:t>
      </w:r>
      <w:proofErr w:type="spellStart"/>
      <w:r w:rsidRPr="001340C5">
        <w:rPr>
          <w:rFonts w:ascii="Times New Roman" w:hAnsi="Times New Roman" w:cs="Times New Roman"/>
          <w:lang w:val="sk-SK"/>
        </w:rPr>
        <w:t>monoterapiou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nedochádza ani v kombinovanej liečbe ku kumulácii 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pri opakovanom podaní.</w:t>
      </w:r>
    </w:p>
    <w:p w:rsidR="003C6556" w:rsidRPr="001340C5" w:rsidRDefault="003C6556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2C44D9" w:rsidRPr="001340C5" w:rsidRDefault="002C44D9" w:rsidP="00244BAB">
      <w:pPr>
        <w:spacing w:after="0"/>
        <w:jc w:val="both"/>
        <w:rPr>
          <w:rFonts w:ascii="Times New Roman" w:hAnsi="Times New Roman" w:cs="Times New Roman"/>
          <w:i/>
          <w:u w:val="single"/>
          <w:lang w:val="sk-SK"/>
        </w:rPr>
      </w:pPr>
      <w:proofErr w:type="spellStart"/>
      <w:r w:rsidRPr="001340C5">
        <w:rPr>
          <w:rFonts w:ascii="Times New Roman" w:hAnsi="Times New Roman" w:cs="Times New Roman"/>
          <w:i/>
          <w:u w:val="single"/>
          <w:lang w:val="sk-SK"/>
        </w:rPr>
        <w:t>Farmakokinetika</w:t>
      </w:r>
      <w:proofErr w:type="spellEnd"/>
      <w:r w:rsidRPr="001340C5">
        <w:rPr>
          <w:rFonts w:ascii="Times New Roman" w:hAnsi="Times New Roman" w:cs="Times New Roman"/>
          <w:i/>
          <w:u w:val="single"/>
          <w:lang w:val="sk-SK"/>
        </w:rPr>
        <w:t xml:space="preserve"> v osobitných skupinách pacientov</w:t>
      </w:r>
    </w:p>
    <w:p w:rsidR="002C44D9" w:rsidRPr="001340C5" w:rsidRDefault="002C44D9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2C44D9" w:rsidRPr="001340C5" w:rsidRDefault="002C44D9" w:rsidP="00244BAB">
      <w:pPr>
        <w:spacing w:after="0"/>
        <w:jc w:val="both"/>
        <w:rPr>
          <w:rFonts w:ascii="Times New Roman" w:hAnsi="Times New Roman" w:cs="Times New Roman"/>
          <w:i/>
          <w:lang w:val="sk-SK"/>
        </w:rPr>
      </w:pPr>
      <w:proofErr w:type="spellStart"/>
      <w:r w:rsidRPr="001340C5">
        <w:rPr>
          <w:rFonts w:ascii="Times New Roman" w:hAnsi="Times New Roman" w:cs="Times New Roman"/>
          <w:i/>
          <w:lang w:val="sk-SK"/>
        </w:rPr>
        <w:t>Kandesartan</w:t>
      </w:r>
      <w:proofErr w:type="spellEnd"/>
      <w:r w:rsidRPr="001340C5">
        <w:rPr>
          <w:rFonts w:ascii="Times New Roman" w:hAnsi="Times New Roman" w:cs="Times New Roman"/>
          <w:i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i/>
          <w:lang w:val="sk-SK"/>
        </w:rPr>
        <w:t>cilexetil</w:t>
      </w:r>
      <w:proofErr w:type="spellEnd"/>
    </w:p>
    <w:p w:rsidR="002C44D9" w:rsidRPr="001340C5" w:rsidRDefault="002C44D9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U starších pacientov (nad 65 rokov), v porovnaní s mladšími jedincami, boli hodnoty </w:t>
      </w:r>
      <w:proofErr w:type="spellStart"/>
      <w:r w:rsidRPr="001340C5">
        <w:rPr>
          <w:rFonts w:ascii="Times New Roman" w:hAnsi="Times New Roman" w:cs="Times New Roman"/>
          <w:lang w:val="sk-SK"/>
        </w:rPr>
        <w:t>C</w:t>
      </w:r>
      <w:r w:rsidRPr="001340C5">
        <w:rPr>
          <w:rFonts w:ascii="Times New Roman" w:hAnsi="Times New Roman" w:cs="Times New Roman"/>
          <w:vertAlign w:val="subscript"/>
          <w:lang w:val="sk-SK"/>
        </w:rPr>
        <w:t>max</w:t>
      </w:r>
      <w:proofErr w:type="spellEnd"/>
      <w:r w:rsidRPr="001340C5">
        <w:rPr>
          <w:rFonts w:ascii="Times New Roman" w:hAnsi="Times New Roman" w:cs="Times New Roman"/>
          <w:vertAlign w:val="subscript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zvýšené približne o 50 % a AUC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o 80 %. Odpoveď krvného tlaku a výskyt nežiaducich účinkov po podaní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cilexetilu</w:t>
      </w:r>
      <w:proofErr w:type="spellEnd"/>
      <w:r w:rsidRPr="001340C5">
        <w:rPr>
          <w:rFonts w:ascii="Times New Roman" w:hAnsi="Times New Roman" w:cs="Times New Roman"/>
          <w:lang w:val="sk-SK"/>
        </w:rPr>
        <w:t>/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však boli u mladých aj u a starších pacientov podobné (pozri tiež časť 4.2).</w:t>
      </w:r>
    </w:p>
    <w:p w:rsidR="002C44D9" w:rsidRPr="001340C5" w:rsidRDefault="002C44D9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2C44D9" w:rsidRPr="001340C5" w:rsidRDefault="002C44D9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>U pacientov s miern</w:t>
      </w:r>
      <w:r w:rsidR="005C05EC" w:rsidRPr="001340C5">
        <w:rPr>
          <w:rFonts w:ascii="Times New Roman" w:hAnsi="Times New Roman" w:cs="Times New Roman"/>
          <w:lang w:val="sk-SK"/>
        </w:rPr>
        <w:t>ou</w:t>
      </w:r>
      <w:r w:rsidRPr="001340C5">
        <w:rPr>
          <w:rFonts w:ascii="Times New Roman" w:hAnsi="Times New Roman" w:cs="Times New Roman"/>
          <w:lang w:val="sk-SK"/>
        </w:rPr>
        <w:t xml:space="preserve"> až stredne ťažk</w:t>
      </w:r>
      <w:r w:rsidR="005C05EC" w:rsidRPr="001340C5">
        <w:rPr>
          <w:rFonts w:ascii="Times New Roman" w:hAnsi="Times New Roman" w:cs="Times New Roman"/>
          <w:lang w:val="sk-SK"/>
        </w:rPr>
        <w:t>ou</w:t>
      </w:r>
      <w:r w:rsidRPr="001340C5">
        <w:rPr>
          <w:rFonts w:ascii="Times New Roman" w:hAnsi="Times New Roman" w:cs="Times New Roman"/>
          <w:lang w:val="sk-SK"/>
        </w:rPr>
        <w:t xml:space="preserve"> po</w:t>
      </w:r>
      <w:r w:rsidR="005C05EC" w:rsidRPr="001340C5">
        <w:rPr>
          <w:rFonts w:ascii="Times New Roman" w:hAnsi="Times New Roman" w:cs="Times New Roman"/>
          <w:lang w:val="sk-SK"/>
        </w:rPr>
        <w:t>ruchou</w:t>
      </w:r>
      <w:r w:rsidRPr="001340C5">
        <w:rPr>
          <w:rFonts w:ascii="Times New Roman" w:hAnsi="Times New Roman" w:cs="Times New Roman"/>
          <w:lang w:val="sk-SK"/>
        </w:rPr>
        <w:t xml:space="preserve"> funkcie obličiek, pri porovnaní s osobami </w:t>
      </w:r>
    </w:p>
    <w:p w:rsidR="003C6556" w:rsidRPr="001340C5" w:rsidRDefault="002C44D9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s normálnou funkciou obličiek, sa pozorovali zvýšené hodnoty </w:t>
      </w:r>
      <w:proofErr w:type="spellStart"/>
      <w:r w:rsidRPr="001340C5">
        <w:rPr>
          <w:rFonts w:ascii="Times New Roman" w:hAnsi="Times New Roman" w:cs="Times New Roman"/>
          <w:lang w:val="sk-SK"/>
        </w:rPr>
        <w:t>C</w:t>
      </w:r>
      <w:r w:rsidRPr="001340C5">
        <w:rPr>
          <w:rFonts w:ascii="Times New Roman" w:hAnsi="Times New Roman" w:cs="Times New Roman"/>
          <w:vertAlign w:val="subscript"/>
          <w:lang w:val="sk-SK"/>
        </w:rPr>
        <w:t>max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 AUC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pri opakovanom podaní približne o 50 % a 70 %, pričom však terminálny polčas eliminácie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(t</w:t>
      </w:r>
      <w:r w:rsidRPr="001340C5">
        <w:rPr>
          <w:rFonts w:ascii="Times New Roman" w:hAnsi="Times New Roman" w:cs="Times New Roman"/>
          <w:vertAlign w:val="subscript"/>
          <w:lang w:val="sk-SK"/>
        </w:rPr>
        <w:t>½</w:t>
      </w:r>
      <w:r w:rsidRPr="001340C5">
        <w:rPr>
          <w:rFonts w:ascii="Times New Roman" w:hAnsi="Times New Roman" w:cs="Times New Roman"/>
          <w:lang w:val="sk-SK"/>
        </w:rPr>
        <w:t xml:space="preserve">) zmenený nebol. Zmeny uvedených parametrov u pacientov s ťažkým </w:t>
      </w:r>
      <w:proofErr w:type="spellStart"/>
      <w:r w:rsidR="005C05EC" w:rsidRPr="001340C5">
        <w:rPr>
          <w:rFonts w:ascii="Times New Roman" w:hAnsi="Times New Roman" w:cs="Times New Roman"/>
          <w:lang w:val="sk-SK"/>
        </w:rPr>
        <w:t>renálnym</w:t>
      </w:r>
      <w:proofErr w:type="spellEnd"/>
      <w:r w:rsidR="005C05EC" w:rsidRPr="001340C5">
        <w:rPr>
          <w:rFonts w:ascii="Times New Roman" w:hAnsi="Times New Roman" w:cs="Times New Roman"/>
          <w:lang w:val="sk-SK"/>
        </w:rPr>
        <w:t xml:space="preserve"> </w:t>
      </w:r>
      <w:r w:rsidRPr="001340C5">
        <w:rPr>
          <w:rFonts w:ascii="Times New Roman" w:hAnsi="Times New Roman" w:cs="Times New Roman"/>
          <w:lang w:val="sk-SK"/>
        </w:rPr>
        <w:t>poškodením boli približne 50 % a 110 %</w:t>
      </w:r>
      <w:r w:rsidR="005C05EC" w:rsidRPr="001340C5">
        <w:rPr>
          <w:rFonts w:ascii="Times New Roman" w:hAnsi="Times New Roman" w:cs="Times New Roman"/>
          <w:lang w:val="sk-SK"/>
        </w:rPr>
        <w:t>, v uvedenom poradí</w:t>
      </w:r>
      <w:r w:rsidRPr="001340C5">
        <w:rPr>
          <w:rFonts w:ascii="Times New Roman" w:hAnsi="Times New Roman" w:cs="Times New Roman"/>
          <w:lang w:val="sk-SK"/>
        </w:rPr>
        <w:t>. Terminálny polčas eliminácie (t</w:t>
      </w:r>
      <w:r w:rsidRPr="001340C5">
        <w:rPr>
          <w:rFonts w:ascii="Times New Roman" w:hAnsi="Times New Roman" w:cs="Times New Roman"/>
          <w:vertAlign w:val="subscript"/>
          <w:lang w:val="sk-SK"/>
        </w:rPr>
        <w:t>½</w:t>
      </w:r>
      <w:r w:rsidRPr="001340C5">
        <w:rPr>
          <w:rFonts w:ascii="Times New Roman" w:hAnsi="Times New Roman" w:cs="Times New Roman"/>
          <w:lang w:val="sk-SK"/>
        </w:rPr>
        <w:t xml:space="preserve">)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bol u tejto skupiny pacientov približne zdvojnásobený. </w:t>
      </w:r>
      <w:proofErr w:type="spellStart"/>
      <w:r w:rsidRPr="001340C5">
        <w:rPr>
          <w:rFonts w:ascii="Times New Roman" w:hAnsi="Times New Roman" w:cs="Times New Roman"/>
          <w:lang w:val="sk-SK"/>
        </w:rPr>
        <w:t>Farmakokinetika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u pacientov liečených hemodialýzou bola podobná ako u pacientov s ťažk</w:t>
      </w:r>
      <w:r w:rsidR="005C05EC" w:rsidRPr="001340C5">
        <w:rPr>
          <w:rFonts w:ascii="Times New Roman" w:hAnsi="Times New Roman" w:cs="Times New Roman"/>
          <w:lang w:val="sk-SK"/>
        </w:rPr>
        <w:t>ou</w:t>
      </w:r>
      <w:r w:rsidRPr="001340C5">
        <w:rPr>
          <w:rFonts w:ascii="Times New Roman" w:hAnsi="Times New Roman" w:cs="Times New Roman"/>
          <w:lang w:val="sk-SK"/>
        </w:rPr>
        <w:t xml:space="preserve"> po</w:t>
      </w:r>
      <w:r w:rsidR="005C05EC" w:rsidRPr="001340C5">
        <w:rPr>
          <w:rFonts w:ascii="Times New Roman" w:hAnsi="Times New Roman" w:cs="Times New Roman"/>
          <w:lang w:val="sk-SK"/>
        </w:rPr>
        <w:t>ruchou</w:t>
      </w:r>
      <w:r w:rsidRPr="001340C5">
        <w:rPr>
          <w:rFonts w:ascii="Times New Roman" w:hAnsi="Times New Roman" w:cs="Times New Roman"/>
          <w:lang w:val="sk-SK"/>
        </w:rPr>
        <w:t xml:space="preserve"> funkcie obličiek.</w:t>
      </w:r>
    </w:p>
    <w:p w:rsidR="003C6556" w:rsidRPr="001340C5" w:rsidRDefault="003C6556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422B1D" w:rsidRPr="001340C5" w:rsidRDefault="00422B1D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V dvoch štúdiách u pacientov s ľahkým až stredne ťažkým poškodením pečene sa pozoroval nárast priemernej AUC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 približne o 20 % v jednej štúdii a 80 % v druhej štúdii (pozri časť 4.2). U pacientov s ťažkým poškodením pečene nie sú žiadne skúsenosti.</w:t>
      </w:r>
    </w:p>
    <w:p w:rsidR="00AD191D" w:rsidRPr="001340C5" w:rsidRDefault="00AD191D" w:rsidP="00244BAB">
      <w:pPr>
        <w:spacing w:after="0"/>
        <w:jc w:val="both"/>
        <w:rPr>
          <w:rFonts w:ascii="Times New Roman" w:hAnsi="Times New Roman" w:cs="Times New Roman"/>
          <w:i/>
          <w:lang w:val="sk-SK"/>
        </w:rPr>
      </w:pPr>
    </w:p>
    <w:p w:rsidR="00422B1D" w:rsidRPr="001340C5" w:rsidRDefault="00422B1D" w:rsidP="00244BAB">
      <w:pPr>
        <w:spacing w:after="0"/>
        <w:jc w:val="both"/>
        <w:rPr>
          <w:rFonts w:ascii="Times New Roman" w:hAnsi="Times New Roman" w:cs="Times New Roman"/>
          <w:i/>
          <w:lang w:val="sk-SK"/>
        </w:rPr>
      </w:pPr>
      <w:proofErr w:type="spellStart"/>
      <w:r w:rsidRPr="001340C5">
        <w:rPr>
          <w:rFonts w:ascii="Times New Roman" w:hAnsi="Times New Roman" w:cs="Times New Roman"/>
          <w:i/>
          <w:lang w:val="sk-SK"/>
        </w:rPr>
        <w:t>Hydrochlorotiazid</w:t>
      </w:r>
      <w:proofErr w:type="spellEnd"/>
    </w:p>
    <w:p w:rsidR="003C6556" w:rsidRPr="001340C5" w:rsidRDefault="00422B1D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>Terminálny polčas eliminácie (t</w:t>
      </w:r>
      <w:r w:rsidRPr="001340C5">
        <w:rPr>
          <w:rFonts w:ascii="Times New Roman" w:hAnsi="Times New Roman" w:cs="Times New Roman"/>
          <w:vertAlign w:val="subscript"/>
          <w:lang w:val="sk-SK"/>
        </w:rPr>
        <w:t>½</w:t>
      </w:r>
      <w:r w:rsidRPr="001340C5">
        <w:rPr>
          <w:rFonts w:ascii="Times New Roman" w:hAnsi="Times New Roman" w:cs="Times New Roman"/>
          <w:lang w:val="sk-SK"/>
        </w:rPr>
        <w:t xml:space="preserve">) 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je predĺžený u pacientov s po</w:t>
      </w:r>
      <w:r w:rsidR="00CE186C" w:rsidRPr="001340C5">
        <w:rPr>
          <w:rFonts w:ascii="Times New Roman" w:hAnsi="Times New Roman" w:cs="Times New Roman"/>
          <w:lang w:val="sk-SK"/>
        </w:rPr>
        <w:t>ruchou</w:t>
      </w:r>
      <w:r w:rsidRPr="001340C5">
        <w:rPr>
          <w:rFonts w:ascii="Times New Roman" w:hAnsi="Times New Roman" w:cs="Times New Roman"/>
          <w:lang w:val="sk-SK"/>
        </w:rPr>
        <w:t xml:space="preserve"> funkcie obličiek.</w:t>
      </w:r>
    </w:p>
    <w:p w:rsidR="003C6556" w:rsidRPr="001340C5" w:rsidRDefault="003C6556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7E0A50" w:rsidRPr="001340C5" w:rsidRDefault="00B0442B" w:rsidP="00103E2E">
      <w:pPr>
        <w:pStyle w:val="Odsekzoznamu"/>
        <w:numPr>
          <w:ilvl w:val="0"/>
          <w:numId w:val="12"/>
        </w:numPr>
        <w:spacing w:after="0"/>
        <w:ind w:left="567" w:hanging="567"/>
        <w:jc w:val="both"/>
        <w:rPr>
          <w:rFonts w:ascii="Times New Roman" w:hAnsi="Times New Roman" w:cs="Times New Roman"/>
          <w:b/>
          <w:lang w:val="sk-SK"/>
        </w:rPr>
      </w:pPr>
      <w:r w:rsidRPr="001340C5">
        <w:rPr>
          <w:rFonts w:ascii="Times New Roman" w:hAnsi="Times New Roman" w:cs="Times New Roman"/>
          <w:b/>
          <w:lang w:val="sk-SK"/>
        </w:rPr>
        <w:t>Predklinické údaje o</w:t>
      </w:r>
      <w:r w:rsidR="00164122" w:rsidRPr="001340C5">
        <w:rPr>
          <w:rFonts w:ascii="Times New Roman" w:hAnsi="Times New Roman" w:cs="Times New Roman"/>
          <w:b/>
          <w:lang w:val="sk-SK"/>
        </w:rPr>
        <w:t> </w:t>
      </w:r>
      <w:r w:rsidRPr="001340C5">
        <w:rPr>
          <w:rFonts w:ascii="Times New Roman" w:hAnsi="Times New Roman" w:cs="Times New Roman"/>
          <w:b/>
          <w:lang w:val="sk-SK"/>
        </w:rPr>
        <w:t>bezpečnosti</w:t>
      </w:r>
    </w:p>
    <w:p w:rsidR="00164122" w:rsidRPr="001340C5" w:rsidRDefault="00164122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C01256" w:rsidRDefault="00AF6696" w:rsidP="00244BAB">
      <w:pPr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Nie sú k dispozícii žiadne kvalitatívne nové toxikologické nálezy pri kombinácii liečiv v porovnaní s nálezmi, ktoré sa pozorovali u jednotlivých komponentov. V predklinických  štúdiách bezpečnosti vykazoval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vo vysokých dávkach účinok na obličky a na parametre červen</w:t>
      </w:r>
      <w:r w:rsidR="00F91C0B" w:rsidRPr="001340C5">
        <w:rPr>
          <w:rFonts w:ascii="Times New Roman" w:hAnsi="Times New Roman" w:cs="Times New Roman"/>
          <w:lang w:val="sk-SK"/>
        </w:rPr>
        <w:t>ých</w:t>
      </w:r>
      <w:r w:rsidRPr="001340C5">
        <w:rPr>
          <w:rFonts w:ascii="Times New Roman" w:hAnsi="Times New Roman" w:cs="Times New Roman"/>
          <w:lang w:val="sk-SK"/>
        </w:rPr>
        <w:t xml:space="preserve"> krvn</w:t>
      </w:r>
      <w:r w:rsidR="00F91C0B" w:rsidRPr="001340C5">
        <w:rPr>
          <w:rFonts w:ascii="Times New Roman" w:hAnsi="Times New Roman" w:cs="Times New Roman"/>
          <w:lang w:val="sk-SK"/>
        </w:rPr>
        <w:t>ých</w:t>
      </w:r>
      <w:r w:rsidRPr="001340C5">
        <w:rPr>
          <w:rFonts w:ascii="Times New Roman" w:hAnsi="Times New Roman" w:cs="Times New Roman"/>
          <w:lang w:val="sk-SK"/>
        </w:rPr>
        <w:t xml:space="preserve"> </w:t>
      </w:r>
      <w:r w:rsidR="00F91C0B" w:rsidRPr="001340C5">
        <w:rPr>
          <w:rFonts w:ascii="Times New Roman" w:hAnsi="Times New Roman" w:cs="Times New Roman"/>
          <w:lang w:val="sk-SK"/>
        </w:rPr>
        <w:t>buniek</w:t>
      </w:r>
      <w:r w:rsidRPr="001340C5">
        <w:rPr>
          <w:rFonts w:ascii="Times New Roman" w:hAnsi="Times New Roman" w:cs="Times New Roman"/>
          <w:lang w:val="sk-SK"/>
        </w:rPr>
        <w:t xml:space="preserve"> u myší, potkanov, psov a opíc.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spôsoboval zníženie hodnôt parametrov červ</w:t>
      </w:r>
      <w:r w:rsidR="00C249F3" w:rsidRPr="001340C5">
        <w:rPr>
          <w:rFonts w:ascii="Times New Roman" w:hAnsi="Times New Roman" w:cs="Times New Roman"/>
          <w:lang w:val="sk-SK"/>
        </w:rPr>
        <w:t>ených</w:t>
      </w:r>
      <w:r w:rsidRPr="001340C5">
        <w:rPr>
          <w:rFonts w:ascii="Times New Roman" w:hAnsi="Times New Roman" w:cs="Times New Roman"/>
          <w:lang w:val="sk-SK"/>
        </w:rPr>
        <w:t xml:space="preserve"> krvn</w:t>
      </w:r>
      <w:r w:rsidR="00C249F3" w:rsidRPr="001340C5">
        <w:rPr>
          <w:rFonts w:ascii="Times New Roman" w:hAnsi="Times New Roman" w:cs="Times New Roman"/>
          <w:lang w:val="sk-SK"/>
        </w:rPr>
        <w:t>ých buniek</w:t>
      </w:r>
      <w:r w:rsidRPr="001340C5">
        <w:rPr>
          <w:rFonts w:ascii="Times New Roman" w:hAnsi="Times New Roman" w:cs="Times New Roman"/>
          <w:lang w:val="sk-SK"/>
        </w:rPr>
        <w:t xml:space="preserve"> (erytrocyty, hemoglobín, </w:t>
      </w:r>
      <w:proofErr w:type="spellStart"/>
      <w:r w:rsidRPr="001340C5">
        <w:rPr>
          <w:rFonts w:ascii="Times New Roman" w:hAnsi="Times New Roman" w:cs="Times New Roman"/>
          <w:lang w:val="sk-SK"/>
        </w:rPr>
        <w:t>hematokrit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). </w:t>
      </w:r>
    </w:p>
    <w:p w:rsidR="00AF6696" w:rsidRPr="001340C5" w:rsidRDefault="00AF6696" w:rsidP="00244BAB">
      <w:pPr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Účinky na obličky (ako napr. </w:t>
      </w:r>
      <w:proofErr w:type="spellStart"/>
      <w:r w:rsidRPr="001340C5">
        <w:rPr>
          <w:rFonts w:ascii="Times New Roman" w:hAnsi="Times New Roman" w:cs="Times New Roman"/>
          <w:lang w:val="sk-SK"/>
        </w:rPr>
        <w:t>intersticiálna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nefritída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dilatácia </w:t>
      </w:r>
      <w:proofErr w:type="spellStart"/>
      <w:r w:rsidRPr="001340C5">
        <w:rPr>
          <w:rFonts w:ascii="Times New Roman" w:hAnsi="Times New Roman" w:cs="Times New Roman"/>
          <w:lang w:val="sk-SK"/>
        </w:rPr>
        <w:t>tubulov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340C5">
        <w:rPr>
          <w:rFonts w:ascii="Times New Roman" w:hAnsi="Times New Roman" w:cs="Times New Roman"/>
          <w:lang w:val="sk-SK"/>
        </w:rPr>
        <w:t>bazofilné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tubuly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, zvýšenie plazmatických koncentrácií </w:t>
      </w:r>
      <w:proofErr w:type="spellStart"/>
      <w:r w:rsidRPr="001340C5">
        <w:rPr>
          <w:rFonts w:ascii="Times New Roman" w:hAnsi="Times New Roman" w:cs="Times New Roman"/>
          <w:lang w:val="sk-SK"/>
        </w:rPr>
        <w:t>urey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Pr="001340C5">
        <w:rPr>
          <w:rFonts w:ascii="Times New Roman" w:hAnsi="Times New Roman" w:cs="Times New Roman"/>
          <w:lang w:val="sk-SK"/>
        </w:rPr>
        <w:t>kreatinínu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) vyvolané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kandesartanom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mohli byť sekundárne v dôsledku hypotenzie, vedúcej k </w:t>
      </w:r>
      <w:proofErr w:type="spellStart"/>
      <w:r w:rsidRPr="001340C5">
        <w:rPr>
          <w:rFonts w:ascii="Times New Roman" w:hAnsi="Times New Roman" w:cs="Times New Roman"/>
          <w:lang w:val="sk-SK"/>
        </w:rPr>
        <w:t>alterácii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perfúzie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obličiek. Pridanie 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zosilňuje </w:t>
      </w:r>
      <w:proofErr w:type="spellStart"/>
      <w:r w:rsidRPr="001340C5">
        <w:rPr>
          <w:rFonts w:ascii="Times New Roman" w:hAnsi="Times New Roman" w:cs="Times New Roman"/>
          <w:lang w:val="sk-SK"/>
        </w:rPr>
        <w:t>nefrotoxicitu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. Navyše,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môže vyvolať </w:t>
      </w:r>
      <w:proofErr w:type="spellStart"/>
      <w:r w:rsidRPr="001340C5">
        <w:rPr>
          <w:rFonts w:ascii="Times New Roman" w:hAnsi="Times New Roman" w:cs="Times New Roman"/>
          <w:lang w:val="sk-SK"/>
        </w:rPr>
        <w:t>hyperpláziu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/hypertrofiu </w:t>
      </w:r>
      <w:proofErr w:type="spellStart"/>
      <w:r w:rsidRPr="001340C5">
        <w:rPr>
          <w:rFonts w:ascii="Times New Roman" w:hAnsi="Times New Roman" w:cs="Times New Roman"/>
          <w:lang w:val="sk-SK"/>
        </w:rPr>
        <w:lastRenderedPageBreak/>
        <w:t>juxtaglomerulárnych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buniek. Tieto zmeny sú spôsobené farmakologickým účinkom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 majú len malý klinický význam.</w:t>
      </w:r>
    </w:p>
    <w:p w:rsidR="00537A82" w:rsidRPr="001340C5" w:rsidRDefault="00537A82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 xml:space="preserve">V pokročilých štádiách brezivosti sa po podaní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zaznamenala </w:t>
      </w:r>
      <w:proofErr w:type="spellStart"/>
      <w:r w:rsidRPr="001340C5">
        <w:rPr>
          <w:rFonts w:ascii="Times New Roman" w:hAnsi="Times New Roman" w:cs="Times New Roman"/>
          <w:lang w:val="sk-SK"/>
        </w:rPr>
        <w:t>fetotoxicita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. Pridanie </w:t>
      </w:r>
    </w:p>
    <w:p w:rsidR="00537A82" w:rsidRPr="001340C5" w:rsidRDefault="00537A82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 w:rsidRPr="001340C5">
        <w:rPr>
          <w:rFonts w:ascii="Times New Roman" w:hAnsi="Times New Roman" w:cs="Times New Roman"/>
          <w:lang w:val="sk-SK"/>
        </w:rPr>
        <w:t>hydrochlorotiazidu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neovplyvnilo signifikantne výsledky </w:t>
      </w:r>
      <w:proofErr w:type="spellStart"/>
      <w:r w:rsidRPr="001340C5">
        <w:rPr>
          <w:rFonts w:ascii="Times New Roman" w:hAnsi="Times New Roman" w:cs="Times New Roman"/>
          <w:lang w:val="sk-SK"/>
        </w:rPr>
        <w:t>fetálnych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vývojových štúdií na potkanoch, myšiach alebo králikoch (pozri časť 4.6).</w:t>
      </w:r>
    </w:p>
    <w:p w:rsidR="00537A82" w:rsidRPr="001340C5" w:rsidRDefault="00537A82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537A82" w:rsidRPr="001340C5" w:rsidRDefault="00537A82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 w:rsidRPr="001340C5">
        <w:rPr>
          <w:rFonts w:ascii="Times New Roman" w:hAnsi="Times New Roman" w:cs="Times New Roman"/>
          <w:lang w:val="sk-SK"/>
        </w:rPr>
        <w:t>Kandesartan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aj 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vykazujú pri veľmi vysokých koncentráciách/po podaní veľmi vysokých dávok </w:t>
      </w:r>
      <w:proofErr w:type="spellStart"/>
      <w:r w:rsidRPr="001340C5">
        <w:rPr>
          <w:rFonts w:ascii="Times New Roman" w:hAnsi="Times New Roman" w:cs="Times New Roman"/>
          <w:lang w:val="sk-SK"/>
        </w:rPr>
        <w:t>genotoxickú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aktivitu. Údaje z </w:t>
      </w:r>
      <w:r w:rsidRPr="001340C5">
        <w:rPr>
          <w:rFonts w:ascii="Times New Roman" w:hAnsi="Times New Roman" w:cs="Times New Roman"/>
          <w:i/>
          <w:lang w:val="sk-SK"/>
        </w:rPr>
        <w:t xml:space="preserve">in vitro </w:t>
      </w:r>
      <w:r w:rsidRPr="001340C5">
        <w:rPr>
          <w:rFonts w:ascii="Times New Roman" w:hAnsi="Times New Roman" w:cs="Times New Roman"/>
          <w:lang w:val="sk-SK"/>
        </w:rPr>
        <w:t xml:space="preserve">a </w:t>
      </w:r>
      <w:r w:rsidRPr="001340C5">
        <w:rPr>
          <w:rFonts w:ascii="Times New Roman" w:hAnsi="Times New Roman" w:cs="Times New Roman"/>
          <w:i/>
          <w:lang w:val="sk-SK"/>
        </w:rPr>
        <w:t xml:space="preserve">in </w:t>
      </w:r>
      <w:proofErr w:type="spellStart"/>
      <w:r w:rsidRPr="001340C5">
        <w:rPr>
          <w:rFonts w:ascii="Times New Roman" w:hAnsi="Times New Roman" w:cs="Times New Roman"/>
          <w:i/>
          <w:lang w:val="sk-SK"/>
        </w:rPr>
        <w:t>vivo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genotoxických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testov naznačujú, že je nepravdepodobné, aby </w:t>
      </w:r>
      <w:proofErr w:type="spellStart"/>
      <w:r w:rsidRPr="001340C5">
        <w:rPr>
          <w:rFonts w:ascii="Times New Roman" w:hAnsi="Times New Roman" w:cs="Times New Roman"/>
          <w:lang w:val="sk-SK"/>
        </w:rPr>
        <w:t>kandesartan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Pr="001340C5">
        <w:rPr>
          <w:rFonts w:ascii="Times New Roman" w:hAnsi="Times New Roman" w:cs="Times New Roman"/>
          <w:lang w:val="sk-SK"/>
        </w:rPr>
        <w:t>hydrochlorotiazid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vykazovali mutagénnu alebo </w:t>
      </w:r>
      <w:proofErr w:type="spellStart"/>
      <w:r w:rsidRPr="001340C5">
        <w:rPr>
          <w:rFonts w:ascii="Times New Roman" w:hAnsi="Times New Roman" w:cs="Times New Roman"/>
          <w:lang w:val="sk-SK"/>
        </w:rPr>
        <w:t>klastogénnu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aktivitu v podmienkach klinického užívania. </w:t>
      </w:r>
    </w:p>
    <w:p w:rsidR="00537A82" w:rsidRPr="001340C5" w:rsidRDefault="00537A82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AF6696" w:rsidRPr="001340C5" w:rsidRDefault="00537A82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>Karcinogenita oboch zložiek nebola dokázaná.</w:t>
      </w:r>
    </w:p>
    <w:p w:rsidR="00164122" w:rsidRDefault="00164122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4F5AE8" w:rsidRPr="001340C5" w:rsidRDefault="004F5AE8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164122" w:rsidRPr="00DE2736" w:rsidRDefault="00164122" w:rsidP="00DE2736">
      <w:pPr>
        <w:pStyle w:val="Odsekzoznamu"/>
        <w:numPr>
          <w:ilvl w:val="0"/>
          <w:numId w:val="20"/>
        </w:numPr>
        <w:spacing w:after="0"/>
        <w:ind w:left="567" w:hanging="567"/>
        <w:jc w:val="both"/>
        <w:rPr>
          <w:rFonts w:ascii="Times New Roman" w:hAnsi="Times New Roman" w:cs="Times New Roman"/>
          <w:b/>
          <w:lang w:val="sk-SK"/>
        </w:rPr>
      </w:pPr>
      <w:r w:rsidRPr="00DE2736">
        <w:rPr>
          <w:rFonts w:ascii="Times New Roman" w:hAnsi="Times New Roman" w:cs="Times New Roman"/>
          <w:b/>
          <w:lang w:val="sk-SK"/>
        </w:rPr>
        <w:t>FARMACEUTICKÉ VLASTNOSTI</w:t>
      </w:r>
    </w:p>
    <w:p w:rsidR="0096705F" w:rsidRPr="001340C5" w:rsidRDefault="0096705F" w:rsidP="00244BAB">
      <w:pPr>
        <w:spacing w:after="0"/>
        <w:jc w:val="both"/>
        <w:rPr>
          <w:rFonts w:ascii="Times New Roman" w:hAnsi="Times New Roman" w:cs="Times New Roman"/>
          <w:b/>
          <w:lang w:val="sk-SK"/>
        </w:rPr>
      </w:pPr>
    </w:p>
    <w:p w:rsidR="00460E01" w:rsidRPr="001340C5" w:rsidRDefault="00CD7D58" w:rsidP="00103E2E">
      <w:pPr>
        <w:pStyle w:val="Odsekzoznamu"/>
        <w:numPr>
          <w:ilvl w:val="0"/>
          <w:numId w:val="14"/>
        </w:numPr>
        <w:spacing w:after="0"/>
        <w:ind w:left="567" w:hanging="567"/>
        <w:jc w:val="both"/>
        <w:rPr>
          <w:rFonts w:ascii="Times New Roman" w:hAnsi="Times New Roman" w:cs="Times New Roman"/>
          <w:b/>
          <w:lang w:val="sk-SK"/>
        </w:rPr>
      </w:pPr>
      <w:r w:rsidRPr="001340C5">
        <w:rPr>
          <w:rFonts w:ascii="Times New Roman" w:hAnsi="Times New Roman" w:cs="Times New Roman"/>
          <w:b/>
          <w:lang w:val="sk-SK"/>
        </w:rPr>
        <w:t>Zoznam pomocných látok</w:t>
      </w:r>
    </w:p>
    <w:p w:rsidR="000D1B72" w:rsidRPr="001340C5" w:rsidRDefault="000D1B72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B17B56" w:rsidRPr="001340C5" w:rsidRDefault="00B17B56" w:rsidP="00244BAB">
      <w:pPr>
        <w:spacing w:after="0"/>
        <w:jc w:val="both"/>
        <w:rPr>
          <w:rFonts w:ascii="Times New Roman" w:hAnsi="Times New Roman" w:cs="Times New Roman"/>
          <w:u w:val="single"/>
          <w:lang w:val="sk-SK"/>
        </w:rPr>
      </w:pPr>
      <w:r w:rsidRPr="001340C5">
        <w:rPr>
          <w:rFonts w:ascii="Times New Roman" w:hAnsi="Times New Roman" w:cs="Times New Roman"/>
          <w:u w:val="single"/>
          <w:lang w:val="sk-SK"/>
        </w:rPr>
        <w:t xml:space="preserve">Jedna </w:t>
      </w:r>
      <w:r w:rsidR="00C249F3" w:rsidRPr="001340C5">
        <w:rPr>
          <w:rFonts w:ascii="Times New Roman" w:hAnsi="Times New Roman" w:cs="Times New Roman"/>
          <w:u w:val="single"/>
          <w:lang w:val="sk-SK"/>
        </w:rPr>
        <w:t xml:space="preserve">tableta </w:t>
      </w:r>
      <w:proofErr w:type="spellStart"/>
      <w:r w:rsidR="00B37EDA">
        <w:rPr>
          <w:rFonts w:ascii="Times New Roman" w:hAnsi="Times New Roman" w:cs="Times New Roman"/>
          <w:u w:val="single"/>
          <w:lang w:val="sk-SK"/>
        </w:rPr>
        <w:t>C</w:t>
      </w:r>
      <w:r w:rsidR="00181084" w:rsidRPr="001340C5">
        <w:rPr>
          <w:rFonts w:ascii="Times New Roman" w:hAnsi="Times New Roman" w:cs="Times New Roman"/>
          <w:u w:val="single"/>
          <w:lang w:val="sk-SK"/>
        </w:rPr>
        <w:t>andesartan</w:t>
      </w:r>
      <w:r w:rsidR="00C249F3" w:rsidRPr="001340C5">
        <w:rPr>
          <w:rFonts w:ascii="Times New Roman" w:hAnsi="Times New Roman" w:cs="Times New Roman"/>
          <w:u w:val="single"/>
          <w:lang w:val="sk-SK"/>
        </w:rPr>
        <w:t>u</w:t>
      </w:r>
      <w:proofErr w:type="spellEnd"/>
      <w:r w:rsidR="00B37EDA">
        <w:rPr>
          <w:rFonts w:ascii="Times New Roman" w:hAnsi="Times New Roman" w:cs="Times New Roman"/>
          <w:u w:val="single"/>
          <w:lang w:val="sk-SK"/>
        </w:rPr>
        <w:t xml:space="preserve"> HC</w:t>
      </w:r>
      <w:r w:rsidR="005906EC">
        <w:rPr>
          <w:rFonts w:ascii="Times New Roman" w:hAnsi="Times New Roman" w:cs="Times New Roman"/>
          <w:u w:val="single"/>
          <w:lang w:val="sk-SK"/>
        </w:rPr>
        <w:t>T</w:t>
      </w:r>
      <w:r w:rsidR="00B37EDA">
        <w:rPr>
          <w:rFonts w:ascii="Times New Roman" w:hAnsi="Times New Roman" w:cs="Times New Roman"/>
          <w:u w:val="single"/>
          <w:lang w:val="sk-SK"/>
        </w:rPr>
        <w:t xml:space="preserve"> </w:t>
      </w:r>
      <w:proofErr w:type="spellStart"/>
      <w:r w:rsidR="00B37EDA">
        <w:rPr>
          <w:rFonts w:ascii="Times New Roman" w:hAnsi="Times New Roman" w:cs="Times New Roman"/>
          <w:u w:val="single"/>
          <w:lang w:val="sk-SK"/>
        </w:rPr>
        <w:t>Swyssi</w:t>
      </w:r>
      <w:proofErr w:type="spellEnd"/>
      <w:r w:rsidR="00181084" w:rsidRPr="001340C5">
        <w:rPr>
          <w:rFonts w:ascii="Times New Roman" w:hAnsi="Times New Roman" w:cs="Times New Roman"/>
          <w:u w:val="single"/>
          <w:lang w:val="sk-SK"/>
        </w:rPr>
        <w:t xml:space="preserve"> </w:t>
      </w:r>
      <w:r w:rsidRPr="001340C5">
        <w:rPr>
          <w:rFonts w:ascii="Times New Roman" w:hAnsi="Times New Roman" w:cs="Times New Roman"/>
          <w:u w:val="single"/>
          <w:lang w:val="sk-SK"/>
        </w:rPr>
        <w:t>8 mg/12,5 mg obsahuje:</w:t>
      </w:r>
    </w:p>
    <w:p w:rsidR="00F241BC" w:rsidRPr="001340C5" w:rsidRDefault="000233DA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 w:rsidRPr="001340C5">
        <w:rPr>
          <w:rFonts w:ascii="Times New Roman" w:hAnsi="Times New Roman" w:cs="Times New Roman"/>
          <w:lang w:val="sk-SK"/>
        </w:rPr>
        <w:t>Manitol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(E421)</w:t>
      </w:r>
    </w:p>
    <w:p w:rsidR="00460E01" w:rsidRPr="001340C5" w:rsidRDefault="00F241BC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>Kukuričný škrob</w:t>
      </w:r>
    </w:p>
    <w:p w:rsidR="00F241BC" w:rsidRPr="001340C5" w:rsidRDefault="009335A1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 w:rsidRPr="009335A1">
        <w:rPr>
          <w:rFonts w:ascii="Times New Roman" w:eastAsia="Calibri" w:hAnsi="Times New Roman" w:cs="Times New Roman"/>
          <w:lang w:val="sk-SK"/>
        </w:rPr>
        <w:t>Kopovid</w:t>
      </w:r>
      <w:r w:rsidR="00C249F3" w:rsidRPr="001340C5">
        <w:rPr>
          <w:rFonts w:ascii="Times New Roman" w:eastAsia="Calibri" w:hAnsi="Times New Roman" w:cs="Times New Roman"/>
          <w:lang w:val="sk-SK"/>
        </w:rPr>
        <w:t>ó</w:t>
      </w:r>
      <w:r w:rsidRPr="009335A1">
        <w:rPr>
          <w:rFonts w:ascii="Times New Roman" w:eastAsia="Calibri" w:hAnsi="Times New Roman" w:cs="Times New Roman"/>
          <w:lang w:val="sk-SK"/>
        </w:rPr>
        <w:t>n</w:t>
      </w:r>
      <w:proofErr w:type="spellEnd"/>
      <w:r w:rsidRPr="009335A1">
        <w:rPr>
          <w:rFonts w:ascii="Times New Roman" w:hAnsi="Times New Roman"/>
          <w:lang w:val="sk-SK"/>
        </w:rPr>
        <w:t xml:space="preserve"> (К25-31)</w:t>
      </w:r>
    </w:p>
    <w:p w:rsidR="00460E01" w:rsidRPr="001340C5" w:rsidRDefault="00A652E2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 w:rsidRPr="001340C5">
        <w:rPr>
          <w:rFonts w:ascii="Times New Roman" w:hAnsi="Times New Roman" w:cs="Times New Roman"/>
          <w:lang w:val="sk-SK"/>
        </w:rPr>
        <w:t>Glycerol</w:t>
      </w:r>
      <w:proofErr w:type="spellEnd"/>
    </w:p>
    <w:p w:rsidR="00460E01" w:rsidRPr="001340C5" w:rsidRDefault="003A3725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 w:rsidRPr="001340C5">
        <w:rPr>
          <w:rFonts w:ascii="Times New Roman" w:hAnsi="Times New Roman" w:cs="Times New Roman"/>
          <w:lang w:val="sk-SK"/>
        </w:rPr>
        <w:t>Magnéziumstearát</w:t>
      </w:r>
      <w:proofErr w:type="spellEnd"/>
    </w:p>
    <w:p w:rsidR="00B17B56" w:rsidRPr="001340C5" w:rsidRDefault="00B17B56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B17B56" w:rsidRPr="001340C5" w:rsidRDefault="00B17B56" w:rsidP="00244BAB">
      <w:pPr>
        <w:spacing w:after="0"/>
        <w:jc w:val="both"/>
        <w:rPr>
          <w:rFonts w:ascii="Times New Roman" w:hAnsi="Times New Roman" w:cs="Times New Roman"/>
          <w:u w:val="single"/>
          <w:lang w:val="sk-SK"/>
        </w:rPr>
      </w:pPr>
      <w:r w:rsidRPr="001340C5">
        <w:rPr>
          <w:rFonts w:ascii="Times New Roman" w:hAnsi="Times New Roman" w:cs="Times New Roman"/>
          <w:u w:val="single"/>
          <w:lang w:val="sk-SK"/>
        </w:rPr>
        <w:t xml:space="preserve">Jedna </w:t>
      </w:r>
      <w:r w:rsidR="00C249F3" w:rsidRPr="001340C5">
        <w:rPr>
          <w:rFonts w:ascii="Times New Roman" w:hAnsi="Times New Roman" w:cs="Times New Roman"/>
          <w:u w:val="single"/>
          <w:lang w:val="sk-SK"/>
        </w:rPr>
        <w:t xml:space="preserve">tableta </w:t>
      </w:r>
      <w:proofErr w:type="spellStart"/>
      <w:r w:rsidR="00B37EDA">
        <w:rPr>
          <w:rFonts w:ascii="Times New Roman" w:hAnsi="Times New Roman" w:cs="Times New Roman"/>
          <w:u w:val="single"/>
          <w:lang w:val="sk-SK"/>
        </w:rPr>
        <w:t>C</w:t>
      </w:r>
      <w:r w:rsidR="00181084" w:rsidRPr="001340C5">
        <w:rPr>
          <w:rFonts w:ascii="Times New Roman" w:hAnsi="Times New Roman" w:cs="Times New Roman"/>
          <w:u w:val="single"/>
          <w:lang w:val="sk-SK"/>
        </w:rPr>
        <w:t>andesartan</w:t>
      </w:r>
      <w:r w:rsidR="00C249F3" w:rsidRPr="001340C5">
        <w:rPr>
          <w:rFonts w:ascii="Times New Roman" w:hAnsi="Times New Roman" w:cs="Times New Roman"/>
          <w:u w:val="single"/>
          <w:lang w:val="sk-SK"/>
        </w:rPr>
        <w:t>u</w:t>
      </w:r>
      <w:proofErr w:type="spellEnd"/>
      <w:r w:rsidR="00181084" w:rsidRPr="001340C5">
        <w:rPr>
          <w:rFonts w:ascii="Times New Roman" w:hAnsi="Times New Roman" w:cs="Times New Roman"/>
          <w:u w:val="single"/>
          <w:lang w:val="sk-SK"/>
        </w:rPr>
        <w:t xml:space="preserve"> HC</w:t>
      </w:r>
      <w:r w:rsidR="005906EC">
        <w:rPr>
          <w:rFonts w:ascii="Times New Roman" w:hAnsi="Times New Roman" w:cs="Times New Roman"/>
          <w:u w:val="single"/>
          <w:lang w:val="sk-SK"/>
        </w:rPr>
        <w:t>T</w:t>
      </w:r>
      <w:r w:rsidR="00181084" w:rsidRPr="001340C5">
        <w:rPr>
          <w:rFonts w:ascii="Times New Roman" w:hAnsi="Times New Roman" w:cs="Times New Roman"/>
          <w:u w:val="single"/>
          <w:lang w:val="sk-SK"/>
        </w:rPr>
        <w:t xml:space="preserve"> </w:t>
      </w:r>
      <w:proofErr w:type="spellStart"/>
      <w:r w:rsidR="00B37EDA">
        <w:rPr>
          <w:rFonts w:ascii="Times New Roman" w:hAnsi="Times New Roman" w:cs="Times New Roman"/>
          <w:u w:val="single"/>
          <w:lang w:val="sk-SK"/>
        </w:rPr>
        <w:t>Swyssi</w:t>
      </w:r>
      <w:proofErr w:type="spellEnd"/>
      <w:r w:rsidR="00181084" w:rsidRPr="001340C5">
        <w:rPr>
          <w:rFonts w:ascii="Times New Roman" w:hAnsi="Times New Roman" w:cs="Times New Roman"/>
          <w:u w:val="single"/>
          <w:lang w:val="sk-SK"/>
        </w:rPr>
        <w:t xml:space="preserve"> </w:t>
      </w:r>
      <w:r w:rsidRPr="001340C5">
        <w:rPr>
          <w:rFonts w:ascii="Times New Roman" w:hAnsi="Times New Roman" w:cs="Times New Roman"/>
          <w:u w:val="single"/>
          <w:lang w:val="sk-SK"/>
        </w:rPr>
        <w:t>16 mg/12,5 mg obsahuje:</w:t>
      </w:r>
    </w:p>
    <w:p w:rsidR="001E4CFE" w:rsidRPr="001340C5" w:rsidRDefault="00B17B56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 w:rsidRPr="001340C5">
        <w:rPr>
          <w:rFonts w:ascii="Times New Roman" w:hAnsi="Times New Roman" w:cs="Times New Roman"/>
          <w:lang w:val="sk-SK"/>
        </w:rPr>
        <w:t>Manitol</w:t>
      </w:r>
      <w:proofErr w:type="spellEnd"/>
      <w:r w:rsidRPr="001340C5">
        <w:rPr>
          <w:rFonts w:ascii="Times New Roman" w:hAnsi="Times New Roman" w:cs="Times New Roman"/>
          <w:lang w:val="sk-SK"/>
        </w:rPr>
        <w:t xml:space="preserve"> </w:t>
      </w:r>
    </w:p>
    <w:p w:rsidR="00B17B56" w:rsidRPr="001340C5" w:rsidRDefault="00B17B56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>Kukuričný škrob</w:t>
      </w:r>
    </w:p>
    <w:p w:rsidR="00B17B56" w:rsidRPr="001340C5" w:rsidRDefault="009335A1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 w:rsidRPr="009335A1">
        <w:rPr>
          <w:rFonts w:ascii="Times New Roman" w:eastAsia="Calibri" w:hAnsi="Times New Roman" w:cs="Times New Roman"/>
          <w:lang w:val="sk-SK"/>
        </w:rPr>
        <w:t>Kopovid</w:t>
      </w:r>
      <w:r w:rsidR="00C249F3" w:rsidRPr="001340C5">
        <w:rPr>
          <w:rFonts w:ascii="Times New Roman" w:eastAsia="Calibri" w:hAnsi="Times New Roman" w:cs="Times New Roman"/>
          <w:lang w:val="sk-SK"/>
        </w:rPr>
        <w:t>ó</w:t>
      </w:r>
      <w:r w:rsidRPr="009335A1">
        <w:rPr>
          <w:rFonts w:ascii="Times New Roman" w:eastAsia="Calibri" w:hAnsi="Times New Roman" w:cs="Times New Roman"/>
          <w:lang w:val="sk-SK"/>
        </w:rPr>
        <w:t>n</w:t>
      </w:r>
      <w:proofErr w:type="spellEnd"/>
      <w:r w:rsidRPr="009335A1">
        <w:rPr>
          <w:rFonts w:ascii="Times New Roman" w:hAnsi="Times New Roman"/>
          <w:lang w:val="sk-SK"/>
        </w:rPr>
        <w:t xml:space="preserve"> (К25-31)</w:t>
      </w:r>
    </w:p>
    <w:p w:rsidR="00B17B56" w:rsidRPr="001340C5" w:rsidRDefault="001238E0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>Červený oxid železitý (E</w:t>
      </w:r>
      <w:r w:rsidR="00B17B56" w:rsidRPr="001340C5">
        <w:rPr>
          <w:rFonts w:ascii="Times New Roman" w:hAnsi="Times New Roman" w:cs="Times New Roman"/>
          <w:lang w:val="sk-SK"/>
        </w:rPr>
        <w:t>172)</w:t>
      </w:r>
    </w:p>
    <w:p w:rsidR="00B17B56" w:rsidRPr="001340C5" w:rsidRDefault="00B17B56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>Žltý oxid</w:t>
      </w:r>
      <w:r w:rsidR="001238E0" w:rsidRPr="001340C5">
        <w:rPr>
          <w:rFonts w:ascii="Times New Roman" w:hAnsi="Times New Roman" w:cs="Times New Roman"/>
          <w:lang w:val="sk-SK"/>
        </w:rPr>
        <w:t xml:space="preserve"> železitý (E</w:t>
      </w:r>
      <w:r w:rsidRPr="001340C5">
        <w:rPr>
          <w:rFonts w:ascii="Times New Roman" w:hAnsi="Times New Roman" w:cs="Times New Roman"/>
          <w:lang w:val="sk-SK"/>
        </w:rPr>
        <w:t>172)</w:t>
      </w:r>
    </w:p>
    <w:p w:rsidR="00B17B56" w:rsidRPr="001340C5" w:rsidRDefault="00B17B56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 w:rsidRPr="001340C5">
        <w:rPr>
          <w:rFonts w:ascii="Times New Roman" w:hAnsi="Times New Roman" w:cs="Times New Roman"/>
          <w:lang w:val="sk-SK"/>
        </w:rPr>
        <w:t>Glycerol</w:t>
      </w:r>
      <w:proofErr w:type="spellEnd"/>
    </w:p>
    <w:p w:rsidR="00B17B56" w:rsidRPr="001340C5" w:rsidRDefault="00B17B56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 w:rsidRPr="001340C5">
        <w:rPr>
          <w:rFonts w:ascii="Times New Roman" w:hAnsi="Times New Roman" w:cs="Times New Roman"/>
          <w:lang w:val="sk-SK"/>
        </w:rPr>
        <w:t>Magnéziumstearát</w:t>
      </w:r>
      <w:proofErr w:type="spellEnd"/>
    </w:p>
    <w:p w:rsidR="00895161" w:rsidRPr="001340C5" w:rsidRDefault="00895161" w:rsidP="00244BAB">
      <w:pPr>
        <w:spacing w:after="0"/>
        <w:jc w:val="both"/>
        <w:rPr>
          <w:rFonts w:ascii="Times New Roman" w:hAnsi="Times New Roman" w:cs="Times New Roman"/>
          <w:b/>
          <w:lang w:val="sk-SK"/>
        </w:rPr>
      </w:pPr>
    </w:p>
    <w:p w:rsidR="00460E01" w:rsidRPr="001340C5" w:rsidRDefault="00E71A1C" w:rsidP="00103E2E">
      <w:pPr>
        <w:pStyle w:val="Odsekzoznamu"/>
        <w:numPr>
          <w:ilvl w:val="0"/>
          <w:numId w:val="14"/>
        </w:numPr>
        <w:spacing w:after="0"/>
        <w:ind w:left="567" w:hanging="567"/>
        <w:jc w:val="both"/>
        <w:rPr>
          <w:rFonts w:ascii="Times New Roman" w:hAnsi="Times New Roman" w:cs="Times New Roman"/>
          <w:b/>
          <w:lang w:val="sk-SK"/>
        </w:rPr>
      </w:pPr>
      <w:r w:rsidRPr="001340C5">
        <w:rPr>
          <w:rFonts w:ascii="Times New Roman" w:hAnsi="Times New Roman" w:cs="Times New Roman"/>
          <w:b/>
          <w:lang w:val="sk-SK"/>
        </w:rPr>
        <w:t>Inkompatibility</w:t>
      </w:r>
    </w:p>
    <w:p w:rsidR="00E71A1C" w:rsidRPr="001340C5" w:rsidRDefault="00E71A1C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E71A1C" w:rsidRPr="001340C5" w:rsidRDefault="00E57ECC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>Neaplikovateľné.</w:t>
      </w:r>
    </w:p>
    <w:p w:rsidR="00BD21BE" w:rsidRPr="001340C5" w:rsidRDefault="00BD21BE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E71A1C" w:rsidRPr="001340C5" w:rsidRDefault="002E0C45" w:rsidP="00103E2E">
      <w:pPr>
        <w:pStyle w:val="Odsekzoznamu"/>
        <w:numPr>
          <w:ilvl w:val="0"/>
          <w:numId w:val="14"/>
        </w:numPr>
        <w:spacing w:after="0"/>
        <w:ind w:left="567" w:hanging="567"/>
        <w:jc w:val="both"/>
        <w:rPr>
          <w:rFonts w:ascii="Times New Roman" w:hAnsi="Times New Roman" w:cs="Times New Roman"/>
          <w:b/>
          <w:lang w:val="sk-SK"/>
        </w:rPr>
      </w:pPr>
      <w:r w:rsidRPr="001340C5">
        <w:rPr>
          <w:rFonts w:ascii="Times New Roman" w:hAnsi="Times New Roman" w:cs="Times New Roman"/>
          <w:b/>
          <w:lang w:val="sk-SK"/>
        </w:rPr>
        <w:t>Čas použiteľnosti</w:t>
      </w:r>
    </w:p>
    <w:p w:rsidR="00C92EF8" w:rsidRPr="001340C5" w:rsidRDefault="00C92EF8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C92EF8" w:rsidRPr="001340C5" w:rsidRDefault="00866C02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>30 mesiacov</w:t>
      </w:r>
    </w:p>
    <w:p w:rsidR="00866C02" w:rsidRPr="001340C5" w:rsidRDefault="00866C02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E71A1C" w:rsidRPr="001340C5" w:rsidRDefault="00385285" w:rsidP="00103E2E">
      <w:pPr>
        <w:pStyle w:val="Odsekzoznamu"/>
        <w:numPr>
          <w:ilvl w:val="0"/>
          <w:numId w:val="14"/>
        </w:numPr>
        <w:spacing w:after="0"/>
        <w:ind w:left="567" w:hanging="567"/>
        <w:jc w:val="both"/>
        <w:rPr>
          <w:rFonts w:ascii="Times New Roman" w:hAnsi="Times New Roman" w:cs="Times New Roman"/>
          <w:b/>
          <w:lang w:val="sk-SK"/>
        </w:rPr>
      </w:pPr>
      <w:r w:rsidRPr="001340C5">
        <w:rPr>
          <w:rFonts w:ascii="Times New Roman" w:hAnsi="Times New Roman" w:cs="Times New Roman"/>
          <w:b/>
          <w:lang w:val="sk-SK"/>
        </w:rPr>
        <w:t>Špeciálne upozornenia na uchovávanie</w:t>
      </w:r>
    </w:p>
    <w:p w:rsidR="002E0C45" w:rsidRPr="001340C5" w:rsidRDefault="002E0C45" w:rsidP="00103E2E">
      <w:pPr>
        <w:spacing w:after="0"/>
        <w:ind w:left="567" w:hanging="567"/>
        <w:jc w:val="both"/>
        <w:rPr>
          <w:rFonts w:ascii="Times New Roman" w:hAnsi="Times New Roman" w:cs="Times New Roman"/>
          <w:lang w:val="sk-SK"/>
        </w:rPr>
      </w:pPr>
    </w:p>
    <w:p w:rsidR="002E0C45" w:rsidRPr="001340C5" w:rsidRDefault="00C00B09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>Tento liek nevyžaduje žiadne zvláštne podmienky na uchovávanie.</w:t>
      </w:r>
    </w:p>
    <w:p w:rsidR="002E0C45" w:rsidRPr="001340C5" w:rsidRDefault="002E0C45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2E0C45" w:rsidRPr="001340C5" w:rsidRDefault="00BA097A" w:rsidP="00103E2E">
      <w:pPr>
        <w:pStyle w:val="Odsekzoznamu"/>
        <w:numPr>
          <w:ilvl w:val="0"/>
          <w:numId w:val="14"/>
        </w:numPr>
        <w:spacing w:after="0"/>
        <w:ind w:left="567" w:hanging="567"/>
        <w:jc w:val="both"/>
        <w:rPr>
          <w:rFonts w:ascii="Times New Roman" w:hAnsi="Times New Roman" w:cs="Times New Roman"/>
          <w:b/>
          <w:lang w:val="sk-SK"/>
        </w:rPr>
      </w:pPr>
      <w:r w:rsidRPr="001340C5">
        <w:rPr>
          <w:rFonts w:ascii="Times New Roman" w:hAnsi="Times New Roman" w:cs="Times New Roman"/>
          <w:b/>
          <w:lang w:val="sk-SK"/>
        </w:rPr>
        <w:t>Druh obalu a obsah balenia</w:t>
      </w:r>
    </w:p>
    <w:p w:rsidR="00BA097A" w:rsidRPr="001340C5" w:rsidRDefault="00361355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>8 mg/12,5 mg tablety</w:t>
      </w:r>
      <w:r w:rsidR="00C249F3" w:rsidRPr="001340C5">
        <w:rPr>
          <w:rFonts w:ascii="Times New Roman" w:hAnsi="Times New Roman" w:cs="Times New Roman"/>
          <w:lang w:val="sk-SK"/>
        </w:rPr>
        <w:t>:</w:t>
      </w:r>
      <w:r w:rsidRPr="001340C5">
        <w:rPr>
          <w:rFonts w:ascii="Times New Roman" w:hAnsi="Times New Roman" w:cs="Times New Roman"/>
          <w:lang w:val="sk-SK"/>
        </w:rPr>
        <w:t xml:space="preserve"> OPA/</w:t>
      </w:r>
      <w:proofErr w:type="spellStart"/>
      <w:r w:rsidRPr="001340C5">
        <w:rPr>
          <w:rFonts w:ascii="Times New Roman" w:hAnsi="Times New Roman" w:cs="Times New Roman"/>
          <w:lang w:val="sk-SK"/>
        </w:rPr>
        <w:t>Alu</w:t>
      </w:r>
      <w:proofErr w:type="spellEnd"/>
      <w:r w:rsidRPr="001340C5">
        <w:rPr>
          <w:rFonts w:ascii="Times New Roman" w:hAnsi="Times New Roman" w:cs="Times New Roman"/>
          <w:lang w:val="sk-SK"/>
        </w:rPr>
        <w:t>/PVC-</w:t>
      </w:r>
      <w:r w:rsidR="009335A1" w:rsidRPr="009335A1">
        <w:rPr>
          <w:lang w:val="sk-SK"/>
        </w:rPr>
        <w:t xml:space="preserve"> </w:t>
      </w:r>
      <w:r w:rsidR="0088567A" w:rsidRPr="001340C5">
        <w:rPr>
          <w:rFonts w:ascii="Times New Roman" w:hAnsi="Times New Roman" w:cs="Times New Roman"/>
          <w:lang w:val="sk-SK"/>
        </w:rPr>
        <w:t>hliníkový</w:t>
      </w:r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blister</w:t>
      </w:r>
      <w:proofErr w:type="spellEnd"/>
      <w:r w:rsidR="00C249F3" w:rsidRPr="001340C5">
        <w:rPr>
          <w:rFonts w:ascii="Times New Roman" w:hAnsi="Times New Roman" w:cs="Times New Roman"/>
          <w:lang w:val="sk-SK"/>
        </w:rPr>
        <w:t>,</w:t>
      </w:r>
      <w:r w:rsidRPr="001340C5">
        <w:rPr>
          <w:rFonts w:ascii="Times New Roman" w:hAnsi="Times New Roman" w:cs="Times New Roman"/>
          <w:lang w:val="sk-SK"/>
        </w:rPr>
        <w:t xml:space="preserve"> balenie po 30 tabliet.</w:t>
      </w:r>
    </w:p>
    <w:p w:rsidR="00A9440A" w:rsidRPr="001340C5" w:rsidRDefault="00A9440A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361355" w:rsidRPr="001340C5" w:rsidRDefault="00361355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>16 mg/12,5 mg tablety</w:t>
      </w:r>
      <w:r w:rsidR="00C249F3" w:rsidRPr="001340C5">
        <w:rPr>
          <w:rFonts w:ascii="Times New Roman" w:hAnsi="Times New Roman" w:cs="Times New Roman"/>
          <w:lang w:val="sk-SK"/>
        </w:rPr>
        <w:t>:</w:t>
      </w:r>
      <w:r w:rsidRPr="001340C5">
        <w:rPr>
          <w:rFonts w:ascii="Times New Roman" w:hAnsi="Times New Roman" w:cs="Times New Roman"/>
          <w:lang w:val="sk-SK"/>
        </w:rPr>
        <w:t xml:space="preserve"> OPA/</w:t>
      </w:r>
      <w:proofErr w:type="spellStart"/>
      <w:r w:rsidRPr="001340C5">
        <w:rPr>
          <w:rFonts w:ascii="Times New Roman" w:hAnsi="Times New Roman" w:cs="Times New Roman"/>
          <w:lang w:val="sk-SK"/>
        </w:rPr>
        <w:t>Alu</w:t>
      </w:r>
      <w:proofErr w:type="spellEnd"/>
      <w:r w:rsidRPr="001340C5">
        <w:rPr>
          <w:rFonts w:ascii="Times New Roman" w:hAnsi="Times New Roman" w:cs="Times New Roman"/>
          <w:lang w:val="sk-SK"/>
        </w:rPr>
        <w:t>/PVC-</w:t>
      </w:r>
      <w:r w:rsidR="009335A1" w:rsidRPr="009335A1">
        <w:rPr>
          <w:lang w:val="sk-SK"/>
        </w:rPr>
        <w:t xml:space="preserve"> </w:t>
      </w:r>
      <w:r w:rsidR="0088567A" w:rsidRPr="001340C5">
        <w:rPr>
          <w:rFonts w:ascii="Times New Roman" w:hAnsi="Times New Roman" w:cs="Times New Roman"/>
          <w:lang w:val="sk-SK"/>
        </w:rPr>
        <w:t>hliníkový</w:t>
      </w:r>
      <w:r w:rsidRPr="001340C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40C5">
        <w:rPr>
          <w:rFonts w:ascii="Times New Roman" w:hAnsi="Times New Roman" w:cs="Times New Roman"/>
          <w:lang w:val="sk-SK"/>
        </w:rPr>
        <w:t>blister</w:t>
      </w:r>
      <w:proofErr w:type="spellEnd"/>
      <w:r w:rsidR="00C249F3" w:rsidRPr="001340C5">
        <w:rPr>
          <w:rFonts w:ascii="Times New Roman" w:hAnsi="Times New Roman" w:cs="Times New Roman"/>
          <w:lang w:val="sk-SK"/>
        </w:rPr>
        <w:t>,</w:t>
      </w:r>
      <w:r w:rsidRPr="001340C5">
        <w:rPr>
          <w:rFonts w:ascii="Times New Roman" w:hAnsi="Times New Roman" w:cs="Times New Roman"/>
          <w:lang w:val="sk-SK"/>
        </w:rPr>
        <w:t xml:space="preserve"> balenie po 30 tabliet.</w:t>
      </w:r>
    </w:p>
    <w:p w:rsidR="00BA097A" w:rsidRPr="001340C5" w:rsidRDefault="00BA097A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BA097A" w:rsidRPr="001340C5" w:rsidRDefault="00BA097A" w:rsidP="00103E2E">
      <w:pPr>
        <w:pStyle w:val="Odsekzoznamu"/>
        <w:numPr>
          <w:ilvl w:val="0"/>
          <w:numId w:val="14"/>
        </w:numPr>
        <w:spacing w:after="0"/>
        <w:ind w:left="567" w:hanging="567"/>
        <w:jc w:val="both"/>
        <w:rPr>
          <w:rFonts w:ascii="Times New Roman" w:hAnsi="Times New Roman" w:cs="Times New Roman"/>
          <w:b/>
          <w:lang w:val="sk-SK"/>
        </w:rPr>
      </w:pPr>
      <w:r w:rsidRPr="001340C5">
        <w:rPr>
          <w:rFonts w:ascii="Times New Roman" w:hAnsi="Times New Roman" w:cs="Times New Roman"/>
          <w:b/>
          <w:lang w:val="sk-SK"/>
        </w:rPr>
        <w:t>Špeciálne opatrenia na likvidáciu a iné zaobchádzanie s</w:t>
      </w:r>
      <w:r w:rsidR="00EB52BA" w:rsidRPr="001340C5">
        <w:rPr>
          <w:rFonts w:ascii="Times New Roman" w:hAnsi="Times New Roman" w:cs="Times New Roman"/>
          <w:b/>
          <w:lang w:val="sk-SK"/>
        </w:rPr>
        <w:t> </w:t>
      </w:r>
      <w:r w:rsidRPr="001340C5">
        <w:rPr>
          <w:rFonts w:ascii="Times New Roman" w:hAnsi="Times New Roman" w:cs="Times New Roman"/>
          <w:b/>
          <w:lang w:val="sk-SK"/>
        </w:rPr>
        <w:t>liekom</w:t>
      </w:r>
    </w:p>
    <w:p w:rsidR="00EB52BA" w:rsidRPr="001340C5" w:rsidRDefault="00EB52BA" w:rsidP="00103E2E">
      <w:pPr>
        <w:spacing w:after="0"/>
        <w:ind w:left="567" w:hanging="567"/>
        <w:jc w:val="both"/>
        <w:rPr>
          <w:rFonts w:ascii="Times New Roman" w:hAnsi="Times New Roman" w:cs="Times New Roman"/>
          <w:b/>
          <w:lang w:val="sk-SK"/>
        </w:rPr>
      </w:pPr>
    </w:p>
    <w:p w:rsidR="00EB52BA" w:rsidRPr="001340C5" w:rsidRDefault="00665B8A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1340C5">
        <w:rPr>
          <w:rFonts w:ascii="Times New Roman" w:hAnsi="Times New Roman" w:cs="Times New Roman"/>
          <w:lang w:val="sk-SK"/>
        </w:rPr>
        <w:t>Žiadne zvláštne požiadavky.</w:t>
      </w:r>
    </w:p>
    <w:p w:rsidR="00EB52BA" w:rsidRPr="001340C5" w:rsidRDefault="00EB52BA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C249F3" w:rsidRPr="001340C5" w:rsidRDefault="00C249F3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EB52BA" w:rsidRPr="001340C5" w:rsidRDefault="00EB52BA" w:rsidP="00DE2736">
      <w:pPr>
        <w:pStyle w:val="Odsekzoznamu"/>
        <w:numPr>
          <w:ilvl w:val="0"/>
          <w:numId w:val="20"/>
        </w:numPr>
        <w:spacing w:after="0"/>
        <w:ind w:left="567" w:hanging="567"/>
        <w:jc w:val="both"/>
        <w:rPr>
          <w:rFonts w:ascii="Times New Roman" w:hAnsi="Times New Roman" w:cs="Times New Roman"/>
          <w:b/>
          <w:lang w:val="sk-SK"/>
        </w:rPr>
      </w:pPr>
      <w:r w:rsidRPr="001340C5">
        <w:rPr>
          <w:rFonts w:ascii="Times New Roman" w:hAnsi="Times New Roman" w:cs="Times New Roman"/>
          <w:b/>
          <w:lang w:val="sk-SK"/>
        </w:rPr>
        <w:t>DRŽITEĽ ROZHODNUTIA O</w:t>
      </w:r>
      <w:r w:rsidR="00AF6696" w:rsidRPr="001340C5">
        <w:rPr>
          <w:rFonts w:ascii="Times New Roman" w:hAnsi="Times New Roman" w:cs="Times New Roman"/>
          <w:b/>
          <w:lang w:val="sk-SK"/>
        </w:rPr>
        <w:t> </w:t>
      </w:r>
      <w:r w:rsidRPr="001340C5">
        <w:rPr>
          <w:rFonts w:ascii="Times New Roman" w:hAnsi="Times New Roman" w:cs="Times New Roman"/>
          <w:b/>
          <w:lang w:val="sk-SK"/>
        </w:rPr>
        <w:t>REGISTRÁCII</w:t>
      </w:r>
    </w:p>
    <w:p w:rsidR="00AF6696" w:rsidRPr="001340C5" w:rsidRDefault="00AF6696" w:rsidP="00244BAB">
      <w:pPr>
        <w:spacing w:after="0"/>
        <w:jc w:val="both"/>
        <w:rPr>
          <w:rFonts w:ascii="Times New Roman" w:hAnsi="Times New Roman" w:cs="Times New Roman"/>
          <w:b/>
          <w:lang w:val="sk-SK"/>
        </w:rPr>
      </w:pPr>
    </w:p>
    <w:p w:rsidR="005B0892" w:rsidRPr="00DE2736" w:rsidRDefault="005B0892" w:rsidP="005B0892">
      <w:pPr>
        <w:spacing w:after="0"/>
        <w:rPr>
          <w:rFonts w:ascii="Times New Roman" w:hAnsi="Times New Roman" w:cs="Times New Roman"/>
          <w:lang w:val="en-US"/>
        </w:rPr>
      </w:pPr>
      <w:r w:rsidRPr="00DE2736">
        <w:rPr>
          <w:rFonts w:ascii="Times New Roman" w:hAnsi="Times New Roman" w:cs="Times New Roman"/>
        </w:rPr>
        <w:t>Swyssi AG</w:t>
      </w:r>
    </w:p>
    <w:p w:rsidR="005B0892" w:rsidRPr="005B0892" w:rsidRDefault="00445837" w:rsidP="005B0892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14 </w:t>
      </w:r>
      <w:proofErr w:type="spellStart"/>
      <w:r w:rsidR="005B0892" w:rsidRPr="005B0892">
        <w:rPr>
          <w:rFonts w:ascii="Times New Roman" w:hAnsi="Times New Roman" w:cs="Times New Roman"/>
          <w:lang w:val="en-US"/>
        </w:rPr>
        <w:t>Lyoner</w:t>
      </w:r>
      <w:proofErr w:type="spellEnd"/>
      <w:r w:rsidR="005B0892" w:rsidRPr="005B089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B0892" w:rsidRPr="005B0892">
        <w:rPr>
          <w:rFonts w:ascii="Times New Roman" w:hAnsi="Times New Roman" w:cs="Times New Roman"/>
          <w:lang w:val="en-US"/>
        </w:rPr>
        <w:t>Strasse</w:t>
      </w:r>
      <w:proofErr w:type="spellEnd"/>
      <w:r w:rsidR="005B0892" w:rsidRPr="005B0892">
        <w:rPr>
          <w:rFonts w:ascii="Times New Roman" w:hAnsi="Times New Roman" w:cs="Times New Roman"/>
          <w:lang w:val="en-US"/>
        </w:rPr>
        <w:t xml:space="preserve">, </w:t>
      </w:r>
    </w:p>
    <w:p w:rsidR="005B0892" w:rsidRPr="00DE2736" w:rsidRDefault="005B0892" w:rsidP="005B0892">
      <w:pPr>
        <w:spacing w:after="0"/>
        <w:rPr>
          <w:rFonts w:ascii="Times New Roman" w:hAnsi="Times New Roman" w:cs="Times New Roman"/>
          <w:lang w:val="de-AT"/>
        </w:rPr>
      </w:pPr>
      <w:r w:rsidRPr="00DE2736">
        <w:rPr>
          <w:rFonts w:ascii="Times New Roman" w:hAnsi="Times New Roman" w:cs="Times New Roman"/>
          <w:lang w:val="de-AT"/>
        </w:rPr>
        <w:t xml:space="preserve">60528 Frankfurt am Main, </w:t>
      </w:r>
      <w:r w:rsidRPr="005B0892">
        <w:rPr>
          <w:rStyle w:val="shorttext"/>
          <w:rFonts w:ascii="Times New Roman" w:hAnsi="Times New Roman" w:cs="Times New Roman"/>
          <w:color w:val="222222"/>
          <w:lang w:val="sk-SK"/>
        </w:rPr>
        <w:t>Nemecko</w:t>
      </w:r>
    </w:p>
    <w:p w:rsidR="005B0892" w:rsidRPr="00DE2736" w:rsidRDefault="005B0892" w:rsidP="005B0892">
      <w:pPr>
        <w:spacing w:after="0"/>
        <w:rPr>
          <w:rFonts w:ascii="Times New Roman" w:hAnsi="Times New Roman" w:cs="Times New Roman"/>
          <w:lang w:val="de-AT"/>
        </w:rPr>
      </w:pPr>
      <w:r w:rsidRPr="005B0892">
        <w:rPr>
          <w:rFonts w:ascii="Times New Roman" w:hAnsi="Times New Roman" w:cs="Times New Roman"/>
          <w:lang w:val="sk-SK"/>
        </w:rPr>
        <w:t xml:space="preserve">Tel. </w:t>
      </w:r>
      <w:r w:rsidRPr="00DE2736">
        <w:rPr>
          <w:rFonts w:ascii="Times New Roman" w:hAnsi="Times New Roman" w:cs="Times New Roman"/>
          <w:lang w:val="de-AT"/>
        </w:rPr>
        <w:t>+49 69 66554 162</w:t>
      </w:r>
    </w:p>
    <w:p w:rsidR="005B0892" w:rsidRPr="005B0892" w:rsidRDefault="00321206" w:rsidP="005B0892">
      <w:pPr>
        <w:spacing w:after="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e</w:t>
      </w:r>
      <w:r w:rsidR="001C3C9F">
        <w:rPr>
          <w:rFonts w:ascii="Times New Roman" w:hAnsi="Times New Roman" w:cs="Times New Roman"/>
          <w:lang w:val="sk-SK"/>
        </w:rPr>
        <w:t>-mail: info</w:t>
      </w:r>
      <w:r w:rsidR="005B0892" w:rsidRPr="005B0892">
        <w:rPr>
          <w:rFonts w:ascii="Times New Roman" w:hAnsi="Times New Roman" w:cs="Times New Roman"/>
          <w:lang w:val="sk-SK"/>
        </w:rPr>
        <w:t>@swyssi.com</w:t>
      </w:r>
    </w:p>
    <w:p w:rsidR="00AF6696" w:rsidRPr="001340C5" w:rsidRDefault="00AF6696" w:rsidP="00244BAB">
      <w:pPr>
        <w:spacing w:after="0"/>
        <w:jc w:val="both"/>
        <w:rPr>
          <w:rFonts w:ascii="Times New Roman" w:hAnsi="Times New Roman" w:cs="Times New Roman"/>
          <w:b/>
          <w:lang w:val="sk-SK"/>
        </w:rPr>
      </w:pPr>
    </w:p>
    <w:p w:rsidR="00C249F3" w:rsidRPr="001340C5" w:rsidRDefault="00C249F3" w:rsidP="00244BAB">
      <w:pPr>
        <w:spacing w:after="0"/>
        <w:jc w:val="both"/>
        <w:rPr>
          <w:rFonts w:ascii="Times New Roman" w:hAnsi="Times New Roman" w:cs="Times New Roman"/>
          <w:b/>
          <w:lang w:val="sk-SK"/>
        </w:rPr>
      </w:pPr>
    </w:p>
    <w:p w:rsidR="00EB52BA" w:rsidRPr="001340C5" w:rsidRDefault="00EB52BA" w:rsidP="00DE2736">
      <w:pPr>
        <w:pStyle w:val="Odsekzoznamu"/>
        <w:numPr>
          <w:ilvl w:val="0"/>
          <w:numId w:val="20"/>
        </w:numPr>
        <w:spacing w:after="0"/>
        <w:ind w:left="567" w:hanging="567"/>
        <w:jc w:val="both"/>
        <w:rPr>
          <w:rFonts w:ascii="Times New Roman" w:hAnsi="Times New Roman" w:cs="Times New Roman"/>
          <w:b/>
          <w:lang w:val="sk-SK"/>
        </w:rPr>
      </w:pPr>
      <w:r w:rsidRPr="001340C5">
        <w:rPr>
          <w:rFonts w:ascii="Times New Roman" w:hAnsi="Times New Roman" w:cs="Times New Roman"/>
          <w:b/>
          <w:lang w:val="sk-SK"/>
        </w:rPr>
        <w:t>REGISTRAČNÉ ČÍSLA</w:t>
      </w:r>
    </w:p>
    <w:p w:rsidR="00AF6696" w:rsidRPr="001340C5" w:rsidRDefault="00AF6696" w:rsidP="00244BAB">
      <w:pPr>
        <w:spacing w:after="0"/>
        <w:jc w:val="both"/>
        <w:rPr>
          <w:rFonts w:ascii="Times New Roman" w:hAnsi="Times New Roman" w:cs="Times New Roman"/>
          <w:b/>
          <w:lang w:val="sk-SK"/>
        </w:rPr>
      </w:pPr>
    </w:p>
    <w:p w:rsidR="00C249F3" w:rsidRPr="001340C5" w:rsidRDefault="00B37EDA" w:rsidP="00244BAB">
      <w:pPr>
        <w:spacing w:after="0"/>
        <w:jc w:val="both"/>
        <w:rPr>
          <w:rFonts w:ascii="Times New Roman" w:hAnsi="Times New Roman"/>
          <w:lang w:val="sk-SK"/>
        </w:rPr>
      </w:pPr>
      <w:proofErr w:type="spellStart"/>
      <w:r>
        <w:rPr>
          <w:rFonts w:ascii="Times New Roman" w:hAnsi="Times New Roman" w:cs="Times New Roman"/>
          <w:lang w:val="sk-SK"/>
        </w:rPr>
        <w:t>C</w:t>
      </w:r>
      <w:r w:rsidR="00C249F3" w:rsidRPr="001340C5">
        <w:rPr>
          <w:rFonts w:ascii="Times New Roman" w:hAnsi="Times New Roman" w:cs="Times New Roman"/>
          <w:lang w:val="sk-SK"/>
        </w:rPr>
        <w:t>andesartan</w:t>
      </w:r>
      <w:proofErr w:type="spellEnd"/>
      <w:r w:rsidR="00C249F3" w:rsidRPr="001340C5">
        <w:rPr>
          <w:rFonts w:ascii="Times New Roman" w:hAnsi="Times New Roman" w:cs="Times New Roman"/>
          <w:lang w:val="sk-SK"/>
        </w:rPr>
        <w:t xml:space="preserve"> HCT </w:t>
      </w:r>
      <w:proofErr w:type="spellStart"/>
      <w:r>
        <w:rPr>
          <w:rFonts w:ascii="Times New Roman" w:hAnsi="Times New Roman" w:cs="Times New Roman"/>
          <w:lang w:val="sk-SK"/>
        </w:rPr>
        <w:t>Swyssi</w:t>
      </w:r>
      <w:proofErr w:type="spellEnd"/>
      <w:r w:rsidR="00C249F3" w:rsidRPr="001340C5">
        <w:rPr>
          <w:rFonts w:ascii="Times New Roman" w:hAnsi="Times New Roman" w:cs="Times New Roman"/>
          <w:lang w:val="sk-SK"/>
        </w:rPr>
        <w:t xml:space="preserve"> 8 mg/12,5 mg:</w:t>
      </w:r>
      <w:r w:rsidR="003A55FA">
        <w:rPr>
          <w:rFonts w:ascii="Times New Roman" w:hAnsi="Times New Roman" w:cs="Times New Roman"/>
          <w:lang w:val="sk-SK"/>
        </w:rPr>
        <w:t xml:space="preserve"> 58/0309/15-S</w:t>
      </w:r>
    </w:p>
    <w:p w:rsidR="003A55FA" w:rsidRPr="001340C5" w:rsidRDefault="00B37EDA" w:rsidP="003A55FA">
      <w:pPr>
        <w:spacing w:after="0"/>
        <w:jc w:val="both"/>
        <w:rPr>
          <w:rFonts w:ascii="Times New Roman" w:hAnsi="Times New Roman"/>
          <w:lang w:val="sk-SK"/>
        </w:rPr>
      </w:pPr>
      <w:proofErr w:type="spellStart"/>
      <w:r>
        <w:rPr>
          <w:rFonts w:ascii="Times New Roman" w:hAnsi="Times New Roman" w:cs="Times New Roman"/>
          <w:lang w:val="sk-SK"/>
        </w:rPr>
        <w:t>C</w:t>
      </w:r>
      <w:r w:rsidR="00C249F3" w:rsidRPr="001340C5">
        <w:rPr>
          <w:rFonts w:ascii="Times New Roman" w:hAnsi="Times New Roman" w:cs="Times New Roman"/>
          <w:lang w:val="sk-SK"/>
        </w:rPr>
        <w:t>andesartan</w:t>
      </w:r>
      <w:proofErr w:type="spellEnd"/>
      <w:r w:rsidR="00C249F3" w:rsidRPr="001340C5">
        <w:rPr>
          <w:rFonts w:ascii="Times New Roman" w:hAnsi="Times New Roman" w:cs="Times New Roman"/>
          <w:lang w:val="sk-SK"/>
        </w:rPr>
        <w:t xml:space="preserve"> HCT </w:t>
      </w:r>
      <w:proofErr w:type="spellStart"/>
      <w:r>
        <w:rPr>
          <w:rFonts w:ascii="Times New Roman" w:hAnsi="Times New Roman" w:cs="Times New Roman"/>
          <w:lang w:val="sk-SK"/>
        </w:rPr>
        <w:t>Swyssi</w:t>
      </w:r>
      <w:proofErr w:type="spellEnd"/>
      <w:r w:rsidR="00C249F3" w:rsidRPr="001340C5">
        <w:rPr>
          <w:rFonts w:ascii="Times New Roman" w:hAnsi="Times New Roman" w:cs="Times New Roman"/>
          <w:lang w:val="sk-SK"/>
        </w:rPr>
        <w:t xml:space="preserve"> 16 mg/12,5 mg:</w:t>
      </w:r>
      <w:r w:rsidR="003A55FA">
        <w:rPr>
          <w:rFonts w:ascii="Times New Roman" w:hAnsi="Times New Roman" w:cs="Times New Roman"/>
          <w:lang w:val="sk-SK"/>
        </w:rPr>
        <w:t xml:space="preserve"> 58/0310/15-S</w:t>
      </w:r>
    </w:p>
    <w:p w:rsidR="00C249F3" w:rsidRPr="001340C5" w:rsidRDefault="00C249F3" w:rsidP="00244BAB">
      <w:pPr>
        <w:spacing w:after="0"/>
        <w:jc w:val="both"/>
        <w:rPr>
          <w:rFonts w:ascii="Times New Roman" w:hAnsi="Times New Roman" w:cs="Times New Roman"/>
          <w:b/>
          <w:lang w:val="sk-SK"/>
        </w:rPr>
      </w:pPr>
    </w:p>
    <w:p w:rsidR="00AF6696" w:rsidRPr="001340C5" w:rsidRDefault="00AF6696" w:rsidP="00244BAB">
      <w:pPr>
        <w:spacing w:after="0"/>
        <w:jc w:val="both"/>
        <w:rPr>
          <w:rFonts w:ascii="Times New Roman" w:hAnsi="Times New Roman" w:cs="Times New Roman"/>
          <w:b/>
          <w:lang w:val="sk-SK"/>
        </w:rPr>
      </w:pPr>
    </w:p>
    <w:p w:rsidR="00EB52BA" w:rsidRPr="001340C5" w:rsidRDefault="00EB52BA" w:rsidP="00DE2736">
      <w:pPr>
        <w:pStyle w:val="Odsekzoznamu"/>
        <w:numPr>
          <w:ilvl w:val="0"/>
          <w:numId w:val="20"/>
        </w:numPr>
        <w:spacing w:after="0"/>
        <w:ind w:left="567" w:hanging="567"/>
        <w:jc w:val="both"/>
        <w:rPr>
          <w:rFonts w:ascii="Times New Roman" w:hAnsi="Times New Roman" w:cs="Times New Roman"/>
          <w:b/>
          <w:lang w:val="sk-SK"/>
        </w:rPr>
      </w:pPr>
      <w:r w:rsidRPr="001340C5">
        <w:rPr>
          <w:rFonts w:ascii="Times New Roman" w:hAnsi="Times New Roman" w:cs="Times New Roman"/>
          <w:b/>
          <w:lang w:val="sk-SK"/>
        </w:rPr>
        <w:t>DÁTUM PRVEJ REGISTRÁCIE/ PREDĹŽENIA REGISTRÁCIE</w:t>
      </w:r>
    </w:p>
    <w:p w:rsidR="00AF6696" w:rsidRDefault="00AF6696" w:rsidP="00103E2E">
      <w:pPr>
        <w:spacing w:after="0"/>
        <w:ind w:left="567" w:hanging="567"/>
        <w:jc w:val="both"/>
        <w:rPr>
          <w:rFonts w:ascii="Times New Roman" w:hAnsi="Times New Roman" w:cs="Times New Roman"/>
          <w:b/>
          <w:lang w:val="sk-SK"/>
        </w:rPr>
      </w:pPr>
    </w:p>
    <w:p w:rsidR="004F5AE8" w:rsidRPr="008306FF" w:rsidRDefault="008306FF" w:rsidP="00103E2E">
      <w:pPr>
        <w:spacing w:after="0"/>
        <w:ind w:left="567" w:hanging="567"/>
        <w:jc w:val="both"/>
        <w:rPr>
          <w:rFonts w:ascii="Times New Roman" w:hAnsi="Times New Roman" w:cs="Times New Roman"/>
          <w:b/>
          <w:lang w:val="sk-SK"/>
        </w:rPr>
      </w:pPr>
      <w:r w:rsidRPr="00DE2736">
        <w:rPr>
          <w:rFonts w:ascii="Times New Roman" w:hAnsi="Times New Roman" w:cs="Times New Roman"/>
          <w:noProof/>
        </w:rPr>
        <w:t>Dátum prvej registrácie:</w:t>
      </w:r>
      <w:r>
        <w:rPr>
          <w:rFonts w:ascii="Times New Roman" w:hAnsi="Times New Roman" w:cs="Times New Roman"/>
          <w:noProof/>
          <w:lang w:val="sk-SK"/>
        </w:rPr>
        <w:t xml:space="preserve"> 3. august 2015</w:t>
      </w:r>
    </w:p>
    <w:p w:rsidR="00C96C41" w:rsidRDefault="00C96C41" w:rsidP="00103E2E">
      <w:pPr>
        <w:spacing w:after="0"/>
        <w:ind w:left="567" w:hanging="567"/>
        <w:jc w:val="both"/>
        <w:rPr>
          <w:rFonts w:ascii="Times New Roman" w:hAnsi="Times New Roman" w:cs="Times New Roman"/>
          <w:b/>
          <w:lang w:val="sk-SK"/>
        </w:rPr>
      </w:pPr>
    </w:p>
    <w:p w:rsidR="008306FF" w:rsidRPr="001340C5" w:rsidRDefault="008306FF" w:rsidP="00103E2E">
      <w:pPr>
        <w:spacing w:after="0"/>
        <w:ind w:left="567" w:hanging="567"/>
        <w:jc w:val="both"/>
        <w:rPr>
          <w:rFonts w:ascii="Times New Roman" w:hAnsi="Times New Roman" w:cs="Times New Roman"/>
          <w:b/>
          <w:lang w:val="sk-SK"/>
        </w:rPr>
      </w:pPr>
    </w:p>
    <w:p w:rsidR="00AB6D30" w:rsidRPr="001340C5" w:rsidRDefault="00EB52BA" w:rsidP="00DE2736">
      <w:pPr>
        <w:pStyle w:val="Odsekzoznamu"/>
        <w:numPr>
          <w:ilvl w:val="0"/>
          <w:numId w:val="20"/>
        </w:numPr>
        <w:spacing w:after="0"/>
        <w:ind w:left="567" w:hanging="567"/>
        <w:jc w:val="both"/>
        <w:rPr>
          <w:rFonts w:ascii="Times New Roman" w:hAnsi="Times New Roman" w:cs="Times New Roman"/>
          <w:b/>
          <w:lang w:val="sk-SK"/>
        </w:rPr>
      </w:pPr>
      <w:r w:rsidRPr="001340C5">
        <w:rPr>
          <w:rFonts w:ascii="Times New Roman" w:hAnsi="Times New Roman" w:cs="Times New Roman"/>
          <w:b/>
          <w:lang w:val="sk-SK"/>
        </w:rPr>
        <w:t>DÁTUM REVÍZIE TEXTU</w:t>
      </w:r>
    </w:p>
    <w:p w:rsidR="001E4CFE" w:rsidRPr="001340C5" w:rsidRDefault="001E4CFE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1E4CFE" w:rsidRPr="001340C5" w:rsidRDefault="00B37EDA" w:rsidP="00244BAB">
      <w:pPr>
        <w:spacing w:after="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December</w:t>
      </w:r>
      <w:r w:rsidR="008306FF">
        <w:rPr>
          <w:rFonts w:ascii="Times New Roman" w:hAnsi="Times New Roman" w:cs="Times New Roman"/>
          <w:lang w:val="sk-SK"/>
        </w:rPr>
        <w:t xml:space="preserve"> 2017</w:t>
      </w:r>
    </w:p>
    <w:sectPr w:rsidR="001E4CFE" w:rsidRPr="001340C5" w:rsidSect="003F39C0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3E3" w:rsidRDefault="00A533E3" w:rsidP="00902B11">
      <w:pPr>
        <w:spacing w:after="0"/>
      </w:pPr>
      <w:r>
        <w:separator/>
      </w:r>
    </w:p>
  </w:endnote>
  <w:endnote w:type="continuationSeparator" w:id="0">
    <w:p w:rsidR="00A533E3" w:rsidRDefault="00A533E3" w:rsidP="00902B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97023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06EC" w:rsidRPr="003F39C0" w:rsidRDefault="005906EC">
        <w:pPr>
          <w:pStyle w:val="Pta"/>
          <w:jc w:val="center"/>
          <w:rPr>
            <w:rFonts w:ascii="Times New Roman" w:hAnsi="Times New Roman" w:cs="Times New Roman"/>
          </w:rPr>
        </w:pPr>
        <w:r w:rsidRPr="003F39C0">
          <w:rPr>
            <w:rFonts w:ascii="Times New Roman" w:hAnsi="Times New Roman" w:cs="Times New Roman"/>
          </w:rPr>
          <w:fldChar w:fldCharType="begin"/>
        </w:r>
        <w:r w:rsidRPr="003F39C0">
          <w:rPr>
            <w:rFonts w:ascii="Times New Roman" w:hAnsi="Times New Roman" w:cs="Times New Roman"/>
          </w:rPr>
          <w:instrText>PAGE   \* MERGEFORMAT</w:instrText>
        </w:r>
        <w:r w:rsidRPr="003F39C0">
          <w:rPr>
            <w:rFonts w:ascii="Times New Roman" w:hAnsi="Times New Roman" w:cs="Times New Roman"/>
          </w:rPr>
          <w:fldChar w:fldCharType="separate"/>
        </w:r>
        <w:r w:rsidR="00C318B3" w:rsidRPr="00C318B3">
          <w:rPr>
            <w:rFonts w:ascii="Times New Roman" w:hAnsi="Times New Roman" w:cs="Times New Roman"/>
            <w:noProof/>
            <w:lang w:val="sk-SK"/>
          </w:rPr>
          <w:t>15</w:t>
        </w:r>
        <w:r w:rsidRPr="003F39C0">
          <w:rPr>
            <w:rFonts w:ascii="Times New Roman" w:hAnsi="Times New Roman" w:cs="Times New Roman"/>
          </w:rPr>
          <w:fldChar w:fldCharType="end"/>
        </w:r>
      </w:p>
    </w:sdtContent>
  </w:sdt>
  <w:p w:rsidR="005906EC" w:rsidRDefault="005906E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6EC" w:rsidRDefault="005906EC">
    <w:pPr>
      <w:pStyle w:val="Pta"/>
      <w:jc w:val="center"/>
    </w:pPr>
  </w:p>
  <w:p w:rsidR="005906EC" w:rsidRDefault="005906E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3E3" w:rsidRDefault="00A533E3" w:rsidP="00902B11">
      <w:pPr>
        <w:spacing w:after="0"/>
      </w:pPr>
      <w:r>
        <w:separator/>
      </w:r>
    </w:p>
  </w:footnote>
  <w:footnote w:type="continuationSeparator" w:id="0">
    <w:p w:rsidR="00A533E3" w:rsidRDefault="00A533E3" w:rsidP="00902B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79A4"/>
    <w:multiLevelType w:val="hybridMultilevel"/>
    <w:tmpl w:val="91225A5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4771F"/>
    <w:multiLevelType w:val="multilevel"/>
    <w:tmpl w:val="840E9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5C32806"/>
    <w:multiLevelType w:val="hybridMultilevel"/>
    <w:tmpl w:val="B4C6BE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D243A"/>
    <w:multiLevelType w:val="hybridMultilevel"/>
    <w:tmpl w:val="F65A5D56"/>
    <w:lvl w:ilvl="0" w:tplc="4FDE608A">
      <w:start w:val="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A236E"/>
    <w:multiLevelType w:val="hybridMultilevel"/>
    <w:tmpl w:val="0D1EBD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71310"/>
    <w:multiLevelType w:val="hybridMultilevel"/>
    <w:tmpl w:val="E864DF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674FC"/>
    <w:multiLevelType w:val="hybridMultilevel"/>
    <w:tmpl w:val="5B6834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E25B1"/>
    <w:multiLevelType w:val="hybridMultilevel"/>
    <w:tmpl w:val="7ACEB8C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D2428"/>
    <w:multiLevelType w:val="multilevel"/>
    <w:tmpl w:val="D3304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CDC51FF"/>
    <w:multiLevelType w:val="multilevel"/>
    <w:tmpl w:val="7E88CF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DD04E14"/>
    <w:multiLevelType w:val="hybridMultilevel"/>
    <w:tmpl w:val="11D442C8"/>
    <w:lvl w:ilvl="0" w:tplc="58F074B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53546"/>
    <w:multiLevelType w:val="hybridMultilevel"/>
    <w:tmpl w:val="AC106382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460AE"/>
    <w:multiLevelType w:val="multilevel"/>
    <w:tmpl w:val="7E88CF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9FF3213"/>
    <w:multiLevelType w:val="hybridMultilevel"/>
    <w:tmpl w:val="79264A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11AAC"/>
    <w:multiLevelType w:val="hybridMultilevel"/>
    <w:tmpl w:val="E95C26BE"/>
    <w:lvl w:ilvl="0" w:tplc="03FAD924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513D1"/>
    <w:multiLevelType w:val="multilevel"/>
    <w:tmpl w:val="D9BEFD24"/>
    <w:lvl w:ilvl="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6F376D2A"/>
    <w:multiLevelType w:val="multilevel"/>
    <w:tmpl w:val="7E88CF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5B72DB6"/>
    <w:multiLevelType w:val="multilevel"/>
    <w:tmpl w:val="0E146C7E"/>
    <w:lvl w:ilvl="0">
      <w:start w:val="1"/>
      <w:numFmt w:val="decimal"/>
      <w:lvlText w:val="%1."/>
      <w:lvlJc w:val="left"/>
      <w:pPr>
        <w:ind w:hanging="568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hanging="568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8F53309"/>
    <w:multiLevelType w:val="multilevel"/>
    <w:tmpl w:val="38D464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CA0626B"/>
    <w:multiLevelType w:val="hybridMultilevel"/>
    <w:tmpl w:val="E7D8E7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7"/>
  </w:num>
  <w:num w:numId="5">
    <w:abstractNumId w:val="13"/>
  </w:num>
  <w:num w:numId="6">
    <w:abstractNumId w:val="3"/>
  </w:num>
  <w:num w:numId="7">
    <w:abstractNumId w:val="1"/>
  </w:num>
  <w:num w:numId="8">
    <w:abstractNumId w:val="16"/>
  </w:num>
  <w:num w:numId="9">
    <w:abstractNumId w:val="9"/>
  </w:num>
  <w:num w:numId="10">
    <w:abstractNumId w:val="12"/>
  </w:num>
  <w:num w:numId="11">
    <w:abstractNumId w:val="0"/>
  </w:num>
  <w:num w:numId="12">
    <w:abstractNumId w:val="10"/>
  </w:num>
  <w:num w:numId="13">
    <w:abstractNumId w:val="7"/>
  </w:num>
  <w:num w:numId="14">
    <w:abstractNumId w:val="15"/>
  </w:num>
  <w:num w:numId="15">
    <w:abstractNumId w:val="19"/>
  </w:num>
  <w:num w:numId="16">
    <w:abstractNumId w:val="14"/>
  </w:num>
  <w:num w:numId="17">
    <w:abstractNumId w:val="5"/>
  </w:num>
  <w:num w:numId="18">
    <w:abstractNumId w:val="6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24"/>
    <w:rsid w:val="00000BB7"/>
    <w:rsid w:val="00013687"/>
    <w:rsid w:val="00015437"/>
    <w:rsid w:val="000233DA"/>
    <w:rsid w:val="000313B5"/>
    <w:rsid w:val="000337EA"/>
    <w:rsid w:val="0004368E"/>
    <w:rsid w:val="00052108"/>
    <w:rsid w:val="00074023"/>
    <w:rsid w:val="000807FD"/>
    <w:rsid w:val="00082020"/>
    <w:rsid w:val="00084F59"/>
    <w:rsid w:val="0009281E"/>
    <w:rsid w:val="000A1B66"/>
    <w:rsid w:val="000A2C8B"/>
    <w:rsid w:val="000A72E1"/>
    <w:rsid w:val="000B4349"/>
    <w:rsid w:val="000C2C3E"/>
    <w:rsid w:val="000C60BB"/>
    <w:rsid w:val="000C62D0"/>
    <w:rsid w:val="000D0CA1"/>
    <w:rsid w:val="000D1B72"/>
    <w:rsid w:val="000D2CA7"/>
    <w:rsid w:val="000D4724"/>
    <w:rsid w:val="000D6301"/>
    <w:rsid w:val="000E19CB"/>
    <w:rsid w:val="000E3AAA"/>
    <w:rsid w:val="000F2050"/>
    <w:rsid w:val="000F268B"/>
    <w:rsid w:val="000F334C"/>
    <w:rsid w:val="000F5F5C"/>
    <w:rsid w:val="00103E2E"/>
    <w:rsid w:val="00105661"/>
    <w:rsid w:val="001060EC"/>
    <w:rsid w:val="00106794"/>
    <w:rsid w:val="00111FD2"/>
    <w:rsid w:val="00116941"/>
    <w:rsid w:val="00121C67"/>
    <w:rsid w:val="00122F15"/>
    <w:rsid w:val="001238E0"/>
    <w:rsid w:val="001273C6"/>
    <w:rsid w:val="00130959"/>
    <w:rsid w:val="00131083"/>
    <w:rsid w:val="0013175C"/>
    <w:rsid w:val="001340C5"/>
    <w:rsid w:val="00140324"/>
    <w:rsid w:val="00140DC4"/>
    <w:rsid w:val="00141211"/>
    <w:rsid w:val="001438FB"/>
    <w:rsid w:val="00156E67"/>
    <w:rsid w:val="001620DF"/>
    <w:rsid w:val="001630DA"/>
    <w:rsid w:val="00164122"/>
    <w:rsid w:val="00166359"/>
    <w:rsid w:val="001745B1"/>
    <w:rsid w:val="00174E1F"/>
    <w:rsid w:val="00181084"/>
    <w:rsid w:val="001911E6"/>
    <w:rsid w:val="001B49C7"/>
    <w:rsid w:val="001C3C9F"/>
    <w:rsid w:val="001C45BD"/>
    <w:rsid w:val="001C76B6"/>
    <w:rsid w:val="001D0B6E"/>
    <w:rsid w:val="001E2949"/>
    <w:rsid w:val="001E4CFE"/>
    <w:rsid w:val="00220CE2"/>
    <w:rsid w:val="00227121"/>
    <w:rsid w:val="0023049D"/>
    <w:rsid w:val="002327B1"/>
    <w:rsid w:val="0024142B"/>
    <w:rsid w:val="00244BAB"/>
    <w:rsid w:val="0024612D"/>
    <w:rsid w:val="00256711"/>
    <w:rsid w:val="00263DD1"/>
    <w:rsid w:val="00272ADB"/>
    <w:rsid w:val="00272BA0"/>
    <w:rsid w:val="0027567E"/>
    <w:rsid w:val="00277706"/>
    <w:rsid w:val="002848DF"/>
    <w:rsid w:val="00291510"/>
    <w:rsid w:val="002976B6"/>
    <w:rsid w:val="00297EE1"/>
    <w:rsid w:val="002A452F"/>
    <w:rsid w:val="002A63E8"/>
    <w:rsid w:val="002A6F5F"/>
    <w:rsid w:val="002B1FEF"/>
    <w:rsid w:val="002B2C93"/>
    <w:rsid w:val="002B2FE2"/>
    <w:rsid w:val="002B7BDB"/>
    <w:rsid w:val="002C1FE4"/>
    <w:rsid w:val="002C44D9"/>
    <w:rsid w:val="002D024D"/>
    <w:rsid w:val="002D6B54"/>
    <w:rsid w:val="002D71CA"/>
    <w:rsid w:val="002E0C45"/>
    <w:rsid w:val="002F0A97"/>
    <w:rsid w:val="00302375"/>
    <w:rsid w:val="00303321"/>
    <w:rsid w:val="003058B5"/>
    <w:rsid w:val="00306AA7"/>
    <w:rsid w:val="0031311B"/>
    <w:rsid w:val="00314B42"/>
    <w:rsid w:val="0031597F"/>
    <w:rsid w:val="00321206"/>
    <w:rsid w:val="00323F98"/>
    <w:rsid w:val="00324534"/>
    <w:rsid w:val="00324B48"/>
    <w:rsid w:val="0032605F"/>
    <w:rsid w:val="003302D6"/>
    <w:rsid w:val="0034001E"/>
    <w:rsid w:val="00340C54"/>
    <w:rsid w:val="003414A7"/>
    <w:rsid w:val="00343050"/>
    <w:rsid w:val="0034551B"/>
    <w:rsid w:val="00350227"/>
    <w:rsid w:val="00352FC3"/>
    <w:rsid w:val="00361355"/>
    <w:rsid w:val="00371C3E"/>
    <w:rsid w:val="00371D14"/>
    <w:rsid w:val="0038139E"/>
    <w:rsid w:val="00382711"/>
    <w:rsid w:val="00385285"/>
    <w:rsid w:val="00386EDA"/>
    <w:rsid w:val="0038753B"/>
    <w:rsid w:val="003A3725"/>
    <w:rsid w:val="003A55FA"/>
    <w:rsid w:val="003B0C52"/>
    <w:rsid w:val="003B482B"/>
    <w:rsid w:val="003C0CB3"/>
    <w:rsid w:val="003C6556"/>
    <w:rsid w:val="003C7122"/>
    <w:rsid w:val="003C739F"/>
    <w:rsid w:val="003C7B94"/>
    <w:rsid w:val="003E6671"/>
    <w:rsid w:val="003E70FA"/>
    <w:rsid w:val="003F0607"/>
    <w:rsid w:val="003F39C0"/>
    <w:rsid w:val="003F5C63"/>
    <w:rsid w:val="003F7EB1"/>
    <w:rsid w:val="00401041"/>
    <w:rsid w:val="004026D1"/>
    <w:rsid w:val="0041038C"/>
    <w:rsid w:val="00417A35"/>
    <w:rsid w:val="00422B1D"/>
    <w:rsid w:val="00423D88"/>
    <w:rsid w:val="00431B6C"/>
    <w:rsid w:val="00445837"/>
    <w:rsid w:val="00455CC5"/>
    <w:rsid w:val="00455D17"/>
    <w:rsid w:val="00457CBD"/>
    <w:rsid w:val="00460E01"/>
    <w:rsid w:val="0046760D"/>
    <w:rsid w:val="0048341F"/>
    <w:rsid w:val="004842F6"/>
    <w:rsid w:val="004900DF"/>
    <w:rsid w:val="0049160D"/>
    <w:rsid w:val="004952BF"/>
    <w:rsid w:val="004A102B"/>
    <w:rsid w:val="004A7997"/>
    <w:rsid w:val="004B1ED5"/>
    <w:rsid w:val="004B4ED5"/>
    <w:rsid w:val="004D0262"/>
    <w:rsid w:val="004D398B"/>
    <w:rsid w:val="004E3321"/>
    <w:rsid w:val="004E4CAC"/>
    <w:rsid w:val="004F23EB"/>
    <w:rsid w:val="004F5AE8"/>
    <w:rsid w:val="004F5B0D"/>
    <w:rsid w:val="004F7210"/>
    <w:rsid w:val="00505D56"/>
    <w:rsid w:val="00506406"/>
    <w:rsid w:val="00507E29"/>
    <w:rsid w:val="00513FA6"/>
    <w:rsid w:val="00514387"/>
    <w:rsid w:val="00522AF7"/>
    <w:rsid w:val="00524D0A"/>
    <w:rsid w:val="005274DE"/>
    <w:rsid w:val="00530DAB"/>
    <w:rsid w:val="00531A3D"/>
    <w:rsid w:val="00536AE8"/>
    <w:rsid w:val="00537A82"/>
    <w:rsid w:val="00540D2C"/>
    <w:rsid w:val="005454B9"/>
    <w:rsid w:val="0054551C"/>
    <w:rsid w:val="00563E58"/>
    <w:rsid w:val="00570C3B"/>
    <w:rsid w:val="00571AC8"/>
    <w:rsid w:val="00572CB3"/>
    <w:rsid w:val="005755E2"/>
    <w:rsid w:val="00576F40"/>
    <w:rsid w:val="00577113"/>
    <w:rsid w:val="0058218A"/>
    <w:rsid w:val="00590383"/>
    <w:rsid w:val="005906EC"/>
    <w:rsid w:val="00593586"/>
    <w:rsid w:val="00594278"/>
    <w:rsid w:val="00594972"/>
    <w:rsid w:val="005955D7"/>
    <w:rsid w:val="00595ED9"/>
    <w:rsid w:val="005B0892"/>
    <w:rsid w:val="005B2A19"/>
    <w:rsid w:val="005B7790"/>
    <w:rsid w:val="005C05EC"/>
    <w:rsid w:val="005D2141"/>
    <w:rsid w:val="005D333E"/>
    <w:rsid w:val="005D44B3"/>
    <w:rsid w:val="005D680D"/>
    <w:rsid w:val="005E19C8"/>
    <w:rsid w:val="005E6D0F"/>
    <w:rsid w:val="005E6DE0"/>
    <w:rsid w:val="005F383D"/>
    <w:rsid w:val="00602EBD"/>
    <w:rsid w:val="006053B6"/>
    <w:rsid w:val="00612A36"/>
    <w:rsid w:val="00620FD9"/>
    <w:rsid w:val="00622016"/>
    <w:rsid w:val="006220DB"/>
    <w:rsid w:val="00631DC9"/>
    <w:rsid w:val="006420BF"/>
    <w:rsid w:val="00643F94"/>
    <w:rsid w:val="00654604"/>
    <w:rsid w:val="00656D47"/>
    <w:rsid w:val="0065714E"/>
    <w:rsid w:val="00665B8A"/>
    <w:rsid w:val="0067076C"/>
    <w:rsid w:val="00692037"/>
    <w:rsid w:val="006A21CB"/>
    <w:rsid w:val="006A2812"/>
    <w:rsid w:val="006A3E8F"/>
    <w:rsid w:val="006A4D31"/>
    <w:rsid w:val="006A68C8"/>
    <w:rsid w:val="006B41D1"/>
    <w:rsid w:val="006B50DC"/>
    <w:rsid w:val="006C2C52"/>
    <w:rsid w:val="006C69CB"/>
    <w:rsid w:val="006E5642"/>
    <w:rsid w:val="006F22CA"/>
    <w:rsid w:val="007074FA"/>
    <w:rsid w:val="00714A80"/>
    <w:rsid w:val="00715E4A"/>
    <w:rsid w:val="00736DC8"/>
    <w:rsid w:val="00737BD7"/>
    <w:rsid w:val="00744538"/>
    <w:rsid w:val="0074497A"/>
    <w:rsid w:val="00755A79"/>
    <w:rsid w:val="00760F30"/>
    <w:rsid w:val="00763B70"/>
    <w:rsid w:val="00775E62"/>
    <w:rsid w:val="00781D2D"/>
    <w:rsid w:val="007856E1"/>
    <w:rsid w:val="007866B7"/>
    <w:rsid w:val="00795C17"/>
    <w:rsid w:val="007A1222"/>
    <w:rsid w:val="007A76BF"/>
    <w:rsid w:val="007B6A51"/>
    <w:rsid w:val="007C57AD"/>
    <w:rsid w:val="007C631A"/>
    <w:rsid w:val="007C68C2"/>
    <w:rsid w:val="007D7DD0"/>
    <w:rsid w:val="007E0A50"/>
    <w:rsid w:val="007E1258"/>
    <w:rsid w:val="007E5141"/>
    <w:rsid w:val="007F0D90"/>
    <w:rsid w:val="007F183F"/>
    <w:rsid w:val="00813284"/>
    <w:rsid w:val="00820117"/>
    <w:rsid w:val="0082070B"/>
    <w:rsid w:val="00825C24"/>
    <w:rsid w:val="00827904"/>
    <w:rsid w:val="008306FF"/>
    <w:rsid w:val="00831E9D"/>
    <w:rsid w:val="00837D7B"/>
    <w:rsid w:val="00841533"/>
    <w:rsid w:val="0084544A"/>
    <w:rsid w:val="00851E16"/>
    <w:rsid w:val="00855E62"/>
    <w:rsid w:val="00861F39"/>
    <w:rsid w:val="00866C02"/>
    <w:rsid w:val="008672D1"/>
    <w:rsid w:val="00874839"/>
    <w:rsid w:val="008804BF"/>
    <w:rsid w:val="00882325"/>
    <w:rsid w:val="008830F9"/>
    <w:rsid w:val="0088567A"/>
    <w:rsid w:val="00886CC6"/>
    <w:rsid w:val="00895161"/>
    <w:rsid w:val="008A611C"/>
    <w:rsid w:val="008B12F7"/>
    <w:rsid w:val="008B4F72"/>
    <w:rsid w:val="008B7EA9"/>
    <w:rsid w:val="008C629C"/>
    <w:rsid w:val="008D3394"/>
    <w:rsid w:val="008D6E72"/>
    <w:rsid w:val="008D762D"/>
    <w:rsid w:val="008E4B13"/>
    <w:rsid w:val="008F3209"/>
    <w:rsid w:val="009027D1"/>
    <w:rsid w:val="00902B11"/>
    <w:rsid w:val="0090791F"/>
    <w:rsid w:val="009117E6"/>
    <w:rsid w:val="009141B8"/>
    <w:rsid w:val="00914E2C"/>
    <w:rsid w:val="00923BA0"/>
    <w:rsid w:val="009300E6"/>
    <w:rsid w:val="0093048F"/>
    <w:rsid w:val="009335A1"/>
    <w:rsid w:val="00933EB8"/>
    <w:rsid w:val="0094064F"/>
    <w:rsid w:val="00942243"/>
    <w:rsid w:val="00943470"/>
    <w:rsid w:val="00947F9E"/>
    <w:rsid w:val="0095599E"/>
    <w:rsid w:val="009561D3"/>
    <w:rsid w:val="0096705F"/>
    <w:rsid w:val="00972787"/>
    <w:rsid w:val="00974C98"/>
    <w:rsid w:val="00975040"/>
    <w:rsid w:val="00985B2A"/>
    <w:rsid w:val="00986DCF"/>
    <w:rsid w:val="0099574F"/>
    <w:rsid w:val="009A5506"/>
    <w:rsid w:val="009B50C0"/>
    <w:rsid w:val="009B7FA9"/>
    <w:rsid w:val="009C4694"/>
    <w:rsid w:val="009C6308"/>
    <w:rsid w:val="009D07D4"/>
    <w:rsid w:val="009D1035"/>
    <w:rsid w:val="009F0ECC"/>
    <w:rsid w:val="009F3458"/>
    <w:rsid w:val="00A015BC"/>
    <w:rsid w:val="00A05A6E"/>
    <w:rsid w:val="00A261AD"/>
    <w:rsid w:val="00A35AF1"/>
    <w:rsid w:val="00A40FA0"/>
    <w:rsid w:val="00A5237E"/>
    <w:rsid w:val="00A533E3"/>
    <w:rsid w:val="00A61F83"/>
    <w:rsid w:val="00A652E2"/>
    <w:rsid w:val="00A71CCB"/>
    <w:rsid w:val="00A7310B"/>
    <w:rsid w:val="00A82D37"/>
    <w:rsid w:val="00A83040"/>
    <w:rsid w:val="00A863C3"/>
    <w:rsid w:val="00A9440A"/>
    <w:rsid w:val="00A9590F"/>
    <w:rsid w:val="00AA069E"/>
    <w:rsid w:val="00AA341F"/>
    <w:rsid w:val="00AA5FDB"/>
    <w:rsid w:val="00AB14AB"/>
    <w:rsid w:val="00AB6D30"/>
    <w:rsid w:val="00AB6ECF"/>
    <w:rsid w:val="00AC11C2"/>
    <w:rsid w:val="00AC4495"/>
    <w:rsid w:val="00AC63A4"/>
    <w:rsid w:val="00AD191D"/>
    <w:rsid w:val="00AD7A4F"/>
    <w:rsid w:val="00AE0322"/>
    <w:rsid w:val="00AE084D"/>
    <w:rsid w:val="00AE1897"/>
    <w:rsid w:val="00AE3C3C"/>
    <w:rsid w:val="00AF0F05"/>
    <w:rsid w:val="00AF6696"/>
    <w:rsid w:val="00AF7BB1"/>
    <w:rsid w:val="00B0076B"/>
    <w:rsid w:val="00B01EB3"/>
    <w:rsid w:val="00B0442B"/>
    <w:rsid w:val="00B07765"/>
    <w:rsid w:val="00B16CC3"/>
    <w:rsid w:val="00B17B56"/>
    <w:rsid w:val="00B17C6B"/>
    <w:rsid w:val="00B230F3"/>
    <w:rsid w:val="00B2764C"/>
    <w:rsid w:val="00B327FA"/>
    <w:rsid w:val="00B34709"/>
    <w:rsid w:val="00B37318"/>
    <w:rsid w:val="00B37EDA"/>
    <w:rsid w:val="00B401D9"/>
    <w:rsid w:val="00B5425F"/>
    <w:rsid w:val="00B55427"/>
    <w:rsid w:val="00B651A9"/>
    <w:rsid w:val="00B67766"/>
    <w:rsid w:val="00B67C05"/>
    <w:rsid w:val="00B71724"/>
    <w:rsid w:val="00B7456A"/>
    <w:rsid w:val="00B77BA2"/>
    <w:rsid w:val="00B80465"/>
    <w:rsid w:val="00B82B50"/>
    <w:rsid w:val="00B84558"/>
    <w:rsid w:val="00B97F48"/>
    <w:rsid w:val="00BA097A"/>
    <w:rsid w:val="00BA6317"/>
    <w:rsid w:val="00BC413C"/>
    <w:rsid w:val="00BD21BE"/>
    <w:rsid w:val="00BD2B47"/>
    <w:rsid w:val="00BD35AA"/>
    <w:rsid w:val="00BD7904"/>
    <w:rsid w:val="00BE0211"/>
    <w:rsid w:val="00BE147E"/>
    <w:rsid w:val="00BE25F8"/>
    <w:rsid w:val="00BF0E26"/>
    <w:rsid w:val="00C00B09"/>
    <w:rsid w:val="00C01256"/>
    <w:rsid w:val="00C1681E"/>
    <w:rsid w:val="00C22450"/>
    <w:rsid w:val="00C2325A"/>
    <w:rsid w:val="00C249F3"/>
    <w:rsid w:val="00C318B3"/>
    <w:rsid w:val="00C346D8"/>
    <w:rsid w:val="00C40A11"/>
    <w:rsid w:val="00C41586"/>
    <w:rsid w:val="00C43A89"/>
    <w:rsid w:val="00C509F4"/>
    <w:rsid w:val="00C51039"/>
    <w:rsid w:val="00C54471"/>
    <w:rsid w:val="00C70187"/>
    <w:rsid w:val="00C85139"/>
    <w:rsid w:val="00C9008F"/>
    <w:rsid w:val="00C92EF8"/>
    <w:rsid w:val="00C9505E"/>
    <w:rsid w:val="00C96C41"/>
    <w:rsid w:val="00C97ED6"/>
    <w:rsid w:val="00CA0A79"/>
    <w:rsid w:val="00CB1BAE"/>
    <w:rsid w:val="00CB41AF"/>
    <w:rsid w:val="00CB769A"/>
    <w:rsid w:val="00CC0EAD"/>
    <w:rsid w:val="00CC16D7"/>
    <w:rsid w:val="00CC272E"/>
    <w:rsid w:val="00CC38D1"/>
    <w:rsid w:val="00CD678F"/>
    <w:rsid w:val="00CD7D58"/>
    <w:rsid w:val="00CE186C"/>
    <w:rsid w:val="00CE75DE"/>
    <w:rsid w:val="00CF152E"/>
    <w:rsid w:val="00CF4EEA"/>
    <w:rsid w:val="00D100C3"/>
    <w:rsid w:val="00D2317C"/>
    <w:rsid w:val="00D23805"/>
    <w:rsid w:val="00D3723D"/>
    <w:rsid w:val="00D41C6C"/>
    <w:rsid w:val="00D43B7C"/>
    <w:rsid w:val="00D451D7"/>
    <w:rsid w:val="00D51005"/>
    <w:rsid w:val="00D54CDE"/>
    <w:rsid w:val="00D577B8"/>
    <w:rsid w:val="00D60F52"/>
    <w:rsid w:val="00D63444"/>
    <w:rsid w:val="00D76543"/>
    <w:rsid w:val="00D851C6"/>
    <w:rsid w:val="00D86CDB"/>
    <w:rsid w:val="00D8765B"/>
    <w:rsid w:val="00D878E3"/>
    <w:rsid w:val="00DA18BE"/>
    <w:rsid w:val="00DA3EEA"/>
    <w:rsid w:val="00DB43AB"/>
    <w:rsid w:val="00DC0578"/>
    <w:rsid w:val="00DC41EC"/>
    <w:rsid w:val="00DC529F"/>
    <w:rsid w:val="00DC6F11"/>
    <w:rsid w:val="00DC7626"/>
    <w:rsid w:val="00DD1952"/>
    <w:rsid w:val="00DE2736"/>
    <w:rsid w:val="00DE4ADF"/>
    <w:rsid w:val="00DF3336"/>
    <w:rsid w:val="00E26916"/>
    <w:rsid w:val="00E26D13"/>
    <w:rsid w:val="00E344C0"/>
    <w:rsid w:val="00E44BC3"/>
    <w:rsid w:val="00E57ECC"/>
    <w:rsid w:val="00E6085C"/>
    <w:rsid w:val="00E665CD"/>
    <w:rsid w:val="00E71A1C"/>
    <w:rsid w:val="00E72EE2"/>
    <w:rsid w:val="00E76B03"/>
    <w:rsid w:val="00E80A00"/>
    <w:rsid w:val="00E9007F"/>
    <w:rsid w:val="00E97B6B"/>
    <w:rsid w:val="00EA0E73"/>
    <w:rsid w:val="00EA7272"/>
    <w:rsid w:val="00EB16D2"/>
    <w:rsid w:val="00EB390A"/>
    <w:rsid w:val="00EB52BA"/>
    <w:rsid w:val="00ED372E"/>
    <w:rsid w:val="00ED4F1A"/>
    <w:rsid w:val="00EF4EEA"/>
    <w:rsid w:val="00EF5442"/>
    <w:rsid w:val="00F03280"/>
    <w:rsid w:val="00F11BBE"/>
    <w:rsid w:val="00F2193E"/>
    <w:rsid w:val="00F21CC4"/>
    <w:rsid w:val="00F22198"/>
    <w:rsid w:val="00F23D54"/>
    <w:rsid w:val="00F241BC"/>
    <w:rsid w:val="00F27968"/>
    <w:rsid w:val="00F32BA0"/>
    <w:rsid w:val="00F342DB"/>
    <w:rsid w:val="00F36FFD"/>
    <w:rsid w:val="00F4018F"/>
    <w:rsid w:val="00F436AA"/>
    <w:rsid w:val="00F44F49"/>
    <w:rsid w:val="00F63498"/>
    <w:rsid w:val="00F70788"/>
    <w:rsid w:val="00F70BBE"/>
    <w:rsid w:val="00F75EAC"/>
    <w:rsid w:val="00F77C35"/>
    <w:rsid w:val="00F91C0B"/>
    <w:rsid w:val="00F93EAF"/>
    <w:rsid w:val="00F94940"/>
    <w:rsid w:val="00FA28E8"/>
    <w:rsid w:val="00FA43EA"/>
    <w:rsid w:val="00FB3F97"/>
    <w:rsid w:val="00FC2D1F"/>
    <w:rsid w:val="00FC3825"/>
    <w:rsid w:val="00FD6C2D"/>
    <w:rsid w:val="00FE1673"/>
    <w:rsid w:val="00FE3557"/>
    <w:rsid w:val="00FE441C"/>
    <w:rsid w:val="00FE4A9E"/>
    <w:rsid w:val="00FF1185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FCE12-BE14-48D6-BCDA-5A2650E5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44C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140324"/>
    <w:pPr>
      <w:spacing w:after="0"/>
      <w:jc w:val="center"/>
    </w:pPr>
    <w:rPr>
      <w:rFonts w:ascii="Times New Roman" w:eastAsia="Calibri" w:hAnsi="Times New Roman" w:cs="Times New Roman"/>
      <w:b/>
      <w:szCs w:val="24"/>
      <w:lang w:val="cs-CZ" w:eastAsia="cs-CZ"/>
    </w:rPr>
  </w:style>
  <w:style w:type="character" w:customStyle="1" w:styleId="NzovChar">
    <w:name w:val="Názov Char"/>
    <w:basedOn w:val="Predvolenpsmoodseku"/>
    <w:link w:val="Nzov"/>
    <w:rsid w:val="00140324"/>
    <w:rPr>
      <w:rFonts w:ascii="Times New Roman" w:eastAsia="Calibri" w:hAnsi="Times New Roman" w:cs="Times New Roman"/>
      <w:b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3E70FA"/>
    <w:pPr>
      <w:ind w:left="720"/>
      <w:contextualSpacing/>
    </w:pPr>
  </w:style>
  <w:style w:type="character" w:customStyle="1" w:styleId="longtext1">
    <w:name w:val="long_text1"/>
    <w:rsid w:val="00737BD7"/>
    <w:rPr>
      <w:sz w:val="14"/>
      <w:szCs w:val="14"/>
    </w:rPr>
  </w:style>
  <w:style w:type="paragraph" w:styleId="Zarkazkladnhotextu">
    <w:name w:val="Body Text Indent"/>
    <w:basedOn w:val="Normlny"/>
    <w:link w:val="ZarkazkladnhotextuChar"/>
    <w:rsid w:val="002F0A97"/>
    <w:pPr>
      <w:autoSpaceDE w:val="0"/>
      <w:autoSpaceDN w:val="0"/>
      <w:adjustRightInd w:val="0"/>
      <w:spacing w:after="0"/>
      <w:ind w:left="720"/>
      <w:jc w:val="both"/>
    </w:pPr>
    <w:rPr>
      <w:rFonts w:ascii="Times New Roman" w:eastAsia="Times New Roman" w:hAnsi="Times New Roman" w:cs="Times New Roman"/>
      <w:lang w:val="sk-SK" w:eastAsia="en-GB"/>
    </w:rPr>
  </w:style>
  <w:style w:type="character" w:customStyle="1" w:styleId="ZarkazkladnhotextuChar">
    <w:name w:val="Zarážka základného textu Char"/>
    <w:basedOn w:val="Predvolenpsmoodseku"/>
    <w:link w:val="Zarkazkladnhotextu"/>
    <w:rsid w:val="002F0A97"/>
    <w:rPr>
      <w:rFonts w:ascii="Times New Roman" w:eastAsia="Times New Roman" w:hAnsi="Times New Roman" w:cs="Times New Roman"/>
      <w:lang w:val="sk-SK" w:eastAsia="en-GB"/>
    </w:rPr>
  </w:style>
  <w:style w:type="character" w:styleId="Hypertextovprepojenie">
    <w:name w:val="Hyperlink"/>
    <w:basedOn w:val="Predvolenpsmoodseku"/>
    <w:uiPriority w:val="99"/>
    <w:unhideWhenUsed/>
    <w:rsid w:val="00EF5442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902B11"/>
    <w:pPr>
      <w:tabs>
        <w:tab w:val="center" w:pos="4703"/>
        <w:tab w:val="right" w:pos="9406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902B11"/>
  </w:style>
  <w:style w:type="paragraph" w:styleId="Pta">
    <w:name w:val="footer"/>
    <w:basedOn w:val="Normlny"/>
    <w:link w:val="PtaChar"/>
    <w:uiPriority w:val="99"/>
    <w:unhideWhenUsed/>
    <w:rsid w:val="00902B11"/>
    <w:pPr>
      <w:tabs>
        <w:tab w:val="center" w:pos="4703"/>
        <w:tab w:val="right" w:pos="9406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902B11"/>
  </w:style>
  <w:style w:type="paragraph" w:styleId="Textbubliny">
    <w:name w:val="Balloon Text"/>
    <w:basedOn w:val="Normlny"/>
    <w:link w:val="TextbublinyChar"/>
    <w:uiPriority w:val="99"/>
    <w:semiHidden/>
    <w:unhideWhenUsed/>
    <w:rsid w:val="003C712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122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Predvolenpsmoodseku"/>
    <w:rsid w:val="005B0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6291</Words>
  <Characters>35861</Characters>
  <Application>Microsoft Office Word</Application>
  <DocSecurity>0</DocSecurity>
  <Lines>298</Lines>
  <Paragraphs>84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Vania Petrova</dc:creator>
  <cp:lastModifiedBy>Vargová, Dagmar</cp:lastModifiedBy>
  <cp:revision>14</cp:revision>
  <cp:lastPrinted>2017-12-04T07:16:00Z</cp:lastPrinted>
  <dcterms:created xsi:type="dcterms:W3CDTF">2017-11-29T09:11:00Z</dcterms:created>
  <dcterms:modified xsi:type="dcterms:W3CDTF">2017-12-04T07:48:00Z</dcterms:modified>
</cp:coreProperties>
</file>