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D16" w:rsidRPr="00757273" w:rsidRDefault="00812D16" w:rsidP="002B7B74">
      <w:pPr>
        <w:spacing w:line="240" w:lineRule="auto"/>
      </w:pPr>
    </w:p>
    <w:p w:rsidR="00812D16" w:rsidRPr="00757273" w:rsidRDefault="00812D16" w:rsidP="00275D4A">
      <w:pPr>
        <w:spacing w:line="240" w:lineRule="auto"/>
        <w:jc w:val="center"/>
      </w:pPr>
      <w:r w:rsidRPr="00757273">
        <w:rPr>
          <w:b/>
        </w:rPr>
        <w:t>SÚHRN CHARAKTERISTICKÝCH VLASTNOSTÍ LIEKU</w:t>
      </w:r>
    </w:p>
    <w:p w:rsidR="00033D26" w:rsidRPr="00757273" w:rsidRDefault="00033D26" w:rsidP="002B7B74">
      <w:pPr>
        <w:spacing w:line="240" w:lineRule="auto"/>
      </w:pPr>
    </w:p>
    <w:p w:rsidR="00033D26" w:rsidRPr="00757273" w:rsidRDefault="00033D26" w:rsidP="002B7B74">
      <w:pPr>
        <w:spacing w:line="240" w:lineRule="auto"/>
      </w:pPr>
    </w:p>
    <w:p w:rsidR="00812D16" w:rsidRPr="00757273" w:rsidRDefault="00812D16" w:rsidP="002B7B74">
      <w:pPr>
        <w:keepNext/>
        <w:numPr>
          <w:ilvl w:val="0"/>
          <w:numId w:val="2"/>
        </w:numPr>
        <w:suppressAutoHyphens/>
        <w:spacing w:line="240" w:lineRule="auto"/>
      </w:pPr>
      <w:r w:rsidRPr="00757273">
        <w:rPr>
          <w:b/>
        </w:rPr>
        <w:t>NÁZOV LIEKU</w:t>
      </w:r>
    </w:p>
    <w:p w:rsidR="00812D16" w:rsidRPr="00757273" w:rsidRDefault="00812D16" w:rsidP="00293EFF">
      <w:pPr>
        <w:keepNext/>
        <w:spacing w:line="240" w:lineRule="auto"/>
      </w:pPr>
    </w:p>
    <w:p w:rsidR="004A5B2D" w:rsidRPr="00757273" w:rsidRDefault="004A5B2D" w:rsidP="002B7B74">
      <w:pPr>
        <w:spacing w:line="240" w:lineRule="auto"/>
      </w:pPr>
      <w:r w:rsidRPr="00757273">
        <w:t>Abakavir/Lamivudín Vale</w:t>
      </w:r>
      <w:r w:rsidR="00E56BE0" w:rsidRPr="00757273">
        <w:t xml:space="preserve"> 600</w:t>
      </w:r>
      <w:r w:rsidRPr="00757273">
        <w:t> </w:t>
      </w:r>
      <w:r w:rsidR="00E56BE0" w:rsidRPr="00757273">
        <w:t>mg/300</w:t>
      </w:r>
      <w:r w:rsidRPr="00757273">
        <w:t> </w:t>
      </w:r>
      <w:r w:rsidR="00E56BE0" w:rsidRPr="00757273">
        <w:t>mg</w:t>
      </w:r>
    </w:p>
    <w:p w:rsidR="00812D16" w:rsidRPr="00757273" w:rsidRDefault="00E56BE0" w:rsidP="002B7B74">
      <w:pPr>
        <w:spacing w:line="240" w:lineRule="auto"/>
      </w:pPr>
      <w:r w:rsidRPr="00757273">
        <w:t>filmom obalené tablety</w:t>
      </w:r>
    </w:p>
    <w:p w:rsidR="00E56BE0" w:rsidRPr="00757273" w:rsidRDefault="00E56BE0" w:rsidP="002B7B74">
      <w:pPr>
        <w:spacing w:line="240" w:lineRule="auto"/>
      </w:pPr>
    </w:p>
    <w:p w:rsidR="00812D16" w:rsidRPr="00757273" w:rsidRDefault="00812D16" w:rsidP="002B7B74">
      <w:pPr>
        <w:spacing w:line="240" w:lineRule="auto"/>
      </w:pPr>
    </w:p>
    <w:p w:rsidR="00812D16" w:rsidRPr="00757273" w:rsidRDefault="00812D16" w:rsidP="002B7B74">
      <w:pPr>
        <w:keepNext/>
        <w:numPr>
          <w:ilvl w:val="0"/>
          <w:numId w:val="2"/>
        </w:numPr>
        <w:suppressAutoHyphens/>
        <w:spacing w:line="240" w:lineRule="auto"/>
      </w:pPr>
      <w:r w:rsidRPr="00757273">
        <w:rPr>
          <w:b/>
        </w:rPr>
        <w:t>KVALITATÍVNE A</w:t>
      </w:r>
      <w:r w:rsidR="0082445A" w:rsidRPr="00757273">
        <w:rPr>
          <w:b/>
        </w:rPr>
        <w:t> </w:t>
      </w:r>
      <w:r w:rsidRPr="00757273">
        <w:rPr>
          <w:b/>
        </w:rPr>
        <w:t>KVANTITATÍVNE ZLOŽENIE</w:t>
      </w:r>
    </w:p>
    <w:p w:rsidR="00E56BE0" w:rsidRPr="00757273" w:rsidRDefault="00E56BE0" w:rsidP="00293EFF">
      <w:pPr>
        <w:keepNext/>
        <w:spacing w:line="240" w:lineRule="auto"/>
      </w:pPr>
    </w:p>
    <w:p w:rsidR="00E56BE0" w:rsidRPr="00757273" w:rsidRDefault="00E56BE0" w:rsidP="002B7B74">
      <w:pPr>
        <w:spacing w:line="240" w:lineRule="auto"/>
      </w:pPr>
      <w:r w:rsidRPr="00757273">
        <w:t xml:space="preserve">Každá filmom obalená tableta obsahuje </w:t>
      </w:r>
      <w:r w:rsidR="004A5B2D" w:rsidRPr="00757273">
        <w:t>abakav</w:t>
      </w:r>
      <w:r w:rsidR="002C0FEB">
        <w:t>íriumsulfát</w:t>
      </w:r>
      <w:r w:rsidR="004A5B2D" w:rsidRPr="00757273">
        <w:t xml:space="preserve"> zodpoved</w:t>
      </w:r>
      <w:r w:rsidR="00C01C1D">
        <w:t>ajúci</w:t>
      </w:r>
      <w:r w:rsidR="004A5B2D" w:rsidRPr="00757273">
        <w:t xml:space="preserve"> </w:t>
      </w:r>
      <w:r w:rsidRPr="00757273">
        <w:t>600</w:t>
      </w:r>
      <w:r w:rsidR="004A5B2D" w:rsidRPr="00757273">
        <w:t> </w:t>
      </w:r>
      <w:r w:rsidRPr="00757273">
        <w:t xml:space="preserve">mg </w:t>
      </w:r>
      <w:r w:rsidR="004A5B2D" w:rsidRPr="00757273">
        <w:t>abakaviru</w:t>
      </w:r>
      <w:r w:rsidRPr="00757273">
        <w:t xml:space="preserve"> a</w:t>
      </w:r>
      <w:r w:rsidR="004A5B2D" w:rsidRPr="00757273">
        <w:t> </w:t>
      </w:r>
      <w:r w:rsidRPr="00757273">
        <w:t>300</w:t>
      </w:r>
      <w:r w:rsidR="004A5B2D" w:rsidRPr="00757273">
        <w:t> mg lamivudínu.</w:t>
      </w:r>
    </w:p>
    <w:p w:rsidR="00E56BE0" w:rsidRPr="00757273" w:rsidRDefault="00E56BE0" w:rsidP="002B7B74">
      <w:pPr>
        <w:spacing w:line="240" w:lineRule="auto"/>
      </w:pPr>
    </w:p>
    <w:p w:rsidR="00812D16" w:rsidRPr="00757273" w:rsidRDefault="00E56BE0" w:rsidP="002B7B74">
      <w:pPr>
        <w:spacing w:line="240" w:lineRule="auto"/>
      </w:pPr>
      <w:r w:rsidRPr="00757273">
        <w:t>Úplný zoznam pomocných látok, pozri časť 6.1.</w:t>
      </w:r>
    </w:p>
    <w:p w:rsidR="00812D16" w:rsidRPr="00757273" w:rsidRDefault="00812D16" w:rsidP="002B7B74">
      <w:pPr>
        <w:spacing w:line="240" w:lineRule="auto"/>
      </w:pPr>
    </w:p>
    <w:p w:rsidR="00812D16" w:rsidRPr="00757273" w:rsidRDefault="00812D16" w:rsidP="002B7B74">
      <w:pPr>
        <w:spacing w:line="240" w:lineRule="auto"/>
      </w:pPr>
    </w:p>
    <w:p w:rsidR="00812D16" w:rsidRPr="00757273" w:rsidRDefault="00812D16" w:rsidP="002B7B74">
      <w:pPr>
        <w:keepNext/>
        <w:numPr>
          <w:ilvl w:val="0"/>
          <w:numId w:val="2"/>
        </w:numPr>
        <w:suppressAutoHyphens/>
        <w:spacing w:line="240" w:lineRule="auto"/>
        <w:rPr>
          <w:caps/>
        </w:rPr>
      </w:pPr>
      <w:r w:rsidRPr="00757273">
        <w:rPr>
          <w:b/>
        </w:rPr>
        <w:t>LIEKOVÁ FORMA</w:t>
      </w:r>
    </w:p>
    <w:p w:rsidR="00812D16" w:rsidRPr="00757273" w:rsidRDefault="00812D16" w:rsidP="00293EFF">
      <w:pPr>
        <w:keepNext/>
        <w:spacing w:line="240" w:lineRule="auto"/>
      </w:pPr>
    </w:p>
    <w:p w:rsidR="00E56BE0" w:rsidRPr="00757273" w:rsidRDefault="00E56BE0" w:rsidP="002B7B74">
      <w:pPr>
        <w:spacing w:line="240" w:lineRule="auto"/>
        <w:ind w:left="3" w:right="14"/>
      </w:pPr>
      <w:r w:rsidRPr="00757273">
        <w:t>Fi</w:t>
      </w:r>
      <w:r w:rsidR="004A5B2D" w:rsidRPr="00757273">
        <w:t>lmom obalená tableta (tableta).</w:t>
      </w:r>
    </w:p>
    <w:p w:rsidR="00E56BE0" w:rsidRPr="00757273" w:rsidRDefault="00E56BE0" w:rsidP="002B7B74">
      <w:pPr>
        <w:spacing w:line="240" w:lineRule="auto"/>
        <w:ind w:left="7"/>
      </w:pPr>
    </w:p>
    <w:p w:rsidR="00812D16" w:rsidRPr="00757273" w:rsidRDefault="004A5B2D" w:rsidP="002B7B74">
      <w:pPr>
        <w:spacing w:line="240" w:lineRule="auto"/>
      </w:pPr>
      <w:r w:rsidRPr="00757273">
        <w:t>Biela</w:t>
      </w:r>
      <w:r w:rsidR="00E56BE0" w:rsidRPr="00757273">
        <w:t xml:space="preserve">, </w:t>
      </w:r>
      <w:r w:rsidRPr="00757273">
        <w:t xml:space="preserve">pozdĺžna, bikonvexná, </w:t>
      </w:r>
      <w:r w:rsidR="00E56BE0" w:rsidRPr="00757273">
        <w:t>filmom obalen</w:t>
      </w:r>
      <w:r w:rsidRPr="00757273">
        <w:t>á</w:t>
      </w:r>
      <w:r w:rsidR="00E56BE0" w:rsidRPr="00757273">
        <w:t xml:space="preserve"> </w:t>
      </w:r>
      <w:r w:rsidRPr="00757273">
        <w:t>tableta (približne 20,8 mm x 9,2 mm)</w:t>
      </w:r>
      <w:r w:rsidR="00E56BE0" w:rsidRPr="00757273">
        <w:t xml:space="preserve"> </w:t>
      </w:r>
      <w:r w:rsidR="00E56BE0" w:rsidRPr="006C1AD3">
        <w:t>s</w:t>
      </w:r>
      <w:r w:rsidRPr="006C1AD3">
        <w:t> </w:t>
      </w:r>
      <w:r w:rsidR="00E56BE0" w:rsidRPr="006C1AD3">
        <w:t>označením</w:t>
      </w:r>
      <w:r w:rsidR="00E56BE0" w:rsidRPr="00757273">
        <w:t xml:space="preserve"> </w:t>
      </w:r>
      <w:r w:rsidRPr="00757273">
        <w:t>„AL12“</w:t>
      </w:r>
      <w:r w:rsidR="00E56BE0" w:rsidRPr="00757273">
        <w:t xml:space="preserve"> na jednej strane</w:t>
      </w:r>
      <w:r w:rsidRPr="00757273">
        <w:t xml:space="preserve"> a „M“ na druhej strane</w:t>
      </w:r>
      <w:r w:rsidR="00E56BE0" w:rsidRPr="00757273">
        <w:t>.</w:t>
      </w:r>
    </w:p>
    <w:p w:rsidR="00812D16" w:rsidRPr="00757273" w:rsidRDefault="00812D16" w:rsidP="002B7B74">
      <w:pPr>
        <w:spacing w:line="240" w:lineRule="auto"/>
      </w:pPr>
    </w:p>
    <w:p w:rsidR="00E56BE0" w:rsidRPr="00757273" w:rsidRDefault="00E56BE0" w:rsidP="002B7B74">
      <w:pPr>
        <w:spacing w:line="240" w:lineRule="auto"/>
      </w:pPr>
    </w:p>
    <w:p w:rsidR="00812D16" w:rsidRPr="00757273" w:rsidRDefault="00812D16" w:rsidP="002B7B74">
      <w:pPr>
        <w:keepNext/>
        <w:numPr>
          <w:ilvl w:val="0"/>
          <w:numId w:val="2"/>
        </w:numPr>
        <w:suppressAutoHyphens/>
        <w:spacing w:line="240" w:lineRule="auto"/>
        <w:rPr>
          <w:caps/>
        </w:rPr>
      </w:pPr>
      <w:r w:rsidRPr="00757273">
        <w:rPr>
          <w:b/>
        </w:rPr>
        <w:t>KLINICKÉ ÚDAJE</w:t>
      </w:r>
    </w:p>
    <w:p w:rsidR="00812D16" w:rsidRPr="00757273" w:rsidRDefault="00812D16" w:rsidP="002B7B74">
      <w:pPr>
        <w:keepNext/>
        <w:spacing w:line="240" w:lineRule="auto"/>
      </w:pPr>
    </w:p>
    <w:p w:rsidR="00812D16" w:rsidRPr="00757273" w:rsidRDefault="00812D16" w:rsidP="002B7B74">
      <w:pPr>
        <w:keepNext/>
        <w:numPr>
          <w:ilvl w:val="1"/>
          <w:numId w:val="2"/>
        </w:numPr>
        <w:spacing w:line="240" w:lineRule="auto"/>
      </w:pPr>
      <w:r w:rsidRPr="00757273">
        <w:rPr>
          <w:b/>
        </w:rPr>
        <w:t>Terapeutické indikácie</w:t>
      </w:r>
    </w:p>
    <w:p w:rsidR="00812D16" w:rsidRPr="00757273" w:rsidRDefault="00812D16" w:rsidP="002B7B74">
      <w:pPr>
        <w:spacing w:line="240" w:lineRule="auto"/>
      </w:pPr>
    </w:p>
    <w:p w:rsidR="00E56BE0" w:rsidRPr="00757273" w:rsidRDefault="004A5B2D" w:rsidP="002B7B74">
      <w:pPr>
        <w:spacing w:line="240" w:lineRule="auto"/>
      </w:pPr>
      <w:r w:rsidRPr="006C1AD3">
        <w:t>Abakavir/</w:t>
      </w:r>
      <w:r w:rsidR="00172B3E" w:rsidRPr="006C1AD3">
        <w:t>l</w:t>
      </w:r>
      <w:r w:rsidRPr="006C1AD3">
        <w:t>amivudín</w:t>
      </w:r>
      <w:r w:rsidR="00E56BE0" w:rsidRPr="00757273">
        <w:t xml:space="preserve"> je indikovan</w:t>
      </w:r>
      <w:r w:rsidR="00660552" w:rsidRPr="00757273">
        <w:t>ý</w:t>
      </w:r>
      <w:r w:rsidR="00E56BE0" w:rsidRPr="00757273">
        <w:t xml:space="preserve"> v</w:t>
      </w:r>
      <w:r w:rsidR="00660552" w:rsidRPr="00757273">
        <w:t> </w:t>
      </w:r>
      <w:r w:rsidR="00E56BE0" w:rsidRPr="00757273">
        <w:t>kombinovanej antiretrovírusovej terapii na liečbu dospelých, dospievajúcich a</w:t>
      </w:r>
      <w:r w:rsidR="00660552" w:rsidRPr="00757273">
        <w:t> </w:t>
      </w:r>
      <w:r w:rsidR="00E56BE0" w:rsidRPr="00757273">
        <w:t>detí vážiacich aspoň 25</w:t>
      </w:r>
      <w:r w:rsidR="00660552" w:rsidRPr="00757273">
        <w:t> </w:t>
      </w:r>
      <w:r w:rsidR="00E56BE0" w:rsidRPr="00757273">
        <w:t>kg, ktorí sú infikovaní vírusom ľudskej imunodeficiencie (HIV) (pozri časti</w:t>
      </w:r>
      <w:r w:rsidR="00660552" w:rsidRPr="00757273">
        <w:t> </w:t>
      </w:r>
      <w:r w:rsidR="00E56BE0" w:rsidRPr="00757273">
        <w:t>4.4 a</w:t>
      </w:r>
      <w:r w:rsidR="00660552" w:rsidRPr="00757273">
        <w:t> </w:t>
      </w:r>
      <w:r w:rsidR="00E56BE0" w:rsidRPr="00757273">
        <w:t>5.1).</w:t>
      </w:r>
    </w:p>
    <w:p w:rsidR="00E56BE0" w:rsidRPr="00757273" w:rsidRDefault="00E56BE0" w:rsidP="002B7B74">
      <w:pPr>
        <w:spacing w:line="240" w:lineRule="auto"/>
      </w:pPr>
    </w:p>
    <w:p w:rsidR="00812D16" w:rsidRPr="00757273" w:rsidRDefault="00E56BE0" w:rsidP="002B7B74">
      <w:pPr>
        <w:spacing w:line="240" w:lineRule="auto"/>
      </w:pPr>
      <w:r w:rsidRPr="00757273">
        <w:t>Pred začiatkom liečby abakavirom sa má vykonať vyšetrenie na nosičstvo alely HLA-B*5701 u</w:t>
      </w:r>
      <w:r w:rsidR="00660552" w:rsidRPr="00757273">
        <w:t> </w:t>
      </w:r>
      <w:r w:rsidRPr="00757273">
        <w:t>všetkých HIV-infikovaných pacientov, a to bez ohľadu na rasový pôvod (pozri časť</w:t>
      </w:r>
      <w:r w:rsidR="00660552" w:rsidRPr="00757273">
        <w:t> </w:t>
      </w:r>
      <w:r w:rsidRPr="00757273">
        <w:t>4.4). Abakavir sa nemá používať u</w:t>
      </w:r>
      <w:r w:rsidR="00660552" w:rsidRPr="00757273">
        <w:t> </w:t>
      </w:r>
      <w:r w:rsidRPr="00757273">
        <w:t>pacientov, u</w:t>
      </w:r>
      <w:r w:rsidR="00660552" w:rsidRPr="00757273">
        <w:t> </w:t>
      </w:r>
      <w:r w:rsidRPr="00757273">
        <w:t>ktorých je potvrdené nosičstvo alely HLA-B*5701.</w:t>
      </w:r>
    </w:p>
    <w:p w:rsidR="00812D16" w:rsidRPr="00757273" w:rsidRDefault="00812D16" w:rsidP="002B7B74">
      <w:pPr>
        <w:spacing w:line="240" w:lineRule="auto"/>
      </w:pPr>
    </w:p>
    <w:p w:rsidR="00812D16" w:rsidRPr="00757273" w:rsidRDefault="00812D16" w:rsidP="002B7B74">
      <w:pPr>
        <w:keepNext/>
        <w:numPr>
          <w:ilvl w:val="1"/>
          <w:numId w:val="2"/>
        </w:numPr>
        <w:spacing w:line="240" w:lineRule="auto"/>
        <w:rPr>
          <w:b/>
        </w:rPr>
      </w:pPr>
      <w:r w:rsidRPr="00757273">
        <w:rPr>
          <w:b/>
        </w:rPr>
        <w:t>Dávkovanie a spôsob podávania</w:t>
      </w:r>
    </w:p>
    <w:p w:rsidR="00812D16" w:rsidRPr="00757273" w:rsidRDefault="00812D16" w:rsidP="00293EFF">
      <w:pPr>
        <w:keepNext/>
        <w:spacing w:line="240" w:lineRule="auto"/>
      </w:pPr>
    </w:p>
    <w:p w:rsidR="00E56BE0" w:rsidRPr="00757273" w:rsidRDefault="00E56BE0" w:rsidP="002B7B74">
      <w:pPr>
        <w:spacing w:line="240" w:lineRule="auto"/>
      </w:pPr>
      <w:r w:rsidRPr="00757273">
        <w:t>Terapiu má predpísať lekár, ktorý má skúsenosti v</w:t>
      </w:r>
      <w:r w:rsidR="00275D4A">
        <w:t> </w:t>
      </w:r>
      <w:r w:rsidRPr="00757273">
        <w:t>liečení HIV infekcie.</w:t>
      </w:r>
    </w:p>
    <w:p w:rsidR="00660552" w:rsidRPr="00757273" w:rsidRDefault="00660552" w:rsidP="002B7B74">
      <w:pPr>
        <w:spacing w:line="240" w:lineRule="auto"/>
      </w:pPr>
    </w:p>
    <w:p w:rsidR="00E56BE0" w:rsidRPr="00757273" w:rsidRDefault="00E56BE0" w:rsidP="002B7B74">
      <w:pPr>
        <w:pStyle w:val="Nadpis2"/>
        <w:spacing w:after="0" w:line="240" w:lineRule="auto"/>
        <w:ind w:left="2"/>
      </w:pPr>
      <w:r w:rsidRPr="00757273">
        <w:t>Dávkovanie</w:t>
      </w:r>
    </w:p>
    <w:p w:rsidR="00660552" w:rsidRPr="00757273" w:rsidRDefault="00660552" w:rsidP="00293EFF">
      <w:pPr>
        <w:keepNext/>
        <w:spacing w:line="240" w:lineRule="auto"/>
      </w:pPr>
    </w:p>
    <w:p w:rsidR="00E56BE0" w:rsidRPr="00757273" w:rsidRDefault="00E56BE0" w:rsidP="002B7B74">
      <w:pPr>
        <w:spacing w:line="240" w:lineRule="auto"/>
        <w:rPr>
          <w:i/>
        </w:rPr>
      </w:pPr>
      <w:r w:rsidRPr="00757273">
        <w:rPr>
          <w:i/>
        </w:rPr>
        <w:t>Dospelí, dospievaj</w:t>
      </w:r>
      <w:r w:rsidR="00660552" w:rsidRPr="00757273">
        <w:rPr>
          <w:i/>
        </w:rPr>
        <w:t>úci a deti vážiace aspoň 25 kg</w:t>
      </w:r>
    </w:p>
    <w:p w:rsidR="00E56BE0" w:rsidRPr="00757273" w:rsidRDefault="00E56BE0" w:rsidP="002B7B74">
      <w:pPr>
        <w:spacing w:line="240" w:lineRule="auto"/>
      </w:pPr>
    </w:p>
    <w:p w:rsidR="00E56BE0" w:rsidRPr="00757273" w:rsidRDefault="00E56BE0" w:rsidP="002B7B74">
      <w:pPr>
        <w:spacing w:line="240" w:lineRule="auto"/>
      </w:pPr>
      <w:r w:rsidRPr="00757273">
        <w:t xml:space="preserve">Odporúčaná dávka </w:t>
      </w:r>
      <w:r w:rsidR="00660552" w:rsidRPr="00757273">
        <w:t>abakaviru/lamivudínu</w:t>
      </w:r>
      <w:r w:rsidRPr="00757273">
        <w:t xml:space="preserve"> je</w:t>
      </w:r>
      <w:r w:rsidR="00660552" w:rsidRPr="00757273">
        <w:t xml:space="preserve"> jedna tableta jedenkrát denne.</w:t>
      </w:r>
    </w:p>
    <w:p w:rsidR="00E56BE0" w:rsidRPr="00757273" w:rsidRDefault="00E56BE0" w:rsidP="002B7B74">
      <w:pPr>
        <w:spacing w:line="240" w:lineRule="auto"/>
      </w:pPr>
    </w:p>
    <w:p w:rsidR="00E56BE0" w:rsidRPr="00757273" w:rsidRDefault="00660552" w:rsidP="002B7B74">
      <w:pPr>
        <w:spacing w:line="240" w:lineRule="auto"/>
        <w:rPr>
          <w:i/>
        </w:rPr>
      </w:pPr>
      <w:r w:rsidRPr="00757273">
        <w:rPr>
          <w:i/>
        </w:rPr>
        <w:t>Deti vážiace menej ako 25 kg</w:t>
      </w:r>
    </w:p>
    <w:p w:rsidR="00660552" w:rsidRPr="00757273" w:rsidRDefault="00660552" w:rsidP="002B7B74">
      <w:pPr>
        <w:spacing w:line="240" w:lineRule="auto"/>
      </w:pPr>
    </w:p>
    <w:p w:rsidR="00E56BE0" w:rsidRPr="00757273" w:rsidRDefault="004A5B2D" w:rsidP="002B7B74">
      <w:pPr>
        <w:spacing w:line="240" w:lineRule="auto"/>
      </w:pPr>
      <w:r w:rsidRPr="00757273">
        <w:t>Abakavir/Lamivudín Vale</w:t>
      </w:r>
      <w:r w:rsidR="00E56BE0" w:rsidRPr="00757273">
        <w:t xml:space="preserve"> sa nemá podávať deťom, ktoré vážia menej ako 25</w:t>
      </w:r>
      <w:r w:rsidR="00660552" w:rsidRPr="00757273">
        <w:t> </w:t>
      </w:r>
      <w:r w:rsidR="00E56BE0" w:rsidRPr="00757273">
        <w:t>kg, pretože je to tableta s</w:t>
      </w:r>
      <w:r w:rsidR="00660552" w:rsidRPr="00757273">
        <w:t> </w:t>
      </w:r>
      <w:r w:rsidR="00E56BE0" w:rsidRPr="00757273">
        <w:t>fixnou dávkou, kt</w:t>
      </w:r>
      <w:r w:rsidR="00660552" w:rsidRPr="00757273">
        <w:t>orej dávku nie je možné znížiť.</w:t>
      </w:r>
    </w:p>
    <w:p w:rsidR="00E56BE0" w:rsidRPr="00757273" w:rsidRDefault="00E56BE0" w:rsidP="002B7B74">
      <w:pPr>
        <w:spacing w:line="240" w:lineRule="auto"/>
      </w:pPr>
    </w:p>
    <w:p w:rsidR="00E56BE0" w:rsidRPr="00757273" w:rsidRDefault="004A5B2D" w:rsidP="002B7B74">
      <w:pPr>
        <w:spacing w:line="240" w:lineRule="auto"/>
      </w:pPr>
      <w:r w:rsidRPr="00757273">
        <w:t>Abakavir/Lamivudín Vale</w:t>
      </w:r>
      <w:r w:rsidR="00E56BE0" w:rsidRPr="00757273">
        <w:t xml:space="preserve"> je tableta s</w:t>
      </w:r>
      <w:r w:rsidR="00660552" w:rsidRPr="00757273">
        <w:t> </w:t>
      </w:r>
      <w:r w:rsidR="00E56BE0" w:rsidRPr="00757273">
        <w:t>fixnou dávkou a</w:t>
      </w:r>
      <w:r w:rsidR="002B2BE6" w:rsidRPr="00757273">
        <w:t> </w:t>
      </w:r>
      <w:r w:rsidR="00E56BE0" w:rsidRPr="00757273">
        <w:t xml:space="preserve">nemá sa predpisovať pacientom, </w:t>
      </w:r>
      <w:r w:rsidR="00660552" w:rsidRPr="00757273">
        <w:t>ktorí si vyžadujú úpravy dávky.</w:t>
      </w:r>
    </w:p>
    <w:p w:rsidR="00E56BE0" w:rsidRPr="00757273" w:rsidRDefault="00E56BE0" w:rsidP="002B7B74">
      <w:pPr>
        <w:spacing w:line="240" w:lineRule="auto"/>
      </w:pPr>
      <w:r w:rsidRPr="00757273">
        <w:lastRenderedPageBreak/>
        <w:t>Pre prípady, v</w:t>
      </w:r>
      <w:r w:rsidR="00660552" w:rsidRPr="00757273">
        <w:t> </w:t>
      </w:r>
      <w:r w:rsidRPr="00757273">
        <w:t>ktorých je indikované prerušenie podávania alebo úprava dávky jedného z</w:t>
      </w:r>
      <w:r w:rsidR="00660552" w:rsidRPr="00757273">
        <w:t> </w:t>
      </w:r>
      <w:r w:rsidRPr="00757273">
        <w:t>liečiv, sú k</w:t>
      </w:r>
      <w:r w:rsidR="00660552" w:rsidRPr="00757273">
        <w:t> </w:t>
      </w:r>
      <w:r w:rsidRPr="00757273">
        <w:t>dispozícii prípravky obsahujúce samostatné liečivá abakavir alebo lamivudín. V</w:t>
      </w:r>
      <w:r w:rsidR="00660552" w:rsidRPr="00757273">
        <w:t> </w:t>
      </w:r>
      <w:r w:rsidRPr="00757273">
        <w:t xml:space="preserve">týchto prípadoch sa má lekár riadiť </w:t>
      </w:r>
      <w:r w:rsidRPr="006C1AD3">
        <w:t>jednotlivým</w:t>
      </w:r>
      <w:r w:rsidR="00660552" w:rsidRPr="006C1AD3">
        <w:t xml:space="preserve">i </w:t>
      </w:r>
      <w:r w:rsidR="00603BAA" w:rsidRPr="00042751">
        <w:t xml:space="preserve">produktovými </w:t>
      </w:r>
      <w:r w:rsidR="00660552" w:rsidRPr="006C1AD3">
        <w:t>informáciami</w:t>
      </w:r>
      <w:r w:rsidR="00660552" w:rsidRPr="00757273">
        <w:t xml:space="preserve"> pre tieto lieky.</w:t>
      </w:r>
    </w:p>
    <w:p w:rsidR="00E56BE0" w:rsidRPr="00757273" w:rsidRDefault="00E56BE0" w:rsidP="002B7B74">
      <w:pPr>
        <w:spacing w:line="240" w:lineRule="auto"/>
      </w:pPr>
    </w:p>
    <w:p w:rsidR="00E56BE0" w:rsidRPr="00757273" w:rsidRDefault="00660552" w:rsidP="002B7B74">
      <w:pPr>
        <w:spacing w:line="240" w:lineRule="auto"/>
        <w:rPr>
          <w:i/>
        </w:rPr>
      </w:pPr>
      <w:r w:rsidRPr="00757273">
        <w:rPr>
          <w:i/>
        </w:rPr>
        <w:t>Osobitné skupiny pacientov</w:t>
      </w:r>
    </w:p>
    <w:p w:rsidR="00E56BE0" w:rsidRPr="00757273" w:rsidRDefault="00E56BE0" w:rsidP="002B7B74">
      <w:pPr>
        <w:spacing w:line="240" w:lineRule="auto"/>
      </w:pPr>
    </w:p>
    <w:p w:rsidR="00E56BE0" w:rsidRPr="00757273" w:rsidRDefault="002B2BE6" w:rsidP="00293EFF">
      <w:pPr>
        <w:keepNext/>
        <w:spacing w:line="240" w:lineRule="auto"/>
        <w:rPr>
          <w:i/>
        </w:rPr>
      </w:pPr>
      <w:r w:rsidRPr="00757273">
        <w:rPr>
          <w:i/>
        </w:rPr>
        <w:t>Starš</w:t>
      </w:r>
      <w:r w:rsidR="00AD3409">
        <w:rPr>
          <w:i/>
        </w:rPr>
        <w:t>í pacienti</w:t>
      </w:r>
    </w:p>
    <w:p w:rsidR="00E56BE0" w:rsidRPr="00757273" w:rsidRDefault="00E56BE0" w:rsidP="002B7B74">
      <w:pPr>
        <w:spacing w:line="240" w:lineRule="auto"/>
      </w:pPr>
      <w:r w:rsidRPr="00757273">
        <w:t>V</w:t>
      </w:r>
      <w:r w:rsidR="002B2BE6" w:rsidRPr="00757273">
        <w:t> </w:t>
      </w:r>
      <w:r w:rsidRPr="00757273">
        <w:t>súčasnosti nie sú k</w:t>
      </w:r>
      <w:r w:rsidR="002B2BE6" w:rsidRPr="00757273">
        <w:t> </w:t>
      </w:r>
      <w:r w:rsidRPr="00757273">
        <w:t>dispozícii žiadne farmakokinetické údaje u</w:t>
      </w:r>
      <w:r w:rsidR="002B2BE6" w:rsidRPr="00757273">
        <w:t> </w:t>
      </w:r>
      <w:r w:rsidRPr="00757273">
        <w:t>pacientov starších ako 65</w:t>
      </w:r>
      <w:r w:rsidR="002B2BE6" w:rsidRPr="00757273">
        <w:t> rokov.</w:t>
      </w:r>
    </w:p>
    <w:p w:rsidR="00E56BE0" w:rsidRPr="00757273" w:rsidRDefault="00E56BE0" w:rsidP="002B7B74">
      <w:pPr>
        <w:spacing w:line="240" w:lineRule="auto"/>
      </w:pPr>
      <w:r w:rsidRPr="00757273">
        <w:t>V</w:t>
      </w:r>
      <w:r w:rsidR="002B2BE6" w:rsidRPr="00757273">
        <w:t> </w:t>
      </w:r>
      <w:r w:rsidRPr="00757273">
        <w:t>tejto vekovej skupine sa odporúča osobitná obozretnosť z</w:t>
      </w:r>
      <w:r w:rsidR="002B2BE6" w:rsidRPr="00757273">
        <w:t> </w:t>
      </w:r>
      <w:r w:rsidRPr="00757273">
        <w:t>dôvodu vekom podmienených zmien, akými sú zníženie funkcie obličiek a</w:t>
      </w:r>
      <w:r w:rsidR="002B2BE6" w:rsidRPr="00757273">
        <w:t> </w:t>
      </w:r>
      <w:r w:rsidRPr="00757273">
        <w:t>zm</w:t>
      </w:r>
      <w:r w:rsidR="002B2BE6" w:rsidRPr="00757273">
        <w:t>ena hematologických parametrov.</w:t>
      </w:r>
    </w:p>
    <w:p w:rsidR="00E56BE0" w:rsidRPr="00757273" w:rsidRDefault="00E56BE0" w:rsidP="002B7B74">
      <w:pPr>
        <w:spacing w:line="240" w:lineRule="auto"/>
      </w:pPr>
    </w:p>
    <w:p w:rsidR="00E56BE0" w:rsidRPr="00757273" w:rsidRDefault="002B2BE6" w:rsidP="00293EFF">
      <w:pPr>
        <w:keepNext/>
        <w:spacing w:line="240" w:lineRule="auto"/>
        <w:rPr>
          <w:i/>
        </w:rPr>
      </w:pPr>
      <w:r w:rsidRPr="00757273">
        <w:rPr>
          <w:i/>
        </w:rPr>
        <w:t>Porucha funkcie obličiek</w:t>
      </w:r>
    </w:p>
    <w:p w:rsidR="00E56BE0" w:rsidRPr="00757273" w:rsidRDefault="00E56BE0" w:rsidP="002B7B74">
      <w:pPr>
        <w:spacing w:line="240" w:lineRule="auto"/>
      </w:pPr>
      <w:r w:rsidRPr="00757273">
        <w:t xml:space="preserve">Použitie </w:t>
      </w:r>
      <w:r w:rsidR="002B2BE6" w:rsidRPr="00757273">
        <w:t>abakaviru/lamivudínu</w:t>
      </w:r>
      <w:r w:rsidRPr="00757273">
        <w:t xml:space="preserve"> sa neodporúča u</w:t>
      </w:r>
      <w:r w:rsidR="002B2BE6" w:rsidRPr="00757273">
        <w:t> </w:t>
      </w:r>
      <w:r w:rsidRPr="00757273">
        <w:t>pacientov s</w:t>
      </w:r>
      <w:r w:rsidR="002B2BE6" w:rsidRPr="00757273">
        <w:t> </w:t>
      </w:r>
      <w:r w:rsidRPr="00757273">
        <w:t>klírensom kreatinínu &lt;</w:t>
      </w:r>
      <w:r w:rsidR="002B2BE6" w:rsidRPr="00757273">
        <w:t> </w:t>
      </w:r>
      <w:r w:rsidRPr="00757273">
        <w:t>50</w:t>
      </w:r>
      <w:r w:rsidR="002B2BE6" w:rsidRPr="00757273">
        <w:t> </w:t>
      </w:r>
      <w:r w:rsidRPr="00757273">
        <w:t>ml/min, nakoľko nie je možné vykonať potrebnú úpravu dávky (pozri časť</w:t>
      </w:r>
      <w:r w:rsidR="002B2BE6" w:rsidRPr="00757273">
        <w:t> 5.2).</w:t>
      </w:r>
    </w:p>
    <w:p w:rsidR="00E56BE0" w:rsidRPr="00757273" w:rsidRDefault="00E56BE0" w:rsidP="002B7B74">
      <w:pPr>
        <w:spacing w:line="240" w:lineRule="auto"/>
      </w:pPr>
    </w:p>
    <w:p w:rsidR="00E56BE0" w:rsidRPr="00293EFF" w:rsidRDefault="007B1076" w:rsidP="00293EFF">
      <w:pPr>
        <w:keepNext/>
        <w:spacing w:line="240" w:lineRule="auto"/>
        <w:rPr>
          <w:i/>
        </w:rPr>
      </w:pPr>
      <w:r w:rsidRPr="00293EFF">
        <w:rPr>
          <w:i/>
        </w:rPr>
        <w:t>Porucha funkcie pečene</w:t>
      </w:r>
    </w:p>
    <w:p w:rsidR="00E56BE0" w:rsidRPr="00757273" w:rsidRDefault="00E56BE0" w:rsidP="002B7B74">
      <w:pPr>
        <w:spacing w:line="240" w:lineRule="auto"/>
      </w:pPr>
      <w:r w:rsidRPr="00757273">
        <w:t>Abakavir sa metabolizuje predovšetkým v</w:t>
      </w:r>
      <w:r w:rsidR="007B1076" w:rsidRPr="00757273">
        <w:t> </w:t>
      </w:r>
      <w:r w:rsidRPr="00757273">
        <w:t>pečeni. O</w:t>
      </w:r>
      <w:r w:rsidR="007B1076" w:rsidRPr="00757273">
        <w:t> </w:t>
      </w:r>
      <w:r w:rsidRPr="00757273">
        <w:t xml:space="preserve">pacientoch so stredne ťažkou alebo ťažkou poruchou funkcie pečene </w:t>
      </w:r>
      <w:r w:rsidR="00AD3409">
        <w:t xml:space="preserve">nie sú </w:t>
      </w:r>
      <w:r w:rsidRPr="00757273">
        <w:t>k</w:t>
      </w:r>
      <w:r w:rsidR="007B1076" w:rsidRPr="00757273">
        <w:t> </w:t>
      </w:r>
      <w:r w:rsidRPr="00757273">
        <w:t>dispozícii</w:t>
      </w:r>
      <w:r w:rsidR="007B1076" w:rsidRPr="00757273">
        <w:t xml:space="preserve"> </w:t>
      </w:r>
      <w:r w:rsidRPr="00757273">
        <w:t xml:space="preserve">žiadne klinické údaje, a preto sa používanie </w:t>
      </w:r>
      <w:r w:rsidR="007B1076" w:rsidRPr="00757273">
        <w:t>abakaviru/lamivudínu</w:t>
      </w:r>
      <w:r w:rsidRPr="00757273">
        <w:t xml:space="preserve"> neodporúča, pokiaľ to nie je považované za nevyhnutné. U</w:t>
      </w:r>
      <w:r w:rsidR="007B1076" w:rsidRPr="00757273">
        <w:t> </w:t>
      </w:r>
      <w:r w:rsidRPr="00757273">
        <w:t>pacientov s</w:t>
      </w:r>
      <w:r w:rsidR="007B1076" w:rsidRPr="00757273">
        <w:t> </w:t>
      </w:r>
      <w:r w:rsidRPr="00757273">
        <w:t>ľahkou poruchou funkcie pečene (skóre 5 - 6 podľa Childovej-Pughovej klasifikácie) je potrebné pozorné sledovanie zahŕňajúce sledovanie plazmatických hladín abakaviru, ak je to možné (pozri časti</w:t>
      </w:r>
      <w:r w:rsidR="007B1076" w:rsidRPr="00757273">
        <w:t> </w:t>
      </w:r>
      <w:r w:rsidRPr="00757273">
        <w:t>4.4 a</w:t>
      </w:r>
      <w:r w:rsidR="007B1076" w:rsidRPr="00757273">
        <w:t> 5.2).</w:t>
      </w:r>
    </w:p>
    <w:p w:rsidR="00E56BE0" w:rsidRPr="00757273" w:rsidRDefault="00E56BE0" w:rsidP="002B7B74">
      <w:pPr>
        <w:spacing w:line="240" w:lineRule="auto"/>
      </w:pPr>
    </w:p>
    <w:p w:rsidR="00E56BE0" w:rsidRPr="00757273" w:rsidRDefault="00874381" w:rsidP="00293EFF">
      <w:pPr>
        <w:keepNext/>
        <w:spacing w:line="240" w:lineRule="auto"/>
        <w:rPr>
          <w:i/>
        </w:rPr>
      </w:pPr>
      <w:r w:rsidRPr="00757273">
        <w:rPr>
          <w:i/>
        </w:rPr>
        <w:t>Pediatrická populácia</w:t>
      </w:r>
    </w:p>
    <w:p w:rsidR="00E56BE0" w:rsidRPr="00757273" w:rsidRDefault="00E56BE0" w:rsidP="002B7B74">
      <w:pPr>
        <w:spacing w:line="240" w:lineRule="auto"/>
      </w:pPr>
      <w:r w:rsidRPr="00757273">
        <w:t>Bezpečnosť a</w:t>
      </w:r>
      <w:r w:rsidR="007B1076" w:rsidRPr="00757273">
        <w:t> </w:t>
      </w:r>
      <w:r w:rsidRPr="00757273">
        <w:t xml:space="preserve">účinnosť </w:t>
      </w:r>
      <w:r w:rsidR="007B1076" w:rsidRPr="00757273">
        <w:t>abakaviru/lamivudínu</w:t>
      </w:r>
      <w:r w:rsidRPr="00757273">
        <w:t xml:space="preserve"> u</w:t>
      </w:r>
      <w:r w:rsidR="007B1076" w:rsidRPr="00757273">
        <w:t> </w:t>
      </w:r>
      <w:r w:rsidRPr="00757273">
        <w:t>detí vážiacich menej ako 25</w:t>
      </w:r>
      <w:r w:rsidR="007B1076" w:rsidRPr="00757273">
        <w:t> </w:t>
      </w:r>
      <w:r w:rsidRPr="00757273">
        <w:t>kg neboli stanovené.</w:t>
      </w:r>
    </w:p>
    <w:p w:rsidR="00E56BE0" w:rsidRPr="00757273" w:rsidRDefault="00E56BE0" w:rsidP="002B7B74">
      <w:pPr>
        <w:spacing w:line="240" w:lineRule="auto"/>
      </w:pPr>
    </w:p>
    <w:p w:rsidR="00E56BE0" w:rsidRPr="00757273" w:rsidRDefault="00E56BE0" w:rsidP="002B7B74">
      <w:pPr>
        <w:spacing w:line="240" w:lineRule="auto"/>
      </w:pPr>
      <w:r w:rsidRPr="00757273">
        <w:t>V</w:t>
      </w:r>
      <w:r w:rsidR="007B1076" w:rsidRPr="00757273">
        <w:t> </w:t>
      </w:r>
      <w:r w:rsidRPr="00757273">
        <w:t>súčasnosti dostupné údaje sú opísané v</w:t>
      </w:r>
      <w:r w:rsidR="00874381" w:rsidRPr="00757273">
        <w:t> </w:t>
      </w:r>
      <w:r w:rsidRPr="00757273">
        <w:t>časti 4.8, 5.1 a 5.2, ale neumožňujú uv</w:t>
      </w:r>
      <w:r w:rsidR="00874381" w:rsidRPr="00757273">
        <w:t>iesť odporúčania na</w:t>
      </w:r>
      <w:r w:rsidR="00B423BE">
        <w:t> </w:t>
      </w:r>
      <w:r w:rsidR="00874381" w:rsidRPr="00757273">
        <w:t>dávkovanie.</w:t>
      </w:r>
    </w:p>
    <w:p w:rsidR="00E56BE0" w:rsidRPr="00757273" w:rsidRDefault="00E56BE0" w:rsidP="002B7B74">
      <w:pPr>
        <w:spacing w:line="240" w:lineRule="auto"/>
      </w:pPr>
    </w:p>
    <w:p w:rsidR="00E56BE0" w:rsidRPr="00757273" w:rsidRDefault="00E56BE0" w:rsidP="002B7B74">
      <w:pPr>
        <w:pStyle w:val="Nadpis2"/>
        <w:spacing w:after="0" w:line="240" w:lineRule="auto"/>
        <w:ind w:left="2"/>
      </w:pPr>
      <w:r w:rsidRPr="00757273">
        <w:t>Spôsob podávania</w:t>
      </w:r>
    </w:p>
    <w:p w:rsidR="00E56BE0" w:rsidRPr="00757273" w:rsidRDefault="00E56BE0" w:rsidP="002B7B74">
      <w:pPr>
        <w:spacing w:line="240" w:lineRule="auto"/>
        <w:ind w:left="7"/>
      </w:pPr>
    </w:p>
    <w:p w:rsidR="00E56BE0" w:rsidRPr="00757273" w:rsidRDefault="00E56BE0" w:rsidP="002B7B74">
      <w:pPr>
        <w:spacing w:line="240" w:lineRule="auto"/>
        <w:ind w:left="3" w:right="14"/>
      </w:pPr>
      <w:r w:rsidRPr="00757273">
        <w:t>Peror</w:t>
      </w:r>
      <w:r w:rsidR="00874381" w:rsidRPr="00757273">
        <w:t>álne použitie.</w:t>
      </w:r>
    </w:p>
    <w:p w:rsidR="00E56BE0" w:rsidRPr="00757273" w:rsidRDefault="00E56BE0" w:rsidP="002B7B74">
      <w:pPr>
        <w:spacing w:line="240" w:lineRule="auto"/>
        <w:ind w:left="7"/>
      </w:pPr>
    </w:p>
    <w:p w:rsidR="00812D16" w:rsidRPr="00757273" w:rsidRDefault="004A5B2D" w:rsidP="002B7B74">
      <w:pPr>
        <w:autoSpaceDE w:val="0"/>
        <w:autoSpaceDN w:val="0"/>
        <w:adjustRightInd w:val="0"/>
        <w:spacing w:line="240" w:lineRule="auto"/>
      </w:pPr>
      <w:r w:rsidRPr="006C1AD3">
        <w:t>Abakavir/</w:t>
      </w:r>
      <w:r w:rsidR="001513ED" w:rsidRPr="006C1AD3">
        <w:t>l</w:t>
      </w:r>
      <w:r w:rsidRPr="006C1AD3">
        <w:t>amivudín</w:t>
      </w:r>
      <w:r w:rsidR="00E56BE0" w:rsidRPr="006C1AD3">
        <w:t xml:space="preserve"> sa</w:t>
      </w:r>
      <w:r w:rsidR="00E56BE0" w:rsidRPr="00757273">
        <w:t xml:space="preserve"> môže užívať s</w:t>
      </w:r>
      <w:r w:rsidR="00874381" w:rsidRPr="00757273">
        <w:t> </w:t>
      </w:r>
      <w:r w:rsidR="00E56BE0" w:rsidRPr="00757273">
        <w:t>jedlom alebo bez jedla.</w:t>
      </w:r>
    </w:p>
    <w:p w:rsidR="00812D16" w:rsidRPr="00757273" w:rsidRDefault="00812D16" w:rsidP="002B7B74">
      <w:pPr>
        <w:spacing w:line="240" w:lineRule="auto"/>
      </w:pPr>
    </w:p>
    <w:p w:rsidR="00812D16" w:rsidRPr="00757273" w:rsidRDefault="00812D16" w:rsidP="002B7B74">
      <w:pPr>
        <w:keepNext/>
        <w:numPr>
          <w:ilvl w:val="1"/>
          <w:numId w:val="2"/>
        </w:numPr>
        <w:spacing w:line="240" w:lineRule="auto"/>
      </w:pPr>
      <w:r w:rsidRPr="00757273">
        <w:rPr>
          <w:b/>
        </w:rPr>
        <w:t>Kontraindikácie</w:t>
      </w:r>
    </w:p>
    <w:p w:rsidR="00812D16" w:rsidRPr="00757273" w:rsidRDefault="00812D16" w:rsidP="002B7B74">
      <w:pPr>
        <w:keepNext/>
        <w:spacing w:line="240" w:lineRule="auto"/>
      </w:pPr>
    </w:p>
    <w:p w:rsidR="00E56BE0" w:rsidRPr="00757273" w:rsidRDefault="00E56BE0" w:rsidP="002B7B74">
      <w:pPr>
        <w:spacing w:line="240" w:lineRule="auto"/>
        <w:ind w:left="3" w:right="259"/>
      </w:pPr>
      <w:r w:rsidRPr="00757273">
        <w:t>Precitlivenosť na liečivá alebo na ktorúkoľvek z</w:t>
      </w:r>
      <w:r w:rsidR="00275D4A">
        <w:t> </w:t>
      </w:r>
      <w:r w:rsidRPr="00757273">
        <w:t>pomocných látok uvedených v</w:t>
      </w:r>
      <w:r w:rsidR="00874381" w:rsidRPr="00757273">
        <w:t> </w:t>
      </w:r>
      <w:r w:rsidRPr="00757273">
        <w:t>časti</w:t>
      </w:r>
      <w:r w:rsidR="00874381" w:rsidRPr="00757273">
        <w:t> </w:t>
      </w:r>
      <w:r w:rsidRPr="00757273">
        <w:t>6.1. Pozr</w:t>
      </w:r>
      <w:r w:rsidR="00874381" w:rsidRPr="00757273">
        <w:t>i časti 4.4 a 4.8.</w:t>
      </w:r>
    </w:p>
    <w:p w:rsidR="00812D16" w:rsidRPr="00757273" w:rsidRDefault="00812D16" w:rsidP="002B7B74">
      <w:pPr>
        <w:spacing w:line="240" w:lineRule="auto"/>
      </w:pPr>
    </w:p>
    <w:p w:rsidR="00812D16" w:rsidRPr="00757273" w:rsidRDefault="00812D16" w:rsidP="002B7B74">
      <w:pPr>
        <w:keepNext/>
        <w:numPr>
          <w:ilvl w:val="1"/>
          <w:numId w:val="2"/>
        </w:numPr>
        <w:spacing w:line="240" w:lineRule="auto"/>
        <w:rPr>
          <w:b/>
        </w:rPr>
      </w:pPr>
      <w:r w:rsidRPr="00757273">
        <w:rPr>
          <w:b/>
        </w:rPr>
        <w:t>Osobitné upozornenia a opatrenia pri používaní</w:t>
      </w:r>
    </w:p>
    <w:p w:rsidR="00812D16" w:rsidRPr="00757273" w:rsidRDefault="00812D16" w:rsidP="002B7B74">
      <w:pPr>
        <w:keepNext/>
        <w:spacing w:line="240" w:lineRule="auto"/>
        <w:ind w:left="567" w:hanging="567"/>
        <w:rPr>
          <w:b/>
        </w:rPr>
      </w:pPr>
    </w:p>
    <w:p w:rsidR="00E56BE0" w:rsidRPr="00757273" w:rsidRDefault="00E56BE0" w:rsidP="002B7B74">
      <w:pPr>
        <w:spacing w:line="240" w:lineRule="auto"/>
        <w:ind w:left="3" w:right="14"/>
      </w:pPr>
      <w:r w:rsidRPr="00757273">
        <w:t>V</w:t>
      </w:r>
      <w:r w:rsidR="00874381" w:rsidRPr="00757273">
        <w:t> </w:t>
      </w:r>
      <w:r w:rsidRPr="00757273">
        <w:t>tejto časti sú uvedené osobitné upozornenia a</w:t>
      </w:r>
      <w:r w:rsidR="00874381" w:rsidRPr="00757273">
        <w:t> </w:t>
      </w:r>
      <w:r w:rsidRPr="00757273">
        <w:t>opatrenia týkajúce sa abakaviru a</w:t>
      </w:r>
      <w:r w:rsidR="00874381" w:rsidRPr="00757273">
        <w:t> </w:t>
      </w:r>
      <w:r w:rsidRPr="00757273">
        <w:t>lamivudínu. Neexistujú žiadne ďalšie opatrenia a</w:t>
      </w:r>
      <w:r w:rsidR="00874381" w:rsidRPr="00757273">
        <w:t> </w:t>
      </w:r>
      <w:r w:rsidRPr="00757273">
        <w:t>upozorneni</w:t>
      </w:r>
      <w:r w:rsidR="001513ED">
        <w:t>a</w:t>
      </w:r>
      <w:r w:rsidRPr="00757273">
        <w:t xml:space="preserve"> týkajúce sa </w:t>
      </w:r>
      <w:r w:rsidR="00874381" w:rsidRPr="00757273">
        <w:t>abakaviru/lamivudínu</w:t>
      </w:r>
      <w:r w:rsidRPr="00757273">
        <w:t>.</w:t>
      </w:r>
    </w:p>
    <w:p w:rsidR="00E56BE0" w:rsidRPr="00757273" w:rsidRDefault="00E56BE0" w:rsidP="002B7B74">
      <w:pPr>
        <w:spacing w:line="240" w:lineRule="auto"/>
        <w:ind w:left="7"/>
      </w:pPr>
    </w:p>
    <w:p w:rsidR="00E56BE0" w:rsidRPr="00757273" w:rsidRDefault="00E56BE0" w:rsidP="002B7B74">
      <w:pPr>
        <w:spacing w:line="240" w:lineRule="auto"/>
        <w:ind w:left="3" w:right="14"/>
      </w:pPr>
      <w:r w:rsidRPr="00757273">
        <w:t>Hoci sa preukázalo, že účinná vírusová supresia dosiahnutá pri antiretrovírusovej terapii značne znižuje riziko prenosu HIV pohlavným stykom, reziduálne riziko nie je možné vylúčiť. Je potrebné prijať opatrenia na zabránenie prenosu HIV v</w:t>
      </w:r>
      <w:r w:rsidR="002635EB" w:rsidRPr="00757273">
        <w:t> </w:t>
      </w:r>
      <w:r w:rsidRPr="00757273">
        <w:t>súlade s</w:t>
      </w:r>
      <w:r w:rsidR="002635EB" w:rsidRPr="00757273">
        <w:t> </w:t>
      </w:r>
      <w:r w:rsidRPr="00757273">
        <w:t>národnými odporúčaniami.</w:t>
      </w:r>
    </w:p>
    <w:p w:rsidR="00E56BE0" w:rsidRPr="00757273" w:rsidRDefault="00E56BE0" w:rsidP="002B7B74">
      <w:pPr>
        <w:spacing w:line="240" w:lineRule="auto"/>
        <w:ind w:left="7"/>
      </w:pPr>
    </w:p>
    <w:tbl>
      <w:tblPr>
        <w:tblStyle w:val="TableGrid"/>
        <w:tblW w:w="9211" w:type="dxa"/>
        <w:tblInd w:w="-101" w:type="dxa"/>
        <w:tblCellMar>
          <w:left w:w="108" w:type="dxa"/>
          <w:right w:w="91" w:type="dxa"/>
        </w:tblCellMar>
        <w:tblLook w:val="04A0"/>
      </w:tblPr>
      <w:tblGrid>
        <w:gridCol w:w="9211"/>
      </w:tblGrid>
      <w:tr w:rsidR="00E56BE0" w:rsidRPr="008563CD" w:rsidTr="00AC11C1">
        <w:trPr>
          <w:trHeight w:val="1123"/>
        </w:trPr>
        <w:tc>
          <w:tcPr>
            <w:tcW w:w="9211"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i/>
              </w:rPr>
              <w:t>Reakcie z</w:t>
            </w:r>
            <w:r w:rsidR="002635EB" w:rsidRPr="009C7651">
              <w:rPr>
                <w:rFonts w:ascii="Times New Roman" w:hAnsi="Times New Roman" w:cs="Times New Roman"/>
                <w:b/>
                <w:i/>
              </w:rPr>
              <w:t> </w:t>
            </w:r>
            <w:r w:rsidRPr="009C7651">
              <w:rPr>
                <w:rFonts w:ascii="Times New Roman" w:hAnsi="Times New Roman" w:cs="Times New Roman"/>
                <w:b/>
                <w:i/>
              </w:rPr>
              <w:t xml:space="preserve">precitlivenosti </w:t>
            </w:r>
            <w:r w:rsidRPr="009C7651">
              <w:rPr>
                <w:rFonts w:ascii="Times New Roman" w:hAnsi="Times New Roman" w:cs="Times New Roman"/>
              </w:rPr>
              <w:t>(pozri tiež časť</w:t>
            </w:r>
            <w:r w:rsidR="002635EB" w:rsidRPr="009C7651">
              <w:rPr>
                <w:rFonts w:ascii="Times New Roman" w:hAnsi="Times New Roman" w:cs="Times New Roman"/>
              </w:rPr>
              <w:t> 4.8)</w:t>
            </w:r>
          </w:p>
          <w:p w:rsidR="00E56BE0" w:rsidRPr="009C7651" w:rsidRDefault="00E56BE0" w:rsidP="002B7B74">
            <w:pPr>
              <w:spacing w:line="240" w:lineRule="auto"/>
              <w:ind w:left="7"/>
              <w:rPr>
                <w:rFonts w:ascii="Times New Roman" w:hAnsi="Times New Roman" w:cs="Times New Roman"/>
              </w:rPr>
            </w:pPr>
          </w:p>
          <w:p w:rsidR="00E56BE0" w:rsidRPr="009C7651" w:rsidRDefault="00E56BE0" w:rsidP="002B7B74">
            <w:pPr>
              <w:spacing w:line="240" w:lineRule="auto"/>
              <w:ind w:left="7"/>
              <w:rPr>
                <w:rFonts w:ascii="Times New Roman" w:hAnsi="Times New Roman" w:cs="Times New Roman"/>
              </w:rPr>
            </w:pPr>
            <w:r w:rsidRPr="009C7651">
              <w:rPr>
                <w:rFonts w:ascii="Times New Roman" w:hAnsi="Times New Roman" w:cs="Times New Roman"/>
              </w:rPr>
              <w:t>Abakavir je spájaný s</w:t>
            </w:r>
            <w:r w:rsidR="002635EB" w:rsidRPr="009C7651">
              <w:rPr>
                <w:rFonts w:ascii="Times New Roman" w:hAnsi="Times New Roman" w:cs="Times New Roman"/>
              </w:rPr>
              <w:t> </w:t>
            </w:r>
            <w:r w:rsidRPr="009C7651">
              <w:rPr>
                <w:rFonts w:ascii="Times New Roman" w:hAnsi="Times New Roman" w:cs="Times New Roman"/>
              </w:rPr>
              <w:t>rizikom reakcií z</w:t>
            </w:r>
            <w:r w:rsidR="002635EB" w:rsidRPr="009C7651">
              <w:rPr>
                <w:rFonts w:ascii="Times New Roman" w:hAnsi="Times New Roman" w:cs="Times New Roman"/>
              </w:rPr>
              <w:t> </w:t>
            </w:r>
            <w:r w:rsidRPr="009C7651">
              <w:rPr>
                <w:rFonts w:ascii="Times New Roman" w:hAnsi="Times New Roman" w:cs="Times New Roman"/>
              </w:rPr>
              <w:t>precitlivenosti (hypersensiti</w:t>
            </w:r>
            <w:r w:rsidR="002635EB" w:rsidRPr="009C7651">
              <w:rPr>
                <w:rFonts w:ascii="Times New Roman" w:hAnsi="Times New Roman" w:cs="Times New Roman"/>
              </w:rPr>
              <w:t>vity reactions, HSR)</w:t>
            </w:r>
          </w:p>
          <w:p w:rsidR="00E56BE0" w:rsidRPr="009C7651" w:rsidRDefault="00E56BE0" w:rsidP="002B7B74">
            <w:pPr>
              <w:spacing w:line="240" w:lineRule="auto"/>
              <w:ind w:left="7"/>
              <w:rPr>
                <w:rFonts w:ascii="Times New Roman" w:hAnsi="Times New Roman" w:cs="Times New Roman"/>
              </w:rPr>
            </w:pPr>
            <w:r w:rsidRPr="009C7651">
              <w:rPr>
                <w:rFonts w:ascii="Times New Roman" w:hAnsi="Times New Roman" w:cs="Times New Roman"/>
              </w:rPr>
              <w:t>(pozri časť</w:t>
            </w:r>
            <w:r w:rsidR="002635EB" w:rsidRPr="009C7651">
              <w:rPr>
                <w:rFonts w:ascii="Times New Roman" w:hAnsi="Times New Roman" w:cs="Times New Roman"/>
              </w:rPr>
              <w:t> </w:t>
            </w:r>
            <w:r w:rsidRPr="009C7651">
              <w:rPr>
                <w:rFonts w:ascii="Times New Roman" w:hAnsi="Times New Roman" w:cs="Times New Roman"/>
              </w:rPr>
              <w:t>4.8) charakterizovaných horúčkou a/alebo vyrážkou s</w:t>
            </w:r>
            <w:r w:rsidR="002635EB" w:rsidRPr="009C7651">
              <w:rPr>
                <w:rFonts w:ascii="Times New Roman" w:hAnsi="Times New Roman" w:cs="Times New Roman"/>
              </w:rPr>
              <w:t> </w:t>
            </w:r>
            <w:r w:rsidRPr="009C7651">
              <w:rPr>
                <w:rFonts w:ascii="Times New Roman" w:hAnsi="Times New Roman" w:cs="Times New Roman"/>
              </w:rPr>
              <w:t>ďalšími príznakmi svedčiacimi o</w:t>
            </w:r>
            <w:r w:rsidR="00D27B9F" w:rsidRPr="009C7651">
              <w:rPr>
                <w:rFonts w:ascii="Times New Roman" w:hAnsi="Times New Roman" w:cs="Times New Roman"/>
              </w:rPr>
              <w:t> </w:t>
            </w:r>
            <w:r w:rsidRPr="009C7651">
              <w:rPr>
                <w:rFonts w:ascii="Times New Roman" w:hAnsi="Times New Roman" w:cs="Times New Roman"/>
              </w:rPr>
              <w:t>multiorgánovom postihnutí. HSR sa pozorovali pri abakavire, pričom niektoré z</w:t>
            </w:r>
            <w:r w:rsidR="00D27B9F" w:rsidRPr="009C7651">
              <w:rPr>
                <w:rFonts w:ascii="Times New Roman" w:hAnsi="Times New Roman" w:cs="Times New Roman"/>
              </w:rPr>
              <w:t> </w:t>
            </w:r>
            <w:r w:rsidRPr="009C7651">
              <w:rPr>
                <w:rFonts w:ascii="Times New Roman" w:hAnsi="Times New Roman" w:cs="Times New Roman"/>
              </w:rPr>
              <w:t>nich boli život ohrozujúce a</w:t>
            </w:r>
            <w:r w:rsidR="00D27B9F" w:rsidRPr="009C7651">
              <w:rPr>
                <w:rFonts w:ascii="Times New Roman" w:hAnsi="Times New Roman" w:cs="Times New Roman"/>
              </w:rPr>
              <w:t> </w:t>
            </w:r>
            <w:r w:rsidRPr="009C7651">
              <w:rPr>
                <w:rFonts w:ascii="Times New Roman" w:hAnsi="Times New Roman" w:cs="Times New Roman"/>
              </w:rPr>
              <w:t>v</w:t>
            </w:r>
            <w:r w:rsidR="00D27B9F" w:rsidRPr="009C7651">
              <w:rPr>
                <w:rFonts w:ascii="Times New Roman" w:hAnsi="Times New Roman" w:cs="Times New Roman"/>
              </w:rPr>
              <w:t> </w:t>
            </w:r>
            <w:r w:rsidRPr="009C7651">
              <w:rPr>
                <w:rFonts w:ascii="Times New Roman" w:hAnsi="Times New Roman" w:cs="Times New Roman"/>
              </w:rPr>
              <w:t>zriedkavých prípadoch smrteľné, keď s</w:t>
            </w:r>
            <w:r w:rsidR="00D27B9F" w:rsidRPr="009C7651">
              <w:rPr>
                <w:rFonts w:ascii="Times New Roman" w:hAnsi="Times New Roman" w:cs="Times New Roman"/>
              </w:rPr>
              <w:t>a náležitým spôsobom neliečili.</w:t>
            </w:r>
          </w:p>
          <w:p w:rsidR="00E56BE0" w:rsidRPr="009C7651" w:rsidRDefault="00E56BE0" w:rsidP="002B7B74">
            <w:pPr>
              <w:spacing w:line="240" w:lineRule="auto"/>
              <w:ind w:left="7"/>
              <w:rPr>
                <w:rFonts w:ascii="Times New Roman" w:hAnsi="Times New Roman" w:cs="Times New Roman"/>
              </w:rPr>
            </w:pPr>
          </w:p>
          <w:p w:rsidR="00E56BE0" w:rsidRPr="009C7651" w:rsidRDefault="00E56BE0" w:rsidP="002B7B74">
            <w:pPr>
              <w:spacing w:line="240" w:lineRule="auto"/>
              <w:ind w:left="7"/>
              <w:rPr>
                <w:rFonts w:ascii="Times New Roman" w:hAnsi="Times New Roman" w:cs="Times New Roman"/>
              </w:rPr>
            </w:pPr>
            <w:r w:rsidRPr="009C7651">
              <w:rPr>
                <w:rFonts w:ascii="Times New Roman" w:hAnsi="Times New Roman" w:cs="Times New Roman"/>
              </w:rPr>
              <w:t>Riziko výskytu HSR na abakavir je vysoké u</w:t>
            </w:r>
            <w:r w:rsidR="00D27B9F" w:rsidRPr="009C7651">
              <w:rPr>
                <w:rFonts w:ascii="Times New Roman" w:hAnsi="Times New Roman" w:cs="Times New Roman"/>
              </w:rPr>
              <w:t> </w:t>
            </w:r>
            <w:r w:rsidRPr="009C7651">
              <w:rPr>
                <w:rFonts w:ascii="Times New Roman" w:hAnsi="Times New Roman" w:cs="Times New Roman"/>
              </w:rPr>
              <w:t xml:space="preserve">pacientov, ktorí majú pozitívny výsledok vyšetrenia </w:t>
            </w:r>
            <w:r w:rsidRPr="009C7651">
              <w:rPr>
                <w:rFonts w:ascii="Times New Roman" w:hAnsi="Times New Roman" w:cs="Times New Roman"/>
              </w:rPr>
              <w:lastRenderedPageBreak/>
              <w:t>na</w:t>
            </w:r>
            <w:r w:rsidR="00B423BE">
              <w:rPr>
                <w:rFonts w:ascii="Times New Roman" w:hAnsi="Times New Roman" w:cs="Times New Roman"/>
              </w:rPr>
              <w:t> </w:t>
            </w:r>
            <w:r w:rsidRPr="009C7651">
              <w:rPr>
                <w:rFonts w:ascii="Times New Roman" w:hAnsi="Times New Roman" w:cs="Times New Roman"/>
              </w:rPr>
              <w:t>prítomnosť alely HLA-B*5701. HSR na abakavir však boli hlásené s</w:t>
            </w:r>
            <w:r w:rsidR="00D27B9F" w:rsidRPr="009C7651">
              <w:rPr>
                <w:rFonts w:ascii="Times New Roman" w:hAnsi="Times New Roman" w:cs="Times New Roman"/>
              </w:rPr>
              <w:t> </w:t>
            </w:r>
            <w:r w:rsidRPr="009C7651">
              <w:rPr>
                <w:rFonts w:ascii="Times New Roman" w:hAnsi="Times New Roman" w:cs="Times New Roman"/>
              </w:rPr>
              <w:t>nízkou frekvenciou aj u</w:t>
            </w:r>
            <w:r w:rsidR="00D27B9F" w:rsidRPr="009C7651">
              <w:rPr>
                <w:rFonts w:ascii="Times New Roman" w:hAnsi="Times New Roman" w:cs="Times New Roman"/>
              </w:rPr>
              <w:t> </w:t>
            </w:r>
            <w:r w:rsidRPr="009C7651">
              <w:rPr>
                <w:rFonts w:ascii="Times New Roman" w:hAnsi="Times New Roman" w:cs="Times New Roman"/>
              </w:rPr>
              <w:t>pacientov, ktorí nie sú no</w:t>
            </w:r>
            <w:r w:rsidR="00D27B9F" w:rsidRPr="009C7651">
              <w:rPr>
                <w:rFonts w:ascii="Times New Roman" w:hAnsi="Times New Roman" w:cs="Times New Roman"/>
              </w:rPr>
              <w:t>sičmi tejto alely.</w:t>
            </w:r>
          </w:p>
          <w:p w:rsidR="00E56BE0" w:rsidRPr="009C7651" w:rsidRDefault="00E56BE0" w:rsidP="002B7B74">
            <w:pPr>
              <w:spacing w:line="240" w:lineRule="auto"/>
              <w:ind w:left="7"/>
              <w:rPr>
                <w:rFonts w:ascii="Times New Roman" w:hAnsi="Times New Roman" w:cs="Times New Roman"/>
              </w:rPr>
            </w:pPr>
          </w:p>
          <w:p w:rsidR="00E56BE0" w:rsidRPr="009C7651" w:rsidRDefault="00E56BE0" w:rsidP="002B7B74">
            <w:pPr>
              <w:spacing w:line="240" w:lineRule="auto"/>
              <w:ind w:left="7"/>
              <w:rPr>
                <w:rFonts w:ascii="Times New Roman" w:hAnsi="Times New Roman" w:cs="Times New Roman"/>
              </w:rPr>
            </w:pPr>
            <w:r w:rsidRPr="009C7651">
              <w:rPr>
                <w:rFonts w:ascii="Times New Roman" w:hAnsi="Times New Roman" w:cs="Times New Roman"/>
              </w:rPr>
              <w:t xml:space="preserve">Preto sa musí dodržiavať nasledujúce: </w:t>
            </w:r>
          </w:p>
          <w:p w:rsidR="00D27B9F" w:rsidRPr="009C7651" w:rsidRDefault="00D27B9F" w:rsidP="002B7B74">
            <w:pPr>
              <w:spacing w:line="240" w:lineRule="auto"/>
              <w:ind w:left="7"/>
              <w:rPr>
                <w:rFonts w:ascii="Times New Roman" w:hAnsi="Times New Roman" w:cs="Times New Roman"/>
              </w:rPr>
            </w:pPr>
          </w:p>
          <w:p w:rsidR="00E56BE0" w:rsidRPr="009C7651" w:rsidRDefault="00E56BE0" w:rsidP="002B7B74">
            <w:pPr>
              <w:numPr>
                <w:ilvl w:val="0"/>
                <w:numId w:val="9"/>
              </w:numPr>
              <w:tabs>
                <w:tab w:val="clear" w:pos="567"/>
              </w:tabs>
              <w:spacing w:line="240" w:lineRule="auto"/>
              <w:ind w:left="557" w:hanging="557"/>
              <w:rPr>
                <w:rFonts w:ascii="Times New Roman" w:hAnsi="Times New Roman" w:cs="Times New Roman"/>
              </w:rPr>
            </w:pPr>
            <w:r w:rsidRPr="009C7651">
              <w:rPr>
                <w:rFonts w:ascii="Times New Roman" w:hAnsi="Times New Roman" w:cs="Times New Roman"/>
              </w:rPr>
              <w:t>Pred začiatkom liečby sa musí vždy</w:t>
            </w:r>
            <w:r w:rsidR="00CD0790" w:rsidRPr="009C7651">
              <w:rPr>
                <w:rFonts w:ascii="Times New Roman" w:hAnsi="Times New Roman" w:cs="Times New Roman"/>
              </w:rPr>
              <w:t xml:space="preserve"> zdokumentovať stav HLA-B*5701</w:t>
            </w:r>
            <w:r w:rsidR="00A11323" w:rsidRPr="009C7651">
              <w:rPr>
                <w:rFonts w:ascii="Times New Roman" w:hAnsi="Times New Roman" w:cs="Times New Roman"/>
              </w:rPr>
              <w:t>.</w:t>
            </w:r>
          </w:p>
          <w:p w:rsidR="00CD0790" w:rsidRPr="009C7651" w:rsidRDefault="00CD0790" w:rsidP="002B7B74">
            <w:pPr>
              <w:tabs>
                <w:tab w:val="clear" w:pos="567"/>
              </w:tabs>
              <w:spacing w:line="240" w:lineRule="auto"/>
              <w:rPr>
                <w:rFonts w:ascii="Times New Roman" w:hAnsi="Times New Roman" w:cs="Times New Roman"/>
              </w:rPr>
            </w:pPr>
          </w:p>
          <w:p w:rsidR="00E56BE0" w:rsidRPr="009C7651" w:rsidRDefault="00E56BE0" w:rsidP="002B7B74">
            <w:pPr>
              <w:numPr>
                <w:ilvl w:val="0"/>
                <w:numId w:val="9"/>
              </w:numPr>
              <w:tabs>
                <w:tab w:val="clear" w:pos="567"/>
              </w:tabs>
              <w:spacing w:line="240" w:lineRule="auto"/>
              <w:ind w:left="557" w:hanging="557"/>
              <w:rPr>
                <w:rFonts w:ascii="Times New Roman" w:hAnsi="Times New Roman" w:cs="Times New Roman"/>
              </w:rPr>
            </w:pPr>
            <w:r w:rsidRPr="009C7651">
              <w:rPr>
                <w:rFonts w:ascii="Times New Roman" w:hAnsi="Times New Roman" w:cs="Times New Roman"/>
              </w:rPr>
              <w:t xml:space="preserve">Liečba </w:t>
            </w:r>
            <w:r w:rsidR="00D27B9F" w:rsidRPr="009C7651">
              <w:rPr>
                <w:rFonts w:ascii="Times New Roman" w:hAnsi="Times New Roman" w:cs="Times New Roman"/>
              </w:rPr>
              <w:t xml:space="preserve">abakavirom/lamivudínom </w:t>
            </w:r>
            <w:r w:rsidRPr="009C7651">
              <w:rPr>
                <w:rFonts w:ascii="Times New Roman" w:hAnsi="Times New Roman" w:cs="Times New Roman"/>
              </w:rPr>
              <w:t>sa nikdy nesmie začať u</w:t>
            </w:r>
            <w:r w:rsidR="00CD0790" w:rsidRPr="009C7651">
              <w:rPr>
                <w:rFonts w:ascii="Times New Roman" w:hAnsi="Times New Roman" w:cs="Times New Roman"/>
              </w:rPr>
              <w:t> </w:t>
            </w:r>
            <w:r w:rsidRPr="009C7651">
              <w:rPr>
                <w:rFonts w:ascii="Times New Roman" w:hAnsi="Times New Roman" w:cs="Times New Roman"/>
              </w:rPr>
              <w:t>pacientov s</w:t>
            </w:r>
            <w:r w:rsidR="00CD0790" w:rsidRPr="009C7651">
              <w:rPr>
                <w:rFonts w:ascii="Times New Roman" w:hAnsi="Times New Roman" w:cs="Times New Roman"/>
              </w:rPr>
              <w:t> </w:t>
            </w:r>
            <w:r w:rsidRPr="009C7651">
              <w:rPr>
                <w:rFonts w:ascii="Times New Roman" w:hAnsi="Times New Roman" w:cs="Times New Roman"/>
              </w:rPr>
              <w:t>pozitívnym stavom HLA-B*5701, ani u</w:t>
            </w:r>
            <w:r w:rsidR="00CD0790" w:rsidRPr="009C7651">
              <w:rPr>
                <w:rFonts w:ascii="Times New Roman" w:hAnsi="Times New Roman" w:cs="Times New Roman"/>
              </w:rPr>
              <w:t> </w:t>
            </w:r>
            <w:r w:rsidRPr="009C7651">
              <w:rPr>
                <w:rFonts w:ascii="Times New Roman" w:hAnsi="Times New Roman" w:cs="Times New Roman"/>
              </w:rPr>
              <w:t>pacientov s</w:t>
            </w:r>
            <w:r w:rsidR="00CD0790" w:rsidRPr="009C7651">
              <w:rPr>
                <w:rFonts w:ascii="Times New Roman" w:hAnsi="Times New Roman" w:cs="Times New Roman"/>
              </w:rPr>
              <w:t> </w:t>
            </w:r>
            <w:r w:rsidRPr="009C7651">
              <w:rPr>
                <w:rFonts w:ascii="Times New Roman" w:hAnsi="Times New Roman" w:cs="Times New Roman"/>
              </w:rPr>
              <w:t xml:space="preserve">negatívnym stavom HLA-B*5701, ktorí mali </w:t>
            </w:r>
            <w:r w:rsidR="00670C03" w:rsidRPr="009C7651">
              <w:rPr>
                <w:rFonts w:ascii="Times New Roman" w:hAnsi="Times New Roman" w:cs="Times New Roman"/>
              </w:rPr>
              <w:t>podozrenie na</w:t>
            </w:r>
            <w:r w:rsidR="00B423BE">
              <w:rPr>
                <w:rFonts w:ascii="Times New Roman" w:hAnsi="Times New Roman" w:cs="Times New Roman"/>
              </w:rPr>
              <w:t> </w:t>
            </w:r>
            <w:r w:rsidRPr="009C7651">
              <w:rPr>
                <w:rFonts w:ascii="Times New Roman" w:hAnsi="Times New Roman" w:cs="Times New Roman"/>
              </w:rPr>
              <w:t>HSR na abakavir počas predchádzajúcej liečby obsahujúcej abakavir (na</w:t>
            </w:r>
            <w:r w:rsidR="00CD0790" w:rsidRPr="009C7651">
              <w:rPr>
                <w:rFonts w:ascii="Times New Roman" w:hAnsi="Times New Roman" w:cs="Times New Roman"/>
              </w:rPr>
              <w:t>pr. aba</w:t>
            </w:r>
            <w:r w:rsidR="008D2259" w:rsidRPr="009C7651">
              <w:rPr>
                <w:rFonts w:ascii="Times New Roman" w:hAnsi="Times New Roman" w:cs="Times New Roman"/>
              </w:rPr>
              <w:t>k</w:t>
            </w:r>
            <w:r w:rsidR="00CD0790" w:rsidRPr="009C7651">
              <w:rPr>
                <w:rFonts w:ascii="Times New Roman" w:hAnsi="Times New Roman" w:cs="Times New Roman"/>
              </w:rPr>
              <w:t>avir/lamivudín, aba</w:t>
            </w:r>
            <w:r w:rsidR="008D2259" w:rsidRPr="009C7651">
              <w:rPr>
                <w:rFonts w:ascii="Times New Roman" w:hAnsi="Times New Roman" w:cs="Times New Roman"/>
              </w:rPr>
              <w:t>k</w:t>
            </w:r>
            <w:r w:rsidR="00CD0790" w:rsidRPr="009C7651">
              <w:rPr>
                <w:rFonts w:ascii="Times New Roman" w:hAnsi="Times New Roman" w:cs="Times New Roman"/>
              </w:rPr>
              <w:t>avir/lamivudín/zidovudín, aba</w:t>
            </w:r>
            <w:r w:rsidR="008D2259" w:rsidRPr="009C7651">
              <w:rPr>
                <w:rFonts w:ascii="Times New Roman" w:hAnsi="Times New Roman" w:cs="Times New Roman"/>
              </w:rPr>
              <w:t>k</w:t>
            </w:r>
            <w:r w:rsidR="00CD0790" w:rsidRPr="009C7651">
              <w:rPr>
                <w:rFonts w:ascii="Times New Roman" w:hAnsi="Times New Roman" w:cs="Times New Roman"/>
              </w:rPr>
              <w:t>avir/dolutegravir/lamivudín).</w:t>
            </w:r>
          </w:p>
          <w:p w:rsidR="00CD0790" w:rsidRPr="009C7651" w:rsidRDefault="00CD0790" w:rsidP="002B7B74">
            <w:pPr>
              <w:tabs>
                <w:tab w:val="clear" w:pos="567"/>
              </w:tabs>
              <w:spacing w:line="240" w:lineRule="auto"/>
              <w:rPr>
                <w:rFonts w:ascii="Times New Roman" w:hAnsi="Times New Roman" w:cs="Times New Roman"/>
              </w:rPr>
            </w:pPr>
          </w:p>
          <w:p w:rsidR="00E56BE0" w:rsidRPr="009C7651" w:rsidRDefault="00E56BE0" w:rsidP="002B7B74">
            <w:pPr>
              <w:numPr>
                <w:ilvl w:val="0"/>
                <w:numId w:val="9"/>
              </w:numPr>
              <w:tabs>
                <w:tab w:val="clear" w:pos="567"/>
              </w:tabs>
              <w:spacing w:line="240" w:lineRule="auto"/>
              <w:ind w:left="557" w:hanging="557"/>
              <w:rPr>
                <w:rFonts w:ascii="Times New Roman" w:hAnsi="Times New Roman" w:cs="Times New Roman"/>
              </w:rPr>
            </w:pPr>
            <w:r w:rsidRPr="009C7651">
              <w:rPr>
                <w:rFonts w:ascii="Times New Roman" w:hAnsi="Times New Roman" w:cs="Times New Roman"/>
              </w:rPr>
              <w:t xml:space="preserve">Ak je podozrenie na HSR, </w:t>
            </w:r>
            <w:r w:rsidRPr="009C7651">
              <w:rPr>
                <w:rFonts w:ascii="Times New Roman" w:hAnsi="Times New Roman" w:cs="Times New Roman"/>
                <w:b/>
              </w:rPr>
              <w:t xml:space="preserve">liečba </w:t>
            </w:r>
            <w:r w:rsidR="00CD0790" w:rsidRPr="009C7651">
              <w:rPr>
                <w:rFonts w:ascii="Times New Roman" w:hAnsi="Times New Roman" w:cs="Times New Roman"/>
                <w:b/>
              </w:rPr>
              <w:t xml:space="preserve">abakavirom/lamivudínom </w:t>
            </w:r>
            <w:r w:rsidRPr="009C7651">
              <w:rPr>
                <w:rFonts w:ascii="Times New Roman" w:hAnsi="Times New Roman" w:cs="Times New Roman"/>
                <w:b/>
              </w:rPr>
              <w:t>sa musí bezodkladne ukončiť,</w:t>
            </w:r>
            <w:r w:rsidRPr="009C7651">
              <w:rPr>
                <w:rFonts w:ascii="Times New Roman" w:hAnsi="Times New Roman" w:cs="Times New Roman"/>
              </w:rPr>
              <w:t xml:space="preserve"> dokonca aj pri neprítomnosti alely HLA-B*5701. Oddialenie ukončenia liečby </w:t>
            </w:r>
            <w:r w:rsidR="00CD0790" w:rsidRPr="009C7651">
              <w:rPr>
                <w:rFonts w:ascii="Times New Roman" w:hAnsi="Times New Roman" w:cs="Times New Roman"/>
              </w:rPr>
              <w:t>abakavirom/lamivudínom</w:t>
            </w:r>
            <w:r w:rsidRPr="009C7651">
              <w:rPr>
                <w:rFonts w:ascii="Times New Roman" w:hAnsi="Times New Roman" w:cs="Times New Roman"/>
              </w:rPr>
              <w:t xml:space="preserve"> po vzniku precitlivenosti môže mať za nás</w:t>
            </w:r>
            <w:r w:rsidR="00CD0790" w:rsidRPr="009C7651">
              <w:rPr>
                <w:rFonts w:ascii="Times New Roman" w:hAnsi="Times New Roman" w:cs="Times New Roman"/>
              </w:rPr>
              <w:t>ledok život ohrozujúcu reakciu.</w:t>
            </w:r>
          </w:p>
          <w:p w:rsidR="00CD0790" w:rsidRPr="008563CD" w:rsidRDefault="00CD0790" w:rsidP="002B7B74">
            <w:pPr>
              <w:tabs>
                <w:tab w:val="clear" w:pos="567"/>
              </w:tabs>
              <w:spacing w:line="240" w:lineRule="auto"/>
              <w:rPr>
                <w:rFonts w:ascii="Times New Roman" w:hAnsi="Times New Roman" w:cs="Times New Roman"/>
              </w:rPr>
            </w:pPr>
          </w:p>
          <w:p w:rsidR="00E56BE0" w:rsidRPr="009C7651" w:rsidRDefault="00E56BE0" w:rsidP="002B7B74">
            <w:pPr>
              <w:numPr>
                <w:ilvl w:val="0"/>
                <w:numId w:val="9"/>
              </w:numPr>
              <w:tabs>
                <w:tab w:val="clear" w:pos="567"/>
              </w:tabs>
              <w:spacing w:line="240" w:lineRule="auto"/>
              <w:ind w:left="557" w:hanging="557"/>
              <w:rPr>
                <w:rFonts w:ascii="Times New Roman" w:hAnsi="Times New Roman" w:cs="Times New Roman"/>
              </w:rPr>
            </w:pPr>
            <w:r w:rsidRPr="009C7651">
              <w:rPr>
                <w:rFonts w:ascii="Times New Roman" w:hAnsi="Times New Roman" w:cs="Times New Roman"/>
              </w:rPr>
              <w:t xml:space="preserve">Po ukončení liečby </w:t>
            </w:r>
            <w:r w:rsidR="00CD0790" w:rsidRPr="009C7651">
              <w:rPr>
                <w:rFonts w:ascii="Times New Roman" w:hAnsi="Times New Roman" w:cs="Times New Roman"/>
              </w:rPr>
              <w:t>abakavirom/lamivudínom</w:t>
            </w:r>
            <w:r w:rsidRPr="009C7651">
              <w:rPr>
                <w:rFonts w:ascii="Times New Roman" w:hAnsi="Times New Roman" w:cs="Times New Roman"/>
              </w:rPr>
              <w:t xml:space="preserve"> z</w:t>
            </w:r>
            <w:r w:rsidR="00CD0790" w:rsidRPr="009C7651">
              <w:rPr>
                <w:rFonts w:ascii="Times New Roman" w:hAnsi="Times New Roman" w:cs="Times New Roman"/>
              </w:rPr>
              <w:t> </w:t>
            </w:r>
            <w:r w:rsidRPr="009C7651">
              <w:rPr>
                <w:rFonts w:ascii="Times New Roman" w:hAnsi="Times New Roman" w:cs="Times New Roman"/>
              </w:rPr>
              <w:t xml:space="preserve">dôvodu </w:t>
            </w:r>
            <w:r w:rsidR="007C6FFD" w:rsidRPr="009C7651">
              <w:rPr>
                <w:rFonts w:ascii="Times New Roman" w:hAnsi="Times New Roman" w:cs="Times New Roman"/>
              </w:rPr>
              <w:t>podozrenia na</w:t>
            </w:r>
            <w:r w:rsidRPr="009C7651">
              <w:rPr>
                <w:rFonts w:ascii="Times New Roman" w:hAnsi="Times New Roman" w:cs="Times New Roman"/>
              </w:rPr>
              <w:t xml:space="preserve"> HSR sa </w:t>
            </w:r>
            <w:r w:rsidRPr="009C7651">
              <w:rPr>
                <w:rFonts w:ascii="Times New Roman" w:hAnsi="Times New Roman" w:cs="Times New Roman"/>
                <w:b/>
              </w:rPr>
              <w:t xml:space="preserve">liečba </w:t>
            </w:r>
            <w:r w:rsidR="00CD0790" w:rsidRPr="009C7651">
              <w:rPr>
                <w:rFonts w:ascii="Times New Roman" w:hAnsi="Times New Roman" w:cs="Times New Roman"/>
                <w:b/>
              </w:rPr>
              <w:t>l</w:t>
            </w:r>
            <w:r w:rsidR="007C6FFD" w:rsidRPr="009C7651">
              <w:rPr>
                <w:rFonts w:ascii="Times New Roman" w:hAnsi="Times New Roman" w:cs="Times New Roman"/>
                <w:b/>
              </w:rPr>
              <w:t>i</w:t>
            </w:r>
            <w:r w:rsidR="00CD0790" w:rsidRPr="009C7651">
              <w:rPr>
                <w:rFonts w:ascii="Times New Roman" w:hAnsi="Times New Roman" w:cs="Times New Roman"/>
                <w:b/>
              </w:rPr>
              <w:t xml:space="preserve">ekom Abakavir/Lamivudín Vale </w:t>
            </w:r>
            <w:r w:rsidRPr="009C7651">
              <w:rPr>
                <w:rFonts w:ascii="Times New Roman" w:hAnsi="Times New Roman" w:cs="Times New Roman"/>
                <w:b/>
              </w:rPr>
              <w:t>alebo akýmkoľvek iným liekom obsahujúcim abakavir</w:t>
            </w:r>
            <w:r w:rsidRPr="009C7651">
              <w:rPr>
                <w:rFonts w:ascii="Times New Roman" w:hAnsi="Times New Roman" w:cs="Times New Roman"/>
              </w:rPr>
              <w:t xml:space="preserve"> (napr. </w:t>
            </w:r>
            <w:r w:rsidR="00CD0790" w:rsidRPr="009C7651">
              <w:rPr>
                <w:rFonts w:ascii="Times New Roman" w:hAnsi="Times New Roman" w:cs="Times New Roman"/>
              </w:rPr>
              <w:t>aba</w:t>
            </w:r>
            <w:r w:rsidR="008D2259" w:rsidRPr="009C7651">
              <w:rPr>
                <w:rFonts w:ascii="Times New Roman" w:hAnsi="Times New Roman" w:cs="Times New Roman"/>
              </w:rPr>
              <w:t>k</w:t>
            </w:r>
            <w:r w:rsidR="00CD0790" w:rsidRPr="009C7651">
              <w:rPr>
                <w:rFonts w:ascii="Times New Roman" w:hAnsi="Times New Roman" w:cs="Times New Roman"/>
              </w:rPr>
              <w:t>avir/lamivudín, aba</w:t>
            </w:r>
            <w:r w:rsidR="008D2259" w:rsidRPr="009C7651">
              <w:rPr>
                <w:rFonts w:ascii="Times New Roman" w:hAnsi="Times New Roman" w:cs="Times New Roman"/>
              </w:rPr>
              <w:t>k</w:t>
            </w:r>
            <w:r w:rsidR="00CD0790" w:rsidRPr="009C7651">
              <w:rPr>
                <w:rFonts w:ascii="Times New Roman" w:hAnsi="Times New Roman" w:cs="Times New Roman"/>
              </w:rPr>
              <w:t>avir/lamivudín/zidovudín, aba</w:t>
            </w:r>
            <w:r w:rsidR="008D2259" w:rsidRPr="009C7651">
              <w:rPr>
                <w:rFonts w:ascii="Times New Roman" w:hAnsi="Times New Roman" w:cs="Times New Roman"/>
              </w:rPr>
              <w:t>k</w:t>
            </w:r>
            <w:r w:rsidR="00CD0790" w:rsidRPr="009C7651">
              <w:rPr>
                <w:rFonts w:ascii="Times New Roman" w:hAnsi="Times New Roman" w:cs="Times New Roman"/>
              </w:rPr>
              <w:t>avir/dolutegravir/lamivudín</w:t>
            </w:r>
            <w:r w:rsidRPr="009C7651">
              <w:rPr>
                <w:rFonts w:ascii="Times New Roman" w:hAnsi="Times New Roman" w:cs="Times New Roman"/>
              </w:rPr>
              <w:t xml:space="preserve">) </w:t>
            </w:r>
            <w:r w:rsidRPr="009C7651">
              <w:rPr>
                <w:rFonts w:ascii="Times New Roman" w:hAnsi="Times New Roman" w:cs="Times New Roman"/>
                <w:b/>
              </w:rPr>
              <w:t>už nikdy nesmie opätovne začať</w:t>
            </w:r>
            <w:r w:rsidR="00CD0790" w:rsidRPr="009C7651">
              <w:rPr>
                <w:rFonts w:ascii="Times New Roman" w:hAnsi="Times New Roman" w:cs="Times New Roman"/>
              </w:rPr>
              <w:t>.</w:t>
            </w:r>
          </w:p>
          <w:p w:rsidR="00CD0790" w:rsidRPr="009C7651" w:rsidRDefault="00CD0790" w:rsidP="002B7B74">
            <w:pPr>
              <w:tabs>
                <w:tab w:val="clear" w:pos="567"/>
              </w:tabs>
              <w:spacing w:line="240" w:lineRule="auto"/>
              <w:rPr>
                <w:rFonts w:ascii="Times New Roman" w:hAnsi="Times New Roman" w:cs="Times New Roman"/>
              </w:rPr>
            </w:pPr>
          </w:p>
          <w:p w:rsidR="00E56BE0" w:rsidRPr="009C7651" w:rsidRDefault="00E56BE0" w:rsidP="002B7B74">
            <w:pPr>
              <w:numPr>
                <w:ilvl w:val="0"/>
                <w:numId w:val="9"/>
              </w:numPr>
              <w:tabs>
                <w:tab w:val="clear" w:pos="567"/>
              </w:tabs>
              <w:spacing w:line="240" w:lineRule="auto"/>
              <w:ind w:left="557" w:hanging="557"/>
              <w:rPr>
                <w:rFonts w:ascii="Times New Roman" w:hAnsi="Times New Roman" w:cs="Times New Roman"/>
              </w:rPr>
            </w:pPr>
            <w:r w:rsidRPr="009C7651">
              <w:rPr>
                <w:rFonts w:ascii="Times New Roman" w:hAnsi="Times New Roman" w:cs="Times New Roman"/>
              </w:rPr>
              <w:t xml:space="preserve">Opätovné začatie liečby liekmi obsahujúcimi abakavir po </w:t>
            </w:r>
            <w:r w:rsidR="00B73DC7" w:rsidRPr="009C7651">
              <w:rPr>
                <w:rFonts w:ascii="Times New Roman" w:hAnsi="Times New Roman" w:cs="Times New Roman"/>
              </w:rPr>
              <w:t>podozrení na</w:t>
            </w:r>
            <w:r w:rsidRPr="009C7651">
              <w:rPr>
                <w:rFonts w:ascii="Times New Roman" w:hAnsi="Times New Roman" w:cs="Times New Roman"/>
              </w:rPr>
              <w:t xml:space="preserve"> HSR na abakavir môže mať za následok rýchly návrat príznakov v</w:t>
            </w:r>
            <w:r w:rsidR="00CD0790" w:rsidRPr="009C7651">
              <w:rPr>
                <w:rFonts w:ascii="Times New Roman" w:hAnsi="Times New Roman" w:cs="Times New Roman"/>
              </w:rPr>
              <w:t> </w:t>
            </w:r>
            <w:r w:rsidRPr="009C7651">
              <w:rPr>
                <w:rFonts w:ascii="Times New Roman" w:hAnsi="Times New Roman" w:cs="Times New Roman"/>
              </w:rPr>
              <w:t>priebehu niekoľkých hodín. HSR je pri</w:t>
            </w:r>
            <w:r w:rsidR="00B423BE">
              <w:rPr>
                <w:rFonts w:ascii="Times New Roman" w:hAnsi="Times New Roman" w:cs="Times New Roman"/>
              </w:rPr>
              <w:t> </w:t>
            </w:r>
            <w:r w:rsidRPr="009C7651">
              <w:rPr>
                <w:rFonts w:ascii="Times New Roman" w:hAnsi="Times New Roman" w:cs="Times New Roman"/>
              </w:rPr>
              <w:t>opakovanom výskyte zvyčajne závažnejšia ako pri prvom objavení sa a môže zahŕňať živo</w:t>
            </w:r>
            <w:r w:rsidR="00CD0790" w:rsidRPr="009C7651">
              <w:rPr>
                <w:rFonts w:ascii="Times New Roman" w:hAnsi="Times New Roman" w:cs="Times New Roman"/>
              </w:rPr>
              <w:t>t ohrozujúcu hypotenziu a</w:t>
            </w:r>
            <w:r w:rsidR="00275D4A" w:rsidRPr="009C7651">
              <w:rPr>
                <w:rFonts w:ascii="Times New Roman" w:hAnsi="Times New Roman" w:cs="Times New Roman"/>
              </w:rPr>
              <w:t> </w:t>
            </w:r>
            <w:r w:rsidR="00CD0790" w:rsidRPr="009C7651">
              <w:rPr>
                <w:rFonts w:ascii="Times New Roman" w:hAnsi="Times New Roman" w:cs="Times New Roman"/>
              </w:rPr>
              <w:t>smrť.</w:t>
            </w:r>
          </w:p>
          <w:p w:rsidR="00CD0790" w:rsidRPr="009C7651" w:rsidRDefault="00CD0790" w:rsidP="002B7B74">
            <w:pPr>
              <w:tabs>
                <w:tab w:val="clear" w:pos="567"/>
              </w:tabs>
              <w:spacing w:line="240" w:lineRule="auto"/>
              <w:rPr>
                <w:rFonts w:ascii="Times New Roman" w:hAnsi="Times New Roman" w:cs="Times New Roman"/>
              </w:rPr>
            </w:pPr>
          </w:p>
          <w:p w:rsidR="00E56BE0" w:rsidRPr="009C7651" w:rsidRDefault="00E56BE0" w:rsidP="002B7B74">
            <w:pPr>
              <w:numPr>
                <w:ilvl w:val="0"/>
                <w:numId w:val="9"/>
              </w:numPr>
              <w:tabs>
                <w:tab w:val="clear" w:pos="567"/>
              </w:tabs>
              <w:spacing w:line="240" w:lineRule="auto"/>
              <w:ind w:left="557" w:hanging="557"/>
              <w:rPr>
                <w:rFonts w:ascii="Times New Roman" w:hAnsi="Times New Roman" w:cs="Times New Roman"/>
              </w:rPr>
            </w:pPr>
            <w:r w:rsidRPr="009C7651">
              <w:rPr>
                <w:rFonts w:ascii="Times New Roman" w:hAnsi="Times New Roman" w:cs="Times New Roman"/>
              </w:rPr>
              <w:t>Aby sa u pacientov, u</w:t>
            </w:r>
            <w:r w:rsidR="00CD0790" w:rsidRPr="009C7651">
              <w:rPr>
                <w:rFonts w:ascii="Times New Roman" w:hAnsi="Times New Roman" w:cs="Times New Roman"/>
              </w:rPr>
              <w:t> </w:t>
            </w:r>
            <w:r w:rsidRPr="009C7651">
              <w:rPr>
                <w:rFonts w:ascii="Times New Roman" w:hAnsi="Times New Roman" w:cs="Times New Roman"/>
              </w:rPr>
              <w:t>ktorých sa vyskytl</w:t>
            </w:r>
            <w:r w:rsidR="00846DC9" w:rsidRPr="009C7651">
              <w:rPr>
                <w:rFonts w:ascii="Times New Roman" w:hAnsi="Times New Roman" w:cs="Times New Roman"/>
              </w:rPr>
              <w:t>o podozrenie na</w:t>
            </w:r>
            <w:r w:rsidRPr="009C7651">
              <w:rPr>
                <w:rFonts w:ascii="Times New Roman" w:hAnsi="Times New Roman" w:cs="Times New Roman"/>
              </w:rPr>
              <w:t xml:space="preserve"> HSR, predišlo opätovnému začatiu liečby abakavirom, treba im dať pokyn, aby zvyšné tablety </w:t>
            </w:r>
            <w:r w:rsidR="00846DC9" w:rsidRPr="009C7651">
              <w:rPr>
                <w:rFonts w:ascii="Times New Roman" w:hAnsi="Times New Roman" w:cs="Times New Roman"/>
              </w:rPr>
              <w:t xml:space="preserve">s obsahom </w:t>
            </w:r>
            <w:r w:rsidR="00CD0790" w:rsidRPr="009C7651">
              <w:rPr>
                <w:rFonts w:ascii="Times New Roman" w:hAnsi="Times New Roman" w:cs="Times New Roman"/>
              </w:rPr>
              <w:t>aba</w:t>
            </w:r>
            <w:r w:rsidR="008D2259" w:rsidRPr="009C7651">
              <w:rPr>
                <w:rFonts w:ascii="Times New Roman" w:hAnsi="Times New Roman" w:cs="Times New Roman"/>
              </w:rPr>
              <w:t>k</w:t>
            </w:r>
            <w:r w:rsidR="00CD0790" w:rsidRPr="009C7651">
              <w:rPr>
                <w:rFonts w:ascii="Times New Roman" w:hAnsi="Times New Roman" w:cs="Times New Roman"/>
              </w:rPr>
              <w:t>avir</w:t>
            </w:r>
            <w:r w:rsidR="00846DC9" w:rsidRPr="009C7651">
              <w:rPr>
                <w:rFonts w:ascii="Times New Roman" w:hAnsi="Times New Roman" w:cs="Times New Roman"/>
              </w:rPr>
              <w:t>u</w:t>
            </w:r>
            <w:r w:rsidR="00CD0790" w:rsidRPr="009C7651">
              <w:rPr>
                <w:rFonts w:ascii="Times New Roman" w:hAnsi="Times New Roman" w:cs="Times New Roman"/>
              </w:rPr>
              <w:t>/lamivudín</w:t>
            </w:r>
            <w:r w:rsidR="00846DC9" w:rsidRPr="009C7651">
              <w:rPr>
                <w:rFonts w:ascii="Times New Roman" w:hAnsi="Times New Roman" w:cs="Times New Roman"/>
              </w:rPr>
              <w:t>u</w:t>
            </w:r>
            <w:r w:rsidR="00CD0790" w:rsidRPr="009C7651">
              <w:rPr>
                <w:rFonts w:ascii="Times New Roman" w:hAnsi="Times New Roman" w:cs="Times New Roman"/>
              </w:rPr>
              <w:t xml:space="preserve"> vrátili</w:t>
            </w:r>
            <w:r w:rsidRPr="009C7651">
              <w:rPr>
                <w:rFonts w:ascii="Times New Roman" w:hAnsi="Times New Roman" w:cs="Times New Roman"/>
              </w:rPr>
              <w:t xml:space="preserve"> do lekárne.</w:t>
            </w:r>
          </w:p>
          <w:p w:rsidR="00CD0790" w:rsidRPr="009C7651" w:rsidRDefault="00CD0790" w:rsidP="002B7B74">
            <w:pPr>
              <w:spacing w:line="240" w:lineRule="auto"/>
              <w:rPr>
                <w:rFonts w:ascii="Times New Roman" w:hAnsi="Times New Roman" w:cs="Times New Roman"/>
              </w:rPr>
            </w:pPr>
          </w:p>
          <w:p w:rsidR="00E56BE0" w:rsidRPr="009C7651" w:rsidRDefault="00E56BE0" w:rsidP="002B7B74">
            <w:pPr>
              <w:numPr>
                <w:ilvl w:val="0"/>
                <w:numId w:val="9"/>
              </w:numPr>
              <w:tabs>
                <w:tab w:val="clear" w:pos="567"/>
              </w:tabs>
              <w:spacing w:line="240" w:lineRule="auto"/>
              <w:ind w:left="557" w:hanging="557"/>
              <w:rPr>
                <w:rFonts w:ascii="Times New Roman" w:hAnsi="Times New Roman" w:cs="Times New Roman"/>
                <w:u w:val="single"/>
              </w:rPr>
            </w:pPr>
            <w:r w:rsidRPr="009C7651">
              <w:rPr>
                <w:rFonts w:ascii="Times New Roman" w:hAnsi="Times New Roman" w:cs="Times New Roman"/>
                <w:b/>
                <w:u w:val="single"/>
              </w:rPr>
              <w:t>Klinický popis</w:t>
            </w:r>
            <w:r w:rsidRPr="009C7651">
              <w:rPr>
                <w:rFonts w:ascii="Times New Roman" w:hAnsi="Times New Roman" w:cs="Times New Roman"/>
                <w:u w:val="single"/>
              </w:rPr>
              <w:t xml:space="preserve"> </w:t>
            </w:r>
            <w:r w:rsidRPr="009C7651">
              <w:rPr>
                <w:rFonts w:ascii="Times New Roman" w:hAnsi="Times New Roman" w:cs="Times New Roman"/>
                <w:i/>
                <w:u w:val="single"/>
              </w:rPr>
              <w:t>HSR na abakavir</w:t>
            </w:r>
          </w:p>
          <w:p w:rsidR="00E56BE0" w:rsidRPr="009C7651" w:rsidRDefault="00E56BE0" w:rsidP="002B7B74">
            <w:pPr>
              <w:spacing w:line="240" w:lineRule="auto"/>
              <w:ind w:left="7"/>
              <w:rPr>
                <w:rFonts w:ascii="Times New Roman" w:hAnsi="Times New Roman" w:cs="Times New Roman"/>
              </w:rPr>
            </w:pPr>
          </w:p>
          <w:p w:rsidR="00E56BE0" w:rsidRPr="009C7651" w:rsidRDefault="00E56BE0" w:rsidP="002B7B74">
            <w:pPr>
              <w:spacing w:line="240" w:lineRule="auto"/>
              <w:ind w:left="7"/>
              <w:rPr>
                <w:rFonts w:ascii="Times New Roman" w:hAnsi="Times New Roman" w:cs="Times New Roman"/>
              </w:rPr>
            </w:pPr>
            <w:r w:rsidRPr="009C7651">
              <w:rPr>
                <w:rFonts w:ascii="Times New Roman" w:hAnsi="Times New Roman" w:cs="Times New Roman"/>
              </w:rPr>
              <w:t>HSR na abakavir bola dobre charakterizovaná počas klinických štúdií a</w:t>
            </w:r>
            <w:r w:rsidR="00CD0790" w:rsidRPr="009C7651">
              <w:rPr>
                <w:rFonts w:ascii="Times New Roman" w:hAnsi="Times New Roman" w:cs="Times New Roman"/>
              </w:rPr>
              <w:t> </w:t>
            </w:r>
            <w:r w:rsidRPr="009C7651">
              <w:rPr>
                <w:rFonts w:ascii="Times New Roman" w:hAnsi="Times New Roman" w:cs="Times New Roman"/>
              </w:rPr>
              <w:t>počas sledovania po uvedení lieku na trh. Príznaky sa zvyčajne objavili v</w:t>
            </w:r>
            <w:r w:rsidR="00AC11C1" w:rsidRPr="009C7651">
              <w:rPr>
                <w:rFonts w:ascii="Times New Roman" w:hAnsi="Times New Roman" w:cs="Times New Roman"/>
              </w:rPr>
              <w:t> </w:t>
            </w:r>
            <w:r w:rsidRPr="009C7651">
              <w:rPr>
                <w:rFonts w:ascii="Times New Roman" w:hAnsi="Times New Roman" w:cs="Times New Roman"/>
              </w:rPr>
              <w:t>priebehu prvých šiestich týždňov (</w:t>
            </w:r>
            <w:r w:rsidR="00DA074D" w:rsidRPr="009C7651">
              <w:rPr>
                <w:rFonts w:ascii="Times New Roman" w:hAnsi="Times New Roman" w:cs="Times New Roman"/>
              </w:rPr>
              <w:t>priemerný čas</w:t>
            </w:r>
            <w:r w:rsidRPr="009C7651">
              <w:rPr>
                <w:rFonts w:ascii="Times New Roman" w:hAnsi="Times New Roman" w:cs="Times New Roman"/>
              </w:rPr>
              <w:t xml:space="preserve"> do ich vzniku bol 11</w:t>
            </w:r>
            <w:r w:rsidR="00AC11C1" w:rsidRPr="009C7651">
              <w:rPr>
                <w:rFonts w:ascii="Times New Roman" w:hAnsi="Times New Roman" w:cs="Times New Roman"/>
              </w:rPr>
              <w:t> </w:t>
            </w:r>
            <w:r w:rsidRPr="009C7651">
              <w:rPr>
                <w:rFonts w:ascii="Times New Roman" w:hAnsi="Times New Roman" w:cs="Times New Roman"/>
              </w:rPr>
              <w:t xml:space="preserve">dní) od začiatku liečby abakavirom, </w:t>
            </w:r>
            <w:r w:rsidRPr="009C7651">
              <w:rPr>
                <w:rFonts w:ascii="Times New Roman" w:hAnsi="Times New Roman" w:cs="Times New Roman"/>
                <w:b/>
              </w:rPr>
              <w:t>aj keď tieto reakcie sa môžu vyskytnúť kedykoľvek počas liečby</w:t>
            </w:r>
            <w:r w:rsidR="00AC11C1" w:rsidRPr="009C7651">
              <w:rPr>
                <w:rFonts w:ascii="Times New Roman" w:hAnsi="Times New Roman" w:cs="Times New Roman"/>
              </w:rPr>
              <w:t>.</w:t>
            </w:r>
          </w:p>
          <w:p w:rsidR="00E56BE0" w:rsidRPr="009C7651" w:rsidRDefault="00E56BE0" w:rsidP="002B7B74">
            <w:pPr>
              <w:spacing w:line="240" w:lineRule="auto"/>
              <w:ind w:left="7"/>
              <w:rPr>
                <w:rFonts w:ascii="Times New Roman" w:hAnsi="Times New Roman" w:cs="Times New Roman"/>
              </w:rPr>
            </w:pPr>
          </w:p>
          <w:p w:rsidR="00E56BE0" w:rsidRPr="009C7651" w:rsidRDefault="00E56BE0" w:rsidP="002B7B74">
            <w:pPr>
              <w:spacing w:line="240" w:lineRule="auto"/>
              <w:ind w:left="7"/>
              <w:rPr>
                <w:rFonts w:ascii="Times New Roman" w:hAnsi="Times New Roman" w:cs="Times New Roman"/>
              </w:rPr>
            </w:pPr>
            <w:r w:rsidRPr="009C7651">
              <w:rPr>
                <w:rFonts w:ascii="Times New Roman" w:hAnsi="Times New Roman" w:cs="Times New Roman"/>
              </w:rPr>
              <w:t>Takmer všetky HSR na abakavir zahŕňajú horúčku a/alebo vyrážku. Ďalšie prejavy a</w:t>
            </w:r>
            <w:r w:rsidR="00AC11C1" w:rsidRPr="009C7651">
              <w:rPr>
                <w:rFonts w:ascii="Times New Roman" w:hAnsi="Times New Roman" w:cs="Times New Roman"/>
              </w:rPr>
              <w:t> </w:t>
            </w:r>
            <w:r w:rsidRPr="009C7651">
              <w:rPr>
                <w:rFonts w:ascii="Times New Roman" w:hAnsi="Times New Roman" w:cs="Times New Roman"/>
              </w:rPr>
              <w:t>príznaky, ktoré sa pozorovali ako súčasť HSR na abakavir, sú podrobne popísané v</w:t>
            </w:r>
            <w:r w:rsidR="00AC11C1" w:rsidRPr="009C7651">
              <w:rPr>
                <w:rFonts w:ascii="Times New Roman" w:hAnsi="Times New Roman" w:cs="Times New Roman"/>
              </w:rPr>
              <w:t> </w:t>
            </w:r>
            <w:r w:rsidRPr="009C7651">
              <w:rPr>
                <w:rFonts w:ascii="Times New Roman" w:hAnsi="Times New Roman" w:cs="Times New Roman"/>
              </w:rPr>
              <w:t>časti</w:t>
            </w:r>
            <w:r w:rsidR="00AC11C1" w:rsidRPr="009C7651">
              <w:rPr>
                <w:rFonts w:ascii="Times New Roman" w:hAnsi="Times New Roman" w:cs="Times New Roman"/>
              </w:rPr>
              <w:t> </w:t>
            </w:r>
            <w:r w:rsidRPr="009C7651">
              <w:rPr>
                <w:rFonts w:ascii="Times New Roman" w:hAnsi="Times New Roman" w:cs="Times New Roman"/>
              </w:rPr>
              <w:t>4.8 (Popis vybraných nežiaducich reakcií) a</w:t>
            </w:r>
            <w:r w:rsidR="00AC11C1" w:rsidRPr="009C7651">
              <w:rPr>
                <w:rFonts w:ascii="Times New Roman" w:hAnsi="Times New Roman" w:cs="Times New Roman"/>
              </w:rPr>
              <w:t> </w:t>
            </w:r>
            <w:r w:rsidRPr="009C7651">
              <w:rPr>
                <w:rFonts w:ascii="Times New Roman" w:hAnsi="Times New Roman" w:cs="Times New Roman"/>
              </w:rPr>
              <w:t>zahŕňajú respiračné a</w:t>
            </w:r>
            <w:r w:rsidR="00AC11C1" w:rsidRPr="009C7651">
              <w:rPr>
                <w:rFonts w:ascii="Times New Roman" w:hAnsi="Times New Roman" w:cs="Times New Roman"/>
              </w:rPr>
              <w:t> </w:t>
            </w:r>
            <w:r w:rsidRPr="009C7651">
              <w:rPr>
                <w:rFonts w:ascii="Times New Roman" w:hAnsi="Times New Roman" w:cs="Times New Roman"/>
              </w:rPr>
              <w:t xml:space="preserve">gastrointestinálne príznaky. Je dôležité poznamenať, že takéto príznaky </w:t>
            </w:r>
            <w:r w:rsidRPr="009C7651">
              <w:rPr>
                <w:rFonts w:ascii="Times New Roman" w:hAnsi="Times New Roman" w:cs="Times New Roman"/>
                <w:b/>
              </w:rPr>
              <w:t>môžu viesť k chybnej diagnóze, pri ktorej sa HSR považuje za respiračné ochorenie (pneumóniu, bronchitídu, faryngitídu) alebo gastroenteritídu</w:t>
            </w:r>
            <w:r w:rsidRPr="009C7651">
              <w:rPr>
                <w:rFonts w:ascii="Times New Roman" w:hAnsi="Times New Roman" w:cs="Times New Roman"/>
              </w:rPr>
              <w:t>.</w:t>
            </w:r>
          </w:p>
          <w:p w:rsidR="00E56BE0" w:rsidRPr="009C7651" w:rsidRDefault="00E56BE0" w:rsidP="002B7B74">
            <w:pPr>
              <w:spacing w:line="240" w:lineRule="auto"/>
              <w:ind w:left="7"/>
              <w:rPr>
                <w:rFonts w:ascii="Times New Roman" w:hAnsi="Times New Roman" w:cs="Times New Roman"/>
              </w:rPr>
            </w:pPr>
          </w:p>
          <w:p w:rsidR="00E56BE0" w:rsidRPr="009C7651" w:rsidRDefault="00E56BE0" w:rsidP="002B7B74">
            <w:pPr>
              <w:spacing w:line="240" w:lineRule="auto"/>
              <w:ind w:left="7"/>
              <w:rPr>
                <w:rFonts w:ascii="Times New Roman" w:hAnsi="Times New Roman" w:cs="Times New Roman"/>
              </w:rPr>
            </w:pPr>
            <w:r w:rsidRPr="009C7651">
              <w:rPr>
                <w:rFonts w:ascii="Times New Roman" w:hAnsi="Times New Roman" w:cs="Times New Roman"/>
              </w:rPr>
              <w:t>Príznaky súvisiace s</w:t>
            </w:r>
            <w:r w:rsidR="00AC11C1" w:rsidRPr="009C7651">
              <w:rPr>
                <w:rFonts w:ascii="Times New Roman" w:hAnsi="Times New Roman" w:cs="Times New Roman"/>
              </w:rPr>
              <w:t> </w:t>
            </w:r>
            <w:r w:rsidRPr="009C7651">
              <w:rPr>
                <w:rFonts w:ascii="Times New Roman" w:hAnsi="Times New Roman" w:cs="Times New Roman"/>
              </w:rPr>
              <w:t>HSR sa pri pokračujúcej liečbe zhoršujú a</w:t>
            </w:r>
            <w:r w:rsidR="00AC11C1" w:rsidRPr="009C7651">
              <w:rPr>
                <w:rFonts w:ascii="Times New Roman" w:hAnsi="Times New Roman" w:cs="Times New Roman"/>
              </w:rPr>
              <w:t> </w:t>
            </w:r>
            <w:r w:rsidRPr="009C7651">
              <w:rPr>
                <w:rFonts w:ascii="Times New Roman" w:hAnsi="Times New Roman" w:cs="Times New Roman"/>
              </w:rPr>
              <w:t>môžu byť život ohrozujúce. Po</w:t>
            </w:r>
            <w:r w:rsidR="00B423BE">
              <w:rPr>
                <w:rFonts w:ascii="Times New Roman" w:hAnsi="Times New Roman" w:cs="Times New Roman"/>
              </w:rPr>
              <w:t> </w:t>
            </w:r>
            <w:r w:rsidRPr="009C7651">
              <w:rPr>
                <w:rFonts w:ascii="Times New Roman" w:hAnsi="Times New Roman" w:cs="Times New Roman"/>
              </w:rPr>
              <w:t>ukončení liečby abakavirom tieto príznaky zvyčajne odznejú.</w:t>
            </w:r>
          </w:p>
          <w:p w:rsidR="00E56BE0" w:rsidRPr="008563CD" w:rsidRDefault="00E56BE0" w:rsidP="002B7B74">
            <w:pPr>
              <w:spacing w:line="240" w:lineRule="auto"/>
              <w:ind w:left="7"/>
              <w:rPr>
                <w:rFonts w:ascii="Times New Roman" w:hAnsi="Times New Roman" w:cs="Times New Roman"/>
              </w:rPr>
            </w:pPr>
            <w:r w:rsidRPr="009C7651">
              <w:rPr>
                <w:rFonts w:ascii="Times New Roman" w:hAnsi="Times New Roman" w:cs="Times New Roman"/>
              </w:rPr>
              <w:t>U</w:t>
            </w:r>
            <w:r w:rsidR="00AC11C1" w:rsidRPr="009C7651">
              <w:rPr>
                <w:rFonts w:ascii="Times New Roman" w:hAnsi="Times New Roman" w:cs="Times New Roman"/>
              </w:rPr>
              <w:t> </w:t>
            </w:r>
            <w:r w:rsidRPr="009C7651">
              <w:rPr>
                <w:rFonts w:ascii="Times New Roman" w:hAnsi="Times New Roman" w:cs="Times New Roman"/>
              </w:rPr>
              <w:t>pacientov, ktorí ukončili liečbu abakavirom z</w:t>
            </w:r>
            <w:r w:rsidR="00AC11C1" w:rsidRPr="009C7651">
              <w:rPr>
                <w:rFonts w:ascii="Times New Roman" w:hAnsi="Times New Roman" w:cs="Times New Roman"/>
              </w:rPr>
              <w:t> </w:t>
            </w:r>
            <w:r w:rsidRPr="009C7651">
              <w:rPr>
                <w:rFonts w:ascii="Times New Roman" w:hAnsi="Times New Roman" w:cs="Times New Roman"/>
              </w:rPr>
              <w:t>iných dôvodov ako sú príznaky HSR, sa tiež zriedkavo vyskytli život ohrozujúce reakcie v</w:t>
            </w:r>
            <w:r w:rsidR="00AC11C1" w:rsidRPr="009C7651">
              <w:rPr>
                <w:rFonts w:ascii="Times New Roman" w:hAnsi="Times New Roman" w:cs="Times New Roman"/>
              </w:rPr>
              <w:t> </w:t>
            </w:r>
            <w:r w:rsidRPr="009C7651">
              <w:rPr>
                <w:rFonts w:ascii="Times New Roman" w:hAnsi="Times New Roman" w:cs="Times New Roman"/>
              </w:rPr>
              <w:t>priebehu niekoľkých hodín po opätovnom začatí liečby abakavirom (pozri časť</w:t>
            </w:r>
            <w:r w:rsidR="00AC11C1" w:rsidRPr="009C7651">
              <w:rPr>
                <w:rFonts w:ascii="Times New Roman" w:hAnsi="Times New Roman" w:cs="Times New Roman"/>
              </w:rPr>
              <w:t> </w:t>
            </w:r>
            <w:r w:rsidRPr="009C7651">
              <w:rPr>
                <w:rFonts w:ascii="Times New Roman" w:hAnsi="Times New Roman" w:cs="Times New Roman"/>
              </w:rPr>
              <w:t>4.8 Popis vybraných nežiaducich reakcií). U</w:t>
            </w:r>
            <w:r w:rsidR="00AC11C1" w:rsidRPr="009C7651">
              <w:rPr>
                <w:rFonts w:ascii="Times New Roman" w:hAnsi="Times New Roman" w:cs="Times New Roman"/>
              </w:rPr>
              <w:t> </w:t>
            </w:r>
            <w:r w:rsidRPr="009C7651">
              <w:rPr>
                <w:rFonts w:ascii="Times New Roman" w:hAnsi="Times New Roman" w:cs="Times New Roman"/>
              </w:rPr>
              <w:t>takýchto pacientov sa musí opätovná liečba abakavirom začať v</w:t>
            </w:r>
            <w:r w:rsidR="00AC11C1" w:rsidRPr="009C7651">
              <w:rPr>
                <w:rFonts w:ascii="Times New Roman" w:hAnsi="Times New Roman" w:cs="Times New Roman"/>
              </w:rPr>
              <w:t> </w:t>
            </w:r>
            <w:r w:rsidRPr="009C7651">
              <w:rPr>
                <w:rFonts w:ascii="Times New Roman" w:hAnsi="Times New Roman" w:cs="Times New Roman"/>
              </w:rPr>
              <w:t>prostredí, v</w:t>
            </w:r>
            <w:r w:rsidR="00AC11C1" w:rsidRPr="009C7651">
              <w:rPr>
                <w:rFonts w:ascii="Times New Roman" w:hAnsi="Times New Roman" w:cs="Times New Roman"/>
              </w:rPr>
              <w:t> </w:t>
            </w:r>
            <w:r w:rsidRPr="009C7651">
              <w:rPr>
                <w:rFonts w:ascii="Times New Roman" w:hAnsi="Times New Roman" w:cs="Times New Roman"/>
              </w:rPr>
              <w:t>ktorom je okamžite k</w:t>
            </w:r>
            <w:r w:rsidR="00AC11C1" w:rsidRPr="009C7651">
              <w:rPr>
                <w:rFonts w:ascii="Times New Roman" w:hAnsi="Times New Roman" w:cs="Times New Roman"/>
              </w:rPr>
              <w:t> </w:t>
            </w:r>
            <w:r w:rsidRPr="009C7651">
              <w:rPr>
                <w:rFonts w:ascii="Times New Roman" w:hAnsi="Times New Roman" w:cs="Times New Roman"/>
              </w:rPr>
              <w:t>dispozícii lekárska pomoc</w:t>
            </w:r>
            <w:r w:rsidRPr="008563CD">
              <w:t>.</w:t>
            </w:r>
          </w:p>
        </w:tc>
      </w:tr>
    </w:tbl>
    <w:p w:rsidR="00E56BE0" w:rsidRPr="00D175E1" w:rsidRDefault="00E56BE0" w:rsidP="002B7B74">
      <w:pPr>
        <w:spacing w:line="240" w:lineRule="auto"/>
        <w:ind w:left="3" w:right="14"/>
      </w:pPr>
    </w:p>
    <w:p w:rsidR="00E56BE0" w:rsidRPr="00D175E1" w:rsidRDefault="00E56BE0" w:rsidP="00293EFF">
      <w:pPr>
        <w:keepNext/>
        <w:spacing w:line="240" w:lineRule="auto"/>
        <w:rPr>
          <w:u w:val="single"/>
        </w:rPr>
      </w:pPr>
      <w:r w:rsidRPr="00D175E1">
        <w:rPr>
          <w:u w:val="single"/>
        </w:rPr>
        <w:t>Telesná hmotnosť a</w:t>
      </w:r>
      <w:r w:rsidR="00275D4A" w:rsidRPr="00D175E1">
        <w:rPr>
          <w:u w:val="single"/>
        </w:rPr>
        <w:t> </w:t>
      </w:r>
      <w:r w:rsidRPr="00D175E1">
        <w:rPr>
          <w:u w:val="single"/>
        </w:rPr>
        <w:t>metabolické parametre</w:t>
      </w:r>
    </w:p>
    <w:p w:rsidR="00E56BE0" w:rsidRPr="003533C9" w:rsidRDefault="00E56BE0" w:rsidP="002B7B74">
      <w:pPr>
        <w:spacing w:line="240" w:lineRule="auto"/>
        <w:ind w:left="3" w:right="14"/>
      </w:pPr>
      <w:r w:rsidRPr="003533C9">
        <w:t>Počas antiretrovírusovej liečby môže dôjsť k</w:t>
      </w:r>
      <w:r w:rsidR="00AC11C1" w:rsidRPr="003533C9">
        <w:t> </w:t>
      </w:r>
      <w:r w:rsidRPr="003533C9">
        <w:t>zvýšeniu telesnej hmotnosti a</w:t>
      </w:r>
      <w:r w:rsidR="00AC11C1" w:rsidRPr="003533C9">
        <w:t> </w:t>
      </w:r>
      <w:r w:rsidRPr="003533C9">
        <w:t>hladín lipidov a</w:t>
      </w:r>
      <w:r w:rsidR="00AC11C1" w:rsidRPr="003533C9">
        <w:t> </w:t>
      </w:r>
      <w:r w:rsidRPr="003533C9">
        <w:t>glukózy v</w:t>
      </w:r>
      <w:r w:rsidR="00AC11C1" w:rsidRPr="003533C9">
        <w:t> </w:t>
      </w:r>
      <w:r w:rsidRPr="003533C9">
        <w:t>krvi. Takéto zmeny môžu čiastočne súvisieť s</w:t>
      </w:r>
      <w:r w:rsidR="00AC11C1" w:rsidRPr="003533C9">
        <w:t> </w:t>
      </w:r>
      <w:r w:rsidRPr="003533C9">
        <w:t>kontrolou ochorenia a</w:t>
      </w:r>
      <w:r w:rsidR="00AC11C1" w:rsidRPr="003533C9">
        <w:t> </w:t>
      </w:r>
      <w:r w:rsidRPr="003533C9">
        <w:t>životným štýlom. Pokiaľ ide o</w:t>
      </w:r>
      <w:r w:rsidR="00AC11C1" w:rsidRPr="003533C9">
        <w:t> </w:t>
      </w:r>
      <w:r w:rsidRPr="003533C9">
        <w:t>lipidy, v</w:t>
      </w:r>
      <w:r w:rsidR="00AC11C1" w:rsidRPr="003533C9">
        <w:t> </w:t>
      </w:r>
      <w:r w:rsidRPr="003533C9">
        <w:t>niektorých prípadoch sú dôkazy o</w:t>
      </w:r>
      <w:r w:rsidR="00AC11C1" w:rsidRPr="003533C9">
        <w:t> </w:t>
      </w:r>
      <w:r w:rsidRPr="003533C9">
        <w:t>vplyve liečby, kým pri prírastku telesnej hmotnosti nie sú silné dôkazy o</w:t>
      </w:r>
      <w:r w:rsidR="00AC11C1" w:rsidRPr="003533C9">
        <w:t> </w:t>
      </w:r>
      <w:r w:rsidRPr="003533C9">
        <w:t>tom, že súvisí s</w:t>
      </w:r>
      <w:r w:rsidR="00AC11C1" w:rsidRPr="003533C9">
        <w:t> </w:t>
      </w:r>
      <w:r w:rsidRPr="003533C9">
        <w:t xml:space="preserve">niektorou konkrétnou liečbou. Pri monitorovaní hladín lipidov </w:t>
      </w:r>
      <w:r w:rsidRPr="003533C9">
        <w:lastRenderedPageBreak/>
        <w:t>a</w:t>
      </w:r>
      <w:r w:rsidR="00AC11C1" w:rsidRPr="003533C9">
        <w:t> </w:t>
      </w:r>
      <w:r w:rsidRPr="003533C9">
        <w:t>glukózy v</w:t>
      </w:r>
      <w:r w:rsidR="00AC11C1" w:rsidRPr="003533C9">
        <w:t> </w:t>
      </w:r>
      <w:r w:rsidRPr="003533C9">
        <w:t>krvi sa treba riadiť zavedenými odporúčaniami na liečbu infekcie HIV. Poruchy metabolizmu lipidov ma</w:t>
      </w:r>
      <w:r w:rsidR="00AC11C1" w:rsidRPr="003533C9">
        <w:t>jú byť klinicky vhodne liečené.</w:t>
      </w:r>
    </w:p>
    <w:p w:rsidR="00E56BE0" w:rsidRPr="003533C9" w:rsidRDefault="00E56BE0" w:rsidP="002B7B74">
      <w:pPr>
        <w:spacing w:line="240" w:lineRule="auto"/>
        <w:ind w:left="3" w:right="14"/>
      </w:pPr>
    </w:p>
    <w:p w:rsidR="00E56BE0" w:rsidRPr="003533C9" w:rsidRDefault="00E56BE0" w:rsidP="00293EFF">
      <w:pPr>
        <w:keepNext/>
        <w:spacing w:line="240" w:lineRule="auto"/>
        <w:rPr>
          <w:u w:val="single"/>
        </w:rPr>
      </w:pPr>
      <w:r w:rsidRPr="003533C9">
        <w:rPr>
          <w:u w:val="single"/>
        </w:rPr>
        <w:t>Pankreatitída</w:t>
      </w:r>
    </w:p>
    <w:p w:rsidR="00E56BE0" w:rsidRPr="003533C9" w:rsidRDefault="00E56BE0" w:rsidP="002B7B74">
      <w:pPr>
        <w:spacing w:line="240" w:lineRule="auto"/>
        <w:ind w:left="3" w:right="14"/>
      </w:pPr>
      <w:r w:rsidRPr="003533C9">
        <w:t>Hlásená bola pankreatitída, ale príčinná súvislosť s</w:t>
      </w:r>
      <w:r w:rsidR="00C8245B" w:rsidRPr="003533C9">
        <w:t> </w:t>
      </w:r>
      <w:r w:rsidRPr="003533C9">
        <w:t>lamivudínom a</w:t>
      </w:r>
      <w:r w:rsidR="00C8245B" w:rsidRPr="003533C9">
        <w:t> </w:t>
      </w:r>
      <w:r w:rsidRPr="003533C9">
        <w:t>abakavirom nie je istá.</w:t>
      </w:r>
    </w:p>
    <w:p w:rsidR="00E56BE0" w:rsidRPr="003533C9" w:rsidRDefault="00E56BE0" w:rsidP="002B7B74">
      <w:pPr>
        <w:spacing w:line="240" w:lineRule="auto"/>
        <w:ind w:left="3" w:right="14"/>
      </w:pPr>
    </w:p>
    <w:p w:rsidR="00E56BE0" w:rsidRPr="003533C9" w:rsidRDefault="00E56BE0" w:rsidP="00293EFF">
      <w:pPr>
        <w:keepNext/>
        <w:spacing w:line="240" w:lineRule="auto"/>
        <w:rPr>
          <w:u w:val="single"/>
        </w:rPr>
      </w:pPr>
      <w:r w:rsidRPr="003533C9">
        <w:rPr>
          <w:u w:val="single"/>
        </w:rPr>
        <w:t>Riziko virologického zlyhania</w:t>
      </w:r>
    </w:p>
    <w:p w:rsidR="00E56BE0" w:rsidRPr="003533C9" w:rsidRDefault="00E56BE0" w:rsidP="002B7B74">
      <w:pPr>
        <w:pStyle w:val="Odsekzoznamu"/>
        <w:numPr>
          <w:ilvl w:val="0"/>
          <w:numId w:val="10"/>
        </w:numPr>
        <w:spacing w:line="240" w:lineRule="auto"/>
        <w:ind w:left="567" w:right="14" w:hanging="567"/>
      </w:pPr>
      <w:r w:rsidRPr="003533C9">
        <w:t>Trojitá nukleozidová terapia: Bola hlásená vysoká miera virologického zlyhania a</w:t>
      </w:r>
      <w:r w:rsidR="00C8245B" w:rsidRPr="003533C9">
        <w:t> </w:t>
      </w:r>
      <w:r w:rsidRPr="003533C9">
        <w:t>objavenie sa rezistencie v</w:t>
      </w:r>
      <w:r w:rsidR="00C8245B" w:rsidRPr="003533C9">
        <w:t> </w:t>
      </w:r>
      <w:r w:rsidRPr="003533C9">
        <w:t>skorom štádiu, keď sa abakavir a</w:t>
      </w:r>
      <w:r w:rsidR="00C8245B" w:rsidRPr="003533C9">
        <w:t> </w:t>
      </w:r>
      <w:r w:rsidRPr="003533C9">
        <w:t>lamivudín kombinoval s</w:t>
      </w:r>
      <w:r w:rsidR="00F41639" w:rsidRPr="003533C9">
        <w:t> </w:t>
      </w:r>
      <w:r w:rsidRPr="003533C9">
        <w:t>tenofovir</w:t>
      </w:r>
      <w:r w:rsidR="00F41639" w:rsidRPr="003533C9">
        <w:t>-</w:t>
      </w:r>
      <w:r w:rsidRPr="003533C9">
        <w:t>di</w:t>
      </w:r>
      <w:r w:rsidR="00F41639" w:rsidRPr="003533C9">
        <w:t>z</w:t>
      </w:r>
      <w:r w:rsidRPr="003533C9">
        <w:t>oproxilfumarátom v</w:t>
      </w:r>
      <w:r w:rsidR="00C8245B" w:rsidRPr="003533C9">
        <w:t> </w:t>
      </w:r>
      <w:r w:rsidRPr="003533C9">
        <w:t>dávkovacej schéme jedenkrát denne.</w:t>
      </w:r>
    </w:p>
    <w:p w:rsidR="00E56BE0" w:rsidRPr="003533C9" w:rsidRDefault="00E56BE0" w:rsidP="002B7B74">
      <w:pPr>
        <w:pStyle w:val="Odsekzoznamu"/>
        <w:numPr>
          <w:ilvl w:val="0"/>
          <w:numId w:val="10"/>
        </w:numPr>
        <w:spacing w:line="240" w:lineRule="auto"/>
        <w:ind w:left="567" w:right="14" w:hanging="567"/>
      </w:pPr>
      <w:r w:rsidRPr="003533C9">
        <w:t xml:space="preserve">Riziko virologického zlyhania môže byť väčšie pri </w:t>
      </w:r>
      <w:r w:rsidR="00400192" w:rsidRPr="003533C9">
        <w:t>a</w:t>
      </w:r>
      <w:r w:rsidR="00C8245B" w:rsidRPr="003533C9">
        <w:t>bakavir</w:t>
      </w:r>
      <w:r w:rsidR="00400192" w:rsidRPr="003533C9">
        <w:t>e</w:t>
      </w:r>
      <w:r w:rsidR="00C8245B" w:rsidRPr="003533C9">
        <w:t>/</w:t>
      </w:r>
      <w:r w:rsidR="00400192" w:rsidRPr="003533C9">
        <w:t>l</w:t>
      </w:r>
      <w:r w:rsidR="00C8245B" w:rsidRPr="003533C9">
        <w:t>amivudín</w:t>
      </w:r>
      <w:r w:rsidR="00400192" w:rsidRPr="003533C9">
        <w:t>e</w:t>
      </w:r>
      <w:r w:rsidR="00C8245B" w:rsidRPr="003533C9">
        <w:t xml:space="preserve"> </w:t>
      </w:r>
      <w:r w:rsidRPr="003533C9">
        <w:t>ako pri i</w:t>
      </w:r>
      <w:r w:rsidR="00400192" w:rsidRPr="003533C9">
        <w:t xml:space="preserve">ných terapeutických možnostiach. </w:t>
      </w:r>
      <w:r w:rsidRPr="003533C9">
        <w:t>(pozri časť</w:t>
      </w:r>
      <w:r w:rsidR="00275D4A" w:rsidRPr="003533C9">
        <w:t> </w:t>
      </w:r>
      <w:r w:rsidRPr="003533C9">
        <w:t>5.1).</w:t>
      </w:r>
    </w:p>
    <w:p w:rsidR="00E56BE0" w:rsidRPr="00007196" w:rsidRDefault="00E56BE0" w:rsidP="002B7B74">
      <w:pPr>
        <w:spacing w:line="240" w:lineRule="auto"/>
        <w:ind w:left="3" w:right="14"/>
      </w:pPr>
    </w:p>
    <w:p w:rsidR="00E56BE0" w:rsidRPr="00007196" w:rsidRDefault="00E56BE0" w:rsidP="00293EFF">
      <w:pPr>
        <w:keepNext/>
        <w:spacing w:line="240" w:lineRule="auto"/>
        <w:rPr>
          <w:u w:val="single"/>
        </w:rPr>
      </w:pPr>
      <w:r w:rsidRPr="00007196">
        <w:rPr>
          <w:u w:val="single"/>
        </w:rPr>
        <w:t>Ochorenie pečene</w:t>
      </w:r>
    </w:p>
    <w:p w:rsidR="00E56BE0" w:rsidRPr="00007196" w:rsidRDefault="00E56BE0" w:rsidP="002B7B74">
      <w:pPr>
        <w:spacing w:line="240" w:lineRule="auto"/>
        <w:ind w:left="3" w:right="14"/>
      </w:pPr>
      <w:r w:rsidRPr="00007196">
        <w:t xml:space="preserve">Bezpečnosť a účinnosť </w:t>
      </w:r>
      <w:r w:rsidR="00400192" w:rsidRPr="00007196">
        <w:t>abakaviru/lamivudínu</w:t>
      </w:r>
      <w:r w:rsidRPr="00007196">
        <w:t xml:space="preserve"> nebol</w:t>
      </w:r>
      <w:r w:rsidR="00275D4A" w:rsidRPr="00007196">
        <w:t>i</w:t>
      </w:r>
      <w:r w:rsidRPr="00007196">
        <w:t xml:space="preserve"> stanoven</w:t>
      </w:r>
      <w:r w:rsidR="00275D4A" w:rsidRPr="00007196">
        <w:t>é</w:t>
      </w:r>
      <w:r w:rsidRPr="00007196">
        <w:t xml:space="preserve"> u</w:t>
      </w:r>
      <w:r w:rsidR="00400192" w:rsidRPr="00007196">
        <w:t> </w:t>
      </w:r>
      <w:r w:rsidRPr="00007196">
        <w:t>pacientov s</w:t>
      </w:r>
      <w:r w:rsidR="00400192" w:rsidRPr="00007196">
        <w:t> </w:t>
      </w:r>
      <w:r w:rsidRPr="00007196">
        <w:t xml:space="preserve">významnými základnými poruchami pečene. </w:t>
      </w:r>
      <w:r w:rsidR="004A5B2D" w:rsidRPr="00007196">
        <w:t>Abakavir/</w:t>
      </w:r>
      <w:r w:rsidR="00275D4A" w:rsidRPr="00007196">
        <w:t>l</w:t>
      </w:r>
      <w:r w:rsidR="004A5B2D" w:rsidRPr="00007196">
        <w:t xml:space="preserve">amivudín </w:t>
      </w:r>
      <w:r w:rsidRPr="00007196">
        <w:t>sa neodporúča používať u</w:t>
      </w:r>
      <w:r w:rsidR="00400192" w:rsidRPr="00007196">
        <w:t> </w:t>
      </w:r>
      <w:r w:rsidRPr="00007196">
        <w:t>pacientov so stredne ťažkou alebo ťažkou poruchou funkcie pečene (pozri časti</w:t>
      </w:r>
      <w:r w:rsidR="00400192" w:rsidRPr="00007196">
        <w:t> </w:t>
      </w:r>
      <w:r w:rsidRPr="00007196">
        <w:t>4.2 a</w:t>
      </w:r>
      <w:r w:rsidR="00400192" w:rsidRPr="00007196">
        <w:t> </w:t>
      </w:r>
      <w:r w:rsidRPr="00007196">
        <w:t>5.2).</w:t>
      </w:r>
    </w:p>
    <w:p w:rsidR="00E56BE0" w:rsidRPr="00007196" w:rsidRDefault="00E56BE0" w:rsidP="002B7B74">
      <w:pPr>
        <w:spacing w:line="240" w:lineRule="auto"/>
        <w:ind w:left="3" w:right="14"/>
      </w:pPr>
    </w:p>
    <w:p w:rsidR="00E56BE0" w:rsidRPr="00007196" w:rsidRDefault="00E56BE0" w:rsidP="002B7B74">
      <w:pPr>
        <w:spacing w:line="240" w:lineRule="auto"/>
        <w:ind w:left="3" w:right="14"/>
      </w:pPr>
      <w:r w:rsidRPr="00007196">
        <w:t>Pacienti s</w:t>
      </w:r>
      <w:r w:rsidR="00400192" w:rsidRPr="00007196">
        <w:t> </w:t>
      </w:r>
      <w:r w:rsidRPr="00007196">
        <w:t>existujúcou dysfunkciou pečene vrátane chronickej aktívnej hepatitídy majú počas kombinovanej antiretrovírusovej terapie zvýšenú frekvenciu abnormalít funkcie pečene a</w:t>
      </w:r>
      <w:r w:rsidR="00400192" w:rsidRPr="00007196">
        <w:t> </w:t>
      </w:r>
      <w:r w:rsidRPr="00007196">
        <w:t>musia sa monitorovať v</w:t>
      </w:r>
      <w:r w:rsidR="00400192" w:rsidRPr="00007196">
        <w:t> </w:t>
      </w:r>
      <w:r w:rsidRPr="00007196">
        <w:t>súlade so štandardným postupom. V</w:t>
      </w:r>
      <w:r w:rsidR="00400192" w:rsidRPr="00007196">
        <w:t> </w:t>
      </w:r>
      <w:r w:rsidRPr="00007196">
        <w:t>prípade, že u</w:t>
      </w:r>
      <w:r w:rsidR="00400192" w:rsidRPr="00007196">
        <w:t> </w:t>
      </w:r>
      <w:r w:rsidRPr="00007196">
        <w:t>takýc</w:t>
      </w:r>
      <w:r w:rsidR="00400192" w:rsidRPr="00007196">
        <w:t>hto pacientov existujú dôkazy o </w:t>
      </w:r>
      <w:r w:rsidRPr="00007196">
        <w:t>zhoršovaní ochorenia pečene, musí sa zvážiť prerušenie alebo ukončenie liečby.</w:t>
      </w:r>
    </w:p>
    <w:p w:rsidR="00E56BE0" w:rsidRPr="00007196" w:rsidRDefault="00E56BE0" w:rsidP="002B7B74">
      <w:pPr>
        <w:spacing w:line="240" w:lineRule="auto"/>
        <w:ind w:left="3" w:right="14"/>
      </w:pPr>
    </w:p>
    <w:p w:rsidR="00E56BE0" w:rsidRPr="00007196" w:rsidRDefault="00400192" w:rsidP="00293EFF">
      <w:pPr>
        <w:keepNext/>
        <w:spacing w:line="240" w:lineRule="auto"/>
        <w:rPr>
          <w:u w:val="single"/>
        </w:rPr>
      </w:pPr>
      <w:r w:rsidRPr="00007196">
        <w:rPr>
          <w:u w:val="single"/>
        </w:rPr>
        <w:t>Pacienti súbežne chronicky infikovaní vírusom hepatitídy B alebo C</w:t>
      </w:r>
    </w:p>
    <w:p w:rsidR="00E56BE0" w:rsidRPr="00007196" w:rsidRDefault="00E56BE0" w:rsidP="002B7B74">
      <w:pPr>
        <w:spacing w:line="240" w:lineRule="auto"/>
        <w:ind w:left="3" w:right="14"/>
      </w:pPr>
      <w:r w:rsidRPr="00007196">
        <w:t>U</w:t>
      </w:r>
      <w:r w:rsidR="00400192" w:rsidRPr="00007196">
        <w:t> </w:t>
      </w:r>
      <w:r w:rsidRPr="00007196">
        <w:t>pacientov s</w:t>
      </w:r>
      <w:r w:rsidR="00400192" w:rsidRPr="00007196">
        <w:t> </w:t>
      </w:r>
      <w:r w:rsidRPr="00007196">
        <w:t>chronickou hepatitídou B alebo C liečených kombinovanou antiretrovírusovou terapiou existuje zvýšené riziko ťažkých a</w:t>
      </w:r>
      <w:r w:rsidR="00400192" w:rsidRPr="00007196">
        <w:t> </w:t>
      </w:r>
      <w:r w:rsidRPr="00007196">
        <w:t>potenciálne fatálnych hepatálnych nežiaducich reakcií. V</w:t>
      </w:r>
      <w:r w:rsidR="00400192" w:rsidRPr="00007196">
        <w:t> </w:t>
      </w:r>
      <w:r w:rsidRPr="00007196">
        <w:t>prípade sú</w:t>
      </w:r>
      <w:r w:rsidR="00804990" w:rsidRPr="00007196">
        <w:t>bežnej</w:t>
      </w:r>
      <w:r w:rsidRPr="00007196">
        <w:t xml:space="preserve"> protivírusovej liečby hepatitídy B alebo C sa</w:t>
      </w:r>
      <w:r w:rsidR="00400192" w:rsidRPr="00007196">
        <w:t xml:space="preserve"> </w:t>
      </w:r>
      <w:r w:rsidRPr="00007196">
        <w:t>riaďte aj príslušným</w:t>
      </w:r>
      <w:r w:rsidR="00400192" w:rsidRPr="00007196">
        <w:t>i informáciami pre tieto lieky.</w:t>
      </w:r>
    </w:p>
    <w:p w:rsidR="00E56BE0" w:rsidRPr="00007196" w:rsidRDefault="00E56BE0" w:rsidP="002B7B74">
      <w:pPr>
        <w:spacing w:line="240" w:lineRule="auto"/>
        <w:ind w:left="3" w:right="14"/>
      </w:pPr>
    </w:p>
    <w:p w:rsidR="00E56BE0" w:rsidRPr="00007196" w:rsidRDefault="00E56BE0" w:rsidP="002B7B74">
      <w:pPr>
        <w:spacing w:line="240" w:lineRule="auto"/>
        <w:ind w:left="3" w:right="14"/>
      </w:pPr>
      <w:r w:rsidRPr="00007196">
        <w:t>Ak sa lamivudín používa sú</w:t>
      </w:r>
      <w:r w:rsidR="005B7DA8" w:rsidRPr="00007196">
        <w:t>bežne</w:t>
      </w:r>
      <w:r w:rsidRPr="00007196">
        <w:t xml:space="preserve"> na liečbu infekcie HIV a</w:t>
      </w:r>
      <w:r w:rsidR="00400192" w:rsidRPr="00007196">
        <w:t> </w:t>
      </w:r>
      <w:r w:rsidRPr="00007196">
        <w:t xml:space="preserve">infekcie </w:t>
      </w:r>
      <w:r w:rsidR="00362745" w:rsidRPr="00007196">
        <w:t xml:space="preserve">spôsobenej </w:t>
      </w:r>
      <w:r w:rsidRPr="00007196">
        <w:t xml:space="preserve">vírusom hepatitídy B (HBV), ďalšie informácie týkajúce sa použitia lamivudínu </w:t>
      </w:r>
      <w:r w:rsidR="00EA503F" w:rsidRPr="00007196">
        <w:t>na</w:t>
      </w:r>
      <w:r w:rsidR="00400192" w:rsidRPr="00007196">
        <w:t> </w:t>
      </w:r>
      <w:r w:rsidRPr="00007196">
        <w:t>liečb</w:t>
      </w:r>
      <w:r w:rsidR="00EA503F" w:rsidRPr="00007196">
        <w:t>u</w:t>
      </w:r>
      <w:r w:rsidRPr="00007196">
        <w:t xml:space="preserve"> infekcie hepatitíd</w:t>
      </w:r>
      <w:r w:rsidR="005B7DA8" w:rsidRPr="00007196">
        <w:t>y</w:t>
      </w:r>
      <w:r w:rsidRPr="00007196">
        <w:t xml:space="preserve"> B je možné nájsť v</w:t>
      </w:r>
      <w:r w:rsidR="00400192" w:rsidRPr="00007196">
        <w:t> </w:t>
      </w:r>
      <w:r w:rsidRPr="00007196">
        <w:t>súhrne charakteristických vlastností liekov obsahujúcich lamivudín, kto</w:t>
      </w:r>
      <w:r w:rsidR="00400192" w:rsidRPr="00007196">
        <w:t>ré sú indikované na</w:t>
      </w:r>
      <w:r w:rsidR="00B423BE">
        <w:t> </w:t>
      </w:r>
      <w:r w:rsidR="00400192" w:rsidRPr="00007196">
        <w:t>liečbu HBV.</w:t>
      </w:r>
    </w:p>
    <w:p w:rsidR="00E56BE0" w:rsidRPr="00007196" w:rsidRDefault="00E56BE0" w:rsidP="002B7B74">
      <w:pPr>
        <w:spacing w:line="240" w:lineRule="auto"/>
        <w:ind w:left="3" w:right="14"/>
      </w:pPr>
    </w:p>
    <w:p w:rsidR="00E56BE0" w:rsidRPr="00007196" w:rsidRDefault="00E56BE0" w:rsidP="002B7B74">
      <w:pPr>
        <w:spacing w:line="240" w:lineRule="auto"/>
        <w:ind w:left="3" w:right="14"/>
      </w:pPr>
      <w:r w:rsidRPr="00007196">
        <w:t>Ak je u</w:t>
      </w:r>
      <w:r w:rsidR="00400192" w:rsidRPr="00007196">
        <w:t> </w:t>
      </w:r>
      <w:r w:rsidRPr="00007196">
        <w:t>pacientov sú</w:t>
      </w:r>
      <w:r w:rsidR="00A66592" w:rsidRPr="00007196">
        <w:t>bežne</w:t>
      </w:r>
      <w:r w:rsidRPr="00007196">
        <w:t xml:space="preserve"> infikovaných HBV liečba </w:t>
      </w:r>
      <w:r w:rsidR="00400192" w:rsidRPr="00007196">
        <w:t>abakavirom/lamivudínom</w:t>
      </w:r>
      <w:r w:rsidRPr="00007196">
        <w:t xml:space="preserve"> prerušená, odporúča sa p</w:t>
      </w:r>
      <w:r w:rsidR="009D2267" w:rsidRPr="00042751">
        <w:t>ravidelné</w:t>
      </w:r>
      <w:r w:rsidRPr="00007196">
        <w:t xml:space="preserve"> monitorovanie </w:t>
      </w:r>
      <w:r w:rsidR="001769B6" w:rsidRPr="00007196">
        <w:t>funkčných vyšetrení pečen</w:t>
      </w:r>
      <w:r w:rsidR="009D2267" w:rsidRPr="00007196">
        <w:t>e</w:t>
      </w:r>
      <w:r w:rsidRPr="00007196">
        <w:t xml:space="preserve"> a</w:t>
      </w:r>
      <w:r w:rsidR="00400192" w:rsidRPr="00007196">
        <w:t> </w:t>
      </w:r>
      <w:r w:rsidRPr="00007196">
        <w:t>markerov replikáci</w:t>
      </w:r>
      <w:r w:rsidR="009D2267" w:rsidRPr="00007196">
        <w:t>e</w:t>
      </w:r>
      <w:r w:rsidRPr="00007196">
        <w:t xml:space="preserve"> vírusu HBV, pretože </w:t>
      </w:r>
      <w:r w:rsidR="009D2267" w:rsidRPr="00007196">
        <w:t>prerušenie</w:t>
      </w:r>
      <w:r w:rsidRPr="00007196">
        <w:t xml:space="preserve"> liečby lamivudínom môže mať za následok akútnu exacerbáciu hepatitídy (pozri súhrn charakteristických vlastností liekov obsahujúcich lamivudín, ktor</w:t>
      </w:r>
      <w:r w:rsidR="00400192" w:rsidRPr="00007196">
        <w:t>é sú indikované na liečbu HBV).</w:t>
      </w:r>
    </w:p>
    <w:p w:rsidR="00E56BE0" w:rsidRPr="00007196" w:rsidRDefault="00E56BE0" w:rsidP="002B7B74">
      <w:pPr>
        <w:spacing w:line="240" w:lineRule="auto"/>
        <w:ind w:left="3" w:right="14"/>
      </w:pPr>
    </w:p>
    <w:p w:rsidR="00E56BE0" w:rsidRPr="00007196" w:rsidRDefault="00E56BE0" w:rsidP="00293EFF">
      <w:pPr>
        <w:keepNext/>
        <w:spacing w:line="240" w:lineRule="auto"/>
        <w:rPr>
          <w:u w:val="single"/>
        </w:rPr>
      </w:pPr>
      <w:r w:rsidRPr="00007196">
        <w:rPr>
          <w:u w:val="single"/>
        </w:rPr>
        <w:t xml:space="preserve">Mitochondriálna dysfunkcia po expozícii </w:t>
      </w:r>
      <w:r w:rsidRPr="00042751">
        <w:rPr>
          <w:i/>
          <w:u w:val="single"/>
        </w:rPr>
        <w:t>in utero</w:t>
      </w:r>
    </w:p>
    <w:p w:rsidR="00E56BE0" w:rsidRPr="00007196" w:rsidRDefault="00E56BE0" w:rsidP="002B7B74">
      <w:pPr>
        <w:spacing w:line="240" w:lineRule="auto"/>
        <w:ind w:left="3" w:right="14"/>
      </w:pPr>
      <w:r w:rsidRPr="00007196">
        <w:t xml:space="preserve">Nukleozidové </w:t>
      </w:r>
      <w:r w:rsidR="009D2267" w:rsidRPr="00007196">
        <w:t xml:space="preserve">a nukleotidové </w:t>
      </w:r>
      <w:r w:rsidRPr="00007196">
        <w:t>analógy môžu spôsobovať rôzny stupeň ovplyvnenia mitochondriálnej funkcie, čo sa najviac prejavuje</w:t>
      </w:r>
      <w:r w:rsidR="00A26B3B" w:rsidRPr="00007196">
        <w:t xml:space="preserve"> pri použití</w:t>
      </w:r>
      <w:r w:rsidRPr="00007196">
        <w:t xml:space="preserve"> stavudín</w:t>
      </w:r>
      <w:r w:rsidR="00A26B3B" w:rsidRPr="00007196">
        <w:t>u</w:t>
      </w:r>
      <w:r w:rsidRPr="00007196">
        <w:t>, didanozín</w:t>
      </w:r>
      <w:r w:rsidR="00A26B3B" w:rsidRPr="00007196">
        <w:t>u</w:t>
      </w:r>
      <w:r w:rsidRPr="00007196">
        <w:t xml:space="preserve"> a</w:t>
      </w:r>
      <w:r w:rsidR="00400192" w:rsidRPr="00007196">
        <w:t> </w:t>
      </w:r>
      <w:r w:rsidRPr="00007196">
        <w:t>zidovudín</w:t>
      </w:r>
      <w:r w:rsidR="00A26B3B" w:rsidRPr="00007196">
        <w:t>u</w:t>
      </w:r>
      <w:r w:rsidRPr="00007196">
        <w:t>. Mitochondriálna dysfunkcia bola zaznamenaná u</w:t>
      </w:r>
      <w:r w:rsidR="00400192" w:rsidRPr="00007196">
        <w:t> </w:t>
      </w:r>
      <w:r w:rsidRPr="00007196">
        <w:t xml:space="preserve">HIV-negatívnych dojčiat vystavených nukleozidovým analógom </w:t>
      </w:r>
      <w:r w:rsidRPr="00042751">
        <w:rPr>
          <w:i/>
        </w:rPr>
        <w:t>in</w:t>
      </w:r>
      <w:r w:rsidR="00B423BE">
        <w:rPr>
          <w:i/>
        </w:rPr>
        <w:t> </w:t>
      </w:r>
      <w:r w:rsidRPr="00042751">
        <w:rPr>
          <w:i/>
        </w:rPr>
        <w:t>utero</w:t>
      </w:r>
      <w:r w:rsidRPr="00007196">
        <w:t xml:space="preserve"> a/alebo postnatálne. Tieto hlásenia sa týkali prevažne liečebných režimov obsahujúcich zidovudín. Hlavné zaznamenané nežiaduce reakcie sú hematologické poruchy (anémia, neutropénia) a</w:t>
      </w:r>
      <w:r w:rsidR="00400192" w:rsidRPr="00007196">
        <w:t> </w:t>
      </w:r>
      <w:r w:rsidRPr="00007196">
        <w:t>metabolické poruchy (hyperlaktatémia, hyperlipazémia). Tieto účinky boli často prechodné. Zriedkavo boli zaznamenané neurologické poruchy s</w:t>
      </w:r>
      <w:r w:rsidR="00400192" w:rsidRPr="00007196">
        <w:t> </w:t>
      </w:r>
      <w:r w:rsidRPr="00007196">
        <w:t>oneskoreným nástupom (hypertónia, konvulzia, abnormálne správanie). V</w:t>
      </w:r>
      <w:r w:rsidR="00400192" w:rsidRPr="00007196">
        <w:t> </w:t>
      </w:r>
      <w:r w:rsidRPr="00007196">
        <w:t xml:space="preserve">súčasnosti nie je známe, či sú tieto neurologické poruchy prechodné alebo trvalé. Tieto zistenia sa majú vziať do úvahy pre každé dieťa vystavené nukleozidovým </w:t>
      </w:r>
      <w:r w:rsidR="00A26B3B" w:rsidRPr="00007196">
        <w:t xml:space="preserve">a nukleotidovým </w:t>
      </w:r>
      <w:r w:rsidRPr="00007196">
        <w:t xml:space="preserve">analógom </w:t>
      </w:r>
      <w:r w:rsidRPr="00007196">
        <w:rPr>
          <w:i/>
        </w:rPr>
        <w:t>in utero</w:t>
      </w:r>
      <w:r w:rsidRPr="00007196">
        <w:t>, u</w:t>
      </w:r>
      <w:r w:rsidR="00400192" w:rsidRPr="00007196">
        <w:t> </w:t>
      </w:r>
      <w:r w:rsidRPr="00007196">
        <w:t>ktor</w:t>
      </w:r>
      <w:r w:rsidR="00A26B3B" w:rsidRPr="00007196">
        <w:t>ého</w:t>
      </w:r>
      <w:r w:rsidRPr="00007196">
        <w:t xml:space="preserve"> sa vyskytnú závažné klinické nálezy neznámej etiológie, a</w:t>
      </w:r>
      <w:r w:rsidR="00275D4A" w:rsidRPr="00007196">
        <w:t> </w:t>
      </w:r>
      <w:r w:rsidRPr="00007196">
        <w:t>to hlavne neurologické nálezy. Tieto zistenia neovplyvňujú súčasné národné odporúčania pre použitie antiretrovírusovej terapie u</w:t>
      </w:r>
      <w:r w:rsidR="00400192" w:rsidRPr="00007196">
        <w:t> </w:t>
      </w:r>
      <w:r w:rsidRPr="00007196">
        <w:t>gravidných žien na zabrá</w:t>
      </w:r>
      <w:r w:rsidR="00400192" w:rsidRPr="00007196">
        <w:t>nenie vertikálneho prenosu HIV.</w:t>
      </w:r>
    </w:p>
    <w:p w:rsidR="00E56BE0" w:rsidRPr="00007196" w:rsidRDefault="00E56BE0" w:rsidP="002B7B74">
      <w:pPr>
        <w:spacing w:line="240" w:lineRule="auto"/>
        <w:ind w:left="3" w:right="14"/>
      </w:pPr>
    </w:p>
    <w:p w:rsidR="00E56BE0" w:rsidRPr="00007196" w:rsidRDefault="00E56BE0" w:rsidP="00293EFF">
      <w:pPr>
        <w:keepNext/>
        <w:spacing w:line="240" w:lineRule="auto"/>
        <w:rPr>
          <w:u w:val="single"/>
        </w:rPr>
      </w:pPr>
      <w:r w:rsidRPr="00007196">
        <w:rPr>
          <w:u w:val="single"/>
        </w:rPr>
        <w:t>Syndróm imunitnej reaktivácie</w:t>
      </w:r>
    </w:p>
    <w:p w:rsidR="00E56BE0" w:rsidRPr="00007196" w:rsidRDefault="00E56BE0" w:rsidP="002B7B74">
      <w:pPr>
        <w:spacing w:line="240" w:lineRule="auto"/>
        <w:ind w:left="3" w:right="14"/>
      </w:pPr>
      <w:r w:rsidRPr="00007196">
        <w:t>U</w:t>
      </w:r>
      <w:r w:rsidR="00400192" w:rsidRPr="00007196">
        <w:t> </w:t>
      </w:r>
      <w:r w:rsidRPr="00007196">
        <w:t>HIV-infikovaných pacientov s</w:t>
      </w:r>
      <w:r w:rsidR="00400192" w:rsidRPr="00007196">
        <w:t> </w:t>
      </w:r>
      <w:r w:rsidRPr="00007196">
        <w:t>ťažkou imunodeficienciou môže v</w:t>
      </w:r>
      <w:r w:rsidR="00400192" w:rsidRPr="00007196">
        <w:t> </w:t>
      </w:r>
      <w:r w:rsidRPr="00007196">
        <w:t>čase nasadenia kombinovanej antiretrovírusovej terapie (Combination Antiretroviral Therapy, CART) vzniknúť zápalová reakcia na</w:t>
      </w:r>
      <w:r w:rsidR="00B423BE">
        <w:t> </w:t>
      </w:r>
      <w:r w:rsidRPr="00007196">
        <w:t>asymptomatické alebo reziduálne oportúnne patogény a</w:t>
      </w:r>
      <w:r w:rsidR="00400192" w:rsidRPr="00007196">
        <w:t> </w:t>
      </w:r>
      <w:r w:rsidRPr="00007196">
        <w:t xml:space="preserve">spôsobiť závažné klinické stavy alebo </w:t>
      </w:r>
      <w:r w:rsidRPr="00007196">
        <w:lastRenderedPageBreak/>
        <w:t xml:space="preserve">zhoršenie symptómov. Takéto reakcie sú </w:t>
      </w:r>
      <w:r w:rsidR="007040BE" w:rsidRPr="00007196">
        <w:t>zvyčajne</w:t>
      </w:r>
      <w:r w:rsidRPr="00007196">
        <w:t xml:space="preserve"> pozorované počas prvých niekoľkých týždňov alebo mesiacov po za</w:t>
      </w:r>
      <w:r w:rsidR="00400192" w:rsidRPr="00007196">
        <w:t>čatí</w:t>
      </w:r>
      <w:r w:rsidRPr="00007196">
        <w:t xml:space="preserve"> CART. Relevantnými príkladmi sú cytomegalovírusová retinitída, generalizované a/alebo fokálne mykobakteriálne infekcie a</w:t>
      </w:r>
      <w:r w:rsidR="00400192" w:rsidRPr="00007196">
        <w:t> </w:t>
      </w:r>
      <w:r w:rsidRPr="00007196">
        <w:t xml:space="preserve">pneumónia spôsobená </w:t>
      </w:r>
      <w:r w:rsidRPr="00007196">
        <w:rPr>
          <w:i/>
        </w:rPr>
        <w:t>Pneumocystis carinii</w:t>
      </w:r>
      <w:r w:rsidRPr="00007196">
        <w:t>. Akékoľvek zápalové symptómy sa musia zhodnotiť a</w:t>
      </w:r>
      <w:r w:rsidR="00400192" w:rsidRPr="00007196">
        <w:t> </w:t>
      </w:r>
      <w:r w:rsidRPr="00007196">
        <w:t>v</w:t>
      </w:r>
      <w:r w:rsidR="00400192" w:rsidRPr="00007196">
        <w:t> </w:t>
      </w:r>
      <w:r w:rsidRPr="00007196">
        <w:t xml:space="preserve">prípade potreby sa musí </w:t>
      </w:r>
      <w:r w:rsidR="007040BE" w:rsidRPr="00007196">
        <w:t xml:space="preserve">začať </w:t>
      </w:r>
      <w:r w:rsidRPr="00007196">
        <w:t>liečba. V</w:t>
      </w:r>
      <w:r w:rsidR="0034278A" w:rsidRPr="00007196">
        <w:t> súvislosti s </w:t>
      </w:r>
      <w:r w:rsidRPr="00007196">
        <w:t>imunitn</w:t>
      </w:r>
      <w:r w:rsidR="0034278A" w:rsidRPr="00007196">
        <w:t>ou</w:t>
      </w:r>
      <w:r w:rsidRPr="00007196">
        <w:t xml:space="preserve"> reaktiváci</w:t>
      </w:r>
      <w:r w:rsidR="0034278A" w:rsidRPr="00007196">
        <w:t>ou</w:t>
      </w:r>
      <w:r w:rsidRPr="00007196">
        <w:t xml:space="preserve"> bol hlásený aj výskyt autoimunitných porúch (akou je Gravesova choroba); hlásený čas ich vzniku je však premenlivejší a tieto nežiaduce udalosti sa môžu vyskytnúť m</w:t>
      </w:r>
      <w:r w:rsidR="00400192" w:rsidRPr="00007196">
        <w:t>noho mesiacov po začatí liečby.</w:t>
      </w:r>
    </w:p>
    <w:p w:rsidR="00E56BE0" w:rsidRPr="00007196" w:rsidRDefault="00E56BE0" w:rsidP="002B7B74">
      <w:pPr>
        <w:spacing w:line="240" w:lineRule="auto"/>
        <w:ind w:left="3" w:right="14"/>
      </w:pPr>
    </w:p>
    <w:p w:rsidR="00E56BE0" w:rsidRPr="00007196" w:rsidRDefault="00E56BE0" w:rsidP="00293EFF">
      <w:pPr>
        <w:keepNext/>
        <w:spacing w:line="240" w:lineRule="auto"/>
      </w:pPr>
      <w:r w:rsidRPr="00007196">
        <w:rPr>
          <w:u w:val="single"/>
        </w:rPr>
        <w:t>Osteonekróza</w:t>
      </w:r>
    </w:p>
    <w:p w:rsidR="00E56BE0" w:rsidRPr="00007196" w:rsidRDefault="00E56BE0" w:rsidP="002B7B74">
      <w:pPr>
        <w:spacing w:line="240" w:lineRule="auto"/>
        <w:ind w:left="3" w:right="14"/>
      </w:pPr>
      <w:r w:rsidRPr="00007196">
        <w:t>Aj keď sa etiológia považuje za mnohofaktorovú (vrátane používania kortikosteroidov, konzumácie alkoholu, ťažkej imunosupresie, vyššieho indexu telesnej hmotnosti), boli hlásené prípady osteonekrózy, najmä u</w:t>
      </w:r>
      <w:r w:rsidR="00400192" w:rsidRPr="00007196">
        <w:t> </w:t>
      </w:r>
      <w:r w:rsidRPr="00007196">
        <w:t>pacientov s</w:t>
      </w:r>
      <w:r w:rsidR="00400192" w:rsidRPr="00007196">
        <w:t> </w:t>
      </w:r>
      <w:r w:rsidRPr="00007196">
        <w:t>pokročilým HIV ochorením a/alebo dlhodobou expozíciou CART. Pacientom sa má odporučiť, aby vyhľadali lekársku pomoc, ak budú mať boles</w:t>
      </w:r>
      <w:r w:rsidR="001C3AEB" w:rsidRPr="00042751">
        <w:t>ti</w:t>
      </w:r>
      <w:r w:rsidRPr="00007196">
        <w:t xml:space="preserve"> kĺbov, stuhnutosť kĺbov alebo ťažkosti s</w:t>
      </w:r>
      <w:r w:rsidR="00400192" w:rsidRPr="00007196">
        <w:t> </w:t>
      </w:r>
      <w:r w:rsidRPr="00007196">
        <w:t>pohybom.</w:t>
      </w:r>
    </w:p>
    <w:p w:rsidR="00E56BE0" w:rsidRPr="00007196" w:rsidRDefault="00E56BE0" w:rsidP="002B7B74">
      <w:pPr>
        <w:spacing w:line="240" w:lineRule="auto"/>
        <w:ind w:left="3" w:right="14"/>
      </w:pPr>
    </w:p>
    <w:p w:rsidR="00E56BE0" w:rsidRPr="00007196" w:rsidRDefault="00E56BE0" w:rsidP="00293EFF">
      <w:pPr>
        <w:keepNext/>
        <w:spacing w:line="240" w:lineRule="auto"/>
      </w:pPr>
      <w:r w:rsidRPr="00007196">
        <w:rPr>
          <w:u w:val="single"/>
        </w:rPr>
        <w:t>Oportúnne infekcie</w:t>
      </w:r>
    </w:p>
    <w:p w:rsidR="00E56BE0" w:rsidRPr="00007196" w:rsidRDefault="00E56BE0" w:rsidP="002B7B74">
      <w:pPr>
        <w:spacing w:line="240" w:lineRule="auto"/>
        <w:ind w:left="3" w:right="14"/>
      </w:pPr>
      <w:r w:rsidRPr="00007196">
        <w:t xml:space="preserve">Pacienti musia byť poučení, že </w:t>
      </w:r>
      <w:r w:rsidR="00400192" w:rsidRPr="00007196">
        <w:t>a</w:t>
      </w:r>
      <w:r w:rsidR="004A5B2D" w:rsidRPr="00007196">
        <w:t>bakavir/</w:t>
      </w:r>
      <w:r w:rsidR="00400192" w:rsidRPr="00007196">
        <w:t>l</w:t>
      </w:r>
      <w:r w:rsidR="004A5B2D" w:rsidRPr="00007196">
        <w:t xml:space="preserve">amivudín </w:t>
      </w:r>
      <w:r w:rsidRPr="00007196">
        <w:t>alebo akýkoľvek antiretrovírusový liek nevylieči HIV infekciu, a že sa u</w:t>
      </w:r>
      <w:r w:rsidR="00400192" w:rsidRPr="00007196">
        <w:t> </w:t>
      </w:r>
      <w:r w:rsidRPr="00007196">
        <w:t>nich naďalej môžu objavovať oportúnne infekcie a</w:t>
      </w:r>
      <w:r w:rsidR="00400192" w:rsidRPr="00007196">
        <w:t> </w:t>
      </w:r>
      <w:r w:rsidRPr="00007196">
        <w:t>iné komplikácie HIV infekcie. Pacienti preto musia zostať pod starostlivým klinickým dohľadom lekárov, ktorí majú skúsenosti v</w:t>
      </w:r>
      <w:r w:rsidR="00400192" w:rsidRPr="00007196">
        <w:t> </w:t>
      </w:r>
      <w:r w:rsidRPr="00007196">
        <w:t>liečení týchto ochorení súvisiacich s</w:t>
      </w:r>
      <w:r w:rsidR="00400192" w:rsidRPr="00007196">
        <w:t> </w:t>
      </w:r>
      <w:r w:rsidRPr="00007196">
        <w:t>HIV.</w:t>
      </w:r>
    </w:p>
    <w:p w:rsidR="00E56BE0" w:rsidRPr="00007196" w:rsidRDefault="00E56BE0" w:rsidP="002B7B74">
      <w:pPr>
        <w:spacing w:line="240" w:lineRule="auto"/>
        <w:ind w:left="3" w:right="14"/>
      </w:pPr>
    </w:p>
    <w:p w:rsidR="00E56BE0" w:rsidRPr="00007196" w:rsidRDefault="00E56BE0" w:rsidP="00293EFF">
      <w:pPr>
        <w:keepNext/>
        <w:spacing w:line="240" w:lineRule="auto"/>
        <w:rPr>
          <w:u w:val="single"/>
        </w:rPr>
      </w:pPr>
      <w:r w:rsidRPr="00007196">
        <w:rPr>
          <w:u w:val="single"/>
        </w:rPr>
        <w:t>Infarkt myokardu</w:t>
      </w:r>
    </w:p>
    <w:p w:rsidR="00E56BE0" w:rsidRPr="00007196" w:rsidRDefault="001C3AEB" w:rsidP="002B7B74">
      <w:pPr>
        <w:spacing w:line="240" w:lineRule="auto"/>
        <w:ind w:left="3" w:right="14"/>
      </w:pPr>
      <w:r w:rsidRPr="00007196">
        <w:t>Observačné</w:t>
      </w:r>
      <w:r w:rsidR="00E56BE0" w:rsidRPr="00007196">
        <w:t xml:space="preserve"> štúdie preukázali súvislosť medzi infarktom myokardu a</w:t>
      </w:r>
      <w:r w:rsidR="003430D0" w:rsidRPr="00007196">
        <w:t> </w:t>
      </w:r>
      <w:r w:rsidR="00E56BE0" w:rsidRPr="00007196">
        <w:t>použitím abakaviru. Do štúdií boli zaradení najmä pacienti po predchádzajúcej antiretrovírusovej liečbe. Údaje z</w:t>
      </w:r>
      <w:r w:rsidR="003430D0" w:rsidRPr="00007196">
        <w:t> </w:t>
      </w:r>
      <w:r w:rsidR="00E56BE0" w:rsidRPr="00007196">
        <w:t>klinických štúdií ukázali obmedzený počet prípadov infarktu myokardu a</w:t>
      </w:r>
      <w:r w:rsidR="003430D0" w:rsidRPr="00007196">
        <w:t> </w:t>
      </w:r>
      <w:r w:rsidR="00E56BE0" w:rsidRPr="00007196">
        <w:t>nedokázali vylúčiť malé zvýšenie rizika. Údaje, ktoré sú k</w:t>
      </w:r>
      <w:r w:rsidR="003430D0" w:rsidRPr="00007196">
        <w:t> </w:t>
      </w:r>
      <w:r w:rsidR="00E56BE0" w:rsidRPr="00007196">
        <w:t>dispozícii z</w:t>
      </w:r>
      <w:r w:rsidR="003430D0" w:rsidRPr="00007196">
        <w:t> </w:t>
      </w:r>
      <w:r w:rsidR="00E56BE0" w:rsidRPr="00007196">
        <w:t>pozorovaných skupín pacientov a</w:t>
      </w:r>
      <w:r w:rsidR="003430D0" w:rsidRPr="00007196">
        <w:t> </w:t>
      </w:r>
      <w:r w:rsidR="00E56BE0" w:rsidRPr="00007196">
        <w:t>z</w:t>
      </w:r>
      <w:r w:rsidR="003430D0" w:rsidRPr="00007196">
        <w:t> </w:t>
      </w:r>
      <w:r w:rsidR="00E56BE0" w:rsidRPr="00007196">
        <w:t>randomizovaných štúdií celkovo vykazujú istú nekonzistentnosť, a</w:t>
      </w:r>
      <w:r w:rsidR="003430D0" w:rsidRPr="00007196">
        <w:t> </w:t>
      </w:r>
      <w:r w:rsidR="00E56BE0" w:rsidRPr="00007196">
        <w:t>tak nie je možné ani potvrdiť, ani vyvrátiť príčinnú súvislosť medzi liečbou abakavirom a</w:t>
      </w:r>
      <w:r w:rsidR="003430D0" w:rsidRPr="00007196">
        <w:t> </w:t>
      </w:r>
      <w:r w:rsidR="00E56BE0" w:rsidRPr="00007196">
        <w:t>rizikom infarktu myokardu. Do</w:t>
      </w:r>
      <w:r w:rsidR="00E91505" w:rsidRPr="00007196">
        <w:t>teraz</w:t>
      </w:r>
      <w:r w:rsidR="00E56BE0" w:rsidRPr="00007196">
        <w:t xml:space="preserve"> sa nezistil biologický mechanizmus, ktorý by vysvetľoval možné zvýšenie rizika. Pri predpisovaní </w:t>
      </w:r>
      <w:r w:rsidR="00400192" w:rsidRPr="00007196">
        <w:t>abakaviru/lamivudínu</w:t>
      </w:r>
      <w:r w:rsidR="00E56BE0" w:rsidRPr="00007196">
        <w:t xml:space="preserve"> sa majú urobiť kroky na minimalizáciu všetkých modifikovateľných rizikových faktorov (napr. fajčenie, hypertenzia a</w:t>
      </w:r>
      <w:r w:rsidR="003430D0" w:rsidRPr="00007196">
        <w:t> </w:t>
      </w:r>
      <w:r w:rsidR="00E56BE0" w:rsidRPr="00007196">
        <w:t>hyperlipidémia).</w:t>
      </w:r>
    </w:p>
    <w:p w:rsidR="00E56BE0" w:rsidRPr="00007196" w:rsidRDefault="00E56BE0" w:rsidP="002B7B74">
      <w:pPr>
        <w:spacing w:line="240" w:lineRule="auto"/>
        <w:ind w:left="3" w:right="14"/>
      </w:pPr>
    </w:p>
    <w:p w:rsidR="00E56BE0" w:rsidRPr="00007196" w:rsidRDefault="00E56BE0" w:rsidP="00293EFF">
      <w:pPr>
        <w:keepNext/>
        <w:spacing w:line="240" w:lineRule="auto"/>
      </w:pPr>
      <w:r w:rsidRPr="00007196">
        <w:rPr>
          <w:u w:val="single"/>
        </w:rPr>
        <w:t>Liekové interakcie</w:t>
      </w:r>
    </w:p>
    <w:p w:rsidR="00E56BE0" w:rsidRPr="00007196" w:rsidRDefault="003430D0" w:rsidP="002B7B74">
      <w:pPr>
        <w:spacing w:line="240" w:lineRule="auto"/>
        <w:ind w:left="3" w:right="14"/>
      </w:pPr>
      <w:r w:rsidRPr="00007196">
        <w:t>A</w:t>
      </w:r>
      <w:r w:rsidR="004A5B2D" w:rsidRPr="00007196">
        <w:t>bakavir/</w:t>
      </w:r>
      <w:r w:rsidR="00F36F67" w:rsidRPr="00007196">
        <w:t>l</w:t>
      </w:r>
      <w:r w:rsidR="004A5B2D" w:rsidRPr="00007196">
        <w:t xml:space="preserve">amivudín </w:t>
      </w:r>
      <w:r w:rsidR="00E56BE0" w:rsidRPr="00007196">
        <w:t>sa nemá užívať so žiadnymi ďalšími liekmi obsahujúcimi lamivudín alebo s</w:t>
      </w:r>
      <w:r w:rsidR="00F36F67" w:rsidRPr="00007196">
        <w:t> </w:t>
      </w:r>
      <w:r w:rsidR="00E56BE0" w:rsidRPr="00007196">
        <w:t>li</w:t>
      </w:r>
      <w:r w:rsidR="00F36F67" w:rsidRPr="00007196">
        <w:t>ekmi obsahujúcimi emtricitabín.</w:t>
      </w:r>
    </w:p>
    <w:p w:rsidR="00E56BE0" w:rsidRPr="00007196" w:rsidRDefault="00E56BE0" w:rsidP="002B7B74">
      <w:pPr>
        <w:spacing w:line="240" w:lineRule="auto"/>
        <w:ind w:left="3" w:right="14"/>
      </w:pPr>
    </w:p>
    <w:p w:rsidR="00E56BE0" w:rsidRPr="00007196" w:rsidRDefault="00E56BE0" w:rsidP="002B7B74">
      <w:pPr>
        <w:spacing w:line="240" w:lineRule="auto"/>
        <w:ind w:left="3" w:right="14"/>
      </w:pPr>
      <w:r w:rsidRPr="00007196">
        <w:t>Kombinácia lamivudínu s</w:t>
      </w:r>
      <w:r w:rsidR="00F36F67" w:rsidRPr="00007196">
        <w:t> </w:t>
      </w:r>
      <w:r w:rsidRPr="00007196">
        <w:t>kladribínom sa neodporúča (pozri časť</w:t>
      </w:r>
      <w:r w:rsidR="00F36F67" w:rsidRPr="00007196">
        <w:t> 4.5).</w:t>
      </w:r>
    </w:p>
    <w:p w:rsidR="00F36F67" w:rsidRPr="00007196" w:rsidRDefault="00F36F67" w:rsidP="002B7B74">
      <w:pPr>
        <w:spacing w:line="240" w:lineRule="auto"/>
        <w:ind w:left="7"/>
      </w:pPr>
    </w:p>
    <w:p w:rsidR="00F36F67" w:rsidRPr="00007196" w:rsidRDefault="00F36F67" w:rsidP="002B7B74">
      <w:pPr>
        <w:pStyle w:val="Nadpis3"/>
        <w:tabs>
          <w:tab w:val="center" w:pos="1696"/>
        </w:tabs>
        <w:spacing w:line="240" w:lineRule="auto"/>
        <w:ind w:left="-6" w:firstLine="0"/>
      </w:pPr>
      <w:r w:rsidRPr="00007196">
        <w:rPr>
          <w:b/>
          <w:i w:val="0"/>
        </w:rPr>
        <w:t>4.5</w:t>
      </w:r>
      <w:r w:rsidRPr="00007196">
        <w:rPr>
          <w:b/>
          <w:i w:val="0"/>
        </w:rPr>
        <w:tab/>
        <w:t>Liekové a</w:t>
      </w:r>
      <w:r w:rsidR="003430D0" w:rsidRPr="00007196">
        <w:rPr>
          <w:b/>
          <w:i w:val="0"/>
        </w:rPr>
        <w:t> </w:t>
      </w:r>
      <w:r w:rsidRPr="00007196">
        <w:rPr>
          <w:b/>
          <w:i w:val="0"/>
        </w:rPr>
        <w:t>iné interakcie</w:t>
      </w:r>
    </w:p>
    <w:p w:rsidR="00F36F67" w:rsidRPr="00007196" w:rsidRDefault="00F36F67" w:rsidP="002B7B74">
      <w:pPr>
        <w:spacing w:line="240" w:lineRule="auto"/>
        <w:ind w:left="7"/>
      </w:pPr>
    </w:p>
    <w:p w:rsidR="00E56BE0" w:rsidRPr="00007196" w:rsidRDefault="004A5B2D" w:rsidP="002B7B74">
      <w:pPr>
        <w:spacing w:line="240" w:lineRule="auto"/>
        <w:ind w:left="3" w:right="200"/>
      </w:pPr>
      <w:r w:rsidRPr="00007196">
        <w:t>Abakavir/Lamivudín Vale</w:t>
      </w:r>
      <w:r w:rsidR="00E56BE0" w:rsidRPr="00007196">
        <w:t xml:space="preserve"> obsahuje abakavir a</w:t>
      </w:r>
      <w:r w:rsidR="003430D0" w:rsidRPr="00007196">
        <w:t> </w:t>
      </w:r>
      <w:r w:rsidR="00E56BE0" w:rsidRPr="00007196">
        <w:t>lamivudín, a</w:t>
      </w:r>
      <w:r w:rsidR="003430D0" w:rsidRPr="00007196">
        <w:t> </w:t>
      </w:r>
      <w:r w:rsidR="00E56BE0" w:rsidRPr="00007196">
        <w:t>preto sú akékoľvek interakcie identifikované jednotlivo pre tieto l</w:t>
      </w:r>
      <w:r w:rsidR="00E91505" w:rsidRPr="00007196">
        <w:t>iečivá</w:t>
      </w:r>
      <w:r w:rsidR="00E56BE0" w:rsidRPr="00007196">
        <w:t xml:space="preserve"> relevantné pre </w:t>
      </w:r>
      <w:r w:rsidR="003430D0" w:rsidRPr="00007196">
        <w:t>Abakavir/Lamivudín Vale</w:t>
      </w:r>
      <w:r w:rsidR="00E56BE0" w:rsidRPr="00007196">
        <w:t>. Klinické štúdie ukázali, že medzi abakavirom a</w:t>
      </w:r>
      <w:r w:rsidR="003430D0" w:rsidRPr="00007196">
        <w:t> </w:t>
      </w:r>
      <w:r w:rsidR="00E56BE0" w:rsidRPr="00007196">
        <w:t>lamivudínom nie sú žiadne kli</w:t>
      </w:r>
      <w:r w:rsidR="003430D0" w:rsidRPr="00007196">
        <w:t xml:space="preserve">nicky </w:t>
      </w:r>
      <w:r w:rsidR="00E91505" w:rsidRPr="00007196">
        <w:t>významné</w:t>
      </w:r>
      <w:r w:rsidR="003430D0" w:rsidRPr="00007196">
        <w:t xml:space="preserve"> interakcie.</w:t>
      </w:r>
    </w:p>
    <w:p w:rsidR="00E56BE0" w:rsidRPr="00007196" w:rsidRDefault="00E56BE0" w:rsidP="002B7B74">
      <w:pPr>
        <w:spacing w:line="240" w:lineRule="auto"/>
        <w:ind w:left="7"/>
      </w:pPr>
    </w:p>
    <w:p w:rsidR="00E56BE0" w:rsidRPr="00007196" w:rsidRDefault="00E56BE0" w:rsidP="002B7B74">
      <w:pPr>
        <w:spacing w:line="240" w:lineRule="auto"/>
        <w:ind w:left="3" w:right="162"/>
      </w:pPr>
      <w:r w:rsidRPr="00007196">
        <w:t>Abakavir je metabolizovaný prostredníctvom enzýmov UDP-glukuronyltransferázy (UGT) a</w:t>
      </w:r>
      <w:r w:rsidR="003430D0" w:rsidRPr="00007196">
        <w:t> </w:t>
      </w:r>
      <w:r w:rsidRPr="00007196">
        <w:t>alkoholdehydrogenázy; súbežné podanie induktorov alebo inhibítorov UGT enzýmov alebo zlúčen</w:t>
      </w:r>
      <w:r w:rsidR="00E91505" w:rsidRPr="00007196">
        <w:t>ín</w:t>
      </w:r>
      <w:r w:rsidRPr="00007196">
        <w:t>, ktoré sa vylučujú prostredníctvom alkoholdehydrogenázy, môže pozmeniť expozíciu abakaviru. Lamivudín sa vylučuje obličkami. Aktívne vylučovanie lamivudínu obličkami do moču je sprostredkované transportérmi organických katiónov (</w:t>
      </w:r>
      <w:r w:rsidRPr="00042751">
        <w:t>organic cation transporters</w:t>
      </w:r>
      <w:r w:rsidRPr="00007196">
        <w:t xml:space="preserve"> - OCT); súbežné podanie lamivudínu s</w:t>
      </w:r>
      <w:r w:rsidR="003430D0" w:rsidRPr="00007196">
        <w:t> </w:t>
      </w:r>
      <w:r w:rsidRPr="00007196">
        <w:t>inhibítormi OCT mô</w:t>
      </w:r>
      <w:r w:rsidR="003430D0" w:rsidRPr="00007196">
        <w:t>že zvýšiť expozíciu lamivudínu.</w:t>
      </w:r>
    </w:p>
    <w:p w:rsidR="00E56BE0" w:rsidRPr="00007196" w:rsidRDefault="00E56BE0" w:rsidP="002B7B74">
      <w:pPr>
        <w:spacing w:line="240" w:lineRule="auto"/>
        <w:ind w:left="7"/>
      </w:pPr>
    </w:p>
    <w:p w:rsidR="00E56BE0" w:rsidRPr="00007196" w:rsidRDefault="00E56BE0" w:rsidP="002B7B74">
      <w:pPr>
        <w:spacing w:line="240" w:lineRule="auto"/>
        <w:ind w:left="3" w:right="375"/>
      </w:pPr>
      <w:r w:rsidRPr="00007196">
        <w:t>Abakavir a</w:t>
      </w:r>
      <w:r w:rsidR="003430D0" w:rsidRPr="00007196">
        <w:t> </w:t>
      </w:r>
      <w:r w:rsidRPr="00007196">
        <w:t>lamivudín nie sú významne metabolizované enzýmami cytochrómu P450 (ako sú CYP 3A4, CYP 2C9 alebo CYP 2D6) a</w:t>
      </w:r>
      <w:r w:rsidR="003430D0" w:rsidRPr="00007196">
        <w:t> </w:t>
      </w:r>
      <w:r w:rsidRPr="00007196">
        <w:t>neinhibujú ani neindukujú t</w:t>
      </w:r>
      <w:r w:rsidR="000E2805" w:rsidRPr="00007196">
        <w:t>ento</w:t>
      </w:r>
      <w:r w:rsidRPr="00007196">
        <w:t xml:space="preserve"> enzýmov</w:t>
      </w:r>
      <w:r w:rsidR="000E2805" w:rsidRPr="00007196">
        <w:t>ý</w:t>
      </w:r>
      <w:r w:rsidRPr="00007196">
        <w:t xml:space="preserve"> s</w:t>
      </w:r>
      <w:r w:rsidR="000E2805" w:rsidRPr="00007196">
        <w:t>ystém</w:t>
      </w:r>
      <w:r w:rsidRPr="00007196">
        <w:t>. Z</w:t>
      </w:r>
      <w:r w:rsidR="003430D0" w:rsidRPr="00007196">
        <w:t> </w:t>
      </w:r>
      <w:r w:rsidRPr="00007196">
        <w:t>tohto dôvodu existuje nízky potenciál pre interakcie s</w:t>
      </w:r>
      <w:r w:rsidR="003430D0" w:rsidRPr="00007196">
        <w:t> </w:t>
      </w:r>
      <w:r w:rsidRPr="00007196">
        <w:t>antiretrovírusovými inhibítormi proteázy, nenukleozidmi a</w:t>
      </w:r>
      <w:r w:rsidR="003430D0" w:rsidRPr="00007196">
        <w:t> </w:t>
      </w:r>
      <w:r w:rsidRPr="00007196">
        <w:t>ďalšími liekmi metabolizovanými hlav</w:t>
      </w:r>
      <w:r w:rsidR="000E2805" w:rsidRPr="00007196">
        <w:t>ne</w:t>
      </w:r>
      <w:r w:rsidRPr="00007196">
        <w:t xml:space="preserve"> enzýmami P450.</w:t>
      </w:r>
    </w:p>
    <w:p w:rsidR="00E56BE0" w:rsidRPr="00007196" w:rsidRDefault="00E56BE0" w:rsidP="002B7B74">
      <w:pPr>
        <w:spacing w:line="240" w:lineRule="auto"/>
        <w:ind w:left="7"/>
      </w:pPr>
    </w:p>
    <w:p w:rsidR="00E56BE0" w:rsidRPr="00007196" w:rsidRDefault="004A5B2D" w:rsidP="002B7B74">
      <w:pPr>
        <w:spacing w:line="240" w:lineRule="auto"/>
        <w:ind w:left="3" w:right="14"/>
      </w:pPr>
      <w:r w:rsidRPr="00007196">
        <w:lastRenderedPageBreak/>
        <w:t>Abakavir/</w:t>
      </w:r>
      <w:r w:rsidR="003B7A73" w:rsidRPr="00007196">
        <w:t>l</w:t>
      </w:r>
      <w:r w:rsidRPr="00007196">
        <w:t>amivudín</w:t>
      </w:r>
      <w:r w:rsidR="00E56BE0" w:rsidRPr="00007196">
        <w:t xml:space="preserve"> sa nemá užívať so žiadnymi ďalšími liekmi obsahujúcimi lamivudín (pozri časť</w:t>
      </w:r>
      <w:r w:rsidR="00737DFE" w:rsidRPr="00007196">
        <w:t> </w:t>
      </w:r>
      <w:r w:rsidR="00E56BE0" w:rsidRPr="00007196">
        <w:t>4.4).</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Ďalej uvedený zoznam sa nemá považovať za úplný, ale reprezen</w:t>
      </w:r>
      <w:r w:rsidR="00737DFE" w:rsidRPr="00007196">
        <w:t>tuje sledované liekové skupiny.</w:t>
      </w:r>
    </w:p>
    <w:p w:rsidR="00E56BE0" w:rsidRPr="00007196" w:rsidRDefault="00E56BE0" w:rsidP="002B7B74">
      <w:pPr>
        <w:spacing w:line="240" w:lineRule="auto"/>
        <w:ind w:left="7"/>
      </w:pPr>
    </w:p>
    <w:tbl>
      <w:tblPr>
        <w:tblStyle w:val="TableGrid"/>
        <w:tblW w:w="9211" w:type="dxa"/>
        <w:tblInd w:w="-101" w:type="dxa"/>
        <w:tblCellMar>
          <w:left w:w="108" w:type="dxa"/>
          <w:right w:w="91" w:type="dxa"/>
        </w:tblCellMar>
        <w:tblLook w:val="04A0"/>
      </w:tblPr>
      <w:tblGrid>
        <w:gridCol w:w="3070"/>
        <w:gridCol w:w="3069"/>
        <w:gridCol w:w="3072"/>
      </w:tblGrid>
      <w:tr w:rsidR="00E56BE0" w:rsidRPr="004E2D07" w:rsidTr="00293EFF">
        <w:trPr>
          <w:trHeight w:val="1092"/>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b/>
              </w:rPr>
              <w:t>Lieky podľa terapeutickej oblast</w:t>
            </w:r>
            <w:r w:rsidR="003B7A73" w:rsidRPr="009C7651">
              <w:rPr>
                <w:rFonts w:ascii="Times New Roman" w:hAnsi="Times New Roman" w:cs="Times New Roman"/>
                <w:b/>
              </w:rPr>
              <w:t>i</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Interakcia</w:t>
            </w:r>
          </w:p>
          <w:p w:rsidR="003B7A73" w:rsidRPr="009C7651" w:rsidRDefault="00E56BE0" w:rsidP="00737DFE">
            <w:pPr>
              <w:spacing w:line="240" w:lineRule="auto"/>
              <w:ind w:right="586"/>
              <w:rPr>
                <w:rFonts w:ascii="Times New Roman" w:hAnsi="Times New Roman" w:cs="Times New Roman"/>
                <w:b/>
              </w:rPr>
            </w:pPr>
            <w:r w:rsidRPr="009C7651">
              <w:rPr>
                <w:rFonts w:ascii="Times New Roman" w:hAnsi="Times New Roman" w:cs="Times New Roman"/>
                <w:b/>
              </w:rPr>
              <w:t xml:space="preserve">Zmena geometrického priemeru (%) </w:t>
            </w:r>
          </w:p>
          <w:p w:rsidR="00E56BE0" w:rsidRPr="009C7651" w:rsidRDefault="00E56BE0" w:rsidP="00737DFE">
            <w:pPr>
              <w:spacing w:line="240" w:lineRule="auto"/>
              <w:ind w:right="586"/>
              <w:rPr>
                <w:rFonts w:ascii="Times New Roman" w:hAnsi="Times New Roman" w:cs="Times New Roman"/>
              </w:rPr>
            </w:pPr>
            <w:r w:rsidRPr="009C7651">
              <w:rPr>
                <w:rFonts w:ascii="Times New Roman" w:hAnsi="Times New Roman" w:cs="Times New Roman"/>
                <w:b/>
              </w:rPr>
              <w:t>(Možný mechanizmus)</w:t>
            </w:r>
          </w:p>
        </w:tc>
        <w:tc>
          <w:tcPr>
            <w:tcW w:w="3072"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b/>
              </w:rPr>
              <w:t>Odporúčanie týkajúce sa súbežného podávania</w:t>
            </w:r>
          </w:p>
        </w:tc>
      </w:tr>
      <w:tr w:rsidR="00E56BE0" w:rsidRPr="004E2D07" w:rsidTr="00E56BE0">
        <w:trPr>
          <w:trHeight w:val="264"/>
        </w:trPr>
        <w:tc>
          <w:tcPr>
            <w:tcW w:w="9211" w:type="dxa"/>
            <w:gridSpan w:val="3"/>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b/>
              </w:rPr>
              <w:t>ANTIRETROVÍRUSOVÉ LIEKY</w:t>
            </w:r>
          </w:p>
        </w:tc>
      </w:tr>
      <w:tr w:rsidR="00E56BE0" w:rsidRPr="004E2D07" w:rsidTr="00293EFF">
        <w:trPr>
          <w:trHeight w:val="262"/>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Didanozín/abakavir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Nie je potrebná žiadna úprava dávkovania.</w:t>
            </w:r>
          </w:p>
        </w:tc>
      </w:tr>
      <w:tr w:rsidR="00E56BE0" w:rsidRPr="004E2D07" w:rsidTr="00293EFF">
        <w:trPr>
          <w:trHeight w:val="26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Didanozín/lamivudín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nil"/>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rPr>
          <w:trHeight w:val="262"/>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Zidovudín/abakavir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nil"/>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rPr>
          <w:trHeight w:val="1277"/>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Zidovudín/lamivudín</w:t>
            </w:r>
          </w:p>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Zidovudín 300</w:t>
            </w:r>
            <w:r w:rsidR="00737DFE" w:rsidRPr="009C7651">
              <w:rPr>
                <w:rFonts w:ascii="Times New Roman" w:hAnsi="Times New Roman" w:cs="Times New Roman"/>
              </w:rPr>
              <w:t> </w:t>
            </w:r>
            <w:r w:rsidRPr="009C7651">
              <w:rPr>
                <w:rFonts w:ascii="Times New Roman" w:hAnsi="Times New Roman" w:cs="Times New Roman"/>
              </w:rPr>
              <w:t>mg jednorazová dávka</w:t>
            </w:r>
          </w:p>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Lamivudín 150</w:t>
            </w:r>
            <w:r w:rsidR="00737DFE" w:rsidRPr="009C7651">
              <w:rPr>
                <w:rFonts w:ascii="Times New Roman" w:hAnsi="Times New Roman" w:cs="Times New Roman"/>
              </w:rPr>
              <w:t> </w:t>
            </w:r>
            <w:r w:rsidRPr="009C7651">
              <w:rPr>
                <w:rFonts w:ascii="Times New Roman" w:hAnsi="Times New Roman" w:cs="Times New Roman"/>
              </w:rPr>
              <w:t>mg jednorazová dávka</w:t>
            </w:r>
          </w:p>
        </w:tc>
        <w:tc>
          <w:tcPr>
            <w:tcW w:w="3069" w:type="dxa"/>
            <w:tcBorders>
              <w:top w:val="single" w:sz="4" w:space="0" w:color="000000"/>
              <w:left w:val="single" w:sz="4" w:space="0" w:color="000000"/>
              <w:bottom w:val="single" w:sz="4" w:space="0" w:color="000000"/>
              <w:right w:val="single" w:sz="4" w:space="0" w:color="000000"/>
            </w:tcBorders>
          </w:tcPr>
          <w:p w:rsidR="003B7A73" w:rsidRPr="009C7651" w:rsidRDefault="00E56BE0" w:rsidP="00737DFE">
            <w:pPr>
              <w:spacing w:line="240" w:lineRule="auto"/>
              <w:ind w:right="6"/>
              <w:rPr>
                <w:rFonts w:ascii="Times New Roman" w:hAnsi="Times New Roman" w:cs="Times New Roman"/>
              </w:rPr>
            </w:pPr>
            <w:r w:rsidRPr="009C7651">
              <w:rPr>
                <w:rFonts w:ascii="Times New Roman" w:hAnsi="Times New Roman" w:cs="Times New Roman"/>
              </w:rPr>
              <w:t xml:space="preserve">Lamivudín: AUC </w:t>
            </w:r>
            <w:r w:rsidRPr="009C7651">
              <w:rPr>
                <w:rFonts w:ascii="Times New Roman" w:eastAsia="Segoe UI Symbol" w:hAnsi="Times New Roman" w:cs="Times New Roman"/>
              </w:rPr>
              <w:t>↔</w:t>
            </w:r>
            <w:r w:rsidRPr="009C7651">
              <w:rPr>
                <w:rFonts w:ascii="Times New Roman" w:hAnsi="Times New Roman" w:cs="Times New Roman"/>
              </w:rPr>
              <w:t xml:space="preserve"> </w:t>
            </w:r>
          </w:p>
          <w:p w:rsidR="00E56BE0" w:rsidRPr="009C7651" w:rsidRDefault="00E56BE0" w:rsidP="00737DFE">
            <w:pPr>
              <w:spacing w:line="240" w:lineRule="auto"/>
              <w:ind w:right="6"/>
              <w:rPr>
                <w:rFonts w:ascii="Times New Roman" w:hAnsi="Times New Roman" w:cs="Times New Roman"/>
              </w:rPr>
            </w:pPr>
            <w:r w:rsidRPr="009C7651">
              <w:rPr>
                <w:rFonts w:ascii="Times New Roman" w:hAnsi="Times New Roman" w:cs="Times New Roman"/>
              </w:rPr>
              <w:t xml:space="preserve">Zidovudín: AUC </w:t>
            </w:r>
            <w:r w:rsidRPr="009C7651">
              <w:rPr>
                <w:rFonts w:ascii="Times New Roman" w:eastAsia="Segoe UI Symbol" w:hAnsi="Times New Roman" w:cs="Times New Roman"/>
              </w:rPr>
              <w:t>↔</w:t>
            </w:r>
          </w:p>
        </w:tc>
        <w:tc>
          <w:tcPr>
            <w:tcW w:w="0" w:type="auto"/>
            <w:vMerge/>
            <w:tcBorders>
              <w:top w:val="nil"/>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rPr>
          <w:trHeight w:val="1020"/>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Emtricitabín/lamivudín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p>
        </w:tc>
        <w:tc>
          <w:tcPr>
            <w:tcW w:w="3072"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ind w:right="17"/>
              <w:rPr>
                <w:rFonts w:ascii="Times New Roman" w:hAnsi="Times New Roman" w:cs="Times New Roman"/>
              </w:rPr>
            </w:pPr>
            <w:r w:rsidRPr="009C7651">
              <w:rPr>
                <w:rFonts w:ascii="Times New Roman" w:hAnsi="Times New Roman" w:cs="Times New Roman"/>
              </w:rPr>
              <w:t xml:space="preserve">Vzhľadom na podobnosti sa </w:t>
            </w:r>
            <w:r w:rsidR="00737DFE" w:rsidRPr="009C7651">
              <w:rPr>
                <w:rFonts w:ascii="Times New Roman" w:hAnsi="Times New Roman" w:cs="Times New Roman"/>
              </w:rPr>
              <w:t>a</w:t>
            </w:r>
            <w:r w:rsidR="004A5B2D" w:rsidRPr="009C7651">
              <w:rPr>
                <w:rFonts w:ascii="Times New Roman" w:hAnsi="Times New Roman" w:cs="Times New Roman"/>
              </w:rPr>
              <w:t>bakavir/</w:t>
            </w:r>
            <w:r w:rsidR="00737DFE" w:rsidRPr="009C7651">
              <w:rPr>
                <w:rFonts w:ascii="Times New Roman" w:hAnsi="Times New Roman" w:cs="Times New Roman"/>
              </w:rPr>
              <w:t>l</w:t>
            </w:r>
            <w:r w:rsidR="004A5B2D" w:rsidRPr="009C7651">
              <w:rPr>
                <w:rFonts w:ascii="Times New Roman" w:hAnsi="Times New Roman" w:cs="Times New Roman"/>
              </w:rPr>
              <w:t xml:space="preserve">amivudín </w:t>
            </w:r>
            <w:r w:rsidRPr="009C7651">
              <w:rPr>
                <w:rFonts w:ascii="Times New Roman" w:hAnsi="Times New Roman" w:cs="Times New Roman"/>
              </w:rPr>
              <w:t xml:space="preserve">nemá podávať súbežne s </w:t>
            </w:r>
            <w:r w:rsidR="00737DFE" w:rsidRPr="009C7651">
              <w:rPr>
                <w:rFonts w:ascii="Times New Roman" w:hAnsi="Times New Roman" w:cs="Times New Roman"/>
              </w:rPr>
              <w:t> </w:t>
            </w:r>
            <w:r w:rsidRPr="009C7651">
              <w:rPr>
                <w:rFonts w:ascii="Times New Roman" w:hAnsi="Times New Roman" w:cs="Times New Roman"/>
              </w:rPr>
              <w:t>inými analógmi cytidínu, akým je emtricitabín.</w:t>
            </w:r>
          </w:p>
        </w:tc>
      </w:tr>
      <w:tr w:rsidR="00E56BE0" w:rsidRPr="004E2D07" w:rsidTr="00E56BE0">
        <w:trPr>
          <w:trHeight w:val="264"/>
        </w:trPr>
        <w:tc>
          <w:tcPr>
            <w:tcW w:w="9211" w:type="dxa"/>
            <w:gridSpan w:val="3"/>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PROTIINFEKČNÉ LIEKY</w:t>
            </w:r>
            <w:r w:rsidRPr="009C7651">
              <w:rPr>
                <w:rFonts w:ascii="Times New Roman" w:hAnsi="Times New Roman" w:cs="Times New Roman"/>
              </w:rPr>
              <w:t xml:space="preserve"> </w:t>
            </w:r>
          </w:p>
        </w:tc>
      </w:tr>
      <w:tr w:rsidR="00E56BE0" w:rsidRPr="004E2D07" w:rsidTr="00293EFF">
        <w:trPr>
          <w:trHeight w:val="516"/>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Trimetoprim/sulfametoxazol (</w:t>
            </w:r>
            <w:r w:rsidR="003B7A73" w:rsidRPr="009C7651">
              <w:rPr>
                <w:rFonts w:ascii="Times New Roman" w:hAnsi="Times New Roman" w:cs="Times New Roman"/>
              </w:rPr>
              <w:t>K</w:t>
            </w:r>
            <w:r w:rsidRPr="009C7651">
              <w:rPr>
                <w:rFonts w:ascii="Times New Roman" w:hAnsi="Times New Roman" w:cs="Times New Roman"/>
              </w:rPr>
              <w:t xml:space="preserve">otrimoxazol)/abakavir </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Nie je potrebná žiadna úprava dávkovania </w:t>
            </w:r>
            <w:r w:rsidR="00737DFE" w:rsidRPr="009C7651">
              <w:rPr>
                <w:rFonts w:ascii="Times New Roman" w:hAnsi="Times New Roman" w:cs="Times New Roman"/>
              </w:rPr>
              <w:t>abakaviru/lamivudínu</w:t>
            </w:r>
            <w:r w:rsidRPr="009C7651">
              <w:rPr>
                <w:rFonts w:ascii="Times New Roman" w:hAnsi="Times New Roman" w:cs="Times New Roman"/>
              </w:rPr>
              <w:t>.</w:t>
            </w:r>
          </w:p>
          <w:p w:rsidR="00E56BE0" w:rsidRPr="009C7651" w:rsidRDefault="00E56BE0" w:rsidP="002B7B74">
            <w:pPr>
              <w:spacing w:line="240" w:lineRule="auto"/>
              <w:rPr>
                <w:rFonts w:ascii="Times New Roman" w:hAnsi="Times New Roman" w:cs="Times New Roman"/>
              </w:rPr>
            </w:pPr>
          </w:p>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Keď je nutné súbežné podávanie kotrimoxazolu, pacienti majú byť klinicky monitorovaní. Vysoké dávky trimetoprimu/sulfametoxazolu na liečbu pneumónie spôsobenej</w:t>
            </w:r>
            <w:r w:rsidRPr="009C7651">
              <w:rPr>
                <w:rFonts w:ascii="Times New Roman" w:hAnsi="Times New Roman" w:cs="Times New Roman"/>
                <w:i/>
              </w:rPr>
              <w:t xml:space="preserve"> Pneumocystis jirovecii </w:t>
            </w:r>
            <w:r w:rsidRPr="009C7651">
              <w:rPr>
                <w:rFonts w:ascii="Times New Roman" w:hAnsi="Times New Roman" w:cs="Times New Roman"/>
              </w:rPr>
              <w:t>(PCP) a</w:t>
            </w:r>
            <w:r w:rsidR="00737DFE" w:rsidRPr="009C7651">
              <w:rPr>
                <w:rFonts w:ascii="Times New Roman" w:hAnsi="Times New Roman" w:cs="Times New Roman"/>
              </w:rPr>
              <w:t> </w:t>
            </w:r>
            <w:r w:rsidRPr="009C7651">
              <w:rPr>
                <w:rFonts w:ascii="Times New Roman" w:hAnsi="Times New Roman" w:cs="Times New Roman"/>
              </w:rPr>
              <w:t>toxoplazmózy sa nesledovali a</w:t>
            </w:r>
            <w:r w:rsidR="00737DFE" w:rsidRPr="009C7651">
              <w:rPr>
                <w:rFonts w:ascii="Times New Roman" w:hAnsi="Times New Roman" w:cs="Times New Roman"/>
              </w:rPr>
              <w:t> </w:t>
            </w:r>
            <w:r w:rsidRPr="009C7651">
              <w:rPr>
                <w:rFonts w:ascii="Times New Roman" w:hAnsi="Times New Roman" w:cs="Times New Roman"/>
              </w:rPr>
              <w:t>má sa im vyhnúť.</w:t>
            </w:r>
          </w:p>
        </w:tc>
      </w:tr>
      <w:tr w:rsidR="00E56BE0" w:rsidRPr="004E2D07" w:rsidTr="00293EFF">
        <w:trPr>
          <w:trHeight w:val="278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Trimetoprim/sulfametoxazol </w:t>
            </w:r>
          </w:p>
          <w:p w:rsidR="00E56BE0" w:rsidRPr="009C7651" w:rsidRDefault="00E56BE0" w:rsidP="00737DFE">
            <w:pPr>
              <w:spacing w:line="240" w:lineRule="auto"/>
              <w:ind w:right="137"/>
              <w:rPr>
                <w:rFonts w:ascii="Times New Roman" w:hAnsi="Times New Roman" w:cs="Times New Roman"/>
              </w:rPr>
            </w:pPr>
            <w:r w:rsidRPr="009C7651">
              <w:rPr>
                <w:rFonts w:ascii="Times New Roman" w:hAnsi="Times New Roman" w:cs="Times New Roman"/>
              </w:rPr>
              <w:t>(</w:t>
            </w:r>
            <w:r w:rsidR="00B73D3E" w:rsidRPr="009C7651">
              <w:rPr>
                <w:rFonts w:ascii="Times New Roman" w:hAnsi="Times New Roman" w:cs="Times New Roman"/>
              </w:rPr>
              <w:t>K</w:t>
            </w:r>
            <w:r w:rsidRPr="009C7651">
              <w:rPr>
                <w:rFonts w:ascii="Times New Roman" w:hAnsi="Times New Roman" w:cs="Times New Roman"/>
              </w:rPr>
              <w:t>otrimoxazol)/lamivudín (160</w:t>
            </w:r>
            <w:r w:rsidR="00737DFE" w:rsidRPr="009C7651">
              <w:rPr>
                <w:rFonts w:ascii="Times New Roman" w:hAnsi="Times New Roman" w:cs="Times New Roman"/>
              </w:rPr>
              <w:t> </w:t>
            </w:r>
            <w:r w:rsidRPr="009C7651">
              <w:rPr>
                <w:rFonts w:ascii="Times New Roman" w:hAnsi="Times New Roman" w:cs="Times New Roman"/>
              </w:rPr>
              <w:t>mg/800</w:t>
            </w:r>
            <w:r w:rsidR="00737DFE" w:rsidRPr="009C7651">
              <w:rPr>
                <w:rFonts w:ascii="Times New Roman" w:hAnsi="Times New Roman" w:cs="Times New Roman"/>
              </w:rPr>
              <w:t> </w:t>
            </w:r>
            <w:r w:rsidRPr="009C7651">
              <w:rPr>
                <w:rFonts w:ascii="Times New Roman" w:hAnsi="Times New Roman" w:cs="Times New Roman"/>
              </w:rPr>
              <w:t>mg jedenkrát denne počas 5</w:t>
            </w:r>
            <w:r w:rsidR="00737DFE" w:rsidRPr="009C7651">
              <w:rPr>
                <w:rFonts w:ascii="Times New Roman" w:hAnsi="Times New Roman" w:cs="Times New Roman"/>
              </w:rPr>
              <w:t> </w:t>
            </w:r>
            <w:r w:rsidRPr="009C7651">
              <w:rPr>
                <w:rFonts w:ascii="Times New Roman" w:hAnsi="Times New Roman" w:cs="Times New Roman"/>
              </w:rPr>
              <w:t>dní/300</w:t>
            </w:r>
            <w:r w:rsidR="00737DFE" w:rsidRPr="009C7651">
              <w:rPr>
                <w:rFonts w:ascii="Times New Roman" w:hAnsi="Times New Roman" w:cs="Times New Roman"/>
              </w:rPr>
              <w:t> </w:t>
            </w:r>
            <w:r w:rsidRPr="009C7651">
              <w:rPr>
                <w:rFonts w:ascii="Times New Roman" w:hAnsi="Times New Roman" w:cs="Times New Roman"/>
              </w:rPr>
              <w:t>mg jednorazová dávka)</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Lamivudín: AUC </w:t>
            </w:r>
            <w:r w:rsidRPr="009C7651">
              <w:rPr>
                <w:rFonts w:ascii="Times New Roman" w:eastAsia="Segoe UI Symbol" w:hAnsi="Times New Roman" w:cs="Times New Roman"/>
              </w:rPr>
              <w:t>↑</w:t>
            </w:r>
            <w:r w:rsidRPr="009C7651">
              <w:rPr>
                <w:rFonts w:ascii="Times New Roman" w:hAnsi="Times New Roman" w:cs="Times New Roman"/>
              </w:rPr>
              <w:t xml:space="preserve"> 40</w:t>
            </w:r>
            <w:r w:rsidR="00737DFE" w:rsidRPr="009C7651">
              <w:rPr>
                <w:rFonts w:ascii="Times New Roman" w:hAnsi="Times New Roman" w:cs="Times New Roman"/>
              </w:rPr>
              <w:t> </w:t>
            </w:r>
            <w:r w:rsidRPr="009C7651">
              <w:rPr>
                <w:rFonts w:ascii="Times New Roman" w:hAnsi="Times New Roman" w:cs="Times New Roman"/>
              </w:rPr>
              <w:t>%</w:t>
            </w:r>
          </w:p>
          <w:p w:rsidR="00E56BE0" w:rsidRPr="009C7651" w:rsidRDefault="00E56BE0" w:rsidP="002B7B74">
            <w:pPr>
              <w:spacing w:line="240" w:lineRule="auto"/>
              <w:rPr>
                <w:rFonts w:ascii="Times New Roman" w:hAnsi="Times New Roman" w:cs="Times New Roman"/>
              </w:rPr>
            </w:pPr>
          </w:p>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Trimetoprim: AUC </w:t>
            </w:r>
            <w:r w:rsidRPr="009C7651">
              <w:rPr>
                <w:rFonts w:ascii="Times New Roman" w:eastAsia="Segoe UI Symbol" w:hAnsi="Times New Roman" w:cs="Times New Roman"/>
              </w:rPr>
              <w:t>↔</w:t>
            </w:r>
          </w:p>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Sulfametoxazol: AUC </w:t>
            </w:r>
            <w:r w:rsidRPr="009C7651">
              <w:rPr>
                <w:rFonts w:ascii="Times New Roman" w:eastAsia="Segoe UI Symbol" w:hAnsi="Times New Roman" w:cs="Times New Roman"/>
              </w:rPr>
              <w:t>↔</w:t>
            </w:r>
          </w:p>
          <w:p w:rsidR="00E56BE0" w:rsidRPr="009C7651" w:rsidRDefault="00E56BE0" w:rsidP="002B7B74">
            <w:pPr>
              <w:spacing w:line="240" w:lineRule="auto"/>
              <w:rPr>
                <w:rFonts w:ascii="Times New Roman" w:hAnsi="Times New Roman" w:cs="Times New Roman"/>
              </w:rPr>
            </w:pPr>
          </w:p>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(inhibícia transportérov organických katiónov)</w:t>
            </w:r>
          </w:p>
        </w:tc>
        <w:tc>
          <w:tcPr>
            <w:tcW w:w="0" w:type="auto"/>
            <w:vMerge/>
            <w:tcBorders>
              <w:top w:val="nil"/>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E56BE0">
        <w:tblPrEx>
          <w:tblCellMar>
            <w:right w:w="55" w:type="dxa"/>
          </w:tblCellMar>
        </w:tblPrEx>
        <w:trPr>
          <w:trHeight w:val="264"/>
        </w:trPr>
        <w:tc>
          <w:tcPr>
            <w:tcW w:w="9211" w:type="dxa"/>
            <w:gridSpan w:val="3"/>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b/>
              </w:rPr>
              <w:t>ANTI</w:t>
            </w:r>
            <w:r w:rsidR="00B73D3E" w:rsidRPr="009C7651">
              <w:rPr>
                <w:rFonts w:ascii="Times New Roman" w:hAnsi="Times New Roman" w:cs="Times New Roman"/>
                <w:b/>
                <w:caps/>
              </w:rPr>
              <w:t>mykobakteriálne lieky</w:t>
            </w:r>
          </w:p>
        </w:tc>
      </w:tr>
      <w:tr w:rsidR="00E56BE0" w:rsidRPr="004E2D07" w:rsidTr="00293EFF">
        <w:tblPrEx>
          <w:tblCellMar>
            <w:right w:w="55" w:type="dxa"/>
          </w:tblCellMar>
        </w:tblPrEx>
        <w:trPr>
          <w:trHeight w:val="1526"/>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Rifampicín/abakavir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Interakcia sa neštudovala.</w:t>
            </w:r>
          </w:p>
          <w:p w:rsidR="00E56BE0" w:rsidRPr="009C7651" w:rsidRDefault="00E56BE0" w:rsidP="002B7B74">
            <w:pPr>
              <w:spacing w:line="240" w:lineRule="auto"/>
              <w:rPr>
                <w:rFonts w:ascii="Times New Roman" w:hAnsi="Times New Roman" w:cs="Times New Roman"/>
              </w:rPr>
            </w:pPr>
          </w:p>
          <w:p w:rsidR="00E56BE0" w:rsidRPr="009C7651" w:rsidRDefault="00E56BE0" w:rsidP="002B7B74">
            <w:pPr>
              <w:spacing w:line="240" w:lineRule="auto"/>
              <w:ind w:right="38"/>
              <w:rPr>
                <w:rFonts w:ascii="Times New Roman" w:hAnsi="Times New Roman" w:cs="Times New Roman"/>
              </w:rPr>
            </w:pPr>
            <w:r w:rsidRPr="009C7651">
              <w:rPr>
                <w:rFonts w:ascii="Times New Roman" w:hAnsi="Times New Roman" w:cs="Times New Roman"/>
              </w:rPr>
              <w:t>Je možné mierne zníženie plazmatickej koncentrácie abakaviru prostredníctvom UGT indukcie.</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ind w:right="31"/>
              <w:rPr>
                <w:rFonts w:ascii="Times New Roman" w:hAnsi="Times New Roman" w:cs="Times New Roman"/>
              </w:rPr>
            </w:pPr>
            <w:r w:rsidRPr="009C7651">
              <w:rPr>
                <w:rFonts w:ascii="Times New Roman" w:hAnsi="Times New Roman" w:cs="Times New Roman"/>
              </w:rPr>
              <w:t>Nedostatočné údaje na odporúčanie úpravy dávkovania.</w:t>
            </w: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Rifampicín/lamivudín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E56BE0">
        <w:tblPrEx>
          <w:tblCellMar>
            <w:right w:w="55" w:type="dxa"/>
          </w:tblCellMar>
        </w:tblPrEx>
        <w:trPr>
          <w:trHeight w:val="262"/>
        </w:trPr>
        <w:tc>
          <w:tcPr>
            <w:tcW w:w="9211" w:type="dxa"/>
            <w:gridSpan w:val="3"/>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b/>
              </w:rPr>
              <w:t>ANTIKONVULZÍVA</w:t>
            </w:r>
          </w:p>
        </w:tc>
      </w:tr>
      <w:tr w:rsidR="00E56BE0" w:rsidRPr="004E2D07" w:rsidTr="00293EFF">
        <w:tblPrEx>
          <w:tblCellMar>
            <w:right w:w="55" w:type="dxa"/>
          </w:tblCellMar>
        </w:tblPrEx>
        <w:trPr>
          <w:trHeight w:val="1529"/>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Fenobarbital/abakavir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Interakcia sa neštudovala.</w:t>
            </w:r>
          </w:p>
          <w:p w:rsidR="00E56BE0" w:rsidRPr="009C7651" w:rsidRDefault="00E56BE0" w:rsidP="002B7B74">
            <w:pPr>
              <w:spacing w:line="240" w:lineRule="auto"/>
              <w:rPr>
                <w:rFonts w:ascii="Times New Roman" w:hAnsi="Times New Roman" w:cs="Times New Roman"/>
              </w:rPr>
            </w:pPr>
          </w:p>
          <w:p w:rsidR="00E56BE0" w:rsidRPr="009C7651" w:rsidRDefault="00E56BE0" w:rsidP="00737DFE">
            <w:pPr>
              <w:spacing w:line="240" w:lineRule="auto"/>
              <w:ind w:right="38"/>
              <w:rPr>
                <w:rFonts w:ascii="Times New Roman" w:hAnsi="Times New Roman" w:cs="Times New Roman"/>
              </w:rPr>
            </w:pPr>
            <w:r w:rsidRPr="009C7651">
              <w:rPr>
                <w:rFonts w:ascii="Times New Roman" w:hAnsi="Times New Roman" w:cs="Times New Roman"/>
              </w:rPr>
              <w:t>Je možné mierne zníženie plazmatickej koncentrácie abakaviru prostredníctvom UGT indukcie.</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ind w:right="32"/>
              <w:rPr>
                <w:rFonts w:ascii="Times New Roman" w:hAnsi="Times New Roman" w:cs="Times New Roman"/>
              </w:rPr>
            </w:pPr>
            <w:r w:rsidRPr="009C7651">
              <w:rPr>
                <w:rFonts w:ascii="Times New Roman" w:hAnsi="Times New Roman" w:cs="Times New Roman"/>
              </w:rPr>
              <w:t>Nedostatočné údaje na</w:t>
            </w:r>
            <w:r w:rsidR="00B423BE">
              <w:rPr>
                <w:rFonts w:ascii="Times New Roman" w:hAnsi="Times New Roman" w:cs="Times New Roman"/>
              </w:rPr>
              <w:t> </w:t>
            </w:r>
            <w:r w:rsidRPr="009C7651">
              <w:rPr>
                <w:rFonts w:ascii="Times New Roman" w:hAnsi="Times New Roman" w:cs="Times New Roman"/>
              </w:rPr>
              <w:t>odporúčanie úpravy dávkovania.</w:t>
            </w: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Fenobarbital/lamivudín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single" w:sz="4" w:space="0" w:color="000000"/>
              <w:right w:val="single" w:sz="4" w:space="0" w:color="000000"/>
            </w:tcBorders>
          </w:tcPr>
          <w:p w:rsidR="00E56BE0" w:rsidRPr="004E2D07"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1526"/>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737DFE">
            <w:pPr>
              <w:spacing w:line="240" w:lineRule="auto"/>
              <w:rPr>
                <w:rFonts w:ascii="Times New Roman" w:hAnsi="Times New Roman" w:cs="Times New Roman"/>
              </w:rPr>
            </w:pPr>
            <w:r w:rsidRPr="009C7651">
              <w:rPr>
                <w:rFonts w:ascii="Times New Roman" w:hAnsi="Times New Roman" w:cs="Times New Roman"/>
              </w:rPr>
              <w:lastRenderedPageBreak/>
              <w:t>Fenytoín/abakavir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Interakcia sa neštudovala.</w:t>
            </w:r>
          </w:p>
          <w:p w:rsidR="00E56BE0" w:rsidRPr="009C7651" w:rsidRDefault="00E56BE0" w:rsidP="002B7B74">
            <w:pPr>
              <w:spacing w:line="240" w:lineRule="auto"/>
              <w:rPr>
                <w:rFonts w:ascii="Times New Roman" w:hAnsi="Times New Roman" w:cs="Times New Roman"/>
              </w:rPr>
            </w:pPr>
          </w:p>
          <w:p w:rsidR="00E56BE0" w:rsidRPr="009C7651" w:rsidRDefault="00E56BE0" w:rsidP="00ED630A">
            <w:pPr>
              <w:spacing w:line="240" w:lineRule="auto"/>
              <w:ind w:right="38"/>
              <w:rPr>
                <w:rFonts w:ascii="Times New Roman" w:hAnsi="Times New Roman" w:cs="Times New Roman"/>
              </w:rPr>
            </w:pPr>
            <w:r w:rsidRPr="009C7651">
              <w:rPr>
                <w:rFonts w:ascii="Times New Roman" w:hAnsi="Times New Roman" w:cs="Times New Roman"/>
              </w:rPr>
              <w:t>Je možné mierne zníženie plazmatickej koncentrácie abakaviru prostredníctvom UGT indukcie.</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ind w:right="31"/>
              <w:rPr>
                <w:rFonts w:ascii="Times New Roman" w:hAnsi="Times New Roman" w:cs="Times New Roman"/>
              </w:rPr>
            </w:pPr>
            <w:r w:rsidRPr="009C7651">
              <w:rPr>
                <w:rFonts w:ascii="Times New Roman" w:hAnsi="Times New Roman" w:cs="Times New Roman"/>
              </w:rPr>
              <w:t>Nedostatočné údaje na</w:t>
            </w:r>
            <w:r w:rsidR="00B423BE">
              <w:rPr>
                <w:rFonts w:ascii="Times New Roman" w:hAnsi="Times New Roman" w:cs="Times New Roman"/>
              </w:rPr>
              <w:t> </w:t>
            </w:r>
            <w:r w:rsidRPr="009C7651">
              <w:rPr>
                <w:rFonts w:ascii="Times New Roman" w:hAnsi="Times New Roman" w:cs="Times New Roman"/>
              </w:rPr>
              <w:t>odporúčanie úpravy dávkovania.</w:t>
            </w:r>
          </w:p>
          <w:p w:rsidR="00E56BE0" w:rsidRPr="009C7651" w:rsidRDefault="00E56BE0" w:rsidP="002B7B74">
            <w:pPr>
              <w:spacing w:line="240" w:lineRule="auto"/>
              <w:rPr>
                <w:rFonts w:ascii="Times New Roman" w:hAnsi="Times New Roman" w:cs="Times New Roman"/>
              </w:rPr>
            </w:pPr>
          </w:p>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Sledujte koncentrácie fenytoínu.</w:t>
            </w: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Fenytoín/lamivudín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E56BE0">
        <w:tblPrEx>
          <w:tblCellMar>
            <w:right w:w="55" w:type="dxa"/>
          </w:tblCellMar>
        </w:tblPrEx>
        <w:trPr>
          <w:trHeight w:val="262"/>
        </w:trPr>
        <w:tc>
          <w:tcPr>
            <w:tcW w:w="9211" w:type="dxa"/>
            <w:gridSpan w:val="3"/>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b/>
              </w:rPr>
              <w:t>ANTIHISTAMINIKÁ (ANTAGONISTY HISTAMINOVÝCH H2 RECEPTOROV)</w:t>
            </w: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Ranitidín/abakavir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Nie je potrebná žiadna úprava dávkovania.</w:t>
            </w:r>
          </w:p>
        </w:tc>
      </w:tr>
      <w:tr w:rsidR="00E56BE0" w:rsidRPr="004E2D07" w:rsidTr="00293EFF">
        <w:tblPrEx>
          <w:tblCellMar>
            <w:right w:w="55" w:type="dxa"/>
          </w:tblCellMar>
        </w:tblPrEx>
        <w:trPr>
          <w:trHeight w:val="1781"/>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Ranitidín/lamivudín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Interakcia sa neštudovala.</w:t>
            </w:r>
          </w:p>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 </w:t>
            </w:r>
          </w:p>
          <w:p w:rsidR="00E56BE0" w:rsidRPr="009C7651" w:rsidRDefault="00E56BE0" w:rsidP="00ED630A">
            <w:pPr>
              <w:spacing w:line="240" w:lineRule="auto"/>
              <w:ind w:right="37"/>
              <w:rPr>
                <w:rFonts w:ascii="Times New Roman" w:hAnsi="Times New Roman" w:cs="Times New Roman"/>
              </w:rPr>
            </w:pPr>
            <w:r w:rsidRPr="009C7651">
              <w:rPr>
                <w:rFonts w:ascii="Times New Roman" w:hAnsi="Times New Roman" w:cs="Times New Roman"/>
              </w:rPr>
              <w:t>Klinicky významná interakcia je nepravdepodobná. Ranitidín sa iba čiastočne vylučuj</w:t>
            </w:r>
            <w:r w:rsidR="0046042A" w:rsidRPr="009C7651">
              <w:rPr>
                <w:rFonts w:ascii="Times New Roman" w:hAnsi="Times New Roman" w:cs="Times New Roman"/>
              </w:rPr>
              <w:t>e</w:t>
            </w:r>
            <w:r w:rsidRPr="009C7651">
              <w:rPr>
                <w:rFonts w:ascii="Times New Roman" w:hAnsi="Times New Roman" w:cs="Times New Roman"/>
              </w:rPr>
              <w:t xml:space="preserve"> </w:t>
            </w:r>
            <w:r w:rsidR="0046042A" w:rsidRPr="009C7651">
              <w:rPr>
                <w:rFonts w:ascii="Times New Roman" w:hAnsi="Times New Roman" w:cs="Times New Roman"/>
              </w:rPr>
              <w:t xml:space="preserve">renálnym </w:t>
            </w:r>
            <w:r w:rsidRPr="009C7651">
              <w:rPr>
                <w:rFonts w:ascii="Times New Roman" w:hAnsi="Times New Roman" w:cs="Times New Roman"/>
              </w:rPr>
              <w:t>transportným systémom organických katiónov.</w:t>
            </w:r>
          </w:p>
        </w:tc>
        <w:tc>
          <w:tcPr>
            <w:tcW w:w="0" w:type="auto"/>
            <w:vMerge/>
            <w:tcBorders>
              <w:top w:val="nil"/>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262"/>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Cimetidín/abakavir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Nie je pot</w:t>
            </w:r>
            <w:r w:rsidR="00ED630A" w:rsidRPr="009C7651">
              <w:rPr>
                <w:rFonts w:ascii="Times New Roman" w:hAnsi="Times New Roman" w:cs="Times New Roman"/>
              </w:rPr>
              <w:t>rebná žiadna úprava dávkovania.</w:t>
            </w:r>
          </w:p>
        </w:tc>
      </w:tr>
      <w:tr w:rsidR="00E56BE0" w:rsidRPr="004E2D07" w:rsidTr="00293EFF">
        <w:tblPrEx>
          <w:tblCellMar>
            <w:right w:w="55" w:type="dxa"/>
          </w:tblCellMar>
        </w:tblPrEx>
        <w:trPr>
          <w:trHeight w:val="1783"/>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C</w:t>
            </w:r>
            <w:r w:rsidR="00ED630A" w:rsidRPr="009C7651">
              <w:rPr>
                <w:rFonts w:ascii="Times New Roman" w:hAnsi="Times New Roman" w:cs="Times New Roman"/>
              </w:rPr>
              <w:t>imetidín/lamivudín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D630A" w:rsidP="002B7B74">
            <w:pPr>
              <w:spacing w:line="240" w:lineRule="auto"/>
              <w:rPr>
                <w:rFonts w:ascii="Times New Roman" w:hAnsi="Times New Roman" w:cs="Times New Roman"/>
              </w:rPr>
            </w:pPr>
            <w:r w:rsidRPr="009C7651">
              <w:rPr>
                <w:rFonts w:ascii="Times New Roman" w:hAnsi="Times New Roman" w:cs="Times New Roman"/>
              </w:rPr>
              <w:t>Interakcia sa neštudovala.</w:t>
            </w:r>
          </w:p>
          <w:p w:rsidR="00E56BE0" w:rsidRPr="009C7651" w:rsidRDefault="00E56BE0" w:rsidP="002B7B74">
            <w:pPr>
              <w:spacing w:line="240" w:lineRule="auto"/>
              <w:rPr>
                <w:rFonts w:ascii="Times New Roman" w:hAnsi="Times New Roman" w:cs="Times New Roman"/>
              </w:rPr>
            </w:pPr>
          </w:p>
          <w:p w:rsidR="00E56BE0" w:rsidRPr="009C7651" w:rsidRDefault="00E56BE0" w:rsidP="002B7B74">
            <w:pPr>
              <w:spacing w:line="240" w:lineRule="auto"/>
              <w:ind w:right="37"/>
              <w:rPr>
                <w:rFonts w:ascii="Times New Roman" w:hAnsi="Times New Roman" w:cs="Times New Roman"/>
              </w:rPr>
            </w:pPr>
            <w:r w:rsidRPr="009C7651">
              <w:rPr>
                <w:rFonts w:ascii="Times New Roman" w:hAnsi="Times New Roman" w:cs="Times New Roman"/>
              </w:rPr>
              <w:t>Klinicky významná interakcia je nepravdepodobná. Cimetidín sa iba čiastočne vylučuj</w:t>
            </w:r>
            <w:r w:rsidR="0046042A" w:rsidRPr="009C7651">
              <w:rPr>
                <w:rFonts w:ascii="Times New Roman" w:hAnsi="Times New Roman" w:cs="Times New Roman"/>
              </w:rPr>
              <w:t>e</w:t>
            </w:r>
            <w:r w:rsidRPr="009C7651">
              <w:rPr>
                <w:rFonts w:ascii="Times New Roman" w:hAnsi="Times New Roman" w:cs="Times New Roman"/>
              </w:rPr>
              <w:t xml:space="preserve"> </w:t>
            </w:r>
            <w:r w:rsidR="0046042A" w:rsidRPr="009C7651">
              <w:rPr>
                <w:rFonts w:ascii="Times New Roman" w:hAnsi="Times New Roman" w:cs="Times New Roman"/>
              </w:rPr>
              <w:t xml:space="preserve">renálnym </w:t>
            </w:r>
            <w:r w:rsidRPr="009C7651">
              <w:rPr>
                <w:rFonts w:ascii="Times New Roman" w:hAnsi="Times New Roman" w:cs="Times New Roman"/>
              </w:rPr>
              <w:t>transportným</w:t>
            </w:r>
            <w:r w:rsidR="00ED630A" w:rsidRPr="009C7651">
              <w:rPr>
                <w:rFonts w:ascii="Times New Roman" w:hAnsi="Times New Roman" w:cs="Times New Roman"/>
              </w:rPr>
              <w:t xml:space="preserve"> systémom organických katiónov.</w:t>
            </w:r>
          </w:p>
        </w:tc>
        <w:tc>
          <w:tcPr>
            <w:tcW w:w="0" w:type="auto"/>
            <w:vMerge/>
            <w:tcBorders>
              <w:top w:val="nil"/>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nil"/>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CYTOTOXIKÁ</w:t>
            </w:r>
          </w:p>
        </w:tc>
        <w:tc>
          <w:tcPr>
            <w:tcW w:w="3069" w:type="dxa"/>
            <w:tcBorders>
              <w:top w:val="single" w:sz="4" w:space="0" w:color="000000"/>
              <w:left w:val="nil"/>
              <w:bottom w:val="single" w:sz="4" w:space="0" w:color="000000"/>
              <w:right w:val="nil"/>
            </w:tcBorders>
          </w:tcPr>
          <w:p w:rsidR="00E56BE0" w:rsidRPr="009C7651" w:rsidRDefault="00E56BE0" w:rsidP="002B7B74">
            <w:pPr>
              <w:spacing w:line="240" w:lineRule="auto"/>
              <w:rPr>
                <w:rFonts w:ascii="Times New Roman" w:hAnsi="Times New Roman" w:cs="Times New Roman"/>
              </w:rPr>
            </w:pPr>
          </w:p>
        </w:tc>
        <w:tc>
          <w:tcPr>
            <w:tcW w:w="3072" w:type="dxa"/>
            <w:tcBorders>
              <w:top w:val="single" w:sz="4" w:space="0" w:color="000000"/>
              <w:left w:val="nil"/>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3298"/>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Kladribín/lamivudín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w:t>
            </w:r>
            <w:r w:rsidR="00ED630A" w:rsidRPr="009C7651">
              <w:rPr>
                <w:rFonts w:ascii="Times New Roman" w:hAnsi="Times New Roman" w:cs="Times New Roman"/>
              </w:rPr>
              <w:t>nterakcia sa neštudovala.</w:t>
            </w:r>
          </w:p>
          <w:p w:rsidR="00E56BE0" w:rsidRPr="009C7651" w:rsidRDefault="00E56BE0" w:rsidP="002B7B74">
            <w:pPr>
              <w:spacing w:line="240" w:lineRule="auto"/>
              <w:rPr>
                <w:rFonts w:ascii="Times New Roman" w:hAnsi="Times New Roman" w:cs="Times New Roman"/>
              </w:rPr>
            </w:pPr>
          </w:p>
          <w:p w:rsidR="00E56BE0" w:rsidRPr="009C7651" w:rsidRDefault="00E56BE0" w:rsidP="00ED630A">
            <w:pPr>
              <w:spacing w:line="240" w:lineRule="auto"/>
              <w:ind w:right="55"/>
              <w:rPr>
                <w:rFonts w:ascii="Times New Roman" w:hAnsi="Times New Roman" w:cs="Times New Roman"/>
              </w:rPr>
            </w:pPr>
            <w:r w:rsidRPr="009C7651">
              <w:rPr>
                <w:rFonts w:ascii="Times New Roman" w:hAnsi="Times New Roman" w:cs="Times New Roman"/>
              </w:rPr>
              <w:t xml:space="preserve">Lamivudín inhibuje </w:t>
            </w:r>
            <w:r w:rsidRPr="009C7651">
              <w:rPr>
                <w:rFonts w:ascii="Times New Roman" w:hAnsi="Times New Roman" w:cs="Times New Roman"/>
                <w:i/>
              </w:rPr>
              <w:t>in vitro</w:t>
            </w:r>
            <w:r w:rsidRPr="009C7651">
              <w:rPr>
                <w:rFonts w:ascii="Times New Roman" w:hAnsi="Times New Roman" w:cs="Times New Roman"/>
              </w:rPr>
              <w:t xml:space="preserve"> intracelulárnu fosforyláciu kladribínu, čo vedie k</w:t>
            </w:r>
            <w:r w:rsidR="00ED630A" w:rsidRPr="009C7651">
              <w:rPr>
                <w:rFonts w:ascii="Times New Roman" w:hAnsi="Times New Roman" w:cs="Times New Roman"/>
              </w:rPr>
              <w:t> </w:t>
            </w:r>
            <w:r w:rsidRPr="009C7651">
              <w:rPr>
                <w:rFonts w:ascii="Times New Roman" w:hAnsi="Times New Roman" w:cs="Times New Roman"/>
              </w:rPr>
              <w:t>možnému riziku straty účinnosti kladribínu v</w:t>
            </w:r>
            <w:r w:rsidR="00ED630A" w:rsidRPr="009C7651">
              <w:rPr>
                <w:rFonts w:ascii="Times New Roman" w:hAnsi="Times New Roman" w:cs="Times New Roman"/>
              </w:rPr>
              <w:t> </w:t>
            </w:r>
            <w:r w:rsidRPr="009C7651">
              <w:rPr>
                <w:rFonts w:ascii="Times New Roman" w:hAnsi="Times New Roman" w:cs="Times New Roman"/>
              </w:rPr>
              <w:t>prípade, že sa táto kombinácia podáva v</w:t>
            </w:r>
            <w:r w:rsidR="00ED630A" w:rsidRPr="009C7651">
              <w:rPr>
                <w:rFonts w:ascii="Times New Roman" w:hAnsi="Times New Roman" w:cs="Times New Roman"/>
              </w:rPr>
              <w:t> </w:t>
            </w:r>
            <w:r w:rsidRPr="009C7651">
              <w:rPr>
                <w:rFonts w:ascii="Times New Roman" w:hAnsi="Times New Roman" w:cs="Times New Roman"/>
              </w:rPr>
              <w:t>klinických podmienkach. Niektoré klinické zistenia podporujú aj možnú interakciu medzi lamivudínom a</w:t>
            </w:r>
            <w:r w:rsidR="00ED630A" w:rsidRPr="009C7651">
              <w:rPr>
                <w:rFonts w:ascii="Times New Roman" w:hAnsi="Times New Roman" w:cs="Times New Roman"/>
              </w:rPr>
              <w:t> </w:t>
            </w:r>
            <w:r w:rsidRPr="009C7651">
              <w:rPr>
                <w:rFonts w:ascii="Times New Roman" w:hAnsi="Times New Roman" w:cs="Times New Roman"/>
              </w:rPr>
              <w:t>kladribínom.</w:t>
            </w:r>
          </w:p>
        </w:tc>
        <w:tc>
          <w:tcPr>
            <w:tcW w:w="3072"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Preto sa súbežné použitie lamivudínu s</w:t>
            </w:r>
            <w:r w:rsidR="00ED630A" w:rsidRPr="009C7651">
              <w:rPr>
                <w:rFonts w:ascii="Times New Roman" w:hAnsi="Times New Roman" w:cs="Times New Roman"/>
              </w:rPr>
              <w:t> </w:t>
            </w:r>
            <w:r w:rsidRPr="009C7651">
              <w:rPr>
                <w:rFonts w:ascii="Times New Roman" w:hAnsi="Times New Roman" w:cs="Times New Roman"/>
              </w:rPr>
              <w:t>kladribínom neodporúča (pozri časť</w:t>
            </w:r>
            <w:r w:rsidR="00ED630A" w:rsidRPr="009C7651">
              <w:rPr>
                <w:rFonts w:ascii="Times New Roman" w:hAnsi="Times New Roman" w:cs="Times New Roman"/>
              </w:rPr>
              <w:t> </w:t>
            </w:r>
            <w:r w:rsidRPr="009C7651">
              <w:rPr>
                <w:rFonts w:ascii="Times New Roman" w:hAnsi="Times New Roman" w:cs="Times New Roman"/>
              </w:rPr>
              <w:t>4.4).</w:t>
            </w: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nil"/>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OPIOIDY</w:t>
            </w:r>
          </w:p>
        </w:tc>
        <w:tc>
          <w:tcPr>
            <w:tcW w:w="3069" w:type="dxa"/>
            <w:tcBorders>
              <w:top w:val="single" w:sz="4" w:space="0" w:color="000000"/>
              <w:left w:val="nil"/>
              <w:bottom w:val="single" w:sz="4" w:space="0" w:color="000000"/>
              <w:right w:val="nil"/>
            </w:tcBorders>
            <w:vAlign w:val="center"/>
          </w:tcPr>
          <w:p w:rsidR="00E56BE0" w:rsidRPr="009C7651" w:rsidRDefault="00E56BE0" w:rsidP="002B7B74">
            <w:pPr>
              <w:spacing w:line="240" w:lineRule="auto"/>
              <w:rPr>
                <w:rFonts w:ascii="Times New Roman" w:hAnsi="Times New Roman" w:cs="Times New Roman"/>
              </w:rPr>
            </w:pPr>
          </w:p>
        </w:tc>
        <w:tc>
          <w:tcPr>
            <w:tcW w:w="3072" w:type="dxa"/>
            <w:tcBorders>
              <w:top w:val="single" w:sz="4" w:space="0" w:color="000000"/>
              <w:left w:val="nil"/>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1526"/>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D630A" w:rsidP="002B7B74">
            <w:pPr>
              <w:spacing w:line="240" w:lineRule="auto"/>
              <w:rPr>
                <w:rFonts w:ascii="Times New Roman" w:hAnsi="Times New Roman" w:cs="Times New Roman"/>
              </w:rPr>
            </w:pPr>
            <w:r w:rsidRPr="009C7651">
              <w:rPr>
                <w:rFonts w:ascii="Times New Roman" w:hAnsi="Times New Roman" w:cs="Times New Roman"/>
              </w:rPr>
              <w:t>Metadón/abakavir</w:t>
            </w:r>
          </w:p>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(40 až 90</w:t>
            </w:r>
            <w:r w:rsidR="00ED630A" w:rsidRPr="009C7651">
              <w:rPr>
                <w:rFonts w:ascii="Times New Roman" w:hAnsi="Times New Roman" w:cs="Times New Roman"/>
              </w:rPr>
              <w:t> </w:t>
            </w:r>
            <w:r w:rsidRPr="009C7651">
              <w:rPr>
                <w:rFonts w:ascii="Times New Roman" w:hAnsi="Times New Roman" w:cs="Times New Roman"/>
              </w:rPr>
              <w:t>mg jedenkrát denne počas 14</w:t>
            </w:r>
            <w:r w:rsidR="00ED630A" w:rsidRPr="009C7651">
              <w:rPr>
                <w:rFonts w:ascii="Times New Roman" w:hAnsi="Times New Roman" w:cs="Times New Roman"/>
              </w:rPr>
              <w:t> </w:t>
            </w:r>
            <w:r w:rsidRPr="009C7651">
              <w:rPr>
                <w:rFonts w:ascii="Times New Roman" w:hAnsi="Times New Roman" w:cs="Times New Roman"/>
              </w:rPr>
              <w:t>dní/600</w:t>
            </w:r>
            <w:r w:rsidR="00ED630A" w:rsidRPr="009C7651">
              <w:rPr>
                <w:rFonts w:ascii="Times New Roman" w:hAnsi="Times New Roman" w:cs="Times New Roman"/>
              </w:rPr>
              <w:t> </w:t>
            </w:r>
            <w:r w:rsidRPr="009C7651">
              <w:rPr>
                <w:rFonts w:ascii="Times New Roman" w:hAnsi="Times New Roman" w:cs="Times New Roman"/>
              </w:rPr>
              <w:t>mg jednorazová dávka, potom 600</w:t>
            </w:r>
            <w:r w:rsidR="00ED630A" w:rsidRPr="009C7651">
              <w:rPr>
                <w:rFonts w:ascii="Times New Roman" w:hAnsi="Times New Roman" w:cs="Times New Roman"/>
              </w:rPr>
              <w:t> </w:t>
            </w:r>
            <w:r w:rsidRPr="009C7651">
              <w:rPr>
                <w:rFonts w:ascii="Times New Roman" w:hAnsi="Times New Roman" w:cs="Times New Roman"/>
              </w:rPr>
              <w:t>mg dvakrát denne počas 14</w:t>
            </w:r>
            <w:r w:rsidR="00ED630A" w:rsidRPr="009C7651">
              <w:rPr>
                <w:rFonts w:ascii="Times New Roman" w:hAnsi="Times New Roman" w:cs="Times New Roman"/>
              </w:rPr>
              <w:t> </w:t>
            </w:r>
            <w:r w:rsidRPr="009C7651">
              <w:rPr>
                <w:rFonts w:ascii="Times New Roman" w:hAnsi="Times New Roman" w:cs="Times New Roman"/>
              </w:rPr>
              <w:t>dní)</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Abakavir: AUC </w:t>
            </w:r>
            <w:r w:rsidRPr="009C7651">
              <w:rPr>
                <w:rFonts w:ascii="Times New Roman" w:eastAsia="Segoe UI Symbol" w:hAnsi="Times New Roman" w:cs="Times New Roman"/>
              </w:rPr>
              <w:t>↔</w:t>
            </w:r>
          </w:p>
          <w:p w:rsidR="00E56BE0" w:rsidRPr="009C7651" w:rsidRDefault="00390F6D" w:rsidP="00390F6D">
            <w:pPr>
              <w:spacing w:line="240" w:lineRule="auto"/>
              <w:ind w:left="887"/>
              <w:rPr>
                <w:rFonts w:ascii="Times New Roman" w:hAnsi="Times New Roman" w:cs="Times New Roman"/>
              </w:rPr>
            </w:pPr>
            <w:r w:rsidRPr="009C7651">
              <w:rPr>
                <w:rFonts w:ascii="Times New Roman" w:hAnsi="Times New Roman" w:cs="Times New Roman"/>
              </w:rPr>
              <w:t xml:space="preserve"> </w:t>
            </w:r>
            <w:r w:rsidR="00E56BE0" w:rsidRPr="009C7651">
              <w:rPr>
                <w:rFonts w:ascii="Times New Roman" w:hAnsi="Times New Roman" w:cs="Times New Roman"/>
              </w:rPr>
              <w:t>C</w:t>
            </w:r>
            <w:r w:rsidR="00E56BE0" w:rsidRPr="009C7651">
              <w:rPr>
                <w:rFonts w:ascii="Times New Roman" w:hAnsi="Times New Roman" w:cs="Times New Roman"/>
                <w:vertAlign w:val="subscript"/>
              </w:rPr>
              <w:t>max</w:t>
            </w:r>
            <w:r w:rsidR="00E56BE0" w:rsidRPr="009C7651">
              <w:rPr>
                <w:rFonts w:ascii="Times New Roman" w:hAnsi="Times New Roman" w:cs="Times New Roman"/>
              </w:rPr>
              <w:t xml:space="preserve"> </w:t>
            </w:r>
            <w:r w:rsidR="00E56BE0" w:rsidRPr="009C7651">
              <w:rPr>
                <w:rFonts w:ascii="Times New Roman" w:eastAsia="Segoe UI Symbol" w:hAnsi="Times New Roman" w:cs="Times New Roman"/>
              </w:rPr>
              <w:t>↓</w:t>
            </w:r>
            <w:r w:rsidR="00E56BE0" w:rsidRPr="009C7651">
              <w:rPr>
                <w:rFonts w:ascii="Times New Roman" w:hAnsi="Times New Roman" w:cs="Times New Roman"/>
              </w:rPr>
              <w:t xml:space="preserve"> 35</w:t>
            </w:r>
            <w:r w:rsidR="00ED630A" w:rsidRPr="009C7651">
              <w:rPr>
                <w:rFonts w:ascii="Times New Roman" w:hAnsi="Times New Roman" w:cs="Times New Roman"/>
              </w:rPr>
              <w:t> </w:t>
            </w:r>
            <w:r w:rsidR="00E56BE0" w:rsidRPr="009C7651">
              <w:rPr>
                <w:rFonts w:ascii="Times New Roman" w:hAnsi="Times New Roman" w:cs="Times New Roman"/>
              </w:rPr>
              <w:t xml:space="preserve">% </w:t>
            </w:r>
          </w:p>
          <w:p w:rsidR="00E56BE0" w:rsidRPr="009C7651" w:rsidRDefault="00E56BE0" w:rsidP="002B7B74">
            <w:pPr>
              <w:spacing w:line="240" w:lineRule="auto"/>
              <w:rPr>
                <w:rFonts w:ascii="Times New Roman" w:hAnsi="Times New Roman" w:cs="Times New Roman"/>
              </w:rPr>
            </w:pPr>
          </w:p>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 xml:space="preserve">Metadón: CL/F </w:t>
            </w:r>
            <w:r w:rsidRPr="009C7651">
              <w:rPr>
                <w:rFonts w:ascii="Times New Roman" w:eastAsia="Segoe UI Symbol" w:hAnsi="Times New Roman" w:cs="Times New Roman"/>
              </w:rPr>
              <w:t>↑</w:t>
            </w:r>
            <w:r w:rsidRPr="009C7651">
              <w:rPr>
                <w:rFonts w:ascii="Times New Roman" w:hAnsi="Times New Roman" w:cs="Times New Roman"/>
              </w:rPr>
              <w:t xml:space="preserve"> 22</w:t>
            </w:r>
            <w:r w:rsidR="00ED630A" w:rsidRPr="009C7651">
              <w:rPr>
                <w:rFonts w:ascii="Times New Roman" w:hAnsi="Times New Roman" w:cs="Times New Roman"/>
              </w:rPr>
              <w:t> </w:t>
            </w:r>
            <w:r w:rsidRPr="009C7651">
              <w:rPr>
                <w:rFonts w:ascii="Times New Roman" w:hAnsi="Times New Roman" w:cs="Times New Roman"/>
              </w:rPr>
              <w:t>%</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Nie je potrebná úprava dávkovania </w:t>
            </w:r>
            <w:r w:rsidR="00ED630A" w:rsidRPr="009C7651">
              <w:rPr>
                <w:rFonts w:ascii="Times New Roman" w:hAnsi="Times New Roman" w:cs="Times New Roman"/>
              </w:rPr>
              <w:t>abakaviru/lamivudínu.</w:t>
            </w:r>
          </w:p>
          <w:p w:rsidR="00E56BE0" w:rsidRPr="009C7651" w:rsidRDefault="00E56BE0" w:rsidP="002B7B74">
            <w:pPr>
              <w:spacing w:line="240" w:lineRule="auto"/>
              <w:rPr>
                <w:rFonts w:ascii="Times New Roman" w:hAnsi="Times New Roman" w:cs="Times New Roman"/>
              </w:rPr>
            </w:pPr>
          </w:p>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Úprava dávkovania metadónu u</w:t>
            </w:r>
            <w:r w:rsidR="00ED630A" w:rsidRPr="009C7651">
              <w:rPr>
                <w:rFonts w:ascii="Times New Roman" w:hAnsi="Times New Roman" w:cs="Times New Roman"/>
              </w:rPr>
              <w:t> </w:t>
            </w:r>
            <w:r w:rsidRPr="009C7651">
              <w:rPr>
                <w:rFonts w:ascii="Times New Roman" w:hAnsi="Times New Roman" w:cs="Times New Roman"/>
              </w:rPr>
              <w:t xml:space="preserve">väčšiny pacientov je nepravdepodobná; príležitostne sa môže vyžadovať </w:t>
            </w:r>
            <w:r w:rsidR="00C950A8" w:rsidRPr="009C7651">
              <w:rPr>
                <w:rFonts w:ascii="Times New Roman" w:hAnsi="Times New Roman" w:cs="Times New Roman"/>
              </w:rPr>
              <w:t>opätovná titrácia</w:t>
            </w:r>
            <w:r w:rsidRPr="009C7651">
              <w:rPr>
                <w:rFonts w:ascii="Times New Roman" w:hAnsi="Times New Roman" w:cs="Times New Roman"/>
              </w:rPr>
              <w:t xml:space="preserve"> metadónu.</w:t>
            </w:r>
          </w:p>
        </w:tc>
      </w:tr>
      <w:tr w:rsidR="00E56BE0" w:rsidRPr="004E2D07" w:rsidTr="00293EFF">
        <w:tblPrEx>
          <w:tblCellMar>
            <w:right w:w="55" w:type="dxa"/>
          </w:tblCellMar>
        </w:tblPrEx>
        <w:trPr>
          <w:trHeight w:val="506"/>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Metadón/lamivudín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nil"/>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RETINOIDY</w:t>
            </w:r>
            <w:r w:rsidRPr="009C7651">
              <w:rPr>
                <w:rFonts w:ascii="Times New Roman" w:hAnsi="Times New Roman" w:cs="Times New Roman"/>
              </w:rPr>
              <w:t xml:space="preserve"> </w:t>
            </w:r>
          </w:p>
        </w:tc>
        <w:tc>
          <w:tcPr>
            <w:tcW w:w="3069" w:type="dxa"/>
            <w:tcBorders>
              <w:top w:val="single" w:sz="4" w:space="0" w:color="000000"/>
              <w:left w:val="nil"/>
              <w:bottom w:val="single" w:sz="4" w:space="0" w:color="000000"/>
              <w:right w:val="nil"/>
            </w:tcBorders>
          </w:tcPr>
          <w:p w:rsidR="00E56BE0" w:rsidRPr="009C7651" w:rsidRDefault="00E56BE0" w:rsidP="002B7B74">
            <w:pPr>
              <w:spacing w:line="240" w:lineRule="auto"/>
              <w:rPr>
                <w:rFonts w:ascii="Times New Roman" w:hAnsi="Times New Roman" w:cs="Times New Roman"/>
              </w:rPr>
            </w:pPr>
          </w:p>
        </w:tc>
        <w:tc>
          <w:tcPr>
            <w:tcW w:w="3072" w:type="dxa"/>
            <w:tcBorders>
              <w:top w:val="single" w:sz="4" w:space="0" w:color="000000"/>
              <w:left w:val="nil"/>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127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D630A" w:rsidP="002B7B74">
            <w:pPr>
              <w:spacing w:line="240" w:lineRule="auto"/>
              <w:rPr>
                <w:rFonts w:ascii="Times New Roman" w:hAnsi="Times New Roman" w:cs="Times New Roman"/>
              </w:rPr>
            </w:pPr>
            <w:r w:rsidRPr="009C7651">
              <w:rPr>
                <w:rFonts w:ascii="Times New Roman" w:hAnsi="Times New Roman" w:cs="Times New Roman"/>
              </w:rPr>
              <w:t>Retinoidné zlúčeniny</w:t>
            </w:r>
          </w:p>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(napr. isotretinoín)/abakavir</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I</w:t>
            </w:r>
            <w:r w:rsidR="00ED630A" w:rsidRPr="009C7651">
              <w:rPr>
                <w:rFonts w:ascii="Times New Roman" w:hAnsi="Times New Roman" w:cs="Times New Roman"/>
              </w:rPr>
              <w:t>nterakcia sa neštudovala.</w:t>
            </w:r>
          </w:p>
          <w:p w:rsidR="00E56BE0" w:rsidRPr="009C7651" w:rsidRDefault="00E56BE0" w:rsidP="002B7B74">
            <w:pPr>
              <w:spacing w:line="240" w:lineRule="auto"/>
              <w:rPr>
                <w:rFonts w:ascii="Times New Roman" w:hAnsi="Times New Roman" w:cs="Times New Roman"/>
              </w:rPr>
            </w:pPr>
          </w:p>
          <w:p w:rsidR="00E56BE0" w:rsidRPr="009C7651" w:rsidRDefault="00E56BE0" w:rsidP="00ED630A">
            <w:pPr>
              <w:spacing w:line="240" w:lineRule="auto"/>
              <w:ind w:right="10"/>
              <w:rPr>
                <w:rFonts w:ascii="Times New Roman" w:hAnsi="Times New Roman" w:cs="Times New Roman"/>
              </w:rPr>
            </w:pPr>
            <w:r w:rsidRPr="009C7651">
              <w:rPr>
                <w:rFonts w:ascii="Times New Roman" w:hAnsi="Times New Roman" w:cs="Times New Roman"/>
              </w:rPr>
              <w:t>Interakcie sú možné vzhľadom k</w:t>
            </w:r>
            <w:r w:rsidR="00ED630A" w:rsidRPr="009C7651">
              <w:rPr>
                <w:rFonts w:ascii="Times New Roman" w:hAnsi="Times New Roman" w:cs="Times New Roman"/>
              </w:rPr>
              <w:t> </w:t>
            </w:r>
            <w:r w:rsidRPr="009C7651">
              <w:rPr>
                <w:rFonts w:ascii="Times New Roman" w:hAnsi="Times New Roman" w:cs="Times New Roman"/>
              </w:rPr>
              <w:t>spoločnej ceste eliminácie cez alkoholdehydrogenázu.</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Default="00E56BE0" w:rsidP="00ED630A">
            <w:pPr>
              <w:spacing w:line="240" w:lineRule="auto"/>
              <w:ind w:right="20"/>
              <w:rPr>
                <w:rFonts w:ascii="Times New Roman" w:hAnsi="Times New Roman" w:cs="Times New Roman"/>
              </w:rPr>
            </w:pPr>
            <w:r w:rsidRPr="009C7651">
              <w:rPr>
                <w:rFonts w:ascii="Times New Roman" w:hAnsi="Times New Roman" w:cs="Times New Roman"/>
              </w:rPr>
              <w:t>Nedostatočné údaje na</w:t>
            </w:r>
            <w:r w:rsidR="00B423BE">
              <w:rPr>
                <w:rFonts w:ascii="Times New Roman" w:hAnsi="Times New Roman" w:cs="Times New Roman"/>
              </w:rPr>
              <w:t> </w:t>
            </w:r>
            <w:r w:rsidRPr="009C7651">
              <w:rPr>
                <w:rFonts w:ascii="Times New Roman" w:hAnsi="Times New Roman" w:cs="Times New Roman"/>
              </w:rPr>
              <w:t>odporúčanie úpravy dávkovania.</w:t>
            </w:r>
          </w:p>
          <w:p w:rsidR="00E43DBA" w:rsidRDefault="00E43DBA" w:rsidP="00ED630A">
            <w:pPr>
              <w:spacing w:line="240" w:lineRule="auto"/>
              <w:ind w:right="20"/>
              <w:rPr>
                <w:rFonts w:ascii="Times New Roman" w:hAnsi="Times New Roman" w:cs="Times New Roman"/>
              </w:rPr>
            </w:pPr>
          </w:p>
          <w:p w:rsidR="00E43DBA" w:rsidRDefault="00E43DBA" w:rsidP="00ED630A">
            <w:pPr>
              <w:spacing w:line="240" w:lineRule="auto"/>
              <w:ind w:right="20"/>
              <w:rPr>
                <w:rFonts w:ascii="Times New Roman" w:hAnsi="Times New Roman" w:cs="Times New Roman"/>
              </w:rPr>
            </w:pPr>
          </w:p>
          <w:p w:rsidR="00E43DBA" w:rsidRDefault="00E43DBA" w:rsidP="00ED630A">
            <w:pPr>
              <w:spacing w:line="240" w:lineRule="auto"/>
              <w:ind w:right="20"/>
              <w:rPr>
                <w:rFonts w:ascii="Times New Roman" w:hAnsi="Times New Roman" w:cs="Times New Roman"/>
              </w:rPr>
            </w:pPr>
          </w:p>
          <w:p w:rsidR="00E43DBA" w:rsidRDefault="00E43DBA" w:rsidP="00ED630A">
            <w:pPr>
              <w:spacing w:line="240" w:lineRule="auto"/>
              <w:ind w:right="20"/>
              <w:rPr>
                <w:rFonts w:ascii="Times New Roman" w:hAnsi="Times New Roman" w:cs="Times New Roman"/>
              </w:rPr>
            </w:pPr>
          </w:p>
          <w:p w:rsidR="00E43DBA" w:rsidRPr="009C7651" w:rsidRDefault="00E43DBA" w:rsidP="00ED630A">
            <w:pPr>
              <w:spacing w:line="240" w:lineRule="auto"/>
              <w:ind w:right="20"/>
              <w:rPr>
                <w:rFonts w:ascii="Times New Roman" w:hAnsi="Times New Roman" w:cs="Times New Roman"/>
              </w:rPr>
            </w:pPr>
          </w:p>
        </w:tc>
      </w:tr>
      <w:tr w:rsidR="00E56BE0" w:rsidRPr="004E2D07" w:rsidTr="00293EFF">
        <w:tblPrEx>
          <w:tblCellMar>
            <w:right w:w="55" w:type="dxa"/>
          </w:tblCellMar>
        </w:tblPrEx>
        <w:trPr>
          <w:trHeight w:val="516"/>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Retinoidné zlúčeniny</w:t>
            </w:r>
          </w:p>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(napr. isotretinoín)/lamivudín</w:t>
            </w:r>
          </w:p>
          <w:p w:rsidR="004B1A10" w:rsidRPr="009C7651" w:rsidRDefault="004B1A10" w:rsidP="002B7B74">
            <w:pPr>
              <w:spacing w:line="240" w:lineRule="auto"/>
              <w:rPr>
                <w:rFonts w:ascii="Times New Roman" w:hAnsi="Times New Roman" w:cs="Times New Roman"/>
              </w:rPr>
            </w:pPr>
            <w:r w:rsidRPr="009C7651">
              <w:rPr>
                <w:rFonts w:ascii="Times New Roman" w:hAnsi="Times New Roman" w:cs="Times New Roman"/>
              </w:rPr>
              <w:lastRenderedPageBreak/>
              <w:t>Neuskutočnili sa žiadne interakčné štúdie.</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lastRenderedPageBreak/>
              <w:t>Interakcia sa neštudovala.</w:t>
            </w:r>
          </w:p>
        </w:tc>
        <w:tc>
          <w:tcPr>
            <w:tcW w:w="0" w:type="auto"/>
            <w:vMerge/>
            <w:tcBorders>
              <w:top w:val="nil"/>
              <w:left w:val="single" w:sz="4" w:space="0" w:color="000000"/>
              <w:bottom w:val="single" w:sz="4" w:space="0" w:color="000000"/>
              <w:right w:val="single" w:sz="4" w:space="0" w:color="000000"/>
            </w:tcBorders>
          </w:tcPr>
          <w:p w:rsidR="00E56BE0" w:rsidRPr="004E2D07"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262"/>
        </w:trPr>
        <w:tc>
          <w:tcPr>
            <w:tcW w:w="3070" w:type="dxa"/>
            <w:tcBorders>
              <w:top w:val="single" w:sz="4" w:space="0" w:color="000000"/>
              <w:left w:val="single" w:sz="4" w:space="0" w:color="000000"/>
              <w:bottom w:val="single" w:sz="4" w:space="0" w:color="000000"/>
              <w:right w:val="nil"/>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lastRenderedPageBreak/>
              <w:t>RÔZNE</w:t>
            </w:r>
            <w:r w:rsidRPr="009C7651">
              <w:rPr>
                <w:rFonts w:ascii="Times New Roman" w:hAnsi="Times New Roman" w:cs="Times New Roman"/>
              </w:rPr>
              <w:t xml:space="preserve"> </w:t>
            </w:r>
          </w:p>
        </w:tc>
        <w:tc>
          <w:tcPr>
            <w:tcW w:w="3069" w:type="dxa"/>
            <w:tcBorders>
              <w:top w:val="single" w:sz="4" w:space="0" w:color="000000"/>
              <w:left w:val="nil"/>
              <w:bottom w:val="single" w:sz="4" w:space="0" w:color="000000"/>
              <w:right w:val="nil"/>
            </w:tcBorders>
          </w:tcPr>
          <w:p w:rsidR="00E56BE0" w:rsidRPr="009C7651" w:rsidRDefault="00E56BE0" w:rsidP="002B7B74">
            <w:pPr>
              <w:spacing w:line="240" w:lineRule="auto"/>
              <w:rPr>
                <w:rFonts w:ascii="Times New Roman" w:hAnsi="Times New Roman" w:cs="Times New Roman"/>
              </w:rPr>
            </w:pPr>
          </w:p>
        </w:tc>
        <w:tc>
          <w:tcPr>
            <w:tcW w:w="3072" w:type="dxa"/>
            <w:tcBorders>
              <w:top w:val="single" w:sz="4" w:space="0" w:color="000000"/>
              <w:left w:val="nil"/>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r>
      <w:tr w:rsidR="00E56BE0" w:rsidRPr="004E2D07" w:rsidTr="00293EFF">
        <w:tblPrEx>
          <w:tblCellMar>
            <w:right w:w="55" w:type="dxa"/>
          </w:tblCellMar>
        </w:tblPrEx>
        <w:trPr>
          <w:trHeight w:val="1308"/>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ind w:right="512"/>
              <w:rPr>
                <w:rFonts w:ascii="Times New Roman" w:hAnsi="Times New Roman" w:cs="Times New Roman"/>
              </w:rPr>
            </w:pPr>
            <w:r w:rsidRPr="009C7651">
              <w:rPr>
                <w:rFonts w:ascii="Times New Roman" w:hAnsi="Times New Roman" w:cs="Times New Roman"/>
              </w:rPr>
              <w:t>Etanol/abakavir (0,7</w:t>
            </w:r>
            <w:r w:rsidR="00ED630A" w:rsidRPr="009C7651">
              <w:rPr>
                <w:rFonts w:ascii="Times New Roman" w:hAnsi="Times New Roman" w:cs="Times New Roman"/>
              </w:rPr>
              <w:t> </w:t>
            </w:r>
            <w:r w:rsidRPr="009C7651">
              <w:rPr>
                <w:rFonts w:ascii="Times New Roman" w:hAnsi="Times New Roman" w:cs="Times New Roman"/>
              </w:rPr>
              <w:t>g/kg jednorazová dávka/600</w:t>
            </w:r>
            <w:r w:rsidR="00ED630A" w:rsidRPr="009C7651">
              <w:rPr>
                <w:rFonts w:ascii="Times New Roman" w:hAnsi="Times New Roman" w:cs="Times New Roman"/>
              </w:rPr>
              <w:t> </w:t>
            </w:r>
            <w:r w:rsidRPr="009C7651">
              <w:rPr>
                <w:rFonts w:ascii="Times New Roman" w:hAnsi="Times New Roman" w:cs="Times New Roman"/>
              </w:rPr>
              <w:t>mg jednorazová dávka)</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Abakavir: AUC </w:t>
            </w:r>
            <w:r w:rsidRPr="009C7651">
              <w:rPr>
                <w:rFonts w:ascii="Times New Roman" w:eastAsia="Segoe UI Symbol" w:hAnsi="Times New Roman" w:cs="Times New Roman"/>
              </w:rPr>
              <w:t>↑</w:t>
            </w:r>
            <w:r w:rsidRPr="009C7651">
              <w:rPr>
                <w:rFonts w:ascii="Times New Roman" w:hAnsi="Times New Roman" w:cs="Times New Roman"/>
              </w:rPr>
              <w:t>41</w:t>
            </w:r>
            <w:r w:rsidR="00ED630A" w:rsidRPr="009C7651">
              <w:rPr>
                <w:rFonts w:ascii="Times New Roman" w:hAnsi="Times New Roman" w:cs="Times New Roman"/>
              </w:rPr>
              <w:t> </w:t>
            </w:r>
            <w:r w:rsidRPr="009C7651">
              <w:rPr>
                <w:rFonts w:ascii="Times New Roman" w:hAnsi="Times New Roman" w:cs="Times New Roman"/>
              </w:rPr>
              <w:t>%</w:t>
            </w:r>
          </w:p>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 xml:space="preserve">Etanol: AUC </w:t>
            </w:r>
            <w:r w:rsidRPr="009C7651">
              <w:rPr>
                <w:rFonts w:ascii="Times New Roman" w:eastAsia="Segoe UI Symbol" w:hAnsi="Times New Roman" w:cs="Times New Roman"/>
              </w:rPr>
              <w:t>↔</w:t>
            </w:r>
          </w:p>
          <w:p w:rsidR="00E56BE0" w:rsidRPr="009C7651" w:rsidRDefault="00E56BE0" w:rsidP="002B7B74">
            <w:pPr>
              <w:spacing w:line="240" w:lineRule="auto"/>
              <w:rPr>
                <w:rFonts w:ascii="Times New Roman" w:hAnsi="Times New Roman" w:cs="Times New Roman"/>
              </w:rPr>
            </w:pPr>
          </w:p>
          <w:p w:rsidR="00E56BE0" w:rsidRPr="009C7651" w:rsidRDefault="00ED630A" w:rsidP="002B7B74">
            <w:pPr>
              <w:spacing w:line="240" w:lineRule="auto"/>
              <w:rPr>
                <w:rFonts w:ascii="Times New Roman" w:hAnsi="Times New Roman" w:cs="Times New Roman"/>
              </w:rPr>
            </w:pPr>
            <w:r w:rsidRPr="009C7651">
              <w:rPr>
                <w:rFonts w:ascii="Times New Roman" w:hAnsi="Times New Roman" w:cs="Times New Roman"/>
              </w:rPr>
              <w:t>(Inhibícia</w:t>
            </w:r>
          </w:p>
          <w:p w:rsidR="00E56BE0" w:rsidRPr="009C7651" w:rsidRDefault="00ED630A" w:rsidP="002B7B74">
            <w:pPr>
              <w:spacing w:line="240" w:lineRule="auto"/>
              <w:rPr>
                <w:rFonts w:ascii="Times New Roman" w:hAnsi="Times New Roman" w:cs="Times New Roman"/>
              </w:rPr>
            </w:pPr>
            <w:r w:rsidRPr="009C7651">
              <w:rPr>
                <w:rFonts w:ascii="Times New Roman" w:hAnsi="Times New Roman" w:cs="Times New Roman"/>
              </w:rPr>
              <w:t>alkoholdehydrogenázy)</w:t>
            </w:r>
          </w:p>
        </w:tc>
        <w:tc>
          <w:tcPr>
            <w:tcW w:w="3072" w:type="dxa"/>
            <w:vMerge w:val="restart"/>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Nie je potrebná žiadna úprava dávkovania.</w:t>
            </w:r>
          </w:p>
        </w:tc>
      </w:tr>
      <w:tr w:rsidR="00E56BE0" w:rsidRPr="004E2D07" w:rsidTr="00293EFF">
        <w:tblPrEx>
          <w:tblCellMar>
            <w:right w:w="55" w:type="dxa"/>
          </w:tblCellMar>
        </w:tblPrEx>
        <w:trPr>
          <w:trHeight w:val="264"/>
        </w:trPr>
        <w:tc>
          <w:tcPr>
            <w:tcW w:w="3070"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rPr>
              <w:t>Etanol/lamivudín</w:t>
            </w:r>
          </w:p>
        </w:tc>
        <w:tc>
          <w:tcPr>
            <w:tcW w:w="3069" w:type="dxa"/>
            <w:tcBorders>
              <w:top w:val="single" w:sz="4" w:space="0" w:color="000000"/>
              <w:left w:val="single" w:sz="4" w:space="0" w:color="000000"/>
              <w:bottom w:val="single" w:sz="4" w:space="0" w:color="000000"/>
              <w:right w:val="single" w:sz="4" w:space="0" w:color="000000"/>
            </w:tcBorders>
          </w:tcPr>
          <w:p w:rsidR="00E56BE0" w:rsidRPr="009C7651" w:rsidRDefault="00E56BE0" w:rsidP="00ED630A">
            <w:pPr>
              <w:spacing w:line="240" w:lineRule="auto"/>
              <w:rPr>
                <w:rFonts w:ascii="Times New Roman" w:hAnsi="Times New Roman" w:cs="Times New Roman"/>
              </w:rPr>
            </w:pPr>
            <w:r w:rsidRPr="009C7651">
              <w:rPr>
                <w:rFonts w:ascii="Times New Roman" w:hAnsi="Times New Roman" w:cs="Times New Roman"/>
              </w:rPr>
              <w:t>Interakcia sa neštudovala.</w:t>
            </w:r>
          </w:p>
        </w:tc>
        <w:tc>
          <w:tcPr>
            <w:tcW w:w="0" w:type="auto"/>
            <w:vMerge/>
            <w:tcBorders>
              <w:top w:val="nil"/>
              <w:left w:val="single" w:sz="4" w:space="0" w:color="000000"/>
              <w:bottom w:val="single" w:sz="4" w:space="0" w:color="000000"/>
              <w:right w:val="single" w:sz="4" w:space="0" w:color="000000"/>
            </w:tcBorders>
          </w:tcPr>
          <w:p w:rsidR="00E56BE0" w:rsidRPr="004E2D07" w:rsidRDefault="00E56BE0" w:rsidP="002B7B74">
            <w:pPr>
              <w:spacing w:line="240" w:lineRule="auto"/>
              <w:rPr>
                <w:rFonts w:ascii="Times New Roman" w:hAnsi="Times New Roman" w:cs="Times New Roman"/>
              </w:rPr>
            </w:pPr>
          </w:p>
        </w:tc>
      </w:tr>
    </w:tbl>
    <w:p w:rsidR="00E56BE0" w:rsidRPr="00042751" w:rsidRDefault="00E56BE0" w:rsidP="002B7B74">
      <w:pPr>
        <w:spacing w:line="240" w:lineRule="auto"/>
        <w:ind w:left="2" w:right="639" w:hanging="10"/>
      </w:pPr>
      <w:r w:rsidRPr="00042751">
        <w:t xml:space="preserve">Skratky: </w:t>
      </w:r>
      <w:r w:rsidRPr="00042751">
        <w:rPr>
          <w:rFonts w:eastAsia="Segoe UI Symbol"/>
        </w:rPr>
        <w:t>↑</w:t>
      </w:r>
      <w:r w:rsidRPr="00042751">
        <w:t xml:space="preserve"> = zvýšenie; </w:t>
      </w:r>
      <w:r w:rsidRPr="00042751">
        <w:rPr>
          <w:rFonts w:eastAsia="Segoe UI Symbol"/>
        </w:rPr>
        <w:t>↓</w:t>
      </w:r>
      <w:r w:rsidRPr="00042751">
        <w:t xml:space="preserve"> = zníženie; </w:t>
      </w:r>
      <w:r w:rsidRPr="00042751">
        <w:rPr>
          <w:rFonts w:eastAsia="Segoe UI Symbol"/>
        </w:rPr>
        <w:t>↔</w:t>
      </w:r>
      <w:r w:rsidRPr="00042751">
        <w:t xml:space="preserve"> = žiadna významná zmena; AUC = plocha pod krivkou závislosti koncentrácie od času; C</w:t>
      </w:r>
      <w:r w:rsidRPr="00042751">
        <w:rPr>
          <w:vertAlign w:val="subscript"/>
        </w:rPr>
        <w:t>max</w:t>
      </w:r>
      <w:r w:rsidRPr="00042751">
        <w:t xml:space="preserve"> = maximálna pozorovaná koncentrácia; CL</w:t>
      </w:r>
      <w:r w:rsidR="00ED630A" w:rsidRPr="00042751">
        <w:t>/F = zdanlivý perorálny klírens</w:t>
      </w:r>
    </w:p>
    <w:p w:rsidR="00E56BE0" w:rsidRPr="003533C9" w:rsidRDefault="00E56BE0" w:rsidP="002B7B74">
      <w:pPr>
        <w:spacing w:line="240" w:lineRule="auto"/>
        <w:ind w:left="7"/>
      </w:pPr>
    </w:p>
    <w:p w:rsidR="00812D16" w:rsidRPr="003533C9" w:rsidRDefault="00812D16" w:rsidP="002B7B74">
      <w:pPr>
        <w:spacing w:line="240" w:lineRule="auto"/>
        <w:rPr>
          <w:i/>
        </w:rPr>
      </w:pPr>
      <w:r w:rsidRPr="003533C9">
        <w:rPr>
          <w:u w:val="single"/>
        </w:rPr>
        <w:t>Pediatrická populácia</w:t>
      </w:r>
    </w:p>
    <w:p w:rsidR="00812D16" w:rsidRPr="003533C9" w:rsidRDefault="00812D16" w:rsidP="002B7B74">
      <w:pPr>
        <w:spacing w:line="240" w:lineRule="auto"/>
      </w:pPr>
      <w:r w:rsidRPr="003533C9">
        <w:t>Interakčné štúdie sa uskutočnili len u</w:t>
      </w:r>
      <w:r w:rsidR="00A72672" w:rsidRPr="003533C9">
        <w:t> </w:t>
      </w:r>
      <w:r w:rsidRPr="003533C9">
        <w:t>dospelých.</w:t>
      </w:r>
    </w:p>
    <w:p w:rsidR="00812D16" w:rsidRPr="00007196" w:rsidRDefault="00812D16" w:rsidP="002B7B74">
      <w:pPr>
        <w:spacing w:line="240" w:lineRule="auto"/>
      </w:pPr>
    </w:p>
    <w:p w:rsidR="00812D16" w:rsidRPr="00007196" w:rsidRDefault="00616408" w:rsidP="00042751">
      <w:pPr>
        <w:keepNext/>
        <w:spacing w:line="240" w:lineRule="auto"/>
      </w:pPr>
      <w:r w:rsidRPr="00007196">
        <w:rPr>
          <w:b/>
        </w:rPr>
        <w:t>4.6</w:t>
      </w:r>
      <w:r w:rsidRPr="00007196">
        <w:rPr>
          <w:b/>
        </w:rPr>
        <w:tab/>
      </w:r>
      <w:r w:rsidR="00812D16" w:rsidRPr="00007196">
        <w:rPr>
          <w:b/>
        </w:rPr>
        <w:t>Fertilita, gravidita a laktácia</w:t>
      </w:r>
    </w:p>
    <w:p w:rsidR="00812D16" w:rsidRPr="00007196" w:rsidRDefault="00812D16" w:rsidP="002B7B74">
      <w:pPr>
        <w:keepNext/>
        <w:spacing w:line="240" w:lineRule="auto"/>
      </w:pPr>
    </w:p>
    <w:p w:rsidR="00E56BE0" w:rsidRPr="00007196" w:rsidRDefault="00E56BE0" w:rsidP="002B7B74">
      <w:pPr>
        <w:pStyle w:val="Nadpis2"/>
        <w:spacing w:after="0" w:line="240" w:lineRule="auto"/>
        <w:ind w:left="2"/>
      </w:pPr>
      <w:r w:rsidRPr="00007196">
        <w:t>Gravidita</w:t>
      </w:r>
    </w:p>
    <w:p w:rsidR="00E56BE0" w:rsidRPr="00007196" w:rsidRDefault="00E56BE0" w:rsidP="002B7B74">
      <w:pPr>
        <w:spacing w:line="240" w:lineRule="auto"/>
        <w:ind w:left="3" w:right="14"/>
      </w:pPr>
      <w:r w:rsidRPr="00007196">
        <w:t>Všeobecne, pri rozhodovaní o</w:t>
      </w:r>
      <w:r w:rsidR="00ED630A" w:rsidRPr="00007196">
        <w:t> </w:t>
      </w:r>
      <w:r w:rsidRPr="00007196">
        <w:t>použití antiretrovírusových liekov na liečbu HIV</w:t>
      </w:r>
      <w:r w:rsidR="00EF12FA" w:rsidRPr="00007196">
        <w:t xml:space="preserve"> </w:t>
      </w:r>
      <w:r w:rsidRPr="00007196">
        <w:t>infekcie u</w:t>
      </w:r>
      <w:r w:rsidR="00ED630A" w:rsidRPr="00007196">
        <w:t> </w:t>
      </w:r>
      <w:r w:rsidRPr="00007196">
        <w:t>tehotných žien a</w:t>
      </w:r>
      <w:r w:rsidR="00ED630A" w:rsidRPr="00007196">
        <w:t> </w:t>
      </w:r>
      <w:r w:rsidRPr="00007196">
        <w:t>následne na zníženie rizika vertikálneho prenosu infekcie HIV na novorodenca,</w:t>
      </w:r>
      <w:r w:rsidR="00EF12FA" w:rsidRPr="00007196">
        <w:t xml:space="preserve"> </w:t>
      </w:r>
      <w:r w:rsidRPr="00007196">
        <w:t xml:space="preserve">by sa </w:t>
      </w:r>
      <w:r w:rsidR="00EF12FA" w:rsidRPr="00007196">
        <w:t xml:space="preserve">mali </w:t>
      </w:r>
      <w:r w:rsidRPr="00007196">
        <w:t>zvážiť údaje získané u</w:t>
      </w:r>
      <w:r w:rsidR="00ED630A" w:rsidRPr="00007196">
        <w:t> </w:t>
      </w:r>
      <w:r w:rsidRPr="00007196">
        <w:t>zvierat a ako aj klinické skúsenosti u</w:t>
      </w:r>
      <w:r w:rsidR="00ED630A" w:rsidRPr="00007196">
        <w:t> tehotných žien.</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Štúdie s</w:t>
      </w:r>
      <w:r w:rsidR="00ED630A" w:rsidRPr="00007196">
        <w:t> </w:t>
      </w:r>
      <w:r w:rsidRPr="00007196">
        <w:t>abakavirom vykonané na zvieratách preukázali toxicitu pre vyvíjajúce sa embryo a</w:t>
      </w:r>
      <w:r w:rsidR="00ED630A" w:rsidRPr="00007196">
        <w:t> </w:t>
      </w:r>
      <w:r w:rsidRPr="00007196">
        <w:t>plod u</w:t>
      </w:r>
      <w:r w:rsidR="00ED630A" w:rsidRPr="00007196">
        <w:t> </w:t>
      </w:r>
      <w:r w:rsidRPr="00007196">
        <w:t>potkanov, ale nie u</w:t>
      </w:r>
      <w:r w:rsidR="00ED630A" w:rsidRPr="00007196">
        <w:t> </w:t>
      </w:r>
      <w:r w:rsidRPr="00007196">
        <w:t>králikov. Štúdie s</w:t>
      </w:r>
      <w:r w:rsidR="00ED630A" w:rsidRPr="00007196">
        <w:t> </w:t>
      </w:r>
      <w:r w:rsidRPr="00007196">
        <w:t>lamivudínom vykonané na zvieratách preukázali zvýšenie skorej embryonálnej úmrtnosti u</w:t>
      </w:r>
      <w:r w:rsidR="00ED630A" w:rsidRPr="00007196">
        <w:t> </w:t>
      </w:r>
      <w:r w:rsidRPr="00007196">
        <w:t>králikov, ale nie u</w:t>
      </w:r>
      <w:r w:rsidR="00ED630A" w:rsidRPr="00007196">
        <w:t> </w:t>
      </w:r>
      <w:r w:rsidRPr="00007196">
        <w:t>potkanov (pozri časť</w:t>
      </w:r>
      <w:r w:rsidR="00ED630A" w:rsidRPr="00007196">
        <w:t> </w:t>
      </w:r>
      <w:r w:rsidRPr="00007196">
        <w:t>5.3). Liečivá obsiahnuté v</w:t>
      </w:r>
      <w:r w:rsidR="00ED630A" w:rsidRPr="00007196">
        <w:t> </w:t>
      </w:r>
      <w:r w:rsidRPr="00007196">
        <w:t xml:space="preserve">lieku </w:t>
      </w:r>
      <w:r w:rsidR="004A5B2D" w:rsidRPr="00007196">
        <w:t>Abakavir/Lamivudín Vale</w:t>
      </w:r>
      <w:r w:rsidRPr="00007196">
        <w:t xml:space="preserve"> môžu inhibovať bunkovú replikáciu DNA a</w:t>
      </w:r>
      <w:r w:rsidR="00ED630A" w:rsidRPr="00007196">
        <w:t> </w:t>
      </w:r>
      <w:r w:rsidRPr="00007196">
        <w:t>abakavir sa preukázal ako karcinogén na zvieracích modeloch (pozri časť</w:t>
      </w:r>
      <w:r w:rsidR="00ED630A" w:rsidRPr="00007196">
        <w:t> </w:t>
      </w:r>
      <w:r w:rsidRPr="00007196">
        <w:t>5.3). Klinická významnosť týchto zistení nie je známa. Preukázalo sa, že u</w:t>
      </w:r>
      <w:r w:rsidR="00ED630A" w:rsidRPr="00007196">
        <w:t> </w:t>
      </w:r>
      <w:r w:rsidRPr="00007196">
        <w:t>ľudí dochádza k</w:t>
      </w:r>
      <w:r w:rsidR="00ED630A" w:rsidRPr="00007196">
        <w:t xml:space="preserve"> </w:t>
      </w:r>
      <w:r w:rsidRPr="00007196">
        <w:t>prechodu abakaviru a</w:t>
      </w:r>
      <w:r w:rsidR="00ED630A" w:rsidRPr="00007196">
        <w:t> lamivudínu placentou.</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Údaje získané u</w:t>
      </w:r>
      <w:r w:rsidR="00ED630A" w:rsidRPr="00007196">
        <w:t> </w:t>
      </w:r>
      <w:r w:rsidRPr="00007196">
        <w:t>gravidných žien liečených abakavirom týkajúce sa viac ako 800</w:t>
      </w:r>
      <w:r w:rsidR="00ED630A" w:rsidRPr="00007196">
        <w:t> </w:t>
      </w:r>
      <w:r w:rsidRPr="00007196">
        <w:t>ukončených gravidít po expozícii liečivu v</w:t>
      </w:r>
      <w:r w:rsidR="00ED630A" w:rsidRPr="00007196">
        <w:t> </w:t>
      </w:r>
      <w:r w:rsidRPr="00007196">
        <w:t>prvom trimestri a</w:t>
      </w:r>
      <w:r w:rsidR="00ED630A" w:rsidRPr="00007196">
        <w:t> </w:t>
      </w:r>
      <w:r w:rsidRPr="00007196">
        <w:t>viac ako 1</w:t>
      </w:r>
      <w:r w:rsidR="00ED630A" w:rsidRPr="00007196">
        <w:t> </w:t>
      </w:r>
      <w:r w:rsidRPr="00007196">
        <w:t>000 ukončených gravidít po expozícii liečivu v</w:t>
      </w:r>
      <w:r w:rsidR="00ED630A" w:rsidRPr="00007196">
        <w:t> </w:t>
      </w:r>
      <w:r w:rsidRPr="00007196">
        <w:t>druhom a</w:t>
      </w:r>
      <w:r w:rsidR="00ED630A" w:rsidRPr="00007196">
        <w:t> </w:t>
      </w:r>
      <w:r w:rsidRPr="00007196">
        <w:t>treťom trimestri nepoukazujú na malform</w:t>
      </w:r>
      <w:r w:rsidR="003F7370" w:rsidRPr="00007196">
        <w:t>ačný</w:t>
      </w:r>
      <w:r w:rsidRPr="00007196">
        <w:t xml:space="preserve"> a</w:t>
      </w:r>
      <w:r w:rsidR="003F7370" w:rsidRPr="00007196">
        <w:t xml:space="preserve">ni </w:t>
      </w:r>
      <w:r w:rsidRPr="00007196">
        <w:t>fetáln</w:t>
      </w:r>
      <w:r w:rsidR="003F7370" w:rsidRPr="00007196">
        <w:t>y</w:t>
      </w:r>
      <w:r w:rsidRPr="00007196">
        <w:t>/neonatáln</w:t>
      </w:r>
      <w:r w:rsidR="003F7370" w:rsidRPr="00007196">
        <w:t>y</w:t>
      </w:r>
      <w:r w:rsidRPr="00007196">
        <w:t xml:space="preserve"> </w:t>
      </w:r>
      <w:r w:rsidR="003F7370" w:rsidRPr="00007196">
        <w:t>účinok</w:t>
      </w:r>
      <w:r w:rsidRPr="00007196">
        <w:t>. Údaje získané u</w:t>
      </w:r>
      <w:r w:rsidR="00ED630A" w:rsidRPr="00007196">
        <w:t> </w:t>
      </w:r>
      <w:r w:rsidRPr="00007196">
        <w:t>gravidných žien liečených lamivudínom týkajúce sa viac ako 1</w:t>
      </w:r>
      <w:r w:rsidR="00ED630A" w:rsidRPr="00007196">
        <w:t> </w:t>
      </w:r>
      <w:r w:rsidRPr="00007196">
        <w:t>000 ukončených gravidít po</w:t>
      </w:r>
      <w:r w:rsidR="00B423BE">
        <w:t> </w:t>
      </w:r>
      <w:r w:rsidRPr="00007196">
        <w:t>expozícii liečivu v</w:t>
      </w:r>
      <w:r w:rsidR="00ED630A" w:rsidRPr="00007196">
        <w:t> </w:t>
      </w:r>
      <w:r w:rsidRPr="00007196">
        <w:t>prvom trimestri a</w:t>
      </w:r>
      <w:r w:rsidR="00ED630A" w:rsidRPr="00007196">
        <w:t> </w:t>
      </w:r>
      <w:r w:rsidRPr="00007196">
        <w:t>viac ako 1</w:t>
      </w:r>
      <w:r w:rsidR="00ED630A" w:rsidRPr="00007196">
        <w:t> </w:t>
      </w:r>
      <w:r w:rsidRPr="00007196">
        <w:t>000 ukončených gravidít po expozícii liečivu v</w:t>
      </w:r>
      <w:r w:rsidR="00ED630A" w:rsidRPr="00007196">
        <w:t> </w:t>
      </w:r>
      <w:r w:rsidRPr="00007196">
        <w:t>druhom a</w:t>
      </w:r>
      <w:r w:rsidR="00ED630A" w:rsidRPr="00007196">
        <w:t> </w:t>
      </w:r>
      <w:r w:rsidRPr="00007196">
        <w:t>treťom trimestri nepoukazujú na malform</w:t>
      </w:r>
      <w:r w:rsidR="003F7370" w:rsidRPr="00007196">
        <w:t>ačný</w:t>
      </w:r>
      <w:r w:rsidRPr="00007196">
        <w:t xml:space="preserve"> a</w:t>
      </w:r>
      <w:r w:rsidR="003F7370" w:rsidRPr="00007196">
        <w:t xml:space="preserve">ni </w:t>
      </w:r>
      <w:r w:rsidRPr="00007196">
        <w:t>fetáln</w:t>
      </w:r>
      <w:r w:rsidR="003F7370" w:rsidRPr="00007196">
        <w:t>y</w:t>
      </w:r>
      <w:r w:rsidRPr="00007196">
        <w:t>/neonatáln</w:t>
      </w:r>
      <w:r w:rsidR="003F7370" w:rsidRPr="00007196">
        <w:t>y</w:t>
      </w:r>
      <w:r w:rsidRPr="00007196">
        <w:t xml:space="preserve"> </w:t>
      </w:r>
      <w:r w:rsidR="003F7370" w:rsidRPr="00007196">
        <w:t>účinok</w:t>
      </w:r>
      <w:r w:rsidRPr="00007196">
        <w:t>. K</w:t>
      </w:r>
      <w:r w:rsidR="00ED630A" w:rsidRPr="00007196">
        <w:t> </w:t>
      </w:r>
      <w:r w:rsidRPr="00007196">
        <w:t>dispozícii nie sú žiadne údaje o</w:t>
      </w:r>
      <w:r w:rsidR="00ED630A" w:rsidRPr="00007196">
        <w:t> </w:t>
      </w:r>
      <w:r w:rsidRPr="00007196">
        <w:t xml:space="preserve">použití </w:t>
      </w:r>
      <w:r w:rsidR="00ED630A" w:rsidRPr="00007196">
        <w:t>abakavir</w:t>
      </w:r>
      <w:r w:rsidR="00ED630A" w:rsidRPr="003533C9">
        <w:t>u</w:t>
      </w:r>
      <w:r w:rsidR="00ED630A" w:rsidRPr="00007196">
        <w:t>/lamivudín</w:t>
      </w:r>
      <w:r w:rsidR="00ED630A" w:rsidRPr="003533C9">
        <w:t>u</w:t>
      </w:r>
      <w:r w:rsidRPr="00007196">
        <w:t xml:space="preserve"> počas gravidity, ale na základe uvedených údajov je riziko malformácií u</w:t>
      </w:r>
      <w:r w:rsidR="00ED630A" w:rsidRPr="00007196">
        <w:t> ľudí nepravdepodobné.</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U</w:t>
      </w:r>
      <w:r w:rsidR="00ED630A" w:rsidRPr="00007196">
        <w:t> </w:t>
      </w:r>
      <w:r w:rsidRPr="00007196">
        <w:t>pacientok sú</w:t>
      </w:r>
      <w:r w:rsidR="003F7370" w:rsidRPr="00007196">
        <w:t>bežne</w:t>
      </w:r>
      <w:r w:rsidRPr="00007196">
        <w:t xml:space="preserve"> infikovaných vírusom hepatitídy, ktoré sú liečené liekom obsahujúcim lamivudín, akým je </w:t>
      </w:r>
      <w:r w:rsidR="004A5B2D" w:rsidRPr="00007196">
        <w:t>Abakavir/Lamivudín Vale</w:t>
      </w:r>
      <w:r w:rsidRPr="00007196">
        <w:t>, a</w:t>
      </w:r>
      <w:r w:rsidR="00FB6E91" w:rsidRPr="00007196">
        <w:t> </w:t>
      </w:r>
      <w:r w:rsidRPr="00007196">
        <w:t>ktoré následne otehotnejú, sa má zohľadniť možnosť recidívy hepatitídy po prerušení liečby lamivudínom.</w:t>
      </w:r>
    </w:p>
    <w:p w:rsidR="00E56BE0" w:rsidRPr="00007196" w:rsidRDefault="00E56BE0" w:rsidP="002B7B74">
      <w:pPr>
        <w:spacing w:line="240" w:lineRule="auto"/>
        <w:ind w:left="7"/>
      </w:pPr>
    </w:p>
    <w:p w:rsidR="00E56BE0" w:rsidRPr="00007196" w:rsidRDefault="00E56BE0" w:rsidP="002B7B74">
      <w:pPr>
        <w:pStyle w:val="Nadpis3"/>
        <w:spacing w:line="240" w:lineRule="auto"/>
        <w:ind w:left="2"/>
      </w:pPr>
      <w:r w:rsidRPr="00007196">
        <w:t>Mitochondriálna dysfunkcia</w:t>
      </w:r>
    </w:p>
    <w:p w:rsidR="00E56BE0" w:rsidRPr="00007196" w:rsidRDefault="00E56BE0" w:rsidP="002B7B74">
      <w:pPr>
        <w:spacing w:line="240" w:lineRule="auto"/>
        <w:ind w:left="3" w:right="14"/>
      </w:pPr>
      <w:r w:rsidRPr="00007196">
        <w:rPr>
          <w:i/>
        </w:rPr>
        <w:t xml:space="preserve">In vitro </w:t>
      </w:r>
      <w:r w:rsidRPr="00007196">
        <w:t xml:space="preserve">a </w:t>
      </w:r>
      <w:r w:rsidRPr="00007196">
        <w:rPr>
          <w:i/>
        </w:rPr>
        <w:t xml:space="preserve">in vivo </w:t>
      </w:r>
      <w:r w:rsidRPr="00007196">
        <w:t>sa dokázalo, že nukleozidové a</w:t>
      </w:r>
      <w:r w:rsidR="00FB6E91" w:rsidRPr="00007196">
        <w:t> </w:t>
      </w:r>
      <w:r w:rsidRPr="00007196">
        <w:t>nukleotidové analógy spôsobujú rôzny stupeň mitochondriálneho poškodenia. Mitochondriálna dysfunkcia bola zaznamenaná u</w:t>
      </w:r>
      <w:r w:rsidR="00FB6E91" w:rsidRPr="00007196">
        <w:t> </w:t>
      </w:r>
      <w:r w:rsidRPr="00007196">
        <w:t xml:space="preserve">HIV-negatívnych dojčiat vystavených nukleozidovým analógom </w:t>
      </w:r>
      <w:r w:rsidRPr="00007196">
        <w:rPr>
          <w:i/>
        </w:rPr>
        <w:t xml:space="preserve">in utero </w:t>
      </w:r>
      <w:r w:rsidRPr="00007196">
        <w:t>a/alebo postnatálne (pozri časť</w:t>
      </w:r>
      <w:r w:rsidR="00FB6E91" w:rsidRPr="00007196">
        <w:t> 4.4).</w:t>
      </w:r>
    </w:p>
    <w:p w:rsidR="00E56BE0" w:rsidRPr="00007196" w:rsidRDefault="00E56BE0" w:rsidP="002B7B74">
      <w:pPr>
        <w:spacing w:line="240" w:lineRule="auto"/>
        <w:ind w:left="7"/>
      </w:pPr>
    </w:p>
    <w:p w:rsidR="00E56BE0" w:rsidRPr="00007196" w:rsidRDefault="00FB6E91" w:rsidP="002B7B74">
      <w:pPr>
        <w:pStyle w:val="Nadpis2"/>
        <w:spacing w:after="0" w:line="240" w:lineRule="auto"/>
        <w:ind w:left="2"/>
      </w:pPr>
      <w:r w:rsidRPr="00007196">
        <w:t>Dojčenie</w:t>
      </w:r>
    </w:p>
    <w:p w:rsidR="003F7370" w:rsidRPr="00007196" w:rsidRDefault="00E56BE0" w:rsidP="002B7B74">
      <w:pPr>
        <w:spacing w:line="240" w:lineRule="auto"/>
        <w:ind w:left="3" w:right="301"/>
      </w:pPr>
      <w:r w:rsidRPr="00007196">
        <w:t>Abakavir a</w:t>
      </w:r>
      <w:r w:rsidR="00FB6E91" w:rsidRPr="00007196">
        <w:t> </w:t>
      </w:r>
      <w:r w:rsidRPr="00007196">
        <w:t xml:space="preserve">jeho metabolity sa vylučujú do mlieka potkanov </w:t>
      </w:r>
      <w:r w:rsidR="003F7370" w:rsidRPr="00007196">
        <w:t>počas</w:t>
      </w:r>
      <w:r w:rsidR="00FB6E91" w:rsidRPr="00007196">
        <w:t> </w:t>
      </w:r>
      <w:r w:rsidRPr="00007196">
        <w:t>laktáci</w:t>
      </w:r>
      <w:r w:rsidR="003F7370" w:rsidRPr="00007196">
        <w:t>e</w:t>
      </w:r>
      <w:r w:rsidRPr="00007196">
        <w:t xml:space="preserve">. Abakavir sa vylučuje aj do ľudského mlieka. </w:t>
      </w:r>
    </w:p>
    <w:p w:rsidR="003F7370" w:rsidRPr="00007196" w:rsidRDefault="003F7370" w:rsidP="002B7B74">
      <w:pPr>
        <w:spacing w:line="240" w:lineRule="auto"/>
        <w:ind w:left="3" w:right="301"/>
      </w:pPr>
    </w:p>
    <w:p w:rsidR="00E56BE0" w:rsidRPr="00007196" w:rsidRDefault="00E56BE0" w:rsidP="002B7B74">
      <w:pPr>
        <w:spacing w:line="240" w:lineRule="auto"/>
        <w:ind w:left="3" w:right="301"/>
      </w:pPr>
      <w:r w:rsidRPr="00007196">
        <w:t>Na základe údajov získaných u</w:t>
      </w:r>
      <w:r w:rsidR="00FB6E91" w:rsidRPr="00007196">
        <w:t> </w:t>
      </w:r>
      <w:r w:rsidRPr="00007196">
        <w:t>viac ako 200</w:t>
      </w:r>
      <w:r w:rsidR="00FB6E91" w:rsidRPr="00007196">
        <w:t> </w:t>
      </w:r>
      <w:r w:rsidRPr="00007196">
        <w:t>párov matka/dieťa, pričom matka bola liečená na infekciu HIV, sa zistilo, že koncentrácie lamivudínu v</w:t>
      </w:r>
      <w:r w:rsidR="00FB6E91" w:rsidRPr="00007196">
        <w:t> </w:t>
      </w:r>
      <w:r w:rsidRPr="00007196">
        <w:t>sére dojčených detí boli veľmi nízke (&lt;</w:t>
      </w:r>
      <w:r w:rsidR="00FB6E91" w:rsidRPr="00007196">
        <w:t> </w:t>
      </w:r>
      <w:r w:rsidRPr="00007196">
        <w:t>4</w:t>
      </w:r>
      <w:r w:rsidR="00FB6E91" w:rsidRPr="00007196">
        <w:t> </w:t>
      </w:r>
      <w:r w:rsidRPr="00007196">
        <w:t>% koncentrácií v</w:t>
      </w:r>
      <w:r w:rsidR="00FB6E91" w:rsidRPr="00007196">
        <w:t> </w:t>
      </w:r>
      <w:r w:rsidRPr="00007196">
        <w:t>sére matiek) a</w:t>
      </w:r>
      <w:r w:rsidR="00FB6E91" w:rsidRPr="00007196">
        <w:t> </w:t>
      </w:r>
      <w:r w:rsidRPr="00007196">
        <w:t>postupne klesali na nezistiteľné hladiny, keď dojčené deti dosiahli vek 24</w:t>
      </w:r>
      <w:r w:rsidR="00FB6E91" w:rsidRPr="00007196">
        <w:t> </w:t>
      </w:r>
      <w:r w:rsidRPr="00007196">
        <w:t>týždňov. K</w:t>
      </w:r>
      <w:r w:rsidR="00FB6E91" w:rsidRPr="00007196">
        <w:t> </w:t>
      </w:r>
      <w:r w:rsidRPr="00007196">
        <w:t>dispozícii nie sú žiadne údaje o</w:t>
      </w:r>
      <w:r w:rsidR="00FB6E91" w:rsidRPr="00007196">
        <w:t> </w:t>
      </w:r>
      <w:r w:rsidRPr="00007196">
        <w:t>bezpečnosti abakaviru a</w:t>
      </w:r>
      <w:r w:rsidR="00FB6E91" w:rsidRPr="00007196">
        <w:t> </w:t>
      </w:r>
      <w:r w:rsidRPr="00007196">
        <w:t xml:space="preserve">lamivudínu, keď sa podávajú deťom mladším ako tri </w:t>
      </w:r>
      <w:r w:rsidR="00FB6E91" w:rsidRPr="00007196">
        <w:t>mesiace.</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Odporúča sa, aby ženy infikované HIV za žiadnych okolností svoje deti nedojčili</w:t>
      </w:r>
      <w:r w:rsidR="00FB6E91" w:rsidRPr="00007196">
        <w:t>, aby sa zabránilo prenosu HIV.</w:t>
      </w:r>
    </w:p>
    <w:p w:rsidR="00E56BE0" w:rsidRPr="00007196" w:rsidRDefault="00E56BE0" w:rsidP="002B7B74">
      <w:pPr>
        <w:spacing w:line="240" w:lineRule="auto"/>
        <w:ind w:left="7"/>
      </w:pPr>
    </w:p>
    <w:p w:rsidR="00E56BE0" w:rsidRPr="00007196" w:rsidRDefault="00E56BE0" w:rsidP="002B7B74">
      <w:pPr>
        <w:pStyle w:val="Nadpis2"/>
        <w:spacing w:after="0" w:line="240" w:lineRule="auto"/>
        <w:ind w:left="2"/>
      </w:pPr>
      <w:r w:rsidRPr="00007196">
        <w:t>Fertilita</w:t>
      </w:r>
    </w:p>
    <w:p w:rsidR="00E56BE0" w:rsidRPr="00007196" w:rsidRDefault="00E56BE0" w:rsidP="002B7B74">
      <w:pPr>
        <w:spacing w:line="240" w:lineRule="auto"/>
        <w:ind w:left="3" w:right="14"/>
      </w:pPr>
      <w:r w:rsidRPr="00007196">
        <w:t>Štúdie na zvieratách preukázali, že ani abakavir, ani lamivudín nemajú žiadny vplyv na fertilitu (pozri časť</w:t>
      </w:r>
      <w:r w:rsidR="00FB6E91" w:rsidRPr="00007196">
        <w:t> 5.3).</w:t>
      </w:r>
    </w:p>
    <w:p w:rsidR="00812D16" w:rsidRPr="00007196" w:rsidRDefault="00812D16" w:rsidP="002B7B74">
      <w:pPr>
        <w:spacing w:line="240" w:lineRule="auto"/>
      </w:pPr>
    </w:p>
    <w:p w:rsidR="00812D16" w:rsidRPr="00007196" w:rsidRDefault="00812D16" w:rsidP="00042751">
      <w:pPr>
        <w:keepNext/>
        <w:numPr>
          <w:ilvl w:val="1"/>
          <w:numId w:val="29"/>
        </w:numPr>
        <w:spacing w:line="240" w:lineRule="auto"/>
      </w:pPr>
      <w:r w:rsidRPr="00007196">
        <w:rPr>
          <w:b/>
        </w:rPr>
        <w:t>Ovplyvnenie schopnosti viesť vozidlá a obsluhovať stroje</w:t>
      </w:r>
    </w:p>
    <w:p w:rsidR="00812D16" w:rsidRPr="00007196" w:rsidRDefault="00812D16" w:rsidP="002B7B74">
      <w:pPr>
        <w:keepNext/>
        <w:spacing w:line="240" w:lineRule="auto"/>
      </w:pPr>
    </w:p>
    <w:p w:rsidR="00812D16" w:rsidRPr="00007196" w:rsidRDefault="00E56BE0" w:rsidP="00FB6E91">
      <w:pPr>
        <w:spacing w:line="240" w:lineRule="auto"/>
        <w:ind w:left="3" w:right="14"/>
      </w:pPr>
      <w:r w:rsidRPr="00007196">
        <w:t>Neuskutočnili sa žiadne štúdie o</w:t>
      </w:r>
      <w:r w:rsidR="00FB6E91" w:rsidRPr="00007196">
        <w:t> </w:t>
      </w:r>
      <w:r w:rsidRPr="00007196">
        <w:t>účinkoch na schopnosť viesť vozidlá a obsluhovať stroje. Pri</w:t>
      </w:r>
      <w:r w:rsidR="00FB6E91" w:rsidRPr="00007196">
        <w:t> </w:t>
      </w:r>
      <w:r w:rsidRPr="00007196">
        <w:t>posudzovaní schopnosti pacienta viesť vozidlá a</w:t>
      </w:r>
      <w:r w:rsidR="00FB6E91" w:rsidRPr="00007196">
        <w:t> </w:t>
      </w:r>
      <w:r w:rsidRPr="00007196">
        <w:t>obsluhovať stroje sa však vždy musí prihliadnuť na jeho klinický stav a</w:t>
      </w:r>
      <w:r w:rsidR="00FB6E91" w:rsidRPr="00007196">
        <w:t> </w:t>
      </w:r>
      <w:r w:rsidRPr="00007196">
        <w:t xml:space="preserve">profil nežiaducich reakcií na </w:t>
      </w:r>
      <w:r w:rsidR="00FB6E91" w:rsidRPr="00007196">
        <w:t>abakavir/lamivudín</w:t>
      </w:r>
      <w:r w:rsidRPr="00007196">
        <w:t>.</w:t>
      </w:r>
    </w:p>
    <w:p w:rsidR="00812D16" w:rsidRPr="00007196" w:rsidRDefault="00812D16" w:rsidP="002B7B74">
      <w:pPr>
        <w:spacing w:line="240" w:lineRule="auto"/>
      </w:pPr>
    </w:p>
    <w:p w:rsidR="00812D16" w:rsidRPr="00007196" w:rsidRDefault="00812D16" w:rsidP="00042751">
      <w:pPr>
        <w:keepNext/>
        <w:numPr>
          <w:ilvl w:val="1"/>
          <w:numId w:val="29"/>
        </w:numPr>
        <w:spacing w:line="240" w:lineRule="auto"/>
        <w:rPr>
          <w:b/>
        </w:rPr>
      </w:pPr>
      <w:r w:rsidRPr="00007196">
        <w:rPr>
          <w:b/>
        </w:rPr>
        <w:t>Nežiaduce účinky</w:t>
      </w:r>
    </w:p>
    <w:p w:rsidR="00812D16" w:rsidRPr="00007196" w:rsidRDefault="00812D16" w:rsidP="002B7B74">
      <w:pPr>
        <w:keepNext/>
        <w:autoSpaceDE w:val="0"/>
        <w:autoSpaceDN w:val="0"/>
        <w:adjustRightInd w:val="0"/>
        <w:spacing w:line="240" w:lineRule="auto"/>
      </w:pPr>
    </w:p>
    <w:p w:rsidR="00E56BE0" w:rsidRPr="00007196" w:rsidRDefault="00E56BE0" w:rsidP="002B7B74">
      <w:pPr>
        <w:pStyle w:val="Nadpis2"/>
        <w:spacing w:after="0" w:line="240" w:lineRule="auto"/>
        <w:ind w:left="2"/>
      </w:pPr>
      <w:r w:rsidRPr="00007196">
        <w:t>Súhrn bezpečnostného profilu</w:t>
      </w:r>
    </w:p>
    <w:p w:rsidR="00E56BE0" w:rsidRPr="00007196" w:rsidRDefault="00E56BE0" w:rsidP="002B7B74">
      <w:pPr>
        <w:spacing w:line="240" w:lineRule="auto"/>
        <w:ind w:left="3" w:right="14"/>
      </w:pPr>
      <w:r w:rsidRPr="00007196">
        <w:t xml:space="preserve">Nežiaduce reakcie hlásené </w:t>
      </w:r>
      <w:r w:rsidR="00FB6E91" w:rsidRPr="00007196">
        <w:t>na</w:t>
      </w:r>
      <w:r w:rsidRPr="00007196">
        <w:t xml:space="preserve"> </w:t>
      </w:r>
      <w:r w:rsidR="00FB6E91" w:rsidRPr="00007196">
        <w:t>abakavir/lamivudín</w:t>
      </w:r>
      <w:r w:rsidRPr="00007196">
        <w:t xml:space="preserve"> sa zhodovali so známymi bezpečnostnými profilmi abakaviru a</w:t>
      </w:r>
      <w:r w:rsidR="00FB6E91" w:rsidRPr="00007196">
        <w:t> </w:t>
      </w:r>
      <w:r w:rsidRPr="00007196">
        <w:t>lamivudínu, keď sa podávali ako samostatné lieky. Pre mnohé z</w:t>
      </w:r>
      <w:r w:rsidR="00FB6E91" w:rsidRPr="00007196">
        <w:t> </w:t>
      </w:r>
      <w:r w:rsidRPr="00007196">
        <w:t>týchto nežiaducich reakcií nie je jasné, či súvisia s</w:t>
      </w:r>
      <w:r w:rsidR="00FB6E91" w:rsidRPr="00007196">
        <w:t> </w:t>
      </w:r>
      <w:r w:rsidRPr="00007196">
        <w:t>liečivom, širokým okruhom liekov používaných v</w:t>
      </w:r>
      <w:r w:rsidR="00FB6E91" w:rsidRPr="00007196">
        <w:t> </w:t>
      </w:r>
      <w:r w:rsidRPr="00007196">
        <w:t>liečbe HIV infekcie, alebo či sú dôsledkom základného chorobného procesu.</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Mnohé z</w:t>
      </w:r>
      <w:r w:rsidR="00FB6E91" w:rsidRPr="00007196">
        <w:t> </w:t>
      </w:r>
      <w:r w:rsidRPr="00007196">
        <w:t>nežiaducich reakcií uvedených nižšie v</w:t>
      </w:r>
      <w:r w:rsidR="00FB6E91" w:rsidRPr="00007196">
        <w:t> </w:t>
      </w:r>
      <w:r w:rsidRPr="00007196">
        <w:t>tabuľke sa vyskytujú často (nauzea, vracanie, hnačka, horúčka, letargia, vyrážka) u</w:t>
      </w:r>
      <w:r w:rsidR="00FB6E91" w:rsidRPr="00007196">
        <w:t> </w:t>
      </w:r>
      <w:r w:rsidRPr="00007196">
        <w:t>pacientov s</w:t>
      </w:r>
      <w:r w:rsidR="00FB6E91" w:rsidRPr="00007196">
        <w:t> </w:t>
      </w:r>
      <w:r w:rsidRPr="00007196">
        <w:t>precitlivenosťou na abakavir. Preto sa u</w:t>
      </w:r>
      <w:r w:rsidR="00FB6E91" w:rsidRPr="00007196">
        <w:t> </w:t>
      </w:r>
      <w:r w:rsidRPr="00007196">
        <w:t>pacientov s</w:t>
      </w:r>
      <w:r w:rsidR="00FB6E91" w:rsidRPr="00007196">
        <w:t> </w:t>
      </w:r>
      <w:r w:rsidRPr="00007196">
        <w:t>ktorýmkoľvek z</w:t>
      </w:r>
      <w:r w:rsidR="00FB6E91" w:rsidRPr="00007196">
        <w:t> </w:t>
      </w:r>
      <w:r w:rsidRPr="00007196">
        <w:t>týchto príznakov má starostlivo vyhodnotiť prítomnosť tejto precitlivenosti (pozri časť</w:t>
      </w:r>
      <w:r w:rsidR="00FB6E91" w:rsidRPr="00007196">
        <w:t> </w:t>
      </w:r>
      <w:r w:rsidRPr="00007196">
        <w:t>4.4). V</w:t>
      </w:r>
      <w:r w:rsidR="00FB6E91" w:rsidRPr="00007196">
        <w:t> </w:t>
      </w:r>
      <w:r w:rsidRPr="00007196">
        <w:t>prípadoch, v</w:t>
      </w:r>
      <w:r w:rsidR="00FB6E91" w:rsidRPr="00007196">
        <w:t> </w:t>
      </w:r>
      <w:r w:rsidRPr="00007196">
        <w:t>ktorých sa nedala vylúčiť precitlivenosť na abakavir, bol veľmi zriedkavo hlásený multiformný erytém, Stevensov-Johnsonov syndróm alebo toxická epidermálna nekrolýza. V</w:t>
      </w:r>
      <w:r w:rsidR="00FB6E91" w:rsidRPr="00007196">
        <w:t> </w:t>
      </w:r>
      <w:r w:rsidRPr="00007196">
        <w:t>takýchto prípadoch sa má liečba liekmi obsahujúcimi abakavir natrvalo ukonči</w:t>
      </w:r>
      <w:r w:rsidR="00FB6E91" w:rsidRPr="00007196">
        <w:t>ť.</w:t>
      </w:r>
    </w:p>
    <w:p w:rsidR="00E56BE0" w:rsidRPr="00007196" w:rsidRDefault="00E56BE0" w:rsidP="002B7B74">
      <w:pPr>
        <w:spacing w:line="240" w:lineRule="auto"/>
        <w:ind w:left="7"/>
      </w:pPr>
    </w:p>
    <w:p w:rsidR="00E56BE0" w:rsidRPr="00007196" w:rsidRDefault="00E56BE0" w:rsidP="002B7B74">
      <w:pPr>
        <w:pStyle w:val="Nadpis2"/>
        <w:spacing w:after="0" w:line="240" w:lineRule="auto"/>
        <w:ind w:left="2"/>
      </w:pPr>
      <w:r w:rsidRPr="00007196">
        <w:t>Tabuľkový zoznam nežiaducich reakcií</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Nežiaduce reakcie považované za najmenej pravdepodobne súvisiace s</w:t>
      </w:r>
      <w:r w:rsidR="00FB6E91" w:rsidRPr="00007196">
        <w:t> </w:t>
      </w:r>
      <w:r w:rsidRPr="00007196">
        <w:t>abakavirom alebo lamivudínom sú vymenované podľa telesného systému, orgánových tried a</w:t>
      </w:r>
      <w:r w:rsidR="00FB6E91" w:rsidRPr="00007196">
        <w:t> </w:t>
      </w:r>
      <w:r w:rsidRPr="00007196">
        <w:t>absolútnej frekvencie. Frekvencie sú definované ako veľmi časté (&gt;</w:t>
      </w:r>
      <w:r w:rsidR="00FB6E91" w:rsidRPr="00007196">
        <w:t> </w:t>
      </w:r>
      <w:r w:rsidRPr="00007196">
        <w:t>1/10), časté (&gt;</w:t>
      </w:r>
      <w:r w:rsidR="00FB6E91" w:rsidRPr="00007196">
        <w:t> </w:t>
      </w:r>
      <w:r w:rsidRPr="00007196">
        <w:t>1/100 až</w:t>
      </w:r>
      <w:r w:rsidRPr="003533C9">
        <w:t xml:space="preserve"> </w:t>
      </w:r>
      <w:r w:rsidRPr="00007196">
        <w:t>&lt;</w:t>
      </w:r>
      <w:r w:rsidR="00FB6E91" w:rsidRPr="00007196">
        <w:t> </w:t>
      </w:r>
      <w:r w:rsidRPr="00007196">
        <w:t>1/10), menej časté (&gt;</w:t>
      </w:r>
      <w:r w:rsidR="00FB6E91" w:rsidRPr="00007196">
        <w:t> </w:t>
      </w:r>
      <w:r w:rsidRPr="00007196">
        <w:t>1/1</w:t>
      </w:r>
      <w:r w:rsidR="00FB6E91" w:rsidRPr="00007196">
        <w:t> </w:t>
      </w:r>
      <w:r w:rsidRPr="00007196">
        <w:t>000 až &lt;</w:t>
      </w:r>
      <w:r w:rsidR="00FB6E91" w:rsidRPr="00007196">
        <w:t> </w:t>
      </w:r>
      <w:r w:rsidRPr="00007196">
        <w:t>1/100), zriedkavé (&gt;</w:t>
      </w:r>
      <w:r w:rsidR="00FB6E91" w:rsidRPr="00007196">
        <w:t> </w:t>
      </w:r>
      <w:r w:rsidRPr="00007196">
        <w:t>1/10</w:t>
      </w:r>
      <w:r w:rsidR="00EB38DA" w:rsidRPr="00007196">
        <w:t> </w:t>
      </w:r>
      <w:r w:rsidRPr="00007196">
        <w:t>000 až &lt;</w:t>
      </w:r>
      <w:r w:rsidR="00FB6E91" w:rsidRPr="00007196">
        <w:t> </w:t>
      </w:r>
      <w:r w:rsidRPr="00007196">
        <w:t>1/1</w:t>
      </w:r>
      <w:r w:rsidR="00FB6E91" w:rsidRPr="00007196">
        <w:t> </w:t>
      </w:r>
      <w:r w:rsidRPr="00007196">
        <w:t>000), veľmi zriedkavé (&lt;</w:t>
      </w:r>
      <w:r w:rsidR="00FB6E91" w:rsidRPr="00007196">
        <w:t> </w:t>
      </w:r>
      <w:r w:rsidRPr="00007196">
        <w:t>1/10</w:t>
      </w:r>
      <w:r w:rsidR="00FB6E91" w:rsidRPr="00007196">
        <w:t> 000).</w:t>
      </w:r>
    </w:p>
    <w:p w:rsidR="00E56BE0" w:rsidRPr="00007196" w:rsidRDefault="00E56BE0" w:rsidP="002B7B74">
      <w:pPr>
        <w:spacing w:line="240" w:lineRule="auto"/>
        <w:ind w:left="7"/>
      </w:pPr>
    </w:p>
    <w:tbl>
      <w:tblPr>
        <w:tblStyle w:val="TableGrid"/>
        <w:tblW w:w="9286" w:type="dxa"/>
        <w:tblInd w:w="-101" w:type="dxa"/>
        <w:tblCellMar>
          <w:left w:w="106" w:type="dxa"/>
          <w:right w:w="65" w:type="dxa"/>
        </w:tblCellMar>
        <w:tblLook w:val="04A0"/>
      </w:tblPr>
      <w:tblGrid>
        <w:gridCol w:w="3096"/>
        <w:gridCol w:w="3094"/>
        <w:gridCol w:w="3096"/>
      </w:tblGrid>
      <w:tr w:rsidR="00E56BE0" w:rsidRPr="00007196" w:rsidTr="00E56BE0">
        <w:trPr>
          <w:trHeight w:val="516"/>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ind w:right="39"/>
              <w:rPr>
                <w:rFonts w:ascii="Times New Roman" w:hAnsi="Times New Roman" w:cs="Times New Roman"/>
              </w:rPr>
            </w:pPr>
            <w:r w:rsidRPr="009C7651">
              <w:rPr>
                <w:rFonts w:ascii="Times New Roman" w:hAnsi="Times New Roman" w:cs="Times New Roman"/>
                <w:b/>
              </w:rPr>
              <w:t>Telesný systém</w:t>
            </w:r>
          </w:p>
        </w:tc>
        <w:tc>
          <w:tcPr>
            <w:tcW w:w="3094"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ind w:right="41"/>
              <w:rPr>
                <w:rFonts w:ascii="Times New Roman" w:hAnsi="Times New Roman" w:cs="Times New Roman"/>
              </w:rPr>
            </w:pPr>
            <w:r w:rsidRPr="009C7651">
              <w:rPr>
                <w:rFonts w:ascii="Times New Roman" w:hAnsi="Times New Roman" w:cs="Times New Roman"/>
                <w:b/>
              </w:rPr>
              <w:t>Abakavir</w:t>
            </w: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right="40"/>
              <w:rPr>
                <w:rFonts w:ascii="Times New Roman" w:hAnsi="Times New Roman" w:cs="Times New Roman"/>
              </w:rPr>
            </w:pPr>
            <w:r w:rsidRPr="009C7651">
              <w:rPr>
                <w:rFonts w:ascii="Times New Roman" w:hAnsi="Times New Roman" w:cs="Times New Roman"/>
                <w:b/>
              </w:rPr>
              <w:t>Lamivudín</w:t>
            </w:r>
          </w:p>
        </w:tc>
      </w:tr>
      <w:tr w:rsidR="00E56BE0" w:rsidRPr="00007196" w:rsidTr="00F42676">
        <w:trPr>
          <w:trHeight w:val="1442"/>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rPr>
              <w:t>Poruchy krvi a</w:t>
            </w:r>
            <w:r w:rsidR="00FB6E91" w:rsidRPr="009C7651">
              <w:rPr>
                <w:rFonts w:ascii="Times New Roman" w:hAnsi="Times New Roman" w:cs="Times New Roman"/>
              </w:rPr>
              <w:t> </w:t>
            </w:r>
            <w:r w:rsidRPr="009C7651">
              <w:rPr>
                <w:rFonts w:ascii="Times New Roman" w:hAnsi="Times New Roman" w:cs="Times New Roman"/>
              </w:rPr>
              <w:t>lymfatického systému</w:t>
            </w:r>
          </w:p>
        </w:tc>
        <w:tc>
          <w:tcPr>
            <w:tcW w:w="3094" w:type="dxa"/>
            <w:tcBorders>
              <w:top w:val="single" w:sz="4" w:space="0" w:color="000000"/>
              <w:left w:val="single" w:sz="4" w:space="0" w:color="000000"/>
              <w:bottom w:val="single" w:sz="4" w:space="0" w:color="000000"/>
              <w:right w:val="single" w:sz="4" w:space="0" w:color="000000"/>
            </w:tcBorders>
          </w:tcPr>
          <w:p w:rsidR="00E56BE0" w:rsidRPr="00B423BE" w:rsidRDefault="00E56BE0" w:rsidP="002B7B74">
            <w:pPr>
              <w:spacing w:line="240" w:lineRule="auto"/>
              <w:rPr>
                <w:rFonts w:ascii="Times New Roman" w:hAnsi="Times New Roman" w:cs="Times New Roman"/>
              </w:rPr>
            </w:pP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ind w:left="2"/>
              <w:rPr>
                <w:rFonts w:ascii="Times New Roman" w:hAnsi="Times New Roman" w:cs="Times New Roman"/>
              </w:rPr>
            </w:pPr>
            <w:r w:rsidRPr="009C7651">
              <w:rPr>
                <w:rFonts w:ascii="Times New Roman" w:hAnsi="Times New Roman" w:cs="Times New Roman"/>
                <w:i/>
              </w:rPr>
              <w:t>Menej časté:</w:t>
            </w:r>
            <w:r w:rsidRPr="009C7651">
              <w:rPr>
                <w:rFonts w:ascii="Times New Roman" w:hAnsi="Times New Roman" w:cs="Times New Roman"/>
              </w:rPr>
              <w:t xml:space="preserve"> </w:t>
            </w:r>
            <w:r w:rsidR="00FB6E91" w:rsidRPr="009C7651">
              <w:rPr>
                <w:rFonts w:ascii="Times New Roman" w:hAnsi="Times New Roman" w:cs="Times New Roman"/>
              </w:rPr>
              <w:t>n</w:t>
            </w:r>
            <w:r w:rsidRPr="009C7651">
              <w:rPr>
                <w:rFonts w:ascii="Times New Roman" w:hAnsi="Times New Roman" w:cs="Times New Roman"/>
              </w:rPr>
              <w:t>eutropénia a</w:t>
            </w:r>
            <w:r w:rsidR="00B423BE">
              <w:rPr>
                <w:rFonts w:ascii="Times New Roman" w:hAnsi="Times New Roman" w:cs="Times New Roman"/>
              </w:rPr>
              <w:t> </w:t>
            </w:r>
            <w:r w:rsidRPr="009C7651">
              <w:rPr>
                <w:rFonts w:ascii="Times New Roman" w:hAnsi="Times New Roman" w:cs="Times New Roman"/>
              </w:rPr>
              <w:t>anémia (obe oj</w:t>
            </w:r>
            <w:r w:rsidR="00FB6E91" w:rsidRPr="009C7651">
              <w:rPr>
                <w:rFonts w:ascii="Times New Roman" w:hAnsi="Times New Roman" w:cs="Times New Roman"/>
              </w:rPr>
              <w:t>edinele ťažké), trombocytopénia</w:t>
            </w:r>
          </w:p>
          <w:p w:rsidR="00E56BE0" w:rsidRPr="009C7651" w:rsidRDefault="00E56BE0" w:rsidP="00BC6829">
            <w:pPr>
              <w:spacing w:line="240" w:lineRule="auto"/>
              <w:ind w:left="2"/>
              <w:rPr>
                <w:rFonts w:ascii="Times New Roman" w:hAnsi="Times New Roman" w:cs="Times New Roman"/>
              </w:rPr>
            </w:pPr>
            <w:r w:rsidRPr="009C7651">
              <w:rPr>
                <w:rFonts w:ascii="Times New Roman" w:hAnsi="Times New Roman" w:cs="Times New Roman"/>
                <w:i/>
              </w:rPr>
              <w:t>Veľmi zriedkavé:</w:t>
            </w:r>
            <w:r w:rsidRPr="009C7651">
              <w:rPr>
                <w:rFonts w:ascii="Times New Roman" w:hAnsi="Times New Roman" w:cs="Times New Roman"/>
              </w:rPr>
              <w:t xml:space="preserve"> </w:t>
            </w:r>
            <w:r w:rsidR="00BC6829" w:rsidRPr="009C7651">
              <w:rPr>
                <w:rFonts w:ascii="Times New Roman" w:hAnsi="Times New Roman" w:cs="Times New Roman"/>
              </w:rPr>
              <w:t xml:space="preserve">čistá </w:t>
            </w:r>
            <w:r w:rsidR="00FB6E91" w:rsidRPr="009C7651">
              <w:rPr>
                <w:rFonts w:ascii="Times New Roman" w:hAnsi="Times New Roman" w:cs="Times New Roman"/>
              </w:rPr>
              <w:t>a</w:t>
            </w:r>
            <w:r w:rsidRPr="009C7651">
              <w:rPr>
                <w:rFonts w:ascii="Times New Roman" w:hAnsi="Times New Roman" w:cs="Times New Roman"/>
              </w:rPr>
              <w:t>plázia</w:t>
            </w:r>
            <w:r w:rsidR="00BC6829" w:rsidRPr="009C7651">
              <w:rPr>
                <w:rFonts w:ascii="Times New Roman" w:hAnsi="Times New Roman" w:cs="Times New Roman"/>
              </w:rPr>
              <w:t xml:space="preserve"> </w:t>
            </w:r>
            <w:r w:rsidRPr="009C7651">
              <w:rPr>
                <w:rFonts w:ascii="Times New Roman" w:hAnsi="Times New Roman" w:cs="Times New Roman"/>
              </w:rPr>
              <w:t>červen</w:t>
            </w:r>
            <w:r w:rsidR="00E17680" w:rsidRPr="009C7651">
              <w:rPr>
                <w:rFonts w:ascii="Times New Roman" w:hAnsi="Times New Roman" w:cs="Times New Roman"/>
              </w:rPr>
              <w:t>ých krviniek</w:t>
            </w:r>
          </w:p>
        </w:tc>
      </w:tr>
      <w:tr w:rsidR="00E56BE0" w:rsidRPr="00007196" w:rsidTr="00E56BE0">
        <w:trPr>
          <w:trHeight w:val="516"/>
        </w:trPr>
        <w:tc>
          <w:tcPr>
            <w:tcW w:w="3096" w:type="dxa"/>
            <w:tcBorders>
              <w:top w:val="single" w:sz="4" w:space="0" w:color="000000"/>
              <w:left w:val="single" w:sz="4" w:space="0" w:color="000000"/>
              <w:bottom w:val="single" w:sz="4" w:space="0" w:color="000000"/>
              <w:right w:val="single" w:sz="4" w:space="0" w:color="000000"/>
            </w:tcBorders>
          </w:tcPr>
          <w:p w:rsidR="00E56BE0" w:rsidRPr="003533C9" w:rsidRDefault="00E56BE0" w:rsidP="00FB6E91">
            <w:pPr>
              <w:spacing w:line="240" w:lineRule="auto"/>
              <w:ind w:left="2"/>
              <w:rPr>
                <w:rFonts w:ascii="Times New Roman" w:hAnsi="Times New Roman" w:cs="Times New Roman"/>
              </w:rPr>
            </w:pPr>
            <w:r w:rsidRPr="003533C9">
              <w:t>Poruchy imunitného systému</w:t>
            </w:r>
          </w:p>
        </w:tc>
        <w:tc>
          <w:tcPr>
            <w:tcW w:w="3094" w:type="dxa"/>
            <w:tcBorders>
              <w:top w:val="single" w:sz="4" w:space="0" w:color="000000"/>
              <w:left w:val="single" w:sz="4" w:space="0" w:color="000000"/>
              <w:bottom w:val="single" w:sz="4" w:space="0" w:color="000000"/>
              <w:right w:val="single" w:sz="4" w:space="0" w:color="000000"/>
            </w:tcBorders>
          </w:tcPr>
          <w:p w:rsidR="00E56BE0" w:rsidRPr="00B423BE" w:rsidRDefault="00E56BE0" w:rsidP="00FB6E91">
            <w:pPr>
              <w:spacing w:line="240" w:lineRule="auto"/>
              <w:rPr>
                <w:rFonts w:ascii="Times New Roman" w:hAnsi="Times New Roman" w:cs="Times New Roman"/>
              </w:rPr>
            </w:pPr>
            <w:r w:rsidRPr="00B423BE">
              <w:rPr>
                <w:i/>
              </w:rPr>
              <w:t>Časté:</w:t>
            </w:r>
            <w:r w:rsidRPr="00B423BE">
              <w:t xml:space="preserve"> precitlivenosť</w:t>
            </w:r>
          </w:p>
        </w:tc>
        <w:tc>
          <w:tcPr>
            <w:tcW w:w="3096" w:type="dxa"/>
            <w:tcBorders>
              <w:top w:val="single" w:sz="4" w:space="0" w:color="000000"/>
              <w:left w:val="single" w:sz="4" w:space="0" w:color="000000"/>
              <w:bottom w:val="single" w:sz="4" w:space="0" w:color="000000"/>
              <w:right w:val="single" w:sz="4" w:space="0" w:color="000000"/>
            </w:tcBorders>
          </w:tcPr>
          <w:p w:rsidR="00E56BE0" w:rsidRPr="003533C9" w:rsidRDefault="00E56BE0" w:rsidP="002B7B74">
            <w:pPr>
              <w:spacing w:line="240" w:lineRule="auto"/>
              <w:ind w:left="2"/>
              <w:rPr>
                <w:rFonts w:ascii="Times New Roman" w:hAnsi="Times New Roman" w:cs="Times New Roman"/>
              </w:rPr>
            </w:pPr>
          </w:p>
        </w:tc>
      </w:tr>
      <w:tr w:rsidR="00E56BE0" w:rsidRPr="00007196" w:rsidTr="00F42676">
        <w:trPr>
          <w:trHeight w:val="946"/>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rPr>
              <w:t>Poruchy metabolizmu a</w:t>
            </w:r>
            <w:r w:rsidR="00FB6E91" w:rsidRPr="009C7651">
              <w:rPr>
                <w:rFonts w:ascii="Times New Roman" w:hAnsi="Times New Roman" w:cs="Times New Roman"/>
              </w:rPr>
              <w:t> </w:t>
            </w:r>
            <w:r w:rsidRPr="009C7651">
              <w:rPr>
                <w:rFonts w:ascii="Times New Roman" w:hAnsi="Times New Roman" w:cs="Times New Roman"/>
              </w:rPr>
              <w:t>výživy</w:t>
            </w:r>
          </w:p>
        </w:tc>
        <w:tc>
          <w:tcPr>
            <w:tcW w:w="3094"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i/>
              </w:rPr>
              <w:t>Časté:</w:t>
            </w:r>
            <w:r w:rsidRPr="009C7651">
              <w:rPr>
                <w:rFonts w:ascii="Times New Roman" w:hAnsi="Times New Roman" w:cs="Times New Roman"/>
              </w:rPr>
              <w:t xml:space="preserve"> anorexia</w:t>
            </w:r>
          </w:p>
          <w:p w:rsidR="00E56BE0" w:rsidRPr="009C7651" w:rsidRDefault="00E56BE0" w:rsidP="00FB6E91">
            <w:pPr>
              <w:spacing w:line="240" w:lineRule="auto"/>
              <w:rPr>
                <w:rFonts w:ascii="Times New Roman" w:hAnsi="Times New Roman" w:cs="Times New Roman"/>
              </w:rPr>
            </w:pPr>
            <w:r w:rsidRPr="009C7651">
              <w:rPr>
                <w:rFonts w:ascii="Times New Roman" w:hAnsi="Times New Roman" w:cs="Times New Roman"/>
                <w:i/>
              </w:rPr>
              <w:t xml:space="preserve">Veľmi zriedkavé: </w:t>
            </w:r>
            <w:r w:rsidRPr="009C7651">
              <w:rPr>
                <w:rFonts w:ascii="Times New Roman" w:hAnsi="Times New Roman" w:cs="Times New Roman"/>
              </w:rPr>
              <w:t>laktátová acidóza</w:t>
            </w: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i/>
              </w:rPr>
              <w:t xml:space="preserve">Veľmi zriedkavé: </w:t>
            </w:r>
            <w:r w:rsidRPr="009C7651">
              <w:rPr>
                <w:rFonts w:ascii="Times New Roman" w:hAnsi="Times New Roman" w:cs="Times New Roman"/>
              </w:rPr>
              <w:t>laktátová acidóza</w:t>
            </w:r>
          </w:p>
        </w:tc>
      </w:tr>
      <w:tr w:rsidR="00E56BE0" w:rsidRPr="00007196" w:rsidTr="00F42676">
        <w:trPr>
          <w:trHeight w:val="1188"/>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rPr>
              <w:t>Poruchy nervového systému</w:t>
            </w:r>
          </w:p>
        </w:tc>
        <w:tc>
          <w:tcPr>
            <w:tcW w:w="3094"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i/>
              </w:rPr>
              <w:t>Časté:</w:t>
            </w:r>
            <w:r w:rsidRPr="009C7651">
              <w:rPr>
                <w:rFonts w:ascii="Times New Roman" w:hAnsi="Times New Roman" w:cs="Times New Roman"/>
              </w:rPr>
              <w:t xml:space="preserve"> bolesť hlavy</w:t>
            </w: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i/>
              </w:rPr>
              <w:t xml:space="preserve">Časté: </w:t>
            </w:r>
            <w:r w:rsidR="00FB6E91" w:rsidRPr="009C7651">
              <w:rPr>
                <w:rFonts w:ascii="Times New Roman" w:hAnsi="Times New Roman" w:cs="Times New Roman"/>
              </w:rPr>
              <w:t>b</w:t>
            </w:r>
            <w:r w:rsidRPr="009C7651">
              <w:rPr>
                <w:rFonts w:ascii="Times New Roman" w:hAnsi="Times New Roman" w:cs="Times New Roman"/>
              </w:rPr>
              <w:t xml:space="preserve">olesť hlavy, nespavosť. </w:t>
            </w:r>
            <w:r w:rsidRPr="009C7651">
              <w:rPr>
                <w:rFonts w:ascii="Times New Roman" w:hAnsi="Times New Roman" w:cs="Times New Roman"/>
                <w:i/>
              </w:rPr>
              <w:t>Veľmi zriedkavé:</w:t>
            </w:r>
            <w:r w:rsidRPr="009C7651">
              <w:rPr>
                <w:rFonts w:ascii="Times New Roman" w:hAnsi="Times New Roman" w:cs="Times New Roman"/>
              </w:rPr>
              <w:t xml:space="preserve"> </w:t>
            </w:r>
            <w:r w:rsidR="00FB6E91" w:rsidRPr="009C7651">
              <w:rPr>
                <w:rFonts w:ascii="Times New Roman" w:hAnsi="Times New Roman" w:cs="Times New Roman"/>
              </w:rPr>
              <w:t>h</w:t>
            </w:r>
            <w:r w:rsidRPr="009C7651">
              <w:rPr>
                <w:rFonts w:ascii="Times New Roman" w:hAnsi="Times New Roman" w:cs="Times New Roman"/>
              </w:rPr>
              <w:t>lásené boli prípady periférnej neuropatie (alebo parestézie)</w:t>
            </w:r>
          </w:p>
        </w:tc>
      </w:tr>
      <w:tr w:rsidR="00E56BE0" w:rsidRPr="00007196" w:rsidTr="00F42676">
        <w:trPr>
          <w:trHeight w:val="625"/>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rPr>
              <w:t>Poruchy dýchacej sústavy, hrudníka a</w:t>
            </w:r>
            <w:r w:rsidR="00FB6E91" w:rsidRPr="009C7651">
              <w:rPr>
                <w:rFonts w:ascii="Times New Roman" w:hAnsi="Times New Roman" w:cs="Times New Roman"/>
              </w:rPr>
              <w:t> </w:t>
            </w:r>
            <w:r w:rsidRPr="009C7651">
              <w:rPr>
                <w:rFonts w:ascii="Times New Roman" w:hAnsi="Times New Roman" w:cs="Times New Roman"/>
              </w:rPr>
              <w:t>mediastína</w:t>
            </w:r>
          </w:p>
        </w:tc>
        <w:tc>
          <w:tcPr>
            <w:tcW w:w="3094"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i/>
              </w:rPr>
              <w:t>Časté:</w:t>
            </w:r>
            <w:r w:rsidRPr="009C7651">
              <w:rPr>
                <w:rFonts w:ascii="Times New Roman" w:hAnsi="Times New Roman" w:cs="Times New Roman"/>
              </w:rPr>
              <w:t xml:space="preserve"> </w:t>
            </w:r>
            <w:r w:rsidR="00FB6E91" w:rsidRPr="009C7651">
              <w:rPr>
                <w:rFonts w:ascii="Times New Roman" w:hAnsi="Times New Roman" w:cs="Times New Roman"/>
              </w:rPr>
              <w:t>k</w:t>
            </w:r>
            <w:r w:rsidRPr="009C7651">
              <w:rPr>
                <w:rFonts w:ascii="Times New Roman" w:hAnsi="Times New Roman" w:cs="Times New Roman"/>
              </w:rPr>
              <w:t>ašeľ, nosové príznaky</w:t>
            </w:r>
          </w:p>
        </w:tc>
      </w:tr>
      <w:tr w:rsidR="00E56BE0" w:rsidRPr="00007196" w:rsidTr="00F42676">
        <w:trPr>
          <w:trHeight w:val="1388"/>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rPr>
              <w:lastRenderedPageBreak/>
              <w:t>Poruchy gastrointestinálneho traktu</w:t>
            </w:r>
          </w:p>
        </w:tc>
        <w:tc>
          <w:tcPr>
            <w:tcW w:w="3094"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rPr>
                <w:rFonts w:ascii="Times New Roman" w:hAnsi="Times New Roman" w:cs="Times New Roman"/>
              </w:rPr>
            </w:pPr>
            <w:r w:rsidRPr="009C7651">
              <w:rPr>
                <w:rFonts w:ascii="Times New Roman" w:hAnsi="Times New Roman" w:cs="Times New Roman"/>
                <w:i/>
              </w:rPr>
              <w:t xml:space="preserve">Časté: </w:t>
            </w:r>
            <w:r w:rsidRPr="009C7651">
              <w:rPr>
                <w:rFonts w:ascii="Times New Roman" w:hAnsi="Times New Roman" w:cs="Times New Roman"/>
              </w:rPr>
              <w:t xml:space="preserve">nauzea, vracanie, hnačka </w:t>
            </w:r>
            <w:r w:rsidRPr="009C7651">
              <w:rPr>
                <w:rFonts w:ascii="Times New Roman" w:hAnsi="Times New Roman" w:cs="Times New Roman"/>
                <w:i/>
              </w:rPr>
              <w:t xml:space="preserve">Zriedkavé: </w:t>
            </w:r>
            <w:r w:rsidRPr="009C7651">
              <w:rPr>
                <w:rFonts w:ascii="Times New Roman" w:hAnsi="Times New Roman" w:cs="Times New Roman"/>
              </w:rPr>
              <w:t>hlásená bola pankreatitída, ale príčinný vzťah k</w:t>
            </w:r>
            <w:r w:rsidR="00FB6E91" w:rsidRPr="009C7651">
              <w:rPr>
                <w:rFonts w:ascii="Times New Roman" w:hAnsi="Times New Roman" w:cs="Times New Roman"/>
              </w:rPr>
              <w:t> </w:t>
            </w:r>
            <w:r w:rsidRPr="009C7651">
              <w:rPr>
                <w:rFonts w:ascii="Times New Roman" w:hAnsi="Times New Roman" w:cs="Times New Roman"/>
              </w:rPr>
              <w:t xml:space="preserve">liečbe abakavirom nie je istý </w:t>
            </w: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i/>
              </w:rPr>
              <w:t xml:space="preserve">Časté: </w:t>
            </w:r>
            <w:r w:rsidR="00FB6E91" w:rsidRPr="009C7651">
              <w:rPr>
                <w:rFonts w:ascii="Times New Roman" w:hAnsi="Times New Roman" w:cs="Times New Roman"/>
              </w:rPr>
              <w:t>n</w:t>
            </w:r>
            <w:r w:rsidRPr="009C7651">
              <w:rPr>
                <w:rFonts w:ascii="Times New Roman" w:hAnsi="Times New Roman" w:cs="Times New Roman"/>
              </w:rPr>
              <w:t xml:space="preserve">auzea, vracanie, bolesť brucha alebo kŕče, hnačka </w:t>
            </w:r>
            <w:r w:rsidRPr="009C7651">
              <w:rPr>
                <w:rFonts w:ascii="Times New Roman" w:hAnsi="Times New Roman" w:cs="Times New Roman"/>
                <w:i/>
              </w:rPr>
              <w:t>Zriedkavé:</w:t>
            </w:r>
            <w:r w:rsidRPr="009C7651">
              <w:rPr>
                <w:rFonts w:ascii="Times New Roman" w:hAnsi="Times New Roman" w:cs="Times New Roman"/>
              </w:rPr>
              <w:t xml:space="preserve"> </w:t>
            </w:r>
            <w:r w:rsidR="00FB6E91" w:rsidRPr="009C7651">
              <w:rPr>
                <w:rFonts w:ascii="Times New Roman" w:hAnsi="Times New Roman" w:cs="Times New Roman"/>
              </w:rPr>
              <w:t>v</w:t>
            </w:r>
            <w:r w:rsidRPr="009C7651">
              <w:rPr>
                <w:rFonts w:ascii="Times New Roman" w:hAnsi="Times New Roman" w:cs="Times New Roman"/>
              </w:rPr>
              <w:t>zostup sérových amyláz. Hlásené boli prípady pankreatitídy</w:t>
            </w:r>
          </w:p>
        </w:tc>
      </w:tr>
      <w:tr w:rsidR="00E56BE0" w:rsidRPr="00007196" w:rsidTr="00FB6E91">
        <w:trPr>
          <w:trHeight w:val="1126"/>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rPr>
              <w:t>Poruchy pečene a žlčových ciest</w:t>
            </w:r>
          </w:p>
        </w:tc>
        <w:tc>
          <w:tcPr>
            <w:tcW w:w="3094"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ind w:left="2"/>
              <w:rPr>
                <w:rFonts w:ascii="Times New Roman" w:hAnsi="Times New Roman" w:cs="Times New Roman"/>
              </w:rPr>
            </w:pPr>
            <w:r w:rsidRPr="009C7651">
              <w:rPr>
                <w:rFonts w:ascii="Times New Roman" w:hAnsi="Times New Roman" w:cs="Times New Roman"/>
                <w:i/>
              </w:rPr>
              <w:t>Menej časté:</w:t>
            </w:r>
            <w:r w:rsidRPr="009C7651">
              <w:rPr>
                <w:rFonts w:ascii="Times New Roman" w:hAnsi="Times New Roman" w:cs="Times New Roman"/>
              </w:rPr>
              <w:t xml:space="preserve"> </w:t>
            </w:r>
            <w:r w:rsidR="00FB6E91" w:rsidRPr="009C7651">
              <w:rPr>
                <w:rFonts w:ascii="Times New Roman" w:hAnsi="Times New Roman" w:cs="Times New Roman"/>
              </w:rPr>
              <w:t>p</w:t>
            </w:r>
            <w:r w:rsidRPr="009C7651">
              <w:rPr>
                <w:rFonts w:ascii="Times New Roman" w:hAnsi="Times New Roman" w:cs="Times New Roman"/>
              </w:rPr>
              <w:t>rechodný vzostup pečeňových enzýmov (AST, ALT),</w:t>
            </w:r>
          </w:p>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i/>
              </w:rPr>
              <w:t>Zriedkavé:</w:t>
            </w:r>
            <w:r w:rsidRPr="009C7651">
              <w:rPr>
                <w:rFonts w:ascii="Times New Roman" w:hAnsi="Times New Roman" w:cs="Times New Roman"/>
              </w:rPr>
              <w:t xml:space="preserve"> </w:t>
            </w:r>
            <w:r w:rsidR="00FB6E91" w:rsidRPr="009C7651">
              <w:rPr>
                <w:rFonts w:ascii="Times New Roman" w:hAnsi="Times New Roman" w:cs="Times New Roman"/>
              </w:rPr>
              <w:t>h</w:t>
            </w:r>
            <w:r w:rsidRPr="009C7651">
              <w:rPr>
                <w:rFonts w:ascii="Times New Roman" w:hAnsi="Times New Roman" w:cs="Times New Roman"/>
              </w:rPr>
              <w:t>epatitída</w:t>
            </w:r>
          </w:p>
        </w:tc>
      </w:tr>
      <w:tr w:rsidR="00E56BE0" w:rsidRPr="00007196" w:rsidTr="00FB6E91">
        <w:trPr>
          <w:trHeight w:val="1696"/>
        </w:trPr>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rPr>
              <w:t>Poruchy kože a</w:t>
            </w:r>
            <w:r w:rsidR="00FB6E91" w:rsidRPr="009C7651">
              <w:rPr>
                <w:rFonts w:ascii="Times New Roman" w:hAnsi="Times New Roman" w:cs="Times New Roman"/>
              </w:rPr>
              <w:t> </w:t>
            </w:r>
            <w:r w:rsidRPr="009C7651">
              <w:rPr>
                <w:rFonts w:ascii="Times New Roman" w:hAnsi="Times New Roman" w:cs="Times New Roman"/>
              </w:rPr>
              <w:t>podkožného tkaniva</w:t>
            </w:r>
          </w:p>
        </w:tc>
        <w:tc>
          <w:tcPr>
            <w:tcW w:w="3094"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right="20"/>
              <w:rPr>
                <w:rFonts w:ascii="Times New Roman" w:hAnsi="Times New Roman" w:cs="Times New Roman"/>
              </w:rPr>
            </w:pPr>
            <w:r w:rsidRPr="009C7651">
              <w:rPr>
                <w:rFonts w:ascii="Times New Roman" w:hAnsi="Times New Roman" w:cs="Times New Roman"/>
                <w:i/>
              </w:rPr>
              <w:t>Časté:</w:t>
            </w:r>
            <w:r w:rsidRPr="009C7651">
              <w:rPr>
                <w:rFonts w:ascii="Times New Roman" w:hAnsi="Times New Roman" w:cs="Times New Roman"/>
              </w:rPr>
              <w:t xml:space="preserve"> </w:t>
            </w:r>
            <w:r w:rsidR="00454BF1" w:rsidRPr="009C7651">
              <w:rPr>
                <w:rFonts w:ascii="Times New Roman" w:hAnsi="Times New Roman" w:cs="Times New Roman"/>
              </w:rPr>
              <w:t>vyrážka</w:t>
            </w:r>
            <w:r w:rsidRPr="009C7651">
              <w:rPr>
                <w:rFonts w:ascii="Times New Roman" w:hAnsi="Times New Roman" w:cs="Times New Roman"/>
              </w:rPr>
              <w:t xml:space="preserve"> (bez systémových symptómov) </w:t>
            </w:r>
            <w:r w:rsidRPr="009C7651">
              <w:rPr>
                <w:rFonts w:ascii="Times New Roman" w:hAnsi="Times New Roman" w:cs="Times New Roman"/>
                <w:i/>
              </w:rPr>
              <w:t>Veľmi zriedkavé:</w:t>
            </w:r>
            <w:r w:rsidRPr="009C7651">
              <w:rPr>
                <w:rFonts w:ascii="Times New Roman" w:hAnsi="Times New Roman" w:cs="Times New Roman"/>
              </w:rPr>
              <w:t xml:space="preserve"> multiformný erytém, Stevensov-Johnsonov syndróm a</w:t>
            </w:r>
            <w:r w:rsidR="00FB6E91" w:rsidRPr="009C7651">
              <w:rPr>
                <w:rFonts w:ascii="Times New Roman" w:hAnsi="Times New Roman" w:cs="Times New Roman"/>
              </w:rPr>
              <w:t> </w:t>
            </w:r>
            <w:r w:rsidRPr="009C7651">
              <w:rPr>
                <w:rFonts w:ascii="Times New Roman" w:hAnsi="Times New Roman" w:cs="Times New Roman"/>
              </w:rPr>
              <w:t>toxická epidermálna nekrolýza</w:t>
            </w:r>
          </w:p>
        </w:tc>
        <w:tc>
          <w:tcPr>
            <w:tcW w:w="3096" w:type="dxa"/>
            <w:tcBorders>
              <w:top w:val="single" w:sz="4" w:space="0" w:color="000000"/>
              <w:left w:val="single" w:sz="4" w:space="0" w:color="000000"/>
              <w:bottom w:val="single" w:sz="4" w:space="0" w:color="000000"/>
              <w:right w:val="single" w:sz="4" w:space="0" w:color="000000"/>
            </w:tcBorders>
          </w:tcPr>
          <w:p w:rsidR="00E56BE0" w:rsidRPr="009C7651" w:rsidRDefault="00E56BE0" w:rsidP="00FB6E91">
            <w:pPr>
              <w:spacing w:line="240" w:lineRule="auto"/>
              <w:ind w:left="2"/>
              <w:rPr>
                <w:rFonts w:ascii="Times New Roman" w:hAnsi="Times New Roman" w:cs="Times New Roman"/>
              </w:rPr>
            </w:pPr>
            <w:r w:rsidRPr="009C7651">
              <w:rPr>
                <w:rFonts w:ascii="Times New Roman" w:hAnsi="Times New Roman" w:cs="Times New Roman"/>
                <w:i/>
              </w:rPr>
              <w:t>Časté:</w:t>
            </w:r>
            <w:r w:rsidRPr="009C7651">
              <w:rPr>
                <w:rFonts w:ascii="Times New Roman" w:hAnsi="Times New Roman" w:cs="Times New Roman"/>
              </w:rPr>
              <w:t xml:space="preserve"> </w:t>
            </w:r>
            <w:r w:rsidR="00454BF1" w:rsidRPr="009C7651">
              <w:rPr>
                <w:rFonts w:ascii="Times New Roman" w:hAnsi="Times New Roman" w:cs="Times New Roman"/>
              </w:rPr>
              <w:t>vyrážka</w:t>
            </w:r>
            <w:r w:rsidRPr="009C7651">
              <w:rPr>
                <w:rFonts w:ascii="Times New Roman" w:hAnsi="Times New Roman" w:cs="Times New Roman"/>
              </w:rPr>
              <w:t xml:space="preserve">, alopécia </w:t>
            </w:r>
            <w:r w:rsidRPr="009C7651">
              <w:rPr>
                <w:rFonts w:ascii="Times New Roman" w:hAnsi="Times New Roman" w:cs="Times New Roman"/>
                <w:i/>
              </w:rPr>
              <w:t xml:space="preserve">Zriedkavé: </w:t>
            </w:r>
            <w:r w:rsidR="00FB6E91" w:rsidRPr="009C7651">
              <w:rPr>
                <w:rFonts w:ascii="Times New Roman" w:hAnsi="Times New Roman" w:cs="Times New Roman"/>
              </w:rPr>
              <w:t>a</w:t>
            </w:r>
            <w:r w:rsidRPr="009C7651">
              <w:rPr>
                <w:rFonts w:ascii="Times New Roman" w:hAnsi="Times New Roman" w:cs="Times New Roman"/>
              </w:rPr>
              <w:t>ngioedém</w:t>
            </w:r>
          </w:p>
        </w:tc>
      </w:tr>
      <w:tr w:rsidR="00E56BE0" w:rsidRPr="00007196" w:rsidTr="00FB6E91">
        <w:trPr>
          <w:trHeight w:val="745"/>
        </w:trPr>
        <w:tc>
          <w:tcPr>
            <w:tcW w:w="3096" w:type="dxa"/>
            <w:tcBorders>
              <w:top w:val="single" w:sz="4" w:space="0" w:color="000000"/>
              <w:left w:val="single" w:sz="4" w:space="0" w:color="000000"/>
              <w:bottom w:val="single" w:sz="4" w:space="0" w:color="000000"/>
              <w:right w:val="single" w:sz="4" w:space="0" w:color="000000"/>
            </w:tcBorders>
          </w:tcPr>
          <w:p w:rsidR="00E56BE0" w:rsidRPr="004E2D07" w:rsidRDefault="00E56BE0" w:rsidP="00FB6E91">
            <w:pPr>
              <w:spacing w:line="240" w:lineRule="auto"/>
              <w:ind w:left="2"/>
              <w:rPr>
                <w:rFonts w:ascii="Times New Roman" w:hAnsi="Times New Roman" w:cs="Times New Roman"/>
              </w:rPr>
            </w:pPr>
            <w:r w:rsidRPr="004E2D07">
              <w:rPr>
                <w:rFonts w:ascii="Times New Roman" w:hAnsi="Times New Roman" w:cs="Times New Roman"/>
              </w:rPr>
              <w:t>Poruchy kostrovej a</w:t>
            </w:r>
            <w:r w:rsidR="00FB6E91" w:rsidRPr="004E2D07">
              <w:rPr>
                <w:rFonts w:ascii="Times New Roman" w:hAnsi="Times New Roman" w:cs="Times New Roman"/>
              </w:rPr>
              <w:t> </w:t>
            </w:r>
            <w:r w:rsidRPr="004E2D07">
              <w:rPr>
                <w:rFonts w:ascii="Times New Roman" w:hAnsi="Times New Roman" w:cs="Times New Roman"/>
              </w:rPr>
              <w:t>svalovej sústavy a</w:t>
            </w:r>
            <w:r w:rsidR="00FB6E91" w:rsidRPr="004E2D07">
              <w:rPr>
                <w:rFonts w:ascii="Times New Roman" w:hAnsi="Times New Roman" w:cs="Times New Roman"/>
              </w:rPr>
              <w:t> </w:t>
            </w:r>
            <w:r w:rsidRPr="004E2D07">
              <w:rPr>
                <w:rFonts w:ascii="Times New Roman" w:hAnsi="Times New Roman" w:cs="Times New Roman"/>
              </w:rPr>
              <w:t>spojivového tkaniva</w:t>
            </w:r>
          </w:p>
        </w:tc>
        <w:tc>
          <w:tcPr>
            <w:tcW w:w="3094" w:type="dxa"/>
            <w:tcBorders>
              <w:top w:val="single" w:sz="4" w:space="0" w:color="000000"/>
              <w:left w:val="single" w:sz="4" w:space="0" w:color="000000"/>
              <w:bottom w:val="single" w:sz="4" w:space="0" w:color="000000"/>
              <w:right w:val="single" w:sz="4" w:space="0" w:color="000000"/>
            </w:tcBorders>
          </w:tcPr>
          <w:p w:rsidR="00E56BE0" w:rsidRPr="004E2D07" w:rsidRDefault="00E56BE0" w:rsidP="002B7B74">
            <w:pPr>
              <w:spacing w:line="240" w:lineRule="auto"/>
              <w:rPr>
                <w:rFonts w:ascii="Times New Roman" w:hAnsi="Times New Roman" w:cs="Times New Roman"/>
              </w:rPr>
            </w:pPr>
          </w:p>
        </w:tc>
        <w:tc>
          <w:tcPr>
            <w:tcW w:w="3096" w:type="dxa"/>
            <w:tcBorders>
              <w:top w:val="single" w:sz="4" w:space="0" w:color="000000"/>
              <w:left w:val="single" w:sz="4" w:space="0" w:color="000000"/>
              <w:bottom w:val="single" w:sz="4" w:space="0" w:color="000000"/>
              <w:right w:val="single" w:sz="4" w:space="0" w:color="000000"/>
            </w:tcBorders>
          </w:tcPr>
          <w:p w:rsidR="00E56BE0" w:rsidRPr="004E2D07" w:rsidRDefault="00E56BE0" w:rsidP="002B7B74">
            <w:pPr>
              <w:spacing w:line="240" w:lineRule="auto"/>
              <w:ind w:left="2"/>
              <w:rPr>
                <w:rFonts w:ascii="Times New Roman" w:hAnsi="Times New Roman" w:cs="Times New Roman"/>
              </w:rPr>
            </w:pPr>
            <w:r w:rsidRPr="004E2D07">
              <w:rPr>
                <w:rFonts w:ascii="Times New Roman" w:hAnsi="Times New Roman" w:cs="Times New Roman"/>
                <w:i/>
              </w:rPr>
              <w:t xml:space="preserve">Časté: </w:t>
            </w:r>
            <w:r w:rsidR="00FB6E91" w:rsidRPr="004E2D07">
              <w:rPr>
                <w:rFonts w:ascii="Times New Roman" w:hAnsi="Times New Roman" w:cs="Times New Roman"/>
              </w:rPr>
              <w:t>a</w:t>
            </w:r>
            <w:r w:rsidRPr="004E2D07">
              <w:rPr>
                <w:rFonts w:ascii="Times New Roman" w:hAnsi="Times New Roman" w:cs="Times New Roman"/>
              </w:rPr>
              <w:t xml:space="preserve">rtralgia, svalové poruchy </w:t>
            </w:r>
          </w:p>
          <w:p w:rsidR="00E56BE0" w:rsidRPr="004E2D07" w:rsidRDefault="00E56BE0" w:rsidP="00FB6E91">
            <w:pPr>
              <w:spacing w:line="240" w:lineRule="auto"/>
              <w:ind w:left="2"/>
              <w:rPr>
                <w:rFonts w:ascii="Times New Roman" w:hAnsi="Times New Roman" w:cs="Times New Roman"/>
              </w:rPr>
            </w:pPr>
            <w:r w:rsidRPr="004E2D07">
              <w:rPr>
                <w:rFonts w:ascii="Times New Roman" w:hAnsi="Times New Roman" w:cs="Times New Roman"/>
                <w:i/>
              </w:rPr>
              <w:t>Zriedkavé:</w:t>
            </w:r>
            <w:r w:rsidRPr="004E2D07">
              <w:rPr>
                <w:rFonts w:ascii="Times New Roman" w:hAnsi="Times New Roman" w:cs="Times New Roman"/>
              </w:rPr>
              <w:t xml:space="preserve"> </w:t>
            </w:r>
            <w:r w:rsidR="00FB6E91" w:rsidRPr="004E2D07">
              <w:rPr>
                <w:rFonts w:ascii="Times New Roman" w:hAnsi="Times New Roman" w:cs="Times New Roman"/>
              </w:rPr>
              <w:t>r</w:t>
            </w:r>
            <w:r w:rsidRPr="004E2D07">
              <w:rPr>
                <w:rFonts w:ascii="Times New Roman" w:hAnsi="Times New Roman" w:cs="Times New Roman"/>
              </w:rPr>
              <w:t>abdomyolýza</w:t>
            </w:r>
          </w:p>
        </w:tc>
      </w:tr>
      <w:tr w:rsidR="00E56BE0" w:rsidRPr="00007196" w:rsidTr="00FB6E91">
        <w:trPr>
          <w:trHeight w:val="653"/>
        </w:trPr>
        <w:tc>
          <w:tcPr>
            <w:tcW w:w="3096" w:type="dxa"/>
            <w:tcBorders>
              <w:top w:val="single" w:sz="4" w:space="0" w:color="000000"/>
              <w:left w:val="single" w:sz="4" w:space="0" w:color="000000"/>
              <w:bottom w:val="single" w:sz="4" w:space="0" w:color="000000"/>
              <w:right w:val="single" w:sz="4" w:space="0" w:color="000000"/>
            </w:tcBorders>
          </w:tcPr>
          <w:p w:rsidR="00E56BE0" w:rsidRPr="004E2D07" w:rsidRDefault="00E56BE0" w:rsidP="00FB6E91">
            <w:pPr>
              <w:spacing w:line="240" w:lineRule="auto"/>
              <w:ind w:left="2" w:right="403"/>
              <w:rPr>
                <w:rFonts w:ascii="Times New Roman" w:hAnsi="Times New Roman" w:cs="Times New Roman"/>
              </w:rPr>
            </w:pPr>
            <w:r w:rsidRPr="004E2D07">
              <w:rPr>
                <w:rFonts w:ascii="Times New Roman" w:hAnsi="Times New Roman" w:cs="Times New Roman"/>
              </w:rPr>
              <w:t>Celkové poruchy a</w:t>
            </w:r>
            <w:r w:rsidR="00FB6E91" w:rsidRPr="004E2D07">
              <w:rPr>
                <w:rFonts w:ascii="Times New Roman" w:hAnsi="Times New Roman" w:cs="Times New Roman"/>
              </w:rPr>
              <w:t> </w:t>
            </w:r>
            <w:r w:rsidRPr="004E2D07">
              <w:rPr>
                <w:rFonts w:ascii="Times New Roman" w:hAnsi="Times New Roman" w:cs="Times New Roman"/>
              </w:rPr>
              <w:t>reakcie v</w:t>
            </w:r>
            <w:r w:rsidR="00FB6E91" w:rsidRPr="004E2D07">
              <w:rPr>
                <w:rFonts w:ascii="Times New Roman" w:hAnsi="Times New Roman" w:cs="Times New Roman"/>
              </w:rPr>
              <w:t xml:space="preserve"> </w:t>
            </w:r>
            <w:r w:rsidRPr="004E2D07">
              <w:rPr>
                <w:rFonts w:ascii="Times New Roman" w:hAnsi="Times New Roman" w:cs="Times New Roman"/>
              </w:rPr>
              <w:t>mieste podania</w:t>
            </w:r>
          </w:p>
        </w:tc>
        <w:tc>
          <w:tcPr>
            <w:tcW w:w="3094" w:type="dxa"/>
            <w:tcBorders>
              <w:top w:val="single" w:sz="4" w:space="0" w:color="000000"/>
              <w:left w:val="single" w:sz="4" w:space="0" w:color="000000"/>
              <w:bottom w:val="single" w:sz="4" w:space="0" w:color="000000"/>
              <w:right w:val="single" w:sz="4" w:space="0" w:color="000000"/>
            </w:tcBorders>
          </w:tcPr>
          <w:p w:rsidR="00E56BE0" w:rsidRPr="004E2D07" w:rsidRDefault="00E56BE0" w:rsidP="00FB6E91">
            <w:pPr>
              <w:spacing w:line="240" w:lineRule="auto"/>
              <w:rPr>
                <w:rFonts w:ascii="Times New Roman" w:hAnsi="Times New Roman" w:cs="Times New Roman"/>
              </w:rPr>
            </w:pPr>
            <w:r w:rsidRPr="004E2D07">
              <w:rPr>
                <w:rFonts w:ascii="Times New Roman" w:hAnsi="Times New Roman" w:cs="Times New Roman"/>
                <w:i/>
              </w:rPr>
              <w:t>Časté:</w:t>
            </w:r>
            <w:r w:rsidRPr="004E2D07">
              <w:rPr>
                <w:rFonts w:ascii="Times New Roman" w:hAnsi="Times New Roman" w:cs="Times New Roman"/>
              </w:rPr>
              <w:t xml:space="preserve"> horúčka, letargia, únava.</w:t>
            </w:r>
          </w:p>
        </w:tc>
        <w:tc>
          <w:tcPr>
            <w:tcW w:w="3096" w:type="dxa"/>
            <w:tcBorders>
              <w:top w:val="single" w:sz="4" w:space="0" w:color="000000"/>
              <w:left w:val="single" w:sz="4" w:space="0" w:color="000000"/>
              <w:bottom w:val="single" w:sz="4" w:space="0" w:color="000000"/>
              <w:right w:val="single" w:sz="4" w:space="0" w:color="000000"/>
            </w:tcBorders>
          </w:tcPr>
          <w:p w:rsidR="00E56BE0" w:rsidRPr="004E2D07" w:rsidRDefault="00E56BE0" w:rsidP="00FB6E91">
            <w:pPr>
              <w:spacing w:line="240" w:lineRule="auto"/>
              <w:ind w:left="2"/>
              <w:rPr>
                <w:rFonts w:ascii="Times New Roman" w:hAnsi="Times New Roman" w:cs="Times New Roman"/>
              </w:rPr>
            </w:pPr>
            <w:r w:rsidRPr="004E2D07">
              <w:rPr>
                <w:rFonts w:ascii="Times New Roman" w:hAnsi="Times New Roman" w:cs="Times New Roman"/>
                <w:i/>
              </w:rPr>
              <w:t>Časté:</w:t>
            </w:r>
            <w:r w:rsidRPr="004E2D07">
              <w:rPr>
                <w:rFonts w:ascii="Times New Roman" w:hAnsi="Times New Roman" w:cs="Times New Roman"/>
              </w:rPr>
              <w:t xml:space="preserve"> únava, malátnosť, horúčka.</w:t>
            </w:r>
          </w:p>
        </w:tc>
      </w:tr>
    </w:tbl>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Popis vybraných nežiaducich reakcií</w:t>
      </w:r>
    </w:p>
    <w:p w:rsidR="00E56BE0" w:rsidRPr="00007196" w:rsidRDefault="00E56BE0" w:rsidP="002B7B74">
      <w:pPr>
        <w:spacing w:line="240" w:lineRule="auto"/>
        <w:ind w:left="7"/>
      </w:pPr>
    </w:p>
    <w:p w:rsidR="00E56BE0" w:rsidRPr="00007196" w:rsidRDefault="00E56BE0" w:rsidP="002B7B74">
      <w:pPr>
        <w:spacing w:line="240" w:lineRule="auto"/>
        <w:ind w:left="2" w:hanging="10"/>
      </w:pPr>
      <w:r w:rsidRPr="00007196">
        <w:rPr>
          <w:i/>
          <w:u w:val="single" w:color="000000"/>
        </w:rPr>
        <w:t>Precitlivenosť na abakavir</w:t>
      </w:r>
    </w:p>
    <w:p w:rsidR="00E56BE0" w:rsidRPr="00007196" w:rsidRDefault="00E56BE0" w:rsidP="002B7B74">
      <w:pPr>
        <w:spacing w:line="240" w:lineRule="auto"/>
        <w:ind w:left="3" w:right="14"/>
      </w:pPr>
      <w:r w:rsidRPr="00007196">
        <w:t>Prejavy a</w:t>
      </w:r>
      <w:r w:rsidR="00F42676" w:rsidRPr="00007196">
        <w:t> </w:t>
      </w:r>
      <w:r w:rsidRPr="00007196">
        <w:t>príznaky tejto HSR sú popísané nižšie. Identifikované boli buď v</w:t>
      </w:r>
      <w:r w:rsidR="00F42676" w:rsidRPr="00007196">
        <w:t> </w:t>
      </w:r>
      <w:r w:rsidRPr="00007196">
        <w:t>klinických štúdiách, alebo v</w:t>
      </w:r>
      <w:r w:rsidR="00F42676" w:rsidRPr="00007196">
        <w:t> </w:t>
      </w:r>
      <w:r w:rsidRPr="00007196">
        <w:t xml:space="preserve">rámci sledovania po uvedení lieku na trh. Tie, ktoré boli hlásené </w:t>
      </w:r>
      <w:r w:rsidRPr="00007196">
        <w:rPr>
          <w:b/>
        </w:rPr>
        <w:t>aspoň u</w:t>
      </w:r>
      <w:r w:rsidR="00F42676" w:rsidRPr="00007196">
        <w:rPr>
          <w:b/>
        </w:rPr>
        <w:t> </w:t>
      </w:r>
      <w:r w:rsidRPr="00007196">
        <w:rPr>
          <w:b/>
        </w:rPr>
        <w:t>10</w:t>
      </w:r>
      <w:r w:rsidR="00F42676" w:rsidRPr="00007196">
        <w:rPr>
          <w:b/>
        </w:rPr>
        <w:t> </w:t>
      </w:r>
      <w:r w:rsidRPr="00007196">
        <w:rPr>
          <w:b/>
        </w:rPr>
        <w:t>%</w:t>
      </w:r>
      <w:r w:rsidRPr="00007196">
        <w:t xml:space="preserve"> pacientov s</w:t>
      </w:r>
      <w:r w:rsidR="00F42676" w:rsidRPr="00007196">
        <w:t> </w:t>
      </w:r>
      <w:r w:rsidRPr="00007196">
        <w:t>reakciou z</w:t>
      </w:r>
      <w:r w:rsidR="00F42676" w:rsidRPr="00007196">
        <w:t> </w:t>
      </w:r>
      <w:r w:rsidRPr="00007196">
        <w:t>precitlivenosti, sú uvedené tučným písmom.</w:t>
      </w:r>
    </w:p>
    <w:p w:rsidR="00E56BE0" w:rsidRPr="00007196" w:rsidRDefault="00E56BE0" w:rsidP="002B7B74">
      <w:pPr>
        <w:spacing w:line="240" w:lineRule="auto"/>
        <w:ind w:left="7"/>
      </w:pPr>
    </w:p>
    <w:p w:rsidR="00E56BE0" w:rsidRPr="00007196" w:rsidRDefault="00E56BE0" w:rsidP="002B7B74">
      <w:pPr>
        <w:spacing w:line="240" w:lineRule="auto"/>
        <w:ind w:left="3" w:right="80"/>
      </w:pPr>
      <w:r w:rsidRPr="00007196">
        <w:t>Takmer u</w:t>
      </w:r>
      <w:r w:rsidR="00F42676" w:rsidRPr="00007196">
        <w:t> </w:t>
      </w:r>
      <w:r w:rsidRPr="00007196">
        <w:t>všetkých pacientov, u</w:t>
      </w:r>
      <w:r w:rsidR="00F42676" w:rsidRPr="00007196">
        <w:t> </w:t>
      </w:r>
      <w:r w:rsidRPr="00007196">
        <w:t>ktorých vznikne reakcia z</w:t>
      </w:r>
      <w:r w:rsidR="00F42676" w:rsidRPr="00007196">
        <w:t> </w:t>
      </w:r>
      <w:r w:rsidRPr="00007196">
        <w:t xml:space="preserve">precitlivenosti, sa ako súčasť syndrómu objaví horúčka a/alebo vyrážka (zvyčajne makulopapulózna alebo urtikariálna), vyskytli sa však aj reakcie, ktoré boli bez vyrážky alebo horúčky. Ďalšie kľúčové príznaky zahŕňajú gastrointestinálne, respiračné alebo konštitučné príznaky, ako </w:t>
      </w:r>
      <w:r w:rsidR="00F42676" w:rsidRPr="00007196">
        <w:t>napríklad letargiu a malátnosť.</w:t>
      </w:r>
    </w:p>
    <w:p w:rsidR="00F42676" w:rsidRPr="00007196" w:rsidRDefault="00F42676" w:rsidP="002B7B74">
      <w:pPr>
        <w:spacing w:line="240" w:lineRule="auto"/>
        <w:ind w:left="3" w:right="80"/>
      </w:pPr>
    </w:p>
    <w:tbl>
      <w:tblPr>
        <w:tblStyle w:val="TableGrid"/>
        <w:tblW w:w="8981" w:type="dxa"/>
        <w:tblInd w:w="-26" w:type="dxa"/>
        <w:tblLook w:val="04A0"/>
      </w:tblPr>
      <w:tblGrid>
        <w:gridCol w:w="2834"/>
        <w:gridCol w:w="6147"/>
      </w:tblGrid>
      <w:tr w:rsidR="00E56BE0" w:rsidRPr="00007196" w:rsidTr="00F42676">
        <w:trPr>
          <w:trHeight w:val="424"/>
        </w:trPr>
        <w:tc>
          <w:tcPr>
            <w:tcW w:w="2834" w:type="dxa"/>
            <w:tcBorders>
              <w:top w:val="nil"/>
              <w:left w:val="nil"/>
              <w:bottom w:val="nil"/>
              <w:right w:val="nil"/>
            </w:tcBorders>
            <w:vAlign w:val="center"/>
          </w:tcPr>
          <w:p w:rsidR="00E56BE0" w:rsidRPr="009C7651" w:rsidRDefault="00E56BE0" w:rsidP="00F42676">
            <w:pPr>
              <w:spacing w:line="240" w:lineRule="auto"/>
              <w:jc w:val="both"/>
              <w:rPr>
                <w:rFonts w:ascii="Times New Roman" w:hAnsi="Times New Roman" w:cs="Times New Roman"/>
              </w:rPr>
            </w:pPr>
            <w:r w:rsidRPr="009C7651">
              <w:rPr>
                <w:rFonts w:ascii="Times New Roman" w:hAnsi="Times New Roman" w:cs="Times New Roman"/>
                <w:i/>
              </w:rPr>
              <w:t>Koža</w:t>
            </w:r>
          </w:p>
        </w:tc>
        <w:tc>
          <w:tcPr>
            <w:tcW w:w="6147" w:type="dxa"/>
            <w:tcBorders>
              <w:top w:val="nil"/>
              <w:left w:val="nil"/>
              <w:bottom w:val="nil"/>
              <w:right w:val="nil"/>
            </w:tcBorders>
            <w:vAlign w:val="center"/>
          </w:tcPr>
          <w:p w:rsidR="00E56BE0" w:rsidRPr="009C7651" w:rsidRDefault="00E56BE0" w:rsidP="00F42676">
            <w:pPr>
              <w:spacing w:line="240" w:lineRule="auto"/>
              <w:jc w:val="both"/>
              <w:rPr>
                <w:rFonts w:ascii="Times New Roman" w:hAnsi="Times New Roman" w:cs="Times New Roman"/>
              </w:rPr>
            </w:pPr>
            <w:r w:rsidRPr="009C7651">
              <w:rPr>
                <w:rFonts w:ascii="Times New Roman" w:hAnsi="Times New Roman" w:cs="Times New Roman"/>
                <w:b/>
              </w:rPr>
              <w:t xml:space="preserve">Vyrážka </w:t>
            </w:r>
            <w:r w:rsidRPr="009C7651">
              <w:rPr>
                <w:rFonts w:ascii="Times New Roman" w:hAnsi="Times New Roman" w:cs="Times New Roman"/>
              </w:rPr>
              <w:t>(zvyčajne makulopapulózna alebo urtikariálna)</w:t>
            </w:r>
          </w:p>
        </w:tc>
      </w:tr>
      <w:tr w:rsidR="00E56BE0" w:rsidRPr="00007196" w:rsidTr="00F42676">
        <w:trPr>
          <w:trHeight w:val="506"/>
        </w:trPr>
        <w:tc>
          <w:tcPr>
            <w:tcW w:w="2834" w:type="dxa"/>
            <w:tcBorders>
              <w:top w:val="nil"/>
              <w:left w:val="nil"/>
              <w:bottom w:val="nil"/>
              <w:right w:val="nil"/>
            </w:tcBorders>
            <w:vAlign w:val="center"/>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i/>
              </w:rPr>
              <w:t>Gastrointestinálny trakt</w:t>
            </w:r>
            <w:r w:rsidRPr="009C7651">
              <w:rPr>
                <w:rFonts w:ascii="Times New Roman" w:hAnsi="Times New Roman" w:cs="Times New Roman"/>
                <w:b/>
                <w:i/>
              </w:rPr>
              <w:t xml:space="preserve"> </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b/>
              </w:rPr>
              <w:t>Nauzea, vracanie, hnačka, bolesť brucha</w:t>
            </w:r>
            <w:r w:rsidRPr="009C7651">
              <w:rPr>
                <w:rFonts w:ascii="Times New Roman" w:hAnsi="Times New Roman" w:cs="Times New Roman"/>
              </w:rPr>
              <w:t>, ulcerácie v</w:t>
            </w:r>
            <w:r w:rsidR="00F42676" w:rsidRPr="009C7651">
              <w:rPr>
                <w:rFonts w:ascii="Times New Roman" w:hAnsi="Times New Roman" w:cs="Times New Roman"/>
              </w:rPr>
              <w:t> </w:t>
            </w:r>
            <w:r w:rsidRPr="009C7651">
              <w:rPr>
                <w:rFonts w:ascii="Times New Roman" w:hAnsi="Times New Roman" w:cs="Times New Roman"/>
              </w:rPr>
              <w:t>ústnej dutine</w:t>
            </w:r>
          </w:p>
        </w:tc>
      </w:tr>
      <w:tr w:rsidR="00E56BE0" w:rsidRPr="00007196" w:rsidTr="00F42676">
        <w:trPr>
          <w:trHeight w:val="636"/>
        </w:trPr>
        <w:tc>
          <w:tcPr>
            <w:tcW w:w="2834" w:type="dxa"/>
            <w:tcBorders>
              <w:top w:val="nil"/>
              <w:left w:val="nil"/>
              <w:bottom w:val="nil"/>
              <w:right w:val="nil"/>
            </w:tcBorders>
            <w:vAlign w:val="center"/>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i/>
              </w:rPr>
              <w:t>Dýchacia sústava</w:t>
            </w:r>
            <w:r w:rsidRPr="009C7651">
              <w:rPr>
                <w:rFonts w:ascii="Times New Roman" w:hAnsi="Times New Roman" w:cs="Times New Roman"/>
                <w:b/>
                <w:i/>
              </w:rPr>
              <w:t xml:space="preserve"> </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b/>
              </w:rPr>
              <w:t>Dyspnoe, kašeľ</w:t>
            </w:r>
            <w:r w:rsidRPr="009C7651">
              <w:rPr>
                <w:rFonts w:ascii="Times New Roman" w:hAnsi="Times New Roman" w:cs="Times New Roman"/>
              </w:rPr>
              <w:t>, bolesť hrdla, syndróm respiračnej tiesne dospelých, zlyhanie dýchania</w:t>
            </w:r>
          </w:p>
        </w:tc>
      </w:tr>
      <w:tr w:rsidR="00E56BE0" w:rsidRPr="00007196" w:rsidTr="00F42676">
        <w:trPr>
          <w:trHeight w:val="758"/>
        </w:trPr>
        <w:tc>
          <w:tcPr>
            <w:tcW w:w="2834"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i/>
              </w:rPr>
              <w:t>Rôzne</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b/>
              </w:rPr>
              <w:t>Horúčka, letargia, malátnosť</w:t>
            </w:r>
            <w:r w:rsidRPr="009C7651">
              <w:rPr>
                <w:rFonts w:ascii="Times New Roman" w:hAnsi="Times New Roman" w:cs="Times New Roman"/>
              </w:rPr>
              <w:t>, edém, lymfadenopatia, hypotenzia, konjunktivitída, anafylaxia</w:t>
            </w:r>
          </w:p>
        </w:tc>
      </w:tr>
      <w:tr w:rsidR="00E56BE0" w:rsidRPr="00007196" w:rsidTr="00F42676">
        <w:trPr>
          <w:trHeight w:val="506"/>
        </w:trPr>
        <w:tc>
          <w:tcPr>
            <w:tcW w:w="2834"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i/>
              </w:rPr>
              <w:t>Nervový systém/Psychika</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b/>
              </w:rPr>
              <w:t>Bolesť hlavy</w:t>
            </w:r>
            <w:r w:rsidRPr="009C7651">
              <w:rPr>
                <w:rFonts w:ascii="Times New Roman" w:hAnsi="Times New Roman" w:cs="Times New Roman"/>
              </w:rPr>
              <w:t>, parestézia</w:t>
            </w:r>
          </w:p>
        </w:tc>
      </w:tr>
      <w:tr w:rsidR="00E56BE0" w:rsidRPr="00007196" w:rsidTr="00F42676">
        <w:trPr>
          <w:trHeight w:val="452"/>
        </w:trPr>
        <w:tc>
          <w:tcPr>
            <w:tcW w:w="2834"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i/>
              </w:rPr>
              <w:t>Krv a</w:t>
            </w:r>
            <w:r w:rsidR="00F42676" w:rsidRPr="009C7651">
              <w:rPr>
                <w:rFonts w:ascii="Times New Roman" w:hAnsi="Times New Roman" w:cs="Times New Roman"/>
                <w:i/>
              </w:rPr>
              <w:t> </w:t>
            </w:r>
            <w:r w:rsidRPr="009C7651">
              <w:rPr>
                <w:rFonts w:ascii="Times New Roman" w:hAnsi="Times New Roman" w:cs="Times New Roman"/>
                <w:i/>
              </w:rPr>
              <w:t>lymfatický systém</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rPr>
              <w:t>Lymfopénia</w:t>
            </w:r>
          </w:p>
        </w:tc>
      </w:tr>
      <w:tr w:rsidR="00E56BE0" w:rsidRPr="00007196" w:rsidTr="00F42676">
        <w:trPr>
          <w:trHeight w:val="571"/>
        </w:trPr>
        <w:tc>
          <w:tcPr>
            <w:tcW w:w="2834"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i/>
              </w:rPr>
              <w:t>Pečeň/pankreas</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b/>
              </w:rPr>
              <w:t xml:space="preserve">Zvýšené hodnoty funkčných vyšetrení pečene, </w:t>
            </w:r>
            <w:r w:rsidRPr="009C7651">
              <w:rPr>
                <w:rFonts w:ascii="Times New Roman" w:hAnsi="Times New Roman" w:cs="Times New Roman"/>
              </w:rPr>
              <w:t>hepatitída, zlyhanie pečene</w:t>
            </w:r>
          </w:p>
        </w:tc>
      </w:tr>
      <w:tr w:rsidR="00E56BE0" w:rsidRPr="00007196" w:rsidTr="00F42676">
        <w:trPr>
          <w:trHeight w:val="597"/>
        </w:trPr>
        <w:tc>
          <w:tcPr>
            <w:tcW w:w="2834"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i/>
              </w:rPr>
              <w:t>Kostrová a</w:t>
            </w:r>
            <w:r w:rsidR="00F42676" w:rsidRPr="009C7651">
              <w:rPr>
                <w:rFonts w:ascii="Times New Roman" w:hAnsi="Times New Roman" w:cs="Times New Roman"/>
                <w:i/>
              </w:rPr>
              <w:t> </w:t>
            </w:r>
            <w:r w:rsidRPr="009C7651">
              <w:rPr>
                <w:rFonts w:ascii="Times New Roman" w:hAnsi="Times New Roman" w:cs="Times New Roman"/>
                <w:i/>
              </w:rPr>
              <w:t>svalová sústava</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b/>
              </w:rPr>
              <w:t>Myalgia</w:t>
            </w:r>
            <w:r w:rsidRPr="009C7651">
              <w:rPr>
                <w:rFonts w:ascii="Times New Roman" w:hAnsi="Times New Roman" w:cs="Times New Roman"/>
              </w:rPr>
              <w:t>, zriedkavo myolýza, artralgia, zvýšená hladina kreatínfosfokinázy</w:t>
            </w:r>
          </w:p>
        </w:tc>
      </w:tr>
      <w:tr w:rsidR="00E56BE0" w:rsidRPr="00007196" w:rsidTr="00F42676">
        <w:trPr>
          <w:trHeight w:val="409"/>
        </w:trPr>
        <w:tc>
          <w:tcPr>
            <w:tcW w:w="2834"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i/>
              </w:rPr>
              <w:t>Obličky a</w:t>
            </w:r>
            <w:r w:rsidR="00F42676" w:rsidRPr="009C7651">
              <w:rPr>
                <w:rFonts w:ascii="Times New Roman" w:hAnsi="Times New Roman" w:cs="Times New Roman"/>
                <w:i/>
              </w:rPr>
              <w:t> </w:t>
            </w:r>
            <w:r w:rsidRPr="009C7651">
              <w:rPr>
                <w:rFonts w:ascii="Times New Roman" w:hAnsi="Times New Roman" w:cs="Times New Roman"/>
                <w:i/>
              </w:rPr>
              <w:t>močové cesty</w:t>
            </w:r>
          </w:p>
        </w:tc>
        <w:tc>
          <w:tcPr>
            <w:tcW w:w="6147" w:type="dxa"/>
            <w:tcBorders>
              <w:top w:val="nil"/>
              <w:left w:val="nil"/>
              <w:bottom w:val="nil"/>
              <w:right w:val="nil"/>
            </w:tcBorders>
            <w:vAlign w:val="center"/>
          </w:tcPr>
          <w:p w:rsidR="00E56BE0" w:rsidRPr="009C7651" w:rsidRDefault="00E56BE0" w:rsidP="00F42676">
            <w:pPr>
              <w:spacing w:line="240" w:lineRule="auto"/>
              <w:rPr>
                <w:rFonts w:ascii="Times New Roman" w:hAnsi="Times New Roman" w:cs="Times New Roman"/>
              </w:rPr>
            </w:pPr>
            <w:r w:rsidRPr="009C7651">
              <w:rPr>
                <w:rFonts w:ascii="Times New Roman" w:hAnsi="Times New Roman" w:cs="Times New Roman"/>
              </w:rPr>
              <w:t>Zvýšená hladina kreatinínu, zlyhanie obličiek</w:t>
            </w:r>
          </w:p>
        </w:tc>
      </w:tr>
    </w:tbl>
    <w:p w:rsidR="00F42676" w:rsidRPr="00007196" w:rsidRDefault="00F42676" w:rsidP="002B7B74">
      <w:pPr>
        <w:spacing w:line="240" w:lineRule="auto"/>
        <w:ind w:left="3" w:right="428"/>
      </w:pPr>
    </w:p>
    <w:p w:rsidR="00E56BE0" w:rsidRPr="00007196" w:rsidRDefault="00E56BE0" w:rsidP="002B7B74">
      <w:pPr>
        <w:spacing w:line="240" w:lineRule="auto"/>
        <w:ind w:left="3" w:right="428"/>
      </w:pPr>
      <w:r w:rsidRPr="00007196">
        <w:lastRenderedPageBreak/>
        <w:t>Príznaky súvisiace s</w:t>
      </w:r>
      <w:r w:rsidR="00F42676" w:rsidRPr="00007196">
        <w:t> </w:t>
      </w:r>
      <w:r w:rsidRPr="00007196">
        <w:t>touto HSR sa pri pokračujúcej liečbe zhoršujú a</w:t>
      </w:r>
      <w:r w:rsidR="00F42676" w:rsidRPr="00007196">
        <w:t> </w:t>
      </w:r>
      <w:r w:rsidRPr="00007196">
        <w:t>môžu byť život ohrozujúce a</w:t>
      </w:r>
      <w:r w:rsidR="00F42676" w:rsidRPr="00007196">
        <w:t> </w:t>
      </w:r>
      <w:r w:rsidRPr="00007196">
        <w:t>v</w:t>
      </w:r>
      <w:r w:rsidR="00F42676" w:rsidRPr="00007196">
        <w:t> </w:t>
      </w:r>
      <w:r w:rsidRPr="00007196">
        <w:t>zriedkavých prípadoch boli smrteľné.</w:t>
      </w:r>
    </w:p>
    <w:p w:rsidR="00E56BE0" w:rsidRPr="00007196" w:rsidRDefault="00E56BE0" w:rsidP="002B7B74">
      <w:pPr>
        <w:spacing w:line="240" w:lineRule="auto"/>
        <w:ind w:left="7"/>
      </w:pPr>
    </w:p>
    <w:p w:rsidR="00E56BE0" w:rsidRPr="00007196" w:rsidRDefault="00E56BE0" w:rsidP="002B7B74">
      <w:pPr>
        <w:spacing w:line="240" w:lineRule="auto"/>
        <w:ind w:left="3" w:right="129"/>
      </w:pPr>
      <w:r w:rsidRPr="00007196">
        <w:t>Opätovné začatie liečby abakavirom po HSR na abakavir má za následok rýchly návrat príznakov v</w:t>
      </w:r>
      <w:r w:rsidR="00F42676" w:rsidRPr="00007196">
        <w:t> </w:t>
      </w:r>
      <w:r w:rsidRPr="00007196">
        <w:t>priebehu niekoľkých hodín. HSR je pri opakovanom výskyte zvyčajne závažnejšia ako pri prvom objavení sa a</w:t>
      </w:r>
      <w:r w:rsidR="00F42676" w:rsidRPr="00007196">
        <w:t> </w:t>
      </w:r>
      <w:r w:rsidRPr="00007196">
        <w:t>môže zahŕňať život ohrozujúcu hypotenziu a</w:t>
      </w:r>
      <w:r w:rsidR="00F42676" w:rsidRPr="00007196">
        <w:t> </w:t>
      </w:r>
      <w:r w:rsidRPr="00007196">
        <w:t>smrť. Podobné reakcie sa po opätovnom začatí liečby abakavirom občas vyskytli aj u</w:t>
      </w:r>
      <w:r w:rsidR="00F42676" w:rsidRPr="00007196">
        <w:t> </w:t>
      </w:r>
      <w:r w:rsidRPr="00007196">
        <w:t>pacientov, ktorí mali pred pozastavením liečby abakavirom iba jeden kľúčový príznak precitlivenosti (pozri vyššie); a</w:t>
      </w:r>
      <w:r w:rsidR="00F42676" w:rsidRPr="00007196">
        <w:t> </w:t>
      </w:r>
      <w:r w:rsidRPr="00007196">
        <w:t>vo veľmi zriedkavých prípadoch sa po opätovnom začatí liečby abakavirom pozorovali aj u</w:t>
      </w:r>
      <w:r w:rsidR="00F42676" w:rsidRPr="00007196">
        <w:t> </w:t>
      </w:r>
      <w:r w:rsidRPr="00007196">
        <w:t>pacientov, ktorí predtým nemali žiadne príznaky HSR (t.j. u</w:t>
      </w:r>
      <w:r w:rsidR="00F42676" w:rsidRPr="00007196">
        <w:t> </w:t>
      </w:r>
      <w:r w:rsidRPr="00007196">
        <w:t>pacientov, o</w:t>
      </w:r>
      <w:r w:rsidR="00F42676" w:rsidRPr="00007196">
        <w:t> </w:t>
      </w:r>
      <w:r w:rsidRPr="00007196">
        <w:t>ktorých sa predtým usúdilo, že tolerujú abakavir).</w:t>
      </w:r>
    </w:p>
    <w:p w:rsidR="00E56BE0" w:rsidRPr="00007196" w:rsidRDefault="00E56BE0" w:rsidP="002B7B74">
      <w:pPr>
        <w:spacing w:line="240" w:lineRule="auto"/>
        <w:ind w:left="7"/>
      </w:pPr>
    </w:p>
    <w:p w:rsidR="00E56BE0" w:rsidRPr="00007196" w:rsidRDefault="00E56BE0" w:rsidP="002B7B74">
      <w:pPr>
        <w:pStyle w:val="Nadpis3"/>
        <w:spacing w:line="240" w:lineRule="auto"/>
        <w:ind w:left="2"/>
      </w:pPr>
      <w:r w:rsidRPr="00007196">
        <w:t>Metabolické parametre</w:t>
      </w:r>
    </w:p>
    <w:p w:rsidR="00E56BE0" w:rsidRPr="00007196" w:rsidRDefault="00E56BE0" w:rsidP="00F42676">
      <w:pPr>
        <w:spacing w:line="240" w:lineRule="auto"/>
        <w:ind w:left="3" w:right="14"/>
      </w:pPr>
      <w:r w:rsidRPr="00007196">
        <w:t>Počas antiretrovírusovej liečby sa môže zvýšiť telesná hmotnosť a</w:t>
      </w:r>
      <w:r w:rsidR="00F42676" w:rsidRPr="00007196">
        <w:t> </w:t>
      </w:r>
      <w:r w:rsidRPr="00007196">
        <w:t>hladiny lipidov a</w:t>
      </w:r>
      <w:r w:rsidR="00F42676" w:rsidRPr="00007196">
        <w:t> </w:t>
      </w:r>
      <w:r w:rsidRPr="00007196">
        <w:t>glukózy v</w:t>
      </w:r>
      <w:r w:rsidR="00F42676" w:rsidRPr="00007196">
        <w:t> </w:t>
      </w:r>
      <w:r w:rsidRPr="00007196">
        <w:t>krvi (pozri časť</w:t>
      </w:r>
      <w:r w:rsidR="00F42676" w:rsidRPr="00007196">
        <w:t> </w:t>
      </w:r>
      <w:r w:rsidRPr="00007196">
        <w:t>4.4).</w:t>
      </w:r>
    </w:p>
    <w:p w:rsidR="00F42676" w:rsidRPr="00007196" w:rsidRDefault="00F42676" w:rsidP="00F42676">
      <w:pPr>
        <w:spacing w:line="240" w:lineRule="auto"/>
        <w:ind w:left="3" w:right="14"/>
      </w:pPr>
    </w:p>
    <w:p w:rsidR="00E56BE0" w:rsidRPr="00007196" w:rsidRDefault="00E56BE0" w:rsidP="002B7B74">
      <w:pPr>
        <w:pStyle w:val="Nadpis3"/>
        <w:spacing w:line="240" w:lineRule="auto"/>
        <w:ind w:left="2"/>
      </w:pPr>
      <w:r w:rsidRPr="00007196">
        <w:t>Syndróm imunitnej reaktivácie</w:t>
      </w:r>
    </w:p>
    <w:p w:rsidR="00E56BE0" w:rsidRPr="00007196" w:rsidRDefault="00E56BE0" w:rsidP="002B7B74">
      <w:pPr>
        <w:spacing w:line="240" w:lineRule="auto"/>
        <w:ind w:left="3" w:right="14"/>
      </w:pPr>
      <w:r w:rsidRPr="00007196">
        <w:t>U</w:t>
      </w:r>
      <w:r w:rsidR="00F42676" w:rsidRPr="00007196">
        <w:t> </w:t>
      </w:r>
      <w:r w:rsidRPr="00007196">
        <w:t>HIV-infikovaných pacientov s</w:t>
      </w:r>
      <w:r w:rsidR="00F42676" w:rsidRPr="00007196">
        <w:t> </w:t>
      </w:r>
      <w:r w:rsidRPr="00007196">
        <w:t>ťažkou imunodeficienciou môže v</w:t>
      </w:r>
      <w:r w:rsidR="00F42676" w:rsidRPr="00007196">
        <w:t> </w:t>
      </w:r>
      <w:r w:rsidRPr="00007196">
        <w:t>čase za</w:t>
      </w:r>
      <w:r w:rsidR="00F42676" w:rsidRPr="00007196">
        <w:t>čatia</w:t>
      </w:r>
      <w:r w:rsidRPr="00007196">
        <w:t xml:space="preserve"> kombinovanej antiretrovírusovej terapie vzniknúť zápalová reakcia na asymptomatické alebo reziduálne oportúnne infekcie. V</w:t>
      </w:r>
      <w:r w:rsidR="00F80317" w:rsidRPr="00007196">
        <w:t xml:space="preserve"> súvislosti s </w:t>
      </w:r>
      <w:r w:rsidRPr="00007196">
        <w:t>imunitn</w:t>
      </w:r>
      <w:r w:rsidR="00F80317" w:rsidRPr="00007196">
        <w:t>ou</w:t>
      </w:r>
      <w:r w:rsidRPr="00007196">
        <w:t xml:space="preserve"> reaktiváci</w:t>
      </w:r>
      <w:r w:rsidR="00F80317" w:rsidRPr="00007196">
        <w:t>ou</w:t>
      </w:r>
      <w:r w:rsidRPr="00007196">
        <w:t xml:space="preserve"> bol hlásený aj výskyt autoimunitných porúch (akou je Gravesova choroba); hlásený čas ich vzniku je však premenlivejší a</w:t>
      </w:r>
      <w:r w:rsidR="00F42676" w:rsidRPr="00007196">
        <w:t> </w:t>
      </w:r>
      <w:r w:rsidRPr="00007196">
        <w:t>tieto nežiaduce udalosti sa môžu vyskytnúť mnoho mesiacov po začatí liečby (pozri časť</w:t>
      </w:r>
      <w:r w:rsidR="00F42676" w:rsidRPr="00007196">
        <w:t> </w:t>
      </w:r>
      <w:r w:rsidRPr="00007196">
        <w:t>4.4).</w:t>
      </w:r>
    </w:p>
    <w:p w:rsidR="00E56BE0" w:rsidRPr="00007196" w:rsidRDefault="00E56BE0" w:rsidP="002B7B74">
      <w:pPr>
        <w:spacing w:line="240" w:lineRule="auto"/>
        <w:ind w:left="7"/>
      </w:pPr>
    </w:p>
    <w:p w:rsidR="00E56BE0" w:rsidRPr="00007196" w:rsidRDefault="00E56BE0" w:rsidP="002B7B74">
      <w:pPr>
        <w:pStyle w:val="Nadpis3"/>
        <w:spacing w:line="240" w:lineRule="auto"/>
        <w:ind w:left="2"/>
      </w:pPr>
      <w:r w:rsidRPr="00007196">
        <w:t>Osteonekróza</w:t>
      </w:r>
    </w:p>
    <w:p w:rsidR="00E56BE0" w:rsidRPr="00007196" w:rsidRDefault="00E56BE0" w:rsidP="002B7B74">
      <w:pPr>
        <w:spacing w:line="240" w:lineRule="auto"/>
        <w:ind w:left="3" w:right="14"/>
      </w:pPr>
      <w:r w:rsidRPr="00007196">
        <w:t>Boli hlásené prípady osteonekrózy, najmä u</w:t>
      </w:r>
      <w:r w:rsidR="00F42676" w:rsidRPr="00007196">
        <w:t> </w:t>
      </w:r>
      <w:r w:rsidRPr="00007196">
        <w:t>pacientov so všeobecne uznávanými rizikovými faktormi, pokročilým HIV ochorením alebo dlhodobou expozíciou CART. Frekvencia osteonekrózy nie je známa (pozri časť</w:t>
      </w:r>
      <w:r w:rsidR="00F42676" w:rsidRPr="00007196">
        <w:t> </w:t>
      </w:r>
      <w:r w:rsidRPr="00007196">
        <w:t>4.4).</w:t>
      </w:r>
    </w:p>
    <w:p w:rsidR="00E56BE0" w:rsidRPr="00007196" w:rsidRDefault="00E56BE0" w:rsidP="002B7B74">
      <w:pPr>
        <w:spacing w:line="240" w:lineRule="auto"/>
        <w:ind w:left="7"/>
      </w:pPr>
    </w:p>
    <w:p w:rsidR="00E56BE0" w:rsidRPr="00007196" w:rsidRDefault="00E56BE0" w:rsidP="002B7B74">
      <w:pPr>
        <w:pStyle w:val="Nadpis3"/>
        <w:spacing w:line="240" w:lineRule="auto"/>
        <w:ind w:left="2"/>
      </w:pPr>
      <w:r w:rsidRPr="00007196">
        <w:t>Pediatrická populácia</w:t>
      </w:r>
    </w:p>
    <w:p w:rsidR="00E56BE0" w:rsidRPr="00007196" w:rsidRDefault="00E56BE0" w:rsidP="002B7B74">
      <w:pPr>
        <w:spacing w:line="240" w:lineRule="auto"/>
        <w:ind w:left="3" w:right="14"/>
      </w:pPr>
      <w:r w:rsidRPr="00007196">
        <w:t>Databáza údajov o</w:t>
      </w:r>
      <w:r w:rsidR="00C25B4E" w:rsidRPr="00007196">
        <w:t> </w:t>
      </w:r>
      <w:r w:rsidRPr="00007196">
        <w:t>bezpečnosti, ktoré u</w:t>
      </w:r>
      <w:r w:rsidR="00C25B4E" w:rsidRPr="00007196">
        <w:t> </w:t>
      </w:r>
      <w:r w:rsidRPr="00007196">
        <w:t>pediatrických pacientov podporujú dávkovanie jedenkrát denne, pochádza zo štúdie ARROW (COL105677), v</w:t>
      </w:r>
      <w:r w:rsidR="00C25B4E" w:rsidRPr="00007196">
        <w:t> </w:t>
      </w:r>
      <w:r w:rsidRPr="00007196">
        <w:t>ktorej sa 669</w:t>
      </w:r>
      <w:r w:rsidR="00C25B4E" w:rsidRPr="00007196">
        <w:t> </w:t>
      </w:r>
      <w:r w:rsidRPr="00007196">
        <w:t xml:space="preserve">pediatrickým </w:t>
      </w:r>
      <w:r w:rsidR="00374579" w:rsidRPr="00007196">
        <w:t>pacientom</w:t>
      </w:r>
      <w:r w:rsidRPr="00007196">
        <w:t xml:space="preserve"> infikovaným vírusom HIV-1 (vo veku od 12</w:t>
      </w:r>
      <w:r w:rsidR="00C25B4E" w:rsidRPr="00007196">
        <w:t> </w:t>
      </w:r>
      <w:r w:rsidRPr="00007196">
        <w:t>mesiacov do ≤</w:t>
      </w:r>
      <w:r w:rsidR="00C25B4E" w:rsidRPr="00007196">
        <w:t> </w:t>
      </w:r>
      <w:r w:rsidRPr="00007196">
        <w:t>17</w:t>
      </w:r>
      <w:r w:rsidR="00C25B4E" w:rsidRPr="00007196">
        <w:t> </w:t>
      </w:r>
      <w:r w:rsidRPr="00007196">
        <w:t>rokov) podával abakavir a</w:t>
      </w:r>
      <w:r w:rsidR="00C25B4E" w:rsidRPr="00007196">
        <w:t> </w:t>
      </w:r>
      <w:r w:rsidRPr="00007196">
        <w:t>lamivudín buď jedenkrát, alebo dvakrát denne (pozri časť</w:t>
      </w:r>
      <w:r w:rsidR="00C25B4E" w:rsidRPr="00007196">
        <w:t> </w:t>
      </w:r>
      <w:r w:rsidRPr="00007196">
        <w:t>5.1). V</w:t>
      </w:r>
      <w:r w:rsidR="00C25B4E" w:rsidRPr="00007196">
        <w:t> </w:t>
      </w:r>
      <w:r w:rsidRPr="00007196">
        <w:t>rámci tejto populácie sa 104</w:t>
      </w:r>
      <w:r w:rsidR="00C25B4E" w:rsidRPr="00007196">
        <w:t> </w:t>
      </w:r>
      <w:r w:rsidRPr="00007196">
        <w:t xml:space="preserve">pediatrickým </w:t>
      </w:r>
      <w:r w:rsidR="00374579" w:rsidRPr="00007196">
        <w:t>pacientom</w:t>
      </w:r>
      <w:r w:rsidRPr="00007196">
        <w:t xml:space="preserve"> infikovaným vírusom HIV-1, ktoré vážili aspoň 25</w:t>
      </w:r>
      <w:r w:rsidR="00C25B4E" w:rsidRPr="00007196">
        <w:t> </w:t>
      </w:r>
      <w:r w:rsidRPr="00007196">
        <w:t>kg, podával abakavir a</w:t>
      </w:r>
      <w:r w:rsidR="00C25B4E" w:rsidRPr="00007196">
        <w:t> </w:t>
      </w:r>
      <w:r w:rsidRPr="00007196">
        <w:t>lamivudín vo</w:t>
      </w:r>
      <w:r w:rsidR="00B423BE">
        <w:t> </w:t>
      </w:r>
      <w:r w:rsidRPr="00007196">
        <w:t xml:space="preserve">forme </w:t>
      </w:r>
      <w:r w:rsidR="00C25B4E" w:rsidRPr="00007196">
        <w:t>abakavir</w:t>
      </w:r>
      <w:r w:rsidR="00C25B4E" w:rsidRPr="003533C9">
        <w:t>u</w:t>
      </w:r>
      <w:r w:rsidR="00C25B4E" w:rsidRPr="00007196">
        <w:t>/lamivudín</w:t>
      </w:r>
      <w:r w:rsidR="00C25B4E" w:rsidRPr="003533C9">
        <w:t>u</w:t>
      </w:r>
      <w:r w:rsidRPr="00007196">
        <w:t xml:space="preserve"> jedenkrát denne. U</w:t>
      </w:r>
      <w:r w:rsidR="00C25B4E" w:rsidRPr="00007196">
        <w:t> </w:t>
      </w:r>
      <w:r w:rsidRPr="00007196">
        <w:t xml:space="preserve">pediatrických </w:t>
      </w:r>
      <w:r w:rsidR="00374579" w:rsidRPr="00007196">
        <w:t>pacientov</w:t>
      </w:r>
      <w:r w:rsidRPr="00007196">
        <w:t>, ktorým bola dávka podávaná buď jedenkrát, alebo dvakrát denne, sa v</w:t>
      </w:r>
      <w:r w:rsidR="00C25B4E" w:rsidRPr="00007196">
        <w:t> </w:t>
      </w:r>
      <w:r w:rsidRPr="00007196">
        <w:t>porovnaní s</w:t>
      </w:r>
      <w:r w:rsidR="00C25B4E" w:rsidRPr="00007196">
        <w:t> </w:t>
      </w:r>
      <w:r w:rsidRPr="00007196">
        <w:t>dospelými nezistili žiadne dodatočné problémy súvisiace s</w:t>
      </w:r>
      <w:r w:rsidR="00C25B4E" w:rsidRPr="00007196">
        <w:t> </w:t>
      </w:r>
      <w:r w:rsidRPr="00007196">
        <w:t>bezpečnosťou.</w:t>
      </w:r>
    </w:p>
    <w:p w:rsidR="00C25B4E" w:rsidRPr="00007196" w:rsidRDefault="00C25B4E" w:rsidP="002B7B74">
      <w:pPr>
        <w:spacing w:line="240" w:lineRule="auto"/>
        <w:ind w:left="3" w:right="14"/>
      </w:pPr>
    </w:p>
    <w:p w:rsidR="00B12D42" w:rsidRPr="00007196" w:rsidRDefault="00B12D42" w:rsidP="002B7B74">
      <w:pPr>
        <w:keepNext/>
        <w:autoSpaceDE w:val="0"/>
        <w:autoSpaceDN w:val="0"/>
        <w:adjustRightInd w:val="0"/>
        <w:spacing w:line="240" w:lineRule="auto"/>
        <w:rPr>
          <w:u w:val="single"/>
        </w:rPr>
      </w:pPr>
      <w:r w:rsidRPr="00007196">
        <w:rPr>
          <w:u w:val="single"/>
        </w:rPr>
        <w:t>Hlásenie podozrení na nežiaduce reakcie</w:t>
      </w:r>
    </w:p>
    <w:p w:rsidR="00B12D42" w:rsidRPr="00007196" w:rsidRDefault="00B12D42" w:rsidP="002B7B74">
      <w:pPr>
        <w:autoSpaceDE w:val="0"/>
        <w:autoSpaceDN w:val="0"/>
        <w:adjustRightInd w:val="0"/>
        <w:spacing w:line="240" w:lineRule="auto"/>
      </w:pPr>
      <w:r w:rsidRPr="00007196">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007196">
        <w:rPr>
          <w:highlight w:val="lightGray"/>
        </w:rPr>
        <w:t>národné centrum hlásenia uvedené v </w:t>
      </w:r>
      <w:hyperlink r:id="rId8">
        <w:r w:rsidRPr="00007196">
          <w:rPr>
            <w:rStyle w:val="Hypertextovprepojenie"/>
            <w:highlight w:val="lightGray"/>
          </w:rPr>
          <w:t>Prílohe V</w:t>
        </w:r>
      </w:hyperlink>
      <w:r w:rsidRPr="00042751">
        <w:rPr>
          <w:color w:val="000000" w:themeColor="text1"/>
        </w:rPr>
        <w:t>.</w:t>
      </w:r>
    </w:p>
    <w:p w:rsidR="00C25B4E" w:rsidRPr="00007196" w:rsidRDefault="00C25B4E" w:rsidP="002B7B74">
      <w:pPr>
        <w:autoSpaceDE w:val="0"/>
        <w:autoSpaceDN w:val="0"/>
        <w:adjustRightInd w:val="0"/>
        <w:spacing w:line="240" w:lineRule="auto"/>
      </w:pPr>
    </w:p>
    <w:p w:rsidR="00812D16" w:rsidRPr="00007196" w:rsidRDefault="00812D16" w:rsidP="00042751">
      <w:pPr>
        <w:keepNext/>
        <w:numPr>
          <w:ilvl w:val="1"/>
          <w:numId w:val="29"/>
        </w:numPr>
        <w:spacing w:line="240" w:lineRule="auto"/>
      </w:pPr>
      <w:r w:rsidRPr="00007196">
        <w:rPr>
          <w:b/>
        </w:rPr>
        <w:t>Predávkovanie</w:t>
      </w:r>
    </w:p>
    <w:p w:rsidR="00812D16" w:rsidRPr="00007196" w:rsidRDefault="00812D16" w:rsidP="002B7B74">
      <w:pPr>
        <w:spacing w:line="240" w:lineRule="auto"/>
      </w:pPr>
    </w:p>
    <w:p w:rsidR="00C25B4E" w:rsidRPr="00D175E1" w:rsidRDefault="00C25B4E" w:rsidP="00C25B4E">
      <w:pPr>
        <w:ind w:left="3" w:right="14"/>
      </w:pPr>
      <w:r w:rsidRPr="003533C9">
        <w:t xml:space="preserve">Neidentifikovali sa žiadne špecifické </w:t>
      </w:r>
      <w:r w:rsidR="00450E8C" w:rsidRPr="003533C9">
        <w:t>príznaky</w:t>
      </w:r>
      <w:r w:rsidRPr="003533C9">
        <w:t xml:space="preserve"> alebo </w:t>
      </w:r>
      <w:r w:rsidR="00450E8C" w:rsidRPr="003533C9">
        <w:t>prejavy</w:t>
      </w:r>
      <w:r w:rsidRPr="003533C9">
        <w:t xml:space="preserve"> po akútnom predávkovaní abakavirom alebo lamivudínom, okrem tých, ktoré boli spomenuté v</w:t>
      </w:r>
      <w:r w:rsidR="00450E8C" w:rsidRPr="00D175E1">
        <w:t> nežiaducich účinkoch.</w:t>
      </w:r>
    </w:p>
    <w:p w:rsidR="00C25B4E" w:rsidRPr="00D175E1" w:rsidRDefault="00C25B4E" w:rsidP="00C25B4E">
      <w:pPr>
        <w:spacing w:after="9" w:line="259" w:lineRule="auto"/>
        <w:ind w:left="7"/>
      </w:pPr>
    </w:p>
    <w:p w:rsidR="00C25B4E" w:rsidRPr="00007196" w:rsidRDefault="00C25B4E" w:rsidP="00C25B4E">
      <w:pPr>
        <w:ind w:left="3" w:right="282"/>
      </w:pPr>
      <w:r w:rsidRPr="00007196">
        <w:t>V</w:t>
      </w:r>
      <w:r w:rsidR="00450E8C" w:rsidRPr="00007196">
        <w:t> </w:t>
      </w:r>
      <w:r w:rsidRPr="00007196">
        <w:t>prípade predávkovania sa pacienti musia sledovať z</w:t>
      </w:r>
      <w:r w:rsidR="00450E8C" w:rsidRPr="00007196">
        <w:t> </w:t>
      </w:r>
      <w:r w:rsidRPr="00007196">
        <w:t>hľadiska vzniku toxicity (pozri časť</w:t>
      </w:r>
      <w:r w:rsidR="00450E8C" w:rsidRPr="00007196">
        <w:t> </w:t>
      </w:r>
      <w:r w:rsidRPr="00007196">
        <w:t>4.8) a</w:t>
      </w:r>
      <w:r w:rsidR="00450E8C" w:rsidRPr="00007196">
        <w:t> </w:t>
      </w:r>
      <w:r w:rsidRPr="00007196">
        <w:t>podľa potreby použiť bežné podporné opatrenia. Lamivudín je dialyzovateľný, a</w:t>
      </w:r>
      <w:r w:rsidR="00450E8C" w:rsidRPr="00007196">
        <w:t> </w:t>
      </w:r>
      <w:r w:rsidRPr="00007196">
        <w:t xml:space="preserve">preto možno </w:t>
      </w:r>
      <w:r w:rsidR="00450E8C" w:rsidRPr="00007196">
        <w:t>na</w:t>
      </w:r>
      <w:r w:rsidR="00B423BE">
        <w:t> </w:t>
      </w:r>
      <w:r w:rsidRPr="00007196">
        <w:t>liečb</w:t>
      </w:r>
      <w:r w:rsidR="00450E8C" w:rsidRPr="00007196">
        <w:t>u</w:t>
      </w:r>
      <w:r w:rsidRPr="00007196">
        <w:t xml:space="preserve"> predávkovania použiť kontinuálnu hemodialýzu, príslušné klinické štúdie však neboli vykonané. Možnosť eliminácie abakaviru perit</w:t>
      </w:r>
      <w:r w:rsidR="00450E8C" w:rsidRPr="00007196">
        <w:t xml:space="preserve">oneálnou dialýzou </w:t>
      </w:r>
      <w:r w:rsidR="00EA294D" w:rsidRPr="00007196">
        <w:t xml:space="preserve">alebo hemodialýzou </w:t>
      </w:r>
      <w:r w:rsidR="00450E8C" w:rsidRPr="00007196">
        <w:t>nie je známa.</w:t>
      </w:r>
    </w:p>
    <w:p w:rsidR="00812D16" w:rsidRPr="00007196" w:rsidRDefault="00812D16" w:rsidP="002B7B74">
      <w:pPr>
        <w:spacing w:line="240" w:lineRule="auto"/>
      </w:pPr>
    </w:p>
    <w:p w:rsidR="007E4269" w:rsidRPr="00007196" w:rsidRDefault="007E4269" w:rsidP="002B7B74">
      <w:pPr>
        <w:spacing w:line="240" w:lineRule="auto"/>
      </w:pPr>
    </w:p>
    <w:p w:rsidR="00812D16" w:rsidRPr="00007196" w:rsidRDefault="00DA61B9" w:rsidP="00042751">
      <w:pPr>
        <w:keepNext/>
        <w:numPr>
          <w:ilvl w:val="0"/>
          <w:numId w:val="29"/>
        </w:numPr>
        <w:suppressAutoHyphens/>
        <w:spacing w:line="240" w:lineRule="auto"/>
      </w:pPr>
      <w:r w:rsidRPr="00007196">
        <w:rPr>
          <w:b/>
        </w:rPr>
        <w:lastRenderedPageBreak/>
        <w:t>FARMAKOLOGICKÉ VLASTNOSTI</w:t>
      </w:r>
    </w:p>
    <w:p w:rsidR="00812D16" w:rsidRPr="00007196" w:rsidRDefault="00812D16" w:rsidP="002B7B74">
      <w:pPr>
        <w:keepNext/>
        <w:spacing w:line="240" w:lineRule="auto"/>
      </w:pPr>
    </w:p>
    <w:p w:rsidR="00812D16" w:rsidRPr="00007196" w:rsidRDefault="00812D16" w:rsidP="00042751">
      <w:pPr>
        <w:keepNext/>
        <w:numPr>
          <w:ilvl w:val="1"/>
          <w:numId w:val="30"/>
        </w:numPr>
        <w:spacing w:line="240" w:lineRule="auto"/>
      </w:pPr>
      <w:r w:rsidRPr="00007196">
        <w:rPr>
          <w:b/>
        </w:rPr>
        <w:t>Farmakodynamické vlastnosti</w:t>
      </w:r>
    </w:p>
    <w:p w:rsidR="00812D16" w:rsidRPr="00007196" w:rsidRDefault="00812D16" w:rsidP="002B7B74">
      <w:pPr>
        <w:keepNext/>
        <w:spacing w:line="240" w:lineRule="auto"/>
      </w:pPr>
    </w:p>
    <w:p w:rsidR="00E56BE0" w:rsidRPr="00007196" w:rsidRDefault="00E56BE0" w:rsidP="002B7B74">
      <w:pPr>
        <w:spacing w:line="240" w:lineRule="auto"/>
        <w:ind w:left="3" w:right="14"/>
      </w:pPr>
      <w:r w:rsidRPr="00007196">
        <w:t>Farmakoterapeutická skupina: antivirotiká na systémové použitie, antivirotiká na liečbu HIV infekcie</w:t>
      </w:r>
      <w:r w:rsidR="00CC6BAF" w:rsidRPr="00007196">
        <w:t>, kombinácie.</w:t>
      </w:r>
      <w:r w:rsidR="00450E8C" w:rsidRPr="00007196">
        <w:t xml:space="preserve"> ATC kód: J05AR02.</w:t>
      </w:r>
    </w:p>
    <w:p w:rsidR="00E56BE0" w:rsidRPr="00007196" w:rsidRDefault="00E56BE0" w:rsidP="002B7B74">
      <w:pPr>
        <w:spacing w:line="240" w:lineRule="auto"/>
        <w:ind w:left="7"/>
      </w:pPr>
    </w:p>
    <w:p w:rsidR="00E56BE0" w:rsidRPr="00007196" w:rsidRDefault="00E56BE0" w:rsidP="002B7B74">
      <w:pPr>
        <w:spacing w:line="240" w:lineRule="auto"/>
        <w:ind w:left="3" w:right="85"/>
      </w:pPr>
      <w:r w:rsidRPr="00007196">
        <w:rPr>
          <w:i/>
        </w:rPr>
        <w:t>Mechanizmus účinku:</w:t>
      </w:r>
      <w:r w:rsidRPr="00007196">
        <w:t xml:space="preserve"> </w:t>
      </w:r>
      <w:r w:rsidR="00450E8C" w:rsidRPr="00007196">
        <w:t>a</w:t>
      </w:r>
      <w:r w:rsidRPr="00007196">
        <w:t>bakavir a</w:t>
      </w:r>
      <w:r w:rsidR="00450E8C" w:rsidRPr="00007196">
        <w:t> </w:t>
      </w:r>
      <w:r w:rsidRPr="00007196">
        <w:t xml:space="preserve">lamivudín sú </w:t>
      </w:r>
      <w:r w:rsidR="009E3CD6" w:rsidRPr="00007196">
        <w:t xml:space="preserve">nukleozidové inhibítory reverznej transkriptázy </w:t>
      </w:r>
      <w:r w:rsidR="009E3CD6" w:rsidRPr="003533C9">
        <w:t>(</w:t>
      </w:r>
      <w:r w:rsidRPr="003533C9">
        <w:t>NRTI</w:t>
      </w:r>
      <w:r w:rsidR="009E3CD6" w:rsidRPr="003533C9">
        <w:t>)</w:t>
      </w:r>
      <w:r w:rsidRPr="003533C9">
        <w:t xml:space="preserve"> a</w:t>
      </w:r>
      <w:r w:rsidR="00450E8C" w:rsidRPr="00D175E1">
        <w:t> </w:t>
      </w:r>
      <w:r w:rsidRPr="00D175E1">
        <w:t>sú silnými selektívnymi inhibítormi replikácie HIV-1 a</w:t>
      </w:r>
      <w:r w:rsidR="00450E8C" w:rsidRPr="00D175E1">
        <w:t> </w:t>
      </w:r>
      <w:r w:rsidRPr="00D175E1">
        <w:t>HIV-2 (LAV2 a</w:t>
      </w:r>
      <w:r w:rsidR="009E3CD6" w:rsidRPr="00D175E1">
        <w:t> </w:t>
      </w:r>
      <w:r w:rsidRPr="00007196">
        <w:t xml:space="preserve">EHO). Abakavir aj lamivudín sú metabolizované postupne intracelulárnymi kinázami na zodpovedajúci </w:t>
      </w:r>
      <w:r w:rsidRPr="00007196">
        <w:rPr>
          <w:rFonts w:hint="eastAsia"/>
        </w:rPr>
        <w:t>5</w:t>
      </w:r>
      <w:r w:rsidRPr="00007196">
        <w:rPr>
          <w:rFonts w:hint="eastAsia"/>
        </w:rPr>
        <w:t>′</w:t>
      </w:r>
      <w:r w:rsidRPr="00007196">
        <w:rPr>
          <w:rFonts w:hint="eastAsia"/>
        </w:rPr>
        <w:t>-trifosfát</w:t>
      </w:r>
      <w:r w:rsidRPr="00007196">
        <w:t xml:space="preserve"> (TP), ktorý je aktívnou látkou. Lamivudín-TP a</w:t>
      </w:r>
      <w:r w:rsidR="00450E8C" w:rsidRPr="00007196">
        <w:t> </w:t>
      </w:r>
      <w:r w:rsidRPr="00007196">
        <w:t>karbovir-TP (aktívna trifosfátová forma abakaviru) sú substrátmi a</w:t>
      </w:r>
      <w:r w:rsidR="00450E8C" w:rsidRPr="00007196">
        <w:t> </w:t>
      </w:r>
      <w:r w:rsidRPr="00007196">
        <w:t>kompetitívnymi inhibítormi reverznej transkriptázy (RT) HIV. Hlavná protivírusová aktivita týchto liečiv však spočíva v</w:t>
      </w:r>
      <w:r w:rsidR="00450E8C" w:rsidRPr="00007196">
        <w:t> </w:t>
      </w:r>
      <w:r w:rsidRPr="00007196">
        <w:t>inkorporácii ich monofosfátovej formy do reťazca vírusovej DNA, čo vedie k</w:t>
      </w:r>
      <w:r w:rsidR="00450E8C" w:rsidRPr="00007196">
        <w:t> </w:t>
      </w:r>
      <w:r w:rsidRPr="00007196">
        <w:t>ukončeniu tohto reťazca. Trifosfátové formy abakaviru a</w:t>
      </w:r>
      <w:r w:rsidR="00450E8C" w:rsidRPr="00007196">
        <w:t> </w:t>
      </w:r>
      <w:r w:rsidRPr="00007196">
        <w:t>lamivudínu prejavujú významne menšiu afinitu k</w:t>
      </w:r>
      <w:r w:rsidR="00450E8C" w:rsidRPr="00007196">
        <w:t> </w:t>
      </w:r>
      <w:r w:rsidRPr="00007196">
        <w:t>DNA-polymerázam hostiteľských buniek.</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V</w:t>
      </w:r>
      <w:r w:rsidR="00450E8C" w:rsidRPr="00007196">
        <w:t> </w:t>
      </w:r>
      <w:r w:rsidRPr="00007196">
        <w:t xml:space="preserve">podmienkach </w:t>
      </w:r>
      <w:r w:rsidRPr="00007196">
        <w:rPr>
          <w:i/>
        </w:rPr>
        <w:t>in vitro</w:t>
      </w:r>
      <w:r w:rsidRPr="00007196">
        <w:t xml:space="preserve"> sa nepozorovali žiadne antagonistické účinky pri lamivudíne a</w:t>
      </w:r>
      <w:r w:rsidR="00450E8C" w:rsidRPr="00007196">
        <w:t> </w:t>
      </w:r>
      <w:r w:rsidRPr="00007196">
        <w:t xml:space="preserve">iných </w:t>
      </w:r>
      <w:r w:rsidRPr="003533C9">
        <w:t>antiretrovirotikách (testované l</w:t>
      </w:r>
      <w:r w:rsidR="00E14EE0" w:rsidRPr="003533C9">
        <w:t>iečivá</w:t>
      </w:r>
      <w:r w:rsidRPr="003533C9">
        <w:t>: didanozín, nevirapín a</w:t>
      </w:r>
      <w:r w:rsidR="00450E8C" w:rsidRPr="003533C9">
        <w:t> </w:t>
      </w:r>
      <w:r w:rsidRPr="00D175E1">
        <w:t>zidovudín). Antivírusová aktivita abakaviru v</w:t>
      </w:r>
      <w:r w:rsidR="00450E8C" w:rsidRPr="00D175E1">
        <w:t> </w:t>
      </w:r>
      <w:r w:rsidRPr="00D175E1">
        <w:t>bunkovej kultúre nebola antagonizovaná, keď sa podával v</w:t>
      </w:r>
      <w:r w:rsidR="00450E8C" w:rsidRPr="00D175E1">
        <w:t> </w:t>
      </w:r>
      <w:r w:rsidRPr="00D175E1">
        <w:t>kombinácii s</w:t>
      </w:r>
      <w:r w:rsidR="00450E8C" w:rsidRPr="00007196">
        <w:t> </w:t>
      </w:r>
      <w:r w:rsidRPr="00007196">
        <w:t>nukleozidovými inhibítormi reverznej transkriptázy (NRTI) didanozínom, emtricitabínom, stavudínom, tenofovirom alebo zidovudínom, s</w:t>
      </w:r>
      <w:r w:rsidR="00450E8C" w:rsidRPr="00007196">
        <w:t> </w:t>
      </w:r>
      <w:r w:rsidRPr="00007196">
        <w:t>nenukleozidovým inhibítorom reverznej transkriptázy (NNRTI) nevirapínom alebo s</w:t>
      </w:r>
      <w:r w:rsidR="00450E8C" w:rsidRPr="00007196">
        <w:t> </w:t>
      </w:r>
      <w:r w:rsidRPr="00007196">
        <w:t>inhibítorom proteázy (PI) ampre</w:t>
      </w:r>
      <w:r w:rsidR="00450E8C" w:rsidRPr="00007196">
        <w:t>navirom.</w:t>
      </w:r>
    </w:p>
    <w:p w:rsidR="00E56BE0" w:rsidRPr="00007196" w:rsidRDefault="00E56BE0" w:rsidP="002B7B74">
      <w:pPr>
        <w:spacing w:line="240" w:lineRule="auto"/>
        <w:ind w:left="8"/>
      </w:pPr>
    </w:p>
    <w:p w:rsidR="00E56BE0" w:rsidRPr="00007196" w:rsidRDefault="005963C1" w:rsidP="002B7B74">
      <w:pPr>
        <w:pStyle w:val="Nadpis2"/>
        <w:spacing w:after="0" w:line="240" w:lineRule="auto"/>
        <w:ind w:left="2"/>
      </w:pPr>
      <w:r w:rsidRPr="00007196">
        <w:t>Antivírusov</w:t>
      </w:r>
      <w:r>
        <w:t>á</w:t>
      </w:r>
      <w:r w:rsidRPr="00007196">
        <w:t xml:space="preserve"> </w:t>
      </w:r>
      <w:r w:rsidR="00E14EE0" w:rsidRPr="00007196">
        <w:t>aktivita</w:t>
      </w:r>
      <w:r w:rsidR="00E56BE0" w:rsidRPr="00007196">
        <w:t xml:space="preserve"> </w:t>
      </w:r>
      <w:r w:rsidR="00E56BE0" w:rsidRPr="00007196">
        <w:rPr>
          <w:i/>
        </w:rPr>
        <w:t>in vitro</w:t>
      </w:r>
    </w:p>
    <w:p w:rsidR="00E56BE0" w:rsidRPr="00007196" w:rsidRDefault="00E56BE0" w:rsidP="002B7B74">
      <w:pPr>
        <w:spacing w:line="240" w:lineRule="auto"/>
        <w:ind w:left="3" w:right="111"/>
      </w:pPr>
      <w:r w:rsidRPr="003533C9">
        <w:t>Abakavir aj lamivudín preukázateľne inhibujú replikáciu laboratórnych kmeňov a</w:t>
      </w:r>
      <w:r w:rsidR="00450E8C" w:rsidRPr="003533C9">
        <w:t> </w:t>
      </w:r>
      <w:r w:rsidRPr="003533C9">
        <w:t>klinických izolátov HIV v</w:t>
      </w:r>
      <w:r w:rsidR="00450E8C" w:rsidRPr="003533C9">
        <w:t> </w:t>
      </w:r>
      <w:r w:rsidRPr="00D175E1">
        <w:t>niekoľkých bunkových typoch, vrátane transformovaných T-bunkových línií, l</w:t>
      </w:r>
      <w:r w:rsidR="00E17680" w:rsidRPr="00D175E1">
        <w:t>í</w:t>
      </w:r>
      <w:r w:rsidRPr="00D175E1">
        <w:t>nií odvodených od monocytov/makrofágov a</w:t>
      </w:r>
      <w:r w:rsidR="00450E8C" w:rsidRPr="00D175E1">
        <w:t> </w:t>
      </w:r>
      <w:r w:rsidRPr="00007196">
        <w:t>primárnych kultúr aktivovaných lymfocytov periférnej krvi (</w:t>
      </w:r>
      <w:r w:rsidRPr="00042751">
        <w:t>peripheral bood lymphocytes</w:t>
      </w:r>
      <w:r w:rsidRPr="00007196">
        <w:rPr>
          <w:i/>
        </w:rPr>
        <w:t xml:space="preserve"> </w:t>
      </w:r>
      <w:r w:rsidRPr="00007196">
        <w:t>- PBL) a</w:t>
      </w:r>
      <w:r w:rsidR="00450E8C" w:rsidRPr="00007196">
        <w:t> </w:t>
      </w:r>
      <w:r w:rsidRPr="00007196">
        <w:t>monocytov/makrofágov. Koncentrácia liečiva potrebná na</w:t>
      </w:r>
      <w:r w:rsidR="00B423BE">
        <w:t> </w:t>
      </w:r>
      <w:r w:rsidRPr="00007196">
        <w:t>ovplyvnenie replikácie vírusu o</w:t>
      </w:r>
      <w:r w:rsidR="00450E8C" w:rsidRPr="00007196">
        <w:t> </w:t>
      </w:r>
      <w:r w:rsidRPr="00007196">
        <w:t>50</w:t>
      </w:r>
      <w:r w:rsidR="00450E8C" w:rsidRPr="00007196">
        <w:t> </w:t>
      </w:r>
      <w:r w:rsidRPr="00007196">
        <w:t>% (EC</w:t>
      </w:r>
      <w:r w:rsidRPr="00007196">
        <w:rPr>
          <w:vertAlign w:val="subscript"/>
        </w:rPr>
        <w:t>50</w:t>
      </w:r>
      <w:r w:rsidRPr="00007196">
        <w:t>) alebo 50</w:t>
      </w:r>
      <w:r w:rsidR="00450E8C" w:rsidRPr="00007196">
        <w:t> </w:t>
      </w:r>
      <w:r w:rsidRPr="00007196">
        <w:t>% inhibičná koncentrácia (IC</w:t>
      </w:r>
      <w:r w:rsidRPr="00007196">
        <w:rPr>
          <w:vertAlign w:val="subscript"/>
        </w:rPr>
        <w:t>50</w:t>
      </w:r>
      <w:r w:rsidRPr="00007196">
        <w:t>) sa líšila v</w:t>
      </w:r>
      <w:r w:rsidR="00450E8C" w:rsidRPr="00007196">
        <w:t> </w:t>
      </w:r>
      <w:r w:rsidRPr="00007196">
        <w:t>závislosti od vírusu a</w:t>
      </w:r>
      <w:r w:rsidR="00450E8C" w:rsidRPr="00007196">
        <w:t> </w:t>
      </w:r>
      <w:r w:rsidRPr="00007196">
        <w:t>typu hostiteľskej bunky.</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Priemerná hodnota EC</w:t>
      </w:r>
      <w:r w:rsidRPr="00007196">
        <w:rPr>
          <w:vertAlign w:val="subscript"/>
        </w:rPr>
        <w:t xml:space="preserve">50 </w:t>
      </w:r>
      <w:r w:rsidRPr="00007196">
        <w:t>abakaviru proti laboratórnym kmeňom HIV-1IIIB a</w:t>
      </w:r>
      <w:r w:rsidR="00450E8C" w:rsidRPr="00007196">
        <w:t> </w:t>
      </w:r>
      <w:r w:rsidRPr="00007196">
        <w:t>HIV-1HXB2 sa pohybovala v</w:t>
      </w:r>
      <w:r w:rsidR="00450E8C" w:rsidRPr="00007196">
        <w:t> </w:t>
      </w:r>
      <w:r w:rsidRPr="00007196">
        <w:t>rozmedzí od 1,4 do 5,8</w:t>
      </w:r>
      <w:r w:rsidR="009E3CD6" w:rsidRPr="00007196">
        <w:t> </w:t>
      </w:r>
      <w:r w:rsidRPr="00007196">
        <w:rPr>
          <w:rFonts w:eastAsia="Segoe UI Symbol"/>
        </w:rPr>
        <w:t>µ</w:t>
      </w:r>
      <w:r w:rsidR="00C97D64" w:rsidRPr="00007196">
        <w:t>mol/l</w:t>
      </w:r>
      <w:r w:rsidRPr="00007196">
        <w:t>. Mediánové alebo priemerné hodnoty EC</w:t>
      </w:r>
      <w:r w:rsidRPr="00007196">
        <w:rPr>
          <w:vertAlign w:val="subscript"/>
        </w:rPr>
        <w:t>50</w:t>
      </w:r>
      <w:r w:rsidRPr="00007196">
        <w:t xml:space="preserve"> lamivudínu proti laboratórnym kmeňom HIV-1 sa pohybovali v</w:t>
      </w:r>
      <w:r w:rsidR="00450E8C" w:rsidRPr="00007196">
        <w:t> </w:t>
      </w:r>
      <w:r w:rsidRPr="00007196">
        <w:t>rozmedzí od 0,007 do 2,3</w:t>
      </w:r>
      <w:r w:rsidR="009E3CD6" w:rsidRPr="00007196">
        <w:t> </w:t>
      </w:r>
      <w:r w:rsidRPr="00007196">
        <w:rPr>
          <w:rFonts w:eastAsia="Segoe UI Symbol"/>
        </w:rPr>
        <w:t>µ</w:t>
      </w:r>
      <w:r w:rsidR="00C97D64" w:rsidRPr="00007196">
        <w:t>mol/l</w:t>
      </w:r>
      <w:r w:rsidRPr="00007196">
        <w:t>. Priemerná hodnota EC</w:t>
      </w:r>
      <w:r w:rsidRPr="00007196">
        <w:rPr>
          <w:vertAlign w:val="subscript"/>
        </w:rPr>
        <w:t>50</w:t>
      </w:r>
      <w:r w:rsidRPr="00007196">
        <w:t xml:space="preserve"> proti laboratórnym kmeňom HIV-2 (LAV2 a EHO) sa pohybovala v</w:t>
      </w:r>
      <w:r w:rsidR="00450E8C" w:rsidRPr="00007196">
        <w:t> </w:t>
      </w:r>
      <w:r w:rsidRPr="00007196">
        <w:t>rozmedzí od 1,57 do 7,5</w:t>
      </w:r>
      <w:r w:rsidR="009E3CD6" w:rsidRPr="00007196">
        <w:t> </w:t>
      </w:r>
      <w:r w:rsidRPr="00007196">
        <w:rPr>
          <w:rFonts w:eastAsia="Segoe UI Symbol"/>
        </w:rPr>
        <w:t>µ</w:t>
      </w:r>
      <w:r w:rsidR="00C97D64" w:rsidRPr="00007196">
        <w:t>mol/l</w:t>
      </w:r>
      <w:r w:rsidRPr="00007196">
        <w:t xml:space="preserve"> pri abakavire a</w:t>
      </w:r>
      <w:r w:rsidR="009E3CD6" w:rsidRPr="00007196">
        <w:t> </w:t>
      </w:r>
      <w:r w:rsidRPr="00007196">
        <w:t>od 0,16 do 0,51</w:t>
      </w:r>
      <w:r w:rsidR="005454D8" w:rsidRPr="00007196">
        <w:t> </w:t>
      </w:r>
      <w:r w:rsidRPr="00007196">
        <w:rPr>
          <w:rFonts w:eastAsia="Segoe UI Symbol"/>
        </w:rPr>
        <w:t>µ</w:t>
      </w:r>
      <w:r w:rsidR="00C97D64" w:rsidRPr="00007196">
        <w:t>mol/l</w:t>
      </w:r>
      <w:r w:rsidRPr="00007196">
        <w:t xml:space="preserve"> pri lamivudíne.</w:t>
      </w:r>
    </w:p>
    <w:p w:rsidR="00E56BE0" w:rsidRPr="00007196" w:rsidRDefault="00E56BE0" w:rsidP="002B7B74">
      <w:pPr>
        <w:spacing w:line="240" w:lineRule="auto"/>
        <w:ind w:left="7"/>
      </w:pPr>
    </w:p>
    <w:p w:rsidR="00E56BE0" w:rsidRPr="00007196" w:rsidRDefault="00E56BE0" w:rsidP="002B7B74">
      <w:pPr>
        <w:spacing w:line="240" w:lineRule="auto"/>
        <w:ind w:left="3" w:right="167"/>
      </w:pPr>
      <w:r w:rsidRPr="00007196">
        <w:t>Hodnoty EC</w:t>
      </w:r>
      <w:r w:rsidRPr="00007196">
        <w:rPr>
          <w:vertAlign w:val="subscript"/>
        </w:rPr>
        <w:t>50</w:t>
      </w:r>
      <w:r w:rsidRPr="00007196">
        <w:t xml:space="preserve"> abakaviru proti subtypom HIV-1 skupiny M (A-G) sa pohybovali v</w:t>
      </w:r>
      <w:r w:rsidR="00450E8C" w:rsidRPr="00007196">
        <w:t> </w:t>
      </w:r>
      <w:r w:rsidRPr="00007196">
        <w:t>rozmedzí od 0,002 do 1,179</w:t>
      </w:r>
      <w:r w:rsidR="00450E8C" w:rsidRPr="00007196">
        <w:t> </w:t>
      </w:r>
      <w:r w:rsidRPr="00007196">
        <w:rPr>
          <w:rFonts w:eastAsia="Segoe UI Symbol"/>
        </w:rPr>
        <w:t>µ</w:t>
      </w:r>
      <w:r w:rsidR="00C97D64" w:rsidRPr="00007196">
        <w:t>mol/l</w:t>
      </w:r>
      <w:r w:rsidRPr="00007196">
        <w:t>, proti subtypom skupiny O</w:t>
      </w:r>
      <w:r w:rsidR="00450E8C" w:rsidRPr="00007196">
        <w:t> </w:t>
      </w:r>
      <w:r w:rsidRPr="00007196">
        <w:t>od 0,022 do 1,21</w:t>
      </w:r>
      <w:r w:rsidR="00450E8C" w:rsidRPr="00007196">
        <w:t> </w:t>
      </w:r>
      <w:r w:rsidRPr="00007196">
        <w:rPr>
          <w:rFonts w:eastAsia="Segoe UI Symbol"/>
        </w:rPr>
        <w:t>µ</w:t>
      </w:r>
      <w:r w:rsidR="00C97D64" w:rsidRPr="00007196">
        <w:t>mol/l</w:t>
      </w:r>
      <w:r w:rsidRPr="00007196">
        <w:t xml:space="preserve"> a</w:t>
      </w:r>
      <w:r w:rsidR="00450E8C" w:rsidRPr="00007196">
        <w:t> </w:t>
      </w:r>
      <w:r w:rsidRPr="00007196">
        <w:t>proti izolátom HIV-2 od 0,024 do 0,49</w:t>
      </w:r>
      <w:r w:rsidR="00450E8C" w:rsidRPr="00007196">
        <w:t> </w:t>
      </w:r>
      <w:r w:rsidRPr="00007196">
        <w:rPr>
          <w:rFonts w:eastAsia="Segoe UI Symbol"/>
        </w:rPr>
        <w:t>µ</w:t>
      </w:r>
      <w:r w:rsidR="00C97D64" w:rsidRPr="00007196">
        <w:t>mol/l</w:t>
      </w:r>
      <w:r w:rsidRPr="00007196">
        <w:t>. Hodnoty EC</w:t>
      </w:r>
      <w:r w:rsidRPr="00007196">
        <w:rPr>
          <w:vertAlign w:val="subscript"/>
        </w:rPr>
        <w:t xml:space="preserve">50 </w:t>
      </w:r>
      <w:r w:rsidRPr="00007196">
        <w:t>lamivudínu proti subtypom HIV-1 (A-G) sa pohybovali v</w:t>
      </w:r>
      <w:r w:rsidR="00450E8C" w:rsidRPr="00007196">
        <w:t> </w:t>
      </w:r>
      <w:r w:rsidRPr="00007196">
        <w:t>rozmedzí od 0,001 do 0,170</w:t>
      </w:r>
      <w:r w:rsidR="00450E8C" w:rsidRPr="00007196">
        <w:t> </w:t>
      </w:r>
      <w:r w:rsidRPr="00007196">
        <w:rPr>
          <w:rFonts w:eastAsia="Segoe UI Symbol"/>
        </w:rPr>
        <w:t>µ</w:t>
      </w:r>
      <w:r w:rsidR="00C97D64" w:rsidRPr="00007196">
        <w:t>mol/l</w:t>
      </w:r>
      <w:r w:rsidRPr="00007196">
        <w:t>, proti subtypom skupiny O od 0,030 do 0,160</w:t>
      </w:r>
      <w:r w:rsidR="00450E8C" w:rsidRPr="00007196">
        <w:t> </w:t>
      </w:r>
      <w:r w:rsidRPr="00007196">
        <w:rPr>
          <w:rFonts w:eastAsia="Segoe UI Symbol"/>
        </w:rPr>
        <w:t>µ</w:t>
      </w:r>
      <w:r w:rsidR="00C97D64" w:rsidRPr="00007196">
        <w:t>mol/l</w:t>
      </w:r>
      <w:r w:rsidRPr="00007196">
        <w:t xml:space="preserve"> a</w:t>
      </w:r>
      <w:r w:rsidR="00450E8C" w:rsidRPr="00007196">
        <w:t> </w:t>
      </w:r>
      <w:r w:rsidRPr="00007196">
        <w:t>proti izolátom HIV-2 od 0,002 do 0,120</w:t>
      </w:r>
      <w:r w:rsidR="00450E8C" w:rsidRPr="00007196">
        <w:t> </w:t>
      </w:r>
      <w:r w:rsidRPr="00042751">
        <w:rPr>
          <w:rFonts w:eastAsia="Segoe UI Symbol"/>
        </w:rPr>
        <w:t>µ</w:t>
      </w:r>
      <w:r w:rsidR="00C97D64" w:rsidRPr="00007196">
        <w:t>mol/l</w:t>
      </w:r>
      <w:r w:rsidRPr="00007196">
        <w:t xml:space="preserve"> v</w:t>
      </w:r>
      <w:r w:rsidR="00450E8C" w:rsidRPr="00007196">
        <w:t> </w:t>
      </w:r>
      <w:r w:rsidRPr="00007196">
        <w:t>mononukle</w:t>
      </w:r>
      <w:r w:rsidR="00450E8C" w:rsidRPr="00007196">
        <w:t>árnych bunkách periférnej krvi.</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Východiskové vzorky HIV-1 od jedincov bez predchádzajúcej terapie bez substitúcií aminokyselín súvisiacich s</w:t>
      </w:r>
      <w:r w:rsidR="00450E8C" w:rsidRPr="00007196">
        <w:t> </w:t>
      </w:r>
      <w:r w:rsidRPr="00007196">
        <w:t>rezistenciou boli hodnotené s</w:t>
      </w:r>
      <w:r w:rsidR="00450E8C" w:rsidRPr="00007196">
        <w:t> </w:t>
      </w:r>
      <w:r w:rsidRPr="00007196">
        <w:t>použitím buď viaccyklovej analýzy Virco Antivirogram™ (n</w:t>
      </w:r>
      <w:r w:rsidR="009E3CD6" w:rsidRPr="00007196">
        <w:t> </w:t>
      </w:r>
      <w:r w:rsidRPr="00007196">
        <w:t>= 92 zo štúdie COL40263), alebo jednocyklovej analýzy Monogram Biosciences PhenoSense™ (n</w:t>
      </w:r>
      <w:r w:rsidR="009E3CD6" w:rsidRPr="00007196">
        <w:t> </w:t>
      </w:r>
      <w:r w:rsidRPr="00007196">
        <w:t>= 138 zo štúdie ESS30009). Ich výsledkom boli mediánové hodnoty EC</w:t>
      </w:r>
      <w:r w:rsidRPr="00007196">
        <w:rPr>
          <w:vertAlign w:val="subscript"/>
        </w:rPr>
        <w:t>50</w:t>
      </w:r>
      <w:r w:rsidRPr="00007196">
        <w:t xml:space="preserve"> abakaviru 0,912</w:t>
      </w:r>
      <w:r w:rsidR="009E3CD6" w:rsidRPr="00007196">
        <w:t> </w:t>
      </w:r>
      <w:r w:rsidRPr="00007196">
        <w:rPr>
          <w:rFonts w:eastAsia="Segoe UI Symbol"/>
        </w:rPr>
        <w:t>µ</w:t>
      </w:r>
      <w:r w:rsidR="00C97D64" w:rsidRPr="00007196">
        <w:t>mol/l</w:t>
      </w:r>
      <w:r w:rsidRPr="00007196">
        <w:t xml:space="preserve"> (rozmedzie: 0,493 až 5,017</w:t>
      </w:r>
      <w:r w:rsidR="009E3CD6" w:rsidRPr="00007196">
        <w:t> </w:t>
      </w:r>
      <w:r w:rsidRPr="00007196">
        <w:rPr>
          <w:rFonts w:eastAsia="Segoe UI Symbol"/>
        </w:rPr>
        <w:t>µ</w:t>
      </w:r>
      <w:r w:rsidR="00C97D64" w:rsidRPr="00007196">
        <w:t>mol/l</w:t>
      </w:r>
      <w:r w:rsidRPr="00007196">
        <w:t>) a</w:t>
      </w:r>
      <w:r w:rsidR="009E3CD6" w:rsidRPr="00007196">
        <w:t> </w:t>
      </w:r>
      <w:r w:rsidRPr="00007196">
        <w:t>1,26</w:t>
      </w:r>
      <w:r w:rsidR="009E3CD6" w:rsidRPr="00007196">
        <w:t> </w:t>
      </w:r>
      <w:r w:rsidRPr="00007196">
        <w:t>µ</w:t>
      </w:r>
      <w:r w:rsidR="00C97D64" w:rsidRPr="00007196">
        <w:t>mol/l</w:t>
      </w:r>
      <w:r w:rsidRPr="00007196">
        <w:t xml:space="preserve"> (rozmedzie 0,72 až 1,91</w:t>
      </w:r>
      <w:r w:rsidR="009E3CD6" w:rsidRPr="00007196">
        <w:t> </w:t>
      </w:r>
      <w:r w:rsidRPr="00007196">
        <w:rPr>
          <w:rFonts w:eastAsia="Segoe UI Symbol"/>
        </w:rPr>
        <w:t>µ</w:t>
      </w:r>
      <w:r w:rsidR="00C97D64" w:rsidRPr="00007196">
        <w:t>mol/l</w:t>
      </w:r>
      <w:r w:rsidRPr="00007196">
        <w:t>) podľa uvedeného poradia a</w:t>
      </w:r>
      <w:r w:rsidR="009E3CD6" w:rsidRPr="00007196">
        <w:t> </w:t>
      </w:r>
      <w:r w:rsidRPr="00007196">
        <w:t>mediánové hodnoty EC</w:t>
      </w:r>
      <w:r w:rsidRPr="00007196">
        <w:rPr>
          <w:vertAlign w:val="subscript"/>
        </w:rPr>
        <w:t>50</w:t>
      </w:r>
      <w:r w:rsidRPr="00007196">
        <w:t xml:space="preserve"> lamivudínu 0,429</w:t>
      </w:r>
      <w:r w:rsidR="009E3CD6" w:rsidRPr="00007196">
        <w:t> </w:t>
      </w:r>
      <w:r w:rsidRPr="00007196">
        <w:rPr>
          <w:rFonts w:eastAsia="Segoe UI Symbol"/>
        </w:rPr>
        <w:t>µ</w:t>
      </w:r>
      <w:r w:rsidR="00C97D64" w:rsidRPr="00007196">
        <w:t>mol/l</w:t>
      </w:r>
      <w:r w:rsidRPr="00007196">
        <w:t xml:space="preserve"> (rozmedzie: 0,200 až 2,007</w:t>
      </w:r>
      <w:r w:rsidR="009E3CD6" w:rsidRPr="00007196">
        <w:t> </w:t>
      </w:r>
      <w:r w:rsidRPr="00007196">
        <w:rPr>
          <w:rFonts w:eastAsia="Segoe UI Symbol"/>
        </w:rPr>
        <w:t>µ</w:t>
      </w:r>
      <w:r w:rsidR="00C97D64" w:rsidRPr="00007196">
        <w:t>mol/l</w:t>
      </w:r>
      <w:r w:rsidRPr="00007196">
        <w:t>) a</w:t>
      </w:r>
      <w:r w:rsidR="005454D8" w:rsidRPr="00007196">
        <w:t> </w:t>
      </w:r>
      <w:r w:rsidRPr="00007196">
        <w:t>2,38</w:t>
      </w:r>
      <w:r w:rsidR="009E3CD6" w:rsidRPr="00007196">
        <w:t> </w:t>
      </w:r>
      <w:r w:rsidRPr="00007196">
        <w:rPr>
          <w:rFonts w:eastAsia="Segoe UI Symbol"/>
        </w:rPr>
        <w:t>µ</w:t>
      </w:r>
      <w:r w:rsidR="00C97D64" w:rsidRPr="00007196">
        <w:t>mol/l</w:t>
      </w:r>
      <w:r w:rsidRPr="00007196">
        <w:t xml:space="preserve"> (1,37 až 3,68</w:t>
      </w:r>
      <w:r w:rsidR="009E3CD6" w:rsidRPr="00007196">
        <w:t> </w:t>
      </w:r>
      <w:r w:rsidRPr="00007196">
        <w:rPr>
          <w:rFonts w:eastAsia="Segoe UI Symbol"/>
        </w:rPr>
        <w:t>µ</w:t>
      </w:r>
      <w:r w:rsidR="00C97D64" w:rsidRPr="00007196">
        <w:t>mol/l</w:t>
      </w:r>
      <w:r w:rsidRPr="00007196">
        <w:t>) podľa uvedeného poradia.</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Analýzy fenotypovej citlivosti klinických izolátov od pacientov bez predchádzajúcej antiretrovírusovej terapie so subtypmi HIV-1 skupiny M inými ako B v troch štúdiách zhodne zistili, že všetky vírusy boli úplne citlivé tak na abakavir, ako aj na lamivudín; jedna štúdia 104</w:t>
      </w:r>
      <w:r w:rsidR="009E3CD6" w:rsidRPr="00007196">
        <w:t> </w:t>
      </w:r>
      <w:r w:rsidRPr="00007196">
        <w:t>izolátov, ktoré zahŕňali subtypy A</w:t>
      </w:r>
      <w:r w:rsidR="009E3CD6" w:rsidRPr="00007196">
        <w:t> </w:t>
      </w:r>
      <w:r w:rsidRPr="00007196">
        <w:t>a</w:t>
      </w:r>
      <w:r w:rsidR="009E3CD6" w:rsidRPr="00007196">
        <w:t> </w:t>
      </w:r>
      <w:r w:rsidRPr="00007196">
        <w:t>A1 (n = 26), C (n = 1), D (n = 66) a</w:t>
      </w:r>
      <w:r w:rsidR="009E3CD6" w:rsidRPr="00007196">
        <w:t> </w:t>
      </w:r>
      <w:r w:rsidRPr="00007196">
        <w:t>cirkulujúce rekombinantné formy (CRF) AD (n = 9), CD (n = 1) a</w:t>
      </w:r>
      <w:r w:rsidR="009E3CD6" w:rsidRPr="00007196">
        <w:t> </w:t>
      </w:r>
      <w:r w:rsidRPr="00007196">
        <w:t xml:space="preserve">komplexný medzi-subtypový rekombinant_cpx (n = 1), druhá štúdia </w:t>
      </w:r>
      <w:r w:rsidRPr="00007196">
        <w:lastRenderedPageBreak/>
        <w:t>18</w:t>
      </w:r>
      <w:r w:rsidR="009E3CD6" w:rsidRPr="00007196">
        <w:t> </w:t>
      </w:r>
      <w:r w:rsidRPr="00007196">
        <w:t>izolátov zahŕňajúcich subtyp G (n = 14) a CRF_AG (n = 4) z</w:t>
      </w:r>
      <w:r w:rsidR="009E3CD6" w:rsidRPr="00007196">
        <w:t> </w:t>
      </w:r>
      <w:r w:rsidRPr="00007196">
        <w:t>Nigérie a tretia štúdia šiestich izolátov (n = 4 CRF_AG, n = 1 A n = 1 nestanove</w:t>
      </w:r>
      <w:r w:rsidR="009E3CD6" w:rsidRPr="00007196">
        <w:t>né) z Abidjanu (Côte d'Ivoire).</w:t>
      </w:r>
    </w:p>
    <w:p w:rsidR="00E56BE0" w:rsidRPr="00007196" w:rsidRDefault="00E56BE0" w:rsidP="002B7B74">
      <w:pPr>
        <w:spacing w:line="240" w:lineRule="auto"/>
        <w:ind w:left="7"/>
      </w:pPr>
    </w:p>
    <w:p w:rsidR="00E56BE0" w:rsidRPr="00007196" w:rsidRDefault="00E56BE0" w:rsidP="002B7B74">
      <w:pPr>
        <w:spacing w:line="240" w:lineRule="auto"/>
        <w:ind w:left="3" w:right="105"/>
      </w:pPr>
      <w:r w:rsidRPr="00007196">
        <w:t>Izoláty HIV-1 (CRF01_AE, n = 12; CRF02_AG, n = 12; a</w:t>
      </w:r>
      <w:r w:rsidR="005454D8" w:rsidRPr="00007196">
        <w:t> </w:t>
      </w:r>
      <w:r w:rsidRPr="00007196">
        <w:t>subtyp C alebo CRF_AC, n = 13) od 37</w:t>
      </w:r>
      <w:r w:rsidR="009E3CD6" w:rsidRPr="00007196">
        <w:t> </w:t>
      </w:r>
      <w:r w:rsidRPr="00007196">
        <w:t>neliečených pacientov v</w:t>
      </w:r>
      <w:r w:rsidR="009E3CD6" w:rsidRPr="00007196">
        <w:t> </w:t>
      </w:r>
      <w:r w:rsidRPr="00007196">
        <w:t>Afrike a</w:t>
      </w:r>
      <w:r w:rsidR="009E3CD6" w:rsidRPr="00007196">
        <w:t> </w:t>
      </w:r>
      <w:r w:rsidRPr="00007196">
        <w:t>Ázii boli citlivé na abakavir (násobné zmeny hodnoty IC</w:t>
      </w:r>
      <w:r w:rsidRPr="00007196">
        <w:rPr>
          <w:vertAlign w:val="subscript"/>
        </w:rPr>
        <w:t>50</w:t>
      </w:r>
      <w:r w:rsidRPr="00007196">
        <w:t xml:space="preserve"> &lt;</w:t>
      </w:r>
      <w:r w:rsidR="009E3CD6" w:rsidRPr="00007196">
        <w:t> </w:t>
      </w:r>
      <w:r w:rsidRPr="00007196">
        <w:t>2,5) a</w:t>
      </w:r>
      <w:r w:rsidR="009E3CD6" w:rsidRPr="00007196">
        <w:t> </w:t>
      </w:r>
      <w:r w:rsidRPr="00007196">
        <w:t>na lamivudín (násobné zmeny hodnoty IC</w:t>
      </w:r>
      <w:r w:rsidRPr="00007196">
        <w:rPr>
          <w:vertAlign w:val="subscript"/>
        </w:rPr>
        <w:t>50</w:t>
      </w:r>
      <w:r w:rsidRPr="00007196">
        <w:t xml:space="preserve"> &lt; 3,0), okrem dvoch izolátov CRF02_AG s</w:t>
      </w:r>
      <w:r w:rsidR="009E3CD6" w:rsidRPr="00007196">
        <w:t> </w:t>
      </w:r>
      <w:r w:rsidRPr="00007196">
        <w:t xml:space="preserve">násobnými zmenami </w:t>
      </w:r>
      <w:r w:rsidR="00955F6B" w:rsidRPr="00007196">
        <w:t xml:space="preserve">rovnajúcimi sa </w:t>
      </w:r>
      <w:r w:rsidRPr="00007196">
        <w:t>2,9</w:t>
      </w:r>
      <w:r w:rsidR="009E3CD6" w:rsidRPr="00007196">
        <w:t> </w:t>
      </w:r>
      <w:r w:rsidRPr="00007196">
        <w:t>a</w:t>
      </w:r>
      <w:r w:rsidR="009E3CD6" w:rsidRPr="00007196">
        <w:t> </w:t>
      </w:r>
      <w:r w:rsidRPr="00007196">
        <w:t>3,4</w:t>
      </w:r>
      <w:r w:rsidR="009E3CD6" w:rsidRPr="00007196">
        <w:t> </w:t>
      </w:r>
      <w:r w:rsidRPr="00007196">
        <w:t>pri abakavire. Izoláty zo skupiny O</w:t>
      </w:r>
      <w:r w:rsidR="009E3CD6" w:rsidRPr="00007196">
        <w:t> </w:t>
      </w:r>
      <w:r w:rsidRPr="00007196">
        <w:t>od pacientov bez predchádzajúcej antivírusovej terapie testované na účinnosť lamivudínu boli vysoko citlivé.</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Preukázalo sa, že kombinácia abakaviru a</w:t>
      </w:r>
      <w:r w:rsidR="005454D8" w:rsidRPr="00007196">
        <w:t> </w:t>
      </w:r>
      <w:r w:rsidRPr="00007196">
        <w:t>lamivudínu má antivírusový účinok v</w:t>
      </w:r>
      <w:r w:rsidR="005454D8" w:rsidRPr="00007196">
        <w:t> </w:t>
      </w:r>
      <w:r w:rsidRPr="00007196">
        <w:t>bunkovej kultúre proti izolátom iným ako subtypu B a</w:t>
      </w:r>
      <w:r w:rsidR="005454D8" w:rsidRPr="00007196">
        <w:t> </w:t>
      </w:r>
      <w:r w:rsidRPr="00007196">
        <w:t>izolátom HIV-2, ktorý je rovnaký ako antivírusový účinok proti izolátom subtypu B.</w:t>
      </w:r>
    </w:p>
    <w:p w:rsidR="00E56BE0" w:rsidRPr="00007196" w:rsidRDefault="00E56BE0" w:rsidP="002B7B74">
      <w:pPr>
        <w:spacing w:line="240" w:lineRule="auto"/>
        <w:ind w:left="7"/>
      </w:pPr>
    </w:p>
    <w:p w:rsidR="00E56BE0" w:rsidRPr="00007196" w:rsidRDefault="00E56BE0" w:rsidP="009E3CD6">
      <w:pPr>
        <w:pStyle w:val="Nadpis2"/>
        <w:spacing w:after="0" w:line="240" w:lineRule="auto"/>
        <w:ind w:left="2"/>
        <w:rPr>
          <w:u w:val="none"/>
        </w:rPr>
      </w:pPr>
      <w:r w:rsidRPr="00007196">
        <w:t>Rezistencia</w:t>
      </w:r>
    </w:p>
    <w:p w:rsidR="009E3CD6" w:rsidRPr="003533C9" w:rsidRDefault="009E3CD6" w:rsidP="009E3CD6"/>
    <w:p w:rsidR="00E56BE0" w:rsidRPr="00007196" w:rsidRDefault="00E56BE0" w:rsidP="002B7B74">
      <w:pPr>
        <w:pStyle w:val="Nadpis3"/>
        <w:spacing w:line="240" w:lineRule="auto"/>
        <w:ind w:left="2"/>
      </w:pPr>
      <w:r w:rsidRPr="00007196">
        <w:t>Rezistencia in vivo</w:t>
      </w:r>
    </w:p>
    <w:p w:rsidR="00E56BE0" w:rsidRPr="00007196" w:rsidRDefault="00E56BE0" w:rsidP="009E3CD6">
      <w:pPr>
        <w:spacing w:line="240" w:lineRule="auto"/>
        <w:ind w:left="3" w:right="95"/>
      </w:pPr>
      <w:r w:rsidRPr="00007196">
        <w:t xml:space="preserve">Izoláty HIV-1 rezistentné na abakavir boli vyselektované </w:t>
      </w:r>
      <w:r w:rsidRPr="00007196">
        <w:rPr>
          <w:i/>
        </w:rPr>
        <w:t>in-vitro</w:t>
      </w:r>
      <w:r w:rsidRPr="00007196">
        <w:t xml:space="preserve"> z</w:t>
      </w:r>
      <w:r w:rsidR="009E3CD6" w:rsidRPr="00007196">
        <w:t> </w:t>
      </w:r>
      <w:r w:rsidRPr="00007196">
        <w:t>divokého kmeňa HIV-1 (HXB2) a</w:t>
      </w:r>
      <w:r w:rsidR="009E3CD6" w:rsidRPr="00007196">
        <w:t> </w:t>
      </w:r>
      <w:r w:rsidRPr="00007196">
        <w:t>vyznačujú sa špecifickými genotypovými zmenami v</w:t>
      </w:r>
      <w:r w:rsidR="009E3CD6" w:rsidRPr="00007196">
        <w:t> </w:t>
      </w:r>
      <w:r w:rsidRPr="00007196">
        <w:t>oblasti kodónov RT (kodóny M184V, K65R, L74V a Y115). Selekcia mutácie M184V nastala ako prvá a</w:t>
      </w:r>
      <w:r w:rsidR="009E3CD6" w:rsidRPr="00007196">
        <w:t> </w:t>
      </w:r>
      <w:r w:rsidRPr="00007196">
        <w:t>viedla k</w:t>
      </w:r>
      <w:r w:rsidR="009E3CD6" w:rsidRPr="00007196">
        <w:t> </w:t>
      </w:r>
      <w:r w:rsidRPr="00007196">
        <w:t>dvojnásobnému zvýšeniu hodnoty IC</w:t>
      </w:r>
      <w:r w:rsidRPr="00007196">
        <w:rPr>
          <w:vertAlign w:val="subscript"/>
        </w:rPr>
        <w:t>50</w:t>
      </w:r>
      <w:r w:rsidRPr="00007196">
        <w:t>. Kontinuálne pasážovanie vo zvyšujúcich sa koncentráciách liečiva viedlo k</w:t>
      </w:r>
      <w:r w:rsidR="009E3CD6" w:rsidRPr="00007196">
        <w:t> </w:t>
      </w:r>
      <w:r w:rsidRPr="00007196">
        <w:t>selekcii dvojnásobných RT mutantov 65R/184V a</w:t>
      </w:r>
      <w:r w:rsidR="005454D8" w:rsidRPr="00007196">
        <w:t> </w:t>
      </w:r>
      <w:r w:rsidRPr="00007196">
        <w:t>74V/184V alebo trojnásobných RT mutantov 74V/115Y/184V. Dve mutácie vyvolali 7- až 8-násobnú zmenu citlivosti na abakavir a</w:t>
      </w:r>
      <w:r w:rsidR="009E3CD6" w:rsidRPr="00007196">
        <w:t> </w:t>
      </w:r>
      <w:r w:rsidRPr="00007196">
        <w:t>boli potrebné kombinácie troch mutácií na vyvolanie viac než 8-násobnej zmeny citlivosti. Pasážovanie s</w:t>
      </w:r>
      <w:r w:rsidR="009E3CD6" w:rsidRPr="00007196">
        <w:t> </w:t>
      </w:r>
      <w:r w:rsidRPr="00007196">
        <w:t>klinickým izolátom RTMC rezistentným na zidovudín taktiež viedlo k</w:t>
      </w:r>
      <w:r w:rsidR="009E3CD6" w:rsidRPr="00007196">
        <w:t> selekcii mutácie 184V.</w:t>
      </w:r>
    </w:p>
    <w:p w:rsidR="00E56BE0" w:rsidRPr="00007196" w:rsidRDefault="00E56BE0" w:rsidP="002B7B74">
      <w:pPr>
        <w:spacing w:line="240" w:lineRule="auto"/>
        <w:ind w:left="8"/>
      </w:pPr>
    </w:p>
    <w:p w:rsidR="00E56BE0" w:rsidRPr="00007196" w:rsidRDefault="00E56BE0" w:rsidP="002B7B74">
      <w:pPr>
        <w:spacing w:line="240" w:lineRule="auto"/>
        <w:ind w:left="3" w:right="14"/>
      </w:pPr>
      <w:r w:rsidRPr="00007196">
        <w:t xml:space="preserve">HIV-1 rezistencia na lamivudín zahŕňa vývoj M184I alebo, častejšie, zmenu aminokyseliny M184V blízko aktívneho miesta vírusovej RT. Pasážovanie HIV-1 (HXB2) za prítomnosti zvyšujúcich sa koncentrácií 3TC </w:t>
      </w:r>
      <w:r w:rsidR="00D21C96" w:rsidRPr="00007196">
        <w:t xml:space="preserve">(lamivudínu) </w:t>
      </w:r>
      <w:r w:rsidRPr="00007196">
        <w:t>má za následok vírusy s</w:t>
      </w:r>
      <w:r w:rsidR="00E118E9" w:rsidRPr="00007196">
        <w:t> </w:t>
      </w:r>
      <w:r w:rsidRPr="00007196">
        <w:t>vysok</w:t>
      </w:r>
      <w:r w:rsidR="00E118E9" w:rsidRPr="00007196">
        <w:t>ý stupeň</w:t>
      </w:r>
      <w:r w:rsidRPr="00007196">
        <w:t xml:space="preserve"> (&gt; 100- až &gt; 500-násobnou) rezistenciou na lamivudín a</w:t>
      </w:r>
      <w:r w:rsidR="009E3CD6" w:rsidRPr="00007196">
        <w:t> </w:t>
      </w:r>
      <w:r w:rsidRPr="00007196">
        <w:t>dochádza k</w:t>
      </w:r>
      <w:r w:rsidR="009E3CD6" w:rsidRPr="00007196">
        <w:t> rýchlemu</w:t>
      </w:r>
      <w:r w:rsidRPr="00007196">
        <w:t xml:space="preserve"> vyselektovaniu mutácie RT M184I alebo V. Hodnota IC</w:t>
      </w:r>
      <w:r w:rsidRPr="00007196">
        <w:rPr>
          <w:vertAlign w:val="subscript"/>
        </w:rPr>
        <w:t>50</w:t>
      </w:r>
      <w:r w:rsidRPr="00007196">
        <w:t xml:space="preserve"> pre divoký kmeň HXB2 je 0,24 až 0,6 </w:t>
      </w:r>
      <w:r w:rsidRPr="00007196">
        <w:rPr>
          <w:rFonts w:eastAsia="Segoe UI Symbol"/>
        </w:rPr>
        <w:t>µ</w:t>
      </w:r>
      <w:r w:rsidR="00DE3566" w:rsidRPr="00007196">
        <w:t>mol/l</w:t>
      </w:r>
      <w:r w:rsidRPr="00007196">
        <w:t>, kým hodnota IC</w:t>
      </w:r>
      <w:r w:rsidRPr="00007196">
        <w:rPr>
          <w:vertAlign w:val="subscript"/>
        </w:rPr>
        <w:t>50</w:t>
      </w:r>
      <w:r w:rsidRPr="00007196">
        <w:t xml:space="preserve"> pre HXB2 obsahujúci M184V je &gt;</w:t>
      </w:r>
      <w:r w:rsidR="009E3CD6" w:rsidRPr="00007196">
        <w:t> </w:t>
      </w:r>
      <w:r w:rsidRPr="00007196">
        <w:t>100 až 500</w:t>
      </w:r>
      <w:r w:rsidR="009E3CD6" w:rsidRPr="00007196">
        <w:t> </w:t>
      </w:r>
      <w:r w:rsidRPr="00007196">
        <w:rPr>
          <w:rFonts w:eastAsia="Segoe UI Symbol"/>
        </w:rPr>
        <w:t>µ</w:t>
      </w:r>
      <w:r w:rsidR="00DE3566" w:rsidRPr="00007196">
        <w:t>mol/l</w:t>
      </w:r>
      <w:r w:rsidR="009E3CD6" w:rsidRPr="00007196">
        <w:t>.</w:t>
      </w:r>
    </w:p>
    <w:p w:rsidR="00E56BE0" w:rsidRPr="00007196" w:rsidRDefault="00E56BE0" w:rsidP="002B7B74">
      <w:pPr>
        <w:spacing w:line="240" w:lineRule="auto"/>
        <w:ind w:left="7"/>
      </w:pPr>
    </w:p>
    <w:p w:rsidR="00E56BE0" w:rsidRPr="00007196" w:rsidRDefault="00E56BE0" w:rsidP="002B7B74">
      <w:pPr>
        <w:pStyle w:val="Nadpis2"/>
        <w:spacing w:after="0" w:line="240" w:lineRule="auto"/>
        <w:ind w:left="2"/>
      </w:pPr>
      <w:r w:rsidRPr="00007196">
        <w:t>Antivírusová liečba podľa genotypovej/fenotypovej rezistencie</w:t>
      </w:r>
    </w:p>
    <w:p w:rsidR="00E56BE0" w:rsidRPr="00007196" w:rsidRDefault="00E56BE0" w:rsidP="002B7B74">
      <w:pPr>
        <w:spacing w:line="240" w:lineRule="auto"/>
        <w:ind w:left="7"/>
      </w:pPr>
    </w:p>
    <w:p w:rsidR="00E56BE0" w:rsidRPr="00007196" w:rsidRDefault="00E56BE0" w:rsidP="002B7B74">
      <w:pPr>
        <w:pStyle w:val="Nadpis3"/>
        <w:spacing w:line="240" w:lineRule="auto"/>
        <w:ind w:left="2"/>
        <w:rPr>
          <w:i w:val="0"/>
        </w:rPr>
      </w:pPr>
      <w:r w:rsidRPr="00007196">
        <w:t>Rezistencia in vivo (pacienti bez predchádzajúcej terapie)</w:t>
      </w:r>
    </w:p>
    <w:p w:rsidR="00E56BE0" w:rsidRPr="00007196" w:rsidRDefault="00E56BE0" w:rsidP="002B7B74">
      <w:pPr>
        <w:spacing w:line="240" w:lineRule="auto"/>
        <w:ind w:left="3" w:right="14"/>
      </w:pPr>
      <w:r w:rsidRPr="00007196">
        <w:t>Varianty M184V alebo M184I vznikajú u</w:t>
      </w:r>
      <w:r w:rsidR="009E3CD6" w:rsidRPr="00007196">
        <w:t> </w:t>
      </w:r>
      <w:r w:rsidRPr="00007196">
        <w:t>pacientov infikovaných vírusom HIV-1 liečených antiretrovírusovou liečbou obsahujúcou lamivudín.</w:t>
      </w:r>
    </w:p>
    <w:p w:rsidR="00E56BE0" w:rsidRPr="00007196" w:rsidRDefault="00E56BE0" w:rsidP="002B7B74">
      <w:pPr>
        <w:spacing w:line="240" w:lineRule="auto"/>
        <w:ind w:left="7"/>
      </w:pPr>
    </w:p>
    <w:p w:rsidR="00E56BE0" w:rsidRPr="00007196" w:rsidRDefault="00E56BE0" w:rsidP="002B7B74">
      <w:pPr>
        <w:spacing w:line="240" w:lineRule="auto"/>
        <w:ind w:left="3" w:right="90"/>
      </w:pPr>
      <w:r w:rsidRPr="00007196">
        <w:t>Izoláty od väčšiny pacientov, u</w:t>
      </w:r>
      <w:r w:rsidR="008F4304" w:rsidRPr="00007196">
        <w:t> </w:t>
      </w:r>
      <w:r w:rsidRPr="00007196">
        <w:t>ktorých došlo k</w:t>
      </w:r>
      <w:r w:rsidR="008F4304" w:rsidRPr="00007196">
        <w:t> </w:t>
      </w:r>
      <w:r w:rsidRPr="00007196">
        <w:t>virologickému zlyhaniu pri režime obsahujúcom abakavir v</w:t>
      </w:r>
      <w:r w:rsidR="008F4304" w:rsidRPr="00007196">
        <w:t> </w:t>
      </w:r>
      <w:r w:rsidRPr="00007196">
        <w:t>pivotných klinických štúdiách, nevykazovali žiadne zmeny spojené s</w:t>
      </w:r>
      <w:r w:rsidR="008F4304" w:rsidRPr="00007196">
        <w:t> </w:t>
      </w:r>
      <w:r w:rsidRPr="00007196">
        <w:t xml:space="preserve">NRTI </w:t>
      </w:r>
      <w:r w:rsidR="0028386C" w:rsidRPr="00007196">
        <w:t>v porovnaní s</w:t>
      </w:r>
      <w:r w:rsidR="00B423BE">
        <w:t> </w:t>
      </w:r>
      <w:r w:rsidRPr="00007196">
        <w:t>východiskov</w:t>
      </w:r>
      <w:r w:rsidR="0028386C" w:rsidRPr="00007196">
        <w:t>ým</w:t>
      </w:r>
      <w:r w:rsidRPr="00007196">
        <w:t xml:space="preserve"> stav</w:t>
      </w:r>
      <w:r w:rsidR="0028386C" w:rsidRPr="00007196">
        <w:t>om</w:t>
      </w:r>
      <w:r w:rsidRPr="00007196">
        <w:t xml:space="preserve"> (45</w:t>
      </w:r>
      <w:r w:rsidR="008F4304" w:rsidRPr="00007196">
        <w:t> </w:t>
      </w:r>
      <w:r w:rsidRPr="00007196">
        <w:t>%), alebo vykazovali len selekciu M184V alebo M184I (45</w:t>
      </w:r>
      <w:r w:rsidR="005454D8" w:rsidRPr="00007196">
        <w:t> </w:t>
      </w:r>
      <w:r w:rsidRPr="00007196">
        <w:t>%). Celková frekvencia selekcie pre M184V alebo M184I bola vysoká (54</w:t>
      </w:r>
      <w:r w:rsidR="008F4304" w:rsidRPr="00007196">
        <w:t> </w:t>
      </w:r>
      <w:r w:rsidRPr="00007196">
        <w:t>%) a</w:t>
      </w:r>
      <w:r w:rsidR="008F4304" w:rsidRPr="00007196">
        <w:t> </w:t>
      </w:r>
      <w:r w:rsidRPr="00007196">
        <w:t>menej častá bola selekcia L74V (5</w:t>
      </w:r>
      <w:r w:rsidR="008F4304" w:rsidRPr="00007196">
        <w:t> </w:t>
      </w:r>
      <w:r w:rsidRPr="00007196">
        <w:t>%), K65R (1</w:t>
      </w:r>
      <w:r w:rsidR="008F4304" w:rsidRPr="00007196">
        <w:t> </w:t>
      </w:r>
      <w:r w:rsidRPr="00007196">
        <w:t>%) a Y115F (1</w:t>
      </w:r>
      <w:r w:rsidR="008F4304" w:rsidRPr="00007196">
        <w:t> </w:t>
      </w:r>
      <w:r w:rsidRPr="00007196">
        <w:t>%) (pozri nižšie uvedenú tabuľku). Zistilo sa, že zahrnutie zidovudínu do režimu znižuje frekvenciu selekcie L74V a</w:t>
      </w:r>
      <w:r w:rsidR="008F4304" w:rsidRPr="00007196">
        <w:t> </w:t>
      </w:r>
      <w:r w:rsidRPr="00007196">
        <w:t>K65R za prítomnosti abakaviru (so</w:t>
      </w:r>
      <w:r w:rsidR="00B423BE">
        <w:t> </w:t>
      </w:r>
      <w:r w:rsidRPr="00007196">
        <w:t>zidovudínom: 0/40, bez zidovudínu: 15/192, 8</w:t>
      </w:r>
      <w:r w:rsidR="008F4304" w:rsidRPr="00007196">
        <w:t> %).</w:t>
      </w:r>
    </w:p>
    <w:p w:rsidR="00E56BE0" w:rsidRPr="00007196" w:rsidRDefault="00E56BE0" w:rsidP="002B7B74">
      <w:pPr>
        <w:spacing w:line="240" w:lineRule="auto"/>
        <w:ind w:left="7"/>
      </w:pPr>
    </w:p>
    <w:tbl>
      <w:tblPr>
        <w:tblStyle w:val="TableGrid"/>
        <w:tblW w:w="8167" w:type="dxa"/>
        <w:tblInd w:w="-101" w:type="dxa"/>
        <w:tblCellMar>
          <w:left w:w="130" w:type="dxa"/>
          <w:right w:w="74" w:type="dxa"/>
        </w:tblCellMar>
        <w:tblLook w:val="04A0"/>
      </w:tblPr>
      <w:tblGrid>
        <w:gridCol w:w="1622"/>
        <w:gridCol w:w="1637"/>
        <w:gridCol w:w="1637"/>
        <w:gridCol w:w="1637"/>
        <w:gridCol w:w="1634"/>
      </w:tblGrid>
      <w:tr w:rsidR="00E56BE0" w:rsidRPr="00007196" w:rsidTr="00E56BE0">
        <w:trPr>
          <w:trHeight w:val="1020"/>
        </w:trPr>
        <w:tc>
          <w:tcPr>
            <w:tcW w:w="1622"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8F4304">
            <w:pPr>
              <w:spacing w:line="240" w:lineRule="auto"/>
              <w:ind w:right="56"/>
              <w:rPr>
                <w:rFonts w:ascii="Times New Roman" w:hAnsi="Times New Roman" w:cs="Times New Roman"/>
              </w:rPr>
            </w:pPr>
            <w:r w:rsidRPr="009C7651">
              <w:rPr>
                <w:rFonts w:ascii="Times New Roman" w:hAnsi="Times New Roman" w:cs="Times New Roman"/>
                <w:b/>
              </w:rPr>
              <w:t>Liečba</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8F4304">
            <w:pPr>
              <w:spacing w:line="240" w:lineRule="auto"/>
              <w:rPr>
                <w:rFonts w:ascii="Times New Roman" w:hAnsi="Times New Roman" w:cs="Times New Roman"/>
              </w:rPr>
            </w:pPr>
            <w:r w:rsidRPr="009C7651">
              <w:rPr>
                <w:rFonts w:ascii="Times New Roman" w:hAnsi="Times New Roman" w:cs="Times New Roman"/>
                <w:b/>
              </w:rPr>
              <w:t xml:space="preserve">Abakavir + </w:t>
            </w:r>
            <w:r w:rsidR="008F4304" w:rsidRPr="009C7651">
              <w:rPr>
                <w:rFonts w:ascii="Times New Roman" w:hAnsi="Times New Roman" w:cs="Times New Roman"/>
                <w:b/>
              </w:rPr>
              <w:t>(lamivudín + zidovudín)</w:t>
            </w:r>
            <w:r w:rsidRPr="009C7651">
              <w:rPr>
                <w:rFonts w:ascii="Times New Roman" w:hAnsi="Times New Roman" w:cs="Times New Roman"/>
                <w:b/>
                <w:vertAlign w:val="superscript"/>
              </w:rPr>
              <w:t>1</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 xml:space="preserve">Abakavir + lamivudín + </w:t>
            </w:r>
          </w:p>
          <w:p w:rsidR="00E56BE0" w:rsidRPr="009C7651" w:rsidRDefault="00E56BE0" w:rsidP="008F4304">
            <w:pPr>
              <w:spacing w:line="240" w:lineRule="auto"/>
              <w:ind w:right="63"/>
              <w:rPr>
                <w:rFonts w:ascii="Times New Roman" w:hAnsi="Times New Roman" w:cs="Times New Roman"/>
              </w:rPr>
            </w:pPr>
            <w:r w:rsidRPr="009C7651">
              <w:rPr>
                <w:rFonts w:ascii="Times New Roman" w:hAnsi="Times New Roman" w:cs="Times New Roman"/>
                <w:b/>
              </w:rPr>
              <w:t>NNRTI</w:t>
            </w:r>
          </w:p>
        </w:tc>
        <w:tc>
          <w:tcPr>
            <w:tcW w:w="1637"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rPr>
                <w:rFonts w:ascii="Times New Roman" w:hAnsi="Times New Roman" w:cs="Times New Roman"/>
              </w:rPr>
            </w:pPr>
            <w:r w:rsidRPr="009C7651">
              <w:rPr>
                <w:rFonts w:ascii="Times New Roman" w:hAnsi="Times New Roman" w:cs="Times New Roman"/>
                <w:b/>
              </w:rPr>
              <w:t>Abakavir + lamivudíne +</w:t>
            </w:r>
          </w:p>
          <w:p w:rsidR="00E56BE0" w:rsidRPr="009C7651" w:rsidRDefault="00E56BE0" w:rsidP="002B7B74">
            <w:pPr>
              <w:spacing w:line="240" w:lineRule="auto"/>
              <w:ind w:right="62"/>
              <w:rPr>
                <w:rFonts w:ascii="Times New Roman" w:hAnsi="Times New Roman" w:cs="Times New Roman"/>
              </w:rPr>
            </w:pPr>
            <w:r w:rsidRPr="009C7651">
              <w:rPr>
                <w:rFonts w:ascii="Times New Roman" w:hAnsi="Times New Roman" w:cs="Times New Roman"/>
                <w:b/>
              </w:rPr>
              <w:t>PI (alebo</w:t>
            </w:r>
          </w:p>
          <w:p w:rsidR="00E56BE0" w:rsidRPr="009C7651" w:rsidRDefault="00E56BE0" w:rsidP="008F4304">
            <w:pPr>
              <w:spacing w:line="240" w:lineRule="auto"/>
              <w:ind w:right="61"/>
              <w:rPr>
                <w:rFonts w:ascii="Times New Roman" w:hAnsi="Times New Roman" w:cs="Times New Roman"/>
              </w:rPr>
            </w:pPr>
            <w:r w:rsidRPr="009C7651">
              <w:rPr>
                <w:rFonts w:ascii="Times New Roman" w:hAnsi="Times New Roman" w:cs="Times New Roman"/>
                <w:b/>
              </w:rPr>
              <w:t>PI/ritonavir)</w:t>
            </w:r>
          </w:p>
        </w:tc>
        <w:tc>
          <w:tcPr>
            <w:tcW w:w="1634"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8F4304">
            <w:pPr>
              <w:spacing w:line="240" w:lineRule="auto"/>
              <w:ind w:right="58"/>
              <w:rPr>
                <w:rFonts w:ascii="Times New Roman" w:hAnsi="Times New Roman" w:cs="Times New Roman"/>
              </w:rPr>
            </w:pPr>
            <w:r w:rsidRPr="009C7651">
              <w:rPr>
                <w:rFonts w:ascii="Times New Roman" w:hAnsi="Times New Roman" w:cs="Times New Roman"/>
                <w:b/>
              </w:rPr>
              <w:t>Celkovo</w:t>
            </w:r>
          </w:p>
        </w:tc>
      </w:tr>
      <w:tr w:rsidR="00E56BE0" w:rsidRPr="00007196" w:rsidTr="00E56BE0">
        <w:trPr>
          <w:trHeight w:val="266"/>
        </w:trPr>
        <w:tc>
          <w:tcPr>
            <w:tcW w:w="1622" w:type="dxa"/>
            <w:tcBorders>
              <w:top w:val="single" w:sz="4" w:space="0" w:color="000000"/>
              <w:left w:val="single" w:sz="4" w:space="0" w:color="000000"/>
              <w:bottom w:val="single" w:sz="4" w:space="0" w:color="000000"/>
              <w:right w:val="single" w:sz="4" w:space="0" w:color="000000"/>
            </w:tcBorders>
          </w:tcPr>
          <w:p w:rsidR="00E56BE0" w:rsidRPr="009C7651" w:rsidRDefault="00E56BE0" w:rsidP="008F4304">
            <w:pPr>
              <w:spacing w:line="240" w:lineRule="auto"/>
              <w:rPr>
                <w:rFonts w:ascii="Times New Roman" w:hAnsi="Times New Roman" w:cs="Times New Roman"/>
              </w:rPr>
            </w:pPr>
            <w:r w:rsidRPr="009C7651">
              <w:rPr>
                <w:rFonts w:ascii="Times New Roman" w:hAnsi="Times New Roman" w:cs="Times New Roman"/>
                <w:b/>
              </w:rPr>
              <w:t>Počet jedincov</w:t>
            </w:r>
          </w:p>
        </w:tc>
        <w:tc>
          <w:tcPr>
            <w:tcW w:w="1637" w:type="dxa"/>
            <w:tcBorders>
              <w:top w:val="single" w:sz="4" w:space="0" w:color="000000"/>
              <w:left w:val="single" w:sz="4" w:space="0" w:color="000000"/>
              <w:bottom w:val="single" w:sz="4" w:space="0" w:color="000000"/>
              <w:right w:val="single" w:sz="4" w:space="0" w:color="000000"/>
            </w:tcBorders>
          </w:tcPr>
          <w:p w:rsidR="00E56BE0" w:rsidRPr="009C7651" w:rsidRDefault="00E56BE0" w:rsidP="008F4304">
            <w:pPr>
              <w:spacing w:line="240" w:lineRule="auto"/>
              <w:ind w:right="60"/>
              <w:rPr>
                <w:rFonts w:ascii="Times New Roman" w:hAnsi="Times New Roman" w:cs="Times New Roman"/>
              </w:rPr>
            </w:pPr>
            <w:r w:rsidRPr="009C7651">
              <w:rPr>
                <w:rFonts w:ascii="Times New Roman" w:hAnsi="Times New Roman" w:cs="Times New Roman"/>
              </w:rPr>
              <w:t>282</w:t>
            </w:r>
          </w:p>
        </w:tc>
        <w:tc>
          <w:tcPr>
            <w:tcW w:w="1637" w:type="dxa"/>
            <w:tcBorders>
              <w:top w:val="single" w:sz="4" w:space="0" w:color="000000"/>
              <w:left w:val="single" w:sz="4" w:space="0" w:color="000000"/>
              <w:bottom w:val="single" w:sz="4" w:space="0" w:color="000000"/>
              <w:right w:val="single" w:sz="4" w:space="0" w:color="000000"/>
            </w:tcBorders>
          </w:tcPr>
          <w:p w:rsidR="00E56BE0" w:rsidRPr="009C7651" w:rsidRDefault="00E56BE0" w:rsidP="008F4304">
            <w:pPr>
              <w:spacing w:line="240" w:lineRule="auto"/>
              <w:ind w:right="60"/>
              <w:rPr>
                <w:rFonts w:ascii="Times New Roman" w:hAnsi="Times New Roman" w:cs="Times New Roman"/>
              </w:rPr>
            </w:pPr>
            <w:r w:rsidRPr="009C7651">
              <w:rPr>
                <w:rFonts w:ascii="Times New Roman" w:hAnsi="Times New Roman" w:cs="Times New Roman"/>
              </w:rPr>
              <w:t>1</w:t>
            </w:r>
            <w:r w:rsidR="00B423BE">
              <w:rPr>
                <w:rFonts w:ascii="Times New Roman" w:hAnsi="Times New Roman" w:cs="Times New Roman"/>
              </w:rPr>
              <w:t> </w:t>
            </w:r>
            <w:r w:rsidRPr="009C7651">
              <w:rPr>
                <w:rFonts w:ascii="Times New Roman" w:hAnsi="Times New Roman" w:cs="Times New Roman"/>
              </w:rPr>
              <w:t>094</w:t>
            </w:r>
          </w:p>
        </w:tc>
        <w:tc>
          <w:tcPr>
            <w:tcW w:w="1637" w:type="dxa"/>
            <w:tcBorders>
              <w:top w:val="single" w:sz="4" w:space="0" w:color="000000"/>
              <w:left w:val="single" w:sz="4" w:space="0" w:color="000000"/>
              <w:bottom w:val="single" w:sz="4" w:space="0" w:color="000000"/>
              <w:right w:val="single" w:sz="4" w:space="0" w:color="000000"/>
            </w:tcBorders>
          </w:tcPr>
          <w:p w:rsidR="00E56BE0" w:rsidRPr="009C7651" w:rsidRDefault="00E56BE0" w:rsidP="008F4304">
            <w:pPr>
              <w:spacing w:line="240" w:lineRule="auto"/>
              <w:ind w:right="60"/>
              <w:rPr>
                <w:rFonts w:ascii="Times New Roman" w:hAnsi="Times New Roman" w:cs="Times New Roman"/>
              </w:rPr>
            </w:pPr>
            <w:r w:rsidRPr="009C7651">
              <w:rPr>
                <w:rFonts w:ascii="Times New Roman" w:hAnsi="Times New Roman" w:cs="Times New Roman"/>
              </w:rPr>
              <w:t>909</w:t>
            </w:r>
          </w:p>
        </w:tc>
        <w:tc>
          <w:tcPr>
            <w:tcW w:w="1634" w:type="dxa"/>
            <w:tcBorders>
              <w:top w:val="single" w:sz="4" w:space="0" w:color="000000"/>
              <w:left w:val="single" w:sz="4" w:space="0" w:color="000000"/>
              <w:bottom w:val="single" w:sz="4" w:space="0" w:color="000000"/>
              <w:right w:val="single" w:sz="4" w:space="0" w:color="000000"/>
            </w:tcBorders>
          </w:tcPr>
          <w:p w:rsidR="00E56BE0" w:rsidRPr="009C7651" w:rsidRDefault="00E56BE0" w:rsidP="008F4304">
            <w:pPr>
              <w:spacing w:line="240" w:lineRule="auto"/>
              <w:ind w:right="58"/>
              <w:rPr>
                <w:rFonts w:ascii="Times New Roman" w:hAnsi="Times New Roman" w:cs="Times New Roman"/>
              </w:rPr>
            </w:pPr>
            <w:r w:rsidRPr="009C7651">
              <w:rPr>
                <w:rFonts w:ascii="Times New Roman" w:hAnsi="Times New Roman" w:cs="Times New Roman"/>
              </w:rPr>
              <w:t>2</w:t>
            </w:r>
            <w:r w:rsidR="00B423BE">
              <w:rPr>
                <w:rFonts w:ascii="Times New Roman" w:hAnsi="Times New Roman" w:cs="Times New Roman"/>
              </w:rPr>
              <w:t> </w:t>
            </w:r>
            <w:r w:rsidRPr="009C7651">
              <w:rPr>
                <w:rFonts w:ascii="Times New Roman" w:hAnsi="Times New Roman" w:cs="Times New Roman"/>
              </w:rPr>
              <w:t>285</w:t>
            </w:r>
          </w:p>
        </w:tc>
      </w:tr>
      <w:tr w:rsidR="00E56BE0" w:rsidRPr="00007196" w:rsidTr="00E56BE0">
        <w:trPr>
          <w:trHeight w:val="768"/>
        </w:trPr>
        <w:tc>
          <w:tcPr>
            <w:tcW w:w="1622" w:type="dxa"/>
            <w:tcBorders>
              <w:top w:val="single" w:sz="4" w:space="0" w:color="000000"/>
              <w:left w:val="single" w:sz="4" w:space="0" w:color="000000"/>
              <w:bottom w:val="single" w:sz="4" w:space="0" w:color="000000"/>
              <w:right w:val="single" w:sz="4" w:space="0" w:color="000000"/>
            </w:tcBorders>
          </w:tcPr>
          <w:p w:rsidR="00E56BE0" w:rsidRPr="009C7651" w:rsidRDefault="00E56BE0" w:rsidP="002B7B74">
            <w:pPr>
              <w:spacing w:line="240" w:lineRule="auto"/>
              <w:ind w:right="58"/>
              <w:rPr>
                <w:rFonts w:ascii="Times New Roman" w:hAnsi="Times New Roman" w:cs="Times New Roman"/>
              </w:rPr>
            </w:pPr>
            <w:r w:rsidRPr="009C7651">
              <w:rPr>
                <w:rFonts w:ascii="Times New Roman" w:hAnsi="Times New Roman" w:cs="Times New Roman"/>
                <w:b/>
              </w:rPr>
              <w:t>Počet</w:t>
            </w:r>
          </w:p>
          <w:p w:rsidR="00E56BE0" w:rsidRPr="009C7651" w:rsidRDefault="00E56BE0" w:rsidP="008F4304">
            <w:pPr>
              <w:spacing w:line="240" w:lineRule="auto"/>
              <w:rPr>
                <w:rFonts w:ascii="Times New Roman" w:hAnsi="Times New Roman" w:cs="Times New Roman"/>
              </w:rPr>
            </w:pPr>
            <w:r w:rsidRPr="009C7651">
              <w:rPr>
                <w:rFonts w:ascii="Times New Roman" w:hAnsi="Times New Roman" w:cs="Times New Roman"/>
                <w:b/>
              </w:rPr>
              <w:t>virologických zlyhaní</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8F4304">
            <w:pPr>
              <w:spacing w:line="240" w:lineRule="auto"/>
              <w:ind w:right="60"/>
              <w:rPr>
                <w:rFonts w:ascii="Times New Roman" w:hAnsi="Times New Roman" w:cs="Times New Roman"/>
              </w:rPr>
            </w:pPr>
            <w:r w:rsidRPr="009C7651">
              <w:rPr>
                <w:rFonts w:ascii="Times New Roman" w:hAnsi="Times New Roman" w:cs="Times New Roman"/>
              </w:rPr>
              <w:t>43</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8F4304">
            <w:pPr>
              <w:spacing w:line="240" w:lineRule="auto"/>
              <w:ind w:right="60"/>
              <w:rPr>
                <w:rFonts w:ascii="Times New Roman" w:hAnsi="Times New Roman" w:cs="Times New Roman"/>
              </w:rPr>
            </w:pPr>
            <w:r w:rsidRPr="009C7651">
              <w:rPr>
                <w:rFonts w:ascii="Times New Roman" w:hAnsi="Times New Roman" w:cs="Times New Roman"/>
              </w:rPr>
              <w:t>90</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8F4304">
            <w:pPr>
              <w:spacing w:line="240" w:lineRule="auto"/>
              <w:ind w:right="60"/>
              <w:rPr>
                <w:rFonts w:ascii="Times New Roman" w:hAnsi="Times New Roman" w:cs="Times New Roman"/>
              </w:rPr>
            </w:pPr>
            <w:r w:rsidRPr="009C7651">
              <w:rPr>
                <w:rFonts w:ascii="Times New Roman" w:hAnsi="Times New Roman" w:cs="Times New Roman"/>
              </w:rPr>
              <w:t>158</w:t>
            </w:r>
          </w:p>
        </w:tc>
        <w:tc>
          <w:tcPr>
            <w:tcW w:w="1634" w:type="dxa"/>
            <w:tcBorders>
              <w:top w:val="single" w:sz="4" w:space="0" w:color="000000"/>
              <w:left w:val="single" w:sz="4" w:space="0" w:color="000000"/>
              <w:bottom w:val="single" w:sz="4" w:space="0" w:color="000000"/>
              <w:right w:val="single" w:sz="4" w:space="0" w:color="000000"/>
            </w:tcBorders>
            <w:vAlign w:val="center"/>
          </w:tcPr>
          <w:p w:rsidR="00E56BE0" w:rsidRPr="009C7651" w:rsidRDefault="00E56BE0" w:rsidP="008F4304">
            <w:pPr>
              <w:spacing w:line="240" w:lineRule="auto"/>
              <w:ind w:right="63"/>
              <w:rPr>
                <w:rFonts w:ascii="Times New Roman" w:hAnsi="Times New Roman" w:cs="Times New Roman"/>
              </w:rPr>
            </w:pPr>
            <w:r w:rsidRPr="009C7651">
              <w:rPr>
                <w:rFonts w:ascii="Times New Roman" w:hAnsi="Times New Roman" w:cs="Times New Roman"/>
              </w:rPr>
              <w:t>306</w:t>
            </w:r>
          </w:p>
        </w:tc>
      </w:tr>
      <w:tr w:rsidR="00E56BE0" w:rsidRPr="00007196" w:rsidTr="00E56BE0">
        <w:trPr>
          <w:trHeight w:val="770"/>
        </w:trPr>
        <w:tc>
          <w:tcPr>
            <w:tcW w:w="1622" w:type="dxa"/>
            <w:tcBorders>
              <w:top w:val="single" w:sz="4" w:space="0" w:color="000000"/>
              <w:left w:val="single" w:sz="4" w:space="0" w:color="000000"/>
              <w:bottom w:val="single" w:sz="4" w:space="0" w:color="000000"/>
              <w:right w:val="single" w:sz="4" w:space="0" w:color="000000"/>
            </w:tcBorders>
          </w:tcPr>
          <w:p w:rsidR="00E56BE0" w:rsidRPr="00750AED" w:rsidRDefault="00E56BE0" w:rsidP="002B7B74">
            <w:pPr>
              <w:spacing w:line="240" w:lineRule="auto"/>
              <w:ind w:right="58"/>
              <w:rPr>
                <w:rFonts w:ascii="Times New Roman" w:hAnsi="Times New Roman" w:cs="Times New Roman"/>
              </w:rPr>
            </w:pPr>
            <w:r w:rsidRPr="00750AED">
              <w:rPr>
                <w:rFonts w:ascii="Times New Roman" w:hAnsi="Times New Roman" w:cs="Times New Roman"/>
                <w:b/>
              </w:rPr>
              <w:t>Počet</w:t>
            </w:r>
          </w:p>
          <w:p w:rsidR="00E56BE0" w:rsidRPr="00750AED" w:rsidRDefault="00E56BE0" w:rsidP="008F4304">
            <w:pPr>
              <w:spacing w:line="240" w:lineRule="auto"/>
              <w:rPr>
                <w:rFonts w:ascii="Times New Roman" w:hAnsi="Times New Roman" w:cs="Times New Roman"/>
              </w:rPr>
            </w:pPr>
            <w:r w:rsidRPr="00750AED">
              <w:rPr>
                <w:rFonts w:ascii="Times New Roman" w:hAnsi="Times New Roman" w:cs="Times New Roman"/>
                <w:b/>
              </w:rPr>
              <w:t>genotypov počas liečby</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750AED" w:rsidRDefault="00E56BE0" w:rsidP="005454D8">
            <w:pPr>
              <w:spacing w:line="240" w:lineRule="auto"/>
              <w:ind w:right="59"/>
              <w:rPr>
                <w:rFonts w:ascii="Times New Roman" w:hAnsi="Times New Roman" w:cs="Times New Roman"/>
              </w:rPr>
            </w:pPr>
            <w:r w:rsidRPr="00750AED">
              <w:rPr>
                <w:rFonts w:ascii="Times New Roman" w:hAnsi="Times New Roman" w:cs="Times New Roman"/>
              </w:rPr>
              <w:t>40 (100</w:t>
            </w:r>
            <w:r w:rsidR="008F4304" w:rsidRPr="00750AED">
              <w:rPr>
                <w:rFonts w:ascii="Times New Roman" w:hAnsi="Times New Roman" w:cs="Times New Roman"/>
              </w:rPr>
              <w:t> </w:t>
            </w:r>
            <w:r w:rsidRPr="00750AED">
              <w:rPr>
                <w:rFonts w:ascii="Times New Roman" w:hAnsi="Times New Roman" w:cs="Times New Roman"/>
              </w:rPr>
              <w:t>%)</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750AED" w:rsidRDefault="00E56BE0" w:rsidP="008F4304">
            <w:pPr>
              <w:spacing w:line="240" w:lineRule="auto"/>
              <w:ind w:right="60"/>
              <w:rPr>
                <w:rFonts w:ascii="Times New Roman" w:hAnsi="Times New Roman" w:cs="Times New Roman"/>
              </w:rPr>
            </w:pPr>
            <w:r w:rsidRPr="00750AED">
              <w:rPr>
                <w:rFonts w:ascii="Times New Roman" w:hAnsi="Times New Roman" w:cs="Times New Roman"/>
              </w:rPr>
              <w:t>51 (100</w:t>
            </w:r>
            <w:r w:rsidR="008F4304" w:rsidRPr="00750AED">
              <w:rPr>
                <w:rFonts w:ascii="Times New Roman" w:hAnsi="Times New Roman" w:cs="Times New Roman"/>
              </w:rPr>
              <w:t> </w:t>
            </w:r>
            <w:r w:rsidRPr="00750AED">
              <w:rPr>
                <w:rFonts w:ascii="Times New Roman" w:hAnsi="Times New Roman" w:cs="Times New Roman"/>
              </w:rPr>
              <w:t>%)</w:t>
            </w:r>
            <w:r w:rsidRPr="00750AED">
              <w:rPr>
                <w:rFonts w:ascii="Times New Roman" w:hAnsi="Times New Roman" w:cs="Times New Roman"/>
                <w:vertAlign w:val="superscript"/>
              </w:rPr>
              <w:t>2</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750AED" w:rsidRDefault="00E56BE0" w:rsidP="008F4304">
            <w:pPr>
              <w:spacing w:line="240" w:lineRule="auto"/>
              <w:ind w:right="58"/>
              <w:rPr>
                <w:rFonts w:ascii="Times New Roman" w:hAnsi="Times New Roman" w:cs="Times New Roman"/>
              </w:rPr>
            </w:pPr>
            <w:r w:rsidRPr="00750AED">
              <w:rPr>
                <w:rFonts w:ascii="Times New Roman" w:hAnsi="Times New Roman" w:cs="Times New Roman"/>
              </w:rPr>
              <w:t>141 (100</w:t>
            </w:r>
            <w:r w:rsidR="008F4304" w:rsidRPr="00750AED">
              <w:rPr>
                <w:rFonts w:ascii="Times New Roman" w:hAnsi="Times New Roman" w:cs="Times New Roman"/>
              </w:rPr>
              <w:t> </w:t>
            </w:r>
            <w:r w:rsidRPr="00750AED">
              <w:rPr>
                <w:rFonts w:ascii="Times New Roman" w:hAnsi="Times New Roman" w:cs="Times New Roma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E56BE0" w:rsidRPr="00750AED" w:rsidRDefault="00E56BE0" w:rsidP="008F4304">
            <w:pPr>
              <w:spacing w:line="240" w:lineRule="auto"/>
              <w:ind w:right="61"/>
              <w:rPr>
                <w:rFonts w:ascii="Times New Roman" w:hAnsi="Times New Roman" w:cs="Times New Roman"/>
              </w:rPr>
            </w:pPr>
            <w:r w:rsidRPr="00750AED">
              <w:rPr>
                <w:rFonts w:ascii="Times New Roman" w:hAnsi="Times New Roman" w:cs="Times New Roman"/>
              </w:rPr>
              <w:t>232 (100</w:t>
            </w:r>
            <w:r w:rsidR="008F4304" w:rsidRPr="00750AED">
              <w:rPr>
                <w:rFonts w:ascii="Times New Roman" w:hAnsi="Times New Roman" w:cs="Times New Roman"/>
              </w:rPr>
              <w:t> </w:t>
            </w:r>
            <w:r w:rsidRPr="00750AED">
              <w:rPr>
                <w:rFonts w:ascii="Times New Roman" w:hAnsi="Times New Roman" w:cs="Times New Roman"/>
              </w:rPr>
              <w:t>%)</w:t>
            </w:r>
          </w:p>
        </w:tc>
      </w:tr>
      <w:tr w:rsidR="00E56BE0" w:rsidRPr="00007196" w:rsidTr="00E56BE0">
        <w:trPr>
          <w:trHeight w:val="518"/>
        </w:trPr>
        <w:tc>
          <w:tcPr>
            <w:tcW w:w="1622"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2B7B74">
            <w:pPr>
              <w:spacing w:line="240" w:lineRule="auto"/>
              <w:ind w:right="54"/>
              <w:rPr>
                <w:rFonts w:ascii="Times New Roman" w:hAnsi="Times New Roman" w:cs="Times New Roman"/>
              </w:rPr>
            </w:pPr>
            <w:r w:rsidRPr="001F2B81">
              <w:rPr>
                <w:rFonts w:ascii="Times New Roman" w:hAnsi="Times New Roman" w:cs="Times New Roman"/>
                <w:b/>
              </w:rPr>
              <w:lastRenderedPageBreak/>
              <w:t>K65R</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8F4304" w:rsidP="002B7B74">
            <w:pPr>
              <w:spacing w:line="240" w:lineRule="auto"/>
              <w:ind w:right="60"/>
              <w:rPr>
                <w:rFonts w:ascii="Times New Roman" w:hAnsi="Times New Roman" w:cs="Times New Roman"/>
              </w:rPr>
            </w:pPr>
            <w:r w:rsidRPr="001F2B81">
              <w:rPr>
                <w:rFonts w:ascii="Times New Roman" w:hAnsi="Times New Roman" w:cs="Times New Roman"/>
              </w:rPr>
              <w:t>0</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1 (2</w:t>
            </w:r>
            <w:r w:rsidR="008F4304" w:rsidRPr="001F2B81">
              <w:rPr>
                <w:rFonts w:ascii="Times New Roman" w:hAnsi="Times New Roman" w:cs="Times New Roman"/>
              </w:rPr>
              <w:t> </w:t>
            </w:r>
            <w:r w:rsidRPr="001F2B81">
              <w:rPr>
                <w:rFonts w:ascii="Times New Roman" w:hAnsi="Times New Roman" w:cs="Times New Roman"/>
              </w:rPr>
              <w:t>%)</w:t>
            </w:r>
          </w:p>
        </w:tc>
        <w:tc>
          <w:tcPr>
            <w:tcW w:w="1637"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2 (1</w:t>
            </w:r>
            <w:r w:rsidR="008F4304" w:rsidRPr="001F2B81">
              <w:rPr>
                <w:rFonts w:ascii="Times New Roman" w:hAnsi="Times New Roman" w:cs="Times New Roman"/>
              </w:rPr>
              <w:t> </w:t>
            </w:r>
            <w:r w:rsidRPr="001F2B81">
              <w:rPr>
                <w:rFonts w:ascii="Times New Roman" w:hAnsi="Times New Roman" w:cs="Times New Roma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59"/>
              <w:rPr>
                <w:rFonts w:ascii="Times New Roman" w:hAnsi="Times New Roman" w:cs="Times New Roman"/>
              </w:rPr>
            </w:pPr>
            <w:r w:rsidRPr="001F2B81">
              <w:rPr>
                <w:rFonts w:ascii="Times New Roman" w:hAnsi="Times New Roman" w:cs="Times New Roman"/>
              </w:rPr>
              <w:t>3 (1</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266"/>
        </w:trPr>
        <w:tc>
          <w:tcPr>
            <w:tcW w:w="1622"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ind w:right="57"/>
              <w:rPr>
                <w:rFonts w:ascii="Times New Roman" w:hAnsi="Times New Roman" w:cs="Times New Roman"/>
              </w:rPr>
            </w:pPr>
            <w:r w:rsidRPr="001F2B81">
              <w:rPr>
                <w:rFonts w:ascii="Times New Roman" w:hAnsi="Times New Roman" w:cs="Times New Roman"/>
                <w:b/>
              </w:rPr>
              <w:t>L74V</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8F4304" w:rsidP="002B7B74">
            <w:pPr>
              <w:spacing w:line="240" w:lineRule="auto"/>
              <w:ind w:right="60"/>
              <w:rPr>
                <w:rFonts w:ascii="Times New Roman" w:hAnsi="Times New Roman" w:cs="Times New Roman"/>
              </w:rPr>
            </w:pPr>
            <w:r w:rsidRPr="001F2B81">
              <w:rPr>
                <w:rFonts w:ascii="Times New Roman" w:hAnsi="Times New Roman" w:cs="Times New Roman"/>
              </w:rPr>
              <w:t>0</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9 (18</w:t>
            </w:r>
            <w:r w:rsidR="008F4304" w:rsidRPr="001F2B81">
              <w:rPr>
                <w:rFonts w:ascii="Times New Roman" w:hAnsi="Times New Roman" w:cs="Times New Roman"/>
              </w:rPr>
              <w:t> </w:t>
            </w:r>
            <w:r w:rsidRPr="001F2B81">
              <w:rPr>
                <w:rFonts w:ascii="Times New Roman" w:hAnsi="Times New Roman" w:cs="Times New Roman"/>
              </w:rPr>
              <w:t>%)</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3 (2</w:t>
            </w:r>
            <w:r w:rsidR="008F4304" w:rsidRPr="001F2B81">
              <w:rPr>
                <w:rFonts w:ascii="Times New Roman" w:hAnsi="Times New Roman" w:cs="Times New Roman"/>
              </w:rPr>
              <w:t> </w:t>
            </w:r>
            <w:r w:rsidRPr="001F2B81">
              <w:rPr>
                <w:rFonts w:ascii="Times New Roman" w:hAnsi="Times New Roman" w:cs="Times New Roman"/>
              </w:rPr>
              <w:t>%)</w:t>
            </w:r>
          </w:p>
        </w:tc>
        <w:tc>
          <w:tcPr>
            <w:tcW w:w="1634"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58"/>
              <w:rPr>
                <w:rFonts w:ascii="Times New Roman" w:hAnsi="Times New Roman" w:cs="Times New Roman"/>
              </w:rPr>
            </w:pPr>
            <w:r w:rsidRPr="001F2B81">
              <w:rPr>
                <w:rFonts w:ascii="Times New Roman" w:hAnsi="Times New Roman" w:cs="Times New Roman"/>
              </w:rPr>
              <w:t>12 (5</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264"/>
        </w:trPr>
        <w:tc>
          <w:tcPr>
            <w:tcW w:w="1622"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ind w:right="55"/>
              <w:rPr>
                <w:rFonts w:ascii="Times New Roman" w:hAnsi="Times New Roman" w:cs="Times New Roman"/>
              </w:rPr>
            </w:pPr>
            <w:r w:rsidRPr="001F2B81">
              <w:rPr>
                <w:rFonts w:ascii="Times New Roman" w:hAnsi="Times New Roman" w:cs="Times New Roman"/>
                <w:b/>
              </w:rPr>
              <w:t>Y115F</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8F4304" w:rsidP="002B7B74">
            <w:pPr>
              <w:spacing w:line="240" w:lineRule="auto"/>
              <w:ind w:right="60"/>
              <w:rPr>
                <w:rFonts w:ascii="Times New Roman" w:hAnsi="Times New Roman" w:cs="Times New Roman"/>
              </w:rPr>
            </w:pPr>
            <w:r w:rsidRPr="001F2B81">
              <w:rPr>
                <w:rFonts w:ascii="Times New Roman" w:hAnsi="Times New Roman" w:cs="Times New Roman"/>
              </w:rPr>
              <w:t>0</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2 (4</w:t>
            </w:r>
            <w:r w:rsidR="008F4304" w:rsidRPr="001F2B81">
              <w:rPr>
                <w:rFonts w:ascii="Times New Roman" w:hAnsi="Times New Roman" w:cs="Times New Roman"/>
              </w:rPr>
              <w:t> </w:t>
            </w:r>
            <w:r w:rsidRPr="001F2B81">
              <w:rPr>
                <w:rFonts w:ascii="Times New Roman" w:hAnsi="Times New Roman" w:cs="Times New Roman"/>
              </w:rPr>
              <w:t>%)</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0"/>
              <w:rPr>
                <w:rFonts w:ascii="Times New Roman" w:hAnsi="Times New Roman" w:cs="Times New Roman"/>
              </w:rPr>
            </w:pPr>
            <w:r w:rsidRPr="001F2B81">
              <w:rPr>
                <w:rFonts w:ascii="Times New Roman" w:hAnsi="Times New Roman" w:cs="Times New Roman"/>
              </w:rPr>
              <w:t>0</w:t>
            </w:r>
          </w:p>
        </w:tc>
        <w:tc>
          <w:tcPr>
            <w:tcW w:w="1634"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58"/>
              <w:rPr>
                <w:rFonts w:ascii="Times New Roman" w:hAnsi="Times New Roman" w:cs="Times New Roman"/>
              </w:rPr>
            </w:pPr>
            <w:r w:rsidRPr="001F2B81">
              <w:rPr>
                <w:rFonts w:ascii="Times New Roman" w:hAnsi="Times New Roman" w:cs="Times New Roman"/>
              </w:rPr>
              <w:t>2 (1</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264"/>
        </w:trPr>
        <w:tc>
          <w:tcPr>
            <w:tcW w:w="1622"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ind w:right="56"/>
              <w:rPr>
                <w:rFonts w:ascii="Times New Roman" w:hAnsi="Times New Roman" w:cs="Times New Roman"/>
              </w:rPr>
            </w:pPr>
            <w:r w:rsidRPr="001F2B81">
              <w:rPr>
                <w:rFonts w:ascii="Times New Roman" w:hAnsi="Times New Roman" w:cs="Times New Roman"/>
                <w:b/>
              </w:rPr>
              <w:t>M184V/I</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8F4304" w:rsidP="008F4304">
            <w:pPr>
              <w:spacing w:line="240" w:lineRule="auto"/>
              <w:ind w:right="56"/>
              <w:rPr>
                <w:rFonts w:ascii="Times New Roman" w:hAnsi="Times New Roman" w:cs="Times New Roman"/>
              </w:rPr>
            </w:pPr>
            <w:r w:rsidRPr="001F2B81">
              <w:rPr>
                <w:rFonts w:ascii="Times New Roman" w:hAnsi="Times New Roman" w:cs="Times New Roman"/>
              </w:rPr>
              <w:t>34 (85 %)</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22 (43</w:t>
            </w:r>
            <w:r w:rsidR="008F4304" w:rsidRPr="001F2B81">
              <w:rPr>
                <w:rFonts w:ascii="Times New Roman" w:hAnsi="Times New Roman" w:cs="Times New Roman"/>
              </w:rPr>
              <w:t> </w:t>
            </w:r>
            <w:r w:rsidRPr="001F2B81">
              <w:rPr>
                <w:rFonts w:ascii="Times New Roman" w:hAnsi="Times New Roman" w:cs="Times New Roman"/>
              </w:rPr>
              <w:t>%)</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70 (50</w:t>
            </w:r>
            <w:r w:rsidR="008F4304" w:rsidRPr="001F2B81">
              <w:rPr>
                <w:rFonts w:ascii="Times New Roman" w:hAnsi="Times New Roman" w:cs="Times New Roman"/>
              </w:rPr>
              <w:t> </w:t>
            </w:r>
            <w:r w:rsidRPr="001F2B81">
              <w:rPr>
                <w:rFonts w:ascii="Times New Roman" w:hAnsi="Times New Roman" w:cs="Times New Roman"/>
              </w:rPr>
              <w:t>%)</w:t>
            </w:r>
          </w:p>
        </w:tc>
        <w:tc>
          <w:tcPr>
            <w:tcW w:w="1634"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126 (54</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266"/>
        </w:trPr>
        <w:tc>
          <w:tcPr>
            <w:tcW w:w="1622"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ind w:right="58"/>
              <w:rPr>
                <w:rFonts w:ascii="Times New Roman" w:hAnsi="Times New Roman" w:cs="Times New Roman"/>
              </w:rPr>
            </w:pPr>
            <w:r w:rsidRPr="001F2B81">
              <w:rPr>
                <w:rFonts w:ascii="Times New Roman" w:hAnsi="Times New Roman" w:cs="Times New Roman"/>
                <w:b/>
              </w:rPr>
              <w:t>TAMs</w:t>
            </w:r>
            <w:r w:rsidRPr="001F2B81">
              <w:rPr>
                <w:rFonts w:ascii="Times New Roman" w:hAnsi="Times New Roman" w:cs="Times New Roman"/>
                <w:b/>
                <w:vertAlign w:val="superscript"/>
              </w:rPr>
              <w:t>3</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8F4304" w:rsidP="008F4304">
            <w:pPr>
              <w:spacing w:line="240" w:lineRule="auto"/>
              <w:ind w:right="56"/>
              <w:rPr>
                <w:rFonts w:ascii="Times New Roman" w:hAnsi="Times New Roman" w:cs="Times New Roman"/>
              </w:rPr>
            </w:pPr>
            <w:r w:rsidRPr="001F2B81">
              <w:rPr>
                <w:rFonts w:ascii="Times New Roman" w:hAnsi="Times New Roman" w:cs="Times New Roman"/>
              </w:rPr>
              <w:t>3 (8 %)</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2 (4</w:t>
            </w:r>
            <w:r w:rsidR="008F4304" w:rsidRPr="001F2B81">
              <w:rPr>
                <w:rFonts w:ascii="Times New Roman" w:hAnsi="Times New Roman" w:cs="Times New Roman"/>
              </w:rPr>
              <w:t> </w:t>
            </w:r>
            <w:r w:rsidRPr="001F2B81">
              <w:rPr>
                <w:rFonts w:ascii="Times New Roman" w:hAnsi="Times New Roman" w:cs="Times New Roman"/>
              </w:rPr>
              <w:t>%)</w:t>
            </w:r>
          </w:p>
        </w:tc>
        <w:tc>
          <w:tcPr>
            <w:tcW w:w="1637"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61"/>
              <w:rPr>
                <w:rFonts w:ascii="Times New Roman" w:hAnsi="Times New Roman" w:cs="Times New Roman"/>
              </w:rPr>
            </w:pPr>
            <w:r w:rsidRPr="001F2B81">
              <w:rPr>
                <w:rFonts w:ascii="Times New Roman" w:hAnsi="Times New Roman" w:cs="Times New Roman"/>
              </w:rPr>
              <w:t>4 (3</w:t>
            </w:r>
            <w:r w:rsidR="008F4304" w:rsidRPr="001F2B81">
              <w:rPr>
                <w:rFonts w:ascii="Times New Roman" w:hAnsi="Times New Roman" w:cs="Times New Roman"/>
              </w:rPr>
              <w:t> </w:t>
            </w:r>
            <w:r w:rsidRPr="001F2B81">
              <w:rPr>
                <w:rFonts w:ascii="Times New Roman" w:hAnsi="Times New Roman" w:cs="Times New Roman"/>
              </w:rPr>
              <w:t>%)</w:t>
            </w:r>
          </w:p>
        </w:tc>
        <w:tc>
          <w:tcPr>
            <w:tcW w:w="1634"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58"/>
              <w:rPr>
                <w:rFonts w:ascii="Times New Roman" w:hAnsi="Times New Roman" w:cs="Times New Roman"/>
              </w:rPr>
            </w:pPr>
            <w:r w:rsidRPr="001F2B81">
              <w:rPr>
                <w:rFonts w:ascii="Times New Roman" w:hAnsi="Times New Roman" w:cs="Times New Roman"/>
              </w:rPr>
              <w:t>9 (4</w:t>
            </w:r>
            <w:r w:rsidR="008F4304" w:rsidRPr="001F2B81">
              <w:rPr>
                <w:rFonts w:ascii="Times New Roman" w:hAnsi="Times New Roman" w:cs="Times New Roman"/>
              </w:rPr>
              <w:t> </w:t>
            </w:r>
            <w:r w:rsidRPr="001F2B81">
              <w:rPr>
                <w:rFonts w:ascii="Times New Roman" w:hAnsi="Times New Roman" w:cs="Times New Roman"/>
              </w:rPr>
              <w:t>%)</w:t>
            </w:r>
          </w:p>
        </w:tc>
      </w:tr>
    </w:tbl>
    <w:p w:rsidR="00E56BE0" w:rsidRPr="00007196" w:rsidRDefault="00DA074D" w:rsidP="002B7B74">
      <w:pPr>
        <w:numPr>
          <w:ilvl w:val="0"/>
          <w:numId w:val="7"/>
        </w:numPr>
        <w:tabs>
          <w:tab w:val="clear" w:pos="567"/>
        </w:tabs>
        <w:spacing w:line="240" w:lineRule="auto"/>
        <w:ind w:right="579" w:hanging="358"/>
      </w:pPr>
      <w:r w:rsidRPr="00007196">
        <w:t>Fixná</w:t>
      </w:r>
      <w:r w:rsidR="00E56BE0" w:rsidRPr="00007196">
        <w:t xml:space="preserve"> </w:t>
      </w:r>
      <w:r w:rsidRPr="00007196">
        <w:t>kombinovaná</w:t>
      </w:r>
      <w:r w:rsidR="008F4304" w:rsidRPr="00007196">
        <w:t xml:space="preserve"> dávk</w:t>
      </w:r>
      <w:r w:rsidRPr="00007196">
        <w:t>a</w:t>
      </w:r>
      <w:r w:rsidR="008F4304" w:rsidRPr="00007196">
        <w:t xml:space="preserve"> </w:t>
      </w:r>
      <w:r w:rsidR="00116A78" w:rsidRPr="00007196">
        <w:t xml:space="preserve">(FDC) </w:t>
      </w:r>
      <w:r w:rsidR="008F4304" w:rsidRPr="00007196">
        <w:t>lamivudínu a</w:t>
      </w:r>
      <w:r w:rsidR="00116A78" w:rsidRPr="00007196">
        <w:t> </w:t>
      </w:r>
      <w:r w:rsidR="008F4304" w:rsidRPr="00007196">
        <w:t>zidovudínu</w:t>
      </w:r>
    </w:p>
    <w:p w:rsidR="00E56BE0" w:rsidRPr="00007196" w:rsidRDefault="00E56BE0" w:rsidP="002B7B74">
      <w:pPr>
        <w:numPr>
          <w:ilvl w:val="0"/>
          <w:numId w:val="7"/>
        </w:numPr>
        <w:tabs>
          <w:tab w:val="clear" w:pos="567"/>
        </w:tabs>
        <w:spacing w:line="240" w:lineRule="auto"/>
        <w:ind w:right="579" w:hanging="358"/>
      </w:pPr>
      <w:r w:rsidRPr="00007196">
        <w:t>Zahŕňa tri nevirologické zlyhania a</w:t>
      </w:r>
      <w:r w:rsidR="008F4304" w:rsidRPr="00007196">
        <w:t> </w:t>
      </w:r>
      <w:r w:rsidRPr="00007196">
        <w:t>štyri nepotvrdené virologické zlyhania.</w:t>
      </w:r>
    </w:p>
    <w:p w:rsidR="00E56BE0" w:rsidRPr="00007196" w:rsidRDefault="00E56BE0" w:rsidP="002B7B74">
      <w:pPr>
        <w:numPr>
          <w:ilvl w:val="0"/>
          <w:numId w:val="7"/>
        </w:numPr>
        <w:tabs>
          <w:tab w:val="clear" w:pos="567"/>
        </w:tabs>
        <w:spacing w:line="240" w:lineRule="auto"/>
        <w:ind w:right="579" w:hanging="358"/>
      </w:pPr>
      <w:r w:rsidRPr="00007196">
        <w:t>Počet jedincov s</w:t>
      </w:r>
      <w:r w:rsidR="008F4304" w:rsidRPr="00007196">
        <w:t> </w:t>
      </w:r>
      <w:r w:rsidRPr="00007196">
        <w:rPr>
          <w:rFonts w:eastAsia="Segoe UI Symbol"/>
        </w:rPr>
        <w:t>≥</w:t>
      </w:r>
      <w:r w:rsidR="008F4304" w:rsidRPr="00007196">
        <w:t> </w:t>
      </w:r>
      <w:r w:rsidRPr="00007196">
        <w:t>1</w:t>
      </w:r>
      <w:r w:rsidR="008F4304" w:rsidRPr="00007196">
        <w:t> </w:t>
      </w:r>
      <w:r w:rsidRPr="00007196">
        <w:t>mutáciou tymidínov</w:t>
      </w:r>
      <w:r w:rsidR="00435210" w:rsidRPr="00007196">
        <w:t>ého</w:t>
      </w:r>
      <w:r w:rsidRPr="00007196">
        <w:t xml:space="preserve"> analóg</w:t>
      </w:r>
      <w:r w:rsidR="00435210" w:rsidRPr="00007196">
        <w:t>u</w:t>
      </w:r>
      <w:r w:rsidRPr="00007196">
        <w:t xml:space="preserve"> (TAM).</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TAM môžu byť vyselektované, keď sú tymidínové analógy spojené s</w:t>
      </w:r>
      <w:r w:rsidR="008F4304" w:rsidRPr="00007196">
        <w:t> </w:t>
      </w:r>
      <w:r w:rsidRPr="00007196">
        <w:t>abakavirom. V</w:t>
      </w:r>
      <w:r w:rsidR="008F4304" w:rsidRPr="00007196">
        <w:t> </w:t>
      </w:r>
      <w:r w:rsidRPr="00007196">
        <w:t>metaanalýze šiestich klinických štúdií neboli TAM vyselektované režimami obsahujúcimi abakavir bez zidovudínu (0/127), ale boli vyselektované režimami obsahujúcimi abakavir a</w:t>
      </w:r>
      <w:r w:rsidR="008F4304" w:rsidRPr="00007196">
        <w:t> </w:t>
      </w:r>
      <w:r w:rsidRPr="00007196">
        <w:t>tymidínový analóg zidovudín (22/86, 26</w:t>
      </w:r>
      <w:r w:rsidR="008F4304" w:rsidRPr="00007196">
        <w:t> </w:t>
      </w:r>
      <w:r w:rsidRPr="00007196">
        <w:t>%).</w:t>
      </w:r>
    </w:p>
    <w:p w:rsidR="00E56BE0" w:rsidRPr="00007196" w:rsidRDefault="00E56BE0" w:rsidP="002B7B74">
      <w:pPr>
        <w:spacing w:line="240" w:lineRule="auto"/>
        <w:ind w:left="7"/>
      </w:pPr>
    </w:p>
    <w:p w:rsidR="00E56BE0" w:rsidRPr="00007196" w:rsidRDefault="00E56BE0" w:rsidP="002B7B74">
      <w:pPr>
        <w:pStyle w:val="Nadpis3"/>
        <w:spacing w:line="240" w:lineRule="auto"/>
        <w:ind w:left="2"/>
        <w:rPr>
          <w:i w:val="0"/>
        </w:rPr>
      </w:pPr>
      <w:r w:rsidRPr="00007196">
        <w:t>Rezistencia in vivo (pacienti po predchádzajúcej terapii)</w:t>
      </w:r>
    </w:p>
    <w:p w:rsidR="00E56BE0" w:rsidRPr="00007196" w:rsidRDefault="00E56BE0" w:rsidP="008F4304">
      <w:pPr>
        <w:spacing w:line="240" w:lineRule="auto"/>
        <w:ind w:left="3" w:right="14"/>
      </w:pPr>
      <w:r w:rsidRPr="00007196">
        <w:t>Varianty M184V alebo M184I vznikajú u</w:t>
      </w:r>
      <w:r w:rsidR="008F4304" w:rsidRPr="00007196">
        <w:t> </w:t>
      </w:r>
      <w:r w:rsidRPr="00007196">
        <w:t>pacientov infikovaných vírusom HIV-1 liečených antiretrovírusovou liečbou obsahujúcou lamivudín a</w:t>
      </w:r>
      <w:r w:rsidR="008F4304" w:rsidRPr="00007196">
        <w:t> </w:t>
      </w:r>
      <w:r w:rsidRPr="00007196">
        <w:t>vyvolávajú vysok</w:t>
      </w:r>
      <w:r w:rsidR="00E118E9" w:rsidRPr="00007196">
        <w:t>ý stupeň</w:t>
      </w:r>
      <w:r w:rsidRPr="00007196">
        <w:t xml:space="preserve"> rezistenci</w:t>
      </w:r>
      <w:r w:rsidR="00E118E9" w:rsidRPr="00007196">
        <w:t>e</w:t>
      </w:r>
      <w:r w:rsidRPr="00007196">
        <w:t xml:space="preserve"> na</w:t>
      </w:r>
      <w:r w:rsidR="00B423BE">
        <w:t> </w:t>
      </w:r>
      <w:r w:rsidRPr="00007196">
        <w:t xml:space="preserve">lamivudín. Údaje </w:t>
      </w:r>
      <w:r w:rsidRPr="00007196">
        <w:rPr>
          <w:i/>
        </w:rPr>
        <w:t>in vitro</w:t>
      </w:r>
      <w:r w:rsidRPr="00007196">
        <w:t xml:space="preserve"> poukazujú na to, že pokračovanie v</w:t>
      </w:r>
      <w:r w:rsidR="008F4304" w:rsidRPr="00007196">
        <w:t> </w:t>
      </w:r>
      <w:r w:rsidRPr="00007196">
        <w:t>antiretrovírusovej liečbe lamivudínom aj napriek vzniku M184V môže poskytnúť reziduálny antiretrovírusový účinok (pravdepodobne kvôli narušenej replikačnej schopnosti vírusu). Klinický význam týchto zistení nie je stanovený. Dostupné klinické údaje sú v</w:t>
      </w:r>
      <w:r w:rsidR="008F4304" w:rsidRPr="00007196">
        <w:t> </w:t>
      </w:r>
      <w:r w:rsidRPr="00007196">
        <w:t>skutočnosti veľmi obmedzené a</w:t>
      </w:r>
      <w:r w:rsidR="008F4304" w:rsidRPr="00007196">
        <w:t> </w:t>
      </w:r>
      <w:r w:rsidRPr="00007196">
        <w:t>v</w:t>
      </w:r>
      <w:r w:rsidR="008F4304" w:rsidRPr="00007196">
        <w:t> </w:t>
      </w:r>
      <w:r w:rsidRPr="00007196">
        <w:t>praxi vylučujú vyvodenie akéhokoľvek spoľahlivého záveru. V</w:t>
      </w:r>
      <w:r w:rsidR="008F4304" w:rsidRPr="00007196">
        <w:t> </w:t>
      </w:r>
      <w:r w:rsidRPr="00007196">
        <w:t xml:space="preserve">každom prípade sa má pred udržiavacou liečbou lamivudínom vždy uprednostniť </w:t>
      </w:r>
      <w:r w:rsidR="00D92807" w:rsidRPr="00007196">
        <w:t>začatie liečby</w:t>
      </w:r>
      <w:r w:rsidRPr="00007196">
        <w:t xml:space="preserve"> citlivý</w:t>
      </w:r>
      <w:r w:rsidR="00D92807" w:rsidRPr="00007196">
        <w:t>mi</w:t>
      </w:r>
      <w:r w:rsidRPr="00007196">
        <w:t xml:space="preserve"> NRTI. O</w:t>
      </w:r>
      <w:r w:rsidR="008F4304" w:rsidRPr="00007196">
        <w:t> </w:t>
      </w:r>
      <w:r w:rsidRPr="00007196">
        <w:t>udržiavacej liečbe lamivudínom aj napriek vzniku mutácie M184V sa má preto uvažovať len v</w:t>
      </w:r>
      <w:r w:rsidR="008F4304" w:rsidRPr="00007196">
        <w:t> </w:t>
      </w:r>
      <w:r w:rsidRPr="00007196">
        <w:t>prípadoch, keď nie sú k</w:t>
      </w:r>
      <w:r w:rsidR="008F4304" w:rsidRPr="00007196">
        <w:t> </w:t>
      </w:r>
      <w:r w:rsidRPr="00007196">
        <w:t>dispozícii žiadne iné účinné NRTI.</w:t>
      </w:r>
    </w:p>
    <w:p w:rsidR="008F4304" w:rsidRPr="00007196" w:rsidRDefault="008F4304" w:rsidP="008F4304">
      <w:pPr>
        <w:spacing w:line="240" w:lineRule="auto"/>
        <w:ind w:left="3" w:right="14"/>
      </w:pPr>
    </w:p>
    <w:p w:rsidR="00E56BE0" w:rsidRPr="00007196" w:rsidRDefault="00E56BE0" w:rsidP="002B7B74">
      <w:pPr>
        <w:spacing w:line="240" w:lineRule="auto"/>
        <w:ind w:left="3" w:right="14"/>
      </w:pPr>
      <w:r w:rsidRPr="00007196">
        <w:t>Klinicky významné zníženie citlivosti na abakavir bolo dokázané u klinických izolátov od pacientov s</w:t>
      </w:r>
      <w:r w:rsidR="008F4304" w:rsidRPr="00007196">
        <w:t> </w:t>
      </w:r>
      <w:r w:rsidRPr="00007196">
        <w:t>nekontrolovanou vírusovou replikáciou, ktorí boli pred</w:t>
      </w:r>
      <w:r w:rsidR="008961FB" w:rsidRPr="00007196">
        <w:t>tým liečení</w:t>
      </w:r>
      <w:r w:rsidRPr="00007196">
        <w:t xml:space="preserve"> inými nukleozidovými inhibítormi a</w:t>
      </w:r>
      <w:r w:rsidR="008F4304" w:rsidRPr="00007196">
        <w:t> </w:t>
      </w:r>
      <w:r w:rsidRPr="00007196">
        <w:t>sú na ne rezistentní. V</w:t>
      </w:r>
      <w:r w:rsidR="008F4304" w:rsidRPr="00007196">
        <w:t> </w:t>
      </w:r>
      <w:r w:rsidRPr="00007196">
        <w:t>metaanalýze piatich klinických štúdií, v</w:t>
      </w:r>
      <w:r w:rsidR="008F4304" w:rsidRPr="00007196">
        <w:t> </w:t>
      </w:r>
      <w:r w:rsidRPr="00007196">
        <w:t xml:space="preserve">ktorých sa ABC </w:t>
      </w:r>
      <w:r w:rsidR="005D1299" w:rsidRPr="00007196">
        <w:t xml:space="preserve">(abakavir) </w:t>
      </w:r>
      <w:r w:rsidRPr="00007196">
        <w:t>pridal na zintenzívnenie liečby, zo 166</w:t>
      </w:r>
      <w:r w:rsidR="008F4304" w:rsidRPr="00007196">
        <w:t> </w:t>
      </w:r>
      <w:r w:rsidRPr="00007196">
        <w:t>jedincov 123 (74</w:t>
      </w:r>
      <w:r w:rsidR="008F4304" w:rsidRPr="00007196">
        <w:t> </w:t>
      </w:r>
      <w:r w:rsidRPr="00007196">
        <w:t>%) malo M184V/I, 50 (30</w:t>
      </w:r>
      <w:r w:rsidR="008F4304" w:rsidRPr="00007196">
        <w:t> </w:t>
      </w:r>
      <w:r w:rsidRPr="00007196">
        <w:t>%) malo T215Y/F, 45 (27</w:t>
      </w:r>
      <w:r w:rsidR="008F4304" w:rsidRPr="00007196">
        <w:t> </w:t>
      </w:r>
      <w:r w:rsidRPr="00007196">
        <w:t>%) malo M41L, 30 (18</w:t>
      </w:r>
      <w:r w:rsidR="008F4304" w:rsidRPr="00007196">
        <w:t> </w:t>
      </w:r>
      <w:r w:rsidRPr="00007196">
        <w:t>%) malo K70R a 25 (15</w:t>
      </w:r>
      <w:r w:rsidR="008F4304" w:rsidRPr="00007196">
        <w:t> </w:t>
      </w:r>
      <w:r w:rsidRPr="00007196">
        <w:t>%) malo D67N. K65R nebola prítomná a</w:t>
      </w:r>
      <w:r w:rsidR="008F4304" w:rsidRPr="00007196">
        <w:t> </w:t>
      </w:r>
      <w:r w:rsidRPr="00007196">
        <w:t>L74V a</w:t>
      </w:r>
      <w:r w:rsidR="008F4304" w:rsidRPr="00007196">
        <w:t> </w:t>
      </w:r>
      <w:r w:rsidRPr="00007196">
        <w:t>Y115F boli menej časté (</w:t>
      </w:r>
      <w:r w:rsidRPr="00007196">
        <w:rPr>
          <w:rFonts w:eastAsia="Segoe UI Symbol"/>
        </w:rPr>
        <w:t>≤</w:t>
      </w:r>
      <w:r w:rsidRPr="00007196">
        <w:t xml:space="preserve"> 3</w:t>
      </w:r>
      <w:r w:rsidR="008F4304" w:rsidRPr="00007196">
        <w:t> </w:t>
      </w:r>
      <w:r w:rsidRPr="00007196">
        <w:t>%). Modelovanie pomocou logistickej regresie zamerané na prediktívnu hodnotu pre genotyp (upravenú podľa východiskovej plazmatickej HIV-1 RNA [vRNA], počtu CD4+ buniek, počtu a</w:t>
      </w:r>
      <w:r w:rsidR="008F4304" w:rsidRPr="00007196">
        <w:t> </w:t>
      </w:r>
      <w:r w:rsidRPr="00007196">
        <w:t>trvania predošlých antiretrovírusových terapií) ukázalo, že prítomnosť 3</w:t>
      </w:r>
      <w:r w:rsidR="008F4304" w:rsidRPr="00007196">
        <w:t> </w:t>
      </w:r>
      <w:r w:rsidRPr="00007196">
        <w:t>alebo viacerých mutácií súvisiacich s</w:t>
      </w:r>
      <w:r w:rsidR="008F4304" w:rsidRPr="00007196">
        <w:t> </w:t>
      </w:r>
      <w:r w:rsidRPr="00007196">
        <w:t>rezistenciou na NRTI bola spojená so zníženou odpoveďou v</w:t>
      </w:r>
      <w:r w:rsidR="008F4304" w:rsidRPr="00007196">
        <w:t> </w:t>
      </w:r>
      <w:r w:rsidRPr="00007196">
        <w:t xml:space="preserve">4. </w:t>
      </w:r>
      <w:r w:rsidR="008F4304" w:rsidRPr="00007196">
        <w:t> </w:t>
      </w:r>
      <w:r w:rsidRPr="00007196">
        <w:t>týždni (p = 0,015) alebo 4 alebo viacerých mutácií v</w:t>
      </w:r>
      <w:r w:rsidR="008F4304" w:rsidRPr="00007196">
        <w:t> </w:t>
      </w:r>
      <w:r w:rsidRPr="00007196">
        <w:t>mediánovom 24. týždni (p</w:t>
      </w:r>
      <w:r w:rsidR="008F4304" w:rsidRPr="00007196">
        <w:t> </w:t>
      </w:r>
      <w:r w:rsidRPr="00007196">
        <w:rPr>
          <w:rFonts w:eastAsia="Segoe UI Symbol"/>
          <w:vertAlign w:val="subscript"/>
        </w:rPr>
        <w:t>≤</w:t>
      </w:r>
      <w:r w:rsidR="008F4304" w:rsidRPr="00007196">
        <w:t> </w:t>
      </w:r>
      <w:r w:rsidRPr="00007196">
        <w:t>0,012). Okrem toho, v</w:t>
      </w:r>
      <w:r w:rsidR="00E118E9" w:rsidRPr="00007196">
        <w:t>loženie</w:t>
      </w:r>
      <w:r w:rsidRPr="00007196">
        <w:t xml:space="preserve"> komplexu do kodónu 69</w:t>
      </w:r>
      <w:r w:rsidR="008F4304" w:rsidRPr="00007196">
        <w:t> </w:t>
      </w:r>
      <w:r w:rsidRPr="00007196">
        <w:t>alebo mutácia Q151M, zvyčajne prítomná v</w:t>
      </w:r>
      <w:r w:rsidR="008F4304" w:rsidRPr="00007196">
        <w:t> </w:t>
      </w:r>
      <w:r w:rsidRPr="00007196">
        <w:t>kombinácii s</w:t>
      </w:r>
      <w:r w:rsidR="008F4304" w:rsidRPr="00007196">
        <w:t> </w:t>
      </w:r>
      <w:r w:rsidRPr="00007196">
        <w:t>A62V, V75I, F77L a F116Y, spôsobuje vysok</w:t>
      </w:r>
      <w:r w:rsidR="00E118E9" w:rsidRPr="00007196">
        <w:t>ý stupeň</w:t>
      </w:r>
      <w:r w:rsidR="008F4304" w:rsidRPr="00007196">
        <w:t xml:space="preserve"> rezistenci</w:t>
      </w:r>
      <w:r w:rsidR="00E118E9" w:rsidRPr="00007196">
        <w:t>e</w:t>
      </w:r>
      <w:r w:rsidR="008F4304" w:rsidRPr="00007196">
        <w:t xml:space="preserve"> na abakavir.</w:t>
      </w:r>
    </w:p>
    <w:tbl>
      <w:tblPr>
        <w:tblStyle w:val="TableGrid"/>
        <w:tblpPr w:vertAnchor="text" w:tblpX="998" w:tblpY="284"/>
        <w:tblOverlap w:val="never"/>
        <w:tblW w:w="7090" w:type="dxa"/>
        <w:tblInd w:w="0" w:type="dxa"/>
        <w:tblCellMar>
          <w:left w:w="124" w:type="dxa"/>
          <w:right w:w="77" w:type="dxa"/>
        </w:tblCellMar>
        <w:tblLook w:val="04A0"/>
      </w:tblPr>
      <w:tblGrid>
        <w:gridCol w:w="2130"/>
        <w:gridCol w:w="566"/>
        <w:gridCol w:w="1843"/>
        <w:gridCol w:w="2551"/>
      </w:tblGrid>
      <w:tr w:rsidR="00E56BE0" w:rsidRPr="00007196" w:rsidTr="00E56BE0">
        <w:trPr>
          <w:trHeight w:val="514"/>
        </w:trPr>
        <w:tc>
          <w:tcPr>
            <w:tcW w:w="2129" w:type="dxa"/>
            <w:vMerge w:val="restart"/>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2B7B74">
            <w:pPr>
              <w:spacing w:line="240" w:lineRule="auto"/>
              <w:rPr>
                <w:rFonts w:ascii="Times New Roman" w:hAnsi="Times New Roman" w:cs="Times New Roman"/>
              </w:rPr>
            </w:pPr>
            <w:r w:rsidRPr="001F2B81">
              <w:rPr>
                <w:rFonts w:ascii="Times New Roman" w:hAnsi="Times New Roman" w:cs="Times New Roman"/>
                <w:b/>
              </w:rPr>
              <w:t xml:space="preserve">Východisková mutácia v reverznej transkriptáze </w:t>
            </w:r>
          </w:p>
        </w:tc>
        <w:tc>
          <w:tcPr>
            <w:tcW w:w="566" w:type="dxa"/>
            <w:tcBorders>
              <w:top w:val="single" w:sz="4" w:space="0" w:color="000000"/>
              <w:left w:val="single" w:sz="4" w:space="0" w:color="000000"/>
              <w:bottom w:val="single" w:sz="4" w:space="0" w:color="000000"/>
              <w:right w:val="nil"/>
            </w:tcBorders>
          </w:tcPr>
          <w:p w:rsidR="00E56BE0" w:rsidRPr="001F2B81" w:rsidRDefault="00E56BE0" w:rsidP="002B7B74">
            <w:pPr>
              <w:spacing w:line="240" w:lineRule="auto"/>
              <w:rPr>
                <w:rFonts w:ascii="Times New Roman" w:hAnsi="Times New Roman" w:cs="Times New Roman"/>
              </w:rPr>
            </w:pPr>
          </w:p>
        </w:tc>
        <w:tc>
          <w:tcPr>
            <w:tcW w:w="4394" w:type="dxa"/>
            <w:gridSpan w:val="2"/>
            <w:tcBorders>
              <w:top w:val="single" w:sz="4" w:space="0" w:color="000000"/>
              <w:left w:val="nil"/>
              <w:bottom w:val="single" w:sz="4" w:space="0" w:color="000000"/>
              <w:right w:val="single" w:sz="4" w:space="0" w:color="000000"/>
            </w:tcBorders>
          </w:tcPr>
          <w:p w:rsidR="00E56BE0" w:rsidRPr="001F2B81" w:rsidRDefault="00E56BE0" w:rsidP="008F4304">
            <w:pPr>
              <w:spacing w:line="240" w:lineRule="auto"/>
              <w:ind w:left="1369" w:right="1732" w:hanging="2"/>
              <w:rPr>
                <w:rFonts w:ascii="Times New Roman" w:hAnsi="Times New Roman" w:cs="Times New Roman"/>
              </w:rPr>
            </w:pPr>
            <w:r w:rsidRPr="001F2B81">
              <w:rPr>
                <w:rFonts w:ascii="Times New Roman" w:hAnsi="Times New Roman" w:cs="Times New Roman"/>
                <w:b/>
              </w:rPr>
              <w:t>4. týždeň (n</w:t>
            </w:r>
            <w:r w:rsidR="008F4304" w:rsidRPr="001F2B81">
              <w:rPr>
                <w:rFonts w:ascii="Times New Roman" w:hAnsi="Times New Roman" w:cs="Times New Roman"/>
                <w:b/>
              </w:rPr>
              <w:t> </w:t>
            </w:r>
            <w:r w:rsidRPr="001F2B81">
              <w:rPr>
                <w:rFonts w:ascii="Times New Roman" w:hAnsi="Times New Roman" w:cs="Times New Roman"/>
                <w:b/>
              </w:rPr>
              <w:t xml:space="preserve">= 166) </w:t>
            </w:r>
          </w:p>
        </w:tc>
      </w:tr>
      <w:tr w:rsidR="00E56BE0" w:rsidRPr="00007196" w:rsidTr="00E56BE0">
        <w:trPr>
          <w:trHeight w:val="770"/>
        </w:trPr>
        <w:tc>
          <w:tcPr>
            <w:tcW w:w="0" w:type="auto"/>
            <w:vMerge/>
            <w:tcBorders>
              <w:top w:val="nil"/>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53"/>
              <w:rPr>
                <w:rFonts w:ascii="Times New Roman" w:hAnsi="Times New Roman" w:cs="Times New Roman"/>
              </w:rPr>
            </w:pPr>
            <w:r w:rsidRPr="001F2B81">
              <w:rPr>
                <w:rFonts w:ascii="Times New Roman" w:hAnsi="Times New Roman" w:cs="Times New Roman"/>
                <w:b/>
              </w:rPr>
              <w:t>n</w:t>
            </w:r>
          </w:p>
        </w:tc>
        <w:tc>
          <w:tcPr>
            <w:tcW w:w="1843"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rPr>
                <w:rFonts w:ascii="Times New Roman" w:hAnsi="Times New Roman" w:cs="Times New Roman"/>
              </w:rPr>
            </w:pPr>
            <w:r w:rsidRPr="001F2B81">
              <w:rPr>
                <w:rFonts w:ascii="Times New Roman" w:hAnsi="Times New Roman" w:cs="Times New Roman"/>
                <w:b/>
              </w:rPr>
              <w:t>Priemerná zmena vRNA (log</w:t>
            </w:r>
            <w:r w:rsidRPr="001F2B81">
              <w:rPr>
                <w:rFonts w:ascii="Times New Roman" w:hAnsi="Times New Roman" w:cs="Times New Roman"/>
                <w:b/>
                <w:vertAlign w:val="subscript"/>
              </w:rPr>
              <w:t>10</w:t>
            </w:r>
            <w:r w:rsidRPr="001F2B81">
              <w:rPr>
                <w:rFonts w:ascii="Times New Roman" w:hAnsi="Times New Roman" w:cs="Times New Roman"/>
                <w:b/>
              </w:rPr>
              <w:t xml:space="preserve"> </w:t>
            </w:r>
            <w:r w:rsidR="00E118E9" w:rsidRPr="001F2B81">
              <w:rPr>
                <w:rFonts w:ascii="Times New Roman" w:hAnsi="Times New Roman" w:cs="Times New Roman"/>
                <w:b/>
              </w:rPr>
              <w:t>c</w:t>
            </w:r>
            <w:r w:rsidRPr="001F2B81">
              <w:rPr>
                <w:rFonts w:ascii="Times New Roman" w:hAnsi="Times New Roman" w:cs="Times New Roman"/>
                <w:b/>
              </w:rPr>
              <w:t>/ml)</w:t>
            </w:r>
          </w:p>
        </w:tc>
        <w:tc>
          <w:tcPr>
            <w:tcW w:w="2551"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left="126" w:right="171"/>
              <w:rPr>
                <w:rFonts w:ascii="Times New Roman" w:hAnsi="Times New Roman" w:cs="Times New Roman"/>
              </w:rPr>
            </w:pPr>
            <w:r w:rsidRPr="001F2B81">
              <w:rPr>
                <w:rFonts w:ascii="Times New Roman" w:hAnsi="Times New Roman" w:cs="Times New Roman"/>
                <w:b/>
              </w:rPr>
              <w:t>Percento s</w:t>
            </w:r>
            <w:r w:rsidR="008F4304" w:rsidRPr="001F2B81">
              <w:rPr>
                <w:rFonts w:ascii="Times New Roman" w:hAnsi="Times New Roman" w:cs="Times New Roman"/>
                <w:b/>
              </w:rPr>
              <w:t> </w:t>
            </w:r>
            <w:r w:rsidRPr="001F2B81">
              <w:rPr>
                <w:rFonts w:ascii="Times New Roman" w:hAnsi="Times New Roman" w:cs="Times New Roman"/>
                <w:b/>
              </w:rPr>
              <w:t>&lt;</w:t>
            </w:r>
            <w:r w:rsidR="008F4304" w:rsidRPr="001F2B81">
              <w:rPr>
                <w:rFonts w:ascii="Times New Roman" w:hAnsi="Times New Roman" w:cs="Times New Roman"/>
                <w:b/>
              </w:rPr>
              <w:t> </w:t>
            </w:r>
            <w:r w:rsidRPr="001F2B81">
              <w:rPr>
                <w:rFonts w:ascii="Times New Roman" w:hAnsi="Times New Roman" w:cs="Times New Roman"/>
                <w:b/>
              </w:rPr>
              <w:t>400</w:t>
            </w:r>
            <w:r w:rsidR="008F4304" w:rsidRPr="001F2B81">
              <w:rPr>
                <w:rFonts w:ascii="Times New Roman" w:hAnsi="Times New Roman" w:cs="Times New Roman"/>
                <w:b/>
              </w:rPr>
              <w:t> </w:t>
            </w:r>
            <w:r w:rsidRPr="001F2B81">
              <w:rPr>
                <w:rFonts w:ascii="Times New Roman" w:hAnsi="Times New Roman" w:cs="Times New Roman"/>
                <w:b/>
              </w:rPr>
              <w:t>kópií/ml vRNA</w:t>
            </w:r>
          </w:p>
        </w:tc>
      </w:tr>
      <w:tr w:rsidR="00E56BE0" w:rsidRPr="00007196" w:rsidTr="00E56BE0">
        <w:trPr>
          <w:trHeight w:val="262"/>
        </w:trPr>
        <w:tc>
          <w:tcPr>
            <w:tcW w:w="2129"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ind w:right="54"/>
              <w:rPr>
                <w:rFonts w:ascii="Times New Roman" w:hAnsi="Times New Roman" w:cs="Times New Roman"/>
              </w:rPr>
            </w:pPr>
            <w:r w:rsidRPr="001F2B81">
              <w:rPr>
                <w:rFonts w:ascii="Times New Roman" w:hAnsi="Times New Roman" w:cs="Times New Roman"/>
                <w:b/>
              </w:rPr>
              <w:t>Žiadna</w:t>
            </w:r>
          </w:p>
        </w:tc>
        <w:tc>
          <w:tcPr>
            <w:tcW w:w="566"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left="47"/>
              <w:rPr>
                <w:rFonts w:ascii="Times New Roman" w:hAnsi="Times New Roman" w:cs="Times New Roman"/>
              </w:rPr>
            </w:pPr>
            <w:r w:rsidRPr="001F2B81">
              <w:rPr>
                <w:rFonts w:ascii="Times New Roman" w:hAnsi="Times New Roman" w:cs="Times New Roman"/>
              </w:rPr>
              <w:t>15</w:t>
            </w:r>
          </w:p>
        </w:tc>
        <w:tc>
          <w:tcPr>
            <w:tcW w:w="1843"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51"/>
              <w:rPr>
                <w:rFonts w:ascii="Times New Roman" w:hAnsi="Times New Roman" w:cs="Times New Roman"/>
              </w:rPr>
            </w:pPr>
            <w:r w:rsidRPr="001F2B81">
              <w:rPr>
                <w:rFonts w:ascii="Times New Roman" w:hAnsi="Times New Roman" w:cs="Times New Roman"/>
              </w:rPr>
              <w:t>-0,96</w:t>
            </w:r>
          </w:p>
        </w:tc>
        <w:tc>
          <w:tcPr>
            <w:tcW w:w="2551"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45"/>
              <w:rPr>
                <w:rFonts w:ascii="Times New Roman" w:hAnsi="Times New Roman" w:cs="Times New Roman"/>
              </w:rPr>
            </w:pPr>
            <w:r w:rsidRPr="001F2B81">
              <w:rPr>
                <w:rFonts w:ascii="Times New Roman" w:hAnsi="Times New Roman" w:cs="Times New Roman"/>
              </w:rPr>
              <w:t>40</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264"/>
        </w:trPr>
        <w:tc>
          <w:tcPr>
            <w:tcW w:w="2129" w:type="dxa"/>
            <w:tcBorders>
              <w:top w:val="single" w:sz="4" w:space="0" w:color="000000"/>
              <w:left w:val="single" w:sz="4" w:space="0" w:color="000000"/>
              <w:bottom w:val="single" w:sz="4" w:space="0" w:color="000000"/>
              <w:right w:val="single" w:sz="4" w:space="0" w:color="000000"/>
            </w:tcBorders>
          </w:tcPr>
          <w:p w:rsidR="00E56BE0" w:rsidRPr="001F2B81" w:rsidRDefault="008F4304" w:rsidP="002B7B74">
            <w:pPr>
              <w:spacing w:line="240" w:lineRule="auto"/>
              <w:ind w:right="50"/>
              <w:rPr>
                <w:rFonts w:ascii="Times New Roman" w:hAnsi="Times New Roman" w:cs="Times New Roman"/>
              </w:rPr>
            </w:pPr>
            <w:r w:rsidRPr="001F2B81">
              <w:rPr>
                <w:rFonts w:ascii="Times New Roman" w:hAnsi="Times New Roman" w:cs="Times New Roman"/>
                <w:b/>
              </w:rPr>
              <w:t>Len M184V</w:t>
            </w:r>
          </w:p>
        </w:tc>
        <w:tc>
          <w:tcPr>
            <w:tcW w:w="566"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left="47"/>
              <w:rPr>
                <w:rFonts w:ascii="Times New Roman" w:hAnsi="Times New Roman" w:cs="Times New Roman"/>
              </w:rPr>
            </w:pPr>
            <w:r w:rsidRPr="001F2B81">
              <w:rPr>
                <w:rFonts w:ascii="Times New Roman" w:hAnsi="Times New Roman" w:cs="Times New Roman"/>
              </w:rPr>
              <w:t>75</w:t>
            </w:r>
          </w:p>
        </w:tc>
        <w:tc>
          <w:tcPr>
            <w:tcW w:w="1843"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51"/>
              <w:rPr>
                <w:rFonts w:ascii="Times New Roman" w:hAnsi="Times New Roman" w:cs="Times New Roman"/>
              </w:rPr>
            </w:pPr>
            <w:r w:rsidRPr="001F2B81">
              <w:rPr>
                <w:rFonts w:ascii="Times New Roman" w:hAnsi="Times New Roman" w:cs="Times New Roman"/>
              </w:rPr>
              <w:t>-0,74</w:t>
            </w:r>
          </w:p>
        </w:tc>
        <w:tc>
          <w:tcPr>
            <w:tcW w:w="2551"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45"/>
              <w:rPr>
                <w:rFonts w:ascii="Times New Roman" w:hAnsi="Times New Roman" w:cs="Times New Roman"/>
              </w:rPr>
            </w:pPr>
            <w:r w:rsidRPr="001F2B81">
              <w:rPr>
                <w:rFonts w:ascii="Times New Roman" w:hAnsi="Times New Roman" w:cs="Times New Roman"/>
              </w:rPr>
              <w:t>64</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768"/>
        </w:trPr>
        <w:tc>
          <w:tcPr>
            <w:tcW w:w="2129"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52"/>
              <w:rPr>
                <w:rFonts w:ascii="Times New Roman" w:hAnsi="Times New Roman" w:cs="Times New Roman"/>
              </w:rPr>
            </w:pPr>
            <w:r w:rsidRPr="001F2B81">
              <w:rPr>
                <w:rFonts w:ascii="Times New Roman" w:hAnsi="Times New Roman" w:cs="Times New Roman"/>
                <w:b/>
              </w:rPr>
              <w:t>Akákoľvek jedna</w:t>
            </w:r>
            <w:r w:rsidR="008F4304" w:rsidRPr="001F2B81">
              <w:rPr>
                <w:rFonts w:ascii="Times New Roman" w:hAnsi="Times New Roman" w:cs="Times New Roman"/>
                <w:b/>
              </w:rPr>
              <w:t xml:space="preserve"> </w:t>
            </w:r>
            <w:r w:rsidRPr="001F2B81">
              <w:rPr>
                <w:rFonts w:ascii="Times New Roman" w:hAnsi="Times New Roman" w:cs="Times New Roman"/>
                <w:b/>
              </w:rPr>
              <w:t>mutácia súvisiaca s</w:t>
            </w:r>
            <w:r w:rsidR="008F4304" w:rsidRPr="001F2B81">
              <w:rPr>
                <w:rFonts w:ascii="Times New Roman" w:hAnsi="Times New Roman" w:cs="Times New Roman"/>
                <w:b/>
              </w:rPr>
              <w:t> </w:t>
            </w:r>
            <w:r w:rsidRPr="001F2B81">
              <w:rPr>
                <w:rFonts w:ascii="Times New Roman" w:hAnsi="Times New Roman" w:cs="Times New Roman"/>
                <w:b/>
              </w:rPr>
              <w:t>NRTI</w:t>
            </w:r>
          </w:p>
        </w:tc>
        <w:tc>
          <w:tcPr>
            <w:tcW w:w="566"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left="47"/>
              <w:rPr>
                <w:rFonts w:ascii="Times New Roman" w:hAnsi="Times New Roman" w:cs="Times New Roman"/>
              </w:rPr>
            </w:pPr>
            <w:r w:rsidRPr="001F2B81">
              <w:rPr>
                <w:rFonts w:ascii="Times New Roman" w:hAnsi="Times New Roman" w:cs="Times New Roman"/>
              </w:rPr>
              <w:t>82</w:t>
            </w:r>
          </w:p>
        </w:tc>
        <w:tc>
          <w:tcPr>
            <w:tcW w:w="1843"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51"/>
              <w:rPr>
                <w:rFonts w:ascii="Times New Roman" w:hAnsi="Times New Roman" w:cs="Times New Roman"/>
              </w:rPr>
            </w:pPr>
            <w:r w:rsidRPr="001F2B81">
              <w:rPr>
                <w:rFonts w:ascii="Times New Roman" w:hAnsi="Times New Roman" w:cs="Times New Roman"/>
              </w:rPr>
              <w:t>-0,72</w:t>
            </w:r>
          </w:p>
        </w:tc>
        <w:tc>
          <w:tcPr>
            <w:tcW w:w="2551"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45"/>
              <w:rPr>
                <w:rFonts w:ascii="Times New Roman" w:hAnsi="Times New Roman" w:cs="Times New Roman"/>
              </w:rPr>
            </w:pPr>
            <w:r w:rsidRPr="001F2B81">
              <w:rPr>
                <w:rFonts w:ascii="Times New Roman" w:hAnsi="Times New Roman" w:cs="Times New Roman"/>
              </w:rPr>
              <w:t>65</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770"/>
        </w:trPr>
        <w:tc>
          <w:tcPr>
            <w:tcW w:w="2129"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right="52"/>
              <w:rPr>
                <w:rFonts w:ascii="Times New Roman" w:hAnsi="Times New Roman" w:cs="Times New Roman"/>
              </w:rPr>
            </w:pPr>
            <w:r w:rsidRPr="001F2B81">
              <w:rPr>
                <w:rFonts w:ascii="Times New Roman" w:hAnsi="Times New Roman" w:cs="Times New Roman"/>
                <w:b/>
              </w:rPr>
              <w:t>Akékoľvek dve mutácie súvisiace s</w:t>
            </w:r>
            <w:r w:rsidR="008F4304" w:rsidRPr="001F2B81">
              <w:rPr>
                <w:rFonts w:ascii="Times New Roman" w:hAnsi="Times New Roman" w:cs="Times New Roman"/>
                <w:b/>
              </w:rPr>
              <w:t> NRTI</w:t>
            </w:r>
          </w:p>
        </w:tc>
        <w:tc>
          <w:tcPr>
            <w:tcW w:w="566"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left="47"/>
              <w:rPr>
                <w:rFonts w:ascii="Times New Roman" w:hAnsi="Times New Roman" w:cs="Times New Roman"/>
              </w:rPr>
            </w:pPr>
            <w:r w:rsidRPr="001F2B81">
              <w:rPr>
                <w:rFonts w:ascii="Times New Roman" w:hAnsi="Times New Roman" w:cs="Times New Roman"/>
              </w:rPr>
              <w:t>22</w:t>
            </w:r>
          </w:p>
        </w:tc>
        <w:tc>
          <w:tcPr>
            <w:tcW w:w="1843"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51"/>
              <w:rPr>
                <w:rFonts w:ascii="Times New Roman" w:hAnsi="Times New Roman" w:cs="Times New Roman"/>
              </w:rPr>
            </w:pPr>
            <w:r w:rsidRPr="001F2B81">
              <w:rPr>
                <w:rFonts w:ascii="Times New Roman" w:hAnsi="Times New Roman" w:cs="Times New Roman"/>
              </w:rPr>
              <w:t>-0,82</w:t>
            </w:r>
          </w:p>
        </w:tc>
        <w:tc>
          <w:tcPr>
            <w:tcW w:w="2551"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45"/>
              <w:rPr>
                <w:rFonts w:ascii="Times New Roman" w:hAnsi="Times New Roman" w:cs="Times New Roman"/>
              </w:rPr>
            </w:pPr>
            <w:r w:rsidRPr="001F2B81">
              <w:rPr>
                <w:rFonts w:ascii="Times New Roman" w:hAnsi="Times New Roman" w:cs="Times New Roman"/>
              </w:rPr>
              <w:t>32</w:t>
            </w:r>
            <w:r w:rsidR="008F4304"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768"/>
        </w:trPr>
        <w:tc>
          <w:tcPr>
            <w:tcW w:w="2129" w:type="dxa"/>
            <w:tcBorders>
              <w:top w:val="single" w:sz="4" w:space="0" w:color="000000"/>
              <w:left w:val="single" w:sz="4" w:space="0" w:color="000000"/>
              <w:bottom w:val="single" w:sz="4" w:space="0" w:color="000000"/>
              <w:right w:val="single" w:sz="4" w:space="0" w:color="000000"/>
            </w:tcBorders>
          </w:tcPr>
          <w:p w:rsidR="00E56BE0" w:rsidRPr="00750AED" w:rsidRDefault="00E56BE0" w:rsidP="008F4304">
            <w:pPr>
              <w:spacing w:line="240" w:lineRule="auto"/>
              <w:ind w:right="52"/>
              <w:rPr>
                <w:rFonts w:ascii="Times New Roman" w:hAnsi="Times New Roman" w:cs="Times New Roman"/>
              </w:rPr>
            </w:pPr>
            <w:r w:rsidRPr="00750AED">
              <w:rPr>
                <w:rFonts w:ascii="Times New Roman" w:hAnsi="Times New Roman" w:cs="Times New Roman"/>
                <w:b/>
              </w:rPr>
              <w:t>Akokoľvek tri mutácie súvisiace s</w:t>
            </w:r>
            <w:r w:rsidR="008F4304" w:rsidRPr="00750AED">
              <w:rPr>
                <w:rFonts w:ascii="Times New Roman" w:hAnsi="Times New Roman" w:cs="Times New Roman"/>
                <w:b/>
              </w:rPr>
              <w:t> </w:t>
            </w:r>
            <w:r w:rsidRPr="00750AED">
              <w:rPr>
                <w:rFonts w:ascii="Times New Roman" w:hAnsi="Times New Roman" w:cs="Times New Roman"/>
                <w:b/>
              </w:rPr>
              <w:t>NRTI</w:t>
            </w:r>
          </w:p>
        </w:tc>
        <w:tc>
          <w:tcPr>
            <w:tcW w:w="566" w:type="dxa"/>
            <w:tcBorders>
              <w:top w:val="single" w:sz="4" w:space="0" w:color="000000"/>
              <w:left w:val="single" w:sz="4" w:space="0" w:color="000000"/>
              <w:bottom w:val="single" w:sz="4" w:space="0" w:color="000000"/>
              <w:right w:val="single" w:sz="4" w:space="0" w:color="000000"/>
            </w:tcBorders>
            <w:vAlign w:val="center"/>
          </w:tcPr>
          <w:p w:rsidR="00E56BE0" w:rsidRPr="00750AED" w:rsidRDefault="00E56BE0" w:rsidP="008F4304">
            <w:pPr>
              <w:spacing w:line="240" w:lineRule="auto"/>
              <w:ind w:left="47"/>
              <w:rPr>
                <w:rFonts w:ascii="Times New Roman" w:hAnsi="Times New Roman" w:cs="Times New Roman"/>
              </w:rPr>
            </w:pPr>
            <w:r w:rsidRPr="00750AED">
              <w:rPr>
                <w:rFonts w:ascii="Times New Roman" w:hAnsi="Times New Roman" w:cs="Times New Roman"/>
              </w:rPr>
              <w:t>19</w:t>
            </w:r>
          </w:p>
        </w:tc>
        <w:tc>
          <w:tcPr>
            <w:tcW w:w="1843" w:type="dxa"/>
            <w:tcBorders>
              <w:top w:val="single" w:sz="4" w:space="0" w:color="000000"/>
              <w:left w:val="single" w:sz="4" w:space="0" w:color="000000"/>
              <w:bottom w:val="single" w:sz="4" w:space="0" w:color="000000"/>
              <w:right w:val="single" w:sz="4" w:space="0" w:color="000000"/>
            </w:tcBorders>
            <w:vAlign w:val="center"/>
          </w:tcPr>
          <w:p w:rsidR="00E56BE0" w:rsidRPr="00750AED" w:rsidRDefault="00E56BE0" w:rsidP="008F4304">
            <w:pPr>
              <w:spacing w:line="240" w:lineRule="auto"/>
              <w:ind w:right="51"/>
              <w:rPr>
                <w:rFonts w:ascii="Times New Roman" w:hAnsi="Times New Roman" w:cs="Times New Roman"/>
              </w:rPr>
            </w:pPr>
            <w:r w:rsidRPr="00750AED">
              <w:rPr>
                <w:rFonts w:ascii="Times New Roman" w:hAnsi="Times New Roman" w:cs="Times New Roman"/>
              </w:rPr>
              <w:t>-0,30</w:t>
            </w:r>
          </w:p>
        </w:tc>
        <w:tc>
          <w:tcPr>
            <w:tcW w:w="2551" w:type="dxa"/>
            <w:tcBorders>
              <w:top w:val="single" w:sz="4" w:space="0" w:color="000000"/>
              <w:left w:val="single" w:sz="4" w:space="0" w:color="000000"/>
              <w:bottom w:val="single" w:sz="4" w:space="0" w:color="000000"/>
              <w:right w:val="single" w:sz="4" w:space="0" w:color="000000"/>
            </w:tcBorders>
            <w:vAlign w:val="center"/>
          </w:tcPr>
          <w:p w:rsidR="00E56BE0" w:rsidRPr="00750AED" w:rsidRDefault="00E56BE0" w:rsidP="008F4304">
            <w:pPr>
              <w:spacing w:line="240" w:lineRule="auto"/>
              <w:ind w:right="45"/>
              <w:rPr>
                <w:rFonts w:ascii="Times New Roman" w:hAnsi="Times New Roman" w:cs="Times New Roman"/>
              </w:rPr>
            </w:pPr>
            <w:r w:rsidRPr="00750AED">
              <w:rPr>
                <w:rFonts w:ascii="Times New Roman" w:hAnsi="Times New Roman" w:cs="Times New Roman"/>
              </w:rPr>
              <w:t>5</w:t>
            </w:r>
            <w:r w:rsidR="008F4304" w:rsidRPr="00750AED">
              <w:rPr>
                <w:rFonts w:ascii="Times New Roman" w:hAnsi="Times New Roman" w:cs="Times New Roman"/>
              </w:rPr>
              <w:t> </w:t>
            </w:r>
            <w:r w:rsidRPr="00750AED">
              <w:rPr>
                <w:rFonts w:ascii="Times New Roman" w:hAnsi="Times New Roman" w:cs="Times New Roman"/>
              </w:rPr>
              <w:t>%</w:t>
            </w:r>
          </w:p>
        </w:tc>
      </w:tr>
      <w:tr w:rsidR="00E56BE0" w:rsidRPr="001F2B81" w:rsidTr="00E56BE0">
        <w:trPr>
          <w:trHeight w:val="770"/>
        </w:trPr>
        <w:tc>
          <w:tcPr>
            <w:tcW w:w="2129" w:type="dxa"/>
            <w:tcBorders>
              <w:top w:val="single" w:sz="4" w:space="0" w:color="000000"/>
              <w:left w:val="single" w:sz="4" w:space="0" w:color="000000"/>
              <w:bottom w:val="single" w:sz="4" w:space="0" w:color="000000"/>
              <w:right w:val="single" w:sz="4" w:space="0" w:color="000000"/>
            </w:tcBorders>
          </w:tcPr>
          <w:p w:rsidR="00E56BE0" w:rsidRPr="001F2B81" w:rsidRDefault="00E56BE0" w:rsidP="008F4304">
            <w:pPr>
              <w:spacing w:line="240" w:lineRule="auto"/>
              <w:ind w:left="4" w:right="2"/>
              <w:rPr>
                <w:rFonts w:ascii="Times New Roman" w:hAnsi="Times New Roman" w:cs="Times New Roman"/>
              </w:rPr>
            </w:pPr>
            <w:r w:rsidRPr="001F2B81">
              <w:rPr>
                <w:rFonts w:ascii="Times New Roman" w:hAnsi="Times New Roman" w:cs="Times New Roman"/>
                <w:b/>
              </w:rPr>
              <w:lastRenderedPageBreak/>
              <w:t>Štyri alebo viac mutácií súvisiacich s</w:t>
            </w:r>
            <w:r w:rsidR="008F4304" w:rsidRPr="001F2B81">
              <w:rPr>
                <w:rFonts w:ascii="Times New Roman" w:hAnsi="Times New Roman" w:cs="Times New Roman"/>
                <w:b/>
              </w:rPr>
              <w:t> </w:t>
            </w:r>
            <w:r w:rsidRPr="001F2B81">
              <w:rPr>
                <w:rFonts w:ascii="Times New Roman" w:hAnsi="Times New Roman" w:cs="Times New Roman"/>
                <w:b/>
              </w:rPr>
              <w:t>NRTI</w:t>
            </w:r>
          </w:p>
        </w:tc>
        <w:tc>
          <w:tcPr>
            <w:tcW w:w="566"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left="47"/>
              <w:rPr>
                <w:rFonts w:ascii="Times New Roman" w:hAnsi="Times New Roman" w:cs="Times New Roman"/>
              </w:rPr>
            </w:pPr>
            <w:r w:rsidRPr="001F2B81">
              <w:rPr>
                <w:rFonts w:ascii="Times New Roman" w:hAnsi="Times New Roman" w:cs="Times New Roman"/>
              </w:rPr>
              <w:t>28</w:t>
            </w:r>
          </w:p>
        </w:tc>
        <w:tc>
          <w:tcPr>
            <w:tcW w:w="1843"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51"/>
              <w:rPr>
                <w:rFonts w:ascii="Times New Roman" w:hAnsi="Times New Roman" w:cs="Times New Roman"/>
              </w:rPr>
            </w:pPr>
            <w:r w:rsidRPr="001F2B81">
              <w:rPr>
                <w:rFonts w:ascii="Times New Roman" w:hAnsi="Times New Roman" w:cs="Times New Roman"/>
              </w:rPr>
              <w:t>-0,07</w:t>
            </w:r>
          </w:p>
        </w:tc>
        <w:tc>
          <w:tcPr>
            <w:tcW w:w="2551"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8F4304">
            <w:pPr>
              <w:spacing w:line="240" w:lineRule="auto"/>
              <w:ind w:right="45"/>
              <w:rPr>
                <w:rFonts w:ascii="Times New Roman" w:hAnsi="Times New Roman" w:cs="Times New Roman"/>
              </w:rPr>
            </w:pPr>
            <w:r w:rsidRPr="001F2B81">
              <w:rPr>
                <w:rFonts w:ascii="Times New Roman" w:hAnsi="Times New Roman" w:cs="Times New Roman"/>
              </w:rPr>
              <w:t>11</w:t>
            </w:r>
            <w:r w:rsidR="008F4304" w:rsidRPr="001F2B81">
              <w:rPr>
                <w:rFonts w:ascii="Times New Roman" w:hAnsi="Times New Roman" w:cs="Times New Roman"/>
              </w:rPr>
              <w:t> </w:t>
            </w:r>
            <w:r w:rsidRPr="001F2B81">
              <w:rPr>
                <w:rFonts w:ascii="Times New Roman" w:hAnsi="Times New Roman" w:cs="Times New Roman"/>
              </w:rPr>
              <w:t>%</w:t>
            </w:r>
          </w:p>
        </w:tc>
      </w:tr>
    </w:tbl>
    <w:p w:rsidR="00E56BE0" w:rsidRPr="001F2B81" w:rsidRDefault="00E56BE0" w:rsidP="002B7B74">
      <w:pPr>
        <w:spacing w:line="240" w:lineRule="auto"/>
        <w:ind w:left="7" w:right="992" w:hanging="1"/>
      </w:pPr>
    </w:p>
    <w:p w:rsidR="00293EFF" w:rsidRPr="001F2B81" w:rsidRDefault="00293EFF" w:rsidP="002B7B74">
      <w:pPr>
        <w:spacing w:line="240" w:lineRule="auto"/>
        <w:ind w:left="7" w:right="992" w:hanging="1"/>
      </w:pPr>
    </w:p>
    <w:p w:rsidR="00293EFF" w:rsidRPr="001F2B81" w:rsidRDefault="00293EFF" w:rsidP="002B7B74">
      <w:pPr>
        <w:spacing w:line="240" w:lineRule="auto"/>
        <w:ind w:left="7" w:right="992" w:hanging="1"/>
      </w:pPr>
    </w:p>
    <w:p w:rsidR="00293EFF" w:rsidRPr="001F2B81" w:rsidRDefault="00293EFF" w:rsidP="002B7B74">
      <w:pPr>
        <w:spacing w:line="240" w:lineRule="auto"/>
        <w:ind w:left="7" w:right="992" w:hanging="1"/>
      </w:pPr>
    </w:p>
    <w:p w:rsidR="00E56BE0" w:rsidRPr="00007196" w:rsidRDefault="00E56BE0" w:rsidP="002B7B74">
      <w:pPr>
        <w:pStyle w:val="Nadpis3"/>
        <w:spacing w:line="240" w:lineRule="auto"/>
        <w:ind w:left="2"/>
        <w:rPr>
          <w:i w:val="0"/>
        </w:rPr>
      </w:pPr>
      <w:r w:rsidRPr="00007196">
        <w:t>Fenotypová rezistencia a</w:t>
      </w:r>
      <w:r w:rsidR="008F4304" w:rsidRPr="00007196">
        <w:t> </w:t>
      </w:r>
      <w:r w:rsidRPr="00007196">
        <w:t>skrížená rezistencia</w:t>
      </w:r>
    </w:p>
    <w:p w:rsidR="00E56BE0" w:rsidRPr="00007196" w:rsidRDefault="00E56BE0" w:rsidP="002B7B74">
      <w:pPr>
        <w:spacing w:line="240" w:lineRule="auto"/>
        <w:ind w:left="3" w:right="14"/>
      </w:pPr>
      <w:r w:rsidRPr="00007196">
        <w:t>Fenotypová rezistencia na abakavir vyžaduje M184V s</w:t>
      </w:r>
      <w:r w:rsidR="008F4304" w:rsidRPr="00007196">
        <w:t> </w:t>
      </w:r>
      <w:r w:rsidRPr="00007196">
        <w:t>aspoň jednou ďalšou abakavirom vyselektovanou mutáciou, alebo M184I s</w:t>
      </w:r>
      <w:r w:rsidR="00E01CF7" w:rsidRPr="00007196">
        <w:t> </w:t>
      </w:r>
      <w:r w:rsidRPr="00007196">
        <w:t>viacerými TAM. Fenotypová skrížená rezistencia na iné NRTI len s</w:t>
      </w:r>
      <w:r w:rsidR="00E01CF7" w:rsidRPr="00007196">
        <w:t> </w:t>
      </w:r>
      <w:r w:rsidRPr="00007196">
        <w:t>mutáciou M184V alebo M184I je obmedzená. Zidovudín, didanozín, stavudín a</w:t>
      </w:r>
      <w:r w:rsidR="00E01CF7" w:rsidRPr="00007196">
        <w:t> </w:t>
      </w:r>
      <w:r w:rsidRPr="00007196">
        <w:t>tenofovir si uchovávajú svoje antiretrovírusové účinky proti takýmto variantom HIV-1. Prítomnosť M184V s</w:t>
      </w:r>
      <w:r w:rsidR="00E01CF7" w:rsidRPr="00007196">
        <w:t> </w:t>
      </w:r>
      <w:r w:rsidRPr="00007196">
        <w:t>K65R vyvoláva skríženú rezistenciu medzi abakavirom, tenofovirom, didanozínom a</w:t>
      </w:r>
      <w:r w:rsidR="00E01CF7" w:rsidRPr="00007196">
        <w:t> </w:t>
      </w:r>
      <w:r w:rsidRPr="00007196">
        <w:t>lamivudínom a</w:t>
      </w:r>
      <w:r w:rsidR="00E01CF7" w:rsidRPr="00007196">
        <w:t> </w:t>
      </w:r>
      <w:r w:rsidRPr="00007196">
        <w:t>M184V s</w:t>
      </w:r>
      <w:r w:rsidR="00E01CF7" w:rsidRPr="00007196">
        <w:t> </w:t>
      </w:r>
      <w:r w:rsidRPr="00007196">
        <w:t>L74V vyvoláva skríženú rezistenciu medzi abakavirom, didanozínom a</w:t>
      </w:r>
      <w:r w:rsidR="00E01CF7" w:rsidRPr="00007196">
        <w:t> </w:t>
      </w:r>
      <w:r w:rsidRPr="00007196">
        <w:t>lamivudínom. Prítomnosť M184V s</w:t>
      </w:r>
      <w:r w:rsidR="00E01CF7" w:rsidRPr="00007196">
        <w:t> </w:t>
      </w:r>
      <w:r w:rsidRPr="00007196">
        <w:t>Y115F</w:t>
      </w:r>
      <w:r w:rsidRPr="00007196">
        <w:rPr>
          <w:b/>
        </w:rPr>
        <w:t xml:space="preserve"> </w:t>
      </w:r>
      <w:r w:rsidRPr="00007196">
        <w:t>vyvoláva skríženú rezistenciu medzi abakavirom a</w:t>
      </w:r>
      <w:r w:rsidR="00E01CF7" w:rsidRPr="00007196">
        <w:t> </w:t>
      </w:r>
      <w:r w:rsidRPr="00007196">
        <w:t>lamivudínom. Prostredníctvom ihneď dostupných interpretačných algoritmov pre genotypovú rezistenciu na liečivo a</w:t>
      </w:r>
      <w:r w:rsidR="00E01CF7" w:rsidRPr="00007196">
        <w:t> </w:t>
      </w:r>
      <w:r w:rsidRPr="00007196">
        <w:t>komerčne dostupných testov citlivosti boli stanovené klinické hraničné hodnoty zníženej účinnosti abakaviru a</w:t>
      </w:r>
      <w:r w:rsidR="00E01CF7" w:rsidRPr="00007196">
        <w:t> </w:t>
      </w:r>
      <w:r w:rsidRPr="00007196">
        <w:t>lamivudínu ako samostatných liečiv</w:t>
      </w:r>
      <w:r w:rsidR="00435210" w:rsidRPr="00007196">
        <w:t>, ktoré predpovedajú citlivosť, čiastočnú citlivosť alebo rezistenciu na základe buď priameho merania citlivosti, alebo pomocou výpočtu fenotypovej rezistencie HIV-1 z genotypu vírusu</w:t>
      </w:r>
      <w:r w:rsidRPr="00007196">
        <w:t>. Náležité používanie abakaviru a</w:t>
      </w:r>
      <w:r w:rsidR="00E01CF7" w:rsidRPr="00007196">
        <w:t> </w:t>
      </w:r>
      <w:r w:rsidRPr="00007196">
        <w:t>lamivudínu sa môže riadiť pomocou týchto v</w:t>
      </w:r>
      <w:r w:rsidR="00E01CF7" w:rsidRPr="00007196">
        <w:t> </w:t>
      </w:r>
      <w:r w:rsidRPr="00007196">
        <w:t>súčasnosti odporúčaných algoritm</w:t>
      </w:r>
      <w:r w:rsidR="00E01CF7" w:rsidRPr="00007196">
        <w:t>ov rezistencie.</w:t>
      </w:r>
    </w:p>
    <w:p w:rsidR="00E56BE0" w:rsidRPr="00007196" w:rsidRDefault="00E56BE0" w:rsidP="002B7B74">
      <w:pPr>
        <w:spacing w:line="240" w:lineRule="auto"/>
        <w:ind w:left="8"/>
      </w:pPr>
    </w:p>
    <w:p w:rsidR="00E56BE0" w:rsidRPr="00007196" w:rsidRDefault="00E56BE0" w:rsidP="002B7B74">
      <w:pPr>
        <w:spacing w:line="240" w:lineRule="auto"/>
        <w:ind w:left="3" w:right="276"/>
      </w:pPr>
      <w:r w:rsidRPr="00007196">
        <w:t>Skrížená rezistencia medzi abakavirom alebo lamivudínom a</w:t>
      </w:r>
      <w:r w:rsidR="00E01CF7" w:rsidRPr="00007196">
        <w:t> </w:t>
      </w:r>
      <w:r w:rsidRPr="00007196">
        <w:t>antiretrovirotikami z iných tried, napr. PI al</w:t>
      </w:r>
      <w:r w:rsidR="00E01CF7" w:rsidRPr="00007196">
        <w:t>ebo NNRTI, je nepravdepodobná.</w:t>
      </w:r>
    </w:p>
    <w:p w:rsidR="00E56BE0" w:rsidRPr="00007196" w:rsidRDefault="00E56BE0" w:rsidP="002B7B74">
      <w:pPr>
        <w:spacing w:line="240" w:lineRule="auto"/>
        <w:ind w:left="8"/>
      </w:pPr>
    </w:p>
    <w:p w:rsidR="00E56BE0" w:rsidRPr="00007196" w:rsidRDefault="00E56BE0" w:rsidP="002B7B74">
      <w:pPr>
        <w:spacing w:line="240" w:lineRule="auto"/>
        <w:ind w:left="2" w:hanging="10"/>
      </w:pPr>
      <w:r w:rsidRPr="00007196">
        <w:rPr>
          <w:i/>
          <w:u w:val="single" w:color="000000"/>
        </w:rPr>
        <w:t>Klinické skúsenosti</w:t>
      </w:r>
    </w:p>
    <w:p w:rsidR="00E56BE0" w:rsidRPr="00007196" w:rsidRDefault="00E56BE0" w:rsidP="002B7B74">
      <w:pPr>
        <w:spacing w:line="240" w:lineRule="auto"/>
        <w:ind w:left="3" w:right="231"/>
      </w:pPr>
      <w:r w:rsidRPr="00007196">
        <w:t>Klinické skúsenosti s kombináciou abakaviru a</w:t>
      </w:r>
      <w:r w:rsidR="00E01CF7" w:rsidRPr="00007196">
        <w:t> </w:t>
      </w:r>
      <w:r w:rsidRPr="00007196">
        <w:t>lamivudínu v</w:t>
      </w:r>
      <w:r w:rsidR="00E01CF7" w:rsidRPr="00007196">
        <w:t> </w:t>
      </w:r>
      <w:r w:rsidRPr="00007196">
        <w:t>režime jedenkrát denne sú založené hlavne na štyroch štúdiách s</w:t>
      </w:r>
      <w:r w:rsidR="00E01CF7" w:rsidRPr="00007196">
        <w:t> </w:t>
      </w:r>
      <w:r w:rsidRPr="00007196">
        <w:t>pacientmi bez predchádzajúcej terapie, CNA30021, EPZ104057 (štúdia HEAT), ACTG5202 a</w:t>
      </w:r>
      <w:r w:rsidR="00E01CF7" w:rsidRPr="00007196">
        <w:t> </w:t>
      </w:r>
      <w:r w:rsidRPr="00007196">
        <w:t>CNA109586 (štúdia ASSERT) a</w:t>
      </w:r>
      <w:r w:rsidR="00E01CF7" w:rsidRPr="00007196">
        <w:t> </w:t>
      </w:r>
      <w:r w:rsidRPr="00007196">
        <w:t>na dvoch štúdiách s</w:t>
      </w:r>
      <w:r w:rsidR="00E01CF7" w:rsidRPr="00007196">
        <w:t> </w:t>
      </w:r>
      <w:r w:rsidRPr="00007196">
        <w:t>pacientmi po</w:t>
      </w:r>
      <w:r w:rsidR="00B423BE">
        <w:t> </w:t>
      </w:r>
      <w:r w:rsidRPr="00007196">
        <w:t>predchádzajúcej terapii, CAL30001 a</w:t>
      </w:r>
      <w:r w:rsidR="00E01CF7" w:rsidRPr="00007196">
        <w:t> </w:t>
      </w:r>
      <w:r w:rsidRPr="00007196">
        <w:t>ESS30008.</w:t>
      </w:r>
    </w:p>
    <w:p w:rsidR="00E56BE0" w:rsidRPr="00007196" w:rsidRDefault="00E56BE0" w:rsidP="002B7B74">
      <w:pPr>
        <w:spacing w:line="240" w:lineRule="auto"/>
        <w:ind w:left="8"/>
      </w:pPr>
    </w:p>
    <w:p w:rsidR="00E56BE0" w:rsidRPr="00007196" w:rsidRDefault="00E56BE0" w:rsidP="002B7B74">
      <w:pPr>
        <w:pStyle w:val="Nadpis2"/>
        <w:spacing w:after="0" w:line="240" w:lineRule="auto"/>
        <w:ind w:left="2"/>
      </w:pPr>
      <w:r w:rsidRPr="00007196">
        <w:t>Pacienti bez predchádzajúcej terapie</w:t>
      </w:r>
    </w:p>
    <w:p w:rsidR="00E56BE0" w:rsidRPr="00007196" w:rsidRDefault="00E56BE0" w:rsidP="00E01CF7">
      <w:pPr>
        <w:spacing w:line="240" w:lineRule="auto"/>
        <w:ind w:left="3" w:right="97"/>
      </w:pPr>
      <w:r w:rsidRPr="00007196">
        <w:t>Kombináciu abakaviru a lamivudínu v</w:t>
      </w:r>
      <w:r w:rsidR="00E01CF7" w:rsidRPr="00007196">
        <w:t> </w:t>
      </w:r>
      <w:r w:rsidRPr="00007196">
        <w:t>režime jedenkrát denne podporuje 48-týždňová multicentrická, dvojito zaslepená, kontrolovaná štúdia (CNA30021) so</w:t>
      </w:r>
      <w:r w:rsidR="004F4CE7" w:rsidRPr="00007196">
        <w:t> </w:t>
      </w:r>
      <w:r w:rsidRPr="00007196">
        <w:t xml:space="preserve">770 HIV-infikovanými pacientmi bez predchádzajúcej terapie. </w:t>
      </w:r>
      <w:r w:rsidR="004F4CE7" w:rsidRPr="00007196">
        <w:t>B</w:t>
      </w:r>
      <w:r w:rsidRPr="00007196">
        <w:t xml:space="preserve">oli </w:t>
      </w:r>
      <w:r w:rsidR="004F4CE7" w:rsidRPr="00007196">
        <w:t xml:space="preserve">to </w:t>
      </w:r>
      <w:r w:rsidRPr="00007196">
        <w:t>predovšetkým asymptomatickí HIV-infikovaní pacienti (CDC štádium A). Boli randomizovaní, aby užívali buď abakavir (ABC) 600</w:t>
      </w:r>
      <w:r w:rsidR="00E01CF7" w:rsidRPr="00007196">
        <w:t> </w:t>
      </w:r>
      <w:r w:rsidRPr="00007196">
        <w:t>mg jedenkrát denne, alebo 300</w:t>
      </w:r>
      <w:r w:rsidR="00E01CF7" w:rsidRPr="00007196">
        <w:t> </w:t>
      </w:r>
      <w:r w:rsidRPr="00007196">
        <w:t>mg dvakrát denne, v</w:t>
      </w:r>
      <w:r w:rsidR="00E01CF7" w:rsidRPr="00007196">
        <w:t> </w:t>
      </w:r>
      <w:r w:rsidRPr="00007196">
        <w:t>kombinácii s</w:t>
      </w:r>
      <w:r w:rsidR="00E01CF7" w:rsidRPr="00007196">
        <w:t> </w:t>
      </w:r>
      <w:r w:rsidRPr="00007196">
        <w:t>lamivudínom 300</w:t>
      </w:r>
      <w:r w:rsidR="00E01CF7" w:rsidRPr="00007196">
        <w:t> </w:t>
      </w:r>
      <w:r w:rsidRPr="00007196">
        <w:t>mg jedenkrát denne a</w:t>
      </w:r>
      <w:r w:rsidR="00E01CF7" w:rsidRPr="00007196">
        <w:t> </w:t>
      </w:r>
      <w:r w:rsidRPr="00007196">
        <w:t>efavirenzom 600</w:t>
      </w:r>
      <w:r w:rsidR="00E01CF7" w:rsidRPr="00007196">
        <w:t> </w:t>
      </w:r>
      <w:r w:rsidRPr="00007196">
        <w:t>mg jedenkrát denne. Výsledky sú zhrnuté podľa podskupín v</w:t>
      </w:r>
      <w:r w:rsidR="00E01CF7" w:rsidRPr="00007196">
        <w:t> nižšie uvedenej tabuľke:</w:t>
      </w:r>
    </w:p>
    <w:p w:rsidR="00E56BE0" w:rsidRPr="00007196" w:rsidRDefault="00E56BE0" w:rsidP="002B7B74">
      <w:pPr>
        <w:spacing w:line="240" w:lineRule="auto"/>
        <w:ind w:left="7"/>
      </w:pPr>
    </w:p>
    <w:p w:rsidR="00E56BE0" w:rsidRPr="00007196" w:rsidRDefault="00E56BE0" w:rsidP="002B7B74">
      <w:pPr>
        <w:spacing w:line="240" w:lineRule="auto"/>
        <w:ind w:left="4" w:right="361" w:hanging="10"/>
      </w:pPr>
      <w:r w:rsidRPr="00007196">
        <w:rPr>
          <w:b/>
        </w:rPr>
        <w:t>Výsledky účinnosti v</w:t>
      </w:r>
      <w:r w:rsidR="00E01CF7" w:rsidRPr="00007196">
        <w:rPr>
          <w:b/>
        </w:rPr>
        <w:t> </w:t>
      </w:r>
      <w:r w:rsidRPr="00007196">
        <w:rPr>
          <w:b/>
        </w:rPr>
        <w:t>48. týždni v štúdii CNA30021 v</w:t>
      </w:r>
      <w:r w:rsidR="00E01CF7" w:rsidRPr="00007196">
        <w:rPr>
          <w:b/>
        </w:rPr>
        <w:t> </w:t>
      </w:r>
      <w:r w:rsidRPr="00007196">
        <w:rPr>
          <w:b/>
        </w:rPr>
        <w:t>skupinách podľa východiskovej HIV-1 RNA a</w:t>
      </w:r>
      <w:r w:rsidR="00E01CF7" w:rsidRPr="00007196">
        <w:rPr>
          <w:b/>
        </w:rPr>
        <w:t> </w:t>
      </w:r>
      <w:r w:rsidRPr="00007196">
        <w:rPr>
          <w:b/>
        </w:rPr>
        <w:t>východiskového počtu CD4 (ITT exponovaná populácia, analýza TLOVR - čas do</w:t>
      </w:r>
      <w:r w:rsidR="00B423BE">
        <w:rPr>
          <w:b/>
        </w:rPr>
        <w:t> </w:t>
      </w:r>
      <w:r w:rsidRPr="00007196">
        <w:rPr>
          <w:b/>
        </w:rPr>
        <w:t xml:space="preserve">straty virologickej odpovede, jedinci bez predchádzajúcej </w:t>
      </w:r>
      <w:r w:rsidR="00B62786" w:rsidRPr="00007196">
        <w:rPr>
          <w:b/>
        </w:rPr>
        <w:t xml:space="preserve">antiretrovírusovej </w:t>
      </w:r>
      <w:r w:rsidRPr="00007196">
        <w:rPr>
          <w:b/>
        </w:rPr>
        <w:t xml:space="preserve">terapie </w:t>
      </w:r>
      <w:r w:rsidR="00B62786" w:rsidRPr="00007196">
        <w:rPr>
          <w:b/>
        </w:rPr>
        <w:t xml:space="preserve">- </w:t>
      </w:r>
      <w:r w:rsidRPr="00007196">
        <w:rPr>
          <w:b/>
        </w:rPr>
        <w:t>ART).</w:t>
      </w:r>
    </w:p>
    <w:p w:rsidR="00E56BE0" w:rsidRPr="00007196" w:rsidRDefault="00E56BE0" w:rsidP="002B7B74">
      <w:pPr>
        <w:spacing w:line="240" w:lineRule="auto"/>
        <w:ind w:left="7"/>
      </w:pPr>
    </w:p>
    <w:tbl>
      <w:tblPr>
        <w:tblStyle w:val="TableGrid"/>
        <w:tblW w:w="8179" w:type="dxa"/>
        <w:tblInd w:w="-101" w:type="dxa"/>
        <w:tblCellMar>
          <w:left w:w="108" w:type="dxa"/>
          <w:right w:w="115" w:type="dxa"/>
        </w:tblCellMar>
        <w:tblLook w:val="04A0"/>
      </w:tblPr>
      <w:tblGrid>
        <w:gridCol w:w="3369"/>
        <w:gridCol w:w="1858"/>
        <w:gridCol w:w="2952"/>
      </w:tblGrid>
      <w:tr w:rsidR="00E56BE0" w:rsidRPr="00007196" w:rsidTr="00E56BE0">
        <w:trPr>
          <w:trHeight w:val="1274"/>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b/>
              </w:rPr>
              <w:t>ABC jedenkrát denne +3TC+EFV</w:t>
            </w:r>
            <w:r w:rsidR="00FC4FF5" w:rsidRPr="001F2B81">
              <w:rPr>
                <w:rFonts w:ascii="Times New Roman" w:hAnsi="Times New Roman" w:cs="Times New Roman"/>
                <w:b/>
              </w:rPr>
              <w:t xml:space="preserve"> </w:t>
            </w:r>
            <w:r w:rsidRPr="001F2B81">
              <w:rPr>
                <w:rFonts w:ascii="Times New Roman" w:hAnsi="Times New Roman" w:cs="Times New Roman"/>
                <w:b/>
              </w:rPr>
              <w:t>(n</w:t>
            </w:r>
            <w:r w:rsidR="00FC4FF5" w:rsidRPr="001F2B81">
              <w:rPr>
                <w:rFonts w:ascii="Times New Roman" w:hAnsi="Times New Roman" w:cs="Times New Roman"/>
                <w:b/>
              </w:rPr>
              <w:t> </w:t>
            </w:r>
            <w:r w:rsidRPr="001F2B81">
              <w:rPr>
                <w:rFonts w:ascii="Times New Roman" w:hAnsi="Times New Roman" w:cs="Times New Roman"/>
                <w:b/>
              </w:rPr>
              <w:t>=</w:t>
            </w:r>
            <w:r w:rsidR="00FC4FF5" w:rsidRPr="001F2B81">
              <w:rPr>
                <w:rFonts w:ascii="Times New Roman" w:hAnsi="Times New Roman" w:cs="Times New Roman"/>
                <w:b/>
              </w:rPr>
              <w:t> </w:t>
            </w:r>
            <w:r w:rsidRPr="001F2B81">
              <w:rPr>
                <w:rFonts w:ascii="Times New Roman" w:hAnsi="Times New Roman" w:cs="Times New Roman"/>
                <w:b/>
              </w:rPr>
              <w:t>384)</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b/>
              </w:rPr>
              <w:t>ABC dvakrát denne +3TC+EFV (n</w:t>
            </w:r>
            <w:r w:rsidR="00FC4FF5" w:rsidRPr="001F2B81">
              <w:rPr>
                <w:rFonts w:ascii="Times New Roman" w:hAnsi="Times New Roman" w:cs="Times New Roman"/>
                <w:b/>
              </w:rPr>
              <w:t> </w:t>
            </w:r>
            <w:r w:rsidRPr="001F2B81">
              <w:rPr>
                <w:rFonts w:ascii="Times New Roman" w:hAnsi="Times New Roman" w:cs="Times New Roman"/>
                <w:b/>
              </w:rPr>
              <w:t>=</w:t>
            </w:r>
            <w:r w:rsidR="00FC4FF5" w:rsidRPr="001F2B81">
              <w:rPr>
                <w:rFonts w:ascii="Times New Roman" w:hAnsi="Times New Roman" w:cs="Times New Roman"/>
                <w:b/>
              </w:rPr>
              <w:t> </w:t>
            </w:r>
            <w:r w:rsidRPr="001F2B81">
              <w:rPr>
                <w:rFonts w:ascii="Times New Roman" w:hAnsi="Times New Roman" w:cs="Times New Roman"/>
                <w:b/>
              </w:rPr>
              <w:t>386)</w:t>
            </w:r>
          </w:p>
        </w:tc>
      </w:tr>
      <w:tr w:rsidR="00E56BE0" w:rsidRPr="00007196" w:rsidTr="00FC4FF5">
        <w:trPr>
          <w:trHeight w:val="719"/>
        </w:trPr>
        <w:tc>
          <w:tcPr>
            <w:tcW w:w="3370" w:type="dxa"/>
            <w:tcBorders>
              <w:top w:val="single" w:sz="4" w:space="0" w:color="000000"/>
              <w:left w:val="single" w:sz="4" w:space="0" w:color="000000"/>
              <w:bottom w:val="single" w:sz="4" w:space="0" w:color="000000"/>
              <w:right w:val="single" w:sz="4" w:space="0" w:color="000000"/>
            </w:tcBorders>
          </w:tcPr>
          <w:p w:rsidR="00B62786" w:rsidRPr="001F2B81" w:rsidRDefault="00E56BE0" w:rsidP="002B7B74">
            <w:pPr>
              <w:spacing w:line="240" w:lineRule="auto"/>
              <w:ind w:right="749"/>
              <w:rPr>
                <w:rFonts w:ascii="Times New Roman" w:hAnsi="Times New Roman" w:cs="Times New Roman"/>
                <w:b/>
              </w:rPr>
            </w:pPr>
            <w:r w:rsidRPr="001F2B81">
              <w:rPr>
                <w:rFonts w:ascii="Times New Roman" w:hAnsi="Times New Roman" w:cs="Times New Roman"/>
                <w:b/>
              </w:rPr>
              <w:t xml:space="preserve">ITT-E populácia </w:t>
            </w:r>
          </w:p>
          <w:p w:rsidR="00E56BE0" w:rsidRPr="001F2B81" w:rsidRDefault="00E56BE0" w:rsidP="002B7B74">
            <w:pPr>
              <w:spacing w:line="240" w:lineRule="auto"/>
              <w:ind w:right="749"/>
              <w:rPr>
                <w:rFonts w:ascii="Times New Roman" w:hAnsi="Times New Roman" w:cs="Times New Roman"/>
              </w:rPr>
            </w:pPr>
            <w:r w:rsidRPr="001F2B81">
              <w:rPr>
                <w:rFonts w:ascii="Times New Roman" w:hAnsi="Times New Roman" w:cs="Times New Roman"/>
                <w:b/>
              </w:rPr>
              <w:t>Analýza TLOVR</w:t>
            </w:r>
          </w:p>
        </w:tc>
        <w:tc>
          <w:tcPr>
            <w:tcW w:w="4810" w:type="dxa"/>
            <w:gridSpan w:val="2"/>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Podiel pacientov s</w:t>
            </w:r>
            <w:r w:rsidR="00FC4FF5" w:rsidRPr="001F2B81">
              <w:rPr>
                <w:rFonts w:ascii="Times New Roman" w:hAnsi="Times New Roman" w:cs="Times New Roman"/>
              </w:rPr>
              <w:t> </w:t>
            </w:r>
            <w:r w:rsidRPr="001F2B81">
              <w:rPr>
                <w:rFonts w:ascii="Times New Roman" w:hAnsi="Times New Roman" w:cs="Times New Roman"/>
              </w:rPr>
              <w:t>HIV-1 RNA &lt;</w:t>
            </w:r>
            <w:r w:rsidR="00FC4FF5" w:rsidRPr="001F2B81">
              <w:rPr>
                <w:rFonts w:ascii="Times New Roman" w:hAnsi="Times New Roman" w:cs="Times New Roman"/>
              </w:rPr>
              <w:t> </w:t>
            </w:r>
            <w:r w:rsidRPr="001F2B81">
              <w:rPr>
                <w:rFonts w:ascii="Times New Roman" w:hAnsi="Times New Roman" w:cs="Times New Roman"/>
              </w:rPr>
              <w:t>50</w:t>
            </w:r>
            <w:r w:rsidR="00FC4FF5" w:rsidRPr="001F2B81">
              <w:rPr>
                <w:rFonts w:ascii="Times New Roman" w:hAnsi="Times New Roman" w:cs="Times New Roman"/>
              </w:rPr>
              <w:t> </w:t>
            </w:r>
            <w:r w:rsidRPr="001F2B81">
              <w:rPr>
                <w:rFonts w:ascii="Times New Roman" w:hAnsi="Times New Roman" w:cs="Times New Roman"/>
              </w:rPr>
              <w:t xml:space="preserve">kópií/ml </w:t>
            </w:r>
          </w:p>
        </w:tc>
      </w:tr>
      <w:tr w:rsidR="00E56BE0" w:rsidRPr="00007196" w:rsidTr="00E56BE0">
        <w:trPr>
          <w:trHeight w:val="552"/>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r w:rsidRPr="001F2B81">
              <w:rPr>
                <w:rFonts w:ascii="Times New Roman" w:hAnsi="Times New Roman" w:cs="Times New Roman"/>
                <w:b/>
              </w:rPr>
              <w:t>Všetci pacienti</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253/384 (66</w:t>
            </w:r>
            <w:r w:rsidR="00FC4FF5" w:rsidRPr="001F2B81">
              <w:rPr>
                <w:rFonts w:ascii="Times New Roman" w:hAnsi="Times New Roman" w:cs="Times New Roman"/>
              </w:rPr>
              <w:t> </w:t>
            </w:r>
            <w:r w:rsidRPr="001F2B81">
              <w:rPr>
                <w:rFonts w:ascii="Times New Roman" w:hAnsi="Times New Roman" w:cs="Times New Roman"/>
              </w:rPr>
              <w:t>%)</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261/386 (68</w:t>
            </w:r>
            <w:r w:rsidR="00FC4FF5"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674"/>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ind w:right="64"/>
              <w:rPr>
                <w:rFonts w:ascii="Times New Roman" w:hAnsi="Times New Roman" w:cs="Times New Roman"/>
              </w:rPr>
            </w:pPr>
            <w:r w:rsidRPr="001F2B81">
              <w:rPr>
                <w:rFonts w:ascii="Times New Roman" w:hAnsi="Times New Roman" w:cs="Times New Roman"/>
                <w:b/>
              </w:rPr>
              <w:t>Skupina s</w:t>
            </w:r>
            <w:r w:rsidR="00E01CF7" w:rsidRPr="001F2B81">
              <w:rPr>
                <w:rFonts w:ascii="Times New Roman" w:hAnsi="Times New Roman" w:cs="Times New Roman"/>
                <w:b/>
              </w:rPr>
              <w:t> </w:t>
            </w:r>
            <w:r w:rsidRPr="001F2B81">
              <w:rPr>
                <w:rFonts w:ascii="Times New Roman" w:hAnsi="Times New Roman" w:cs="Times New Roman"/>
                <w:b/>
              </w:rPr>
              <w:t>východiskovou RNA &lt; 100</w:t>
            </w:r>
            <w:r w:rsidR="00E01CF7" w:rsidRPr="001F2B81">
              <w:rPr>
                <w:rFonts w:ascii="Times New Roman" w:hAnsi="Times New Roman" w:cs="Times New Roman"/>
                <w:b/>
              </w:rPr>
              <w:t> </w:t>
            </w:r>
            <w:r w:rsidRPr="001F2B81">
              <w:rPr>
                <w:rFonts w:ascii="Times New Roman" w:hAnsi="Times New Roman" w:cs="Times New Roman"/>
                <w:b/>
              </w:rPr>
              <w:t>000</w:t>
            </w:r>
            <w:r w:rsidR="00E01CF7" w:rsidRPr="001F2B81">
              <w:rPr>
                <w:rFonts w:ascii="Times New Roman" w:hAnsi="Times New Roman" w:cs="Times New Roman"/>
                <w:b/>
              </w:rPr>
              <w:t> </w:t>
            </w:r>
            <w:r w:rsidRPr="001F2B81">
              <w:rPr>
                <w:rFonts w:ascii="Times New Roman" w:hAnsi="Times New Roman" w:cs="Times New Roman"/>
                <w:b/>
              </w:rPr>
              <w:t>kópií/ml</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141/217 (65</w:t>
            </w:r>
            <w:r w:rsidR="00FC4FF5" w:rsidRPr="001F2B81">
              <w:rPr>
                <w:rFonts w:ascii="Times New Roman" w:hAnsi="Times New Roman" w:cs="Times New Roman"/>
              </w:rPr>
              <w:t> </w:t>
            </w:r>
            <w:r w:rsidRPr="001F2B81">
              <w:rPr>
                <w:rFonts w:ascii="Times New Roman" w:hAnsi="Times New Roman" w:cs="Times New Roman"/>
              </w:rPr>
              <w:t>%)</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145/217 (67</w:t>
            </w:r>
            <w:r w:rsidR="00FC4FF5"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857"/>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rPr>
                <w:rFonts w:ascii="Times New Roman" w:hAnsi="Times New Roman" w:cs="Times New Roman"/>
              </w:rPr>
            </w:pPr>
            <w:r w:rsidRPr="001F2B81">
              <w:rPr>
                <w:rFonts w:ascii="Times New Roman" w:hAnsi="Times New Roman" w:cs="Times New Roman"/>
                <w:b/>
              </w:rPr>
              <w:lastRenderedPageBreak/>
              <w:t>Skupina s</w:t>
            </w:r>
            <w:r w:rsidR="00E01CF7" w:rsidRPr="001F2B81">
              <w:rPr>
                <w:rFonts w:ascii="Times New Roman" w:hAnsi="Times New Roman" w:cs="Times New Roman"/>
                <w:b/>
              </w:rPr>
              <w:t> </w:t>
            </w:r>
            <w:r w:rsidRPr="001F2B81">
              <w:rPr>
                <w:rFonts w:ascii="Times New Roman" w:hAnsi="Times New Roman" w:cs="Times New Roman"/>
                <w:b/>
              </w:rPr>
              <w:t>východiskovou RNA &gt;=100</w:t>
            </w:r>
            <w:r w:rsidR="00E01CF7" w:rsidRPr="001F2B81">
              <w:rPr>
                <w:rFonts w:ascii="Times New Roman" w:hAnsi="Times New Roman" w:cs="Times New Roman"/>
                <w:b/>
              </w:rPr>
              <w:t> </w:t>
            </w:r>
            <w:r w:rsidRPr="001F2B81">
              <w:rPr>
                <w:rFonts w:ascii="Times New Roman" w:hAnsi="Times New Roman" w:cs="Times New Roman"/>
                <w:b/>
              </w:rPr>
              <w:t>000</w:t>
            </w:r>
            <w:r w:rsidR="00E01CF7" w:rsidRPr="001F2B81">
              <w:rPr>
                <w:rFonts w:ascii="Times New Roman" w:hAnsi="Times New Roman" w:cs="Times New Roman"/>
                <w:b/>
              </w:rPr>
              <w:t> </w:t>
            </w:r>
            <w:r w:rsidRPr="001F2B81">
              <w:rPr>
                <w:rFonts w:ascii="Times New Roman" w:hAnsi="Times New Roman" w:cs="Times New Roman"/>
                <w:b/>
              </w:rPr>
              <w:t>kópií/ml</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112/167 (67</w:t>
            </w:r>
            <w:r w:rsidR="00FC4FF5" w:rsidRPr="001F2B81">
              <w:rPr>
                <w:rFonts w:ascii="Times New Roman" w:hAnsi="Times New Roman" w:cs="Times New Roman"/>
              </w:rPr>
              <w:t> </w:t>
            </w:r>
            <w:r w:rsidRPr="001F2B81">
              <w:rPr>
                <w:rFonts w:ascii="Times New Roman" w:hAnsi="Times New Roman" w:cs="Times New Roman"/>
              </w:rPr>
              <w:t>%)</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116/169 (69</w:t>
            </w:r>
            <w:r w:rsidR="00FC4FF5"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773"/>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rPr>
                <w:rFonts w:ascii="Times New Roman" w:hAnsi="Times New Roman" w:cs="Times New Roman"/>
              </w:rPr>
            </w:pPr>
            <w:r w:rsidRPr="001F2B81">
              <w:rPr>
                <w:rFonts w:ascii="Times New Roman" w:hAnsi="Times New Roman" w:cs="Times New Roman"/>
                <w:b/>
              </w:rPr>
              <w:t>Skupina s</w:t>
            </w:r>
            <w:r w:rsidR="00E01CF7" w:rsidRPr="001F2B81">
              <w:rPr>
                <w:rFonts w:ascii="Times New Roman" w:hAnsi="Times New Roman" w:cs="Times New Roman"/>
                <w:b/>
              </w:rPr>
              <w:t> </w:t>
            </w:r>
            <w:r w:rsidRPr="001F2B81">
              <w:rPr>
                <w:rFonts w:ascii="Times New Roman" w:hAnsi="Times New Roman" w:cs="Times New Roman"/>
                <w:b/>
              </w:rPr>
              <w:t>východiskovým počtom CD4 &lt; 50</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3/6 (50</w:t>
            </w:r>
            <w:r w:rsidR="00FC4FF5" w:rsidRPr="001F2B81">
              <w:rPr>
                <w:rFonts w:ascii="Times New Roman" w:hAnsi="Times New Roman" w:cs="Times New Roman"/>
              </w:rPr>
              <w:t> </w:t>
            </w:r>
            <w:r w:rsidRPr="001F2B81">
              <w:rPr>
                <w:rFonts w:ascii="Times New Roman" w:hAnsi="Times New Roman" w:cs="Times New Roman"/>
              </w:rPr>
              <w:t>%)</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4/6 (67</w:t>
            </w:r>
            <w:r w:rsidR="00FC4FF5"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526"/>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rPr>
                <w:rFonts w:ascii="Times New Roman" w:hAnsi="Times New Roman" w:cs="Times New Roman"/>
              </w:rPr>
            </w:pPr>
            <w:r w:rsidRPr="001F2B81">
              <w:rPr>
                <w:rFonts w:ascii="Times New Roman" w:hAnsi="Times New Roman" w:cs="Times New Roman"/>
                <w:b/>
              </w:rPr>
              <w:t>Skupina s</w:t>
            </w:r>
            <w:r w:rsidR="00E01CF7" w:rsidRPr="001F2B81">
              <w:rPr>
                <w:rFonts w:ascii="Times New Roman" w:hAnsi="Times New Roman" w:cs="Times New Roman"/>
                <w:b/>
              </w:rPr>
              <w:t> </w:t>
            </w:r>
            <w:r w:rsidRPr="001F2B81">
              <w:rPr>
                <w:rFonts w:ascii="Times New Roman" w:hAnsi="Times New Roman" w:cs="Times New Roman"/>
                <w:b/>
              </w:rPr>
              <w:t>východiskovým počtom CD4 50-100</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21/40 (53</w:t>
            </w:r>
            <w:r w:rsidR="00FC4FF5" w:rsidRPr="001F2B81">
              <w:rPr>
                <w:rFonts w:ascii="Times New Roman" w:hAnsi="Times New Roman" w:cs="Times New Roman"/>
              </w:rPr>
              <w:t> </w:t>
            </w:r>
            <w:r w:rsidRPr="001F2B81">
              <w:rPr>
                <w:rFonts w:ascii="Times New Roman" w:hAnsi="Times New Roman" w:cs="Times New Roman"/>
              </w:rPr>
              <w:t>%)</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23/37 (62</w:t>
            </w:r>
            <w:r w:rsidR="00FC4FF5"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528"/>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rPr>
                <w:rFonts w:ascii="Times New Roman" w:hAnsi="Times New Roman" w:cs="Times New Roman"/>
              </w:rPr>
            </w:pPr>
            <w:r w:rsidRPr="001F2B81">
              <w:rPr>
                <w:rFonts w:ascii="Times New Roman" w:hAnsi="Times New Roman" w:cs="Times New Roman"/>
                <w:b/>
              </w:rPr>
              <w:t>Skupina s</w:t>
            </w:r>
            <w:r w:rsidR="00E01CF7" w:rsidRPr="001F2B81">
              <w:rPr>
                <w:rFonts w:ascii="Times New Roman" w:hAnsi="Times New Roman" w:cs="Times New Roman"/>
                <w:b/>
              </w:rPr>
              <w:t> </w:t>
            </w:r>
            <w:r w:rsidRPr="001F2B81">
              <w:rPr>
                <w:rFonts w:ascii="Times New Roman" w:hAnsi="Times New Roman" w:cs="Times New Roman"/>
                <w:b/>
              </w:rPr>
              <w:t>východiskovým počtom CD4 101-200</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57/85 (67</w:t>
            </w:r>
            <w:r w:rsidR="00FC4FF5" w:rsidRPr="001F2B81">
              <w:rPr>
                <w:rFonts w:ascii="Times New Roman" w:hAnsi="Times New Roman" w:cs="Times New Roman"/>
              </w:rPr>
              <w:t> </w:t>
            </w:r>
            <w:r w:rsidRPr="001F2B81">
              <w:rPr>
                <w:rFonts w:ascii="Times New Roman" w:hAnsi="Times New Roman" w:cs="Times New Roman"/>
              </w:rPr>
              <w:t>%)</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43/67 (64</w:t>
            </w:r>
            <w:r w:rsidR="00FC4FF5"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516"/>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rPr>
                <w:rFonts w:ascii="Times New Roman" w:hAnsi="Times New Roman" w:cs="Times New Roman"/>
              </w:rPr>
            </w:pPr>
            <w:r w:rsidRPr="001F2B81">
              <w:rPr>
                <w:rFonts w:ascii="Times New Roman" w:hAnsi="Times New Roman" w:cs="Times New Roman"/>
                <w:b/>
              </w:rPr>
              <w:t>Skupina s</w:t>
            </w:r>
            <w:r w:rsidR="00E01CF7" w:rsidRPr="001F2B81">
              <w:rPr>
                <w:rFonts w:ascii="Times New Roman" w:hAnsi="Times New Roman" w:cs="Times New Roman"/>
                <w:b/>
              </w:rPr>
              <w:t> </w:t>
            </w:r>
            <w:r w:rsidRPr="001F2B81">
              <w:rPr>
                <w:rFonts w:ascii="Times New Roman" w:hAnsi="Times New Roman" w:cs="Times New Roman"/>
                <w:b/>
              </w:rPr>
              <w:t>východiskovým počtom CD4 201-350</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101/143 (71</w:t>
            </w:r>
            <w:r w:rsidR="00FC4FF5" w:rsidRPr="001F2B81">
              <w:rPr>
                <w:rFonts w:ascii="Times New Roman" w:hAnsi="Times New Roman" w:cs="Times New Roman"/>
              </w:rPr>
              <w:t> </w:t>
            </w:r>
            <w:r w:rsidRPr="001F2B81">
              <w:rPr>
                <w:rFonts w:ascii="Times New Roman" w:hAnsi="Times New Roman" w:cs="Times New Roman"/>
              </w:rPr>
              <w:t>%)</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FC4FF5">
            <w:pPr>
              <w:spacing w:line="240" w:lineRule="auto"/>
              <w:rPr>
                <w:rFonts w:ascii="Times New Roman" w:hAnsi="Times New Roman" w:cs="Times New Roman"/>
              </w:rPr>
            </w:pPr>
            <w:r w:rsidRPr="001F2B81">
              <w:rPr>
                <w:rFonts w:ascii="Times New Roman" w:hAnsi="Times New Roman" w:cs="Times New Roman"/>
              </w:rPr>
              <w:t>114/170 (67</w:t>
            </w:r>
            <w:r w:rsidR="00FC4FF5" w:rsidRPr="001F2B81">
              <w:rPr>
                <w:rFonts w:ascii="Times New Roman" w:hAnsi="Times New Roman" w:cs="Times New Roman"/>
              </w:rPr>
              <w:t> </w:t>
            </w:r>
            <w:r w:rsidRPr="001F2B81">
              <w:rPr>
                <w:rFonts w:ascii="Times New Roman" w:hAnsi="Times New Roman" w:cs="Times New Roman"/>
              </w:rPr>
              <w:t>%)</w:t>
            </w:r>
          </w:p>
        </w:tc>
      </w:tr>
      <w:tr w:rsidR="00E56BE0" w:rsidRPr="00007196" w:rsidTr="00E56BE0">
        <w:trPr>
          <w:trHeight w:val="526"/>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rPr>
                <w:rFonts w:ascii="Times New Roman" w:hAnsi="Times New Roman" w:cs="Times New Roman"/>
              </w:rPr>
            </w:pPr>
            <w:r w:rsidRPr="001F2B81">
              <w:rPr>
                <w:rFonts w:ascii="Times New Roman" w:hAnsi="Times New Roman" w:cs="Times New Roman"/>
                <w:b/>
              </w:rPr>
              <w:t>Skupina s</w:t>
            </w:r>
            <w:r w:rsidR="00E01CF7" w:rsidRPr="001F2B81">
              <w:rPr>
                <w:rFonts w:ascii="Times New Roman" w:hAnsi="Times New Roman" w:cs="Times New Roman"/>
                <w:b/>
              </w:rPr>
              <w:t> </w:t>
            </w:r>
            <w:r w:rsidRPr="001F2B81">
              <w:rPr>
                <w:rFonts w:ascii="Times New Roman" w:hAnsi="Times New Roman" w:cs="Times New Roman"/>
                <w:b/>
              </w:rPr>
              <w:t>východiskovým počtom CD4 &gt; 350</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r w:rsidRPr="001F2B81">
              <w:rPr>
                <w:rFonts w:ascii="Times New Roman" w:hAnsi="Times New Roman" w:cs="Times New Roman"/>
              </w:rPr>
              <w:t xml:space="preserve">71/109 (65 %) </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r w:rsidRPr="001F2B81">
              <w:rPr>
                <w:rFonts w:ascii="Times New Roman" w:hAnsi="Times New Roman" w:cs="Times New Roman"/>
              </w:rPr>
              <w:t xml:space="preserve">76/105 (72 %) </w:t>
            </w:r>
          </w:p>
        </w:tc>
      </w:tr>
      <w:tr w:rsidR="00E56BE0" w:rsidRPr="00007196" w:rsidTr="00E56BE0">
        <w:trPr>
          <w:trHeight w:val="768"/>
        </w:trPr>
        <w:tc>
          <w:tcPr>
            <w:tcW w:w="3370" w:type="dxa"/>
            <w:tcBorders>
              <w:top w:val="single" w:sz="4" w:space="0" w:color="000000"/>
              <w:left w:val="single" w:sz="4" w:space="0" w:color="000000"/>
              <w:bottom w:val="single" w:sz="4" w:space="0" w:color="000000"/>
              <w:right w:val="single" w:sz="4" w:space="0" w:color="000000"/>
            </w:tcBorders>
          </w:tcPr>
          <w:p w:rsidR="00E56BE0" w:rsidRPr="001F2B81" w:rsidRDefault="00E56BE0" w:rsidP="00E01CF7">
            <w:pPr>
              <w:spacing w:line="240" w:lineRule="auto"/>
              <w:ind w:right="408"/>
              <w:rPr>
                <w:rFonts w:ascii="Times New Roman" w:hAnsi="Times New Roman" w:cs="Times New Roman"/>
              </w:rPr>
            </w:pPr>
            <w:r w:rsidRPr="001F2B81">
              <w:rPr>
                <w:rFonts w:ascii="Times New Roman" w:hAnsi="Times New Roman" w:cs="Times New Roman"/>
                <w:b/>
              </w:rPr>
              <w:t>Zníženie hladiny HIV RNA o</w:t>
            </w:r>
            <w:r w:rsidR="00E01CF7" w:rsidRPr="001F2B81">
              <w:rPr>
                <w:rFonts w:ascii="Times New Roman" w:hAnsi="Times New Roman" w:cs="Times New Roman"/>
                <w:b/>
              </w:rPr>
              <w:t> </w:t>
            </w:r>
            <w:r w:rsidRPr="001F2B81">
              <w:rPr>
                <w:rFonts w:ascii="Times New Roman" w:hAnsi="Times New Roman" w:cs="Times New Roman"/>
                <w:b/>
              </w:rPr>
              <w:t>&gt;</w:t>
            </w:r>
            <w:r w:rsidR="00E01CF7" w:rsidRPr="001F2B81">
              <w:rPr>
                <w:rFonts w:ascii="Times New Roman" w:hAnsi="Times New Roman" w:cs="Times New Roman"/>
                <w:b/>
              </w:rPr>
              <w:t> </w:t>
            </w:r>
            <w:r w:rsidRPr="001F2B81">
              <w:rPr>
                <w:rFonts w:ascii="Times New Roman" w:hAnsi="Times New Roman" w:cs="Times New Roman"/>
                <w:b/>
              </w:rPr>
              <w:t>1</w:t>
            </w:r>
            <w:r w:rsidR="00E01CF7" w:rsidRPr="001F2B81">
              <w:rPr>
                <w:rFonts w:ascii="Times New Roman" w:hAnsi="Times New Roman" w:cs="Times New Roman"/>
                <w:b/>
              </w:rPr>
              <w:t> </w:t>
            </w:r>
            <w:r w:rsidRPr="001F2B81">
              <w:rPr>
                <w:rFonts w:ascii="Times New Roman" w:hAnsi="Times New Roman" w:cs="Times New Roman"/>
                <w:b/>
              </w:rPr>
              <w:t>log alebo &lt; 50 kópií/ml Všetci pacienti</w:t>
            </w:r>
          </w:p>
        </w:tc>
        <w:tc>
          <w:tcPr>
            <w:tcW w:w="1858"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r w:rsidRPr="001F2B81">
              <w:rPr>
                <w:rFonts w:ascii="Times New Roman" w:hAnsi="Times New Roman" w:cs="Times New Roman"/>
              </w:rPr>
              <w:t xml:space="preserve">372/384 (97 %) </w:t>
            </w:r>
          </w:p>
        </w:tc>
        <w:tc>
          <w:tcPr>
            <w:tcW w:w="2952"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r w:rsidRPr="001F2B81">
              <w:rPr>
                <w:rFonts w:ascii="Times New Roman" w:hAnsi="Times New Roman" w:cs="Times New Roman"/>
              </w:rPr>
              <w:t xml:space="preserve">373/386 (97 %) </w:t>
            </w:r>
          </w:p>
        </w:tc>
      </w:tr>
    </w:tbl>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Podobný klinický úspech (bodový odhad pre rozdiel liečby: -1,7</w:t>
      </w:r>
      <w:r w:rsidR="00402A1B" w:rsidRPr="00007196">
        <w:t>;</w:t>
      </w:r>
      <w:r w:rsidRPr="00007196">
        <w:t xml:space="preserve"> 95</w:t>
      </w:r>
      <w:r w:rsidR="00FC4FF5" w:rsidRPr="00007196">
        <w:t> </w:t>
      </w:r>
      <w:r w:rsidRPr="00007196">
        <w:t>% I</w:t>
      </w:r>
      <w:r w:rsidR="00402A1B" w:rsidRPr="00007196">
        <w:t>S = Interval spoľahlivosti</w:t>
      </w:r>
      <w:r w:rsidRPr="00007196">
        <w:t xml:space="preserve"> -</w:t>
      </w:r>
      <w:r w:rsidR="00402A1B" w:rsidRPr="00007196">
        <w:t xml:space="preserve"> </w:t>
      </w:r>
      <w:r w:rsidRPr="00007196">
        <w:t>8,4</w:t>
      </w:r>
      <w:r w:rsidR="00402A1B" w:rsidRPr="00007196">
        <w:t>;</w:t>
      </w:r>
      <w:r w:rsidRPr="00007196">
        <w:t xml:space="preserve"> 4,9) bol pozorovaný u</w:t>
      </w:r>
      <w:r w:rsidR="00FC4FF5" w:rsidRPr="00007196">
        <w:t> </w:t>
      </w:r>
      <w:r w:rsidRPr="00007196">
        <w:t>oboch režimov. Z</w:t>
      </w:r>
      <w:r w:rsidR="00FC4FF5" w:rsidRPr="00007196">
        <w:t> </w:t>
      </w:r>
      <w:r w:rsidRPr="00007196">
        <w:t>týchto výsledkov je možné vyvodiť záver s</w:t>
      </w:r>
      <w:r w:rsidR="00FC4FF5" w:rsidRPr="00007196">
        <w:t> </w:t>
      </w:r>
      <w:r w:rsidRPr="00007196">
        <w:t>95</w:t>
      </w:r>
      <w:r w:rsidR="00FC4FF5" w:rsidRPr="00007196">
        <w:t> </w:t>
      </w:r>
      <w:r w:rsidRPr="00007196">
        <w:t>% spoľahlivosťou, že skutočný rozdiel nie je väčší než 8,4</w:t>
      </w:r>
      <w:r w:rsidR="00FC4FF5" w:rsidRPr="00007196">
        <w:t> </w:t>
      </w:r>
      <w:r w:rsidRPr="00007196">
        <w:t>% v</w:t>
      </w:r>
      <w:r w:rsidR="00FC4FF5" w:rsidRPr="00007196">
        <w:t> </w:t>
      </w:r>
      <w:r w:rsidRPr="00007196">
        <w:t>prospech dávkovacej schémy dvakrát denne. Tento potenciálny rozdiel je dostatočne malý na vyvodenie celkového záveru</w:t>
      </w:r>
      <w:r w:rsidR="007D7475" w:rsidRPr="00007196">
        <w:t>, </w:t>
      </w:r>
      <w:r w:rsidR="00402A1B" w:rsidRPr="00007196">
        <w:t>že abakavir podávaný jedenkrát denne nie je menej účinný ako</w:t>
      </w:r>
      <w:r w:rsidRPr="00007196">
        <w:t xml:space="preserve"> abakavir </w:t>
      </w:r>
      <w:r w:rsidR="00402A1B" w:rsidRPr="00007196">
        <w:t xml:space="preserve">podávaný </w:t>
      </w:r>
      <w:r w:rsidRPr="00007196">
        <w:t>dvakrát denne.</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V</w:t>
      </w:r>
      <w:r w:rsidR="00FC4FF5" w:rsidRPr="00007196">
        <w:t> </w:t>
      </w:r>
      <w:r w:rsidRPr="00007196">
        <w:t>liečebnej skupine s</w:t>
      </w:r>
      <w:r w:rsidR="005454D8" w:rsidRPr="00007196">
        <w:t> </w:t>
      </w:r>
      <w:r w:rsidRPr="00007196">
        <w:t>režimom jedenkrát denne aj v</w:t>
      </w:r>
      <w:r w:rsidR="00FC4FF5" w:rsidRPr="00007196">
        <w:t> </w:t>
      </w:r>
      <w:r w:rsidRPr="00007196">
        <w:t>skupine s</w:t>
      </w:r>
      <w:r w:rsidR="00FC4FF5" w:rsidRPr="00007196">
        <w:t> </w:t>
      </w:r>
      <w:r w:rsidRPr="00007196">
        <w:t>režimom dvakrát denne bol nízky, podobný celkový výskyt virologického zlyhania (vírusová záťaž</w:t>
      </w:r>
      <w:r w:rsidR="00FC4FF5" w:rsidRPr="00007196">
        <w:t> </w:t>
      </w:r>
      <w:r w:rsidRPr="00007196">
        <w:t>&gt;</w:t>
      </w:r>
      <w:r w:rsidR="00FC4FF5" w:rsidRPr="00007196">
        <w:t> </w:t>
      </w:r>
      <w:r w:rsidRPr="00007196">
        <w:t>50</w:t>
      </w:r>
      <w:r w:rsidR="00FC4FF5" w:rsidRPr="00007196">
        <w:t> kópií/ml) (10 % v </w:t>
      </w:r>
      <w:r w:rsidRPr="00007196">
        <w:t>skupine s</w:t>
      </w:r>
      <w:r w:rsidR="00FC4FF5" w:rsidRPr="00007196">
        <w:t> </w:t>
      </w:r>
      <w:r w:rsidRPr="00007196">
        <w:t>režimom jedenkrát denne a</w:t>
      </w:r>
      <w:r w:rsidR="00FC4FF5" w:rsidRPr="00007196">
        <w:t> </w:t>
      </w:r>
      <w:r w:rsidRPr="00007196">
        <w:t>8</w:t>
      </w:r>
      <w:r w:rsidR="00FC4FF5" w:rsidRPr="00007196">
        <w:t> </w:t>
      </w:r>
      <w:r w:rsidRPr="00007196">
        <w:t>% v</w:t>
      </w:r>
      <w:r w:rsidR="00FC4FF5" w:rsidRPr="00007196">
        <w:t> </w:t>
      </w:r>
      <w:r w:rsidRPr="00007196">
        <w:t>skupine s</w:t>
      </w:r>
      <w:r w:rsidR="00FC4FF5" w:rsidRPr="00007196">
        <w:t> </w:t>
      </w:r>
      <w:r w:rsidRPr="00007196">
        <w:t>režimom dvakrát denne). V</w:t>
      </w:r>
      <w:r w:rsidR="00FC4FF5" w:rsidRPr="00007196">
        <w:t> </w:t>
      </w:r>
      <w:r w:rsidRPr="00007196">
        <w:t>malej vzorke na genotypovú analýzu bola tendencia k</w:t>
      </w:r>
      <w:r w:rsidR="00FC4FF5" w:rsidRPr="00007196">
        <w:t> </w:t>
      </w:r>
      <w:r w:rsidRPr="00007196">
        <w:t>vyššej miere mutácií súvisiacich s</w:t>
      </w:r>
      <w:r w:rsidR="00FC4FF5" w:rsidRPr="00007196">
        <w:t> </w:t>
      </w:r>
      <w:r w:rsidRPr="00007196">
        <w:t>NRTI u</w:t>
      </w:r>
      <w:r w:rsidR="00FC4FF5" w:rsidRPr="00007196">
        <w:t> </w:t>
      </w:r>
      <w:r w:rsidRPr="00007196">
        <w:t>abakaviru v</w:t>
      </w:r>
      <w:r w:rsidR="00FC4FF5" w:rsidRPr="00007196">
        <w:t> </w:t>
      </w:r>
      <w:r w:rsidRPr="00007196">
        <w:t>režime jedenkrát denne oproti abakaviru v</w:t>
      </w:r>
      <w:r w:rsidR="00FC4FF5" w:rsidRPr="00007196">
        <w:t> </w:t>
      </w:r>
      <w:r w:rsidRPr="00007196">
        <w:t>režime dvakrát denne. Z</w:t>
      </w:r>
      <w:r w:rsidR="00FC4FF5" w:rsidRPr="00007196">
        <w:t> </w:t>
      </w:r>
      <w:r w:rsidRPr="00007196">
        <w:t>dôvodu obmedzených údajov získaných z</w:t>
      </w:r>
      <w:r w:rsidR="00FC4FF5" w:rsidRPr="00007196">
        <w:t> </w:t>
      </w:r>
      <w:r w:rsidRPr="00007196">
        <w:t xml:space="preserve">tejto štúdie nie je možné vyvodiť žiadny </w:t>
      </w:r>
      <w:r w:rsidR="007D7475" w:rsidRPr="00007196">
        <w:t>jednoznačný</w:t>
      </w:r>
      <w:r w:rsidRPr="00007196">
        <w:t xml:space="preserve"> záver.</w:t>
      </w:r>
    </w:p>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V</w:t>
      </w:r>
      <w:r w:rsidR="00FC4FF5" w:rsidRPr="00007196">
        <w:t> </w:t>
      </w:r>
      <w:r w:rsidRPr="00007196">
        <w:t>niekoľkých porovnávacích štúdiách s</w:t>
      </w:r>
      <w:r w:rsidR="00FC4FF5" w:rsidRPr="00007196">
        <w:t> abakavirom/lamivudínom</w:t>
      </w:r>
      <w:r w:rsidRPr="00007196">
        <w:t>,</w:t>
      </w:r>
      <w:r w:rsidRPr="00007196">
        <w:rPr>
          <w:i/>
        </w:rPr>
        <w:t xml:space="preserve"> </w:t>
      </w:r>
      <w:r w:rsidRPr="00007196">
        <w:t>t.j.</w:t>
      </w:r>
      <w:r w:rsidRPr="00007196">
        <w:rPr>
          <w:i/>
        </w:rPr>
        <w:t xml:space="preserve"> HEAT, ACTG5202 </w:t>
      </w:r>
      <w:r w:rsidRPr="00007196">
        <w:t>a</w:t>
      </w:r>
      <w:r w:rsidR="00FC4FF5" w:rsidRPr="00007196">
        <w:rPr>
          <w:i/>
        </w:rPr>
        <w:t> </w:t>
      </w:r>
      <w:r w:rsidRPr="00007196">
        <w:rPr>
          <w:i/>
        </w:rPr>
        <w:t>ASSERT</w:t>
      </w:r>
      <w:r w:rsidRPr="00007196">
        <w:t>, sa získali protikladné údaje:</w:t>
      </w:r>
    </w:p>
    <w:p w:rsidR="00E56BE0" w:rsidRPr="00007196" w:rsidRDefault="00E56BE0" w:rsidP="002B7B74">
      <w:pPr>
        <w:spacing w:line="240" w:lineRule="auto"/>
        <w:ind w:left="7"/>
      </w:pPr>
    </w:p>
    <w:p w:rsidR="00E56BE0" w:rsidRPr="00007196" w:rsidRDefault="00E56BE0" w:rsidP="002B7B74">
      <w:pPr>
        <w:spacing w:line="240" w:lineRule="auto"/>
        <w:ind w:left="3" w:right="514"/>
      </w:pPr>
      <w:r w:rsidRPr="00007196">
        <w:t>EPZ104057 (štúdia HEAT) bola randomizovaná, dvojito zaslepená, placebom kontrolovaná, 96-týždňová, multicentrická štúdia, ktorej primárnym cieľom bolo vyhodnotiť relatívnu účinnosť abakaviru/lamivudínu (ABC/3TC, 600</w:t>
      </w:r>
      <w:r w:rsidR="00FC4FF5" w:rsidRPr="00007196">
        <w:t> </w:t>
      </w:r>
      <w:r w:rsidRPr="00007196">
        <w:t>mg/300</w:t>
      </w:r>
      <w:r w:rsidR="00FC4FF5" w:rsidRPr="00007196">
        <w:t> </w:t>
      </w:r>
      <w:r w:rsidRPr="00007196">
        <w:t>mg) a tenofoviru/emtricitabínu (TDF/FTC, 300</w:t>
      </w:r>
      <w:r w:rsidR="00FC4FF5" w:rsidRPr="00007196">
        <w:t> </w:t>
      </w:r>
      <w:r w:rsidRPr="00007196">
        <w:t>mg/200</w:t>
      </w:r>
      <w:r w:rsidR="00FC4FF5" w:rsidRPr="00007196">
        <w:t> </w:t>
      </w:r>
      <w:r w:rsidRPr="00007196">
        <w:t>mg), oba lieky sa podávali jedenkrát denne v</w:t>
      </w:r>
      <w:r w:rsidR="00FC4FF5" w:rsidRPr="00007196">
        <w:t> </w:t>
      </w:r>
      <w:r w:rsidRPr="00007196">
        <w:t>kombinácii s</w:t>
      </w:r>
      <w:r w:rsidR="00FC4FF5" w:rsidRPr="00007196">
        <w:t> </w:t>
      </w:r>
      <w:r w:rsidRPr="00007196">
        <w:t>lopinavirom/ritonavirom (LPV/r, 800</w:t>
      </w:r>
      <w:r w:rsidR="00FC4FF5" w:rsidRPr="00007196">
        <w:t> </w:t>
      </w:r>
      <w:r w:rsidRPr="00007196">
        <w:t>mg/200</w:t>
      </w:r>
      <w:r w:rsidR="00FC4FF5" w:rsidRPr="00007196">
        <w:t> </w:t>
      </w:r>
      <w:r w:rsidRPr="00007196">
        <w:t>mg) HIV-infikovaným dospelým pacientom bez predchádzajúcej liečby.</w:t>
      </w:r>
    </w:p>
    <w:p w:rsidR="00E56BE0" w:rsidRPr="00007196" w:rsidRDefault="00E56BE0" w:rsidP="002B7B74">
      <w:pPr>
        <w:spacing w:line="240" w:lineRule="auto"/>
        <w:ind w:left="3" w:right="14"/>
      </w:pPr>
      <w:r w:rsidRPr="00007196">
        <w:t>V</w:t>
      </w:r>
      <w:r w:rsidR="005454D8" w:rsidRPr="00007196">
        <w:t> </w:t>
      </w:r>
      <w:r w:rsidRPr="00007196">
        <w:t>primárnej analýze účinnosti vykonanej v</w:t>
      </w:r>
      <w:r w:rsidR="005454D8" w:rsidRPr="00007196">
        <w:t> </w:t>
      </w:r>
      <w:r w:rsidRPr="00007196">
        <w:t>48.</w:t>
      </w:r>
      <w:r w:rsidR="005454D8" w:rsidRPr="00007196">
        <w:t> </w:t>
      </w:r>
      <w:r w:rsidRPr="00007196">
        <w:t>týždni štúdii, ktorá pokračovala až do 96.</w:t>
      </w:r>
      <w:r w:rsidR="005454D8" w:rsidRPr="00007196">
        <w:t> </w:t>
      </w:r>
      <w:r w:rsidRPr="00007196">
        <w:t xml:space="preserve">týždňa sa preukázala </w:t>
      </w:r>
      <w:r w:rsidR="007D7475" w:rsidRPr="00007196">
        <w:t>porovnateľná účinnosť oboch liečebných režimov</w:t>
      </w:r>
      <w:r w:rsidRPr="00007196">
        <w:t>. Výsledky sú zhrnuté nižšie:</w:t>
      </w:r>
    </w:p>
    <w:p w:rsidR="00E56BE0" w:rsidRPr="00007196" w:rsidRDefault="00E56BE0" w:rsidP="002B7B74">
      <w:pPr>
        <w:spacing w:line="240" w:lineRule="auto"/>
        <w:ind w:left="7"/>
      </w:pPr>
    </w:p>
    <w:p w:rsidR="007D7475" w:rsidRPr="00042751" w:rsidRDefault="00E56BE0" w:rsidP="005454D8">
      <w:pPr>
        <w:spacing w:line="240" w:lineRule="auto"/>
        <w:ind w:left="3" w:right="14"/>
        <w:rPr>
          <w:b/>
        </w:rPr>
      </w:pPr>
      <w:r w:rsidRPr="00042751">
        <w:rPr>
          <w:b/>
        </w:rPr>
        <w:t>Virologická odpoveď zakladajúca sa na plazmatickej HIV-1 RNA &lt;</w:t>
      </w:r>
      <w:r w:rsidR="005454D8" w:rsidRPr="00042751">
        <w:rPr>
          <w:b/>
        </w:rPr>
        <w:t> </w:t>
      </w:r>
      <w:r w:rsidRPr="00042751">
        <w:rPr>
          <w:b/>
        </w:rPr>
        <w:t>50</w:t>
      </w:r>
      <w:r w:rsidR="005454D8" w:rsidRPr="00042751">
        <w:rPr>
          <w:b/>
        </w:rPr>
        <w:t> </w:t>
      </w:r>
      <w:r w:rsidRPr="00042751">
        <w:rPr>
          <w:b/>
        </w:rPr>
        <w:t xml:space="preserve">kópií/ml </w:t>
      </w:r>
    </w:p>
    <w:p w:rsidR="00E56BE0" w:rsidRPr="00007196" w:rsidRDefault="00E56BE0" w:rsidP="005454D8">
      <w:pPr>
        <w:spacing w:line="240" w:lineRule="auto"/>
        <w:ind w:left="3" w:right="14"/>
      </w:pPr>
      <w:r w:rsidRPr="00042751">
        <w:rPr>
          <w:b/>
        </w:rPr>
        <w:t xml:space="preserve">ITT-Exponovaná populácia, </w:t>
      </w:r>
      <w:r w:rsidR="007D7475" w:rsidRPr="00042751">
        <w:rPr>
          <w:b/>
        </w:rPr>
        <w:t xml:space="preserve">so zahrnutím zámeny </w:t>
      </w:r>
      <w:r w:rsidRPr="00042751">
        <w:rPr>
          <w:b/>
        </w:rPr>
        <w:t>M=F</w:t>
      </w:r>
    </w:p>
    <w:tbl>
      <w:tblPr>
        <w:tblStyle w:val="TableGrid"/>
        <w:tblW w:w="9288" w:type="dxa"/>
        <w:tblInd w:w="-101" w:type="dxa"/>
        <w:tblCellMar>
          <w:left w:w="170" w:type="dxa"/>
          <w:right w:w="115" w:type="dxa"/>
        </w:tblCellMar>
        <w:tblLook w:val="04A0"/>
      </w:tblPr>
      <w:tblGrid>
        <w:gridCol w:w="4236"/>
        <w:gridCol w:w="1262"/>
        <w:gridCol w:w="1263"/>
        <w:gridCol w:w="1262"/>
        <w:gridCol w:w="1265"/>
      </w:tblGrid>
      <w:tr w:rsidR="00E56BE0" w:rsidRPr="003533C9" w:rsidTr="00E56BE0">
        <w:trPr>
          <w:trHeight w:val="516"/>
        </w:trPr>
        <w:tc>
          <w:tcPr>
            <w:tcW w:w="4236" w:type="dxa"/>
            <w:vMerge w:val="restart"/>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5454D8">
            <w:pPr>
              <w:spacing w:line="240" w:lineRule="auto"/>
              <w:ind w:right="54"/>
              <w:rPr>
                <w:rFonts w:ascii="Times New Roman" w:hAnsi="Times New Roman" w:cs="Times New Roman"/>
              </w:rPr>
            </w:pPr>
            <w:r w:rsidRPr="001F2B81">
              <w:rPr>
                <w:rFonts w:ascii="Times New Roman" w:hAnsi="Times New Roman" w:cs="Times New Roman"/>
                <w:b/>
              </w:rPr>
              <w:t>Virologická odpoveď</w:t>
            </w:r>
          </w:p>
        </w:tc>
        <w:tc>
          <w:tcPr>
            <w:tcW w:w="2525" w:type="dxa"/>
            <w:gridSpan w:val="2"/>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111" w:right="63"/>
              <w:rPr>
                <w:rFonts w:ascii="Times New Roman" w:hAnsi="Times New Roman" w:cs="Times New Roman"/>
              </w:rPr>
            </w:pPr>
            <w:r w:rsidRPr="001F2B81">
              <w:rPr>
                <w:rFonts w:ascii="Times New Roman" w:hAnsi="Times New Roman" w:cs="Times New Roman"/>
                <w:b/>
              </w:rPr>
              <w:t>ABC/3TC +LPV/r (N</w:t>
            </w:r>
            <w:r w:rsidR="005454D8" w:rsidRPr="001F2B81">
              <w:rPr>
                <w:rFonts w:ascii="Times New Roman" w:hAnsi="Times New Roman" w:cs="Times New Roman"/>
                <w:b/>
              </w:rPr>
              <w:t> </w:t>
            </w:r>
            <w:r w:rsidRPr="001F2B81">
              <w:rPr>
                <w:rFonts w:ascii="Times New Roman" w:hAnsi="Times New Roman" w:cs="Times New Roman"/>
                <w:b/>
              </w:rPr>
              <w:t>= 343)</w:t>
            </w:r>
          </w:p>
        </w:tc>
        <w:tc>
          <w:tcPr>
            <w:tcW w:w="2527" w:type="dxa"/>
            <w:gridSpan w:val="2"/>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87" w:right="89"/>
              <w:rPr>
                <w:rFonts w:ascii="Times New Roman" w:hAnsi="Times New Roman" w:cs="Times New Roman"/>
              </w:rPr>
            </w:pPr>
            <w:r w:rsidRPr="001F2B81">
              <w:rPr>
                <w:rFonts w:ascii="Times New Roman" w:hAnsi="Times New Roman" w:cs="Times New Roman"/>
                <w:b/>
              </w:rPr>
              <w:t>TDF/FTC + LPV/r (N</w:t>
            </w:r>
            <w:r w:rsidR="005454D8" w:rsidRPr="001F2B81">
              <w:rPr>
                <w:rFonts w:ascii="Times New Roman" w:hAnsi="Times New Roman" w:cs="Times New Roman"/>
                <w:b/>
              </w:rPr>
              <w:t> </w:t>
            </w:r>
            <w:r w:rsidRPr="001F2B81">
              <w:rPr>
                <w:rFonts w:ascii="Times New Roman" w:hAnsi="Times New Roman" w:cs="Times New Roman"/>
                <w:b/>
              </w:rPr>
              <w:t>= 345)</w:t>
            </w:r>
          </w:p>
        </w:tc>
      </w:tr>
      <w:tr w:rsidR="00E56BE0" w:rsidRPr="003533C9" w:rsidTr="00E56BE0">
        <w:trPr>
          <w:trHeight w:val="262"/>
        </w:trPr>
        <w:tc>
          <w:tcPr>
            <w:tcW w:w="0" w:type="auto"/>
            <w:vMerge/>
            <w:tcBorders>
              <w:top w:val="nil"/>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48. týždeň</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2"/>
              <w:rPr>
                <w:rFonts w:ascii="Times New Roman" w:hAnsi="Times New Roman" w:cs="Times New Roman"/>
              </w:rPr>
            </w:pPr>
            <w:r w:rsidRPr="001F2B81">
              <w:rPr>
                <w:rFonts w:ascii="Times New Roman" w:hAnsi="Times New Roman" w:cs="Times New Roman"/>
              </w:rPr>
              <w:t>96. týždeň</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2"/>
              <w:rPr>
                <w:rFonts w:ascii="Times New Roman" w:hAnsi="Times New Roman" w:cs="Times New Roman"/>
              </w:rPr>
            </w:pPr>
            <w:r w:rsidRPr="001F2B81">
              <w:rPr>
                <w:rFonts w:ascii="Times New Roman" w:hAnsi="Times New Roman" w:cs="Times New Roman"/>
              </w:rPr>
              <w:t>48. týždeň</w:t>
            </w:r>
          </w:p>
        </w:tc>
        <w:tc>
          <w:tcPr>
            <w:tcW w:w="1265"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2"/>
              <w:rPr>
                <w:rFonts w:ascii="Times New Roman" w:hAnsi="Times New Roman" w:cs="Times New Roman"/>
              </w:rPr>
            </w:pPr>
            <w:r w:rsidRPr="001F2B81">
              <w:rPr>
                <w:rFonts w:ascii="Times New Roman" w:hAnsi="Times New Roman" w:cs="Times New Roman"/>
              </w:rPr>
              <w:t>96. týždeň</w:t>
            </w:r>
          </w:p>
        </w:tc>
      </w:tr>
      <w:tr w:rsidR="00E56BE0" w:rsidRPr="003533C9" w:rsidTr="00E56BE0">
        <w:trPr>
          <w:trHeight w:val="516"/>
        </w:trPr>
        <w:tc>
          <w:tcPr>
            <w:tcW w:w="4236"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right="55"/>
              <w:rPr>
                <w:rFonts w:ascii="Times New Roman" w:hAnsi="Times New Roman" w:cs="Times New Roman"/>
              </w:rPr>
            </w:pPr>
            <w:r w:rsidRPr="001F2B81">
              <w:rPr>
                <w:rFonts w:ascii="Times New Roman" w:hAnsi="Times New Roman" w:cs="Times New Roman"/>
                <w:b/>
              </w:rPr>
              <w:t>Celková odpoveď (stratifikovaná podľa východiskovej HIV-1 RNA)</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231/343 (68</w:t>
            </w:r>
            <w:r w:rsidR="005454D8" w:rsidRPr="001F2B81">
              <w:rPr>
                <w:rFonts w:ascii="Times New Roman" w:hAnsi="Times New Roman" w:cs="Times New Roman"/>
              </w:rPr>
              <w:t> </w:t>
            </w:r>
            <w:r w:rsidRPr="001F2B81">
              <w:rPr>
                <w:rFonts w:ascii="Times New Roman" w:hAnsi="Times New Roman" w:cs="Times New Roman"/>
              </w:rPr>
              <w:t>%)</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205/343 (60</w:t>
            </w:r>
            <w:r w:rsidR="005454D8" w:rsidRPr="001F2B81">
              <w:rPr>
                <w:rFonts w:ascii="Times New Roman" w:hAnsi="Times New Roman" w:cs="Times New Roman"/>
              </w:rPr>
              <w:t> </w:t>
            </w:r>
            <w:r w:rsidRPr="001F2B81">
              <w:rPr>
                <w:rFonts w:ascii="Times New Roman" w:hAnsi="Times New Roman" w:cs="Times New Roman"/>
              </w:rPr>
              <w:t xml:space="preserve">%) </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232/345 (67</w:t>
            </w:r>
            <w:r w:rsidR="005454D8" w:rsidRPr="001F2B81">
              <w:rPr>
                <w:rFonts w:ascii="Times New Roman" w:hAnsi="Times New Roman" w:cs="Times New Roman"/>
              </w:rPr>
              <w:t> </w:t>
            </w:r>
            <w:r w:rsidRPr="001F2B81">
              <w:rPr>
                <w:rFonts w:ascii="Times New Roman" w:hAnsi="Times New Roman" w:cs="Times New Roman"/>
              </w:rPr>
              <w:t>%)</w:t>
            </w:r>
          </w:p>
        </w:tc>
        <w:tc>
          <w:tcPr>
            <w:tcW w:w="1265"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200/345 (58</w:t>
            </w:r>
            <w:r w:rsidR="005454D8" w:rsidRPr="001F2B81">
              <w:rPr>
                <w:rFonts w:ascii="Times New Roman" w:hAnsi="Times New Roman" w:cs="Times New Roman"/>
              </w:rPr>
              <w:t> </w:t>
            </w:r>
            <w:r w:rsidRPr="001F2B81">
              <w:rPr>
                <w:rFonts w:ascii="Times New Roman" w:hAnsi="Times New Roman" w:cs="Times New Roman"/>
              </w:rPr>
              <w:t>%)</w:t>
            </w:r>
          </w:p>
        </w:tc>
      </w:tr>
      <w:tr w:rsidR="00E56BE0" w:rsidRPr="003533C9" w:rsidTr="00E56BE0">
        <w:trPr>
          <w:trHeight w:val="516"/>
        </w:trPr>
        <w:tc>
          <w:tcPr>
            <w:tcW w:w="4236"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b/>
              </w:rPr>
              <w:t>Odpoveď podľa východiskovej HIV-1 RNA &lt; 100</w:t>
            </w:r>
            <w:r w:rsidR="003B669A" w:rsidRPr="001F2B81">
              <w:rPr>
                <w:rFonts w:ascii="Times New Roman" w:hAnsi="Times New Roman" w:cs="Times New Roman"/>
                <w:b/>
              </w:rPr>
              <w:t> </w:t>
            </w:r>
            <w:r w:rsidRPr="001F2B81">
              <w:rPr>
                <w:rFonts w:ascii="Times New Roman" w:hAnsi="Times New Roman" w:cs="Times New Roman"/>
                <w:b/>
              </w:rPr>
              <w:t>000 kópií/ml</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134/188 (71</w:t>
            </w:r>
            <w:r w:rsidR="005454D8" w:rsidRPr="001F2B81">
              <w:rPr>
                <w:rFonts w:ascii="Times New Roman" w:hAnsi="Times New Roman" w:cs="Times New Roman"/>
              </w:rPr>
              <w:t> </w:t>
            </w:r>
            <w:r w:rsidRPr="001F2B81">
              <w:rPr>
                <w:rFonts w:ascii="Times New Roman" w:hAnsi="Times New Roman" w:cs="Times New Roman"/>
              </w:rPr>
              <w:t>%)</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118/188 (63</w:t>
            </w:r>
            <w:r w:rsidR="005454D8" w:rsidRPr="001F2B81">
              <w:rPr>
                <w:rFonts w:ascii="Times New Roman" w:hAnsi="Times New Roman" w:cs="Times New Roman"/>
              </w:rPr>
              <w:t> </w:t>
            </w:r>
            <w:r w:rsidRPr="001F2B81">
              <w:rPr>
                <w:rFonts w:ascii="Times New Roman" w:hAnsi="Times New Roman" w:cs="Times New Roman"/>
              </w:rPr>
              <w:t>%)</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141/205 (69 %)</w:t>
            </w:r>
          </w:p>
        </w:tc>
        <w:tc>
          <w:tcPr>
            <w:tcW w:w="1265"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rPr>
              <w:t>1</w:t>
            </w:r>
            <w:r w:rsidR="005454D8" w:rsidRPr="001F2B81">
              <w:rPr>
                <w:rFonts w:ascii="Times New Roman" w:hAnsi="Times New Roman" w:cs="Times New Roman"/>
              </w:rPr>
              <w:t>19/205 (58 %)</w:t>
            </w:r>
          </w:p>
        </w:tc>
      </w:tr>
      <w:tr w:rsidR="00E56BE0" w:rsidRPr="003533C9" w:rsidTr="00E56BE0">
        <w:trPr>
          <w:trHeight w:val="516"/>
        </w:trPr>
        <w:tc>
          <w:tcPr>
            <w:tcW w:w="4236"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rPr>
                <w:rFonts w:ascii="Times New Roman" w:hAnsi="Times New Roman" w:cs="Times New Roman"/>
              </w:rPr>
            </w:pPr>
            <w:r w:rsidRPr="001F2B81">
              <w:rPr>
                <w:rFonts w:ascii="Times New Roman" w:hAnsi="Times New Roman" w:cs="Times New Roman"/>
                <w:b/>
              </w:rPr>
              <w:t xml:space="preserve">Odpoveď podľa východiskovej HIV-1 RNA </w:t>
            </w:r>
            <w:r w:rsidRPr="00042751">
              <w:rPr>
                <w:rFonts w:hint="eastAsia"/>
                <w:b/>
              </w:rPr>
              <w:t>≥</w:t>
            </w:r>
            <w:r w:rsidRPr="001F2B81">
              <w:rPr>
                <w:rFonts w:ascii="Times New Roman" w:hAnsi="Times New Roman" w:cs="Times New Roman"/>
                <w:b/>
              </w:rPr>
              <w:t xml:space="preserve"> 100</w:t>
            </w:r>
            <w:r w:rsidR="003B669A" w:rsidRPr="001F2B81">
              <w:rPr>
                <w:rFonts w:ascii="Times New Roman" w:hAnsi="Times New Roman" w:cs="Times New Roman"/>
                <w:b/>
              </w:rPr>
              <w:t> </w:t>
            </w:r>
            <w:r w:rsidRPr="001F2B81">
              <w:rPr>
                <w:rFonts w:ascii="Times New Roman" w:hAnsi="Times New Roman" w:cs="Times New Roman"/>
                <w:b/>
              </w:rPr>
              <w:t>000 kópií/ml</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4" w:right="8"/>
              <w:rPr>
                <w:rFonts w:ascii="Times New Roman" w:hAnsi="Times New Roman" w:cs="Times New Roman"/>
              </w:rPr>
            </w:pPr>
            <w:r w:rsidRPr="001F2B81">
              <w:rPr>
                <w:rFonts w:ascii="Times New Roman" w:hAnsi="Times New Roman" w:cs="Times New Roman"/>
              </w:rPr>
              <w:t>97/155 (63</w:t>
            </w:r>
            <w:r w:rsidR="005454D8" w:rsidRPr="001F2B81">
              <w:rPr>
                <w:rFonts w:ascii="Times New Roman" w:hAnsi="Times New Roman" w:cs="Times New Roman"/>
              </w:rPr>
              <w:t> </w:t>
            </w:r>
            <w:r w:rsidRPr="001F2B81">
              <w:rPr>
                <w:rFonts w:ascii="Times New Roman" w:hAnsi="Times New Roman" w:cs="Times New Roman"/>
              </w:rPr>
              <w:t>%)</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6" w:right="6"/>
              <w:rPr>
                <w:rFonts w:ascii="Times New Roman" w:hAnsi="Times New Roman" w:cs="Times New Roman"/>
              </w:rPr>
            </w:pPr>
            <w:r w:rsidRPr="001F2B81">
              <w:rPr>
                <w:rFonts w:ascii="Times New Roman" w:hAnsi="Times New Roman" w:cs="Times New Roman"/>
              </w:rPr>
              <w:t>87/155 (56</w:t>
            </w:r>
            <w:r w:rsidR="005454D8" w:rsidRPr="001F2B81">
              <w:rPr>
                <w:rFonts w:ascii="Times New Roman" w:hAnsi="Times New Roman" w:cs="Times New Roman"/>
              </w:rPr>
              <w:t> </w:t>
            </w:r>
            <w:r w:rsidRPr="001F2B81">
              <w:rPr>
                <w:rFonts w:ascii="Times New Roman" w:hAnsi="Times New Roman" w:cs="Times New Roman"/>
              </w:rPr>
              <w:t>%)</w:t>
            </w:r>
          </w:p>
        </w:tc>
        <w:tc>
          <w:tcPr>
            <w:tcW w:w="1262"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6" w:right="6"/>
              <w:rPr>
                <w:rFonts w:ascii="Times New Roman" w:hAnsi="Times New Roman" w:cs="Times New Roman"/>
              </w:rPr>
            </w:pPr>
            <w:r w:rsidRPr="001F2B81">
              <w:rPr>
                <w:rFonts w:ascii="Times New Roman" w:hAnsi="Times New Roman" w:cs="Times New Roman"/>
              </w:rPr>
              <w:t>91/140 (65</w:t>
            </w:r>
            <w:r w:rsidR="005454D8" w:rsidRPr="001F2B81">
              <w:rPr>
                <w:rFonts w:ascii="Times New Roman" w:hAnsi="Times New Roman" w:cs="Times New Roman"/>
              </w:rPr>
              <w:t> </w:t>
            </w:r>
            <w:r w:rsidRPr="001F2B81">
              <w:rPr>
                <w:rFonts w:ascii="Times New Roman" w:hAnsi="Times New Roman" w:cs="Times New Roman"/>
              </w:rPr>
              <w:t>%)</w:t>
            </w:r>
          </w:p>
        </w:tc>
        <w:tc>
          <w:tcPr>
            <w:tcW w:w="1265" w:type="dxa"/>
            <w:tcBorders>
              <w:top w:val="single" w:sz="4" w:space="0" w:color="000000"/>
              <w:left w:val="single" w:sz="4" w:space="0" w:color="000000"/>
              <w:bottom w:val="single" w:sz="4" w:space="0" w:color="000000"/>
              <w:right w:val="single" w:sz="4" w:space="0" w:color="000000"/>
            </w:tcBorders>
          </w:tcPr>
          <w:p w:rsidR="00E56BE0" w:rsidRPr="001F2B81" w:rsidRDefault="00E56BE0" w:rsidP="005454D8">
            <w:pPr>
              <w:spacing w:line="240" w:lineRule="auto"/>
              <w:ind w:left="6" w:right="8"/>
              <w:rPr>
                <w:rFonts w:ascii="Times New Roman" w:hAnsi="Times New Roman" w:cs="Times New Roman"/>
              </w:rPr>
            </w:pPr>
            <w:r w:rsidRPr="001F2B81">
              <w:rPr>
                <w:rFonts w:ascii="Times New Roman" w:hAnsi="Times New Roman" w:cs="Times New Roman"/>
              </w:rPr>
              <w:t>81/140 (58</w:t>
            </w:r>
            <w:r w:rsidR="005454D8" w:rsidRPr="001F2B81">
              <w:rPr>
                <w:rFonts w:ascii="Times New Roman" w:hAnsi="Times New Roman" w:cs="Times New Roman"/>
              </w:rPr>
              <w:t> </w:t>
            </w:r>
            <w:r w:rsidRPr="001F2B81">
              <w:rPr>
                <w:rFonts w:ascii="Times New Roman" w:hAnsi="Times New Roman" w:cs="Times New Roman"/>
              </w:rPr>
              <w:t>%)</w:t>
            </w:r>
          </w:p>
        </w:tc>
      </w:tr>
    </w:tbl>
    <w:p w:rsidR="00E56BE0" w:rsidRPr="003533C9" w:rsidRDefault="00E56BE0" w:rsidP="002B7B74">
      <w:pPr>
        <w:spacing w:line="240" w:lineRule="auto"/>
        <w:ind w:left="7"/>
      </w:pPr>
    </w:p>
    <w:p w:rsidR="00E56BE0" w:rsidRPr="003533C9" w:rsidRDefault="00E56BE0" w:rsidP="002B7B74">
      <w:pPr>
        <w:spacing w:line="240" w:lineRule="auto"/>
        <w:ind w:left="3" w:right="637"/>
      </w:pPr>
      <w:r w:rsidRPr="003533C9">
        <w:t>Pri oboch liečebných režimoch sa pozorovala podobná virologická odpoveď (bodový odhad pre rozdiel medzi liečbami v 48. týždni: 0,39</w:t>
      </w:r>
      <w:r w:rsidR="005454D8" w:rsidRPr="003533C9">
        <w:t> </w:t>
      </w:r>
      <w:r w:rsidRPr="003533C9">
        <w:t>%, 95</w:t>
      </w:r>
      <w:r w:rsidR="005454D8" w:rsidRPr="003533C9">
        <w:t> </w:t>
      </w:r>
      <w:r w:rsidRPr="003533C9">
        <w:t>% I</w:t>
      </w:r>
      <w:r w:rsidR="003B669A" w:rsidRPr="003533C9">
        <w:t>S</w:t>
      </w:r>
      <w:r w:rsidRPr="003533C9">
        <w:t>: -6,63; 7,40).</w:t>
      </w:r>
    </w:p>
    <w:p w:rsidR="00E56BE0" w:rsidRPr="003533C9" w:rsidRDefault="00E56BE0" w:rsidP="002B7B74">
      <w:pPr>
        <w:spacing w:line="240" w:lineRule="auto"/>
        <w:ind w:left="7"/>
      </w:pPr>
    </w:p>
    <w:p w:rsidR="00E56BE0" w:rsidRPr="003533C9" w:rsidRDefault="00E56BE0" w:rsidP="002B7B74">
      <w:pPr>
        <w:spacing w:line="240" w:lineRule="auto"/>
        <w:ind w:left="3" w:right="121"/>
      </w:pPr>
      <w:r w:rsidRPr="003533C9">
        <w:t>ACTG 5202 bola multicentrická, porovnávacia, randomizovaná štúdia s</w:t>
      </w:r>
      <w:r w:rsidR="005454D8" w:rsidRPr="003533C9">
        <w:t> </w:t>
      </w:r>
      <w:r w:rsidRPr="003533C9">
        <w:t>dvojito zaslepeným podávaním abakaviru/lamivudínu alebo emtricitabínu/tenofoviru v</w:t>
      </w:r>
      <w:r w:rsidR="005454D8" w:rsidRPr="003533C9">
        <w:t> </w:t>
      </w:r>
      <w:r w:rsidRPr="003533C9">
        <w:t>kombinácii s</w:t>
      </w:r>
      <w:r w:rsidR="005454D8" w:rsidRPr="003533C9">
        <w:t> </w:t>
      </w:r>
      <w:r w:rsidRPr="003533C9">
        <w:t xml:space="preserve">otvoreným podávaním efavirenzu alebo atazanaviru/ritonaviru HIV-infikovaným pacientom bez predchádzajúcej liečby. Pacienti boli </w:t>
      </w:r>
      <w:r w:rsidR="00DF2FF4" w:rsidRPr="003533C9">
        <w:t xml:space="preserve">rozdelení </w:t>
      </w:r>
      <w:r w:rsidR="003B669A" w:rsidRPr="003533C9">
        <w:t>na základe</w:t>
      </w:r>
      <w:r w:rsidRPr="003533C9">
        <w:t xml:space="preserve"> skríningu plazmatickej hladiny HIV-1 RNA</w:t>
      </w:r>
      <w:r w:rsidR="005454D8" w:rsidRPr="003533C9">
        <w:t> </w:t>
      </w:r>
      <w:r w:rsidR="00DF2FF4" w:rsidRPr="003533C9">
        <w:t xml:space="preserve">do skupiny s hladinou </w:t>
      </w:r>
      <w:r w:rsidRPr="003533C9">
        <w:t>&lt;</w:t>
      </w:r>
      <w:r w:rsidR="005454D8" w:rsidRPr="003533C9">
        <w:t> </w:t>
      </w:r>
      <w:r w:rsidRPr="003533C9">
        <w:t>100</w:t>
      </w:r>
      <w:r w:rsidR="003B669A" w:rsidRPr="003533C9">
        <w:t> </w:t>
      </w:r>
      <w:r w:rsidRPr="003533C9">
        <w:t>000 a</w:t>
      </w:r>
      <w:r w:rsidR="00DF2FF4" w:rsidRPr="003533C9">
        <w:t xml:space="preserve">lebo s hladinou </w:t>
      </w:r>
      <w:r w:rsidR="005454D8" w:rsidRPr="003533C9">
        <w:t> ≥ 100</w:t>
      </w:r>
      <w:r w:rsidR="003B669A" w:rsidRPr="003533C9">
        <w:t> </w:t>
      </w:r>
      <w:r w:rsidR="005454D8" w:rsidRPr="003533C9">
        <w:t>000 kópií/ml.</w:t>
      </w:r>
    </w:p>
    <w:p w:rsidR="00E56BE0" w:rsidRPr="003533C9" w:rsidRDefault="00E56BE0" w:rsidP="002B7B74">
      <w:pPr>
        <w:spacing w:line="240" w:lineRule="auto"/>
        <w:ind w:left="7"/>
      </w:pPr>
    </w:p>
    <w:p w:rsidR="00E56BE0" w:rsidRPr="003533C9" w:rsidRDefault="00E56BE0" w:rsidP="002B7B74">
      <w:pPr>
        <w:spacing w:line="240" w:lineRule="auto"/>
        <w:ind w:left="3" w:right="14"/>
      </w:pPr>
      <w:r w:rsidRPr="003533C9">
        <w:t>Predbežná analýza vykonaná v</w:t>
      </w:r>
      <w:r w:rsidR="005454D8" w:rsidRPr="003533C9">
        <w:t> </w:t>
      </w:r>
      <w:r w:rsidRPr="003533C9">
        <w:t>štúdii ACTG 5202 odhalila , že podávanie abakaviru/lamivudínu bolo spojené so štatisticky s</w:t>
      </w:r>
      <w:r w:rsidR="00DF2FF4" w:rsidRPr="003533C9">
        <w:t> významne</w:t>
      </w:r>
      <w:r w:rsidRPr="003533C9">
        <w:t xml:space="preserve"> vyšším rizikom virologického zlyhania v</w:t>
      </w:r>
      <w:r w:rsidR="005454D8" w:rsidRPr="003533C9">
        <w:t> </w:t>
      </w:r>
      <w:r w:rsidRPr="003533C9">
        <w:t>porovnaní s</w:t>
      </w:r>
      <w:r w:rsidR="005454D8" w:rsidRPr="003533C9">
        <w:t> </w:t>
      </w:r>
      <w:r w:rsidRPr="003533C9">
        <w:t>emtricitabínom/tenofovirom (definované ako virologická záťaž &gt;</w:t>
      </w:r>
      <w:r w:rsidR="005454D8" w:rsidRPr="003533C9">
        <w:t> </w:t>
      </w:r>
      <w:r w:rsidRPr="003533C9">
        <w:t>1</w:t>
      </w:r>
      <w:r w:rsidR="005454D8" w:rsidRPr="003533C9">
        <w:t> </w:t>
      </w:r>
      <w:r w:rsidRPr="003533C9">
        <w:t>000 kópií/ml v</w:t>
      </w:r>
      <w:r w:rsidR="005454D8" w:rsidRPr="003533C9">
        <w:t> </w:t>
      </w:r>
      <w:r w:rsidRPr="003533C9">
        <w:t>16. alebo po</w:t>
      </w:r>
      <w:r w:rsidR="00B423BE">
        <w:t> </w:t>
      </w:r>
      <w:r w:rsidRPr="003533C9">
        <w:t>16.</w:t>
      </w:r>
      <w:r w:rsidR="005454D8" w:rsidRPr="003533C9">
        <w:t> </w:t>
      </w:r>
      <w:r w:rsidRPr="003533C9">
        <w:t>týždni a pred 24.</w:t>
      </w:r>
      <w:r w:rsidR="005454D8" w:rsidRPr="003533C9">
        <w:t> </w:t>
      </w:r>
      <w:r w:rsidRPr="003533C9">
        <w:t>týždňom alebo hladina HIV-RNA &gt; 200</w:t>
      </w:r>
      <w:r w:rsidR="005454D8" w:rsidRPr="003533C9">
        <w:t> </w:t>
      </w:r>
      <w:r w:rsidRPr="003533C9">
        <w:t>kópií/ml v</w:t>
      </w:r>
      <w:r w:rsidR="005454D8" w:rsidRPr="003533C9">
        <w:t> </w:t>
      </w:r>
      <w:r w:rsidRPr="003533C9">
        <w:t>24.</w:t>
      </w:r>
      <w:r w:rsidR="005454D8" w:rsidRPr="003533C9">
        <w:t> </w:t>
      </w:r>
      <w:r w:rsidRPr="003533C9">
        <w:t>alebo po 24.</w:t>
      </w:r>
      <w:r w:rsidR="005454D8" w:rsidRPr="003533C9">
        <w:t> </w:t>
      </w:r>
      <w:r w:rsidRPr="003533C9">
        <w:t>týždni) u</w:t>
      </w:r>
      <w:r w:rsidR="005454D8" w:rsidRPr="003533C9">
        <w:t> </w:t>
      </w:r>
      <w:r w:rsidRPr="003533C9">
        <w:t>jedincov, ktorí mali pri skríningu vírusovú záťaž ≥</w:t>
      </w:r>
      <w:r w:rsidR="005454D8" w:rsidRPr="003533C9">
        <w:t> </w:t>
      </w:r>
      <w:r w:rsidRPr="003533C9">
        <w:t>100</w:t>
      </w:r>
      <w:r w:rsidR="005454D8" w:rsidRPr="003533C9">
        <w:t> </w:t>
      </w:r>
      <w:r w:rsidRPr="003533C9">
        <w:t xml:space="preserve">000 kópií/ml (odhadovaná hodnota </w:t>
      </w:r>
      <w:r w:rsidR="00DF2FF4" w:rsidRPr="003533C9">
        <w:t>pomeru rizík</w:t>
      </w:r>
      <w:r w:rsidRPr="003533C9">
        <w:t>: 2,33, 95</w:t>
      </w:r>
      <w:r w:rsidR="005454D8" w:rsidRPr="003533C9">
        <w:t> </w:t>
      </w:r>
      <w:r w:rsidRPr="003533C9">
        <w:t>% I</w:t>
      </w:r>
      <w:r w:rsidR="00DF2FF4" w:rsidRPr="003533C9">
        <w:t>S</w:t>
      </w:r>
      <w:r w:rsidRPr="003533C9">
        <w:t>: 1,46; 3,72, p = 0,0003). Komisia pre monitorovanie bezpečnostných údajov (Data Safety Monitoring Board, DSMB) odporučila, aby sa zvážila zmena v</w:t>
      </w:r>
      <w:r w:rsidR="005454D8" w:rsidRPr="003533C9">
        <w:t> </w:t>
      </w:r>
      <w:r w:rsidRPr="003533C9">
        <w:t>liečbe u</w:t>
      </w:r>
      <w:r w:rsidR="005454D8" w:rsidRPr="003533C9">
        <w:t> </w:t>
      </w:r>
      <w:r w:rsidRPr="003533C9">
        <w:t>všetkých jedincov s</w:t>
      </w:r>
      <w:r w:rsidR="005454D8" w:rsidRPr="003533C9">
        <w:t> </w:t>
      </w:r>
      <w:r w:rsidRPr="003533C9">
        <w:t>vysokou mierou vírusovej záťaže kvôli zisteným rozdielom v</w:t>
      </w:r>
      <w:r w:rsidR="005454D8" w:rsidRPr="003533C9">
        <w:t> </w:t>
      </w:r>
      <w:r w:rsidRPr="003533C9">
        <w:t>účinnosti. U</w:t>
      </w:r>
      <w:r w:rsidR="005454D8" w:rsidRPr="003533C9">
        <w:t> </w:t>
      </w:r>
      <w:r w:rsidRPr="003533C9">
        <w:t>jedincov s</w:t>
      </w:r>
      <w:r w:rsidR="005454D8" w:rsidRPr="003533C9">
        <w:t> </w:t>
      </w:r>
      <w:r w:rsidRPr="003533C9">
        <w:t>nízkou mierou vírusovej záťaže zostala liečba zaslepená a</w:t>
      </w:r>
      <w:r w:rsidR="005454D8" w:rsidRPr="003533C9">
        <w:t> </w:t>
      </w:r>
      <w:r w:rsidRPr="003533C9">
        <w:t>pokračovali v</w:t>
      </w:r>
      <w:r w:rsidR="005454D8" w:rsidRPr="003533C9">
        <w:t> </w:t>
      </w:r>
      <w:r w:rsidRPr="003533C9">
        <w:t>štúdii.</w:t>
      </w:r>
    </w:p>
    <w:p w:rsidR="00E56BE0" w:rsidRPr="003533C9" w:rsidRDefault="00E56BE0" w:rsidP="002B7B74">
      <w:pPr>
        <w:spacing w:line="240" w:lineRule="auto"/>
        <w:ind w:left="3" w:right="14"/>
      </w:pPr>
      <w:r w:rsidRPr="003533C9">
        <w:t>Analýza údajov získaných od jedincov s</w:t>
      </w:r>
      <w:r w:rsidR="005454D8" w:rsidRPr="003533C9">
        <w:t> </w:t>
      </w:r>
      <w:r w:rsidRPr="003533C9">
        <w:t>nízkou mierou vírusovej záťaže neodhalila preukázateľný rozdiel medzi</w:t>
      </w:r>
      <w:r w:rsidR="00163AEA" w:rsidRPr="003533C9">
        <w:t xml:space="preserve"> analógmi nukleozidov</w:t>
      </w:r>
      <w:r w:rsidRPr="003533C9">
        <w:t xml:space="preserve"> v</w:t>
      </w:r>
      <w:r w:rsidR="005454D8" w:rsidRPr="003533C9">
        <w:t> </w:t>
      </w:r>
      <w:r w:rsidRPr="003533C9">
        <w:t>podiele pacientov bez virologického zlyhania v</w:t>
      </w:r>
      <w:r w:rsidR="005454D8" w:rsidRPr="003533C9">
        <w:t> </w:t>
      </w:r>
      <w:r w:rsidRPr="003533C9">
        <w:t>96. týžd</w:t>
      </w:r>
      <w:r w:rsidR="005454D8" w:rsidRPr="003533C9">
        <w:t>ni. Výsledky sú uvedené nižšie:</w:t>
      </w:r>
    </w:p>
    <w:p w:rsidR="00E56BE0" w:rsidRPr="00007196" w:rsidRDefault="00E56BE0" w:rsidP="002B7B74">
      <w:pPr>
        <w:numPr>
          <w:ilvl w:val="0"/>
          <w:numId w:val="8"/>
        </w:numPr>
        <w:tabs>
          <w:tab w:val="clear" w:pos="567"/>
        </w:tabs>
        <w:spacing w:line="240" w:lineRule="auto"/>
        <w:ind w:left="373" w:right="14" w:hanging="9"/>
      </w:pPr>
      <w:r w:rsidRPr="003533C9">
        <w:t>88,3</w:t>
      </w:r>
      <w:r w:rsidR="005454D8" w:rsidRPr="003533C9">
        <w:t> </w:t>
      </w:r>
      <w:r w:rsidRPr="003533C9">
        <w:t>% s ABC/3TC oproti 90,3</w:t>
      </w:r>
      <w:r w:rsidR="005454D8" w:rsidRPr="003533C9">
        <w:t> </w:t>
      </w:r>
      <w:r w:rsidRPr="003533C9">
        <w:t>% s TDF/FTC, keď sa už</w:t>
      </w:r>
      <w:r w:rsidRPr="00007196">
        <w:t>ívali s</w:t>
      </w:r>
      <w:r w:rsidR="005454D8" w:rsidRPr="00007196">
        <w:t> </w:t>
      </w:r>
      <w:r w:rsidRPr="00007196">
        <w:t>atazanavirom/ritonavirom ako tretím liekom, rozdiel medzi liečbami -2,0</w:t>
      </w:r>
      <w:r w:rsidR="005454D8" w:rsidRPr="00007196">
        <w:t> </w:t>
      </w:r>
      <w:r w:rsidRPr="00007196">
        <w:t>% (95 % I</w:t>
      </w:r>
      <w:r w:rsidR="00163AEA" w:rsidRPr="00007196">
        <w:t>S</w:t>
      </w:r>
      <w:r w:rsidRPr="00007196">
        <w:t>: -7,5 %, 3,4</w:t>
      </w:r>
      <w:r w:rsidR="005454D8" w:rsidRPr="00007196">
        <w:t> %),</w:t>
      </w:r>
    </w:p>
    <w:p w:rsidR="00E56BE0" w:rsidRPr="00007196" w:rsidRDefault="00E56BE0" w:rsidP="002B7B74">
      <w:pPr>
        <w:numPr>
          <w:ilvl w:val="0"/>
          <w:numId w:val="8"/>
        </w:numPr>
        <w:tabs>
          <w:tab w:val="clear" w:pos="567"/>
        </w:tabs>
        <w:spacing w:line="240" w:lineRule="auto"/>
        <w:ind w:left="373" w:right="14" w:hanging="9"/>
      </w:pPr>
      <w:r w:rsidRPr="00007196">
        <w:t>87,4</w:t>
      </w:r>
      <w:r w:rsidR="005454D8" w:rsidRPr="00007196">
        <w:t> </w:t>
      </w:r>
      <w:r w:rsidRPr="00007196">
        <w:t>% s ABC/3TC oproti 89,2</w:t>
      </w:r>
      <w:r w:rsidR="005454D8" w:rsidRPr="00007196">
        <w:t> </w:t>
      </w:r>
      <w:r w:rsidRPr="00007196">
        <w:t>% s TDF/FTC, keď sa užívali s</w:t>
      </w:r>
      <w:r w:rsidR="005454D8" w:rsidRPr="00007196">
        <w:t> </w:t>
      </w:r>
      <w:r w:rsidRPr="00007196">
        <w:t>efavirenzom ako tretím liekom, rozdiel medzi liečbami -1,8</w:t>
      </w:r>
      <w:r w:rsidR="005454D8" w:rsidRPr="00007196">
        <w:t> </w:t>
      </w:r>
      <w:r w:rsidRPr="00007196">
        <w:t>% (95</w:t>
      </w:r>
      <w:r w:rsidR="005454D8" w:rsidRPr="00007196">
        <w:t> </w:t>
      </w:r>
      <w:r w:rsidRPr="00007196">
        <w:t>% I</w:t>
      </w:r>
      <w:r w:rsidR="00163AEA" w:rsidRPr="00007196">
        <w:t>S</w:t>
      </w:r>
      <w:r w:rsidRPr="00007196">
        <w:t>:. -7,5</w:t>
      </w:r>
      <w:r w:rsidR="005454D8" w:rsidRPr="00007196">
        <w:t> </w:t>
      </w:r>
      <w:r w:rsidRPr="00007196">
        <w:t>%, 3,9</w:t>
      </w:r>
      <w:r w:rsidR="005454D8" w:rsidRPr="00007196">
        <w:t> </w:t>
      </w:r>
      <w:r w:rsidRPr="00007196">
        <w:t>%).</w:t>
      </w:r>
    </w:p>
    <w:p w:rsidR="00E56BE0" w:rsidRPr="00007196" w:rsidRDefault="00E56BE0" w:rsidP="002B7B74">
      <w:pPr>
        <w:spacing w:line="240" w:lineRule="auto"/>
        <w:ind w:left="7"/>
      </w:pPr>
    </w:p>
    <w:p w:rsidR="00E56BE0" w:rsidRPr="00007196" w:rsidRDefault="00E56BE0" w:rsidP="002B7B74">
      <w:pPr>
        <w:spacing w:line="240" w:lineRule="auto"/>
        <w:ind w:left="3" w:right="140"/>
      </w:pPr>
      <w:r w:rsidRPr="00007196">
        <w:t>CNA109586 (štúdia ASSERT) bola multicentrická, otvorená, randomizovaná štúdia s</w:t>
      </w:r>
      <w:r w:rsidR="00652C65" w:rsidRPr="00007196">
        <w:t> </w:t>
      </w:r>
      <w:r w:rsidRPr="00007196">
        <w:t>abakavirom/lamivudínom (ABC/3TC, 600 mg/300</w:t>
      </w:r>
      <w:r w:rsidR="00652C65" w:rsidRPr="00007196">
        <w:t> </w:t>
      </w:r>
      <w:r w:rsidRPr="00007196">
        <w:t>mg) a</w:t>
      </w:r>
      <w:r w:rsidR="00652C65" w:rsidRPr="00007196">
        <w:t> </w:t>
      </w:r>
      <w:r w:rsidRPr="00007196">
        <w:t>tenofovirom/emtricitabínom (TDF/FTC, 300mg/200mg), oba lieky sa podávali jedenkrát denne spolu s</w:t>
      </w:r>
      <w:r w:rsidR="00652C65" w:rsidRPr="00007196">
        <w:t> </w:t>
      </w:r>
      <w:r w:rsidRPr="00007196">
        <w:t>efavirenzom (EFV, 600</w:t>
      </w:r>
      <w:r w:rsidR="00652C65" w:rsidRPr="00007196">
        <w:t> </w:t>
      </w:r>
      <w:r w:rsidRPr="00007196">
        <w:t>mg) HIV-1 infikovaným dospelým pacientom s</w:t>
      </w:r>
      <w:r w:rsidR="00652C65" w:rsidRPr="00007196">
        <w:t> </w:t>
      </w:r>
      <w:r w:rsidRPr="00007196">
        <w:t>negatívnym nálezom HLA-B*5701, ktorí boli bez predchádzajúcej antiretrovírusovej liečby.</w:t>
      </w:r>
      <w:r w:rsidR="00652C65" w:rsidRPr="00007196">
        <w:t xml:space="preserve"> </w:t>
      </w:r>
      <w:r w:rsidRPr="00007196">
        <w:t>Virologické výsledky sú zhrnuté v</w:t>
      </w:r>
      <w:r w:rsidR="00652C65" w:rsidRPr="00007196">
        <w:t> </w:t>
      </w:r>
      <w:r w:rsidRPr="00007196">
        <w:t>nižšie uvedenej tabuľke:</w:t>
      </w:r>
    </w:p>
    <w:p w:rsidR="00E56BE0" w:rsidRPr="00007196" w:rsidRDefault="00E56BE0" w:rsidP="00652C65">
      <w:pPr>
        <w:spacing w:line="240" w:lineRule="auto"/>
        <w:ind w:left="3" w:right="140"/>
      </w:pPr>
    </w:p>
    <w:p w:rsidR="00E56BE0" w:rsidRPr="00007196" w:rsidRDefault="00E56BE0" w:rsidP="00652C65">
      <w:pPr>
        <w:spacing w:line="240" w:lineRule="auto"/>
        <w:ind w:left="3" w:right="140"/>
        <w:rPr>
          <w:b/>
        </w:rPr>
      </w:pPr>
      <w:r w:rsidRPr="00007196">
        <w:rPr>
          <w:b/>
        </w:rPr>
        <w:t>Virologická odpoveď v</w:t>
      </w:r>
      <w:r w:rsidR="00652C65" w:rsidRPr="00007196">
        <w:rPr>
          <w:b/>
        </w:rPr>
        <w:t> </w:t>
      </w:r>
      <w:r w:rsidRPr="00007196">
        <w:rPr>
          <w:b/>
        </w:rPr>
        <w:t>48. týždni, ITT-exponovaná populácia, &lt;</w:t>
      </w:r>
      <w:r w:rsidR="00652C65" w:rsidRPr="00007196">
        <w:rPr>
          <w:b/>
        </w:rPr>
        <w:t> </w:t>
      </w:r>
      <w:r w:rsidRPr="00007196">
        <w:rPr>
          <w:b/>
        </w:rPr>
        <w:t>50</w:t>
      </w:r>
      <w:r w:rsidR="00652C65" w:rsidRPr="00007196">
        <w:rPr>
          <w:b/>
        </w:rPr>
        <w:t> </w:t>
      </w:r>
      <w:r w:rsidRPr="00007196">
        <w:rPr>
          <w:b/>
        </w:rPr>
        <w:t>kópií/ml, TLOV</w:t>
      </w:r>
      <w:r w:rsidR="00652C65" w:rsidRPr="00007196">
        <w:rPr>
          <w:b/>
        </w:rPr>
        <w:t>R</w:t>
      </w:r>
    </w:p>
    <w:tbl>
      <w:tblPr>
        <w:tblStyle w:val="TableGrid"/>
        <w:tblW w:w="8522" w:type="dxa"/>
        <w:tblInd w:w="-101" w:type="dxa"/>
        <w:tblCellMar>
          <w:left w:w="108" w:type="dxa"/>
          <w:right w:w="89" w:type="dxa"/>
        </w:tblCellMar>
        <w:tblLook w:val="04A0"/>
      </w:tblPr>
      <w:tblGrid>
        <w:gridCol w:w="2518"/>
        <w:gridCol w:w="3107"/>
        <w:gridCol w:w="2897"/>
      </w:tblGrid>
      <w:tr w:rsidR="00E56BE0" w:rsidRPr="00007196" w:rsidTr="00652C65">
        <w:trPr>
          <w:trHeight w:val="439"/>
        </w:trPr>
        <w:tc>
          <w:tcPr>
            <w:tcW w:w="2518" w:type="dxa"/>
            <w:tcBorders>
              <w:top w:val="single" w:sz="4" w:space="0" w:color="000000"/>
              <w:left w:val="single" w:sz="4" w:space="0" w:color="000000"/>
              <w:bottom w:val="single" w:sz="4" w:space="0" w:color="000000"/>
              <w:right w:val="single" w:sz="4" w:space="0" w:color="000000"/>
            </w:tcBorders>
            <w:vAlign w:val="center"/>
          </w:tcPr>
          <w:p w:rsidR="00E56BE0" w:rsidRPr="001F2B81" w:rsidRDefault="00E56BE0" w:rsidP="002B7B74">
            <w:pPr>
              <w:spacing w:line="240" w:lineRule="auto"/>
              <w:rPr>
                <w:rFonts w:ascii="Times New Roman" w:hAnsi="Times New Roman" w:cs="Times New Roman"/>
              </w:rPr>
            </w:pPr>
          </w:p>
        </w:tc>
        <w:tc>
          <w:tcPr>
            <w:tcW w:w="3107" w:type="dxa"/>
            <w:tcBorders>
              <w:top w:val="single" w:sz="4" w:space="0" w:color="000000"/>
              <w:left w:val="single" w:sz="4" w:space="0" w:color="000000"/>
              <w:bottom w:val="single" w:sz="4" w:space="0" w:color="000000"/>
              <w:right w:val="single" w:sz="4" w:space="0" w:color="000000"/>
            </w:tcBorders>
          </w:tcPr>
          <w:p w:rsidR="00E56BE0" w:rsidRPr="001F2B81" w:rsidRDefault="00E56BE0" w:rsidP="00652C65">
            <w:pPr>
              <w:spacing w:line="240" w:lineRule="auto"/>
              <w:ind w:right="21"/>
              <w:rPr>
                <w:rFonts w:ascii="Times New Roman" w:hAnsi="Times New Roman" w:cs="Times New Roman"/>
              </w:rPr>
            </w:pPr>
            <w:r w:rsidRPr="001F2B81">
              <w:rPr>
                <w:rFonts w:ascii="Times New Roman" w:hAnsi="Times New Roman" w:cs="Times New Roman"/>
                <w:b/>
              </w:rPr>
              <w:t>ABC/3TC + EFV (N = 192)</w:t>
            </w:r>
          </w:p>
        </w:tc>
        <w:tc>
          <w:tcPr>
            <w:tcW w:w="2897" w:type="dxa"/>
            <w:tcBorders>
              <w:top w:val="single" w:sz="4" w:space="0" w:color="000000"/>
              <w:left w:val="single" w:sz="4" w:space="0" w:color="000000"/>
              <w:bottom w:val="single" w:sz="4" w:space="0" w:color="000000"/>
              <w:right w:val="single" w:sz="4" w:space="0" w:color="000000"/>
            </w:tcBorders>
          </w:tcPr>
          <w:p w:rsidR="00E56BE0" w:rsidRPr="001F2B81" w:rsidRDefault="00E56BE0" w:rsidP="00652C65">
            <w:pPr>
              <w:spacing w:line="240" w:lineRule="auto"/>
              <w:ind w:right="26"/>
              <w:rPr>
                <w:rFonts w:ascii="Times New Roman" w:hAnsi="Times New Roman" w:cs="Times New Roman"/>
              </w:rPr>
            </w:pPr>
            <w:r w:rsidRPr="001F2B81">
              <w:rPr>
                <w:rFonts w:ascii="Times New Roman" w:hAnsi="Times New Roman" w:cs="Times New Roman"/>
                <w:b/>
              </w:rPr>
              <w:t>TDF/FTC + EFV (N = 193)</w:t>
            </w:r>
          </w:p>
        </w:tc>
      </w:tr>
      <w:tr w:rsidR="00E56BE0" w:rsidRPr="00007196" w:rsidTr="00652C65">
        <w:trPr>
          <w:trHeight w:val="516"/>
        </w:trPr>
        <w:tc>
          <w:tcPr>
            <w:tcW w:w="2518" w:type="dxa"/>
            <w:tcBorders>
              <w:top w:val="single" w:sz="4" w:space="0" w:color="000000"/>
              <w:left w:val="single" w:sz="4" w:space="0" w:color="000000"/>
              <w:bottom w:val="single" w:sz="4" w:space="0" w:color="000000"/>
              <w:right w:val="single" w:sz="4" w:space="0" w:color="000000"/>
            </w:tcBorders>
          </w:tcPr>
          <w:p w:rsidR="00E56BE0" w:rsidRPr="001F2B81" w:rsidRDefault="00E56BE0" w:rsidP="002B7B74">
            <w:pPr>
              <w:spacing w:line="240" w:lineRule="auto"/>
              <w:rPr>
                <w:rFonts w:ascii="Times New Roman" w:hAnsi="Times New Roman" w:cs="Times New Roman"/>
              </w:rPr>
            </w:pPr>
            <w:r w:rsidRPr="001F2B81">
              <w:rPr>
                <w:rFonts w:ascii="Times New Roman" w:hAnsi="Times New Roman" w:cs="Times New Roman"/>
                <w:b/>
              </w:rPr>
              <w:t xml:space="preserve">Celková odpoveď </w:t>
            </w:r>
          </w:p>
        </w:tc>
        <w:tc>
          <w:tcPr>
            <w:tcW w:w="3107" w:type="dxa"/>
            <w:tcBorders>
              <w:top w:val="single" w:sz="4" w:space="0" w:color="000000"/>
              <w:left w:val="single" w:sz="4" w:space="0" w:color="000000"/>
              <w:bottom w:val="single" w:sz="4" w:space="0" w:color="000000"/>
              <w:right w:val="single" w:sz="4" w:space="0" w:color="000000"/>
            </w:tcBorders>
          </w:tcPr>
          <w:p w:rsidR="00652C65" w:rsidRPr="001F2B81" w:rsidRDefault="00E56BE0" w:rsidP="00652C65">
            <w:pPr>
              <w:spacing w:line="240" w:lineRule="auto"/>
              <w:ind w:left="937" w:right="906"/>
              <w:rPr>
                <w:rFonts w:ascii="Times New Roman" w:hAnsi="Times New Roman" w:cs="Times New Roman"/>
              </w:rPr>
            </w:pPr>
            <w:r w:rsidRPr="001F2B81">
              <w:rPr>
                <w:rFonts w:ascii="Times New Roman" w:hAnsi="Times New Roman" w:cs="Times New Roman"/>
              </w:rPr>
              <w:t>114/192</w:t>
            </w:r>
          </w:p>
          <w:p w:rsidR="00E56BE0" w:rsidRPr="001F2B81" w:rsidRDefault="00E56BE0" w:rsidP="00652C65">
            <w:pPr>
              <w:spacing w:line="240" w:lineRule="auto"/>
              <w:ind w:left="937" w:right="906"/>
              <w:rPr>
                <w:rFonts w:ascii="Times New Roman" w:hAnsi="Times New Roman" w:cs="Times New Roman"/>
              </w:rPr>
            </w:pPr>
            <w:r w:rsidRPr="001F2B81">
              <w:rPr>
                <w:rFonts w:ascii="Times New Roman" w:hAnsi="Times New Roman" w:cs="Times New Roman"/>
              </w:rPr>
              <w:t>(59</w:t>
            </w:r>
            <w:r w:rsidR="00652C65" w:rsidRPr="001F2B81">
              <w:rPr>
                <w:rFonts w:ascii="Times New Roman" w:hAnsi="Times New Roman" w:cs="Times New Roman"/>
              </w:rPr>
              <w:t> </w:t>
            </w:r>
            <w:r w:rsidRPr="001F2B81">
              <w:rPr>
                <w:rFonts w:ascii="Times New Roman" w:hAnsi="Times New Roman" w:cs="Times New Roman"/>
              </w:rPr>
              <w:t>%)</w:t>
            </w:r>
          </w:p>
        </w:tc>
        <w:tc>
          <w:tcPr>
            <w:tcW w:w="2897" w:type="dxa"/>
            <w:tcBorders>
              <w:top w:val="single" w:sz="4" w:space="0" w:color="000000"/>
              <w:left w:val="single" w:sz="4" w:space="0" w:color="000000"/>
              <w:bottom w:val="single" w:sz="4" w:space="0" w:color="000000"/>
              <w:right w:val="single" w:sz="4" w:space="0" w:color="000000"/>
            </w:tcBorders>
          </w:tcPr>
          <w:p w:rsidR="00652C65" w:rsidRPr="001F2B81" w:rsidRDefault="00E56BE0" w:rsidP="00652C65">
            <w:pPr>
              <w:spacing w:line="240" w:lineRule="auto"/>
              <w:ind w:left="937" w:right="906"/>
              <w:rPr>
                <w:rFonts w:ascii="Times New Roman" w:hAnsi="Times New Roman" w:cs="Times New Roman"/>
              </w:rPr>
            </w:pPr>
            <w:r w:rsidRPr="001F2B81">
              <w:rPr>
                <w:rFonts w:ascii="Times New Roman" w:hAnsi="Times New Roman" w:cs="Times New Roman"/>
              </w:rPr>
              <w:t>137/193</w:t>
            </w:r>
          </w:p>
          <w:p w:rsidR="00E56BE0" w:rsidRPr="001F2B81" w:rsidRDefault="00E56BE0" w:rsidP="00E1736D">
            <w:pPr>
              <w:spacing w:line="240" w:lineRule="auto"/>
              <w:ind w:left="937" w:right="906"/>
              <w:rPr>
                <w:rFonts w:ascii="Times New Roman" w:hAnsi="Times New Roman" w:cs="Times New Roman"/>
              </w:rPr>
            </w:pPr>
            <w:r w:rsidRPr="001F2B81">
              <w:rPr>
                <w:rFonts w:ascii="Times New Roman" w:hAnsi="Times New Roman" w:cs="Times New Roman"/>
              </w:rPr>
              <w:t>(71</w:t>
            </w:r>
            <w:r w:rsidR="00E1736D" w:rsidRPr="001F2B81">
              <w:rPr>
                <w:rFonts w:ascii="Times New Roman" w:hAnsi="Times New Roman" w:cs="Times New Roman"/>
              </w:rPr>
              <w:t> </w:t>
            </w:r>
            <w:r w:rsidRPr="001F2B81">
              <w:rPr>
                <w:rFonts w:ascii="Times New Roman" w:hAnsi="Times New Roman" w:cs="Times New Roman"/>
              </w:rPr>
              <w:t xml:space="preserve">%) </w:t>
            </w:r>
          </w:p>
        </w:tc>
      </w:tr>
      <w:tr w:rsidR="00E56BE0" w:rsidRPr="00007196" w:rsidTr="00652C65">
        <w:trPr>
          <w:trHeight w:val="768"/>
        </w:trPr>
        <w:tc>
          <w:tcPr>
            <w:tcW w:w="2518" w:type="dxa"/>
            <w:tcBorders>
              <w:top w:val="single" w:sz="4" w:space="0" w:color="000000"/>
              <w:left w:val="single" w:sz="4" w:space="0" w:color="000000"/>
              <w:bottom w:val="single" w:sz="4" w:space="0" w:color="000000"/>
              <w:right w:val="single" w:sz="4" w:space="0" w:color="000000"/>
            </w:tcBorders>
          </w:tcPr>
          <w:p w:rsidR="00E56BE0" w:rsidRPr="001F2B81" w:rsidRDefault="00E56BE0" w:rsidP="00652C65">
            <w:pPr>
              <w:spacing w:line="240" w:lineRule="auto"/>
              <w:rPr>
                <w:rFonts w:ascii="Times New Roman" w:hAnsi="Times New Roman" w:cs="Times New Roman"/>
              </w:rPr>
            </w:pPr>
            <w:r w:rsidRPr="001F2B81">
              <w:rPr>
                <w:rFonts w:ascii="Times New Roman" w:hAnsi="Times New Roman" w:cs="Times New Roman"/>
                <w:b/>
              </w:rPr>
              <w:t>Odpoveď podľa východiskovej HIV-1 RNA &lt; 100</w:t>
            </w:r>
            <w:r w:rsidR="00652C65" w:rsidRPr="001F2B81">
              <w:rPr>
                <w:rFonts w:ascii="Times New Roman" w:hAnsi="Times New Roman" w:cs="Times New Roman"/>
                <w:b/>
              </w:rPr>
              <w:t> </w:t>
            </w:r>
            <w:r w:rsidRPr="001F2B81">
              <w:rPr>
                <w:rFonts w:ascii="Times New Roman" w:hAnsi="Times New Roman" w:cs="Times New Roman"/>
                <w:b/>
              </w:rPr>
              <w:t>000 kópií/ml</w:t>
            </w:r>
          </w:p>
        </w:tc>
        <w:tc>
          <w:tcPr>
            <w:tcW w:w="3107" w:type="dxa"/>
            <w:tcBorders>
              <w:top w:val="single" w:sz="4" w:space="0" w:color="000000"/>
              <w:left w:val="single" w:sz="4" w:space="0" w:color="000000"/>
              <w:bottom w:val="single" w:sz="4" w:space="0" w:color="000000"/>
              <w:right w:val="single" w:sz="4" w:space="0" w:color="000000"/>
            </w:tcBorders>
          </w:tcPr>
          <w:p w:rsidR="00E56BE0" w:rsidRPr="001F2B81" w:rsidRDefault="00E56BE0" w:rsidP="00652C65">
            <w:pPr>
              <w:spacing w:line="240" w:lineRule="auto"/>
              <w:ind w:left="937" w:right="906"/>
              <w:rPr>
                <w:rFonts w:ascii="Times New Roman" w:hAnsi="Times New Roman" w:cs="Times New Roman"/>
              </w:rPr>
            </w:pPr>
            <w:r w:rsidRPr="001F2B81">
              <w:rPr>
                <w:rFonts w:ascii="Times New Roman" w:hAnsi="Times New Roman" w:cs="Times New Roman"/>
              </w:rPr>
              <w:t>6</w:t>
            </w:r>
            <w:r w:rsidR="00E1736D" w:rsidRPr="001F2B81">
              <w:rPr>
                <w:rFonts w:ascii="Times New Roman" w:hAnsi="Times New Roman" w:cs="Times New Roman"/>
              </w:rPr>
              <w:t>1/95</w:t>
            </w:r>
          </w:p>
          <w:p w:rsidR="00E56BE0" w:rsidRPr="001F2B81" w:rsidRDefault="00E56BE0" w:rsidP="00E1736D">
            <w:pPr>
              <w:spacing w:line="240" w:lineRule="auto"/>
              <w:ind w:left="937" w:right="906"/>
              <w:rPr>
                <w:rFonts w:ascii="Times New Roman" w:hAnsi="Times New Roman" w:cs="Times New Roman"/>
              </w:rPr>
            </w:pPr>
            <w:r w:rsidRPr="001F2B81">
              <w:rPr>
                <w:rFonts w:ascii="Times New Roman" w:hAnsi="Times New Roman" w:cs="Times New Roman"/>
              </w:rPr>
              <w:t>(64</w:t>
            </w:r>
            <w:r w:rsidR="00E1736D" w:rsidRPr="001F2B81">
              <w:rPr>
                <w:rFonts w:ascii="Times New Roman" w:hAnsi="Times New Roman" w:cs="Times New Roman"/>
              </w:rPr>
              <w:t> </w:t>
            </w:r>
            <w:r w:rsidRPr="001F2B81">
              <w:rPr>
                <w:rFonts w:ascii="Times New Roman" w:hAnsi="Times New Roman" w:cs="Times New Roman"/>
              </w:rPr>
              <w:t>%)</w:t>
            </w:r>
          </w:p>
        </w:tc>
        <w:tc>
          <w:tcPr>
            <w:tcW w:w="2897" w:type="dxa"/>
            <w:tcBorders>
              <w:top w:val="single" w:sz="4" w:space="0" w:color="000000"/>
              <w:left w:val="single" w:sz="4" w:space="0" w:color="000000"/>
              <w:bottom w:val="single" w:sz="4" w:space="0" w:color="000000"/>
              <w:right w:val="single" w:sz="4" w:space="0" w:color="000000"/>
            </w:tcBorders>
          </w:tcPr>
          <w:p w:rsidR="00E56BE0" w:rsidRPr="001F2B81" w:rsidRDefault="00E56BE0" w:rsidP="00652C65">
            <w:pPr>
              <w:spacing w:line="240" w:lineRule="auto"/>
              <w:ind w:left="937" w:right="906"/>
              <w:rPr>
                <w:rFonts w:ascii="Times New Roman" w:hAnsi="Times New Roman" w:cs="Times New Roman"/>
              </w:rPr>
            </w:pPr>
            <w:r w:rsidRPr="001F2B81">
              <w:rPr>
                <w:rFonts w:ascii="Times New Roman" w:hAnsi="Times New Roman" w:cs="Times New Roman"/>
              </w:rPr>
              <w:t>6</w:t>
            </w:r>
            <w:r w:rsidR="00E1736D" w:rsidRPr="001F2B81">
              <w:rPr>
                <w:rFonts w:ascii="Times New Roman" w:hAnsi="Times New Roman" w:cs="Times New Roman"/>
              </w:rPr>
              <w:t>2/83</w:t>
            </w:r>
          </w:p>
          <w:p w:rsidR="00E56BE0" w:rsidRPr="001F2B81" w:rsidRDefault="00E56BE0" w:rsidP="00E1736D">
            <w:pPr>
              <w:spacing w:line="240" w:lineRule="auto"/>
              <w:ind w:left="937" w:right="906"/>
              <w:rPr>
                <w:rFonts w:ascii="Times New Roman" w:hAnsi="Times New Roman" w:cs="Times New Roman"/>
              </w:rPr>
            </w:pPr>
            <w:r w:rsidRPr="001F2B81">
              <w:rPr>
                <w:rFonts w:ascii="Times New Roman" w:hAnsi="Times New Roman" w:cs="Times New Roman"/>
              </w:rPr>
              <w:t>(75</w:t>
            </w:r>
            <w:r w:rsidR="00E1736D" w:rsidRPr="001F2B81">
              <w:rPr>
                <w:rFonts w:ascii="Times New Roman" w:hAnsi="Times New Roman" w:cs="Times New Roman"/>
              </w:rPr>
              <w:t> </w:t>
            </w:r>
            <w:r w:rsidRPr="001F2B81">
              <w:rPr>
                <w:rFonts w:ascii="Times New Roman" w:hAnsi="Times New Roman" w:cs="Times New Roman"/>
              </w:rPr>
              <w:t>%)</w:t>
            </w:r>
          </w:p>
        </w:tc>
      </w:tr>
      <w:tr w:rsidR="00E56BE0" w:rsidRPr="00007196" w:rsidTr="00652C65">
        <w:trPr>
          <w:trHeight w:val="770"/>
        </w:trPr>
        <w:tc>
          <w:tcPr>
            <w:tcW w:w="2518" w:type="dxa"/>
            <w:tcBorders>
              <w:top w:val="single" w:sz="4" w:space="0" w:color="000000"/>
              <w:left w:val="single" w:sz="4" w:space="0" w:color="000000"/>
              <w:bottom w:val="single" w:sz="4" w:space="0" w:color="000000"/>
              <w:right w:val="single" w:sz="4" w:space="0" w:color="000000"/>
            </w:tcBorders>
          </w:tcPr>
          <w:p w:rsidR="00E56BE0" w:rsidRPr="001F2B81" w:rsidRDefault="00E56BE0" w:rsidP="00E1736D">
            <w:pPr>
              <w:spacing w:line="240" w:lineRule="auto"/>
              <w:rPr>
                <w:rFonts w:ascii="Times New Roman" w:hAnsi="Times New Roman" w:cs="Times New Roman"/>
              </w:rPr>
            </w:pPr>
            <w:r w:rsidRPr="001F2B81">
              <w:rPr>
                <w:rFonts w:ascii="Times New Roman" w:hAnsi="Times New Roman" w:cs="Times New Roman"/>
                <w:b/>
              </w:rPr>
              <w:t xml:space="preserve">Odpoveď podľa východiskovej HIV-1 RNA </w:t>
            </w:r>
            <w:r w:rsidRPr="00042751">
              <w:rPr>
                <w:rFonts w:hint="eastAsia"/>
                <w:b/>
              </w:rPr>
              <w:t>≥</w:t>
            </w:r>
            <w:r w:rsidRPr="001F2B81">
              <w:rPr>
                <w:rFonts w:ascii="Times New Roman" w:hAnsi="Times New Roman" w:cs="Times New Roman"/>
                <w:b/>
              </w:rPr>
              <w:t xml:space="preserve"> 100</w:t>
            </w:r>
            <w:r w:rsidR="00652C65" w:rsidRPr="001F2B81">
              <w:rPr>
                <w:rFonts w:ascii="Times New Roman" w:hAnsi="Times New Roman" w:cs="Times New Roman"/>
                <w:b/>
              </w:rPr>
              <w:t> </w:t>
            </w:r>
            <w:r w:rsidRPr="001F2B81">
              <w:rPr>
                <w:rFonts w:ascii="Times New Roman" w:hAnsi="Times New Roman" w:cs="Times New Roman"/>
                <w:b/>
              </w:rPr>
              <w:t>000 kópií/ml</w:t>
            </w:r>
          </w:p>
        </w:tc>
        <w:tc>
          <w:tcPr>
            <w:tcW w:w="3107" w:type="dxa"/>
            <w:tcBorders>
              <w:top w:val="single" w:sz="4" w:space="0" w:color="000000"/>
              <w:left w:val="single" w:sz="4" w:space="0" w:color="000000"/>
              <w:bottom w:val="single" w:sz="4" w:space="0" w:color="000000"/>
              <w:right w:val="single" w:sz="4" w:space="0" w:color="000000"/>
            </w:tcBorders>
          </w:tcPr>
          <w:p w:rsidR="00E56BE0" w:rsidRPr="001F2B81" w:rsidRDefault="00E56BE0" w:rsidP="00652C65">
            <w:pPr>
              <w:spacing w:line="240" w:lineRule="auto"/>
              <w:ind w:left="937" w:right="906"/>
              <w:rPr>
                <w:rFonts w:ascii="Times New Roman" w:hAnsi="Times New Roman" w:cs="Times New Roman"/>
              </w:rPr>
            </w:pPr>
            <w:r w:rsidRPr="001F2B81">
              <w:rPr>
                <w:rFonts w:ascii="Times New Roman" w:hAnsi="Times New Roman" w:cs="Times New Roman"/>
              </w:rPr>
              <w:t>5</w:t>
            </w:r>
            <w:r w:rsidR="00E1736D" w:rsidRPr="001F2B81">
              <w:rPr>
                <w:rFonts w:ascii="Times New Roman" w:hAnsi="Times New Roman" w:cs="Times New Roman"/>
              </w:rPr>
              <w:t>3/97</w:t>
            </w:r>
          </w:p>
          <w:p w:rsidR="00E56BE0" w:rsidRPr="001F2B81" w:rsidRDefault="00E56BE0" w:rsidP="00E1736D">
            <w:pPr>
              <w:spacing w:line="240" w:lineRule="auto"/>
              <w:ind w:left="937" w:right="906"/>
              <w:rPr>
                <w:rFonts w:ascii="Times New Roman" w:hAnsi="Times New Roman" w:cs="Times New Roman"/>
              </w:rPr>
            </w:pPr>
            <w:r w:rsidRPr="001F2B81">
              <w:rPr>
                <w:rFonts w:ascii="Times New Roman" w:hAnsi="Times New Roman" w:cs="Times New Roman"/>
              </w:rPr>
              <w:t>(55</w:t>
            </w:r>
            <w:r w:rsidR="00E1736D" w:rsidRPr="001F2B81">
              <w:rPr>
                <w:rFonts w:ascii="Times New Roman" w:hAnsi="Times New Roman" w:cs="Times New Roman"/>
              </w:rPr>
              <w:t> </w:t>
            </w:r>
            <w:r w:rsidRPr="001F2B81">
              <w:rPr>
                <w:rFonts w:ascii="Times New Roman" w:hAnsi="Times New Roman" w:cs="Times New Roman"/>
              </w:rPr>
              <w:t>%)</w:t>
            </w:r>
          </w:p>
        </w:tc>
        <w:tc>
          <w:tcPr>
            <w:tcW w:w="2897" w:type="dxa"/>
            <w:tcBorders>
              <w:top w:val="single" w:sz="4" w:space="0" w:color="000000"/>
              <w:left w:val="single" w:sz="4" w:space="0" w:color="000000"/>
              <w:bottom w:val="single" w:sz="4" w:space="0" w:color="000000"/>
              <w:right w:val="single" w:sz="4" w:space="0" w:color="000000"/>
            </w:tcBorders>
          </w:tcPr>
          <w:p w:rsidR="00E56BE0" w:rsidRPr="001F2B81" w:rsidRDefault="00E56BE0" w:rsidP="00E1736D">
            <w:pPr>
              <w:spacing w:line="240" w:lineRule="auto"/>
              <w:ind w:left="937" w:right="906"/>
              <w:rPr>
                <w:rFonts w:ascii="Times New Roman" w:hAnsi="Times New Roman" w:cs="Times New Roman"/>
              </w:rPr>
            </w:pPr>
            <w:r w:rsidRPr="001F2B81">
              <w:rPr>
                <w:rFonts w:ascii="Times New Roman" w:hAnsi="Times New Roman" w:cs="Times New Roman"/>
              </w:rPr>
              <w:t>75/110 (68</w:t>
            </w:r>
            <w:r w:rsidR="00E1736D" w:rsidRPr="001F2B81">
              <w:rPr>
                <w:rFonts w:ascii="Times New Roman" w:hAnsi="Times New Roman" w:cs="Times New Roman"/>
              </w:rPr>
              <w:t> </w:t>
            </w:r>
            <w:r w:rsidRPr="001F2B81">
              <w:rPr>
                <w:rFonts w:ascii="Times New Roman" w:hAnsi="Times New Roman" w:cs="Times New Roman"/>
              </w:rPr>
              <w:t>%)</w:t>
            </w:r>
          </w:p>
        </w:tc>
      </w:tr>
    </w:tbl>
    <w:p w:rsidR="00E56BE0" w:rsidRPr="00007196" w:rsidRDefault="00E56BE0" w:rsidP="002B7B74">
      <w:pPr>
        <w:spacing w:line="240" w:lineRule="auto"/>
        <w:ind w:left="7"/>
      </w:pPr>
    </w:p>
    <w:p w:rsidR="00E56BE0" w:rsidRPr="00007196" w:rsidRDefault="00E56BE0" w:rsidP="002B7B74">
      <w:pPr>
        <w:spacing w:line="240" w:lineRule="auto"/>
        <w:ind w:left="3" w:right="14"/>
      </w:pPr>
      <w:r w:rsidRPr="00007196">
        <w:t>V</w:t>
      </w:r>
      <w:r w:rsidR="00652C65" w:rsidRPr="00007196">
        <w:t> </w:t>
      </w:r>
      <w:r w:rsidRPr="00007196">
        <w:t>48.</w:t>
      </w:r>
      <w:r w:rsidR="00652C65" w:rsidRPr="00007196">
        <w:t> </w:t>
      </w:r>
      <w:r w:rsidRPr="00007196">
        <w:t>týždni sa pri ABC/3TC v</w:t>
      </w:r>
      <w:r w:rsidR="00652C65" w:rsidRPr="00007196">
        <w:t> </w:t>
      </w:r>
      <w:r w:rsidRPr="00007196">
        <w:t>porovnaní s</w:t>
      </w:r>
      <w:r w:rsidR="00652C65" w:rsidRPr="00007196">
        <w:t> </w:t>
      </w:r>
      <w:r w:rsidRPr="00007196">
        <w:t>TDF/FTC zistil nižší výskyt virologickej odpovede (bodový odhad pre rozdiel medzi liečbami: 11,6</w:t>
      </w:r>
      <w:r w:rsidR="00652C65" w:rsidRPr="00007196">
        <w:t> </w:t>
      </w:r>
      <w:r w:rsidRPr="00007196">
        <w:t>%, 95</w:t>
      </w:r>
      <w:r w:rsidR="00652C65" w:rsidRPr="00007196">
        <w:t> </w:t>
      </w:r>
      <w:r w:rsidRPr="00007196">
        <w:t>% I</w:t>
      </w:r>
      <w:r w:rsidR="00163AEA" w:rsidRPr="00007196">
        <w:t>S:</w:t>
      </w:r>
      <w:r w:rsidRPr="00007196">
        <w:t xml:space="preserve"> 2,2; 21,1).</w:t>
      </w:r>
    </w:p>
    <w:p w:rsidR="00E56BE0" w:rsidRPr="00007196" w:rsidRDefault="00E56BE0" w:rsidP="002B7B74">
      <w:pPr>
        <w:spacing w:line="240" w:lineRule="auto"/>
        <w:ind w:left="7"/>
      </w:pPr>
    </w:p>
    <w:p w:rsidR="00E56BE0" w:rsidRPr="00007196" w:rsidRDefault="00E56BE0" w:rsidP="002B7B74">
      <w:pPr>
        <w:pStyle w:val="Nadpis2"/>
        <w:spacing w:after="0" w:line="240" w:lineRule="auto"/>
        <w:ind w:left="2"/>
      </w:pPr>
      <w:r w:rsidRPr="00007196">
        <w:t>Pacienti po predchádzajúcej terapii</w:t>
      </w:r>
    </w:p>
    <w:p w:rsidR="00E56BE0" w:rsidRPr="00007196" w:rsidRDefault="00E56BE0" w:rsidP="002B7B74">
      <w:pPr>
        <w:spacing w:line="240" w:lineRule="auto"/>
        <w:ind w:left="3" w:right="14"/>
      </w:pPr>
      <w:r w:rsidRPr="00007196">
        <w:t>Údaje z</w:t>
      </w:r>
      <w:r w:rsidR="00652C65" w:rsidRPr="00007196">
        <w:t> </w:t>
      </w:r>
      <w:r w:rsidRPr="00007196">
        <w:t>dvoch štúdií, CAL30001 a</w:t>
      </w:r>
      <w:r w:rsidR="00652C65" w:rsidRPr="00007196">
        <w:t> </w:t>
      </w:r>
      <w:r w:rsidRPr="00007196">
        <w:t>ESS30008, preukázali, že u</w:t>
      </w:r>
      <w:r w:rsidR="00652C65" w:rsidRPr="00007196">
        <w:t> </w:t>
      </w:r>
      <w:r w:rsidRPr="00007196">
        <w:t xml:space="preserve">pacientov po predchádzajúcej terapii má </w:t>
      </w:r>
      <w:r w:rsidR="00652C65" w:rsidRPr="00007196">
        <w:t>a</w:t>
      </w:r>
      <w:r w:rsidR="004A5B2D" w:rsidRPr="00007196">
        <w:t>bakavir/</w:t>
      </w:r>
      <w:r w:rsidR="00652C65" w:rsidRPr="00007196">
        <w:t>l</w:t>
      </w:r>
      <w:r w:rsidR="004A5B2D" w:rsidRPr="00007196">
        <w:t xml:space="preserve">amivudín </w:t>
      </w:r>
      <w:r w:rsidRPr="00007196">
        <w:t>podávan</w:t>
      </w:r>
      <w:r w:rsidR="00163AEA" w:rsidRPr="00007196">
        <w:t>ý</w:t>
      </w:r>
      <w:r w:rsidRPr="00007196">
        <w:t xml:space="preserve"> jedenkrát denne podobnú virologickú účinnosť ako abakavir 300</w:t>
      </w:r>
      <w:r w:rsidR="00163AEA" w:rsidRPr="00007196">
        <w:t> </w:t>
      </w:r>
      <w:r w:rsidRPr="00007196">
        <w:t>mg dvakrát denne plus lamivudín 300</w:t>
      </w:r>
      <w:r w:rsidR="00163AEA" w:rsidRPr="00007196">
        <w:t> </w:t>
      </w:r>
      <w:r w:rsidRPr="00007196">
        <w:t>mg jedenkrát denne alebo 150</w:t>
      </w:r>
      <w:r w:rsidR="00163AEA" w:rsidRPr="00007196">
        <w:t> </w:t>
      </w:r>
      <w:r w:rsidRPr="00007196">
        <w:t>mg dvakrát den</w:t>
      </w:r>
      <w:r w:rsidR="00E1736D" w:rsidRPr="00007196">
        <w:t>ne.</w:t>
      </w:r>
    </w:p>
    <w:p w:rsidR="00E56BE0" w:rsidRPr="00007196" w:rsidRDefault="00E56BE0" w:rsidP="002B7B74">
      <w:pPr>
        <w:spacing w:line="240" w:lineRule="auto"/>
        <w:ind w:left="7"/>
      </w:pPr>
    </w:p>
    <w:p w:rsidR="00E56BE0" w:rsidRPr="00007196" w:rsidRDefault="00E56BE0" w:rsidP="00DF5504">
      <w:pPr>
        <w:spacing w:line="240" w:lineRule="auto"/>
        <w:ind w:left="3" w:right="14"/>
      </w:pPr>
      <w:r w:rsidRPr="00007196">
        <w:t xml:space="preserve">V štúdii CAL30001 bolo 182 pacientov po predchádzajúcej terapii s virologickým zlyhaním randomizovaných a počas 48 týždňov užívali buď </w:t>
      </w:r>
      <w:r w:rsidR="00DF5504" w:rsidRPr="00007196">
        <w:t>abakavir/lamivudín</w:t>
      </w:r>
      <w:r w:rsidRPr="00007196">
        <w:t xml:space="preserve"> jedenkrát denne, alebo abakavir 300</w:t>
      </w:r>
      <w:r w:rsidR="00DF5504" w:rsidRPr="00007196">
        <w:t> </w:t>
      </w:r>
      <w:r w:rsidRPr="00007196">
        <w:t>mg dvakrát denne plus lamivudín 300</w:t>
      </w:r>
      <w:r w:rsidR="00DF5504" w:rsidRPr="00007196">
        <w:t> </w:t>
      </w:r>
      <w:r w:rsidRPr="00007196">
        <w:t>mg jedenkrát denne, oba v kombinácii s tenofovirom a PI alebo NNRTI. Pozorovali sa podobné zníženia HIV-1 RNA merané pomocou priemernej plochy pod</w:t>
      </w:r>
      <w:r w:rsidR="00B423BE">
        <w:t> </w:t>
      </w:r>
      <w:r w:rsidRPr="00007196">
        <w:t xml:space="preserve">krivkou mínus </w:t>
      </w:r>
      <w:r w:rsidR="00DF5504" w:rsidRPr="00007196">
        <w:t>východzie</w:t>
      </w:r>
      <w:r w:rsidRPr="00007196">
        <w:t xml:space="preserve"> hodnoty (AAUCMB, -1,65 log</w:t>
      </w:r>
      <w:r w:rsidRPr="00007196">
        <w:rPr>
          <w:vertAlign w:val="subscript"/>
        </w:rPr>
        <w:t xml:space="preserve">10 </w:t>
      </w:r>
      <w:r w:rsidRPr="00007196">
        <w:t>kópií/ml oproti -1,83 log</w:t>
      </w:r>
      <w:r w:rsidRPr="00007196">
        <w:rPr>
          <w:vertAlign w:val="subscript"/>
        </w:rPr>
        <w:t xml:space="preserve">10 </w:t>
      </w:r>
      <w:r w:rsidRPr="00007196">
        <w:t>kópií/ml, 95</w:t>
      </w:r>
      <w:r w:rsidR="00DF5504" w:rsidRPr="00007196">
        <w:t> </w:t>
      </w:r>
      <w:r w:rsidRPr="00007196">
        <w:t>% I</w:t>
      </w:r>
      <w:r w:rsidR="00DF5504" w:rsidRPr="00007196">
        <w:t>S</w:t>
      </w:r>
      <w:r w:rsidRPr="00007196">
        <w:t xml:space="preserve"> -0,13, 0,38), čo svedčí o tom, že v skupine s</w:t>
      </w:r>
      <w:r w:rsidR="00DF5504" w:rsidRPr="00007196">
        <w:t> abakavirom/lamivudínom</w:t>
      </w:r>
      <w:r w:rsidRPr="00007196">
        <w:t xml:space="preserve"> nebola nižšia účinnosť </w:t>
      </w:r>
      <w:r w:rsidRPr="00007196">
        <w:lastRenderedPageBreak/>
        <w:t>ako v skupine s abakavirom plus lamivudínom užívanými dvakrát denne. V oboch skupinách (populácia ITT, t.j. všetci randomizovaní jedinci) boli podobné aj podiely s HIV-1 RNA &lt;</w:t>
      </w:r>
      <w:r w:rsidR="00DF5504" w:rsidRPr="00007196">
        <w:t> </w:t>
      </w:r>
      <w:r w:rsidRPr="00007196">
        <w:t>50 kópií/ml (50</w:t>
      </w:r>
      <w:r w:rsidR="00E80975" w:rsidRPr="00007196">
        <w:t> </w:t>
      </w:r>
      <w:r w:rsidRPr="00007196">
        <w:t>% oproti 47</w:t>
      </w:r>
      <w:r w:rsidR="00DF5504" w:rsidRPr="00007196">
        <w:t> </w:t>
      </w:r>
      <w:r w:rsidRPr="00007196">
        <w:t>%) a</w:t>
      </w:r>
      <w:r w:rsidR="00DF5504" w:rsidRPr="00007196">
        <w:t> </w:t>
      </w:r>
      <w:r w:rsidRPr="00007196">
        <w:t>&lt;</w:t>
      </w:r>
      <w:r w:rsidR="00DF5504" w:rsidRPr="00007196">
        <w:t> </w:t>
      </w:r>
      <w:r w:rsidRPr="00007196">
        <w:t>400 kópií/ml (54</w:t>
      </w:r>
      <w:r w:rsidR="00DF5504" w:rsidRPr="00007196">
        <w:t> </w:t>
      </w:r>
      <w:r w:rsidRPr="00007196">
        <w:t>% oproti 57</w:t>
      </w:r>
      <w:r w:rsidR="00DF5504" w:rsidRPr="00007196">
        <w:t> </w:t>
      </w:r>
      <w:r w:rsidRPr="00007196">
        <w:t xml:space="preserve">%) v 48. týždni. Tieto výsledky sa však musia interpretovať </w:t>
      </w:r>
      <w:r w:rsidR="00DF5504" w:rsidRPr="00007196">
        <w:t>s opatrnosťou</w:t>
      </w:r>
      <w:r w:rsidRPr="00007196">
        <w:t>, pretože do tejto štúdie boli zaradení len pacienti po predchádzajúcej miernej antiretrovírusovej liečbe s nerovnováhou v</w:t>
      </w:r>
      <w:r w:rsidR="00E80975" w:rsidRPr="00007196">
        <w:t>ýchodiskovej</w:t>
      </w:r>
      <w:r w:rsidRPr="00007196">
        <w:t xml:space="preserve"> vírusovej záťaž</w:t>
      </w:r>
      <w:r w:rsidR="00E80975" w:rsidRPr="00007196">
        <w:t>e</w:t>
      </w:r>
      <w:r w:rsidRPr="00007196">
        <w:t xml:space="preserve"> medzi týmito skupinami.</w:t>
      </w:r>
    </w:p>
    <w:p w:rsidR="00E56BE0" w:rsidRPr="00007196" w:rsidRDefault="00E56BE0" w:rsidP="002B7B74">
      <w:pPr>
        <w:spacing w:line="240" w:lineRule="auto"/>
        <w:ind w:left="8"/>
      </w:pPr>
    </w:p>
    <w:p w:rsidR="00E56BE0" w:rsidRPr="00007196" w:rsidRDefault="00E56BE0" w:rsidP="00E1736D">
      <w:pPr>
        <w:spacing w:line="240" w:lineRule="auto"/>
        <w:ind w:left="3" w:right="286"/>
      </w:pPr>
      <w:r w:rsidRPr="00007196">
        <w:t>V štúdii ESS30008 bolo 260 pacientov s virologickou supresiou na prvolíniovom liečebnom režime obsahujúcom abakavir 300</w:t>
      </w:r>
      <w:r w:rsidR="00E80975" w:rsidRPr="00007196">
        <w:t> </w:t>
      </w:r>
      <w:r w:rsidRPr="00007196">
        <w:t>mg plus lamivudín 150</w:t>
      </w:r>
      <w:r w:rsidR="00E80975" w:rsidRPr="00007196">
        <w:t> </w:t>
      </w:r>
      <w:r w:rsidRPr="00007196">
        <w:t xml:space="preserve">mg, oba podávané dvakrát denne a PI alebo NNRTI, randomizovaných, aby počas 48 týždňov pokračovali v tomto režime, alebo aby prešli na </w:t>
      </w:r>
      <w:r w:rsidR="00E80975" w:rsidRPr="00007196">
        <w:t>abakavir/lamivudín</w:t>
      </w:r>
      <w:r w:rsidRPr="00007196">
        <w:t xml:space="preserve"> plus PI alebo NNRTI. Výsledky v 48. týždni svedčili o tom, že skupina s</w:t>
      </w:r>
      <w:r w:rsidR="00E80975" w:rsidRPr="00007196">
        <w:t> abakavirom/lamivudínom</w:t>
      </w:r>
      <w:r w:rsidRPr="00007196">
        <w:t xml:space="preserve"> bola spojená s podobným virologickým výsledkom (nie nižšej účinnosti) oproti skupine s abakavirom plus lamivudín</w:t>
      </w:r>
      <w:r w:rsidR="00E80975" w:rsidRPr="00007196">
        <w:t>om</w:t>
      </w:r>
      <w:r w:rsidRPr="00007196">
        <w:t>, a to na základe podielov jedincov s</w:t>
      </w:r>
      <w:r w:rsidR="00B423BE">
        <w:t> </w:t>
      </w:r>
      <w:r w:rsidRPr="00007196">
        <w:t>HIV-1 RNA &lt;</w:t>
      </w:r>
      <w:r w:rsidR="00E80975" w:rsidRPr="00007196">
        <w:t> </w:t>
      </w:r>
      <w:r w:rsidRPr="00007196">
        <w:t>50 kópií/ml (90</w:t>
      </w:r>
      <w:r w:rsidR="00E80975" w:rsidRPr="00007196">
        <w:t> </w:t>
      </w:r>
      <w:r w:rsidRPr="00007196">
        <w:t>% op</w:t>
      </w:r>
      <w:r w:rsidR="00E1736D" w:rsidRPr="00007196">
        <w:t>roti 85</w:t>
      </w:r>
      <w:r w:rsidR="00E80975" w:rsidRPr="00007196">
        <w:t> </w:t>
      </w:r>
      <w:r w:rsidR="00E1736D" w:rsidRPr="00007196">
        <w:t>%, 95</w:t>
      </w:r>
      <w:r w:rsidR="00E80975" w:rsidRPr="00007196">
        <w:t> </w:t>
      </w:r>
      <w:r w:rsidR="00E1736D" w:rsidRPr="00007196">
        <w:t>% I</w:t>
      </w:r>
      <w:r w:rsidR="00E80975" w:rsidRPr="00007196">
        <w:t>S</w:t>
      </w:r>
      <w:r w:rsidR="00E1736D" w:rsidRPr="00007196">
        <w:t xml:space="preserve"> -2,7; 13,5).</w:t>
      </w:r>
    </w:p>
    <w:p w:rsidR="00E56BE0" w:rsidRPr="00007196" w:rsidRDefault="00E56BE0" w:rsidP="002B7B74">
      <w:pPr>
        <w:spacing w:line="240" w:lineRule="auto"/>
        <w:ind w:left="8"/>
      </w:pPr>
    </w:p>
    <w:p w:rsidR="00E56BE0" w:rsidRPr="00007196" w:rsidRDefault="00E56BE0" w:rsidP="00042751">
      <w:pPr>
        <w:spacing w:line="240" w:lineRule="auto"/>
        <w:ind w:left="3" w:right="14"/>
      </w:pPr>
      <w:r w:rsidRPr="00007196">
        <w:t>Držiteľ rozhodnutia o registrácii (MAH) nestanovil skóre genotypovej citlivosti (GSS) pre kombináciu abakaviru/lamivudínu. Podiel pacientov po predchádzajúcej liečbe v štúdii CAL30001 s HIV-RNA &lt;</w:t>
      </w:r>
      <w:r w:rsidR="00E80975" w:rsidRPr="00007196">
        <w:t> </w:t>
      </w:r>
      <w:r w:rsidRPr="00007196">
        <w:t>50 kópií/ml v 48. týždni podľa skóre genotypovej citlivosti pri optimalizovanej základnej terapii (</w:t>
      </w:r>
      <w:r w:rsidRPr="00007196">
        <w:rPr>
          <w:i/>
        </w:rPr>
        <w:t>optimized background therapy</w:t>
      </w:r>
      <w:r w:rsidRPr="00007196">
        <w:t xml:space="preserve"> - OBT) je uvedený v nasledujúcej tabuľke. Takisto bolo vyhodnotené, aký vplyv na odpoveď na liečbu majú hlavné, podľa IAS-USA </w:t>
      </w:r>
      <w:r w:rsidR="00891C95" w:rsidRPr="00007196">
        <w:t>(International Antiviral Society-USA)</w:t>
      </w:r>
      <w:r w:rsidR="003A3943">
        <w:t xml:space="preserve"> </w:t>
      </w:r>
      <w:r w:rsidRPr="00007196">
        <w:t>definované mutácie spojené s rezistenciou na abakavir alebo lamivudín a</w:t>
      </w:r>
      <w:r w:rsidR="00116A78" w:rsidRPr="00007196">
        <w:t xml:space="preserve"> rezistenciou na viaceré NRTI a </w:t>
      </w:r>
      <w:r w:rsidRPr="00007196">
        <w:t>počet východiskových mutácií. GSS sa získalo na základe výsledkov Monogramu, pričom citlivému vírusu sa priradili hodnoty „1-4“ na základe počtu liečiv v režime a vírusu so zníženou citlivosťou sa priradila hodnota „0“. Skóre genotypovej citlivosti sa nezískalo u všetkých pacientov pri zaradení do štúdie. Podobný podiel pacientov v skupine s abakavirom podávaným jedenkrát denne a</w:t>
      </w:r>
      <w:r w:rsidR="00B423BE">
        <w:t> </w:t>
      </w:r>
      <w:r w:rsidRPr="00007196">
        <w:t>v</w:t>
      </w:r>
      <w:r w:rsidR="00B423BE">
        <w:t> </w:t>
      </w:r>
      <w:r w:rsidRPr="00007196">
        <w:t>skupine s abakavirom podávaným dvakrát denne v rámci štúdie CAL30001 mal skóre GSS &lt;</w:t>
      </w:r>
      <w:r w:rsidR="00116A78" w:rsidRPr="00007196">
        <w:t> </w:t>
      </w:r>
      <w:r w:rsidRPr="00007196">
        <w:t xml:space="preserve">2 alebo </w:t>
      </w:r>
      <w:r w:rsidRPr="00007196">
        <w:rPr>
          <w:rFonts w:eastAsia="Segoe UI Symbol"/>
        </w:rPr>
        <w:t>≥</w:t>
      </w:r>
      <w:r w:rsidR="00116A78" w:rsidRPr="00007196">
        <w:t> </w:t>
      </w:r>
      <w:r w:rsidRPr="00007196">
        <w:t>2 a do 48. týždňa u</w:t>
      </w:r>
      <w:r w:rsidR="00E1736D" w:rsidRPr="00007196">
        <w:t> </w:t>
      </w:r>
      <w:r w:rsidRPr="00007196">
        <w:t>nich došlo k</w:t>
      </w:r>
      <w:r w:rsidR="00E1736D" w:rsidRPr="00007196">
        <w:t> </w:t>
      </w:r>
      <w:r w:rsidRPr="00007196">
        <w:t>úspešnému zní</w:t>
      </w:r>
      <w:r w:rsidR="00E1736D" w:rsidRPr="00007196">
        <w:t>ženiu HIV-RNA na &lt; 50 kópií/ml.</w:t>
      </w:r>
    </w:p>
    <w:p w:rsidR="009173DF" w:rsidRPr="00007196" w:rsidRDefault="009173DF" w:rsidP="009173DF">
      <w:pPr>
        <w:spacing w:line="240" w:lineRule="auto"/>
        <w:ind w:left="8"/>
      </w:pPr>
    </w:p>
    <w:p w:rsidR="009173DF" w:rsidRPr="00007196" w:rsidRDefault="009173DF" w:rsidP="009173DF">
      <w:pPr>
        <w:numPr>
          <w:ilvl w:val="12"/>
          <w:numId w:val="0"/>
        </w:numPr>
        <w:spacing w:line="240" w:lineRule="auto"/>
        <w:ind w:right="-2"/>
        <w:rPr>
          <w:b/>
        </w:rPr>
      </w:pPr>
      <w:r w:rsidRPr="00007196">
        <w:rPr>
          <w:b/>
        </w:rPr>
        <w:t>Podiel pacientov v štúdii CAL30001 s &lt; 50 kópiami/ml v 48. týždni podľa skóre genotypovej citlivosti pri OBT a počtu východiskových mutácií</w:t>
      </w:r>
    </w:p>
    <w:p w:rsidR="009173DF" w:rsidRPr="00007196" w:rsidRDefault="009173DF" w:rsidP="009173DF">
      <w:pPr>
        <w:numPr>
          <w:ilvl w:val="12"/>
          <w:numId w:val="0"/>
        </w:numPr>
        <w:spacing w:line="240" w:lineRule="auto"/>
        <w:ind w:right="-2"/>
      </w:pPr>
    </w:p>
    <w:tbl>
      <w:tblPr>
        <w:tblStyle w:val="TableGrid"/>
        <w:tblW w:w="8856" w:type="dxa"/>
        <w:tblInd w:w="-108" w:type="dxa"/>
        <w:tblCellMar>
          <w:left w:w="108" w:type="dxa"/>
          <w:right w:w="115" w:type="dxa"/>
        </w:tblCellMar>
        <w:tblLook w:val="04A0"/>
      </w:tblPr>
      <w:tblGrid>
        <w:gridCol w:w="1476"/>
        <w:gridCol w:w="1476"/>
        <w:gridCol w:w="1476"/>
        <w:gridCol w:w="1476"/>
        <w:gridCol w:w="1476"/>
        <w:gridCol w:w="1476"/>
      </w:tblGrid>
      <w:tr w:rsidR="009173DF" w:rsidRPr="00007196" w:rsidTr="009173DF">
        <w:trPr>
          <w:trHeight w:val="1526"/>
        </w:trPr>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p>
        </w:tc>
        <w:tc>
          <w:tcPr>
            <w:tcW w:w="5904" w:type="dxa"/>
            <w:gridSpan w:val="4"/>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6"/>
              <w:rPr>
                <w:rFonts w:ascii="Times New Roman" w:hAnsi="Times New Roman" w:cs="Times New Roman"/>
              </w:rPr>
            </w:pPr>
            <w:r w:rsidRPr="001F2B81">
              <w:rPr>
                <w:rFonts w:ascii="Times New Roman" w:hAnsi="Times New Roman" w:cs="Times New Roman"/>
                <w:b/>
              </w:rPr>
              <w:t>ABC/3TC FDC jedenkrát denne</w:t>
            </w:r>
          </w:p>
          <w:p w:rsidR="009173DF" w:rsidRPr="001F2B81" w:rsidRDefault="009173DF" w:rsidP="009173DF">
            <w:pPr>
              <w:spacing w:line="240" w:lineRule="auto"/>
              <w:ind w:left="9"/>
              <w:rPr>
                <w:rFonts w:ascii="Times New Roman" w:hAnsi="Times New Roman" w:cs="Times New Roman"/>
              </w:rPr>
            </w:pPr>
            <w:r w:rsidRPr="001F2B81">
              <w:rPr>
                <w:rFonts w:ascii="Times New Roman" w:hAnsi="Times New Roman" w:cs="Times New Roman"/>
                <w:b/>
              </w:rPr>
              <w:t>(n = 94)</w:t>
            </w:r>
          </w:p>
          <w:p w:rsidR="009173DF" w:rsidRPr="001F2B81" w:rsidRDefault="009173DF" w:rsidP="009173DF">
            <w:pPr>
              <w:spacing w:line="240" w:lineRule="auto"/>
              <w:ind w:left="62"/>
              <w:rPr>
                <w:rFonts w:ascii="Times New Roman" w:hAnsi="Times New Roman" w:cs="Times New Roman"/>
              </w:rPr>
            </w:pPr>
          </w:p>
          <w:p w:rsidR="009173DF" w:rsidRPr="001F2B81" w:rsidRDefault="009173DF" w:rsidP="009173DF">
            <w:pPr>
              <w:spacing w:line="240" w:lineRule="auto"/>
              <w:ind w:left="9"/>
              <w:rPr>
                <w:rFonts w:ascii="Times New Roman" w:hAnsi="Times New Roman" w:cs="Times New Roman"/>
              </w:rPr>
            </w:pPr>
            <w:r w:rsidRPr="001F2B81">
              <w:rPr>
                <w:rFonts w:ascii="Times New Roman" w:hAnsi="Times New Roman" w:cs="Times New Roman"/>
              </w:rPr>
              <w:t>Počet východiskových mutácií</w:t>
            </w:r>
            <w:r w:rsidRPr="001F2B81">
              <w:rPr>
                <w:rFonts w:ascii="Times New Roman" w:hAnsi="Times New Roman" w:cs="Times New Roman"/>
                <w:vertAlign w:val="superscript"/>
              </w:rPr>
              <w:t>1</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b/>
              </w:rPr>
              <w:t xml:space="preserve">ABC </w:t>
            </w:r>
          </w:p>
          <w:p w:rsidR="009173DF" w:rsidRPr="001F2B81" w:rsidRDefault="009173DF" w:rsidP="009173DF">
            <w:pPr>
              <w:spacing w:line="240" w:lineRule="auto"/>
              <w:ind w:left="7" w:right="86"/>
              <w:rPr>
                <w:rFonts w:ascii="Times New Roman" w:hAnsi="Times New Roman" w:cs="Times New Roman"/>
              </w:rPr>
            </w:pPr>
            <w:r w:rsidRPr="001F2B81">
              <w:rPr>
                <w:rFonts w:ascii="Times New Roman" w:hAnsi="Times New Roman" w:cs="Times New Roman"/>
                <w:b/>
              </w:rPr>
              <w:t>dvakrát denne +3TC jedenkrát denne (n = 88)</w:t>
            </w:r>
          </w:p>
        </w:tc>
      </w:tr>
      <w:tr w:rsidR="009173DF" w:rsidRPr="00007196" w:rsidTr="009173DF">
        <w:trPr>
          <w:trHeight w:val="1022"/>
        </w:trPr>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b/>
              </w:rPr>
              <w:t xml:space="preserve">Skóre </w:t>
            </w:r>
          </w:p>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b/>
              </w:rPr>
              <w:t>genotypovej citlivosti pri OBT</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Všetci pacienti</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0-1</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2-5</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6+</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Všetci pacienti</w:t>
            </w:r>
          </w:p>
        </w:tc>
      </w:tr>
      <w:tr w:rsidR="009173DF" w:rsidRPr="00007196" w:rsidTr="009173DF">
        <w:trPr>
          <w:trHeight w:val="281"/>
        </w:trPr>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eastAsia="Segoe UI Symbol" w:hAnsi="Times New Roman" w:cs="Times New Roman"/>
              </w:rPr>
              <w:t>≤</w:t>
            </w:r>
            <w:r w:rsidRPr="001F2B81">
              <w:rPr>
                <w:rFonts w:ascii="Times New Roman" w:hAnsi="Times New Roman" w:cs="Times New Roman"/>
                <w:b/>
              </w:rPr>
              <w:t xml:space="preserve"> 2</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10/24 (42 %)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3/24 (13 %)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7/24 (29 %)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0</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12/26 (46 %)</w:t>
            </w:r>
          </w:p>
        </w:tc>
      </w:tr>
      <w:tr w:rsidR="009173DF" w:rsidRPr="00007196" w:rsidTr="009173DF">
        <w:trPr>
          <w:trHeight w:val="262"/>
        </w:trPr>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b/>
              </w:rPr>
              <w:t>&gt; 2</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29/56 (52 %)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21/56 (38 %)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8/56 (14 %)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0</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ind w:left="7"/>
              <w:rPr>
                <w:rFonts w:ascii="Times New Roman" w:hAnsi="Times New Roman" w:cs="Times New Roman"/>
              </w:rPr>
            </w:pPr>
            <w:r w:rsidRPr="001F2B81">
              <w:rPr>
                <w:rFonts w:ascii="Times New Roman" w:hAnsi="Times New Roman" w:cs="Times New Roman"/>
              </w:rPr>
              <w:t>27/56 (48 %)</w:t>
            </w:r>
          </w:p>
        </w:tc>
      </w:tr>
      <w:tr w:rsidR="009173DF" w:rsidRPr="00007196" w:rsidTr="009173DF">
        <w:trPr>
          <w:trHeight w:val="264"/>
        </w:trPr>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b/>
              </w:rPr>
              <w:t>Neznáme</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8/14 (57 %)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6/14 (43 %)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2/14 (14 %)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0</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2/6 (33 %)</w:t>
            </w:r>
          </w:p>
        </w:tc>
      </w:tr>
      <w:tr w:rsidR="009173DF" w:rsidRPr="00007196" w:rsidTr="009173DF">
        <w:trPr>
          <w:trHeight w:val="516"/>
        </w:trPr>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b/>
              </w:rPr>
              <w:t>Všetci pacienti</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47/94 (50 %)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30/94 (32 %)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17/94 (18 %)</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0</w:t>
            </w:r>
          </w:p>
        </w:tc>
        <w:tc>
          <w:tcPr>
            <w:tcW w:w="1476" w:type="dxa"/>
            <w:tcBorders>
              <w:top w:val="single" w:sz="4" w:space="0" w:color="000000"/>
              <w:left w:val="single" w:sz="4" w:space="0" w:color="000000"/>
              <w:bottom w:val="single" w:sz="4" w:space="0" w:color="000000"/>
              <w:right w:val="single" w:sz="4" w:space="0" w:color="000000"/>
            </w:tcBorders>
          </w:tcPr>
          <w:p w:rsidR="009173DF" w:rsidRPr="001F2B81" w:rsidRDefault="009173DF" w:rsidP="009173DF">
            <w:pPr>
              <w:spacing w:line="240" w:lineRule="auto"/>
              <w:rPr>
                <w:rFonts w:ascii="Times New Roman" w:hAnsi="Times New Roman" w:cs="Times New Roman"/>
              </w:rPr>
            </w:pPr>
            <w:r w:rsidRPr="001F2B81">
              <w:rPr>
                <w:rFonts w:ascii="Times New Roman" w:hAnsi="Times New Roman" w:cs="Times New Roman"/>
              </w:rPr>
              <w:t>41/88 (47 %)</w:t>
            </w:r>
          </w:p>
        </w:tc>
      </w:tr>
    </w:tbl>
    <w:p w:rsidR="009173DF" w:rsidRPr="00007196" w:rsidRDefault="009173DF" w:rsidP="009173DF">
      <w:pPr>
        <w:spacing w:line="240" w:lineRule="auto"/>
        <w:ind w:left="2" w:right="579" w:hanging="10"/>
      </w:pPr>
      <w:r w:rsidRPr="00007196">
        <w:rPr>
          <w:vertAlign w:val="superscript"/>
        </w:rPr>
        <w:t xml:space="preserve">1 </w:t>
      </w:r>
      <w:r w:rsidRPr="00007196">
        <w:t>Hlavné, podľa IAS-USA definované mutácie spojené s rezistenciou na abakavir alebo lamivudín a mutácie spojené s rezistenciou na viaceré NRTI</w:t>
      </w:r>
    </w:p>
    <w:p w:rsidR="009173DF" w:rsidRDefault="009173DF" w:rsidP="009173DF"/>
    <w:p w:rsidR="00E56BE0" w:rsidRPr="00007196" w:rsidRDefault="00E56BE0" w:rsidP="002B7B74">
      <w:pPr>
        <w:spacing w:line="240" w:lineRule="auto"/>
        <w:ind w:left="3" w:right="92"/>
      </w:pPr>
      <w:r w:rsidRPr="00007196">
        <w:t>Pokiaľ ide o</w:t>
      </w:r>
      <w:r w:rsidR="00E1736D" w:rsidRPr="00007196">
        <w:t> </w:t>
      </w:r>
      <w:r w:rsidRPr="00007196">
        <w:t>štúdiu CNA109586 (ASSERT) a</w:t>
      </w:r>
      <w:r w:rsidR="00E1736D" w:rsidRPr="00007196">
        <w:t> </w:t>
      </w:r>
      <w:r w:rsidRPr="00007196">
        <w:t>štúdiu CNA30021 s</w:t>
      </w:r>
      <w:r w:rsidR="00E1736D" w:rsidRPr="00007196">
        <w:t> </w:t>
      </w:r>
      <w:r w:rsidRPr="00007196">
        <w:t>pacientmi bez predchádzajúcej terapie, údaje o</w:t>
      </w:r>
      <w:r w:rsidR="00E1736D" w:rsidRPr="00007196">
        <w:t> </w:t>
      </w:r>
      <w:r w:rsidRPr="00007196">
        <w:t>genotype sa získali iba v</w:t>
      </w:r>
      <w:r w:rsidR="00E1736D" w:rsidRPr="00007196">
        <w:t> </w:t>
      </w:r>
      <w:r w:rsidRPr="00007196">
        <w:t>podskupine pacientov pri skríningu alebo pri zaradení do</w:t>
      </w:r>
      <w:r w:rsidR="00B423BE">
        <w:t> </w:t>
      </w:r>
      <w:r w:rsidRPr="00007196">
        <w:t>štúdie, ako aj u</w:t>
      </w:r>
      <w:r w:rsidR="00E1736D" w:rsidRPr="00007196">
        <w:t> </w:t>
      </w:r>
      <w:r w:rsidRPr="00007196">
        <w:t>tých pacientov, ktorí spĺňali kritériá pre virologické zlyhanie. Čiastočné údaje od</w:t>
      </w:r>
      <w:r w:rsidR="00B423BE">
        <w:t> </w:t>
      </w:r>
      <w:r w:rsidRPr="00007196">
        <w:t>podskupiny pacientov, ktoré sú k</w:t>
      </w:r>
      <w:r w:rsidR="00E1736D" w:rsidRPr="00007196">
        <w:t> </w:t>
      </w:r>
      <w:r w:rsidRPr="00007196">
        <w:t>dispozícii zo štúdie CNA30021, sú uvedené v</w:t>
      </w:r>
      <w:r w:rsidR="00E1736D" w:rsidRPr="00007196">
        <w:t> </w:t>
      </w:r>
      <w:r w:rsidRPr="00007196">
        <w:t xml:space="preserve">nasledujúcej tabuľke, ale musia sa interpretovať </w:t>
      </w:r>
      <w:r w:rsidR="00891C95" w:rsidRPr="00007196">
        <w:t>s opatrnosťou</w:t>
      </w:r>
      <w:r w:rsidRPr="00007196">
        <w:t>. Skóre citlivosti na liečivo sa priradilo ku genotypu vírusu každého pacienta s</w:t>
      </w:r>
      <w:r w:rsidR="00E1736D" w:rsidRPr="00007196">
        <w:t> </w:t>
      </w:r>
      <w:r w:rsidRPr="00007196">
        <w:t xml:space="preserve">uplatnením algoritmu ANRS 2009 </w:t>
      </w:r>
      <w:r w:rsidR="00891C95" w:rsidRPr="00007196">
        <w:t>(Agence Nationale de Recherche sur le Sida</w:t>
      </w:r>
      <w:r w:rsidR="006609F2" w:rsidRPr="00007196">
        <w:t>, Národná agentúra pre výskum AIDS</w:t>
      </w:r>
      <w:r w:rsidR="00891C95" w:rsidRPr="00007196">
        <w:t xml:space="preserve">) </w:t>
      </w:r>
      <w:r w:rsidRPr="00007196">
        <w:t>pre genotypovú rezistenciu HIV-1 na liečivo. V</w:t>
      </w:r>
      <w:r w:rsidR="00E1736D" w:rsidRPr="00007196">
        <w:t> </w:t>
      </w:r>
      <w:r w:rsidRPr="00007196">
        <w:t xml:space="preserve">prípade </w:t>
      </w:r>
      <w:r w:rsidRPr="00007196">
        <w:lastRenderedPageBreak/>
        <w:t>citlivosti na liečivo v</w:t>
      </w:r>
      <w:r w:rsidR="00E1736D" w:rsidRPr="00007196">
        <w:t> </w:t>
      </w:r>
      <w:r w:rsidRPr="00007196">
        <w:t>režime sa danému liečivu priradilo skóre „1“ a</w:t>
      </w:r>
      <w:r w:rsidR="00E1736D" w:rsidRPr="00007196">
        <w:t> </w:t>
      </w:r>
      <w:r w:rsidRPr="00007196">
        <w:t>v</w:t>
      </w:r>
      <w:r w:rsidR="00E1736D" w:rsidRPr="00007196">
        <w:t> </w:t>
      </w:r>
      <w:r w:rsidRPr="00007196">
        <w:t>prípade, že sa podľa algoritmu ANRS predpovedala rezistencia na liečivo sa daným liečivám priradila hodnot</w:t>
      </w:r>
      <w:r w:rsidR="00E1736D" w:rsidRPr="00007196">
        <w:t>a „0“.</w:t>
      </w:r>
    </w:p>
    <w:p w:rsidR="00E56BE0" w:rsidRPr="00007196" w:rsidRDefault="00E56BE0" w:rsidP="00E1736D">
      <w:pPr>
        <w:numPr>
          <w:ilvl w:val="12"/>
          <w:numId w:val="0"/>
        </w:numPr>
        <w:spacing w:line="240" w:lineRule="auto"/>
        <w:ind w:right="-2"/>
      </w:pPr>
    </w:p>
    <w:p w:rsidR="00E56BE0" w:rsidRDefault="00E56BE0" w:rsidP="00E1736D">
      <w:pPr>
        <w:numPr>
          <w:ilvl w:val="12"/>
          <w:numId w:val="0"/>
        </w:numPr>
        <w:spacing w:line="240" w:lineRule="auto"/>
        <w:ind w:right="-2"/>
        <w:rPr>
          <w:b/>
        </w:rPr>
      </w:pPr>
      <w:r w:rsidRPr="00007196">
        <w:rPr>
          <w:b/>
        </w:rPr>
        <w:t>Podiel pacientov v</w:t>
      </w:r>
      <w:r w:rsidR="00E1736D" w:rsidRPr="00007196">
        <w:rPr>
          <w:b/>
        </w:rPr>
        <w:t> </w:t>
      </w:r>
      <w:r w:rsidRPr="00007196">
        <w:rPr>
          <w:b/>
        </w:rPr>
        <w:t>štúdii CNA30021 s &lt;</w:t>
      </w:r>
      <w:r w:rsidR="00CA7909" w:rsidRPr="00007196">
        <w:rPr>
          <w:b/>
        </w:rPr>
        <w:t> </w:t>
      </w:r>
      <w:r w:rsidRPr="00007196">
        <w:rPr>
          <w:b/>
        </w:rPr>
        <w:t>50 kópiami/ml v 48.</w:t>
      </w:r>
      <w:r w:rsidR="00E1736D" w:rsidRPr="00007196">
        <w:rPr>
          <w:b/>
        </w:rPr>
        <w:t> </w:t>
      </w:r>
      <w:r w:rsidRPr="00007196">
        <w:rPr>
          <w:b/>
        </w:rPr>
        <w:t>týždni podľa skóre genotypovej citlivosti pri OBT a</w:t>
      </w:r>
      <w:r w:rsidR="00E1736D" w:rsidRPr="00007196">
        <w:rPr>
          <w:b/>
        </w:rPr>
        <w:t> </w:t>
      </w:r>
      <w:r w:rsidRPr="00007196">
        <w:rPr>
          <w:b/>
        </w:rPr>
        <w:t>počtu východiskových mutácií</w:t>
      </w:r>
    </w:p>
    <w:p w:rsidR="003A1BA9" w:rsidRPr="00A05953" w:rsidRDefault="003A1BA9" w:rsidP="003A1BA9">
      <w:pPr>
        <w:widowControl w:val="0"/>
        <w:spacing w:line="240" w:lineRule="auto"/>
        <w:ind w:left="118" w:right="162"/>
        <w:jc w:val="both"/>
        <w:rPr>
          <w:rFonts w:eastAsia="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1480"/>
        <w:gridCol w:w="1471"/>
        <w:gridCol w:w="1455"/>
        <w:gridCol w:w="1417"/>
        <w:gridCol w:w="1690"/>
      </w:tblGrid>
      <w:tr w:rsidR="003A1BA9" w:rsidRPr="00A05953" w:rsidTr="003A1BA9">
        <w:trPr>
          <w:trHeight w:val="1218"/>
        </w:trPr>
        <w:tc>
          <w:tcPr>
            <w:tcW w:w="1548" w:type="dxa"/>
            <w:shd w:val="clear" w:color="auto" w:fill="auto"/>
          </w:tcPr>
          <w:p w:rsidR="003A1BA9" w:rsidRPr="00A05953" w:rsidRDefault="003A1BA9" w:rsidP="003A1BA9">
            <w:pPr>
              <w:widowControl w:val="0"/>
              <w:spacing w:line="240" w:lineRule="auto"/>
              <w:rPr>
                <w:rFonts w:ascii="Calibri" w:eastAsia="Calibri" w:hAnsi="Calibri"/>
              </w:rPr>
            </w:pPr>
          </w:p>
        </w:tc>
        <w:tc>
          <w:tcPr>
            <w:tcW w:w="5823" w:type="dxa"/>
            <w:gridSpan w:val="4"/>
            <w:shd w:val="clear" w:color="auto" w:fill="auto"/>
          </w:tcPr>
          <w:p w:rsidR="003A1BA9" w:rsidRPr="00757273" w:rsidRDefault="003A1BA9" w:rsidP="003A1BA9">
            <w:pPr>
              <w:spacing w:line="240" w:lineRule="auto"/>
              <w:ind w:left="6"/>
            </w:pPr>
            <w:r w:rsidRPr="00757273">
              <w:rPr>
                <w:b/>
              </w:rPr>
              <w:t>ABC/3TC FDC jedenkrát denne</w:t>
            </w:r>
          </w:p>
          <w:p w:rsidR="003A1BA9" w:rsidRPr="00757273" w:rsidRDefault="003A1BA9" w:rsidP="003A1BA9">
            <w:pPr>
              <w:spacing w:line="240" w:lineRule="auto"/>
              <w:ind w:left="9"/>
            </w:pPr>
            <w:r w:rsidRPr="00757273">
              <w:rPr>
                <w:b/>
              </w:rPr>
              <w:t>(n = 94)</w:t>
            </w:r>
          </w:p>
          <w:p w:rsidR="003A1BA9" w:rsidRPr="00757273" w:rsidRDefault="003A1BA9" w:rsidP="003A1BA9">
            <w:pPr>
              <w:spacing w:line="240" w:lineRule="auto"/>
              <w:ind w:left="62"/>
            </w:pPr>
          </w:p>
          <w:p w:rsidR="003A1BA9" w:rsidRPr="00A05953" w:rsidRDefault="003A1BA9" w:rsidP="003A1BA9">
            <w:pPr>
              <w:widowControl w:val="0"/>
              <w:spacing w:line="240" w:lineRule="auto"/>
              <w:ind w:right="-59"/>
              <w:jc w:val="center"/>
              <w:rPr>
                <w:rFonts w:eastAsia="Times New Roman"/>
                <w:sz w:val="14"/>
                <w:szCs w:val="14"/>
              </w:rPr>
            </w:pPr>
            <w:r w:rsidRPr="00757273">
              <w:t>Počet východiskových mutácií</w:t>
            </w:r>
            <w:r w:rsidRPr="00757273">
              <w:rPr>
                <w:vertAlign w:val="superscript"/>
              </w:rPr>
              <w:t>1</w:t>
            </w:r>
          </w:p>
        </w:tc>
        <w:tc>
          <w:tcPr>
            <w:tcW w:w="1690" w:type="dxa"/>
            <w:shd w:val="clear" w:color="auto" w:fill="auto"/>
          </w:tcPr>
          <w:p w:rsidR="003A1BA9" w:rsidRPr="00757273" w:rsidRDefault="003A1BA9" w:rsidP="003A1BA9">
            <w:pPr>
              <w:spacing w:line="240" w:lineRule="auto"/>
              <w:ind w:left="7"/>
            </w:pPr>
            <w:r w:rsidRPr="00757273">
              <w:rPr>
                <w:b/>
              </w:rPr>
              <w:t xml:space="preserve">ABC </w:t>
            </w:r>
          </w:p>
          <w:p w:rsidR="003A1BA9" w:rsidRPr="00A05953" w:rsidRDefault="003A1BA9" w:rsidP="003A1BA9">
            <w:pPr>
              <w:widowControl w:val="0"/>
              <w:spacing w:line="240" w:lineRule="auto"/>
              <w:ind w:right="-39"/>
              <w:rPr>
                <w:rFonts w:eastAsia="Times New Roman"/>
                <w:b/>
                <w:bCs/>
                <w:spacing w:val="-1"/>
              </w:rPr>
            </w:pPr>
            <w:r w:rsidRPr="00757273">
              <w:rPr>
                <w:b/>
              </w:rPr>
              <w:t>dvakrát denne +3TC jedenkrát denne (n</w:t>
            </w:r>
            <w:r>
              <w:rPr>
                <w:b/>
              </w:rPr>
              <w:t> </w:t>
            </w:r>
            <w:r w:rsidRPr="00757273">
              <w:rPr>
                <w:b/>
              </w:rPr>
              <w:t>=</w:t>
            </w:r>
            <w:r>
              <w:rPr>
                <w:b/>
              </w:rPr>
              <w:t> </w:t>
            </w:r>
            <w:r w:rsidRPr="00757273">
              <w:rPr>
                <w:b/>
              </w:rPr>
              <w:t>88)</w:t>
            </w:r>
          </w:p>
        </w:tc>
      </w:tr>
      <w:tr w:rsidR="003A1BA9" w:rsidRPr="00A05953" w:rsidTr="003A1BA9">
        <w:trPr>
          <w:trHeight w:val="402"/>
        </w:trPr>
        <w:tc>
          <w:tcPr>
            <w:tcW w:w="1548" w:type="dxa"/>
            <w:shd w:val="clear" w:color="auto" w:fill="auto"/>
          </w:tcPr>
          <w:p w:rsidR="003A1BA9" w:rsidRPr="00757273" w:rsidRDefault="003A1BA9" w:rsidP="003A1BA9">
            <w:pPr>
              <w:spacing w:line="240" w:lineRule="auto"/>
              <w:ind w:left="7"/>
            </w:pPr>
            <w:r w:rsidRPr="00757273">
              <w:rPr>
                <w:b/>
              </w:rPr>
              <w:t>Skóre</w:t>
            </w:r>
          </w:p>
          <w:p w:rsidR="003A1BA9" w:rsidRPr="00A05953" w:rsidRDefault="003A1BA9" w:rsidP="003A1BA9">
            <w:pPr>
              <w:widowControl w:val="0"/>
              <w:spacing w:line="240" w:lineRule="auto"/>
              <w:rPr>
                <w:rFonts w:ascii="Calibri" w:eastAsia="Calibri" w:hAnsi="Calibri"/>
              </w:rPr>
            </w:pPr>
            <w:r w:rsidRPr="00757273">
              <w:rPr>
                <w:b/>
              </w:rPr>
              <w:t>genotypovej citlivosti pri OBT</w:t>
            </w:r>
            <w:r w:rsidRPr="00A05953">
              <w:rPr>
                <w:rFonts w:ascii="Calibri" w:eastAsia="Calibri" w:hAnsi="Calibri"/>
              </w:rPr>
              <w:t xml:space="preserve"> </w:t>
            </w:r>
          </w:p>
        </w:tc>
        <w:tc>
          <w:tcPr>
            <w:tcW w:w="1480" w:type="dxa"/>
            <w:shd w:val="clear" w:color="auto" w:fill="auto"/>
          </w:tcPr>
          <w:p w:rsidR="003A1BA9" w:rsidRPr="00A05953" w:rsidRDefault="003A1BA9" w:rsidP="003A1BA9">
            <w:pPr>
              <w:widowControl w:val="0"/>
              <w:spacing w:line="240" w:lineRule="auto"/>
              <w:rPr>
                <w:rFonts w:ascii="Calibri" w:eastAsia="Calibri" w:hAnsi="Calibri"/>
              </w:rPr>
            </w:pPr>
            <w:r w:rsidRPr="00757273">
              <w:t>Všetci pacienti</w:t>
            </w:r>
          </w:p>
        </w:tc>
        <w:tc>
          <w:tcPr>
            <w:tcW w:w="1471" w:type="dxa"/>
            <w:shd w:val="clear" w:color="auto" w:fill="auto"/>
          </w:tcPr>
          <w:p w:rsidR="003A1BA9" w:rsidRPr="00A05953" w:rsidRDefault="003A1BA9" w:rsidP="003A1BA9">
            <w:pPr>
              <w:widowControl w:val="0"/>
              <w:spacing w:line="240" w:lineRule="auto"/>
              <w:rPr>
                <w:rFonts w:ascii="Calibri" w:eastAsia="Calibri" w:hAnsi="Calibri"/>
              </w:rPr>
            </w:pPr>
            <w:r w:rsidRPr="00757273">
              <w:t>0-1</w:t>
            </w:r>
          </w:p>
        </w:tc>
        <w:tc>
          <w:tcPr>
            <w:tcW w:w="1455" w:type="dxa"/>
            <w:shd w:val="clear" w:color="auto" w:fill="auto"/>
          </w:tcPr>
          <w:p w:rsidR="003A1BA9" w:rsidRPr="00A05953" w:rsidRDefault="003A1BA9" w:rsidP="003A1BA9">
            <w:pPr>
              <w:widowControl w:val="0"/>
              <w:spacing w:line="240" w:lineRule="auto"/>
              <w:rPr>
                <w:rFonts w:ascii="Calibri" w:eastAsia="Calibri" w:hAnsi="Calibri"/>
              </w:rPr>
            </w:pPr>
            <w:r w:rsidRPr="00A05953">
              <w:rPr>
                <w:rFonts w:eastAsia="Times New Roman"/>
              </w:rPr>
              <w:t>2</w:t>
            </w:r>
            <w:r w:rsidRPr="00A05953">
              <w:rPr>
                <w:rFonts w:eastAsia="Times New Roman"/>
                <w:spacing w:val="-4"/>
              </w:rPr>
              <w:t>-</w:t>
            </w:r>
            <w:r w:rsidRPr="00A05953">
              <w:rPr>
                <w:rFonts w:eastAsia="Times New Roman"/>
              </w:rPr>
              <w:t>5</w:t>
            </w:r>
          </w:p>
        </w:tc>
        <w:tc>
          <w:tcPr>
            <w:tcW w:w="1417" w:type="dxa"/>
            <w:shd w:val="clear" w:color="auto" w:fill="auto"/>
          </w:tcPr>
          <w:p w:rsidR="003A1BA9" w:rsidRPr="00A05953" w:rsidRDefault="003A1BA9" w:rsidP="003A1BA9">
            <w:pPr>
              <w:widowControl w:val="0"/>
              <w:spacing w:line="240" w:lineRule="auto"/>
              <w:rPr>
                <w:rFonts w:ascii="Calibri" w:eastAsia="Calibri" w:hAnsi="Calibri"/>
              </w:rPr>
            </w:pPr>
            <w:r w:rsidRPr="00A05953">
              <w:rPr>
                <w:rFonts w:eastAsia="Times New Roman"/>
              </w:rPr>
              <w:t>6+</w:t>
            </w:r>
          </w:p>
        </w:tc>
        <w:tc>
          <w:tcPr>
            <w:tcW w:w="1690" w:type="dxa"/>
            <w:shd w:val="clear" w:color="auto" w:fill="auto"/>
          </w:tcPr>
          <w:p w:rsidR="003A1BA9" w:rsidRPr="00A05953" w:rsidRDefault="00583C53" w:rsidP="003A1BA9">
            <w:pPr>
              <w:widowControl w:val="0"/>
              <w:spacing w:line="240" w:lineRule="auto"/>
              <w:rPr>
                <w:rFonts w:ascii="Calibri" w:eastAsia="Calibri" w:hAnsi="Calibri"/>
              </w:rPr>
            </w:pPr>
            <w:r w:rsidRPr="00757273">
              <w:t>Všetci pacienti</w:t>
            </w:r>
          </w:p>
        </w:tc>
      </w:tr>
      <w:tr w:rsidR="003A1BA9" w:rsidRPr="00A05953" w:rsidTr="003A1BA9">
        <w:tc>
          <w:tcPr>
            <w:tcW w:w="1548"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spacing w:val="1"/>
              </w:rPr>
              <w:t xml:space="preserve">≤ </w:t>
            </w:r>
            <w:r w:rsidRPr="00A05953">
              <w:rPr>
                <w:rFonts w:eastAsia="Times New Roman"/>
                <w:b/>
                <w:bCs/>
              </w:rPr>
              <w:t>2</w:t>
            </w:r>
          </w:p>
        </w:tc>
        <w:tc>
          <w:tcPr>
            <w:tcW w:w="1480"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 xml:space="preserve">2/6 </w:t>
            </w:r>
            <w:r w:rsidRPr="00A05953">
              <w:rPr>
                <w:rFonts w:eastAsia="Times New Roman"/>
                <w:spacing w:val="-2"/>
              </w:rPr>
              <w:t>(</w:t>
            </w:r>
            <w:r w:rsidRPr="00A05953">
              <w:rPr>
                <w:rFonts w:eastAsia="Times New Roman"/>
              </w:rPr>
              <w:t>33</w:t>
            </w:r>
            <w:r w:rsidR="00E43DBA">
              <w:rPr>
                <w:rFonts w:eastAsia="Times New Roman"/>
              </w:rPr>
              <w:t> </w:t>
            </w:r>
            <w:r w:rsidRPr="00A05953">
              <w:rPr>
                <w:rFonts w:eastAsia="Times New Roman"/>
                <w:spacing w:val="-2"/>
              </w:rPr>
              <w:t>%</w:t>
            </w:r>
            <w:r w:rsidRPr="00A05953">
              <w:rPr>
                <w:rFonts w:eastAsia="Times New Roman"/>
              </w:rPr>
              <w:t>)</w:t>
            </w:r>
          </w:p>
        </w:tc>
        <w:tc>
          <w:tcPr>
            <w:tcW w:w="1471"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 xml:space="preserve">2/6 </w:t>
            </w:r>
            <w:r w:rsidRPr="00A05953">
              <w:rPr>
                <w:rFonts w:eastAsia="Times New Roman"/>
                <w:spacing w:val="-2"/>
              </w:rPr>
              <w:t>(</w:t>
            </w:r>
            <w:r w:rsidRPr="00A05953">
              <w:rPr>
                <w:rFonts w:eastAsia="Times New Roman"/>
              </w:rPr>
              <w:t>33</w:t>
            </w:r>
            <w:r w:rsidR="00E43DBA">
              <w:rPr>
                <w:rFonts w:eastAsia="Times New Roman"/>
              </w:rPr>
              <w:t> </w:t>
            </w:r>
            <w:r w:rsidRPr="00A05953">
              <w:rPr>
                <w:rFonts w:eastAsia="Times New Roman"/>
                <w:spacing w:val="-2"/>
              </w:rPr>
              <w:t>%</w:t>
            </w:r>
            <w:r w:rsidRPr="00A05953">
              <w:rPr>
                <w:rFonts w:eastAsia="Times New Roman"/>
              </w:rPr>
              <w:t>)</w:t>
            </w:r>
          </w:p>
        </w:tc>
        <w:tc>
          <w:tcPr>
            <w:tcW w:w="1455"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0</w:t>
            </w:r>
          </w:p>
        </w:tc>
        <w:tc>
          <w:tcPr>
            <w:tcW w:w="1417"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0</w:t>
            </w:r>
          </w:p>
        </w:tc>
        <w:tc>
          <w:tcPr>
            <w:tcW w:w="1690"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 xml:space="preserve">3/6 </w:t>
            </w:r>
            <w:r w:rsidRPr="00A05953">
              <w:rPr>
                <w:rFonts w:eastAsia="Times New Roman"/>
                <w:spacing w:val="-2"/>
              </w:rPr>
              <w:t>(</w:t>
            </w:r>
            <w:r w:rsidRPr="00A05953">
              <w:rPr>
                <w:rFonts w:eastAsia="Times New Roman"/>
              </w:rPr>
              <w:t>50</w:t>
            </w:r>
            <w:r w:rsidR="00E43DBA">
              <w:rPr>
                <w:rFonts w:eastAsia="Times New Roman"/>
              </w:rPr>
              <w:t> </w:t>
            </w:r>
            <w:r w:rsidRPr="00A05953">
              <w:rPr>
                <w:rFonts w:eastAsia="Times New Roman"/>
                <w:spacing w:val="-2"/>
              </w:rPr>
              <w:t>%</w:t>
            </w:r>
            <w:r w:rsidRPr="00A05953">
              <w:rPr>
                <w:rFonts w:eastAsia="Times New Roman"/>
              </w:rPr>
              <w:t>)</w:t>
            </w:r>
          </w:p>
        </w:tc>
      </w:tr>
      <w:tr w:rsidR="003A1BA9" w:rsidRPr="00A05953" w:rsidTr="003A1BA9">
        <w:trPr>
          <w:trHeight w:val="69"/>
        </w:trPr>
        <w:tc>
          <w:tcPr>
            <w:tcW w:w="1548"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b/>
                <w:bCs/>
                <w:spacing w:val="-1"/>
              </w:rPr>
              <w:t xml:space="preserve">&gt; </w:t>
            </w:r>
            <w:r w:rsidRPr="00A05953">
              <w:rPr>
                <w:rFonts w:eastAsia="Times New Roman"/>
                <w:b/>
                <w:bCs/>
              </w:rPr>
              <w:t>2</w:t>
            </w:r>
          </w:p>
        </w:tc>
        <w:tc>
          <w:tcPr>
            <w:tcW w:w="1480"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58/119</w:t>
            </w:r>
            <w:r w:rsidRPr="00A05953">
              <w:rPr>
                <w:rFonts w:eastAsia="Times New Roman"/>
                <w:spacing w:val="-2"/>
              </w:rPr>
              <w:t xml:space="preserve"> </w:t>
            </w:r>
            <w:r w:rsidRPr="00A05953">
              <w:rPr>
                <w:rFonts w:eastAsia="Times New Roman"/>
              </w:rPr>
              <w:t>(4</w:t>
            </w:r>
            <w:r w:rsidRPr="00A05953">
              <w:rPr>
                <w:rFonts w:eastAsia="Times New Roman"/>
                <w:spacing w:val="-2"/>
              </w:rPr>
              <w:t>9</w:t>
            </w:r>
            <w:r w:rsidR="00E43DBA">
              <w:rPr>
                <w:rFonts w:eastAsia="Times New Roman"/>
                <w:spacing w:val="-2"/>
              </w:rPr>
              <w:t> </w:t>
            </w:r>
            <w:r w:rsidRPr="00A05953">
              <w:rPr>
                <w:rFonts w:eastAsia="Times New Roman"/>
                <w:spacing w:val="1"/>
              </w:rPr>
              <w:t>%</w:t>
            </w:r>
            <w:r w:rsidRPr="00A05953">
              <w:rPr>
                <w:rFonts w:eastAsia="Times New Roman"/>
              </w:rPr>
              <w:t>)</w:t>
            </w:r>
          </w:p>
        </w:tc>
        <w:tc>
          <w:tcPr>
            <w:tcW w:w="1471"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57/119</w:t>
            </w:r>
            <w:r w:rsidRPr="00A05953">
              <w:rPr>
                <w:rFonts w:eastAsia="Times New Roman"/>
                <w:spacing w:val="-2"/>
              </w:rPr>
              <w:t xml:space="preserve"> </w:t>
            </w:r>
            <w:r w:rsidRPr="00A05953">
              <w:rPr>
                <w:rFonts w:eastAsia="Times New Roman"/>
              </w:rPr>
              <w:t>(4</w:t>
            </w:r>
            <w:r w:rsidRPr="00A05953">
              <w:rPr>
                <w:rFonts w:eastAsia="Times New Roman"/>
                <w:spacing w:val="-2"/>
              </w:rPr>
              <w:t>8</w:t>
            </w:r>
            <w:r w:rsidR="00E43DBA">
              <w:rPr>
                <w:rFonts w:eastAsia="Times New Roman"/>
                <w:spacing w:val="-2"/>
              </w:rPr>
              <w:t> </w:t>
            </w:r>
            <w:r w:rsidRPr="00A05953">
              <w:rPr>
                <w:rFonts w:eastAsia="Times New Roman"/>
                <w:spacing w:val="1"/>
              </w:rPr>
              <w:t>%</w:t>
            </w:r>
            <w:r w:rsidRPr="00A05953">
              <w:rPr>
                <w:rFonts w:eastAsia="Times New Roman"/>
              </w:rPr>
              <w:t>)</w:t>
            </w:r>
          </w:p>
        </w:tc>
        <w:tc>
          <w:tcPr>
            <w:tcW w:w="1455"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1/119</w:t>
            </w:r>
            <w:r w:rsidRPr="00A05953">
              <w:rPr>
                <w:rFonts w:eastAsia="Times New Roman"/>
                <w:spacing w:val="-2"/>
              </w:rPr>
              <w:t xml:space="preserve"> </w:t>
            </w:r>
            <w:r w:rsidRPr="00A05953">
              <w:rPr>
                <w:rFonts w:eastAsia="Times New Roman"/>
              </w:rPr>
              <w:t xml:space="preserve">(&lt; </w:t>
            </w:r>
            <w:r w:rsidRPr="00A05953">
              <w:rPr>
                <w:rFonts w:eastAsia="Times New Roman"/>
                <w:spacing w:val="-2"/>
              </w:rPr>
              <w:t>1</w:t>
            </w:r>
            <w:r w:rsidR="00E43DBA">
              <w:rPr>
                <w:rFonts w:eastAsia="Times New Roman"/>
                <w:spacing w:val="-2"/>
              </w:rPr>
              <w:t> </w:t>
            </w:r>
            <w:r w:rsidRPr="00A05953">
              <w:rPr>
                <w:rFonts w:eastAsia="Times New Roman"/>
                <w:spacing w:val="1"/>
              </w:rPr>
              <w:t>%</w:t>
            </w:r>
            <w:r w:rsidRPr="00A05953">
              <w:rPr>
                <w:rFonts w:eastAsia="Times New Roman"/>
              </w:rPr>
              <w:t>)</w:t>
            </w:r>
          </w:p>
        </w:tc>
        <w:tc>
          <w:tcPr>
            <w:tcW w:w="1417"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0</w:t>
            </w:r>
          </w:p>
        </w:tc>
        <w:tc>
          <w:tcPr>
            <w:tcW w:w="1690"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57/114</w:t>
            </w:r>
            <w:r w:rsidRPr="00A05953">
              <w:rPr>
                <w:rFonts w:eastAsia="Times New Roman"/>
                <w:spacing w:val="-2"/>
              </w:rPr>
              <w:t xml:space="preserve"> </w:t>
            </w:r>
            <w:r w:rsidRPr="00A05953">
              <w:rPr>
                <w:rFonts w:eastAsia="Times New Roman"/>
              </w:rPr>
              <w:t>(5</w:t>
            </w:r>
            <w:r w:rsidRPr="00A05953">
              <w:rPr>
                <w:rFonts w:eastAsia="Times New Roman"/>
                <w:spacing w:val="-2"/>
              </w:rPr>
              <w:t>0</w:t>
            </w:r>
            <w:r w:rsidR="00E43DBA">
              <w:rPr>
                <w:rFonts w:eastAsia="Times New Roman"/>
                <w:spacing w:val="-2"/>
              </w:rPr>
              <w:t> </w:t>
            </w:r>
            <w:r w:rsidRPr="00A05953">
              <w:rPr>
                <w:rFonts w:eastAsia="Times New Roman"/>
                <w:spacing w:val="1"/>
              </w:rPr>
              <w:t>%</w:t>
            </w:r>
            <w:r w:rsidRPr="00A05953">
              <w:rPr>
                <w:rFonts w:eastAsia="Times New Roman"/>
              </w:rPr>
              <w:t>)</w:t>
            </w:r>
          </w:p>
        </w:tc>
      </w:tr>
      <w:tr w:rsidR="003A1BA9" w:rsidRPr="00A05953" w:rsidTr="003A1BA9">
        <w:tc>
          <w:tcPr>
            <w:tcW w:w="1548" w:type="dxa"/>
            <w:shd w:val="clear" w:color="auto" w:fill="auto"/>
          </w:tcPr>
          <w:p w:rsidR="003A1BA9" w:rsidRPr="00A05953" w:rsidRDefault="003A1BA9" w:rsidP="00B423BE">
            <w:pPr>
              <w:widowControl w:val="0"/>
              <w:spacing w:line="240" w:lineRule="auto"/>
              <w:rPr>
                <w:rFonts w:ascii="Calibri" w:eastAsia="Calibri" w:hAnsi="Calibri"/>
              </w:rPr>
            </w:pPr>
            <w:r w:rsidRPr="00757273">
              <w:rPr>
                <w:b/>
              </w:rPr>
              <w:t>Všetci pacienti</w:t>
            </w:r>
          </w:p>
        </w:tc>
        <w:tc>
          <w:tcPr>
            <w:tcW w:w="1480"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60/125</w:t>
            </w:r>
            <w:r w:rsidRPr="00A05953">
              <w:rPr>
                <w:rFonts w:eastAsia="Times New Roman"/>
                <w:spacing w:val="-1"/>
              </w:rPr>
              <w:t xml:space="preserve"> </w:t>
            </w:r>
            <w:r w:rsidRPr="00A05953">
              <w:rPr>
                <w:rFonts w:eastAsia="Times New Roman"/>
              </w:rPr>
              <w:t>(4</w:t>
            </w:r>
            <w:r w:rsidRPr="00A05953">
              <w:rPr>
                <w:rFonts w:eastAsia="Times New Roman"/>
                <w:spacing w:val="-2"/>
              </w:rPr>
              <w:t>8</w:t>
            </w:r>
            <w:r w:rsidR="00E43DBA">
              <w:rPr>
                <w:rFonts w:eastAsia="Times New Roman"/>
                <w:spacing w:val="-2"/>
              </w:rPr>
              <w:t> </w:t>
            </w:r>
            <w:r w:rsidRPr="00A05953">
              <w:rPr>
                <w:rFonts w:eastAsia="Times New Roman"/>
                <w:spacing w:val="1"/>
              </w:rPr>
              <w:t>%</w:t>
            </w:r>
            <w:r w:rsidRPr="00A05953">
              <w:rPr>
                <w:rFonts w:eastAsia="Times New Roman"/>
              </w:rPr>
              <w:t>)</w:t>
            </w:r>
          </w:p>
        </w:tc>
        <w:tc>
          <w:tcPr>
            <w:tcW w:w="1471"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59/125</w:t>
            </w:r>
            <w:r w:rsidRPr="00A05953">
              <w:rPr>
                <w:rFonts w:eastAsia="Times New Roman"/>
                <w:spacing w:val="-2"/>
              </w:rPr>
              <w:t xml:space="preserve"> </w:t>
            </w:r>
            <w:r w:rsidRPr="00A05953">
              <w:rPr>
                <w:rFonts w:eastAsia="Times New Roman"/>
              </w:rPr>
              <w:t>(4</w:t>
            </w:r>
            <w:r w:rsidRPr="00A05953">
              <w:rPr>
                <w:rFonts w:eastAsia="Times New Roman"/>
                <w:spacing w:val="-2"/>
              </w:rPr>
              <w:t>7</w:t>
            </w:r>
            <w:r w:rsidR="00E43DBA">
              <w:rPr>
                <w:rFonts w:eastAsia="Times New Roman"/>
                <w:spacing w:val="-2"/>
              </w:rPr>
              <w:t> </w:t>
            </w:r>
            <w:r w:rsidRPr="00A05953">
              <w:rPr>
                <w:rFonts w:eastAsia="Times New Roman"/>
                <w:spacing w:val="1"/>
              </w:rPr>
              <w:t>%</w:t>
            </w:r>
            <w:r w:rsidRPr="00A05953">
              <w:rPr>
                <w:rFonts w:eastAsia="Times New Roman"/>
              </w:rPr>
              <w:t>)</w:t>
            </w:r>
          </w:p>
        </w:tc>
        <w:tc>
          <w:tcPr>
            <w:tcW w:w="1455"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1/125</w:t>
            </w:r>
            <w:r w:rsidRPr="00A05953">
              <w:rPr>
                <w:rFonts w:eastAsia="Times New Roman"/>
                <w:spacing w:val="-2"/>
              </w:rPr>
              <w:t xml:space="preserve"> </w:t>
            </w:r>
            <w:r w:rsidRPr="00A05953">
              <w:rPr>
                <w:rFonts w:eastAsia="Times New Roman"/>
              </w:rPr>
              <w:t xml:space="preserve">(&lt; </w:t>
            </w:r>
            <w:r w:rsidRPr="00A05953">
              <w:rPr>
                <w:rFonts w:eastAsia="Times New Roman"/>
                <w:spacing w:val="-2"/>
              </w:rPr>
              <w:t>1</w:t>
            </w:r>
            <w:r w:rsidR="00E43DBA">
              <w:rPr>
                <w:rFonts w:eastAsia="Times New Roman"/>
                <w:spacing w:val="-2"/>
              </w:rPr>
              <w:t> </w:t>
            </w:r>
            <w:r w:rsidRPr="00A05953">
              <w:rPr>
                <w:rFonts w:eastAsia="Times New Roman"/>
                <w:spacing w:val="1"/>
              </w:rPr>
              <w:t>%</w:t>
            </w:r>
            <w:r w:rsidRPr="00A05953">
              <w:rPr>
                <w:rFonts w:eastAsia="Times New Roman"/>
              </w:rPr>
              <w:t>)</w:t>
            </w:r>
          </w:p>
        </w:tc>
        <w:tc>
          <w:tcPr>
            <w:tcW w:w="1417"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0</w:t>
            </w:r>
          </w:p>
        </w:tc>
        <w:tc>
          <w:tcPr>
            <w:tcW w:w="1690" w:type="dxa"/>
            <w:shd w:val="clear" w:color="auto" w:fill="auto"/>
          </w:tcPr>
          <w:p w:rsidR="003A1BA9" w:rsidRPr="00A05953" w:rsidRDefault="003A1BA9" w:rsidP="00B423BE">
            <w:pPr>
              <w:widowControl w:val="0"/>
              <w:spacing w:line="240" w:lineRule="auto"/>
              <w:rPr>
                <w:rFonts w:ascii="Calibri" w:eastAsia="Calibri" w:hAnsi="Calibri"/>
              </w:rPr>
            </w:pPr>
            <w:r w:rsidRPr="00A05953">
              <w:rPr>
                <w:rFonts w:eastAsia="Times New Roman"/>
              </w:rPr>
              <w:t>60/120</w:t>
            </w:r>
            <w:r w:rsidRPr="00A05953">
              <w:rPr>
                <w:rFonts w:eastAsia="Times New Roman"/>
                <w:spacing w:val="-2"/>
              </w:rPr>
              <w:t xml:space="preserve"> </w:t>
            </w:r>
            <w:r w:rsidRPr="00A05953">
              <w:rPr>
                <w:rFonts w:eastAsia="Times New Roman"/>
              </w:rPr>
              <w:t>(5</w:t>
            </w:r>
            <w:r w:rsidRPr="00A05953">
              <w:rPr>
                <w:rFonts w:eastAsia="Times New Roman"/>
                <w:spacing w:val="-2"/>
              </w:rPr>
              <w:t>0</w:t>
            </w:r>
            <w:r w:rsidR="00E43DBA">
              <w:rPr>
                <w:rFonts w:eastAsia="Times New Roman"/>
                <w:spacing w:val="-2"/>
              </w:rPr>
              <w:t> </w:t>
            </w:r>
            <w:r w:rsidRPr="00A05953">
              <w:rPr>
                <w:rFonts w:eastAsia="Times New Roman"/>
                <w:spacing w:val="1"/>
              </w:rPr>
              <w:t>%</w:t>
            </w:r>
            <w:r w:rsidRPr="00A05953">
              <w:rPr>
                <w:rFonts w:eastAsia="Times New Roman"/>
              </w:rPr>
              <w:t>)</w:t>
            </w:r>
          </w:p>
        </w:tc>
      </w:tr>
    </w:tbl>
    <w:p w:rsidR="00E43DBA" w:rsidRPr="00E43DBA" w:rsidRDefault="00E43DBA" w:rsidP="00E43DBA">
      <w:pPr>
        <w:tabs>
          <w:tab w:val="clear" w:pos="567"/>
        </w:tabs>
        <w:spacing w:line="259" w:lineRule="auto"/>
        <w:ind w:left="7"/>
        <w:rPr>
          <w:rFonts w:eastAsia="Times New Roman"/>
          <w:color w:val="000000"/>
          <w:sz w:val="18"/>
        </w:rPr>
      </w:pPr>
      <w:r w:rsidRPr="00E43DBA">
        <w:rPr>
          <w:rFonts w:eastAsia="Times New Roman"/>
          <w:color w:val="000000"/>
          <w:vertAlign w:val="superscript"/>
        </w:rPr>
        <w:t>1</w:t>
      </w:r>
      <w:r w:rsidRPr="00E43DBA">
        <w:rPr>
          <w:rFonts w:eastAsia="Times New Roman"/>
          <w:color w:val="000000"/>
        </w:rPr>
        <w:t>Hlavné, podľa IAS-USA (december 2009) definované mutácie spojené s rezistenciou na abakavir alebo lamivudín</w:t>
      </w:r>
    </w:p>
    <w:p w:rsidR="003A1BA9" w:rsidRPr="00007196" w:rsidRDefault="003A1BA9" w:rsidP="00E1736D">
      <w:pPr>
        <w:numPr>
          <w:ilvl w:val="12"/>
          <w:numId w:val="0"/>
        </w:numPr>
        <w:spacing w:line="240" w:lineRule="auto"/>
        <w:ind w:right="-2"/>
        <w:rPr>
          <w:b/>
        </w:rPr>
      </w:pPr>
    </w:p>
    <w:p w:rsidR="00E56BE0" w:rsidRPr="00007196" w:rsidRDefault="00E56BE0" w:rsidP="002B7B74">
      <w:pPr>
        <w:pStyle w:val="Nadpis2"/>
        <w:spacing w:after="0" w:line="240" w:lineRule="auto"/>
        <w:ind w:left="2"/>
      </w:pPr>
      <w:r w:rsidRPr="00007196">
        <w:rPr>
          <w:i/>
          <w:u w:val="none"/>
        </w:rPr>
        <w:t>Pediatrická populácia</w:t>
      </w:r>
    </w:p>
    <w:p w:rsidR="00E56BE0" w:rsidRPr="00007196" w:rsidRDefault="00E56BE0" w:rsidP="00042751">
      <w:r w:rsidRPr="00007196">
        <w:t>V</w:t>
      </w:r>
      <w:r w:rsidR="00047E44" w:rsidRPr="00007196">
        <w:t> </w:t>
      </w:r>
      <w:r w:rsidRPr="00007196">
        <w:t>rámci randomizovanej, multicentrickej, kontrolovanej štúdie s</w:t>
      </w:r>
      <w:r w:rsidR="00047E44" w:rsidRPr="00007196">
        <w:t> </w:t>
      </w:r>
      <w:r w:rsidRPr="00007196">
        <w:t xml:space="preserve">HIV-infikovanými pediatrickými pacientmi sa </w:t>
      </w:r>
      <w:r w:rsidRPr="003A3943">
        <w:t>uskutočnilo</w:t>
      </w:r>
      <w:r w:rsidRPr="00007196">
        <w:t xml:space="preserve"> porovnanie schémy zahŕňajúcej abakavir a</w:t>
      </w:r>
      <w:r w:rsidR="00047E44" w:rsidRPr="00007196">
        <w:t> </w:t>
      </w:r>
      <w:r w:rsidRPr="00007196">
        <w:t>lamivudín v</w:t>
      </w:r>
      <w:r w:rsidR="00047E44" w:rsidRPr="00007196">
        <w:t> </w:t>
      </w:r>
      <w:r w:rsidRPr="00007196">
        <w:t>dávke podávanej jedenkrát denne oproti dávke podávanej dvakrát denne. Do štúdie ARROW (COL105677) bolo zaradených 1</w:t>
      </w:r>
      <w:r w:rsidR="00047E44" w:rsidRPr="00007196">
        <w:t> </w:t>
      </w:r>
      <w:r w:rsidRPr="00007196">
        <w:t>206 pediatrických pacientov vo veku od 3</w:t>
      </w:r>
      <w:r w:rsidR="00047E44" w:rsidRPr="00007196">
        <w:t> </w:t>
      </w:r>
      <w:r w:rsidRPr="00007196">
        <w:t>mesiacov do 17</w:t>
      </w:r>
      <w:r w:rsidR="00047E44" w:rsidRPr="00007196">
        <w:t> </w:t>
      </w:r>
      <w:r w:rsidRPr="00007196">
        <w:t>rokov, ktorým sa podávala dávka stanovená podľa odporúčaní na dávkovanie podľa skupín založených na telesnej hmotnosti, ktoré sú uvedené v</w:t>
      </w:r>
      <w:r w:rsidR="00047E44" w:rsidRPr="00007196">
        <w:t> </w:t>
      </w:r>
      <w:r w:rsidRPr="00007196">
        <w:t>smerniciach pre liečbu vydaných Svetovou zdravotníckou organizáciou (Antiretrovírusová liečba HIV infekcie u</w:t>
      </w:r>
      <w:r w:rsidR="00047E44" w:rsidRPr="00007196">
        <w:t> </w:t>
      </w:r>
      <w:r w:rsidRPr="00007196">
        <w:t>dojčiat a</w:t>
      </w:r>
      <w:r w:rsidR="00047E44" w:rsidRPr="00007196">
        <w:t> </w:t>
      </w:r>
      <w:r w:rsidRPr="00007196">
        <w:t>detí, 2006). Po 36</w:t>
      </w:r>
      <w:r w:rsidR="00047E44" w:rsidRPr="00007196">
        <w:t> </w:t>
      </w:r>
      <w:r w:rsidRPr="00007196">
        <w:t>týždňoch liečby s</w:t>
      </w:r>
      <w:r w:rsidR="00047E44" w:rsidRPr="00007196">
        <w:t> </w:t>
      </w:r>
      <w:r w:rsidRPr="00007196">
        <w:t>použitím schémy s</w:t>
      </w:r>
      <w:r w:rsidR="00047E44" w:rsidRPr="00007196">
        <w:t> </w:t>
      </w:r>
      <w:r w:rsidRPr="00007196">
        <w:t>dávkou abakaviru a</w:t>
      </w:r>
      <w:r w:rsidR="00047E44" w:rsidRPr="00007196">
        <w:t> </w:t>
      </w:r>
      <w:r w:rsidRPr="00007196">
        <w:t>lamivudínu podávanou dvakrát denne bolo 669</w:t>
      </w:r>
      <w:r w:rsidR="00E1736D" w:rsidRPr="00007196">
        <w:t> </w:t>
      </w:r>
      <w:r w:rsidRPr="00007196">
        <w:t xml:space="preserve">vhodných </w:t>
      </w:r>
      <w:r w:rsidR="00A535D5" w:rsidRPr="00007196">
        <w:t>jedincov</w:t>
      </w:r>
      <w:r w:rsidRPr="00007196">
        <w:t xml:space="preserve"> randomizovaných tak, aby buď pokračovali v</w:t>
      </w:r>
      <w:r w:rsidR="00047E44" w:rsidRPr="00007196">
        <w:t> </w:t>
      </w:r>
      <w:r w:rsidRPr="00007196">
        <w:t>užívaní abakaviru a</w:t>
      </w:r>
      <w:r w:rsidR="00047E44" w:rsidRPr="00007196">
        <w:t> </w:t>
      </w:r>
      <w:r w:rsidRPr="00007196">
        <w:t>lamivudínu dvakrát denne, alebo prešli na užívanie abakaviru a</w:t>
      </w:r>
      <w:r w:rsidR="00047E44" w:rsidRPr="00007196">
        <w:t> </w:t>
      </w:r>
      <w:r w:rsidRPr="00007196">
        <w:t>lamivudínu jedenkrát denne počas aspoň ďalších 96</w:t>
      </w:r>
      <w:r w:rsidR="00047E44" w:rsidRPr="00007196">
        <w:t> </w:t>
      </w:r>
      <w:r w:rsidRPr="00007196">
        <w:t>týždňov. V</w:t>
      </w:r>
      <w:r w:rsidR="00047E44" w:rsidRPr="00007196">
        <w:t> </w:t>
      </w:r>
      <w:r w:rsidRPr="00007196">
        <w:t>rámci tejto populácie sa 104</w:t>
      </w:r>
      <w:r w:rsidR="00047E44" w:rsidRPr="00007196">
        <w:t> </w:t>
      </w:r>
      <w:r w:rsidRPr="00007196">
        <w:t>pacientom, ktorí vážili aspoň 25</w:t>
      </w:r>
      <w:r w:rsidR="00047E44" w:rsidRPr="00007196">
        <w:t> </w:t>
      </w:r>
      <w:r w:rsidRPr="00007196">
        <w:t>kg, podávalo 600</w:t>
      </w:r>
      <w:r w:rsidR="00047E44" w:rsidRPr="00007196">
        <w:t> </w:t>
      </w:r>
      <w:r w:rsidRPr="00007196">
        <w:t>mg abakaviru a</w:t>
      </w:r>
      <w:r w:rsidR="00047E44" w:rsidRPr="00007196">
        <w:t> </w:t>
      </w:r>
      <w:r w:rsidRPr="00007196">
        <w:t>300</w:t>
      </w:r>
      <w:r w:rsidR="00047E44" w:rsidRPr="00007196">
        <w:t> </w:t>
      </w:r>
      <w:r w:rsidRPr="00007196">
        <w:t xml:space="preserve">mg lamivudín vo forme </w:t>
      </w:r>
      <w:r w:rsidR="00047E44" w:rsidRPr="00007196">
        <w:t>abakaviru/lamivudínu</w:t>
      </w:r>
      <w:r w:rsidRPr="00007196">
        <w:t xml:space="preserve"> jedenkrát denne, s</w:t>
      </w:r>
      <w:r w:rsidR="00047E44" w:rsidRPr="00007196">
        <w:t> </w:t>
      </w:r>
      <w:r w:rsidRPr="00007196">
        <w:t>mediánom trvania expozície 596</w:t>
      </w:r>
      <w:r w:rsidR="00047E44" w:rsidRPr="00007196">
        <w:t> dní.</w:t>
      </w:r>
    </w:p>
    <w:p w:rsidR="00E56BE0" w:rsidRPr="00007196" w:rsidRDefault="00E56BE0" w:rsidP="002B7B74">
      <w:pPr>
        <w:spacing w:line="240" w:lineRule="auto"/>
        <w:ind w:left="7"/>
      </w:pPr>
    </w:p>
    <w:p w:rsidR="00E56BE0" w:rsidRPr="00007196" w:rsidRDefault="00E56BE0" w:rsidP="00652C65">
      <w:pPr>
        <w:numPr>
          <w:ilvl w:val="12"/>
          <w:numId w:val="0"/>
        </w:numPr>
        <w:spacing w:line="240" w:lineRule="auto"/>
        <w:ind w:right="-2"/>
      </w:pPr>
      <w:r w:rsidRPr="00007196">
        <w:t>U</w:t>
      </w:r>
      <w:r w:rsidR="00652C65" w:rsidRPr="00007196">
        <w:t> </w:t>
      </w:r>
      <w:r w:rsidRPr="00007196">
        <w:t xml:space="preserve">669 </w:t>
      </w:r>
      <w:r w:rsidR="00F77835" w:rsidRPr="00007196">
        <w:t>jedincov</w:t>
      </w:r>
      <w:r w:rsidRPr="00007196">
        <w:t xml:space="preserve"> randomizovaných v</w:t>
      </w:r>
      <w:r w:rsidR="00652C65" w:rsidRPr="00007196">
        <w:t> </w:t>
      </w:r>
      <w:r w:rsidRPr="00007196">
        <w:t>tejto štúdii (vo veku od 12</w:t>
      </w:r>
      <w:r w:rsidR="00652C65" w:rsidRPr="00007196">
        <w:t> </w:t>
      </w:r>
      <w:r w:rsidRPr="00007196">
        <w:t xml:space="preserve">mesiacov do </w:t>
      </w:r>
      <w:r w:rsidRPr="00750AED">
        <w:t>≤</w:t>
      </w:r>
      <w:r w:rsidR="003B2754" w:rsidRPr="00007196">
        <w:t> </w:t>
      </w:r>
      <w:r w:rsidRPr="00007196">
        <w:t>17</w:t>
      </w:r>
      <w:r w:rsidR="00652C65" w:rsidRPr="00007196">
        <w:t> </w:t>
      </w:r>
      <w:r w:rsidRPr="00007196">
        <w:t>rokov) sa preukázalo, že skupina, v</w:t>
      </w:r>
      <w:r w:rsidR="00652C65" w:rsidRPr="00007196">
        <w:t> </w:t>
      </w:r>
      <w:r w:rsidRPr="00007196">
        <w:t>ktorej sa dávka abakaviru/lamivudínu podávala jedenkrát denne, bola noninferiórna v</w:t>
      </w:r>
      <w:r w:rsidR="00652C65" w:rsidRPr="00007196">
        <w:t> </w:t>
      </w:r>
      <w:r w:rsidRPr="00007196">
        <w:t>porovnaní so skupinou, v</w:t>
      </w:r>
      <w:r w:rsidR="00652C65" w:rsidRPr="00007196">
        <w:t> </w:t>
      </w:r>
      <w:r w:rsidRPr="00007196">
        <w:t>ktorej sa dávka podávala dvakrát denne, čo sa zistilo podľa vopred stanovenej hranice noninferiority -12</w:t>
      </w:r>
      <w:r w:rsidR="00652C65" w:rsidRPr="00007196">
        <w:t> </w:t>
      </w:r>
      <w:r w:rsidRPr="00007196">
        <w:t>%, a to v</w:t>
      </w:r>
      <w:r w:rsidR="00652C65" w:rsidRPr="00007196">
        <w:t> </w:t>
      </w:r>
      <w:r w:rsidRPr="00007196">
        <w:t xml:space="preserve">zmysle primárneho </w:t>
      </w:r>
      <w:r w:rsidR="00F77835" w:rsidRPr="00007196">
        <w:t>koncového</w:t>
      </w:r>
      <w:r w:rsidRPr="00007196">
        <w:t xml:space="preserve"> ukazovateľa, ktorým bolo dosiahnutie &lt;</w:t>
      </w:r>
      <w:r w:rsidR="003B2754" w:rsidRPr="00007196">
        <w:t> </w:t>
      </w:r>
      <w:r w:rsidRPr="00007196">
        <w:t>80</w:t>
      </w:r>
      <w:r w:rsidR="00652C65" w:rsidRPr="00007196">
        <w:t> </w:t>
      </w:r>
      <w:r w:rsidRPr="00007196">
        <w:t>kópií/ml v</w:t>
      </w:r>
      <w:r w:rsidR="00652C65" w:rsidRPr="00007196">
        <w:t> </w:t>
      </w:r>
      <w:r w:rsidRPr="00007196">
        <w:t>48. týždni ako aj v</w:t>
      </w:r>
      <w:r w:rsidR="00652C65" w:rsidRPr="00007196">
        <w:t> </w:t>
      </w:r>
      <w:r w:rsidRPr="00007196">
        <w:t xml:space="preserve">96. týždni (sekundárny </w:t>
      </w:r>
      <w:r w:rsidR="00F77835" w:rsidRPr="00007196">
        <w:t>koncový</w:t>
      </w:r>
      <w:r w:rsidRPr="00007196">
        <w:t xml:space="preserve"> ukazovateľ), a</w:t>
      </w:r>
      <w:r w:rsidR="00652C65" w:rsidRPr="00007196">
        <w:t> </w:t>
      </w:r>
      <w:r w:rsidRPr="00007196">
        <w:t>v</w:t>
      </w:r>
      <w:r w:rsidR="00652C65" w:rsidRPr="00007196">
        <w:t> </w:t>
      </w:r>
      <w:r w:rsidRPr="00007196">
        <w:t>zmysle všetkých ďalších sledovaných prahových hodnôt (&lt;</w:t>
      </w:r>
      <w:r w:rsidR="00652C65" w:rsidRPr="00007196">
        <w:t> </w:t>
      </w:r>
      <w:r w:rsidRPr="00007196">
        <w:t>200</w:t>
      </w:r>
      <w:r w:rsidR="00652C65" w:rsidRPr="00007196">
        <w:t> </w:t>
      </w:r>
      <w:r w:rsidRPr="00007196">
        <w:t>kópií/ml, &lt;</w:t>
      </w:r>
      <w:r w:rsidR="00652C65" w:rsidRPr="00007196">
        <w:t> </w:t>
      </w:r>
      <w:r w:rsidRPr="00007196">
        <w:t>400</w:t>
      </w:r>
      <w:r w:rsidR="00652C65" w:rsidRPr="00007196">
        <w:t> </w:t>
      </w:r>
      <w:r w:rsidRPr="00007196">
        <w:t>kópií/ml, &lt;</w:t>
      </w:r>
      <w:r w:rsidR="00652C65" w:rsidRPr="00007196">
        <w:t> </w:t>
      </w:r>
      <w:r w:rsidRPr="00007196">
        <w:t>1</w:t>
      </w:r>
      <w:r w:rsidR="00652C65" w:rsidRPr="00007196">
        <w:t> </w:t>
      </w:r>
      <w:r w:rsidRPr="00007196">
        <w:t>000</w:t>
      </w:r>
      <w:r w:rsidR="00652C65" w:rsidRPr="00007196">
        <w:t> </w:t>
      </w:r>
      <w:r w:rsidRPr="00007196">
        <w:t xml:space="preserve">kópií/ml), ktoré ešte stále spadali pod uvedenú hranicu noninferiority. Analýzy podskupín overujúce heterogenitu </w:t>
      </w:r>
      <w:r w:rsidR="003B2754" w:rsidRPr="00007196">
        <w:t xml:space="preserve">pri </w:t>
      </w:r>
      <w:r w:rsidRPr="00007196">
        <w:t>dávke podávanej jedenkrát denne oproti dávke podávanej dvakrát denne nepreukázali významný vplyv pohlavia, veku alebo vírusovej záťaže v</w:t>
      </w:r>
      <w:r w:rsidR="00047E44" w:rsidRPr="00007196">
        <w:t> </w:t>
      </w:r>
      <w:r w:rsidRPr="00007196">
        <w:t>čase randomizácie. Závery podporili noninferioritu bez ohľadu na metódu analýzy.</w:t>
      </w:r>
    </w:p>
    <w:p w:rsidR="00652C65" w:rsidRPr="00007196" w:rsidRDefault="00652C65" w:rsidP="00652C65">
      <w:pPr>
        <w:numPr>
          <w:ilvl w:val="12"/>
          <w:numId w:val="0"/>
        </w:numPr>
        <w:spacing w:line="240" w:lineRule="auto"/>
        <w:ind w:right="-2"/>
      </w:pPr>
    </w:p>
    <w:p w:rsidR="00E56BE0" w:rsidRPr="00007196" w:rsidRDefault="00E56BE0" w:rsidP="00652C65">
      <w:pPr>
        <w:numPr>
          <w:ilvl w:val="12"/>
          <w:numId w:val="0"/>
        </w:numPr>
        <w:spacing w:line="240" w:lineRule="auto"/>
        <w:ind w:right="-2"/>
      </w:pPr>
      <w:r w:rsidRPr="00007196">
        <w:t>U</w:t>
      </w:r>
      <w:r w:rsidR="00652C65" w:rsidRPr="00007196">
        <w:t> </w:t>
      </w:r>
      <w:r w:rsidRPr="00007196">
        <w:t xml:space="preserve">104 pacientov liečených </w:t>
      </w:r>
      <w:r w:rsidR="00652C65" w:rsidRPr="00007196">
        <w:t>abakavirom/lamivudínom</w:t>
      </w:r>
      <w:r w:rsidRPr="00007196">
        <w:t>, vrátane pacientov vážiacich medzi 40 kg a</w:t>
      </w:r>
      <w:r w:rsidR="00652C65" w:rsidRPr="00007196">
        <w:t> </w:t>
      </w:r>
      <w:r w:rsidRPr="00007196">
        <w:t>25</w:t>
      </w:r>
      <w:r w:rsidR="00652C65" w:rsidRPr="00007196">
        <w:t> </w:t>
      </w:r>
      <w:r w:rsidRPr="00007196">
        <w:t>kg, sa dosiahla podobná vírusová supresia.</w:t>
      </w:r>
    </w:p>
    <w:p w:rsidR="00812D16" w:rsidRPr="00007196" w:rsidRDefault="00812D16" w:rsidP="002B7B74">
      <w:pPr>
        <w:numPr>
          <w:ilvl w:val="12"/>
          <w:numId w:val="0"/>
        </w:numPr>
        <w:spacing w:line="240" w:lineRule="auto"/>
        <w:ind w:right="-2"/>
      </w:pPr>
    </w:p>
    <w:p w:rsidR="00812D16" w:rsidRPr="00007196" w:rsidRDefault="00812D16" w:rsidP="00042751">
      <w:pPr>
        <w:keepNext/>
        <w:numPr>
          <w:ilvl w:val="1"/>
          <w:numId w:val="30"/>
        </w:numPr>
        <w:spacing w:line="240" w:lineRule="auto"/>
        <w:rPr>
          <w:b/>
        </w:rPr>
      </w:pPr>
      <w:r w:rsidRPr="00007196">
        <w:rPr>
          <w:b/>
        </w:rPr>
        <w:t>Farmakokinetické vlastnosti</w:t>
      </w:r>
    </w:p>
    <w:p w:rsidR="00812D16" w:rsidRPr="00007196" w:rsidRDefault="00812D16" w:rsidP="002451B3">
      <w:pPr>
        <w:keepNext/>
        <w:numPr>
          <w:ilvl w:val="12"/>
          <w:numId w:val="0"/>
        </w:numPr>
        <w:spacing w:line="240" w:lineRule="auto"/>
      </w:pPr>
    </w:p>
    <w:p w:rsidR="008A3258" w:rsidRPr="00007196" w:rsidRDefault="008A3258" w:rsidP="00042751">
      <w:r w:rsidRPr="00007196">
        <w:t>Dokázalo sa, že tableta s</w:t>
      </w:r>
      <w:r w:rsidR="00FC1A5E" w:rsidRPr="00007196">
        <w:t> </w:t>
      </w:r>
      <w:r w:rsidRPr="00007196">
        <w:t>fixnou kombinovanou dávkou abakaviru/lamivudínu (FDC) je bioekvivalentná abakaviru a</w:t>
      </w:r>
      <w:r w:rsidR="00FC1A5E" w:rsidRPr="00007196">
        <w:t> </w:t>
      </w:r>
      <w:r w:rsidRPr="00007196">
        <w:t>lamivudínu pod</w:t>
      </w:r>
      <w:r w:rsidR="001769B6" w:rsidRPr="00007196">
        <w:t>á</w:t>
      </w:r>
      <w:r w:rsidRPr="00007196">
        <w:t xml:space="preserve">vaným jednotlivo. Potvrdila to </w:t>
      </w:r>
      <w:r w:rsidR="00A94FF2" w:rsidRPr="00007196">
        <w:t xml:space="preserve">trojramenná skrížená </w:t>
      </w:r>
      <w:r w:rsidRPr="00007196">
        <w:t xml:space="preserve">bioekvivalenčná štúdia jednorazovej dávky </w:t>
      </w:r>
      <w:r w:rsidR="003B6666" w:rsidRPr="00007196">
        <w:t>u</w:t>
      </w:r>
      <w:r w:rsidRPr="00007196">
        <w:t xml:space="preserve"> zdravých dobrovoľníko</w:t>
      </w:r>
      <w:r w:rsidR="003B6666" w:rsidRPr="00007196">
        <w:t>v</w:t>
      </w:r>
      <w:r w:rsidRPr="00007196">
        <w:t xml:space="preserve"> (n = 30) skúmajúca FCD </w:t>
      </w:r>
      <w:r w:rsidRPr="00007196">
        <w:lastRenderedPageBreak/>
        <w:t>(nalačno) oproti 2 x 300</w:t>
      </w:r>
      <w:r w:rsidR="00143A96" w:rsidRPr="00007196">
        <w:t> </w:t>
      </w:r>
      <w:r w:rsidRPr="00007196">
        <w:t>mg tabletám abakaviru plus 2 x 150</w:t>
      </w:r>
      <w:r w:rsidR="00143A96" w:rsidRPr="00007196">
        <w:t> </w:t>
      </w:r>
      <w:r w:rsidRPr="00007196">
        <w:t>mg tabletám lamivudínu (nalačno) oproti FDC podávanej s</w:t>
      </w:r>
      <w:r w:rsidR="00143A96" w:rsidRPr="00007196">
        <w:t> </w:t>
      </w:r>
      <w:r w:rsidRPr="00007196">
        <w:t>jedlom s</w:t>
      </w:r>
      <w:r w:rsidR="00143A96" w:rsidRPr="00007196">
        <w:t> </w:t>
      </w:r>
      <w:r w:rsidRPr="00007196">
        <w:t>vysokým obsahom tuku. Pri podávaní v</w:t>
      </w:r>
      <w:r w:rsidR="00143A96" w:rsidRPr="00007196">
        <w:t> </w:t>
      </w:r>
      <w:r w:rsidRPr="00007196">
        <w:t>stave nalačno nebol žiadny významný rozdiel v</w:t>
      </w:r>
      <w:r w:rsidR="00143A96" w:rsidRPr="00007196">
        <w:t> </w:t>
      </w:r>
      <w:r w:rsidRPr="00007196">
        <w:t>rozsahu absorpcie meranej pomocou plochy pod krivkou závislosti plazmatickej koncentrácie od času (AUC) a</w:t>
      </w:r>
      <w:r w:rsidR="00143A96" w:rsidRPr="00007196">
        <w:t> </w:t>
      </w:r>
      <w:r w:rsidRPr="00007196">
        <w:t>maximálnej koncentrácie (C</w:t>
      </w:r>
      <w:r w:rsidRPr="00042751">
        <w:rPr>
          <w:vertAlign w:val="subscript"/>
        </w:rPr>
        <w:t>max</w:t>
      </w:r>
      <w:r w:rsidRPr="00007196">
        <w:t>) každej zložky. Žiadny klinicky významný vplyv potravy nebol pozorovaný ani medzi podaním FDC v</w:t>
      </w:r>
      <w:r w:rsidR="00143A96" w:rsidRPr="00007196">
        <w:t> </w:t>
      </w:r>
      <w:r w:rsidRPr="00007196">
        <w:t>stave nalačno alebo s</w:t>
      </w:r>
      <w:r w:rsidR="00143A96" w:rsidRPr="00007196">
        <w:t> </w:t>
      </w:r>
      <w:r w:rsidRPr="00007196">
        <w:t>jedlom. Tieto výsledky svedčia o</w:t>
      </w:r>
      <w:r w:rsidR="00143A96" w:rsidRPr="00007196">
        <w:t> </w:t>
      </w:r>
      <w:r w:rsidRPr="00007196">
        <w:t>tom, že FDC sa môže užívať s</w:t>
      </w:r>
      <w:r w:rsidR="00143A96" w:rsidRPr="00007196">
        <w:t> </w:t>
      </w:r>
      <w:r w:rsidRPr="00007196">
        <w:t>jedlom alebo nalačno. Farmakokinetické vlastnosti lamivudínu a</w:t>
      </w:r>
      <w:r w:rsidR="00143A96" w:rsidRPr="00007196">
        <w:t> abakaviru sú popísané nižšie.</w:t>
      </w:r>
    </w:p>
    <w:p w:rsidR="008A3258" w:rsidRPr="00007196" w:rsidRDefault="008A3258" w:rsidP="008A3258">
      <w:pPr>
        <w:numPr>
          <w:ilvl w:val="12"/>
          <w:numId w:val="0"/>
        </w:numPr>
        <w:spacing w:line="240" w:lineRule="auto"/>
        <w:ind w:right="-2"/>
      </w:pPr>
    </w:p>
    <w:p w:rsidR="008A3258" w:rsidRPr="00007196" w:rsidRDefault="008A3258" w:rsidP="002451B3">
      <w:pPr>
        <w:keepNext/>
        <w:numPr>
          <w:ilvl w:val="12"/>
          <w:numId w:val="0"/>
        </w:numPr>
        <w:spacing w:line="240" w:lineRule="auto"/>
      </w:pPr>
      <w:r w:rsidRPr="00007196">
        <w:rPr>
          <w:u w:val="single"/>
        </w:rPr>
        <w:t>Absorpcia</w:t>
      </w:r>
    </w:p>
    <w:p w:rsidR="008A3258" w:rsidRPr="00007196" w:rsidRDefault="008A3258" w:rsidP="008A3258">
      <w:pPr>
        <w:numPr>
          <w:ilvl w:val="12"/>
          <w:numId w:val="0"/>
        </w:numPr>
        <w:spacing w:line="240" w:lineRule="auto"/>
        <w:ind w:right="-2"/>
      </w:pPr>
      <w:r w:rsidRPr="00007196">
        <w:t>Abakavir a</w:t>
      </w:r>
      <w:r w:rsidR="00143A96" w:rsidRPr="00007196">
        <w:t> </w:t>
      </w:r>
      <w:r w:rsidRPr="00007196">
        <w:t>lamivudín sa po perorálnom podaní rýchlo a</w:t>
      </w:r>
      <w:r w:rsidR="00143A96" w:rsidRPr="00007196">
        <w:t> </w:t>
      </w:r>
      <w:r w:rsidRPr="00007196">
        <w:t>dobre vstrebávajú z</w:t>
      </w:r>
      <w:r w:rsidR="00143A96" w:rsidRPr="00007196">
        <w:t> </w:t>
      </w:r>
      <w:r w:rsidRPr="00007196">
        <w:t>tráviaceho traktu. Absolútna biologická dostupnosť po perorálnom podaní u</w:t>
      </w:r>
      <w:r w:rsidR="00143A96" w:rsidRPr="00007196">
        <w:t> </w:t>
      </w:r>
      <w:r w:rsidRPr="00007196">
        <w:t>dospelých je okolo 83</w:t>
      </w:r>
      <w:r w:rsidR="00143A96" w:rsidRPr="00007196">
        <w:t> </w:t>
      </w:r>
      <w:r w:rsidRPr="00007196">
        <w:t>% u</w:t>
      </w:r>
      <w:r w:rsidR="00143A96" w:rsidRPr="00007196">
        <w:t> </w:t>
      </w:r>
      <w:r w:rsidRPr="00007196">
        <w:t>abakaviru, 80</w:t>
      </w:r>
      <w:r w:rsidR="00143A96" w:rsidRPr="00007196">
        <w:t> – </w:t>
      </w:r>
      <w:r w:rsidRPr="00007196">
        <w:t>85</w:t>
      </w:r>
      <w:r w:rsidR="00143A96" w:rsidRPr="00007196">
        <w:t> </w:t>
      </w:r>
      <w:r w:rsidRPr="00007196">
        <w:t>% u</w:t>
      </w:r>
      <w:r w:rsidR="00143A96" w:rsidRPr="00007196">
        <w:t> </w:t>
      </w:r>
      <w:r w:rsidRPr="00007196">
        <w:t>lamivudínu. Priemerný čas do dosiahnutia maximálnych sérových koncentrácií (t</w:t>
      </w:r>
      <w:r w:rsidRPr="00042751">
        <w:rPr>
          <w:vertAlign w:val="subscript"/>
        </w:rPr>
        <w:t>max</w:t>
      </w:r>
      <w:r w:rsidRPr="00007196">
        <w:t>) je okolo 1,5</w:t>
      </w:r>
      <w:r w:rsidR="00143A96" w:rsidRPr="00007196">
        <w:t> </w:t>
      </w:r>
      <w:r w:rsidRPr="00007196">
        <w:t>hodiny u</w:t>
      </w:r>
      <w:r w:rsidR="00143A96" w:rsidRPr="00007196">
        <w:t> </w:t>
      </w:r>
      <w:r w:rsidRPr="00007196">
        <w:t>abakaviru a</w:t>
      </w:r>
      <w:r w:rsidR="00143A96" w:rsidRPr="00007196">
        <w:t> </w:t>
      </w:r>
      <w:r w:rsidRPr="00007196">
        <w:t>1,0</w:t>
      </w:r>
      <w:r w:rsidR="00143A96" w:rsidRPr="00007196">
        <w:t> </w:t>
      </w:r>
      <w:r w:rsidRPr="00007196">
        <w:t>hodina u</w:t>
      </w:r>
      <w:r w:rsidR="00143A96" w:rsidRPr="00007196">
        <w:t> </w:t>
      </w:r>
      <w:r w:rsidRPr="00007196">
        <w:t>lamivudínu. Po jednorazovej dávke 600</w:t>
      </w:r>
      <w:r w:rsidR="00143A96" w:rsidRPr="00007196">
        <w:t> </w:t>
      </w:r>
      <w:r w:rsidRPr="00007196">
        <w:t>mg abakaviru je priemerné (CV) C</w:t>
      </w:r>
      <w:r w:rsidRPr="00042751">
        <w:rPr>
          <w:vertAlign w:val="subscript"/>
        </w:rPr>
        <w:t>max</w:t>
      </w:r>
      <w:r w:rsidRPr="00007196">
        <w:t xml:space="preserve"> 4,26</w:t>
      </w:r>
      <w:r w:rsidR="00143A96" w:rsidRPr="00007196">
        <w:t> </w:t>
      </w:r>
      <w:r w:rsidRPr="00007196">
        <w:t>µg/ml (28</w:t>
      </w:r>
      <w:r w:rsidR="00143A96" w:rsidRPr="00007196">
        <w:t> </w:t>
      </w:r>
      <w:r w:rsidRPr="00007196">
        <w:t>%) a</w:t>
      </w:r>
      <w:r w:rsidR="00143A96" w:rsidRPr="00007196">
        <w:t> </w:t>
      </w:r>
      <w:r w:rsidRPr="00007196">
        <w:t>priemerná (CV) AUC</w:t>
      </w:r>
      <w:r w:rsidRPr="00042751">
        <w:rPr>
          <w:rFonts w:hint="eastAsia"/>
          <w:vertAlign w:val="subscript"/>
        </w:rPr>
        <w:t>∞</w:t>
      </w:r>
      <w:r w:rsidRPr="00007196">
        <w:t xml:space="preserve"> je 11,95</w:t>
      </w:r>
      <w:r w:rsidR="00143A96" w:rsidRPr="00007196">
        <w:t> </w:t>
      </w:r>
      <w:r w:rsidRPr="00007196">
        <w:t>µg.h/ml (21</w:t>
      </w:r>
      <w:r w:rsidR="00143A96" w:rsidRPr="00007196">
        <w:t> </w:t>
      </w:r>
      <w:r w:rsidRPr="00007196">
        <w:t>%). Po podaní opakovanej perorálnej dávky lamivudínu 300</w:t>
      </w:r>
      <w:r w:rsidR="00143A96" w:rsidRPr="00007196">
        <w:t> </w:t>
      </w:r>
      <w:r w:rsidRPr="00007196">
        <w:t>mg jedenkrát denne počas siedmich dní je priemerné (CV) C</w:t>
      </w:r>
      <w:r w:rsidRPr="00042751">
        <w:rPr>
          <w:vertAlign w:val="subscript"/>
        </w:rPr>
        <w:t>max</w:t>
      </w:r>
      <w:r w:rsidRPr="00007196">
        <w:t xml:space="preserve"> v</w:t>
      </w:r>
      <w:r w:rsidR="00143A96" w:rsidRPr="00007196">
        <w:t> </w:t>
      </w:r>
      <w:r w:rsidRPr="00007196">
        <w:t>ustálenom stave 2,04</w:t>
      </w:r>
      <w:r w:rsidR="00143A96" w:rsidRPr="00007196">
        <w:t> </w:t>
      </w:r>
      <w:r w:rsidRPr="00007196">
        <w:t>µg/ml (26</w:t>
      </w:r>
      <w:r w:rsidR="00143A96" w:rsidRPr="00007196">
        <w:t> </w:t>
      </w:r>
      <w:r w:rsidRPr="00007196">
        <w:t>%) a</w:t>
      </w:r>
      <w:r w:rsidR="00143A96" w:rsidRPr="00007196">
        <w:t> </w:t>
      </w:r>
      <w:r w:rsidRPr="00007196">
        <w:t>priemerná (CV) AUC24 je 8,87</w:t>
      </w:r>
      <w:r w:rsidR="00143A96" w:rsidRPr="00007196">
        <w:t> </w:t>
      </w:r>
      <w:r w:rsidRPr="00007196">
        <w:t>µg.h/ml (21</w:t>
      </w:r>
      <w:r w:rsidR="00143A96" w:rsidRPr="00007196">
        <w:t> </w:t>
      </w:r>
      <w:r w:rsidRPr="00007196">
        <w:t>%).</w:t>
      </w:r>
    </w:p>
    <w:p w:rsidR="008A3258" w:rsidRPr="00007196" w:rsidRDefault="008A3258" w:rsidP="008A3258">
      <w:pPr>
        <w:numPr>
          <w:ilvl w:val="12"/>
          <w:numId w:val="0"/>
        </w:numPr>
        <w:spacing w:line="240" w:lineRule="auto"/>
        <w:ind w:right="-2"/>
      </w:pPr>
    </w:p>
    <w:p w:rsidR="008A3258" w:rsidRPr="00007196" w:rsidRDefault="008A3258" w:rsidP="002451B3">
      <w:pPr>
        <w:keepNext/>
        <w:numPr>
          <w:ilvl w:val="12"/>
          <w:numId w:val="0"/>
        </w:numPr>
        <w:spacing w:line="240" w:lineRule="auto"/>
        <w:rPr>
          <w:u w:val="single"/>
        </w:rPr>
      </w:pPr>
      <w:r w:rsidRPr="00007196">
        <w:rPr>
          <w:u w:val="single"/>
        </w:rPr>
        <w:t>Distribúcia</w:t>
      </w:r>
    </w:p>
    <w:p w:rsidR="008A3258" w:rsidRPr="00007196" w:rsidRDefault="008A3258" w:rsidP="008A3258">
      <w:pPr>
        <w:numPr>
          <w:ilvl w:val="12"/>
          <w:numId w:val="0"/>
        </w:numPr>
        <w:spacing w:line="240" w:lineRule="auto"/>
        <w:ind w:right="-2"/>
      </w:pPr>
      <w:r w:rsidRPr="00007196">
        <w:t>V</w:t>
      </w:r>
      <w:r w:rsidR="00143A96" w:rsidRPr="00007196">
        <w:t> </w:t>
      </w:r>
      <w:r w:rsidRPr="00007196">
        <w:t>štúdiách s</w:t>
      </w:r>
      <w:r w:rsidR="00143A96" w:rsidRPr="00007196">
        <w:t> </w:t>
      </w:r>
      <w:r w:rsidRPr="00007196">
        <w:t>intravenóznym podaním boli zistené tieto priemerné hodnoty zdanlivého distribučného objemu: u</w:t>
      </w:r>
      <w:r w:rsidR="00143A96" w:rsidRPr="00007196">
        <w:t> </w:t>
      </w:r>
      <w:r w:rsidRPr="00007196">
        <w:t>abakaviru 0,8</w:t>
      </w:r>
      <w:r w:rsidR="00143A96" w:rsidRPr="00007196">
        <w:t> </w:t>
      </w:r>
      <w:r w:rsidRPr="00007196">
        <w:t>l/kg a</w:t>
      </w:r>
      <w:r w:rsidR="00143A96" w:rsidRPr="00007196">
        <w:t> </w:t>
      </w:r>
      <w:r w:rsidRPr="00007196">
        <w:t>u</w:t>
      </w:r>
      <w:r w:rsidR="00143A96" w:rsidRPr="00007196">
        <w:t> </w:t>
      </w:r>
      <w:r w:rsidRPr="00007196">
        <w:t>lamivudínu 1,3</w:t>
      </w:r>
      <w:r w:rsidR="00143A96" w:rsidRPr="00007196">
        <w:t> </w:t>
      </w:r>
      <w:r w:rsidRPr="00007196">
        <w:t xml:space="preserve">l/kg. Štúdie väzby na plazmatické bielkoviny </w:t>
      </w:r>
      <w:r w:rsidRPr="00007196">
        <w:rPr>
          <w:i/>
        </w:rPr>
        <w:t>in vitro</w:t>
      </w:r>
      <w:r w:rsidRPr="00007196">
        <w:t xml:space="preserve"> svedčia o</w:t>
      </w:r>
      <w:r w:rsidR="00143A96" w:rsidRPr="00007196">
        <w:t> </w:t>
      </w:r>
      <w:r w:rsidRPr="00007196">
        <w:t>tom, že abakavir sa viaže na ľudské plazmatické bielkoviny v</w:t>
      </w:r>
      <w:r w:rsidR="00143A96" w:rsidRPr="00007196">
        <w:t> </w:t>
      </w:r>
      <w:r w:rsidRPr="00007196">
        <w:t>terapeutických koncentráciách v</w:t>
      </w:r>
      <w:r w:rsidR="00143A96" w:rsidRPr="00007196">
        <w:t> </w:t>
      </w:r>
      <w:r w:rsidRPr="00007196">
        <w:t>malej až strednej miere (~49</w:t>
      </w:r>
      <w:r w:rsidR="00143A96" w:rsidRPr="00007196">
        <w:t> </w:t>
      </w:r>
      <w:r w:rsidRPr="00007196">
        <w:t>%). V</w:t>
      </w:r>
      <w:r w:rsidR="00143A96" w:rsidRPr="00007196">
        <w:t> </w:t>
      </w:r>
      <w:r w:rsidRPr="00007196">
        <w:t>terapeutickom rozsahu dávkovania lamivudínu je jeho farmakokinetika lineárna a</w:t>
      </w:r>
      <w:r w:rsidR="00143A96" w:rsidRPr="00007196">
        <w:t> </w:t>
      </w:r>
      <w:r w:rsidRPr="00007196">
        <w:t xml:space="preserve">väzba na plazmatické bielkoviny </w:t>
      </w:r>
      <w:r w:rsidRPr="00007196">
        <w:rPr>
          <w:i/>
        </w:rPr>
        <w:t>in vitro</w:t>
      </w:r>
      <w:r w:rsidRPr="00007196">
        <w:t xml:space="preserve"> je obmedzená (&lt;</w:t>
      </w:r>
      <w:r w:rsidR="00F857C7" w:rsidRPr="003533C9">
        <w:t> </w:t>
      </w:r>
      <w:r w:rsidRPr="00007196">
        <w:t>36</w:t>
      </w:r>
      <w:r w:rsidR="00143A96" w:rsidRPr="00007196">
        <w:t> </w:t>
      </w:r>
      <w:r w:rsidRPr="00007196">
        <w:t>%). To naznačuje malú pravdepodobnosť liekových interakcií mechanizmom vytesňovania v</w:t>
      </w:r>
      <w:r w:rsidR="00143A96" w:rsidRPr="00007196">
        <w:t>äzby na plazmatické bielkoviny.</w:t>
      </w:r>
    </w:p>
    <w:p w:rsidR="008A3258" w:rsidRPr="00007196" w:rsidRDefault="008A3258" w:rsidP="008A3258">
      <w:pPr>
        <w:numPr>
          <w:ilvl w:val="12"/>
          <w:numId w:val="0"/>
        </w:numPr>
        <w:spacing w:line="240" w:lineRule="auto"/>
        <w:ind w:right="-2"/>
      </w:pPr>
    </w:p>
    <w:p w:rsidR="008A3258" w:rsidRPr="00007196" w:rsidRDefault="008A3258" w:rsidP="008A3258">
      <w:pPr>
        <w:numPr>
          <w:ilvl w:val="12"/>
          <w:numId w:val="0"/>
        </w:numPr>
        <w:spacing w:line="240" w:lineRule="auto"/>
        <w:ind w:right="-2"/>
      </w:pPr>
      <w:r w:rsidRPr="00007196">
        <w:t>Údaje svedčia o</w:t>
      </w:r>
      <w:r w:rsidR="00143A96" w:rsidRPr="00007196">
        <w:t> </w:t>
      </w:r>
      <w:r w:rsidRPr="00007196">
        <w:t>prieniku abakaviru a</w:t>
      </w:r>
      <w:r w:rsidR="00143A96" w:rsidRPr="00007196">
        <w:t> </w:t>
      </w:r>
      <w:r w:rsidRPr="00007196">
        <w:t>lamivudínu do centrálneho nervového systému (CNS) a</w:t>
      </w:r>
      <w:r w:rsidR="00143A96" w:rsidRPr="00007196">
        <w:t> </w:t>
      </w:r>
      <w:r w:rsidRPr="00007196">
        <w:t>mozgovomiechového moku (</w:t>
      </w:r>
      <w:r w:rsidR="00F857C7" w:rsidRPr="00007196">
        <w:t xml:space="preserve">cerebrospinal fluid, </w:t>
      </w:r>
      <w:r w:rsidRPr="00007196">
        <w:t>CS</w:t>
      </w:r>
      <w:r w:rsidR="00F857C7" w:rsidRPr="00007196">
        <w:t>F</w:t>
      </w:r>
      <w:r w:rsidRPr="00007196">
        <w:t>). Štúdie s</w:t>
      </w:r>
      <w:r w:rsidR="00143A96" w:rsidRPr="00007196">
        <w:t> </w:t>
      </w:r>
      <w:r w:rsidRPr="00007196">
        <w:t xml:space="preserve">abakavirom ukazujú, že pomer </w:t>
      </w:r>
      <w:r w:rsidR="001F283A" w:rsidRPr="00007196">
        <w:t xml:space="preserve">CSF k plazmatickej </w:t>
      </w:r>
      <w:r w:rsidRPr="00007196">
        <w:t>AUC je medzi 30 až 44</w:t>
      </w:r>
      <w:r w:rsidR="00143A96" w:rsidRPr="00007196">
        <w:t> </w:t>
      </w:r>
      <w:r w:rsidRPr="00007196">
        <w:t xml:space="preserve">%. Pozorované hodnoty </w:t>
      </w:r>
      <w:r w:rsidR="001F283A" w:rsidRPr="00007196">
        <w:t>maximálnych</w:t>
      </w:r>
      <w:r w:rsidRPr="00007196">
        <w:t xml:space="preserve"> plazmatických koncentrácií sú 9-krát vyššie než IC</w:t>
      </w:r>
      <w:r w:rsidRPr="00042751">
        <w:rPr>
          <w:vertAlign w:val="subscript"/>
        </w:rPr>
        <w:t>50</w:t>
      </w:r>
      <w:r w:rsidRPr="00007196">
        <w:t xml:space="preserve"> pre abakavir 0,08</w:t>
      </w:r>
      <w:r w:rsidR="00143A96" w:rsidRPr="00007196">
        <w:t> </w:t>
      </w:r>
      <w:r w:rsidRPr="00007196">
        <w:t>µg/ml alebo 0,26</w:t>
      </w:r>
      <w:r w:rsidR="00143A96" w:rsidRPr="00007196">
        <w:t> </w:t>
      </w:r>
      <w:r w:rsidRPr="00007196">
        <w:t>µ</w:t>
      </w:r>
      <w:r w:rsidR="001F283A" w:rsidRPr="00007196">
        <w:t>mo/l</w:t>
      </w:r>
      <w:r w:rsidRPr="00007196">
        <w:t>, keď sa abakavir podáva v</w:t>
      </w:r>
      <w:r w:rsidR="00143A96" w:rsidRPr="00007196">
        <w:t> </w:t>
      </w:r>
      <w:r w:rsidRPr="00007196">
        <w:t>dávke 600</w:t>
      </w:r>
      <w:r w:rsidR="00143A96" w:rsidRPr="00007196">
        <w:t> </w:t>
      </w:r>
      <w:r w:rsidRPr="00007196">
        <w:t xml:space="preserve">mg dvakrát denne. Priemerný pomer koncentrácií </w:t>
      </w:r>
      <w:r w:rsidR="001F283A" w:rsidRPr="00007196">
        <w:t xml:space="preserve">v </w:t>
      </w:r>
      <w:r w:rsidRPr="00007196">
        <w:t>CS</w:t>
      </w:r>
      <w:r w:rsidR="001F283A" w:rsidRPr="00007196">
        <w:t>F</w:t>
      </w:r>
      <w:r w:rsidRPr="00007196">
        <w:t>/sér</w:t>
      </w:r>
      <w:r w:rsidR="001F283A" w:rsidRPr="00007196">
        <w:t>e</w:t>
      </w:r>
      <w:r w:rsidRPr="00007196">
        <w:t xml:space="preserve"> 2 - 4 hodiny po</w:t>
      </w:r>
      <w:r w:rsidR="00B423BE">
        <w:t> </w:t>
      </w:r>
      <w:r w:rsidRPr="00007196">
        <w:t>perorálnom podaní bol u</w:t>
      </w:r>
      <w:r w:rsidR="00143A96" w:rsidRPr="00007196">
        <w:t> </w:t>
      </w:r>
      <w:r w:rsidRPr="00007196">
        <w:t>lamivudínu približne 12</w:t>
      </w:r>
      <w:r w:rsidR="00143A96" w:rsidRPr="00007196">
        <w:t> </w:t>
      </w:r>
      <w:r w:rsidRPr="00007196">
        <w:t xml:space="preserve">%. </w:t>
      </w:r>
      <w:r w:rsidR="001F283A" w:rsidRPr="00007196">
        <w:t>Skutočný rozsah</w:t>
      </w:r>
      <w:r w:rsidRPr="00007196">
        <w:t xml:space="preserve"> prienik</w:t>
      </w:r>
      <w:r w:rsidR="001F283A" w:rsidRPr="00007196">
        <w:t>u</w:t>
      </w:r>
      <w:r w:rsidRPr="00007196">
        <w:t xml:space="preserve"> lamivudínu do CNS a</w:t>
      </w:r>
      <w:r w:rsidR="00143A96" w:rsidRPr="00007196">
        <w:t> </w:t>
      </w:r>
      <w:r w:rsidRPr="00007196">
        <w:t xml:space="preserve">jeho vzťah ku </w:t>
      </w:r>
      <w:r w:rsidR="00143A96" w:rsidRPr="00007196">
        <w:t>klinickým účinkom nie je známy.</w:t>
      </w:r>
    </w:p>
    <w:p w:rsidR="008A3258" w:rsidRPr="00007196" w:rsidRDefault="008A3258" w:rsidP="008A3258">
      <w:pPr>
        <w:numPr>
          <w:ilvl w:val="12"/>
          <w:numId w:val="0"/>
        </w:numPr>
        <w:spacing w:line="240" w:lineRule="auto"/>
        <w:ind w:right="-2"/>
      </w:pPr>
    </w:p>
    <w:p w:rsidR="008A3258" w:rsidRPr="00007196" w:rsidRDefault="008A3258" w:rsidP="002451B3">
      <w:pPr>
        <w:keepNext/>
        <w:spacing w:line="240" w:lineRule="auto"/>
        <w:rPr>
          <w:u w:val="single"/>
        </w:rPr>
      </w:pPr>
      <w:r w:rsidRPr="00007196">
        <w:rPr>
          <w:u w:val="single"/>
        </w:rPr>
        <w:t>Biotransformácia</w:t>
      </w:r>
    </w:p>
    <w:p w:rsidR="008A3258" w:rsidRPr="00007196" w:rsidRDefault="008A3258" w:rsidP="008A3258">
      <w:pPr>
        <w:numPr>
          <w:ilvl w:val="12"/>
          <w:numId w:val="0"/>
        </w:numPr>
        <w:spacing w:line="240" w:lineRule="auto"/>
        <w:ind w:right="-2"/>
      </w:pPr>
      <w:r w:rsidRPr="00007196">
        <w:t>Abakavir sa metabolizuje predovšetkým v</w:t>
      </w:r>
      <w:r w:rsidR="00143A96" w:rsidRPr="00007196">
        <w:t> </w:t>
      </w:r>
      <w:r w:rsidRPr="00007196">
        <w:t>pečeni. Obličkami sa v</w:t>
      </w:r>
      <w:r w:rsidR="00143A96" w:rsidRPr="00007196">
        <w:t> </w:t>
      </w:r>
      <w:r w:rsidRPr="00007196">
        <w:t>nezmenenej forme vylučujú približne 2</w:t>
      </w:r>
      <w:r w:rsidR="00143A96" w:rsidRPr="00007196">
        <w:t> </w:t>
      </w:r>
      <w:r w:rsidRPr="00007196">
        <w:t>% podanej dávky. Hlavnými cestami metabolizácie u</w:t>
      </w:r>
      <w:r w:rsidR="00143A96" w:rsidRPr="00007196">
        <w:t> </w:t>
      </w:r>
      <w:r w:rsidRPr="00007196">
        <w:t>človeka je metabolizácia alkoholdehydrogenázou, pri ktorej vzniká 5’-karboxylová kyselina a</w:t>
      </w:r>
      <w:r w:rsidR="00143A96" w:rsidRPr="00007196">
        <w:t> </w:t>
      </w:r>
      <w:r w:rsidRPr="00007196">
        <w:t>glukuronidácia, pri ktorej vzniká 5’-glukuronid, pričom tieto metabolity tvoria 66</w:t>
      </w:r>
      <w:r w:rsidR="00143A96" w:rsidRPr="00007196">
        <w:t> </w:t>
      </w:r>
      <w:r w:rsidRPr="00007196">
        <w:t xml:space="preserve">% podanej dávky. Tieto </w:t>
      </w:r>
      <w:r w:rsidR="00143A96" w:rsidRPr="00007196">
        <w:t>metabolity sú vylučované močom.</w:t>
      </w:r>
    </w:p>
    <w:p w:rsidR="008A3258" w:rsidRPr="00007196" w:rsidRDefault="008A3258" w:rsidP="008A3258">
      <w:pPr>
        <w:numPr>
          <w:ilvl w:val="12"/>
          <w:numId w:val="0"/>
        </w:numPr>
        <w:spacing w:line="240" w:lineRule="auto"/>
        <w:ind w:right="-2"/>
      </w:pPr>
    </w:p>
    <w:p w:rsidR="008A3258" w:rsidRPr="00007196" w:rsidRDefault="008A3258" w:rsidP="008A3258">
      <w:pPr>
        <w:numPr>
          <w:ilvl w:val="12"/>
          <w:numId w:val="0"/>
        </w:numPr>
        <w:spacing w:line="240" w:lineRule="auto"/>
        <w:ind w:right="-2"/>
      </w:pPr>
      <w:r w:rsidRPr="00007196">
        <w:t>Pri lamivudíne je metabolizmus len málo významný mechanizmus eliminácie. Lamivudín sa vylučuje predovšetkým obličkami v</w:t>
      </w:r>
      <w:r w:rsidR="00143A96" w:rsidRPr="00007196">
        <w:t> </w:t>
      </w:r>
      <w:r w:rsidRPr="00007196">
        <w:t>nezmenenej forme. Pravdepodobnosť metabolických interakcií lamivudínu a</w:t>
      </w:r>
      <w:r w:rsidR="00143A96" w:rsidRPr="00007196">
        <w:t> </w:t>
      </w:r>
      <w:r w:rsidRPr="00007196">
        <w:t>iných liečiv je vzhľadom na nízky metabolizmus v</w:t>
      </w:r>
      <w:r w:rsidR="00143A96" w:rsidRPr="00007196">
        <w:t> </w:t>
      </w:r>
      <w:r w:rsidRPr="00007196">
        <w:t xml:space="preserve">pečeni (5 </w:t>
      </w:r>
      <w:r w:rsidR="00143A96" w:rsidRPr="00007196">
        <w:t>–</w:t>
      </w:r>
      <w:r w:rsidRPr="00007196">
        <w:t xml:space="preserve"> 10</w:t>
      </w:r>
      <w:r w:rsidR="00143A96" w:rsidRPr="00007196">
        <w:t> </w:t>
      </w:r>
      <w:r w:rsidRPr="00007196">
        <w:t>%) malá.</w:t>
      </w:r>
    </w:p>
    <w:p w:rsidR="008A3258" w:rsidRPr="00007196" w:rsidRDefault="008A3258" w:rsidP="008A3258">
      <w:pPr>
        <w:numPr>
          <w:ilvl w:val="12"/>
          <w:numId w:val="0"/>
        </w:numPr>
        <w:spacing w:line="240" w:lineRule="auto"/>
        <w:ind w:right="-2"/>
      </w:pPr>
    </w:p>
    <w:p w:rsidR="008A3258" w:rsidRPr="00007196" w:rsidRDefault="008A3258" w:rsidP="002451B3">
      <w:pPr>
        <w:keepNext/>
        <w:spacing w:line="240" w:lineRule="auto"/>
        <w:rPr>
          <w:u w:val="single"/>
        </w:rPr>
      </w:pPr>
      <w:r w:rsidRPr="00007196">
        <w:rPr>
          <w:u w:val="single"/>
        </w:rPr>
        <w:t>Eliminácia</w:t>
      </w:r>
    </w:p>
    <w:p w:rsidR="008A3258" w:rsidRPr="00007196" w:rsidRDefault="008A3258" w:rsidP="008A3258">
      <w:pPr>
        <w:numPr>
          <w:ilvl w:val="12"/>
          <w:numId w:val="0"/>
        </w:numPr>
        <w:spacing w:line="240" w:lineRule="auto"/>
        <w:ind w:right="-2"/>
      </w:pPr>
      <w:r w:rsidRPr="00007196">
        <w:t>Priemerný polčas eliminácie abakaviru je asi 1,5</w:t>
      </w:r>
      <w:r w:rsidR="00143A96" w:rsidRPr="00007196">
        <w:t> </w:t>
      </w:r>
      <w:r w:rsidRPr="00007196">
        <w:t>hodiny. Po opakovanom perorálnom podávaní 300</w:t>
      </w:r>
      <w:r w:rsidR="00143A96" w:rsidRPr="00007196">
        <w:t> </w:t>
      </w:r>
      <w:r w:rsidRPr="00007196">
        <w:t>mg abakaviru dvakrát denne nedochádza k</w:t>
      </w:r>
      <w:r w:rsidR="00143A96" w:rsidRPr="00007196">
        <w:t> </w:t>
      </w:r>
      <w:r w:rsidRPr="00007196">
        <w:t>významnejšej kumulácii abakaviru. Abakavir sa eliminuje hepatálnym metabolizmom a</w:t>
      </w:r>
      <w:r w:rsidR="00C378E7" w:rsidRPr="00007196">
        <w:t> </w:t>
      </w:r>
      <w:r w:rsidRPr="00007196">
        <w:t>metabolity sa následne vylučujú predovšetkým močom. Metabolity a</w:t>
      </w:r>
      <w:r w:rsidR="00C378E7" w:rsidRPr="00007196">
        <w:t> </w:t>
      </w:r>
      <w:r w:rsidRPr="00007196">
        <w:t>nezmenený abakavir tvoria v</w:t>
      </w:r>
      <w:r w:rsidR="00C378E7" w:rsidRPr="00007196">
        <w:t> </w:t>
      </w:r>
      <w:r w:rsidRPr="00007196">
        <w:t xml:space="preserve">moči </w:t>
      </w:r>
      <w:r w:rsidR="00655DD3" w:rsidRPr="00007196">
        <w:t xml:space="preserve">asi </w:t>
      </w:r>
      <w:r w:rsidRPr="00007196">
        <w:t>83</w:t>
      </w:r>
      <w:r w:rsidR="00C378E7" w:rsidRPr="00007196">
        <w:t> </w:t>
      </w:r>
      <w:r w:rsidRPr="00007196">
        <w:t>% podanej dávky. Zvyšok sa vylučuje stolicou.</w:t>
      </w:r>
    </w:p>
    <w:p w:rsidR="008A3258" w:rsidRPr="00007196" w:rsidRDefault="008A3258" w:rsidP="008A3258">
      <w:pPr>
        <w:numPr>
          <w:ilvl w:val="12"/>
          <w:numId w:val="0"/>
        </w:numPr>
        <w:spacing w:line="240" w:lineRule="auto"/>
        <w:ind w:right="-2"/>
      </w:pPr>
    </w:p>
    <w:p w:rsidR="008A3258" w:rsidRPr="00007196" w:rsidRDefault="008A3258" w:rsidP="008A3258">
      <w:pPr>
        <w:numPr>
          <w:ilvl w:val="12"/>
          <w:numId w:val="0"/>
        </w:numPr>
        <w:spacing w:line="240" w:lineRule="auto"/>
        <w:ind w:right="-2"/>
      </w:pPr>
      <w:r w:rsidRPr="00007196">
        <w:t>Pozorovaný polčas eliminácie lamivudínu je 5 až 7</w:t>
      </w:r>
      <w:r w:rsidR="00C378E7" w:rsidRPr="00007196">
        <w:t> </w:t>
      </w:r>
      <w:r w:rsidRPr="00007196">
        <w:t>hodín. Priemerný systémový klírens lamivudínu je približne 0,32</w:t>
      </w:r>
      <w:r w:rsidR="00C378E7" w:rsidRPr="00007196">
        <w:t> </w:t>
      </w:r>
      <w:r w:rsidRPr="00007196">
        <w:t>l/h/kg s</w:t>
      </w:r>
      <w:r w:rsidR="00C378E7" w:rsidRPr="00007196">
        <w:t> </w:t>
      </w:r>
      <w:r w:rsidRPr="00007196">
        <w:t>prevahou vylučovania obličkami (&gt;</w:t>
      </w:r>
      <w:r w:rsidR="00C378E7" w:rsidRPr="00007196">
        <w:t> </w:t>
      </w:r>
      <w:r w:rsidRPr="00007196">
        <w:t>70</w:t>
      </w:r>
      <w:r w:rsidR="00C378E7" w:rsidRPr="00007196">
        <w:t> </w:t>
      </w:r>
      <w:r w:rsidRPr="00007196">
        <w:t>%) pomocou organického katiónového transportného systému. Štúdie u</w:t>
      </w:r>
      <w:r w:rsidR="00C378E7" w:rsidRPr="00007196">
        <w:t> </w:t>
      </w:r>
      <w:r w:rsidRPr="00007196">
        <w:t>pacientov s</w:t>
      </w:r>
      <w:r w:rsidR="00C378E7" w:rsidRPr="00007196">
        <w:t> </w:t>
      </w:r>
      <w:r w:rsidRPr="00007196">
        <w:t xml:space="preserve">poruchou funkcie obličiek ukazujú, že vylučovanie lamivudínu je ovplyvnené renálnou dysfunkciou. </w:t>
      </w:r>
      <w:r w:rsidR="00C378E7" w:rsidRPr="00007196">
        <w:t>Abakavir/lamivudín</w:t>
      </w:r>
      <w:r w:rsidRPr="00007196">
        <w:t xml:space="preserve"> sa neodporúča používať </w:t>
      </w:r>
      <w:r w:rsidRPr="00007196">
        <w:lastRenderedPageBreak/>
        <w:t>u</w:t>
      </w:r>
      <w:r w:rsidR="00C378E7" w:rsidRPr="00007196">
        <w:t> </w:t>
      </w:r>
      <w:r w:rsidRPr="00007196">
        <w:t>pacientov s</w:t>
      </w:r>
      <w:r w:rsidR="00C378E7" w:rsidRPr="00007196">
        <w:t> </w:t>
      </w:r>
      <w:r w:rsidRPr="00007196">
        <w:t>klírensom kreatinínu &lt;</w:t>
      </w:r>
      <w:r w:rsidR="00655DD3" w:rsidRPr="00007196">
        <w:t> </w:t>
      </w:r>
      <w:r w:rsidRPr="00007196">
        <w:t>50</w:t>
      </w:r>
      <w:r w:rsidR="00C378E7" w:rsidRPr="00007196">
        <w:t> </w:t>
      </w:r>
      <w:r w:rsidRPr="00007196">
        <w:t>ml/min, nakoľko nie je možné vykonať potrebnú úpravu dávky (pozri časť</w:t>
      </w:r>
      <w:r w:rsidR="00C378E7" w:rsidRPr="00007196">
        <w:t> </w:t>
      </w:r>
      <w:r w:rsidRPr="00007196">
        <w:t>4.2).</w:t>
      </w:r>
    </w:p>
    <w:p w:rsidR="008A3258" w:rsidRPr="00007196" w:rsidRDefault="008A3258" w:rsidP="008A3258">
      <w:pPr>
        <w:numPr>
          <w:ilvl w:val="12"/>
          <w:numId w:val="0"/>
        </w:numPr>
        <w:spacing w:line="240" w:lineRule="auto"/>
        <w:ind w:right="-2"/>
      </w:pPr>
    </w:p>
    <w:p w:rsidR="008A3258" w:rsidRPr="00007196" w:rsidRDefault="008A3258" w:rsidP="002451B3">
      <w:pPr>
        <w:keepNext/>
        <w:spacing w:line="240" w:lineRule="auto"/>
        <w:rPr>
          <w:u w:val="single"/>
        </w:rPr>
      </w:pPr>
      <w:r w:rsidRPr="00007196">
        <w:rPr>
          <w:u w:val="single"/>
        </w:rPr>
        <w:t>Intracelulárna farmakokinetika</w:t>
      </w:r>
    </w:p>
    <w:p w:rsidR="008A3258" w:rsidRPr="00007196" w:rsidRDefault="008A3258" w:rsidP="008A3258">
      <w:pPr>
        <w:numPr>
          <w:ilvl w:val="12"/>
          <w:numId w:val="0"/>
        </w:numPr>
        <w:spacing w:line="240" w:lineRule="auto"/>
        <w:ind w:right="-2"/>
      </w:pPr>
      <w:r w:rsidRPr="00007196">
        <w:t>V</w:t>
      </w:r>
      <w:r w:rsidR="00C378E7" w:rsidRPr="00007196">
        <w:t> </w:t>
      </w:r>
      <w:r w:rsidRPr="00007196">
        <w:t xml:space="preserve">štúdii </w:t>
      </w:r>
      <w:r w:rsidR="00E56962" w:rsidRPr="00007196">
        <w:t>u</w:t>
      </w:r>
      <w:r w:rsidR="00655DD3" w:rsidRPr="00007196">
        <w:t> </w:t>
      </w:r>
      <w:r w:rsidRPr="00007196">
        <w:t xml:space="preserve"> 20</w:t>
      </w:r>
      <w:r w:rsidR="00C378E7" w:rsidRPr="00007196">
        <w:t> </w:t>
      </w:r>
      <w:r w:rsidRPr="00007196">
        <w:t>HIV-infikovaných pacientoch užívajúcich abakavir 300</w:t>
      </w:r>
      <w:r w:rsidR="00C378E7" w:rsidRPr="00007196">
        <w:t> </w:t>
      </w:r>
      <w:r w:rsidRPr="00007196">
        <w:t>mg dvakrát denne, len s</w:t>
      </w:r>
      <w:r w:rsidR="00C378E7" w:rsidRPr="00007196">
        <w:t> </w:t>
      </w:r>
      <w:r w:rsidRPr="00007196">
        <w:t>jedinou 300</w:t>
      </w:r>
      <w:r w:rsidR="00C378E7" w:rsidRPr="00007196">
        <w:t> </w:t>
      </w:r>
      <w:r w:rsidRPr="00007196">
        <w:t>mg dávkou užitou pred 24-hodinovou dobou odberu vzoriek, bol geometrický priemerný terminálny intracelulárny polčas karboviru-TP v</w:t>
      </w:r>
      <w:r w:rsidR="00C378E7" w:rsidRPr="00007196">
        <w:t> </w:t>
      </w:r>
      <w:r w:rsidRPr="00007196">
        <w:t>ustálenom stave 20,6</w:t>
      </w:r>
      <w:r w:rsidR="00C378E7" w:rsidRPr="00007196">
        <w:t> </w:t>
      </w:r>
      <w:r w:rsidRPr="00007196">
        <w:t>hodiny oproti geometrickému priemernému plazmatickému polčasu abakaviru v</w:t>
      </w:r>
      <w:r w:rsidR="00C378E7" w:rsidRPr="00007196">
        <w:t> </w:t>
      </w:r>
      <w:r w:rsidRPr="00007196">
        <w:t>tejto štúdii rovnajúcemu sa 2,6</w:t>
      </w:r>
      <w:r w:rsidR="00C378E7" w:rsidRPr="00007196">
        <w:t> </w:t>
      </w:r>
      <w:r w:rsidRPr="00007196">
        <w:t>hodiny. V</w:t>
      </w:r>
      <w:r w:rsidR="00E56962" w:rsidRPr="00007196">
        <w:t xml:space="preserve"> skríženej </w:t>
      </w:r>
      <w:r w:rsidRPr="00007196">
        <w:t>štúdii u</w:t>
      </w:r>
      <w:r w:rsidR="00C378E7" w:rsidRPr="00007196">
        <w:t> </w:t>
      </w:r>
      <w:r w:rsidRPr="00007196">
        <w:t>27 HIV-infikovaných pacientov bola expozícia intracelulárnemu karboviru-TP vyššia pri</w:t>
      </w:r>
      <w:r w:rsidR="00F778DE">
        <w:t> </w:t>
      </w:r>
      <w:r w:rsidRPr="00007196">
        <w:t>abakavire 600</w:t>
      </w:r>
      <w:r w:rsidR="00C378E7" w:rsidRPr="00007196">
        <w:t> </w:t>
      </w:r>
      <w:r w:rsidRPr="00007196">
        <w:t>mg v</w:t>
      </w:r>
      <w:r w:rsidR="00C378E7" w:rsidRPr="00007196">
        <w:t> </w:t>
      </w:r>
      <w:r w:rsidRPr="00007196">
        <w:t>režime jedenkrát denne (AUC</w:t>
      </w:r>
      <w:r w:rsidRPr="00042751">
        <w:rPr>
          <w:vertAlign w:val="subscript"/>
        </w:rPr>
        <w:t xml:space="preserve">24,ss </w:t>
      </w:r>
      <w:r w:rsidRPr="00007196">
        <w:t>+ 32</w:t>
      </w:r>
      <w:r w:rsidR="00E56962" w:rsidRPr="00007196">
        <w:t> </w:t>
      </w:r>
      <w:r w:rsidRPr="00007196">
        <w:t>%, C</w:t>
      </w:r>
      <w:r w:rsidRPr="00042751">
        <w:rPr>
          <w:vertAlign w:val="subscript"/>
        </w:rPr>
        <w:t>max24,ss</w:t>
      </w:r>
      <w:r w:rsidRPr="00007196">
        <w:t xml:space="preserve"> + 99</w:t>
      </w:r>
      <w:r w:rsidR="00C378E7" w:rsidRPr="00007196">
        <w:t> </w:t>
      </w:r>
      <w:r w:rsidRPr="00007196">
        <w:t>% a</w:t>
      </w:r>
      <w:r w:rsidR="00C378E7" w:rsidRPr="00007196">
        <w:t> </w:t>
      </w:r>
      <w:r w:rsidRPr="00007196">
        <w:t>C</w:t>
      </w:r>
      <w:r w:rsidRPr="00042751">
        <w:rPr>
          <w:vertAlign w:val="subscript"/>
        </w:rPr>
        <w:t>trough</w:t>
      </w:r>
      <w:r w:rsidRPr="00007196">
        <w:t xml:space="preserve"> + 18</w:t>
      </w:r>
      <w:r w:rsidR="00C378E7" w:rsidRPr="00007196">
        <w:t> </w:t>
      </w:r>
      <w:r w:rsidRPr="00007196">
        <w:t>%) oproti abakaviru 300</w:t>
      </w:r>
      <w:r w:rsidR="00C378E7" w:rsidRPr="00007196">
        <w:t> </w:t>
      </w:r>
      <w:r w:rsidRPr="00007196">
        <w:t>mg v</w:t>
      </w:r>
      <w:r w:rsidR="00C378E7" w:rsidRPr="00007196">
        <w:t> </w:t>
      </w:r>
      <w:r w:rsidRPr="00007196">
        <w:t>režime dvakrát denne. U</w:t>
      </w:r>
      <w:r w:rsidR="00C378E7" w:rsidRPr="00007196">
        <w:t> </w:t>
      </w:r>
      <w:r w:rsidRPr="00007196">
        <w:t>pacientov užívajúcich lamivudín 300</w:t>
      </w:r>
      <w:r w:rsidR="00C378E7" w:rsidRPr="00007196">
        <w:t> </w:t>
      </w:r>
      <w:r w:rsidRPr="00007196">
        <w:t xml:space="preserve">mg jedenkrát denne bol terminálny intracelulárny polčas lamivudínu-TP predĺžený na 16 </w:t>
      </w:r>
      <w:r w:rsidR="00C378E7" w:rsidRPr="00007196">
        <w:t>–</w:t>
      </w:r>
      <w:r w:rsidRPr="00007196">
        <w:t xml:space="preserve"> 19</w:t>
      </w:r>
      <w:r w:rsidR="00C378E7" w:rsidRPr="00007196">
        <w:t> </w:t>
      </w:r>
      <w:r w:rsidRPr="00007196">
        <w:t xml:space="preserve">hodín oproti plazmatickému polčasu lamivudínu rovnajúcemu sa 5 </w:t>
      </w:r>
      <w:r w:rsidR="00C378E7" w:rsidRPr="00007196">
        <w:t>–</w:t>
      </w:r>
      <w:r w:rsidRPr="00007196">
        <w:t xml:space="preserve"> 7</w:t>
      </w:r>
      <w:r w:rsidR="00C378E7" w:rsidRPr="00007196">
        <w:t> </w:t>
      </w:r>
      <w:r w:rsidRPr="00007196">
        <w:t>hodinám. V</w:t>
      </w:r>
      <w:r w:rsidR="00CB2433" w:rsidRPr="00007196">
        <w:t xml:space="preserve"> skríženej </w:t>
      </w:r>
      <w:r w:rsidRPr="00007196">
        <w:t>štúdii u</w:t>
      </w:r>
      <w:r w:rsidR="00C378E7" w:rsidRPr="00007196">
        <w:t> </w:t>
      </w:r>
      <w:r w:rsidRPr="00007196">
        <w:t>60</w:t>
      </w:r>
      <w:r w:rsidR="00C378E7" w:rsidRPr="00007196">
        <w:t> </w:t>
      </w:r>
      <w:r w:rsidRPr="00007196">
        <w:t>zdravých dobrovoľníkov boli farmakokinetické parametre intracelulárneho lamivudínu-TP podobné (AUC</w:t>
      </w:r>
      <w:r w:rsidRPr="00042751">
        <w:rPr>
          <w:vertAlign w:val="subscript"/>
        </w:rPr>
        <w:t xml:space="preserve">24,ss </w:t>
      </w:r>
      <w:r w:rsidRPr="00007196">
        <w:t>a</w:t>
      </w:r>
      <w:r w:rsidR="00F778DE">
        <w:t> </w:t>
      </w:r>
      <w:r w:rsidRPr="00007196">
        <w:t>C</w:t>
      </w:r>
      <w:r w:rsidRPr="00042751">
        <w:rPr>
          <w:vertAlign w:val="subscript"/>
        </w:rPr>
        <w:t>max24,ss</w:t>
      </w:r>
      <w:r w:rsidRPr="00007196">
        <w:t>) alebo nižšie (C</w:t>
      </w:r>
      <w:r w:rsidRPr="00042751">
        <w:rPr>
          <w:vertAlign w:val="subscript"/>
        </w:rPr>
        <w:t>trough</w:t>
      </w:r>
      <w:r w:rsidRPr="00007196">
        <w:t xml:space="preserve"> – 24</w:t>
      </w:r>
      <w:r w:rsidR="00C378E7" w:rsidRPr="00007196">
        <w:t> </w:t>
      </w:r>
      <w:r w:rsidRPr="00007196">
        <w:t>%) pri lamivudíne 300</w:t>
      </w:r>
      <w:r w:rsidR="00C378E7" w:rsidRPr="00007196">
        <w:t> </w:t>
      </w:r>
      <w:r w:rsidRPr="00007196">
        <w:t>mg v</w:t>
      </w:r>
      <w:r w:rsidR="00C378E7" w:rsidRPr="00007196">
        <w:t> </w:t>
      </w:r>
      <w:r w:rsidRPr="00007196">
        <w:t>režime jedenkrát denne oproti lamivudínu 150</w:t>
      </w:r>
      <w:r w:rsidR="00C378E7" w:rsidRPr="00007196">
        <w:t> </w:t>
      </w:r>
      <w:r w:rsidRPr="00007196">
        <w:t>mg v</w:t>
      </w:r>
      <w:r w:rsidR="00C378E7" w:rsidRPr="00007196">
        <w:t> </w:t>
      </w:r>
      <w:r w:rsidRPr="00007196">
        <w:t>režime dvakrát denne. Celkovo tieto údaje podporujú použitie lamivudínu 300</w:t>
      </w:r>
      <w:r w:rsidR="00CB2433" w:rsidRPr="00007196">
        <w:t> </w:t>
      </w:r>
      <w:r w:rsidRPr="00007196">
        <w:t>mg a</w:t>
      </w:r>
      <w:r w:rsidR="00C378E7" w:rsidRPr="00007196">
        <w:t> </w:t>
      </w:r>
      <w:r w:rsidRPr="00007196">
        <w:t>abakaviru 600</w:t>
      </w:r>
      <w:r w:rsidR="00C378E7" w:rsidRPr="00007196">
        <w:t> </w:t>
      </w:r>
      <w:r w:rsidRPr="00007196">
        <w:t>mg jedenkrát denne v</w:t>
      </w:r>
      <w:r w:rsidR="00C378E7" w:rsidRPr="00007196">
        <w:t> </w:t>
      </w:r>
      <w:r w:rsidRPr="00007196">
        <w:t>liečbe HIV-infikovaných pacientov. Účinnosť a</w:t>
      </w:r>
      <w:r w:rsidR="00C378E7" w:rsidRPr="00007196">
        <w:t> </w:t>
      </w:r>
      <w:r w:rsidRPr="00007196">
        <w:t>bezpečnosť tejto kombinácie podávanej jedenkrát denne bola okrem toho potvrdená v</w:t>
      </w:r>
      <w:r w:rsidR="00C378E7" w:rsidRPr="00007196">
        <w:t> </w:t>
      </w:r>
      <w:r w:rsidRPr="00007196">
        <w:t>pivotnej klinickej štúdii (CNA30021 - Pozri Klinické skúsenosti</w:t>
      </w:r>
      <w:r w:rsidR="00C378E7" w:rsidRPr="00007196">
        <w:t>).</w:t>
      </w:r>
    </w:p>
    <w:p w:rsidR="008A3258" w:rsidRPr="00007196" w:rsidRDefault="008A3258" w:rsidP="008A3258">
      <w:pPr>
        <w:numPr>
          <w:ilvl w:val="12"/>
          <w:numId w:val="0"/>
        </w:numPr>
        <w:spacing w:line="240" w:lineRule="auto"/>
        <w:ind w:right="-2"/>
      </w:pPr>
    </w:p>
    <w:p w:rsidR="008A3258" w:rsidRPr="00007196" w:rsidRDefault="008A3258" w:rsidP="008A3258">
      <w:pPr>
        <w:numPr>
          <w:ilvl w:val="12"/>
          <w:numId w:val="0"/>
        </w:numPr>
        <w:spacing w:line="240" w:lineRule="auto"/>
        <w:ind w:right="-2"/>
        <w:rPr>
          <w:u w:val="single"/>
        </w:rPr>
      </w:pPr>
      <w:r w:rsidRPr="00007196">
        <w:rPr>
          <w:u w:val="single"/>
        </w:rPr>
        <w:t>Špeciálne skupiny pacientov</w:t>
      </w:r>
    </w:p>
    <w:p w:rsidR="008A3258" w:rsidRPr="00007196" w:rsidRDefault="008A3258" w:rsidP="008A3258">
      <w:pPr>
        <w:numPr>
          <w:ilvl w:val="12"/>
          <w:numId w:val="0"/>
        </w:numPr>
        <w:spacing w:line="240" w:lineRule="auto"/>
        <w:ind w:right="-2"/>
      </w:pPr>
    </w:p>
    <w:p w:rsidR="008A3258" w:rsidRPr="00007196" w:rsidRDefault="00C378E7" w:rsidP="002451B3">
      <w:pPr>
        <w:keepNext/>
        <w:spacing w:line="240" w:lineRule="auto"/>
        <w:rPr>
          <w:i/>
        </w:rPr>
      </w:pPr>
      <w:r w:rsidRPr="00007196">
        <w:rPr>
          <w:i/>
        </w:rPr>
        <w:t>Porucha funkcie pečene</w:t>
      </w:r>
    </w:p>
    <w:p w:rsidR="008A3258" w:rsidRPr="00007196" w:rsidRDefault="008A3258" w:rsidP="008A3258">
      <w:pPr>
        <w:numPr>
          <w:ilvl w:val="12"/>
          <w:numId w:val="0"/>
        </w:numPr>
        <w:spacing w:line="240" w:lineRule="auto"/>
        <w:ind w:right="-2"/>
      </w:pPr>
      <w:r w:rsidRPr="00007196">
        <w:t>Farmakokinetické údaje sa získali oso</w:t>
      </w:r>
      <w:r w:rsidR="00C378E7" w:rsidRPr="00007196">
        <w:t>bitne pre abakavir a lamivudín.</w:t>
      </w:r>
    </w:p>
    <w:p w:rsidR="008A3258" w:rsidRPr="00007196" w:rsidRDefault="008A3258" w:rsidP="008A3258">
      <w:pPr>
        <w:numPr>
          <w:ilvl w:val="12"/>
          <w:numId w:val="0"/>
        </w:numPr>
        <w:spacing w:line="240" w:lineRule="auto"/>
        <w:ind w:right="-2"/>
      </w:pPr>
    </w:p>
    <w:p w:rsidR="008A3258" w:rsidRPr="00007196" w:rsidRDefault="008A3258" w:rsidP="008A3258">
      <w:pPr>
        <w:numPr>
          <w:ilvl w:val="12"/>
          <w:numId w:val="0"/>
        </w:numPr>
        <w:spacing w:line="240" w:lineRule="auto"/>
        <w:ind w:right="-2"/>
      </w:pPr>
      <w:r w:rsidRPr="00007196">
        <w:t>Abakavir sa metabolizuje predovšetkým v</w:t>
      </w:r>
      <w:r w:rsidR="00C378E7" w:rsidRPr="00007196">
        <w:t> </w:t>
      </w:r>
      <w:r w:rsidRPr="00007196">
        <w:t>pečeni. Farmakokinetika abakaviru bola študovaná u</w:t>
      </w:r>
      <w:r w:rsidR="006115A8" w:rsidRPr="00007196">
        <w:t> </w:t>
      </w:r>
      <w:r w:rsidRPr="00007196">
        <w:t>pacientov s</w:t>
      </w:r>
      <w:r w:rsidR="006115A8" w:rsidRPr="00007196">
        <w:t> </w:t>
      </w:r>
      <w:r w:rsidRPr="00007196">
        <w:t>ľahkou poruchou funkcie pečene (skóre 5 - 6 podľa Childovej-Pughovej klasifikácie), ktorým bola podaná jednorazová 600</w:t>
      </w:r>
      <w:r w:rsidR="006115A8" w:rsidRPr="00007196">
        <w:t> </w:t>
      </w:r>
      <w:r w:rsidRPr="00007196">
        <w:t>mg dávka; medián (rozmedzie) hodnoty AUC bol 24,1 (10,4 až 54,8)</w:t>
      </w:r>
      <w:r w:rsidR="006115A8" w:rsidRPr="00007196">
        <w:t> </w:t>
      </w:r>
      <w:r w:rsidRPr="00007196">
        <w:t>ug.h/ml. Výsledky ukazujú priemerný (90</w:t>
      </w:r>
      <w:r w:rsidR="00CB2433" w:rsidRPr="00007196">
        <w:t> </w:t>
      </w:r>
      <w:r w:rsidRPr="00007196">
        <w:t xml:space="preserve">% IS) 1,89-násobný [1,32; 2,70] vzostup AUC abakaviru a 1,58-násobné [1,22; 2,04] predĺženie polčasu eliminácie. U pacientov s ľahkou poruchou funkcie pečene nie je možné stanoviť definitívne odporúčanie na redukciu dávky z dôvodu značnej variability expozície abakaviru. </w:t>
      </w:r>
    </w:p>
    <w:p w:rsidR="008A3258" w:rsidRPr="00007196" w:rsidRDefault="008A3258" w:rsidP="008A3258">
      <w:pPr>
        <w:numPr>
          <w:ilvl w:val="12"/>
          <w:numId w:val="0"/>
        </w:numPr>
        <w:spacing w:line="240" w:lineRule="auto"/>
        <w:ind w:right="-2"/>
      </w:pPr>
    </w:p>
    <w:p w:rsidR="008A3258" w:rsidRPr="00007196" w:rsidRDefault="008A3258" w:rsidP="008A3258">
      <w:pPr>
        <w:numPr>
          <w:ilvl w:val="12"/>
          <w:numId w:val="0"/>
        </w:numPr>
        <w:spacing w:line="240" w:lineRule="auto"/>
        <w:ind w:right="-2"/>
      </w:pPr>
      <w:r w:rsidRPr="00007196">
        <w:t>Údaje získané od pacientov so stredne ťažkou až ťažkou poruchou funkcie pečene ukazujú, že farmakokinetika lamivudínu nie je významne ovplyvnená hepatálnou dysfunkciou.</w:t>
      </w:r>
    </w:p>
    <w:p w:rsidR="008A3258" w:rsidRPr="00007196" w:rsidRDefault="008A3258" w:rsidP="008A3258">
      <w:pPr>
        <w:numPr>
          <w:ilvl w:val="12"/>
          <w:numId w:val="0"/>
        </w:numPr>
        <w:spacing w:line="240" w:lineRule="auto"/>
        <w:ind w:right="-2"/>
      </w:pPr>
    </w:p>
    <w:p w:rsidR="008A3258" w:rsidRPr="00007196" w:rsidRDefault="008A3258" w:rsidP="008A3258">
      <w:pPr>
        <w:numPr>
          <w:ilvl w:val="12"/>
          <w:numId w:val="0"/>
        </w:numPr>
        <w:spacing w:line="240" w:lineRule="auto"/>
        <w:ind w:right="-2"/>
      </w:pPr>
      <w:r w:rsidRPr="00007196">
        <w:t xml:space="preserve">Na základe údajov získaných o abakavire sa </w:t>
      </w:r>
      <w:r w:rsidR="00C378E7" w:rsidRPr="00007196">
        <w:t>a</w:t>
      </w:r>
      <w:r w:rsidRPr="00007196">
        <w:t>bakavir/</w:t>
      </w:r>
      <w:r w:rsidR="00C378E7" w:rsidRPr="00007196">
        <w:t>l</w:t>
      </w:r>
      <w:r w:rsidRPr="00007196">
        <w:t>amivudín neodporúča používať u</w:t>
      </w:r>
      <w:r w:rsidR="00C378E7" w:rsidRPr="00007196">
        <w:t> </w:t>
      </w:r>
      <w:r w:rsidRPr="00007196">
        <w:t>pacientov so</w:t>
      </w:r>
      <w:r w:rsidR="006D1CFC" w:rsidRPr="00007196">
        <w:t> </w:t>
      </w:r>
      <w:r w:rsidRPr="00007196">
        <w:t xml:space="preserve">stredne ťažkou alebo </w:t>
      </w:r>
      <w:r w:rsidR="00C378E7" w:rsidRPr="00007196">
        <w:t>ťažkou poruchou funkcie pečene.</w:t>
      </w:r>
    </w:p>
    <w:p w:rsidR="008A3258" w:rsidRPr="00007196" w:rsidRDefault="008A3258" w:rsidP="008A3258">
      <w:pPr>
        <w:numPr>
          <w:ilvl w:val="12"/>
          <w:numId w:val="0"/>
        </w:numPr>
        <w:spacing w:line="240" w:lineRule="auto"/>
        <w:ind w:right="-2"/>
      </w:pPr>
    </w:p>
    <w:p w:rsidR="008A3258" w:rsidRPr="00007196" w:rsidRDefault="008A3258" w:rsidP="002451B3">
      <w:pPr>
        <w:keepNext/>
        <w:spacing w:line="240" w:lineRule="auto"/>
        <w:rPr>
          <w:i/>
        </w:rPr>
      </w:pPr>
      <w:r w:rsidRPr="00007196">
        <w:rPr>
          <w:i/>
        </w:rPr>
        <w:t>Porucha funkcie obličiek</w:t>
      </w:r>
    </w:p>
    <w:p w:rsidR="008A3258" w:rsidRPr="00007196" w:rsidRDefault="008A3258" w:rsidP="008A3258">
      <w:pPr>
        <w:numPr>
          <w:ilvl w:val="12"/>
          <w:numId w:val="0"/>
        </w:numPr>
        <w:spacing w:line="240" w:lineRule="auto"/>
        <w:ind w:right="-2"/>
      </w:pPr>
      <w:r w:rsidRPr="00007196">
        <w:t>Farmakokinetické údaje boli získané pre lamivudín a</w:t>
      </w:r>
      <w:r w:rsidR="00C378E7" w:rsidRPr="00007196">
        <w:t> </w:t>
      </w:r>
      <w:r w:rsidRPr="00007196">
        <w:t>abakavir podávané jednotlivo. Abakavir sa metabolizuje predovšetkým v</w:t>
      </w:r>
      <w:r w:rsidR="00C378E7" w:rsidRPr="00007196">
        <w:t> </w:t>
      </w:r>
      <w:r w:rsidRPr="00007196">
        <w:t>pečeni, pričom močom sa v</w:t>
      </w:r>
      <w:r w:rsidR="00C378E7" w:rsidRPr="00007196">
        <w:t> </w:t>
      </w:r>
      <w:r w:rsidRPr="00007196">
        <w:t>nezmenenej forme vylučujú približne 2</w:t>
      </w:r>
      <w:r w:rsidR="00C378E7" w:rsidRPr="00007196">
        <w:t> </w:t>
      </w:r>
      <w:r w:rsidRPr="00007196">
        <w:t>% abakaviru. Farmakokinetika abakaviru u</w:t>
      </w:r>
      <w:r w:rsidR="00C378E7" w:rsidRPr="00007196">
        <w:t> </w:t>
      </w:r>
      <w:r w:rsidRPr="00007196">
        <w:t>pacientov v</w:t>
      </w:r>
      <w:r w:rsidR="00C378E7" w:rsidRPr="00007196">
        <w:t> </w:t>
      </w:r>
      <w:r w:rsidRPr="00007196">
        <w:t>konečnom štádiu ochorenia obličiek je podobná ako u</w:t>
      </w:r>
      <w:r w:rsidR="00C378E7" w:rsidRPr="00007196">
        <w:t> </w:t>
      </w:r>
      <w:r w:rsidRPr="00007196">
        <w:t>pacientov s</w:t>
      </w:r>
      <w:r w:rsidR="00C378E7" w:rsidRPr="00007196">
        <w:t> </w:t>
      </w:r>
      <w:r w:rsidRPr="00007196">
        <w:t>normálnou funkciou obličiek. Štúdie s lamivudínom ukazujú, že plazmatické koncentrácie (AUC) sú u</w:t>
      </w:r>
      <w:r w:rsidR="00C378E7" w:rsidRPr="00007196">
        <w:t> </w:t>
      </w:r>
      <w:r w:rsidRPr="00007196">
        <w:t>pacientov s</w:t>
      </w:r>
      <w:r w:rsidR="00C378E7" w:rsidRPr="00007196">
        <w:t> </w:t>
      </w:r>
      <w:r w:rsidRPr="00007196">
        <w:t>renálnou dysfunkciou zvýšené z</w:t>
      </w:r>
      <w:r w:rsidR="00C378E7" w:rsidRPr="00007196">
        <w:t> </w:t>
      </w:r>
      <w:r w:rsidRPr="00007196">
        <w:t xml:space="preserve">dôvodu zníženého klírensu. </w:t>
      </w:r>
      <w:r w:rsidR="00C378E7" w:rsidRPr="00007196">
        <w:t>Abakavir/lamivudín</w:t>
      </w:r>
      <w:r w:rsidRPr="00007196">
        <w:t xml:space="preserve"> sa neodporúča používať u</w:t>
      </w:r>
      <w:r w:rsidR="00C378E7" w:rsidRPr="00007196">
        <w:t> </w:t>
      </w:r>
      <w:r w:rsidRPr="00007196">
        <w:t>pacientov s</w:t>
      </w:r>
      <w:r w:rsidR="00C378E7" w:rsidRPr="003533C9">
        <w:t> </w:t>
      </w:r>
      <w:r w:rsidRPr="00007196">
        <w:t>klírensom kreatinínu &lt;</w:t>
      </w:r>
      <w:r w:rsidR="00C378E7" w:rsidRPr="00007196">
        <w:t> </w:t>
      </w:r>
      <w:r w:rsidRPr="00007196">
        <w:t>50</w:t>
      </w:r>
      <w:r w:rsidR="00C378E7" w:rsidRPr="00007196">
        <w:t> </w:t>
      </w:r>
      <w:r w:rsidRPr="00007196">
        <w:t xml:space="preserve">ml/min, </w:t>
      </w:r>
      <w:r w:rsidR="006D1CFC" w:rsidRPr="00007196">
        <w:t>keďže</w:t>
      </w:r>
      <w:r w:rsidRPr="00007196">
        <w:t xml:space="preserve"> nie je možné vykon</w:t>
      </w:r>
      <w:r w:rsidR="00C378E7" w:rsidRPr="00007196">
        <w:t>ať potrebnú úpravu dávky.</w:t>
      </w:r>
    </w:p>
    <w:p w:rsidR="008A3258" w:rsidRPr="00007196" w:rsidRDefault="008A3258" w:rsidP="008A3258">
      <w:pPr>
        <w:numPr>
          <w:ilvl w:val="12"/>
          <w:numId w:val="0"/>
        </w:numPr>
        <w:spacing w:line="240" w:lineRule="auto"/>
        <w:ind w:right="-2"/>
      </w:pPr>
    </w:p>
    <w:p w:rsidR="008A3258" w:rsidRPr="00007196" w:rsidRDefault="00C378E7" w:rsidP="002451B3">
      <w:pPr>
        <w:keepNext/>
        <w:spacing w:line="240" w:lineRule="auto"/>
        <w:rPr>
          <w:i/>
        </w:rPr>
      </w:pPr>
      <w:r w:rsidRPr="00007196">
        <w:rPr>
          <w:i/>
        </w:rPr>
        <w:t>Starší pacienti</w:t>
      </w:r>
    </w:p>
    <w:p w:rsidR="008A3258" w:rsidRPr="00007196" w:rsidRDefault="008A3258" w:rsidP="008A3258">
      <w:pPr>
        <w:numPr>
          <w:ilvl w:val="12"/>
          <w:numId w:val="0"/>
        </w:numPr>
        <w:spacing w:line="240" w:lineRule="auto"/>
        <w:ind w:right="-2"/>
      </w:pPr>
      <w:r w:rsidRPr="00007196">
        <w:t>V</w:t>
      </w:r>
      <w:r w:rsidR="00C378E7" w:rsidRPr="00007196">
        <w:t> </w:t>
      </w:r>
      <w:r w:rsidRPr="00007196">
        <w:t>súčasnosti nie sú k</w:t>
      </w:r>
      <w:r w:rsidR="00C378E7" w:rsidRPr="00007196">
        <w:t> </w:t>
      </w:r>
      <w:r w:rsidRPr="00007196">
        <w:t xml:space="preserve">dispozícii žiadne farmakokinetické údaje </w:t>
      </w:r>
      <w:r w:rsidR="006609F2" w:rsidRPr="00007196">
        <w:t xml:space="preserve">získané </w:t>
      </w:r>
      <w:r w:rsidRPr="00007196">
        <w:t>u</w:t>
      </w:r>
      <w:r w:rsidR="00C378E7" w:rsidRPr="00007196">
        <w:t> </w:t>
      </w:r>
      <w:r w:rsidRPr="00007196">
        <w:t>pacientov starších ako 65</w:t>
      </w:r>
      <w:r w:rsidR="00C378E7" w:rsidRPr="00007196">
        <w:t> rokov.</w:t>
      </w:r>
    </w:p>
    <w:p w:rsidR="008A3258" w:rsidRPr="00007196" w:rsidRDefault="008A3258" w:rsidP="008A3258">
      <w:pPr>
        <w:numPr>
          <w:ilvl w:val="12"/>
          <w:numId w:val="0"/>
        </w:numPr>
        <w:spacing w:line="240" w:lineRule="auto"/>
        <w:ind w:right="-2"/>
      </w:pPr>
    </w:p>
    <w:p w:rsidR="008A3258" w:rsidRPr="00007196" w:rsidRDefault="006D1CFC" w:rsidP="002451B3">
      <w:pPr>
        <w:keepNext/>
        <w:spacing w:line="240" w:lineRule="auto"/>
        <w:rPr>
          <w:i/>
        </w:rPr>
      </w:pPr>
      <w:r w:rsidRPr="00042751">
        <w:rPr>
          <w:i/>
        </w:rPr>
        <w:t>Pediatrická populácia</w:t>
      </w:r>
    </w:p>
    <w:p w:rsidR="008A3258" w:rsidRPr="00007196" w:rsidRDefault="008A3258" w:rsidP="00143A96">
      <w:pPr>
        <w:spacing w:line="240" w:lineRule="auto"/>
      </w:pPr>
      <w:r w:rsidRPr="00007196">
        <w:t>U</w:t>
      </w:r>
      <w:r w:rsidR="00C378E7" w:rsidRPr="00007196">
        <w:t> </w:t>
      </w:r>
      <w:r w:rsidRPr="00007196">
        <w:t>detí sa abakavir podávaný v</w:t>
      </w:r>
      <w:r w:rsidR="00C378E7" w:rsidRPr="00007196">
        <w:t> </w:t>
      </w:r>
      <w:r w:rsidRPr="00007196">
        <w:t>perorálnych liekových formách dobre a</w:t>
      </w:r>
      <w:r w:rsidR="00C378E7" w:rsidRPr="00007196">
        <w:t> </w:t>
      </w:r>
      <w:r w:rsidRPr="00007196">
        <w:t>rýchlo absorbuje. Pediatrické farmakokinetické štúdie preukázali, že pri dávke podávanej jedenkrát denne sa dosahuje rovnaká hodnota AUC24 ako pri dávke podávanej dvakrát denne, keď sa podáva rovnaká celková denná dávka, čo platí pre perorálny roztok aj tablety.</w:t>
      </w:r>
    </w:p>
    <w:p w:rsidR="008A3258" w:rsidRPr="00007196" w:rsidRDefault="008A3258" w:rsidP="00143A96">
      <w:pPr>
        <w:spacing w:line="240" w:lineRule="auto"/>
      </w:pPr>
    </w:p>
    <w:p w:rsidR="00812D16" w:rsidRPr="00007196" w:rsidRDefault="008A3258" w:rsidP="00C378E7">
      <w:pPr>
        <w:spacing w:line="240" w:lineRule="auto"/>
        <w:rPr>
          <w:u w:val="single"/>
        </w:rPr>
      </w:pPr>
      <w:r w:rsidRPr="00007196">
        <w:t>Absolútna biologická dostupnosť lamivudínu (približne 58 až 66</w:t>
      </w:r>
      <w:r w:rsidR="00C378E7" w:rsidRPr="00007196">
        <w:t> </w:t>
      </w:r>
      <w:r w:rsidRPr="00007196">
        <w:t>%) bola nižšia a</w:t>
      </w:r>
      <w:r w:rsidR="00C378E7" w:rsidRPr="00007196">
        <w:t> </w:t>
      </w:r>
      <w:r w:rsidRPr="00007196">
        <w:t>premenlivejšia u</w:t>
      </w:r>
      <w:r w:rsidR="00C378E7" w:rsidRPr="00007196">
        <w:t> </w:t>
      </w:r>
      <w:r w:rsidRPr="00007196">
        <w:t>pediatrických pacientov mladších ako 12</w:t>
      </w:r>
      <w:r w:rsidR="00C378E7" w:rsidRPr="00007196">
        <w:t> </w:t>
      </w:r>
      <w:r w:rsidRPr="00007196">
        <w:t>rokov. Pediatrické farmakokinetické štúdie s</w:t>
      </w:r>
      <w:r w:rsidR="00C378E7" w:rsidRPr="00007196">
        <w:t> </w:t>
      </w:r>
      <w:r w:rsidRPr="00007196">
        <w:t>tabletami však preukázali, že pri dávke podávanej jedenkrát denne sa dosahuje rovnaká hodnota AUC24 ako pri</w:t>
      </w:r>
      <w:r w:rsidR="00F778DE">
        <w:t> </w:t>
      </w:r>
      <w:r w:rsidRPr="00007196">
        <w:t>dávke podávanej dvakrát denne, keď sa podáva rovnaká celková denná dávka</w:t>
      </w:r>
      <w:r w:rsidR="00C378E7" w:rsidRPr="00007196">
        <w:t>.</w:t>
      </w:r>
    </w:p>
    <w:p w:rsidR="00812D16" w:rsidRPr="00007196" w:rsidRDefault="00812D16" w:rsidP="002B7B74">
      <w:pPr>
        <w:numPr>
          <w:ilvl w:val="12"/>
          <w:numId w:val="0"/>
        </w:numPr>
        <w:spacing w:line="240" w:lineRule="auto"/>
        <w:ind w:right="-2"/>
      </w:pPr>
    </w:p>
    <w:p w:rsidR="00812D16" w:rsidRPr="00007196" w:rsidRDefault="00812D16" w:rsidP="00042751">
      <w:pPr>
        <w:keepNext/>
        <w:numPr>
          <w:ilvl w:val="1"/>
          <w:numId w:val="30"/>
        </w:numPr>
        <w:spacing w:line="240" w:lineRule="auto"/>
      </w:pPr>
      <w:r w:rsidRPr="00007196">
        <w:rPr>
          <w:b/>
        </w:rPr>
        <w:t>Predklinické údaje o bezpečnosti</w:t>
      </w:r>
    </w:p>
    <w:p w:rsidR="00812D16" w:rsidRPr="00007196" w:rsidRDefault="00812D16" w:rsidP="002451B3">
      <w:pPr>
        <w:keepNext/>
        <w:spacing w:line="240" w:lineRule="auto"/>
      </w:pPr>
    </w:p>
    <w:p w:rsidR="008A3258" w:rsidRPr="00007196" w:rsidRDefault="008A3258" w:rsidP="008A3258">
      <w:pPr>
        <w:spacing w:line="240" w:lineRule="auto"/>
      </w:pPr>
      <w:r w:rsidRPr="00007196">
        <w:t>S výnimkou negatívneho mikronukleárneho testu in</w:t>
      </w:r>
      <w:r w:rsidRPr="00007196">
        <w:rPr>
          <w:i/>
        </w:rPr>
        <w:t xml:space="preserve"> vivo</w:t>
      </w:r>
      <w:r w:rsidRPr="00007196">
        <w:t xml:space="preserve"> na potkanoch, údaje o účinkoch kombinácie abakaviru a lamivudínu u zvierat nie sú k dispozícii.</w:t>
      </w:r>
    </w:p>
    <w:p w:rsidR="008A3258" w:rsidRPr="00007196" w:rsidRDefault="008A3258" w:rsidP="008A3258">
      <w:pPr>
        <w:spacing w:line="240" w:lineRule="auto"/>
      </w:pPr>
    </w:p>
    <w:p w:rsidR="008A3258" w:rsidRPr="00007196" w:rsidRDefault="008A3258" w:rsidP="002451B3">
      <w:pPr>
        <w:keepNext/>
        <w:spacing w:line="240" w:lineRule="auto"/>
        <w:rPr>
          <w:u w:val="single"/>
        </w:rPr>
      </w:pPr>
      <w:r w:rsidRPr="00007196">
        <w:rPr>
          <w:u w:val="single"/>
        </w:rPr>
        <w:t>Mutagenita a karcinogenita</w:t>
      </w:r>
    </w:p>
    <w:p w:rsidR="008A3258" w:rsidRPr="00007196" w:rsidRDefault="008A3258" w:rsidP="008A3258">
      <w:pPr>
        <w:spacing w:line="240" w:lineRule="auto"/>
      </w:pPr>
      <w:r w:rsidRPr="00007196">
        <w:t>V testoch na baktériách nebol abakavir ani lamivudín mutagénny, ale v súlade s ostatnými nukleozidovými analógmi, inhibujú bunkovú DNA replikáciu v </w:t>
      </w:r>
      <w:r w:rsidRPr="00007196">
        <w:rPr>
          <w:i/>
        </w:rPr>
        <w:t>in vitro</w:t>
      </w:r>
      <w:r w:rsidRPr="00007196">
        <w:t xml:space="preserve"> testoch na </w:t>
      </w:r>
      <w:r w:rsidR="001769B6" w:rsidRPr="00007196">
        <w:t>cicavčí</w:t>
      </w:r>
      <w:r w:rsidR="00E5315B" w:rsidRPr="00007196">
        <w:t>ch</w:t>
      </w:r>
      <w:r w:rsidRPr="00007196">
        <w:t xml:space="preserve"> bunkách, ako napr. pri </w:t>
      </w:r>
      <w:r w:rsidR="00E5315B" w:rsidRPr="00007196">
        <w:t xml:space="preserve">teste myšacieho </w:t>
      </w:r>
      <w:r w:rsidRPr="00007196">
        <w:t>lymfóm</w:t>
      </w:r>
      <w:r w:rsidR="00E5315B" w:rsidRPr="00007196">
        <w:t>u</w:t>
      </w:r>
      <w:r w:rsidRPr="00007196">
        <w:t xml:space="preserve">. Výsledky mikronukleárneho testu </w:t>
      </w:r>
      <w:r w:rsidRPr="00007196">
        <w:rPr>
          <w:i/>
        </w:rPr>
        <w:t>in vivo</w:t>
      </w:r>
      <w:r w:rsidRPr="00007196">
        <w:t xml:space="preserve"> na potkanoch s kombináciou abakaviru a lamivudínu boli negatívne.</w:t>
      </w:r>
    </w:p>
    <w:p w:rsidR="008A3258" w:rsidRPr="00007196" w:rsidRDefault="008A3258" w:rsidP="008A3258">
      <w:pPr>
        <w:spacing w:line="240" w:lineRule="auto"/>
      </w:pPr>
    </w:p>
    <w:p w:rsidR="008A3258" w:rsidRPr="00007196" w:rsidRDefault="008A3258" w:rsidP="008A3258">
      <w:pPr>
        <w:spacing w:line="240" w:lineRule="auto"/>
      </w:pPr>
      <w:r w:rsidRPr="00007196">
        <w:t>Genotoxic</w:t>
      </w:r>
      <w:r w:rsidR="00E5315B" w:rsidRPr="00007196">
        <w:t>ká aktivita</w:t>
      </w:r>
      <w:r w:rsidRPr="00007196">
        <w:t xml:space="preserve"> lamivudínu nebola </w:t>
      </w:r>
      <w:r w:rsidRPr="00007196">
        <w:rPr>
          <w:i/>
        </w:rPr>
        <w:t>in vivo</w:t>
      </w:r>
      <w:r w:rsidRPr="00007196">
        <w:t xml:space="preserve"> pozorovaná ani pri plazmatických koncentráciách 40- až 50-násobne prevyšujúcich klinické plazmatické koncentrácie. Abakavir </w:t>
      </w:r>
      <w:r w:rsidR="00E5315B" w:rsidRPr="00007196">
        <w:t xml:space="preserve">má </w:t>
      </w:r>
      <w:r w:rsidRPr="00007196">
        <w:t xml:space="preserve">vo vysokých testovaných koncentráciách slabý potenciál pre poškodenie chromozómov </w:t>
      </w:r>
      <w:r w:rsidRPr="00007196">
        <w:rPr>
          <w:i/>
        </w:rPr>
        <w:t>in vivo</w:t>
      </w:r>
      <w:r w:rsidRPr="00007196">
        <w:t xml:space="preserve"> a </w:t>
      </w:r>
      <w:r w:rsidRPr="00007196">
        <w:rPr>
          <w:i/>
        </w:rPr>
        <w:t>in vitro.</w:t>
      </w:r>
    </w:p>
    <w:p w:rsidR="008A3258" w:rsidRPr="00007196" w:rsidRDefault="008A3258" w:rsidP="008A3258">
      <w:pPr>
        <w:spacing w:line="240" w:lineRule="auto"/>
      </w:pPr>
    </w:p>
    <w:p w:rsidR="008A3258" w:rsidRPr="00007196" w:rsidRDefault="008A3258" w:rsidP="008A3258">
      <w:pPr>
        <w:spacing w:line="240" w:lineRule="auto"/>
      </w:pPr>
      <w:r w:rsidRPr="00007196">
        <w:t>Karcinogénny potenciál kombinácie abakaviru a</w:t>
      </w:r>
      <w:r w:rsidR="00720812" w:rsidRPr="00007196">
        <w:t> </w:t>
      </w:r>
      <w:r w:rsidRPr="00007196">
        <w:t>lamivudínu nebol testovaný. Perorálne podávaný lamivudín v</w:t>
      </w:r>
      <w:r w:rsidR="00720812" w:rsidRPr="00007196">
        <w:t> </w:t>
      </w:r>
      <w:r w:rsidRPr="00007196">
        <w:t>dlhodobých štúdiách karcinogenity u</w:t>
      </w:r>
      <w:r w:rsidR="00720812" w:rsidRPr="00007196">
        <w:t> </w:t>
      </w:r>
      <w:r w:rsidRPr="00007196">
        <w:t>potkanov a</w:t>
      </w:r>
      <w:r w:rsidR="00720812" w:rsidRPr="00007196">
        <w:t> </w:t>
      </w:r>
      <w:r w:rsidRPr="00007196">
        <w:t>myší ne</w:t>
      </w:r>
      <w:r w:rsidR="008F0445" w:rsidRPr="00007196">
        <w:t>pre</w:t>
      </w:r>
      <w:r w:rsidRPr="00007196">
        <w:t>ukázal karcinogénny potenciál. Štúdie karcinogenity, v</w:t>
      </w:r>
      <w:r w:rsidR="00720812" w:rsidRPr="00007196">
        <w:t> </w:t>
      </w:r>
      <w:r w:rsidRPr="00007196">
        <w:t>ktorých bol abakavir perorálne podávaný myšiam a</w:t>
      </w:r>
      <w:r w:rsidR="00720812" w:rsidRPr="00007196">
        <w:t> </w:t>
      </w:r>
      <w:r w:rsidRPr="00007196">
        <w:t>potkanom, dokázali zvýšený výskyt zhubných a</w:t>
      </w:r>
      <w:r w:rsidR="00720812" w:rsidRPr="00007196">
        <w:t> </w:t>
      </w:r>
      <w:r w:rsidRPr="00007196">
        <w:t>nezhubných nádorov. Zhubné nádory sa vyskytovali v</w:t>
      </w:r>
      <w:r w:rsidR="00720812" w:rsidRPr="00007196">
        <w:t> </w:t>
      </w:r>
      <w:r w:rsidRPr="00007196">
        <w:t>predkožkovej žľaze samcov a</w:t>
      </w:r>
      <w:r w:rsidR="00720812" w:rsidRPr="00007196">
        <w:t> </w:t>
      </w:r>
      <w:r w:rsidRPr="00007196">
        <w:t>v</w:t>
      </w:r>
      <w:r w:rsidR="00720812" w:rsidRPr="00007196">
        <w:t> </w:t>
      </w:r>
      <w:r w:rsidRPr="00007196">
        <w:t>klitorisovej žľaze samíc u</w:t>
      </w:r>
      <w:r w:rsidR="00720812" w:rsidRPr="00007196">
        <w:t> </w:t>
      </w:r>
      <w:r w:rsidRPr="00007196">
        <w:t>oboch druhov a</w:t>
      </w:r>
      <w:r w:rsidR="00720812" w:rsidRPr="00007196">
        <w:t> </w:t>
      </w:r>
      <w:r w:rsidRPr="00007196">
        <w:t>u</w:t>
      </w:r>
      <w:r w:rsidR="00720812" w:rsidRPr="00007196">
        <w:t> </w:t>
      </w:r>
      <w:r w:rsidRPr="00007196">
        <w:t>potkanov v</w:t>
      </w:r>
      <w:r w:rsidR="00720812" w:rsidRPr="00007196">
        <w:t> </w:t>
      </w:r>
      <w:r w:rsidRPr="00007196">
        <w:t>štítnej žľaze samcov a</w:t>
      </w:r>
      <w:r w:rsidR="00720812" w:rsidRPr="00007196">
        <w:t> </w:t>
      </w:r>
      <w:r w:rsidRPr="00007196">
        <w:t>v</w:t>
      </w:r>
      <w:r w:rsidR="00720812" w:rsidRPr="00007196">
        <w:t> </w:t>
      </w:r>
      <w:r w:rsidRPr="00007196">
        <w:t>pečeni, močovom mechúri, lymfatických uzlinách a</w:t>
      </w:r>
      <w:r w:rsidR="00720812" w:rsidRPr="00007196">
        <w:t> podkoží samíc.</w:t>
      </w:r>
    </w:p>
    <w:p w:rsidR="008A3258" w:rsidRPr="00007196" w:rsidRDefault="008A3258" w:rsidP="008A3258">
      <w:pPr>
        <w:spacing w:line="240" w:lineRule="auto"/>
      </w:pPr>
    </w:p>
    <w:p w:rsidR="008A3258" w:rsidRPr="00007196" w:rsidRDefault="008A3258" w:rsidP="008A3258">
      <w:pPr>
        <w:spacing w:line="240" w:lineRule="auto"/>
      </w:pPr>
      <w:r w:rsidRPr="00007196">
        <w:t>Väčšina týchto nádorov sa vyskytla pri najvyššej dávke abakaviru 330</w:t>
      </w:r>
      <w:r w:rsidR="00720812" w:rsidRPr="00007196">
        <w:t> </w:t>
      </w:r>
      <w:r w:rsidRPr="00007196">
        <w:t>mg/kg/deň u</w:t>
      </w:r>
      <w:r w:rsidR="00720812" w:rsidRPr="00007196">
        <w:t> </w:t>
      </w:r>
      <w:r w:rsidRPr="00007196">
        <w:t>myší a</w:t>
      </w:r>
      <w:r w:rsidR="00720812" w:rsidRPr="00007196">
        <w:t> </w:t>
      </w:r>
      <w:r w:rsidRPr="00007196">
        <w:t>600</w:t>
      </w:r>
      <w:r w:rsidR="00720812" w:rsidRPr="00007196">
        <w:t> </w:t>
      </w:r>
      <w:r w:rsidRPr="00007196">
        <w:t>mg/kg/deň u</w:t>
      </w:r>
      <w:r w:rsidR="00720812" w:rsidRPr="00007196">
        <w:t> </w:t>
      </w:r>
      <w:r w:rsidRPr="00007196">
        <w:t>potkanov. Výnimkou bol nádor predkožkovej žľazy, ktorý sa vyskytol pri dávke 110</w:t>
      </w:r>
      <w:r w:rsidR="00720812" w:rsidRPr="00007196">
        <w:t> </w:t>
      </w:r>
      <w:r w:rsidRPr="00007196">
        <w:t>mg/kg u</w:t>
      </w:r>
      <w:r w:rsidR="00720812" w:rsidRPr="00007196">
        <w:t> </w:t>
      </w:r>
      <w:r w:rsidRPr="00007196">
        <w:t xml:space="preserve">myší. Systémová expozícia </w:t>
      </w:r>
      <w:r w:rsidR="00D27766" w:rsidRPr="00007196">
        <w:t>pri dávke bez pozorovaného nepriaznivého účinku</w:t>
      </w:r>
      <w:r w:rsidRPr="00007196">
        <w:t>, bola u</w:t>
      </w:r>
      <w:r w:rsidR="00720812" w:rsidRPr="00007196">
        <w:t> </w:t>
      </w:r>
      <w:r w:rsidRPr="00007196">
        <w:t>myší a</w:t>
      </w:r>
      <w:r w:rsidR="00720812" w:rsidRPr="00007196">
        <w:t> </w:t>
      </w:r>
      <w:r w:rsidRPr="00007196">
        <w:t>potkanov 3- a 7-násobne vyššia ako bola systémová expozícia počas terapie u</w:t>
      </w:r>
      <w:r w:rsidR="00720812" w:rsidRPr="00007196">
        <w:t> </w:t>
      </w:r>
      <w:r w:rsidRPr="00007196">
        <w:t>človeka. Zatiaľ čo klinický význam týchto poznatkov nie je známy, tieto údaje naznačujú, že potenciálny klinický prínos prevažuje nad rizikom karcinogenity u</w:t>
      </w:r>
      <w:r w:rsidR="00720812" w:rsidRPr="00007196">
        <w:t> </w:t>
      </w:r>
      <w:r w:rsidRPr="00007196">
        <w:t>človeka.</w:t>
      </w:r>
    </w:p>
    <w:p w:rsidR="008A3258" w:rsidRPr="00007196" w:rsidRDefault="008A3258" w:rsidP="008A3258">
      <w:pPr>
        <w:spacing w:line="240" w:lineRule="auto"/>
      </w:pPr>
    </w:p>
    <w:p w:rsidR="008A3258" w:rsidRPr="00007196" w:rsidRDefault="008A3258" w:rsidP="002451B3">
      <w:pPr>
        <w:keepNext/>
        <w:spacing w:line="240" w:lineRule="auto"/>
        <w:rPr>
          <w:u w:val="single"/>
        </w:rPr>
      </w:pPr>
      <w:r w:rsidRPr="00007196">
        <w:rPr>
          <w:u w:val="single"/>
        </w:rPr>
        <w:t>Toxicita po opakovanej dávke</w:t>
      </w:r>
    </w:p>
    <w:p w:rsidR="008A3258" w:rsidRPr="00007196" w:rsidRDefault="008A3258" w:rsidP="008A3258">
      <w:pPr>
        <w:spacing w:line="240" w:lineRule="auto"/>
      </w:pPr>
      <w:r w:rsidRPr="00007196">
        <w:t>V</w:t>
      </w:r>
      <w:r w:rsidR="00720812" w:rsidRPr="00007196">
        <w:t> </w:t>
      </w:r>
      <w:r w:rsidRPr="00007196">
        <w:t>toxikologických štúdiách sa pri liečbe abakavirom zvyšovala hmotnosť pečene u</w:t>
      </w:r>
      <w:r w:rsidR="00720812" w:rsidRPr="00007196">
        <w:t> </w:t>
      </w:r>
      <w:r w:rsidRPr="00007196">
        <w:t>potkanov a</w:t>
      </w:r>
      <w:r w:rsidR="00720812" w:rsidRPr="00007196">
        <w:t> </w:t>
      </w:r>
      <w:r w:rsidRPr="00007196">
        <w:t>u</w:t>
      </w:r>
      <w:r w:rsidR="00720812" w:rsidRPr="00007196">
        <w:t> </w:t>
      </w:r>
      <w:r w:rsidRPr="00007196">
        <w:t>opíc. Klinický význam týchto údajov nie je známy. Neexistujú žiadne dôkazy o</w:t>
      </w:r>
      <w:r w:rsidR="00720812" w:rsidRPr="00007196">
        <w:t> </w:t>
      </w:r>
      <w:r w:rsidRPr="00007196">
        <w:t>hepatotoxicite abakaviru, ktorá by vyplývala z</w:t>
      </w:r>
      <w:r w:rsidR="00720812" w:rsidRPr="00007196">
        <w:t> </w:t>
      </w:r>
      <w:r w:rsidRPr="00007196">
        <w:t>klinických štúdií. Naviac autoindukcia metabolizmu abakaviru alebo indukcia metabolizmu ostatných lie</w:t>
      </w:r>
      <w:r w:rsidR="00D27766" w:rsidRPr="00007196">
        <w:t>kov</w:t>
      </w:r>
      <w:r w:rsidRPr="00007196">
        <w:t xml:space="preserve"> metabolizovaných pečeňou nebola u</w:t>
      </w:r>
      <w:r w:rsidR="00720812" w:rsidRPr="00007196">
        <w:t> </w:t>
      </w:r>
      <w:r w:rsidRPr="00007196">
        <w:t>človeka pozorovaná.</w:t>
      </w:r>
    </w:p>
    <w:p w:rsidR="008A3258" w:rsidRPr="00007196" w:rsidRDefault="008A3258" w:rsidP="008A3258">
      <w:pPr>
        <w:spacing w:line="240" w:lineRule="auto"/>
      </w:pPr>
    </w:p>
    <w:p w:rsidR="008A3258" w:rsidRPr="00007196" w:rsidRDefault="008A3258" w:rsidP="008A3258">
      <w:pPr>
        <w:spacing w:line="240" w:lineRule="auto"/>
      </w:pPr>
      <w:r w:rsidRPr="00007196">
        <w:t>Po dvojročnom podávaní abakaviru bola v</w:t>
      </w:r>
      <w:r w:rsidR="00720812" w:rsidRPr="00007196">
        <w:t> </w:t>
      </w:r>
      <w:r w:rsidRPr="00007196">
        <w:t>srdci myší a</w:t>
      </w:r>
      <w:r w:rsidR="00720812" w:rsidRPr="00007196">
        <w:t> </w:t>
      </w:r>
      <w:r w:rsidRPr="00007196">
        <w:t>potkanov pozorovaná mierna degenerácia myokardu. Systémové expozície boli ekvivalentné 7- až 24-násobnej očakávanej systémovej expozícii u</w:t>
      </w:r>
      <w:r w:rsidR="00720812" w:rsidRPr="00007196">
        <w:t> </w:t>
      </w:r>
      <w:r w:rsidRPr="00007196">
        <w:t>ľudí. Klinick</w:t>
      </w:r>
      <w:r w:rsidR="00E17680" w:rsidRPr="00007196">
        <w:t>ý</w:t>
      </w:r>
      <w:r w:rsidRPr="00007196">
        <w:t xml:space="preserve"> </w:t>
      </w:r>
      <w:r w:rsidR="00E17680" w:rsidRPr="00007196">
        <w:t>význam</w:t>
      </w:r>
      <w:r w:rsidRPr="00007196">
        <w:t xml:space="preserve"> t</w:t>
      </w:r>
      <w:r w:rsidR="00720812" w:rsidRPr="00007196">
        <w:t>ohto zistenia nebol stanoven</w:t>
      </w:r>
      <w:r w:rsidR="00E17680" w:rsidRPr="00007196">
        <w:t>ý</w:t>
      </w:r>
      <w:r w:rsidR="00720812" w:rsidRPr="00007196">
        <w:t>.</w:t>
      </w:r>
    </w:p>
    <w:p w:rsidR="008A3258" w:rsidRPr="00007196" w:rsidRDefault="008A3258" w:rsidP="008A3258">
      <w:pPr>
        <w:spacing w:line="240" w:lineRule="auto"/>
      </w:pPr>
    </w:p>
    <w:p w:rsidR="008A3258" w:rsidRPr="00007196" w:rsidRDefault="008A3258" w:rsidP="002451B3">
      <w:pPr>
        <w:keepNext/>
        <w:spacing w:line="240" w:lineRule="auto"/>
        <w:rPr>
          <w:u w:val="single"/>
        </w:rPr>
      </w:pPr>
      <w:r w:rsidRPr="00007196">
        <w:rPr>
          <w:u w:val="single"/>
        </w:rPr>
        <w:t>Reprodukčná toxikológia</w:t>
      </w:r>
    </w:p>
    <w:p w:rsidR="008A3258" w:rsidRPr="00007196" w:rsidRDefault="008A3258" w:rsidP="008A3258">
      <w:pPr>
        <w:spacing w:line="240" w:lineRule="auto"/>
      </w:pPr>
      <w:r w:rsidRPr="00007196">
        <w:t>V</w:t>
      </w:r>
      <w:r w:rsidR="00720812" w:rsidRPr="00007196">
        <w:t> </w:t>
      </w:r>
      <w:r w:rsidRPr="00007196">
        <w:t>štúdiách reprodukčnej toxicity na zvieratách bol dokázaný prechod lamivudínu a</w:t>
      </w:r>
      <w:r w:rsidR="00720812" w:rsidRPr="00007196">
        <w:t> abakaviru placentou.</w:t>
      </w:r>
    </w:p>
    <w:p w:rsidR="008A3258" w:rsidRPr="00007196" w:rsidRDefault="008A3258" w:rsidP="008A3258">
      <w:pPr>
        <w:spacing w:line="240" w:lineRule="auto"/>
      </w:pPr>
    </w:p>
    <w:p w:rsidR="008A3258" w:rsidRPr="00007196" w:rsidRDefault="008A3258" w:rsidP="008A3258">
      <w:pPr>
        <w:spacing w:line="240" w:lineRule="auto"/>
      </w:pPr>
      <w:r w:rsidRPr="00007196">
        <w:t>V</w:t>
      </w:r>
      <w:r w:rsidR="00720812" w:rsidRPr="00007196">
        <w:t> </w:t>
      </w:r>
      <w:r w:rsidRPr="00007196">
        <w:t>štúdiách na zvieratách nebol lamivudín teratogénny, štúdie však poukázali na zvýšenie počtu včasnej embryonálnej smrti u</w:t>
      </w:r>
      <w:r w:rsidR="00720812" w:rsidRPr="00007196">
        <w:t> </w:t>
      </w:r>
      <w:r w:rsidRPr="00007196">
        <w:t>králikov v</w:t>
      </w:r>
      <w:r w:rsidR="00F546DE" w:rsidRPr="00007196">
        <w:t> </w:t>
      </w:r>
      <w:r w:rsidRPr="00007196">
        <w:t>relatívne nízkych systémových expozíciách, porovnateľných k</w:t>
      </w:r>
      <w:r w:rsidR="00F546DE" w:rsidRPr="00007196">
        <w:t> </w:t>
      </w:r>
      <w:r w:rsidRPr="00007196">
        <w:t>tým, ktoré sa dosahujú u</w:t>
      </w:r>
      <w:r w:rsidR="00F546DE" w:rsidRPr="00007196">
        <w:t> </w:t>
      </w:r>
      <w:r w:rsidRPr="00007196">
        <w:t>ľudí. Podobný účinok sa nepozoroval u</w:t>
      </w:r>
      <w:r w:rsidR="00F546DE" w:rsidRPr="00007196">
        <w:t> </w:t>
      </w:r>
      <w:r w:rsidRPr="00007196">
        <w:t>potkanov, ani pri veľmi vysokých systémových expozíciách.</w:t>
      </w:r>
    </w:p>
    <w:p w:rsidR="008A3258" w:rsidRPr="00007196" w:rsidRDefault="008A3258" w:rsidP="008A3258">
      <w:pPr>
        <w:spacing w:line="240" w:lineRule="auto"/>
      </w:pPr>
    </w:p>
    <w:p w:rsidR="008A3258" w:rsidRPr="00007196" w:rsidRDefault="008A3258" w:rsidP="008A3258">
      <w:pPr>
        <w:spacing w:line="240" w:lineRule="auto"/>
      </w:pPr>
      <w:r w:rsidRPr="00007196">
        <w:t>U</w:t>
      </w:r>
      <w:r w:rsidR="00F546DE" w:rsidRPr="00007196">
        <w:t> </w:t>
      </w:r>
      <w:r w:rsidRPr="00007196">
        <w:t>abakaviru bola pozorovaná embryonálna a</w:t>
      </w:r>
      <w:r w:rsidR="00F546DE" w:rsidRPr="00007196">
        <w:t> </w:t>
      </w:r>
      <w:r w:rsidRPr="00007196">
        <w:t>fetálna toxicita u</w:t>
      </w:r>
      <w:r w:rsidR="00F546DE" w:rsidRPr="00007196">
        <w:t> </w:t>
      </w:r>
      <w:r w:rsidRPr="00007196">
        <w:t>potkanov, nie však u</w:t>
      </w:r>
      <w:r w:rsidR="00F546DE" w:rsidRPr="00007196">
        <w:t> </w:t>
      </w:r>
      <w:r w:rsidRPr="00007196">
        <w:t>králikov. Tieto zistenia zahŕňajú zníženú fetálnu telesnú hmotnosť, fetálny edém a</w:t>
      </w:r>
      <w:r w:rsidR="00F546DE" w:rsidRPr="00007196">
        <w:t> </w:t>
      </w:r>
      <w:r w:rsidRPr="00007196">
        <w:t>nárast zm</w:t>
      </w:r>
      <w:r w:rsidR="000C6147" w:rsidRPr="00007196">
        <w:t>ien</w:t>
      </w:r>
      <w:r w:rsidRPr="00007196">
        <w:t>/malformáci</w:t>
      </w:r>
      <w:r w:rsidR="000C6147" w:rsidRPr="00007196">
        <w:t>í</w:t>
      </w:r>
      <w:r w:rsidRPr="00007196">
        <w:t xml:space="preserve"> skeletu, </w:t>
      </w:r>
      <w:r w:rsidRPr="00007196">
        <w:lastRenderedPageBreak/>
        <w:t>včasných intrauterinných úmrtí a</w:t>
      </w:r>
      <w:r w:rsidR="00F546DE" w:rsidRPr="00007196">
        <w:t> </w:t>
      </w:r>
      <w:r w:rsidRPr="00007196">
        <w:t xml:space="preserve">mŕtvo narodených. </w:t>
      </w:r>
      <w:r w:rsidR="000C6147" w:rsidRPr="00007196">
        <w:t>Na základe</w:t>
      </w:r>
      <w:r w:rsidRPr="00007196">
        <w:t xml:space="preserve"> tejto embryofetálnej toxicity nie je možné vyvodiť záver o</w:t>
      </w:r>
      <w:r w:rsidR="00F546DE" w:rsidRPr="00007196">
        <w:t> </w:t>
      </w:r>
      <w:r w:rsidRPr="00007196">
        <w:t>teratogénnom potenciáli abakaviru.</w:t>
      </w:r>
    </w:p>
    <w:p w:rsidR="008A3258" w:rsidRPr="00007196" w:rsidRDefault="008A3258" w:rsidP="008A3258">
      <w:pPr>
        <w:spacing w:line="240" w:lineRule="auto"/>
      </w:pPr>
    </w:p>
    <w:p w:rsidR="00812D16" w:rsidRPr="00007196" w:rsidRDefault="008A3258" w:rsidP="00F546DE">
      <w:pPr>
        <w:spacing w:line="240" w:lineRule="auto"/>
      </w:pPr>
      <w:r w:rsidRPr="00007196">
        <w:t>Štúdia fertility u</w:t>
      </w:r>
      <w:r w:rsidR="00F546DE" w:rsidRPr="00007196">
        <w:t> </w:t>
      </w:r>
      <w:r w:rsidRPr="00007196">
        <w:t>potkanov dokázala, že abakavir a</w:t>
      </w:r>
      <w:r w:rsidR="00F546DE" w:rsidRPr="00007196">
        <w:t> </w:t>
      </w:r>
      <w:r w:rsidRPr="00007196">
        <w:t>lamivudín nemajú žiadny vplyv na samčiu alebo samičiu fertilitu</w:t>
      </w:r>
      <w:r w:rsidR="00F546DE" w:rsidRPr="00007196">
        <w:t>.</w:t>
      </w:r>
    </w:p>
    <w:p w:rsidR="00812D16" w:rsidRPr="00007196" w:rsidRDefault="00812D16" w:rsidP="002B7B74">
      <w:pPr>
        <w:spacing w:line="240" w:lineRule="auto"/>
      </w:pPr>
    </w:p>
    <w:p w:rsidR="00812D16" w:rsidRPr="00007196" w:rsidRDefault="00812D16" w:rsidP="002B7B74">
      <w:pPr>
        <w:spacing w:line="240" w:lineRule="auto"/>
      </w:pPr>
    </w:p>
    <w:p w:rsidR="00812D16" w:rsidRPr="00007196" w:rsidRDefault="00812D16" w:rsidP="00042751">
      <w:pPr>
        <w:keepNext/>
        <w:numPr>
          <w:ilvl w:val="0"/>
          <w:numId w:val="30"/>
        </w:numPr>
        <w:suppressAutoHyphens/>
        <w:spacing w:line="240" w:lineRule="auto"/>
        <w:rPr>
          <w:b/>
        </w:rPr>
      </w:pPr>
      <w:r w:rsidRPr="00007196">
        <w:rPr>
          <w:b/>
        </w:rPr>
        <w:t>FARMACEUTICKÉ INFORMÁCIE</w:t>
      </w:r>
    </w:p>
    <w:p w:rsidR="00812D16" w:rsidRPr="00007196" w:rsidRDefault="00812D16" w:rsidP="002B7B74">
      <w:pPr>
        <w:keepNext/>
        <w:spacing w:line="240" w:lineRule="auto"/>
      </w:pPr>
    </w:p>
    <w:p w:rsidR="00812D16" w:rsidRPr="00007196" w:rsidRDefault="00812D16" w:rsidP="00042751">
      <w:pPr>
        <w:keepNext/>
        <w:numPr>
          <w:ilvl w:val="1"/>
          <w:numId w:val="30"/>
        </w:numPr>
        <w:spacing w:line="240" w:lineRule="auto"/>
      </w:pPr>
      <w:r w:rsidRPr="00007196">
        <w:rPr>
          <w:b/>
        </w:rPr>
        <w:t>Zoznam pomocných látok</w:t>
      </w:r>
    </w:p>
    <w:p w:rsidR="00812D16" w:rsidRPr="00007196" w:rsidRDefault="00812D16" w:rsidP="002B7B74">
      <w:pPr>
        <w:keepNext/>
        <w:spacing w:line="240" w:lineRule="auto"/>
        <w:rPr>
          <w:i/>
        </w:rPr>
      </w:pPr>
    </w:p>
    <w:p w:rsidR="0001255C" w:rsidRPr="003533C9" w:rsidRDefault="00CD6444" w:rsidP="00CD6444">
      <w:pPr>
        <w:ind w:left="3" w:right="6285"/>
      </w:pPr>
      <w:r w:rsidRPr="003533C9">
        <w:rPr>
          <w:u w:val="single" w:color="000000"/>
        </w:rPr>
        <w:t>Jadro tablety</w:t>
      </w:r>
    </w:p>
    <w:p w:rsidR="00B83900" w:rsidRPr="00007196" w:rsidRDefault="00CD6444" w:rsidP="008A3258">
      <w:pPr>
        <w:spacing w:line="240" w:lineRule="auto"/>
      </w:pPr>
      <w:r w:rsidRPr="00007196">
        <w:t>mikrokryštalická celulóza</w:t>
      </w:r>
    </w:p>
    <w:p w:rsidR="00B83900" w:rsidRPr="00007196" w:rsidRDefault="00B83900" w:rsidP="008A3258">
      <w:pPr>
        <w:spacing w:line="240" w:lineRule="auto"/>
      </w:pPr>
      <w:r w:rsidRPr="00007196">
        <w:t>krospovidón</w:t>
      </w:r>
    </w:p>
    <w:p w:rsidR="00B83900" w:rsidRPr="00007196" w:rsidRDefault="000C6147" w:rsidP="008A3258">
      <w:pPr>
        <w:spacing w:line="240" w:lineRule="auto"/>
      </w:pPr>
      <w:r w:rsidRPr="00007196">
        <w:t>stearan horečnatý</w:t>
      </w:r>
    </w:p>
    <w:p w:rsidR="00B83900" w:rsidRPr="00007196" w:rsidRDefault="00B83900" w:rsidP="008A3258">
      <w:pPr>
        <w:spacing w:line="240" w:lineRule="auto"/>
      </w:pPr>
      <w:r w:rsidRPr="00007196">
        <w:t>koloidný bezvodý oxid kremičitý</w:t>
      </w:r>
    </w:p>
    <w:p w:rsidR="00B83900" w:rsidRPr="00007196" w:rsidRDefault="00B83900" w:rsidP="008A3258">
      <w:pPr>
        <w:spacing w:line="240" w:lineRule="auto"/>
      </w:pPr>
      <w:r w:rsidRPr="00007196">
        <w:t>mastenec</w:t>
      </w:r>
    </w:p>
    <w:p w:rsidR="00CD6444" w:rsidRPr="003533C9" w:rsidRDefault="00CD6444" w:rsidP="00CD6444">
      <w:pPr>
        <w:spacing w:line="259" w:lineRule="auto"/>
        <w:ind w:left="7"/>
      </w:pPr>
    </w:p>
    <w:p w:rsidR="00CD6444" w:rsidRPr="00007196" w:rsidRDefault="00CD6444" w:rsidP="00CD6444">
      <w:pPr>
        <w:pStyle w:val="Nadpis2"/>
        <w:ind w:left="2"/>
      </w:pPr>
      <w:r w:rsidRPr="00007196">
        <w:t>Film tablety</w:t>
      </w:r>
    </w:p>
    <w:p w:rsidR="00CD6444" w:rsidRPr="00007196" w:rsidRDefault="00CD6444" w:rsidP="008A3258">
      <w:pPr>
        <w:spacing w:line="240" w:lineRule="auto"/>
      </w:pPr>
      <w:r w:rsidRPr="00007196">
        <w:t>hypromelóz</w:t>
      </w:r>
      <w:r w:rsidR="00B83900" w:rsidRPr="00007196">
        <w:t>a</w:t>
      </w:r>
    </w:p>
    <w:p w:rsidR="000C6147" w:rsidRPr="00007196" w:rsidRDefault="00CD6444" w:rsidP="008A3258">
      <w:pPr>
        <w:spacing w:line="240" w:lineRule="auto"/>
      </w:pPr>
      <w:r w:rsidRPr="00007196">
        <w:t xml:space="preserve">oxid titaničitý </w:t>
      </w:r>
      <w:r w:rsidR="000C6147" w:rsidRPr="00007196">
        <w:t>(E171)</w:t>
      </w:r>
    </w:p>
    <w:p w:rsidR="00B83900" w:rsidRPr="00007196" w:rsidRDefault="00CD6444" w:rsidP="008A3258">
      <w:pPr>
        <w:spacing w:line="240" w:lineRule="auto"/>
      </w:pPr>
      <w:r w:rsidRPr="00007196">
        <w:t>makrogol</w:t>
      </w:r>
    </w:p>
    <w:p w:rsidR="00CD6444" w:rsidRPr="00007196" w:rsidRDefault="00CD6444" w:rsidP="008A3258">
      <w:pPr>
        <w:spacing w:line="240" w:lineRule="auto"/>
      </w:pPr>
      <w:r w:rsidRPr="00007196">
        <w:t>polysorbát 80</w:t>
      </w:r>
    </w:p>
    <w:p w:rsidR="00812D16" w:rsidRPr="00007196" w:rsidRDefault="00812D16" w:rsidP="002B7B74">
      <w:pPr>
        <w:spacing w:line="240" w:lineRule="auto"/>
      </w:pPr>
    </w:p>
    <w:p w:rsidR="00812D16" w:rsidRPr="00007196" w:rsidRDefault="00812D16" w:rsidP="00042751">
      <w:pPr>
        <w:keepNext/>
        <w:numPr>
          <w:ilvl w:val="1"/>
          <w:numId w:val="30"/>
        </w:numPr>
        <w:spacing w:line="240" w:lineRule="auto"/>
      </w:pPr>
      <w:r w:rsidRPr="00007196">
        <w:rPr>
          <w:b/>
        </w:rPr>
        <w:t>Inkompatibility</w:t>
      </w:r>
    </w:p>
    <w:p w:rsidR="00812D16" w:rsidRPr="00007196" w:rsidRDefault="00812D16" w:rsidP="002451B3">
      <w:pPr>
        <w:keepNext/>
        <w:spacing w:line="240" w:lineRule="auto"/>
      </w:pPr>
    </w:p>
    <w:p w:rsidR="00812D16" w:rsidRPr="00007196" w:rsidRDefault="00812D16" w:rsidP="0001255C">
      <w:pPr>
        <w:spacing w:line="240" w:lineRule="auto"/>
      </w:pPr>
      <w:r w:rsidRPr="00007196">
        <w:t>Neaplikovateľné</w:t>
      </w:r>
      <w:r w:rsidR="0001255C" w:rsidRPr="00007196">
        <w:t>.</w:t>
      </w:r>
    </w:p>
    <w:p w:rsidR="00812D16" w:rsidRPr="00007196" w:rsidRDefault="00812D16" w:rsidP="002B7B74">
      <w:pPr>
        <w:spacing w:line="240" w:lineRule="auto"/>
      </w:pPr>
    </w:p>
    <w:p w:rsidR="00812D16" w:rsidRPr="00007196" w:rsidRDefault="00812D16" w:rsidP="00042751">
      <w:pPr>
        <w:keepNext/>
        <w:numPr>
          <w:ilvl w:val="1"/>
          <w:numId w:val="30"/>
        </w:numPr>
        <w:spacing w:line="240" w:lineRule="auto"/>
      </w:pPr>
      <w:r w:rsidRPr="00007196">
        <w:rPr>
          <w:b/>
        </w:rPr>
        <w:t>Čas použiteľnosti</w:t>
      </w:r>
    </w:p>
    <w:p w:rsidR="00812D16" w:rsidRPr="00007196" w:rsidRDefault="00812D16" w:rsidP="002451B3">
      <w:pPr>
        <w:keepNext/>
        <w:spacing w:line="240" w:lineRule="auto"/>
      </w:pPr>
    </w:p>
    <w:p w:rsidR="0001255C" w:rsidRPr="00007196" w:rsidRDefault="0001255C" w:rsidP="002B7B74">
      <w:pPr>
        <w:spacing w:line="240" w:lineRule="auto"/>
      </w:pPr>
      <w:r w:rsidRPr="00007196">
        <w:t>Blistre: 2 roky.</w:t>
      </w:r>
    </w:p>
    <w:p w:rsidR="00812D16" w:rsidRPr="00007196" w:rsidRDefault="00CD6444" w:rsidP="002B7B74">
      <w:pPr>
        <w:spacing w:line="240" w:lineRule="auto"/>
      </w:pPr>
      <w:r w:rsidRPr="00007196">
        <w:t>Fľašk</w:t>
      </w:r>
      <w:r w:rsidR="000C6147" w:rsidRPr="00007196">
        <w:t>y</w:t>
      </w:r>
      <w:r w:rsidRPr="00007196">
        <w:t xml:space="preserve">: 2 roky. </w:t>
      </w:r>
      <w:r w:rsidR="0001255C" w:rsidRPr="00007196">
        <w:t>Čas použiteľnosti po prvom otvorení je 90 dní.</w:t>
      </w:r>
    </w:p>
    <w:p w:rsidR="00812D16" w:rsidRPr="00007196" w:rsidRDefault="00812D16" w:rsidP="002B7B74">
      <w:pPr>
        <w:spacing w:line="240" w:lineRule="auto"/>
      </w:pPr>
    </w:p>
    <w:p w:rsidR="00812D16" w:rsidRPr="00007196" w:rsidRDefault="00812D16" w:rsidP="00042751">
      <w:pPr>
        <w:keepNext/>
        <w:numPr>
          <w:ilvl w:val="1"/>
          <w:numId w:val="30"/>
        </w:numPr>
        <w:spacing w:line="240" w:lineRule="auto"/>
        <w:rPr>
          <w:b/>
        </w:rPr>
      </w:pPr>
      <w:r w:rsidRPr="00007196">
        <w:rPr>
          <w:b/>
        </w:rPr>
        <w:t>Špeciálne upozornenia na uchovávanie</w:t>
      </w:r>
    </w:p>
    <w:p w:rsidR="005108A3" w:rsidRPr="00007196" w:rsidRDefault="005108A3" w:rsidP="002451B3">
      <w:pPr>
        <w:keepNext/>
        <w:spacing w:line="240" w:lineRule="auto"/>
      </w:pPr>
    </w:p>
    <w:p w:rsidR="00812D16" w:rsidRPr="00007196" w:rsidRDefault="00CD6444" w:rsidP="002B7B74">
      <w:pPr>
        <w:spacing w:line="240" w:lineRule="auto"/>
      </w:pPr>
      <w:r w:rsidRPr="00007196">
        <w:t>Tento liek nevyžaduje žiadne zvláštne teplotné požiadavky na uchovávanie. Uchovávajte v pôvodnom obale na ochranu pred svetlom.</w:t>
      </w:r>
    </w:p>
    <w:p w:rsidR="00812D16" w:rsidRPr="00007196" w:rsidRDefault="00812D16" w:rsidP="002B7B74">
      <w:pPr>
        <w:spacing w:line="240" w:lineRule="auto"/>
      </w:pPr>
    </w:p>
    <w:p w:rsidR="00812D16" w:rsidRPr="00007196" w:rsidRDefault="00812D16" w:rsidP="00042751">
      <w:pPr>
        <w:keepNext/>
        <w:numPr>
          <w:ilvl w:val="1"/>
          <w:numId w:val="30"/>
        </w:numPr>
        <w:tabs>
          <w:tab w:val="clear" w:pos="567"/>
        </w:tabs>
        <w:spacing w:line="240" w:lineRule="auto"/>
        <w:ind w:left="567" w:hanging="567"/>
        <w:rPr>
          <w:b/>
        </w:rPr>
      </w:pPr>
      <w:r w:rsidRPr="00007196">
        <w:rPr>
          <w:b/>
        </w:rPr>
        <w:t>Druh obalu a</w:t>
      </w:r>
      <w:r w:rsidR="00851AE0" w:rsidRPr="00007196">
        <w:rPr>
          <w:b/>
        </w:rPr>
        <w:t> </w:t>
      </w:r>
      <w:r w:rsidR="0001255C" w:rsidRPr="00007196">
        <w:rPr>
          <w:b/>
        </w:rPr>
        <w:t>obsah balenia</w:t>
      </w:r>
    </w:p>
    <w:p w:rsidR="0001255C" w:rsidRPr="00007196" w:rsidRDefault="0001255C" w:rsidP="002451B3">
      <w:pPr>
        <w:keepNext/>
        <w:spacing w:line="240" w:lineRule="auto"/>
      </w:pPr>
    </w:p>
    <w:p w:rsidR="00CD6444" w:rsidRPr="00007196" w:rsidRDefault="00CD6444" w:rsidP="008A3258">
      <w:pPr>
        <w:spacing w:line="240" w:lineRule="auto"/>
      </w:pPr>
      <w:r w:rsidRPr="00007196">
        <w:t>Blistre z PVC/PVdC/hliníkovej fólie.</w:t>
      </w:r>
    </w:p>
    <w:p w:rsidR="00CD6444" w:rsidRPr="00007196" w:rsidRDefault="00CD6444" w:rsidP="008A3258">
      <w:pPr>
        <w:spacing w:line="240" w:lineRule="auto"/>
      </w:pPr>
      <w:r w:rsidRPr="00007196">
        <w:t>Veľkosť balenia: 30, 30 x 1 (perforované blistre s jednotlivými dávkami) alebo 90 tabliet</w:t>
      </w:r>
    </w:p>
    <w:p w:rsidR="00CD6444" w:rsidRPr="00007196" w:rsidRDefault="00CD6444" w:rsidP="008A3258">
      <w:pPr>
        <w:spacing w:line="240" w:lineRule="auto"/>
      </w:pPr>
      <w:r w:rsidRPr="00007196">
        <w:t>Multibalenia: 90 (3 balenia po 30) tabliet</w:t>
      </w:r>
    </w:p>
    <w:p w:rsidR="005963C1" w:rsidRDefault="005963C1" w:rsidP="008A3258">
      <w:pPr>
        <w:spacing w:line="240" w:lineRule="auto"/>
      </w:pPr>
    </w:p>
    <w:p w:rsidR="005963C1" w:rsidRDefault="005963C1" w:rsidP="008A3258">
      <w:pPr>
        <w:spacing w:line="240" w:lineRule="auto"/>
      </w:pPr>
      <w:r w:rsidRPr="005963C1">
        <w:t>Fľaša z</w:t>
      </w:r>
      <w:r>
        <w:t> </w:t>
      </w:r>
      <w:r w:rsidRPr="005963C1">
        <w:t>polyetylénu s</w:t>
      </w:r>
      <w:r>
        <w:t> </w:t>
      </w:r>
      <w:r w:rsidRPr="005963C1">
        <w:t>vysokou hustotou (HDPE) s</w:t>
      </w:r>
      <w:r>
        <w:t> </w:t>
      </w:r>
      <w:r w:rsidRPr="005963C1">
        <w:t xml:space="preserve">bielym nepriehľadným polypropylénovým uzáverom </w:t>
      </w:r>
      <w:r>
        <w:t>bezpečným pred</w:t>
      </w:r>
      <w:r w:rsidRPr="005963C1">
        <w:t xml:space="preserve"> deťmi a</w:t>
      </w:r>
      <w:r>
        <w:t> </w:t>
      </w:r>
      <w:r w:rsidRPr="005963C1">
        <w:t>hliníkovou indukčnou tesniacou fóliou.</w:t>
      </w:r>
    </w:p>
    <w:p w:rsidR="00CD6444" w:rsidRPr="00007196" w:rsidRDefault="005963C1" w:rsidP="008A3258">
      <w:pPr>
        <w:spacing w:line="240" w:lineRule="auto"/>
      </w:pPr>
      <w:r>
        <w:t>Veľkosť balenia:</w:t>
      </w:r>
      <w:r>
        <w:tab/>
        <w:t>30 tabliet</w:t>
      </w:r>
    </w:p>
    <w:p w:rsidR="005963C1" w:rsidRDefault="005963C1" w:rsidP="002B7B74">
      <w:pPr>
        <w:spacing w:line="240" w:lineRule="auto"/>
      </w:pPr>
    </w:p>
    <w:p w:rsidR="00812D16" w:rsidRPr="00007196" w:rsidRDefault="00812D16" w:rsidP="002B7B74">
      <w:pPr>
        <w:spacing w:line="240" w:lineRule="auto"/>
      </w:pPr>
      <w:r w:rsidRPr="00007196">
        <w:t>Na trh nemusia byť u</w:t>
      </w:r>
      <w:r w:rsidR="00CD6444" w:rsidRPr="00007196">
        <w:t>vedené všetky veľkosti balenia.</w:t>
      </w:r>
    </w:p>
    <w:p w:rsidR="00812D16" w:rsidRPr="00007196" w:rsidRDefault="00812D16" w:rsidP="002B7B74">
      <w:pPr>
        <w:spacing w:line="240" w:lineRule="auto"/>
      </w:pPr>
    </w:p>
    <w:p w:rsidR="00812D16" w:rsidRPr="00007196" w:rsidRDefault="00812D16" w:rsidP="00042751">
      <w:pPr>
        <w:keepNext/>
        <w:numPr>
          <w:ilvl w:val="1"/>
          <w:numId w:val="30"/>
        </w:numPr>
        <w:spacing w:line="240" w:lineRule="auto"/>
      </w:pPr>
      <w:bookmarkStart w:id="0" w:name="OLE_LINK1"/>
      <w:r w:rsidRPr="00007196">
        <w:rPr>
          <w:b/>
        </w:rPr>
        <w:t>Špeciálne opatrenia na likvidáciu</w:t>
      </w:r>
    </w:p>
    <w:p w:rsidR="00812D16" w:rsidRPr="00007196" w:rsidRDefault="00812D16" w:rsidP="002451B3">
      <w:pPr>
        <w:keepNext/>
        <w:spacing w:line="240" w:lineRule="auto"/>
      </w:pPr>
    </w:p>
    <w:p w:rsidR="00812D16" w:rsidRPr="00007196" w:rsidRDefault="00812D16" w:rsidP="002B7B74">
      <w:pPr>
        <w:spacing w:line="240" w:lineRule="auto"/>
      </w:pPr>
      <w:r w:rsidRPr="00007196">
        <w:t>Všetok nepoužitý liek alebo odpad vzniknutý z</w:t>
      </w:r>
      <w:r w:rsidR="00851AE0" w:rsidRPr="00007196">
        <w:t> </w:t>
      </w:r>
      <w:r w:rsidRPr="00007196">
        <w:t>lieku sa má zlikvidovať v súlade s národnými požiadavkami.</w:t>
      </w:r>
    </w:p>
    <w:bookmarkEnd w:id="0"/>
    <w:p w:rsidR="00812D16" w:rsidRPr="00007196" w:rsidRDefault="00812D16" w:rsidP="002B7B74">
      <w:pPr>
        <w:spacing w:line="240" w:lineRule="auto"/>
      </w:pPr>
    </w:p>
    <w:p w:rsidR="00812D16" w:rsidRPr="00007196" w:rsidRDefault="00812D16" w:rsidP="002B7B74">
      <w:pPr>
        <w:spacing w:line="240" w:lineRule="auto"/>
      </w:pPr>
    </w:p>
    <w:p w:rsidR="00812D16" w:rsidRPr="00007196" w:rsidRDefault="00812D16" w:rsidP="00042751">
      <w:pPr>
        <w:keepNext/>
        <w:numPr>
          <w:ilvl w:val="0"/>
          <w:numId w:val="30"/>
        </w:numPr>
        <w:spacing w:line="240" w:lineRule="auto"/>
      </w:pPr>
      <w:r w:rsidRPr="00007196">
        <w:rPr>
          <w:b/>
        </w:rPr>
        <w:lastRenderedPageBreak/>
        <w:t>DRŽITEĽ ROZHODNUTIA O REGISTRÁCII</w:t>
      </w:r>
    </w:p>
    <w:p w:rsidR="00812D16" w:rsidRPr="00007196" w:rsidRDefault="00812D16" w:rsidP="002B7B74">
      <w:pPr>
        <w:keepNext/>
        <w:spacing w:line="240" w:lineRule="auto"/>
      </w:pPr>
    </w:p>
    <w:p w:rsidR="009E035D" w:rsidRPr="00FF3B27" w:rsidRDefault="009E035D" w:rsidP="009E035D">
      <w:r w:rsidRPr="00FF3B27">
        <w:t>Mylan S.A.S.</w:t>
      </w:r>
    </w:p>
    <w:p w:rsidR="009E035D" w:rsidRDefault="009E035D" w:rsidP="009E035D">
      <w:r>
        <w:t>117 allée des Parcs</w:t>
      </w:r>
    </w:p>
    <w:p w:rsidR="009E035D" w:rsidRDefault="009E035D" w:rsidP="009E035D">
      <w:r>
        <w:t>69800 Saint Priest</w:t>
      </w:r>
    </w:p>
    <w:p w:rsidR="009E035D" w:rsidRDefault="009E035D" w:rsidP="009E035D">
      <w:r>
        <w:t>Francúzsko</w:t>
      </w:r>
    </w:p>
    <w:p w:rsidR="00A22E32" w:rsidRPr="00007196" w:rsidRDefault="00A22E32" w:rsidP="002B7B74">
      <w:pPr>
        <w:spacing w:line="240" w:lineRule="auto"/>
      </w:pPr>
    </w:p>
    <w:p w:rsidR="00812D16" w:rsidRPr="00007196" w:rsidRDefault="00812D16" w:rsidP="002B7B74">
      <w:pPr>
        <w:spacing w:line="240" w:lineRule="auto"/>
      </w:pPr>
    </w:p>
    <w:p w:rsidR="00812D16" w:rsidRPr="00007196" w:rsidRDefault="00812D16" w:rsidP="00042751">
      <w:pPr>
        <w:keepNext/>
        <w:numPr>
          <w:ilvl w:val="0"/>
          <w:numId w:val="30"/>
        </w:numPr>
        <w:spacing w:line="240" w:lineRule="auto"/>
        <w:rPr>
          <w:b/>
        </w:rPr>
      </w:pPr>
      <w:r w:rsidRPr="00007196">
        <w:rPr>
          <w:b/>
        </w:rPr>
        <w:t>REGISTRAČNÉ ČÍSLO</w:t>
      </w:r>
    </w:p>
    <w:p w:rsidR="00804990" w:rsidRPr="00007196" w:rsidRDefault="00804990" w:rsidP="002B7B74">
      <w:pPr>
        <w:keepNext/>
        <w:spacing w:line="240" w:lineRule="auto"/>
      </w:pPr>
    </w:p>
    <w:p w:rsidR="00E90874" w:rsidRPr="00007196" w:rsidRDefault="00E90874" w:rsidP="002B7B74">
      <w:pPr>
        <w:keepNext/>
        <w:spacing w:line="240" w:lineRule="auto"/>
      </w:pPr>
      <w:r w:rsidRPr="00007196">
        <w:t>42/0316/17-S</w:t>
      </w:r>
    </w:p>
    <w:p w:rsidR="00E90874" w:rsidRPr="00007196" w:rsidRDefault="00E90874" w:rsidP="002B7B74">
      <w:pPr>
        <w:keepNext/>
        <w:spacing w:line="240" w:lineRule="auto"/>
      </w:pPr>
    </w:p>
    <w:p w:rsidR="009B23D5" w:rsidRPr="00007196" w:rsidRDefault="009B23D5" w:rsidP="002B7B74">
      <w:pPr>
        <w:spacing w:line="240" w:lineRule="auto"/>
      </w:pPr>
    </w:p>
    <w:p w:rsidR="00812D16" w:rsidRPr="00007196" w:rsidRDefault="00812D16" w:rsidP="00042751">
      <w:pPr>
        <w:keepNext/>
        <w:numPr>
          <w:ilvl w:val="0"/>
          <w:numId w:val="30"/>
        </w:numPr>
        <w:spacing w:line="240" w:lineRule="auto"/>
      </w:pPr>
      <w:r w:rsidRPr="00007196">
        <w:rPr>
          <w:b/>
        </w:rPr>
        <w:t>DÁTUM PRVEJ REGISTRÁCIE/PREDĹŽENIA REGISTRÁCIE</w:t>
      </w:r>
    </w:p>
    <w:p w:rsidR="00812D16" w:rsidRPr="00007196" w:rsidRDefault="00812D16" w:rsidP="002B7B74">
      <w:pPr>
        <w:keepNext/>
        <w:spacing w:line="240" w:lineRule="auto"/>
        <w:rPr>
          <w:i/>
        </w:rPr>
      </w:pPr>
    </w:p>
    <w:p w:rsidR="00812D16" w:rsidRPr="00007196" w:rsidRDefault="00812D16" w:rsidP="002B7B74">
      <w:pPr>
        <w:keepNext/>
        <w:spacing w:line="240" w:lineRule="auto"/>
      </w:pPr>
      <w:r w:rsidRPr="00007196">
        <w:t xml:space="preserve">Dátum prvej registrácie: </w:t>
      </w:r>
      <w:r w:rsidR="001748DA">
        <w:t>9. novembra 2017</w:t>
      </w:r>
    </w:p>
    <w:p w:rsidR="00812D16" w:rsidRPr="00007196" w:rsidRDefault="00812D16" w:rsidP="002B7B74">
      <w:pPr>
        <w:spacing w:line="240" w:lineRule="auto"/>
      </w:pPr>
    </w:p>
    <w:p w:rsidR="00812D16" w:rsidRPr="00007196" w:rsidRDefault="00812D16" w:rsidP="002B7B74">
      <w:pPr>
        <w:spacing w:line="240" w:lineRule="auto"/>
      </w:pPr>
    </w:p>
    <w:p w:rsidR="00812D16" w:rsidRPr="00007196" w:rsidRDefault="00812D16" w:rsidP="00042751">
      <w:pPr>
        <w:keepNext/>
        <w:numPr>
          <w:ilvl w:val="0"/>
          <w:numId w:val="30"/>
        </w:numPr>
        <w:spacing w:line="240" w:lineRule="auto"/>
        <w:rPr>
          <w:b/>
        </w:rPr>
      </w:pPr>
      <w:r w:rsidRPr="00007196">
        <w:rPr>
          <w:b/>
        </w:rPr>
        <w:t>DÁTUM REVÍZIE TEXTU</w:t>
      </w:r>
    </w:p>
    <w:p w:rsidR="002451B3" w:rsidRPr="00007196" w:rsidRDefault="002451B3" w:rsidP="002B7B74">
      <w:pPr>
        <w:keepNext/>
        <w:spacing w:line="240" w:lineRule="auto"/>
      </w:pPr>
    </w:p>
    <w:p w:rsidR="002451B3" w:rsidRPr="00007196" w:rsidRDefault="00804990" w:rsidP="002451B3">
      <w:pPr>
        <w:spacing w:line="240" w:lineRule="auto"/>
      </w:pPr>
      <w:r w:rsidRPr="00007196">
        <w:t>1</w:t>
      </w:r>
      <w:r w:rsidR="001748DA">
        <w:t>2</w:t>
      </w:r>
      <w:r w:rsidRPr="00007196">
        <w:t>/2017</w:t>
      </w:r>
    </w:p>
    <w:p w:rsidR="0088370A" w:rsidRDefault="0088370A" w:rsidP="009173DF">
      <w:pPr>
        <w:spacing w:line="240" w:lineRule="auto"/>
      </w:pPr>
    </w:p>
    <w:p w:rsidR="009173DF" w:rsidRDefault="009173DF" w:rsidP="009173DF">
      <w:pPr>
        <w:spacing w:line="240" w:lineRule="auto"/>
      </w:pPr>
    </w:p>
    <w:sectPr w:rsidR="009173DF" w:rsidSect="00680B2D">
      <w:footerReference w:type="default" r:id="rId9"/>
      <w:headerReference w:type="first" r:id="rId10"/>
      <w:footerReference w:type="first" r:id="rId11"/>
      <w:pgSz w:w="11907" w:h="16840" w:code="9"/>
      <w:pgMar w:top="1134" w:right="1418" w:bottom="1134" w:left="1418" w:header="737" w:footer="737"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37A" w:rsidRDefault="00FB137A">
      <w:r>
        <w:separator/>
      </w:r>
    </w:p>
  </w:endnote>
  <w:endnote w:type="continuationSeparator" w:id="0">
    <w:p w:rsidR="00FB137A" w:rsidRDefault="00FB137A">
      <w:r>
        <w:continuationSeparator/>
      </w:r>
    </w:p>
  </w:endnote>
  <w:endnote w:type="continuationNotice" w:id="1">
    <w:p w:rsidR="00FB137A" w:rsidRDefault="00FB137A">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Segoe UI Symbol">
    <w:charset w:val="00"/>
    <w:family w:val="swiss"/>
    <w:pitch w:val="variable"/>
    <w:sig w:usb0="8000006F" w:usb1="1200FBEF" w:usb2="0064C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altName w:val="Segoe UI"/>
    <w:charset w:val="EE"/>
    <w:family w:val="swiss"/>
    <w:pitch w:val="variable"/>
    <w:sig w:usb0="00000001" w:usb1="4000207B" w:usb2="00000000" w:usb3="00000000" w:csb0="000001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altName w:val="Verdana"/>
    <w:panose1 w:val="020B0604030504040204"/>
    <w:charset w:val="EE"/>
    <w:family w:val="swiss"/>
    <w:pitch w:val="variable"/>
    <w:sig w:usb0="20000287" w:usb1="00000000" w:usb2="00000000" w:usb3="00000000" w:csb0="0000019F" w:csb1="00000000"/>
  </w:font>
  <w:font w:name="DengXian">
    <w:altName w:val="等线"/>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Frutiger">
    <w:altName w:val="Frutiger"/>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BE" w:rsidRPr="00A72672" w:rsidRDefault="00392C0D" w:rsidP="00085939">
    <w:pPr>
      <w:pStyle w:val="Pta"/>
      <w:tabs>
        <w:tab w:val="right" w:pos="8931"/>
      </w:tabs>
      <w:ind w:right="96"/>
      <w:jc w:val="center"/>
    </w:pPr>
    <w:r w:rsidRPr="00A72672">
      <w:fldChar w:fldCharType="begin"/>
    </w:r>
    <w:r w:rsidR="00B423BE" w:rsidRPr="00A72672">
      <w:instrText xml:space="preserve"> EQ </w:instrText>
    </w:r>
    <w:r w:rsidRPr="00A72672">
      <w:fldChar w:fldCharType="end"/>
    </w:r>
    <w:r w:rsidRPr="00A72672">
      <w:rPr>
        <w:rStyle w:val="slostrany"/>
      </w:rPr>
      <w:fldChar w:fldCharType="begin"/>
    </w:r>
    <w:r w:rsidR="00B423BE" w:rsidRPr="00A72672">
      <w:rPr>
        <w:rStyle w:val="slostrany"/>
      </w:rPr>
      <w:instrText xml:space="preserve">PAGE  </w:instrText>
    </w:r>
    <w:r w:rsidRPr="00A72672">
      <w:rPr>
        <w:rStyle w:val="slostrany"/>
      </w:rPr>
      <w:fldChar w:fldCharType="separate"/>
    </w:r>
    <w:r w:rsidR="00E853E3">
      <w:rPr>
        <w:rStyle w:val="slostrany"/>
      </w:rPr>
      <w:t>23</w:t>
    </w:r>
    <w:r w:rsidRPr="00A72672">
      <w:rPr>
        <w:rStyle w:val="slostrany"/>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BE" w:rsidRDefault="00392C0D" w:rsidP="00085939">
    <w:pPr>
      <w:pStyle w:val="Pta"/>
      <w:tabs>
        <w:tab w:val="right" w:pos="8931"/>
      </w:tabs>
      <w:ind w:right="96"/>
      <w:jc w:val="center"/>
    </w:pPr>
    <w:r>
      <w:fldChar w:fldCharType="begin"/>
    </w:r>
    <w:r w:rsidR="00B423BE">
      <w:instrText xml:space="preserve"> EQ </w:instrText>
    </w:r>
    <w:r>
      <w:fldChar w:fldCharType="end"/>
    </w:r>
    <w:r w:rsidRPr="00BF5AB0">
      <w:rPr>
        <w:rStyle w:val="slostrany"/>
      </w:rPr>
      <w:fldChar w:fldCharType="begin"/>
    </w:r>
    <w:r w:rsidR="00B423BE" w:rsidRPr="00A72672">
      <w:rPr>
        <w:rStyle w:val="slostrany"/>
      </w:rPr>
      <w:instrText xml:space="preserve">PAGE  </w:instrText>
    </w:r>
    <w:r w:rsidRPr="00BF5AB0">
      <w:rPr>
        <w:rStyle w:val="slostrany"/>
      </w:rPr>
      <w:fldChar w:fldCharType="separate"/>
    </w:r>
    <w:r w:rsidR="00E853E3">
      <w:rPr>
        <w:rStyle w:val="slostrany"/>
      </w:rPr>
      <w:t>1</w:t>
    </w:r>
    <w:r w:rsidRPr="00BF5AB0">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37A" w:rsidRDefault="00FB137A">
      <w:r>
        <w:separator/>
      </w:r>
    </w:p>
  </w:footnote>
  <w:footnote w:type="continuationSeparator" w:id="0">
    <w:p w:rsidR="00FB137A" w:rsidRDefault="00FB137A">
      <w:r>
        <w:continuationSeparator/>
      </w:r>
    </w:p>
  </w:footnote>
  <w:footnote w:type="continuationNotice" w:id="1">
    <w:p w:rsidR="00FB137A" w:rsidRDefault="00FB137A">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BE" w:rsidRPr="00680B2D" w:rsidRDefault="00B423BE">
    <w:pPr>
      <w:pStyle w:val="Hlavika"/>
      <w:rPr>
        <w:rFonts w:ascii="Times New Roman" w:hAnsi="Times New Roman"/>
        <w:sz w:val="18"/>
        <w:szCs w:val="18"/>
      </w:rPr>
    </w:pPr>
    <w:r w:rsidRPr="00680B2D">
      <w:rPr>
        <w:rFonts w:ascii="Times New Roman" w:hAnsi="Times New Roman"/>
        <w:sz w:val="18"/>
        <w:szCs w:val="18"/>
      </w:rPr>
      <w:t>Schválený text k rozhodnutiu o </w:t>
    </w:r>
    <w:r w:rsidR="009E035D">
      <w:rPr>
        <w:rFonts w:ascii="Times New Roman" w:hAnsi="Times New Roman"/>
        <w:sz w:val="18"/>
        <w:szCs w:val="18"/>
      </w:rPr>
      <w:t>prevode</w:t>
    </w:r>
    <w:r w:rsidRPr="00680B2D">
      <w:rPr>
        <w:rFonts w:ascii="Times New Roman" w:hAnsi="Times New Roman"/>
        <w:sz w:val="18"/>
        <w:szCs w:val="18"/>
      </w:rPr>
      <w:t>, ev. č</w:t>
    </w:r>
    <w:r>
      <w:rPr>
        <w:rFonts w:ascii="Times New Roman" w:hAnsi="Times New Roman"/>
        <w:sz w:val="18"/>
        <w:szCs w:val="18"/>
      </w:rPr>
      <w:t>.</w:t>
    </w:r>
    <w:r w:rsidRPr="00680B2D">
      <w:rPr>
        <w:rFonts w:ascii="Times New Roman" w:hAnsi="Times New Roman"/>
        <w:sz w:val="18"/>
        <w:szCs w:val="18"/>
      </w:rPr>
      <w:t xml:space="preserve">: </w:t>
    </w:r>
    <w:r w:rsidRPr="00E623FC">
      <w:rPr>
        <w:rFonts w:ascii="Times New Roman" w:hAnsi="Times New Roman"/>
        <w:sz w:val="18"/>
        <w:szCs w:val="18"/>
      </w:rPr>
      <w:t>2</w:t>
    </w:r>
    <w:r w:rsidR="0002360D">
      <w:rPr>
        <w:rFonts w:ascii="Times New Roman" w:hAnsi="Times New Roman"/>
        <w:sz w:val="18"/>
        <w:szCs w:val="18"/>
      </w:rPr>
      <w:t>017/06002-TR</w:t>
    </w:r>
    <w:bookmarkStart w:id="1" w:name="_GoBack"/>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9733639"/>
    <w:multiLevelType w:val="hybridMultilevel"/>
    <w:tmpl w:val="BDD62EA0"/>
    <w:lvl w:ilvl="0" w:tplc="3CF4C6F2">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BB55682"/>
    <w:multiLevelType w:val="hybridMultilevel"/>
    <w:tmpl w:val="04EC3B58"/>
    <w:lvl w:ilvl="0" w:tplc="F2B8FC7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32FAC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5EAE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C02C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86EB5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C46F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AEF4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6EA4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EE2F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C80474C"/>
    <w:multiLevelType w:val="hybridMultilevel"/>
    <w:tmpl w:val="EDB4C1C8"/>
    <w:lvl w:ilvl="0" w:tplc="8C8C42F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D673F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74B57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361D5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F63E6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B6435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629FE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1CC86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A4380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0CE314DE"/>
    <w:multiLevelType w:val="hybridMultilevel"/>
    <w:tmpl w:val="6722F7EA"/>
    <w:lvl w:ilvl="0" w:tplc="98D49424">
      <w:start w:val="1"/>
      <w:numFmt w:val="bullet"/>
      <w:lvlText w:val="-"/>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1CD414">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9C44">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3AE544">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9AB19C">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B4CC26">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7EED58">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724F88">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C677E2">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D163CDE"/>
    <w:multiLevelType w:val="hybridMultilevel"/>
    <w:tmpl w:val="900699E4"/>
    <w:lvl w:ilvl="0" w:tplc="6A92C8E4">
      <w:start w:val="1"/>
      <w:numFmt w:val="decimal"/>
      <w:lvlText w:val="%1."/>
      <w:lvlJc w:val="left"/>
      <w:pPr>
        <w:ind w:left="1650" w:hanging="57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95925E1"/>
    <w:multiLevelType w:val="hybridMultilevel"/>
    <w:tmpl w:val="BC0C9D74"/>
    <w:lvl w:ilvl="0" w:tplc="3CF4C6F2">
      <w:start w:val="6"/>
      <w:numFmt w:val="bullet"/>
      <w:lvlText w:val="•"/>
      <w:lvlJc w:val="left"/>
      <w:pPr>
        <w:ind w:left="723"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3" w:hanging="360"/>
      </w:pPr>
      <w:rPr>
        <w:rFonts w:ascii="Courier New" w:hAnsi="Courier New" w:cs="Courier New" w:hint="default"/>
      </w:rPr>
    </w:lvl>
    <w:lvl w:ilvl="2" w:tplc="041B0005" w:tentative="1">
      <w:start w:val="1"/>
      <w:numFmt w:val="bullet"/>
      <w:lvlText w:val=""/>
      <w:lvlJc w:val="left"/>
      <w:pPr>
        <w:ind w:left="2163" w:hanging="360"/>
      </w:pPr>
      <w:rPr>
        <w:rFonts w:ascii="Wingdings" w:hAnsi="Wingdings" w:hint="default"/>
      </w:rPr>
    </w:lvl>
    <w:lvl w:ilvl="3" w:tplc="041B0001" w:tentative="1">
      <w:start w:val="1"/>
      <w:numFmt w:val="bullet"/>
      <w:lvlText w:val=""/>
      <w:lvlJc w:val="left"/>
      <w:pPr>
        <w:ind w:left="2883" w:hanging="360"/>
      </w:pPr>
      <w:rPr>
        <w:rFonts w:ascii="Symbol" w:hAnsi="Symbol" w:hint="default"/>
      </w:rPr>
    </w:lvl>
    <w:lvl w:ilvl="4" w:tplc="041B0003" w:tentative="1">
      <w:start w:val="1"/>
      <w:numFmt w:val="bullet"/>
      <w:lvlText w:val="o"/>
      <w:lvlJc w:val="left"/>
      <w:pPr>
        <w:ind w:left="3603" w:hanging="360"/>
      </w:pPr>
      <w:rPr>
        <w:rFonts w:ascii="Courier New" w:hAnsi="Courier New" w:cs="Courier New" w:hint="default"/>
      </w:rPr>
    </w:lvl>
    <w:lvl w:ilvl="5" w:tplc="041B0005" w:tentative="1">
      <w:start w:val="1"/>
      <w:numFmt w:val="bullet"/>
      <w:lvlText w:val=""/>
      <w:lvlJc w:val="left"/>
      <w:pPr>
        <w:ind w:left="4323" w:hanging="360"/>
      </w:pPr>
      <w:rPr>
        <w:rFonts w:ascii="Wingdings" w:hAnsi="Wingdings" w:hint="default"/>
      </w:rPr>
    </w:lvl>
    <w:lvl w:ilvl="6" w:tplc="041B0001" w:tentative="1">
      <w:start w:val="1"/>
      <w:numFmt w:val="bullet"/>
      <w:lvlText w:val=""/>
      <w:lvlJc w:val="left"/>
      <w:pPr>
        <w:ind w:left="5043" w:hanging="360"/>
      </w:pPr>
      <w:rPr>
        <w:rFonts w:ascii="Symbol" w:hAnsi="Symbol" w:hint="default"/>
      </w:rPr>
    </w:lvl>
    <w:lvl w:ilvl="7" w:tplc="041B0003" w:tentative="1">
      <w:start w:val="1"/>
      <w:numFmt w:val="bullet"/>
      <w:lvlText w:val="o"/>
      <w:lvlJc w:val="left"/>
      <w:pPr>
        <w:ind w:left="5763" w:hanging="360"/>
      </w:pPr>
      <w:rPr>
        <w:rFonts w:ascii="Courier New" w:hAnsi="Courier New" w:cs="Courier New" w:hint="default"/>
      </w:rPr>
    </w:lvl>
    <w:lvl w:ilvl="8" w:tplc="041B0005" w:tentative="1">
      <w:start w:val="1"/>
      <w:numFmt w:val="bullet"/>
      <w:lvlText w:val=""/>
      <w:lvlJc w:val="left"/>
      <w:pPr>
        <w:ind w:left="6483" w:hanging="360"/>
      </w:pPr>
      <w:rPr>
        <w:rFonts w:ascii="Wingdings" w:hAnsi="Wingdings" w:hint="default"/>
      </w:rPr>
    </w:lvl>
  </w:abstractNum>
  <w:abstractNum w:abstractNumId="7">
    <w:nsid w:val="1F20570E"/>
    <w:multiLevelType w:val="hybridMultilevel"/>
    <w:tmpl w:val="EFD68582"/>
    <w:lvl w:ilvl="0" w:tplc="4AFE858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6CC9C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02FCC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6A6F3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DE201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56033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52819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34C75E">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FC4BA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nsid w:val="271E6E0E"/>
    <w:multiLevelType w:val="hybridMultilevel"/>
    <w:tmpl w:val="DD301ABA"/>
    <w:lvl w:ilvl="0" w:tplc="9D48748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6A8FD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34BBF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6CD81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96234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1E475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3648C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B2795E">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F2F77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299F7B07"/>
    <w:multiLevelType w:val="multilevel"/>
    <w:tmpl w:val="C010D3C2"/>
    <w:lvl w:ilvl="0">
      <w:start w:val="4"/>
      <w:numFmt w:val="decimal"/>
      <w:lvlText w:val="%1."/>
      <w:lvlJc w:val="left"/>
      <w:pPr>
        <w:ind w:left="930" w:hanging="930"/>
      </w:pPr>
      <w:rPr>
        <w:rFonts w:hint="default"/>
        <w:b/>
      </w:rPr>
    </w:lvl>
    <w:lvl w:ilvl="1">
      <w:start w:val="7"/>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1">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nsid w:val="3279090E"/>
    <w:multiLevelType w:val="hybridMultilevel"/>
    <w:tmpl w:val="039CBCEE"/>
    <w:lvl w:ilvl="0" w:tplc="AC28EEE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D4EBD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96E6B6">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B84EF0">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89FA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CED57C">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3E8ABC">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6951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348BB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420630C9"/>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nsid w:val="45B85613"/>
    <w:multiLevelType w:val="hybridMultilevel"/>
    <w:tmpl w:val="C5C4A17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7F430C7"/>
    <w:multiLevelType w:val="hybridMultilevel"/>
    <w:tmpl w:val="F94C8402"/>
    <w:lvl w:ilvl="0" w:tplc="B7DADD52">
      <w:start w:val="1"/>
      <w:numFmt w:val="decimal"/>
      <w:lvlText w:val="%1"/>
      <w:lvlJc w:val="left"/>
      <w:pPr>
        <w:ind w:left="5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F3E78E2">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D0F710">
      <w:start w:val="1"/>
      <w:numFmt w:val="bullet"/>
      <w:lvlText w:val="▪"/>
      <w:lvlJc w:val="left"/>
      <w:pPr>
        <w:ind w:left="1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B882B4">
      <w:start w:val="1"/>
      <w:numFmt w:val="bullet"/>
      <w:lvlText w:val="•"/>
      <w:lvlJc w:val="left"/>
      <w:pPr>
        <w:ind w:left="2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C42A50">
      <w:start w:val="1"/>
      <w:numFmt w:val="bullet"/>
      <w:lvlText w:val="o"/>
      <w:lvlJc w:val="left"/>
      <w:pPr>
        <w:ind w:left="3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020558">
      <w:start w:val="1"/>
      <w:numFmt w:val="bullet"/>
      <w:lvlText w:val="▪"/>
      <w:lvlJc w:val="left"/>
      <w:pPr>
        <w:ind w:left="3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0051F4">
      <w:start w:val="1"/>
      <w:numFmt w:val="bullet"/>
      <w:lvlText w:val="•"/>
      <w:lvlJc w:val="left"/>
      <w:pPr>
        <w:ind w:left="4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B87514">
      <w:start w:val="1"/>
      <w:numFmt w:val="bullet"/>
      <w:lvlText w:val="o"/>
      <w:lvlJc w:val="left"/>
      <w:pPr>
        <w:ind w:left="5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2FED4">
      <w:start w:val="1"/>
      <w:numFmt w:val="bullet"/>
      <w:lvlText w:val="▪"/>
      <w:lvlJc w:val="left"/>
      <w:pPr>
        <w:ind w:left="6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481B09EA"/>
    <w:multiLevelType w:val="hybridMultilevel"/>
    <w:tmpl w:val="F53C7E96"/>
    <w:lvl w:ilvl="0" w:tplc="BF0E26D6">
      <w:start w:val="1"/>
      <w:numFmt w:val="bullet"/>
      <w:lvlText w:val="•"/>
      <w:lvlJc w:val="left"/>
      <w:pPr>
        <w:ind w:left="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2A414C">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0CFA04">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B4DA1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D07128">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1EBAD8">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284E0C">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61F4A">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881942">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4EA67447"/>
    <w:multiLevelType w:val="multilevel"/>
    <w:tmpl w:val="6B703646"/>
    <w:lvl w:ilvl="0">
      <w:start w:val="5"/>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9">
    <w:nsid w:val="4EBC44C8"/>
    <w:multiLevelType w:val="hybridMultilevel"/>
    <w:tmpl w:val="00B0B41A"/>
    <w:lvl w:ilvl="0" w:tplc="3CF4C6F2">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4F1820B6"/>
    <w:multiLevelType w:val="hybridMultilevel"/>
    <w:tmpl w:val="3CAAD12C"/>
    <w:lvl w:ilvl="0" w:tplc="3CF4C6F2">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2">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3">
    <w:nsid w:val="65746363"/>
    <w:multiLevelType w:val="hybridMultilevel"/>
    <w:tmpl w:val="1A5CBB48"/>
    <w:lvl w:ilvl="0" w:tplc="68C84D9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5C82B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30231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C44CB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E46F4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F6ACD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B4C19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D2138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AFAE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6B98733A"/>
    <w:multiLevelType w:val="hybridMultilevel"/>
    <w:tmpl w:val="7B640D12"/>
    <w:lvl w:ilvl="0" w:tplc="C8A4D75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ECEBCC">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461B56">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8E8B28">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B6ECB4">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6AC92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5EB9F8">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AE3E7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8EDDA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704A0D76"/>
    <w:multiLevelType w:val="hybridMultilevel"/>
    <w:tmpl w:val="2E083764"/>
    <w:lvl w:ilvl="0" w:tplc="45DC5A66">
      <w:start w:val="1"/>
      <w:numFmt w:val="decimal"/>
      <w:lvlText w:val="%1."/>
      <w:lvlJc w:val="left"/>
      <w:pPr>
        <w:ind w:left="3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272C0B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3A4FA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C87E3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5A5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AE7B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68B6C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376C3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F2C8F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nsid w:val="794C337B"/>
    <w:multiLevelType w:val="multilevel"/>
    <w:tmpl w:val="C830735A"/>
    <w:lvl w:ilvl="0">
      <w:start w:val="1"/>
      <w:numFmt w:val="decimal"/>
      <w:pStyle w:val="slovanzoznam"/>
      <w:lvlText w:val="%1.0"/>
      <w:lvlJc w:val="left"/>
      <w:pPr>
        <w:tabs>
          <w:tab w:val="num" w:pos="576"/>
        </w:tabs>
        <w:ind w:left="576" w:hanging="576"/>
      </w:pPr>
      <w:rPr>
        <w:rFonts w:hint="default"/>
      </w:rPr>
    </w:lvl>
    <w:lvl w:ilvl="1">
      <w:start w:val="1"/>
      <w:numFmt w:val="decimal"/>
      <w:pStyle w:val="slovanzoznam2"/>
      <w:lvlText w:val="%1.%2"/>
      <w:lvlJc w:val="left"/>
      <w:pPr>
        <w:tabs>
          <w:tab w:val="num" w:pos="1152"/>
        </w:tabs>
        <w:ind w:left="1152"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slovanzoznam3"/>
      <w:lvlText w:val="%1.%2.%3"/>
      <w:lvlJc w:val="left"/>
      <w:pPr>
        <w:tabs>
          <w:tab w:val="num" w:pos="1944"/>
        </w:tabs>
        <w:ind w:left="1944" w:hanging="79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slovanzoznam4"/>
      <w:lvlText w:val="%1.%2.%3.%4"/>
      <w:lvlJc w:val="left"/>
      <w:pPr>
        <w:tabs>
          <w:tab w:val="num" w:pos="2952"/>
        </w:tabs>
        <w:ind w:left="2952" w:hanging="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bullet"/>
      <w:lvlText w:val=""/>
      <w:lvlJc w:val="left"/>
      <w:pPr>
        <w:tabs>
          <w:tab w:val="num" w:pos="3312"/>
        </w:tabs>
        <w:ind w:left="3312" w:hanging="360"/>
      </w:pPr>
      <w:rPr>
        <w:rFonts w:ascii="Symbol" w:hAnsi="Symbol"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7">
    <w:nsid w:val="796D0DAB"/>
    <w:multiLevelType w:val="hybridMultilevel"/>
    <w:tmpl w:val="36FCD2DE"/>
    <w:lvl w:ilvl="0" w:tplc="DF348772">
      <w:start w:val="1"/>
      <w:numFmt w:val="bullet"/>
      <w:lvlText w:val="-"/>
      <w:lvlJc w:val="left"/>
      <w:pPr>
        <w:ind w:left="723"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3" w:hanging="360"/>
      </w:pPr>
      <w:rPr>
        <w:rFonts w:ascii="Courier New" w:hAnsi="Courier New" w:cs="Courier New" w:hint="default"/>
      </w:rPr>
    </w:lvl>
    <w:lvl w:ilvl="2" w:tplc="041B0005" w:tentative="1">
      <w:start w:val="1"/>
      <w:numFmt w:val="bullet"/>
      <w:lvlText w:val=""/>
      <w:lvlJc w:val="left"/>
      <w:pPr>
        <w:ind w:left="2163" w:hanging="360"/>
      </w:pPr>
      <w:rPr>
        <w:rFonts w:ascii="Wingdings" w:hAnsi="Wingdings" w:hint="default"/>
      </w:rPr>
    </w:lvl>
    <w:lvl w:ilvl="3" w:tplc="041B0001" w:tentative="1">
      <w:start w:val="1"/>
      <w:numFmt w:val="bullet"/>
      <w:lvlText w:val=""/>
      <w:lvlJc w:val="left"/>
      <w:pPr>
        <w:ind w:left="2883" w:hanging="360"/>
      </w:pPr>
      <w:rPr>
        <w:rFonts w:ascii="Symbol" w:hAnsi="Symbol" w:hint="default"/>
      </w:rPr>
    </w:lvl>
    <w:lvl w:ilvl="4" w:tplc="041B0003" w:tentative="1">
      <w:start w:val="1"/>
      <w:numFmt w:val="bullet"/>
      <w:lvlText w:val="o"/>
      <w:lvlJc w:val="left"/>
      <w:pPr>
        <w:ind w:left="3603" w:hanging="360"/>
      </w:pPr>
      <w:rPr>
        <w:rFonts w:ascii="Courier New" w:hAnsi="Courier New" w:cs="Courier New" w:hint="default"/>
      </w:rPr>
    </w:lvl>
    <w:lvl w:ilvl="5" w:tplc="041B0005" w:tentative="1">
      <w:start w:val="1"/>
      <w:numFmt w:val="bullet"/>
      <w:lvlText w:val=""/>
      <w:lvlJc w:val="left"/>
      <w:pPr>
        <w:ind w:left="4323" w:hanging="360"/>
      </w:pPr>
      <w:rPr>
        <w:rFonts w:ascii="Wingdings" w:hAnsi="Wingdings" w:hint="default"/>
      </w:rPr>
    </w:lvl>
    <w:lvl w:ilvl="6" w:tplc="041B0001" w:tentative="1">
      <w:start w:val="1"/>
      <w:numFmt w:val="bullet"/>
      <w:lvlText w:val=""/>
      <w:lvlJc w:val="left"/>
      <w:pPr>
        <w:ind w:left="5043" w:hanging="360"/>
      </w:pPr>
      <w:rPr>
        <w:rFonts w:ascii="Symbol" w:hAnsi="Symbol" w:hint="default"/>
      </w:rPr>
    </w:lvl>
    <w:lvl w:ilvl="7" w:tplc="041B0003" w:tentative="1">
      <w:start w:val="1"/>
      <w:numFmt w:val="bullet"/>
      <w:lvlText w:val="o"/>
      <w:lvlJc w:val="left"/>
      <w:pPr>
        <w:ind w:left="5763" w:hanging="360"/>
      </w:pPr>
      <w:rPr>
        <w:rFonts w:ascii="Courier New" w:hAnsi="Courier New" w:cs="Courier New" w:hint="default"/>
      </w:rPr>
    </w:lvl>
    <w:lvl w:ilvl="8" w:tplc="041B0005" w:tentative="1">
      <w:start w:val="1"/>
      <w:numFmt w:val="bullet"/>
      <w:lvlText w:val=""/>
      <w:lvlJc w:val="left"/>
      <w:pPr>
        <w:ind w:left="6483" w:hanging="360"/>
      </w:pPr>
      <w:rPr>
        <w:rFonts w:ascii="Wingdings" w:hAnsi="Wingdings" w:hint="default"/>
      </w:rPr>
    </w:lvl>
  </w:abstractNum>
  <w:abstractNum w:abstractNumId="28">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nsid w:val="7B425986"/>
    <w:multiLevelType w:val="hybridMultilevel"/>
    <w:tmpl w:val="61B4C642"/>
    <w:lvl w:ilvl="0" w:tplc="79565B5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08540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14FFD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FCC63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2ABF8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D8A6A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5E2BE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DEBFD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2E497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2"/>
  </w:num>
  <w:num w:numId="3">
    <w:abstractNumId w:val="21"/>
  </w:num>
  <w:num w:numId="4">
    <w:abstractNumId w:val="28"/>
  </w:num>
  <w:num w:numId="5">
    <w:abstractNumId w:val="12"/>
  </w:num>
  <w:num w:numId="6">
    <w:abstractNumId w:val="11"/>
  </w:num>
  <w:num w:numId="7">
    <w:abstractNumId w:val="25"/>
  </w:num>
  <w:num w:numId="8">
    <w:abstractNumId w:val="4"/>
  </w:num>
  <w:num w:numId="9">
    <w:abstractNumId w:val="6"/>
  </w:num>
  <w:num w:numId="10">
    <w:abstractNumId w:val="27"/>
  </w:num>
  <w:num w:numId="11">
    <w:abstractNumId w:val="5"/>
  </w:num>
  <w:num w:numId="12">
    <w:abstractNumId w:val="24"/>
  </w:num>
  <w:num w:numId="13">
    <w:abstractNumId w:val="2"/>
  </w:num>
  <w:num w:numId="14">
    <w:abstractNumId w:val="3"/>
  </w:num>
  <w:num w:numId="15">
    <w:abstractNumId w:val="23"/>
  </w:num>
  <w:num w:numId="16">
    <w:abstractNumId w:val="9"/>
  </w:num>
  <w:num w:numId="17">
    <w:abstractNumId w:val="13"/>
  </w:num>
  <w:num w:numId="18">
    <w:abstractNumId w:val="17"/>
  </w:num>
  <w:num w:numId="19">
    <w:abstractNumId w:val="7"/>
  </w:num>
  <w:num w:numId="20">
    <w:abstractNumId w:val="29"/>
  </w:num>
  <w:num w:numId="21">
    <w:abstractNumId w:val="16"/>
  </w:num>
  <w:num w:numId="22">
    <w:abstractNumId w:val="26"/>
  </w:num>
  <w:num w:numId="23">
    <w:abstractNumId w:val="8"/>
  </w:num>
  <w:num w:numId="24">
    <w:abstractNumId w:val="1"/>
  </w:num>
  <w:num w:numId="25">
    <w:abstractNumId w:val="15"/>
  </w:num>
  <w:num w:numId="26">
    <w:abstractNumId w:val="19"/>
  </w:num>
  <w:num w:numId="27">
    <w:abstractNumId w:val="20"/>
  </w:num>
  <w:num w:numId="28">
    <w:abstractNumId w:val="14"/>
  </w:num>
  <w:num w:numId="29">
    <w:abstractNumId w:val="10"/>
  </w:num>
  <w:num w:numId="30">
    <w:abstractNumId w:val="1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ela Kulcsarová">
    <w15:presenceInfo w15:providerId="AD" w15:userId="S-1-5-21-1074136629-4081378027-2755238289-1923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
  <w:docVars>
    <w:docVar w:name="Registered" w:val="-1"/>
    <w:docVar w:name="Version" w:val="0"/>
  </w:docVars>
  <w:rsids>
    <w:rsidRoot w:val="00812D16"/>
    <w:rsid w:val="00000D62"/>
    <w:rsid w:val="00001587"/>
    <w:rsid w:val="0000362A"/>
    <w:rsid w:val="00005701"/>
    <w:rsid w:val="0000706B"/>
    <w:rsid w:val="00007196"/>
    <w:rsid w:val="00007528"/>
    <w:rsid w:val="00011197"/>
    <w:rsid w:val="0001164F"/>
    <w:rsid w:val="0001255C"/>
    <w:rsid w:val="00012872"/>
    <w:rsid w:val="00012A56"/>
    <w:rsid w:val="00014869"/>
    <w:rsid w:val="000150D3"/>
    <w:rsid w:val="000166C1"/>
    <w:rsid w:val="0002006B"/>
    <w:rsid w:val="00020AE8"/>
    <w:rsid w:val="000212BB"/>
    <w:rsid w:val="0002360D"/>
    <w:rsid w:val="00023A2C"/>
    <w:rsid w:val="00024ECC"/>
    <w:rsid w:val="000258E4"/>
    <w:rsid w:val="00025D86"/>
    <w:rsid w:val="00025EBE"/>
    <w:rsid w:val="00026BF2"/>
    <w:rsid w:val="000271F6"/>
    <w:rsid w:val="00027F9B"/>
    <w:rsid w:val="00030445"/>
    <w:rsid w:val="00030773"/>
    <w:rsid w:val="000318C7"/>
    <w:rsid w:val="00031954"/>
    <w:rsid w:val="00033D26"/>
    <w:rsid w:val="00033FDB"/>
    <w:rsid w:val="000344F6"/>
    <w:rsid w:val="00037750"/>
    <w:rsid w:val="000410CC"/>
    <w:rsid w:val="00042263"/>
    <w:rsid w:val="00042751"/>
    <w:rsid w:val="00042C8C"/>
    <w:rsid w:val="00043505"/>
    <w:rsid w:val="00043C70"/>
    <w:rsid w:val="00043E88"/>
    <w:rsid w:val="00044042"/>
    <w:rsid w:val="000474D2"/>
    <w:rsid w:val="000479C5"/>
    <w:rsid w:val="00047E44"/>
    <w:rsid w:val="00050DFD"/>
    <w:rsid w:val="00052434"/>
    <w:rsid w:val="0005336C"/>
    <w:rsid w:val="00053809"/>
    <w:rsid w:val="00053914"/>
    <w:rsid w:val="00053960"/>
    <w:rsid w:val="00054756"/>
    <w:rsid w:val="000560C5"/>
    <w:rsid w:val="00056C49"/>
    <w:rsid w:val="00056FE0"/>
    <w:rsid w:val="000603C8"/>
    <w:rsid w:val="000608A4"/>
    <w:rsid w:val="00060AA1"/>
    <w:rsid w:val="000631FD"/>
    <w:rsid w:val="000643D3"/>
    <w:rsid w:val="00066F1A"/>
    <w:rsid w:val="00067B16"/>
    <w:rsid w:val="00071F8A"/>
    <w:rsid w:val="00071FC3"/>
    <w:rsid w:val="0007200A"/>
    <w:rsid w:val="00072BF9"/>
    <w:rsid w:val="00073431"/>
    <w:rsid w:val="00073E04"/>
    <w:rsid w:val="0007401B"/>
    <w:rsid w:val="00074632"/>
    <w:rsid w:val="000759AB"/>
    <w:rsid w:val="0007628D"/>
    <w:rsid w:val="00077D20"/>
    <w:rsid w:val="00081DAB"/>
    <w:rsid w:val="0008506F"/>
    <w:rsid w:val="000851A9"/>
    <w:rsid w:val="00085600"/>
    <w:rsid w:val="00085939"/>
    <w:rsid w:val="00086028"/>
    <w:rsid w:val="00092829"/>
    <w:rsid w:val="00092B09"/>
    <w:rsid w:val="0009351E"/>
    <w:rsid w:val="0009479A"/>
    <w:rsid w:val="00094AD6"/>
    <w:rsid w:val="00095D61"/>
    <w:rsid w:val="00095E44"/>
    <w:rsid w:val="000967DB"/>
    <w:rsid w:val="00096D8D"/>
    <w:rsid w:val="0009755A"/>
    <w:rsid w:val="000A1091"/>
    <w:rsid w:val="000A1232"/>
    <w:rsid w:val="000A30E5"/>
    <w:rsid w:val="000A3675"/>
    <w:rsid w:val="000A3767"/>
    <w:rsid w:val="000A39C5"/>
    <w:rsid w:val="000A40D0"/>
    <w:rsid w:val="000A6721"/>
    <w:rsid w:val="000A6BA6"/>
    <w:rsid w:val="000A75FF"/>
    <w:rsid w:val="000A7BF0"/>
    <w:rsid w:val="000B0097"/>
    <w:rsid w:val="000B101F"/>
    <w:rsid w:val="000B1F4B"/>
    <w:rsid w:val="000B2F27"/>
    <w:rsid w:val="000B2F58"/>
    <w:rsid w:val="000B37A8"/>
    <w:rsid w:val="000B382B"/>
    <w:rsid w:val="000B472B"/>
    <w:rsid w:val="000B4999"/>
    <w:rsid w:val="000B51D9"/>
    <w:rsid w:val="000C004A"/>
    <w:rsid w:val="000C03FB"/>
    <w:rsid w:val="000C308F"/>
    <w:rsid w:val="000C36E0"/>
    <w:rsid w:val="000C3BDD"/>
    <w:rsid w:val="000C428B"/>
    <w:rsid w:val="000C5A4E"/>
    <w:rsid w:val="000C6147"/>
    <w:rsid w:val="000C6225"/>
    <w:rsid w:val="000C635D"/>
    <w:rsid w:val="000C7F49"/>
    <w:rsid w:val="000D1AEE"/>
    <w:rsid w:val="000D1F4F"/>
    <w:rsid w:val="000D2C1D"/>
    <w:rsid w:val="000D2EAA"/>
    <w:rsid w:val="000D4D07"/>
    <w:rsid w:val="000D7535"/>
    <w:rsid w:val="000E0BCE"/>
    <w:rsid w:val="000E165D"/>
    <w:rsid w:val="000E1BAF"/>
    <w:rsid w:val="000E223E"/>
    <w:rsid w:val="000E2491"/>
    <w:rsid w:val="000E2805"/>
    <w:rsid w:val="000E2EA9"/>
    <w:rsid w:val="000E46A3"/>
    <w:rsid w:val="000E4E88"/>
    <w:rsid w:val="000E5726"/>
    <w:rsid w:val="000E6C94"/>
    <w:rsid w:val="000F0CCA"/>
    <w:rsid w:val="000F1BB2"/>
    <w:rsid w:val="000F217A"/>
    <w:rsid w:val="000F3F94"/>
    <w:rsid w:val="000F4279"/>
    <w:rsid w:val="000F5235"/>
    <w:rsid w:val="000F5B21"/>
    <w:rsid w:val="001018E2"/>
    <w:rsid w:val="00102E27"/>
    <w:rsid w:val="00103501"/>
    <w:rsid w:val="00103AE7"/>
    <w:rsid w:val="00103B2D"/>
    <w:rsid w:val="00103CD2"/>
    <w:rsid w:val="00104061"/>
    <w:rsid w:val="00107236"/>
    <w:rsid w:val="001101A2"/>
    <w:rsid w:val="001106F7"/>
    <w:rsid w:val="001108A9"/>
    <w:rsid w:val="0011162C"/>
    <w:rsid w:val="00112EDA"/>
    <w:rsid w:val="00113935"/>
    <w:rsid w:val="00113E6B"/>
    <w:rsid w:val="001140D5"/>
    <w:rsid w:val="00114174"/>
    <w:rsid w:val="00116A78"/>
    <w:rsid w:val="00117C1D"/>
    <w:rsid w:val="00117C33"/>
    <w:rsid w:val="00123688"/>
    <w:rsid w:val="00126B26"/>
    <w:rsid w:val="001278C1"/>
    <w:rsid w:val="00127F47"/>
    <w:rsid w:val="00133572"/>
    <w:rsid w:val="00133CA3"/>
    <w:rsid w:val="00135F24"/>
    <w:rsid w:val="001364FB"/>
    <w:rsid w:val="001365F2"/>
    <w:rsid w:val="00136A93"/>
    <w:rsid w:val="00136D7A"/>
    <w:rsid w:val="001374C5"/>
    <w:rsid w:val="00140476"/>
    <w:rsid w:val="00141470"/>
    <w:rsid w:val="00141540"/>
    <w:rsid w:val="00143516"/>
    <w:rsid w:val="00143A96"/>
    <w:rsid w:val="001449DF"/>
    <w:rsid w:val="00145459"/>
    <w:rsid w:val="0014569B"/>
    <w:rsid w:val="001470E0"/>
    <w:rsid w:val="00150060"/>
    <w:rsid w:val="001507A2"/>
    <w:rsid w:val="001513ED"/>
    <w:rsid w:val="00154C69"/>
    <w:rsid w:val="00155D7F"/>
    <w:rsid w:val="00156108"/>
    <w:rsid w:val="0015704C"/>
    <w:rsid w:val="00157895"/>
    <w:rsid w:val="00161701"/>
    <w:rsid w:val="00161E87"/>
    <w:rsid w:val="00162098"/>
    <w:rsid w:val="00163AEA"/>
    <w:rsid w:val="0016566C"/>
    <w:rsid w:val="0016718C"/>
    <w:rsid w:val="00170769"/>
    <w:rsid w:val="00170A61"/>
    <w:rsid w:val="001727F0"/>
    <w:rsid w:val="00172B06"/>
    <w:rsid w:val="00172B3E"/>
    <w:rsid w:val="0017347E"/>
    <w:rsid w:val="00173E7A"/>
    <w:rsid w:val="001748DA"/>
    <w:rsid w:val="001752D8"/>
    <w:rsid w:val="00175931"/>
    <w:rsid w:val="001769B6"/>
    <w:rsid w:val="00176A15"/>
    <w:rsid w:val="00176B25"/>
    <w:rsid w:val="00177736"/>
    <w:rsid w:val="0018238B"/>
    <w:rsid w:val="00183419"/>
    <w:rsid w:val="0018394A"/>
    <w:rsid w:val="001845BE"/>
    <w:rsid w:val="00184DCC"/>
    <w:rsid w:val="00186A9D"/>
    <w:rsid w:val="001874A6"/>
    <w:rsid w:val="0018765B"/>
    <w:rsid w:val="00187DC4"/>
    <w:rsid w:val="00190913"/>
    <w:rsid w:val="0019236A"/>
    <w:rsid w:val="00193B21"/>
    <w:rsid w:val="00193DD3"/>
    <w:rsid w:val="001946BE"/>
    <w:rsid w:val="001948AA"/>
    <w:rsid w:val="00195F65"/>
    <w:rsid w:val="001967A7"/>
    <w:rsid w:val="00197377"/>
    <w:rsid w:val="001A07E2"/>
    <w:rsid w:val="001A0A5D"/>
    <w:rsid w:val="001A2018"/>
    <w:rsid w:val="001A43C4"/>
    <w:rsid w:val="001A485F"/>
    <w:rsid w:val="001A56F1"/>
    <w:rsid w:val="001A5D0E"/>
    <w:rsid w:val="001A749C"/>
    <w:rsid w:val="001B0144"/>
    <w:rsid w:val="001B01C8"/>
    <w:rsid w:val="001B0B52"/>
    <w:rsid w:val="001B13F6"/>
    <w:rsid w:val="001B1747"/>
    <w:rsid w:val="001B2D44"/>
    <w:rsid w:val="001B2EE2"/>
    <w:rsid w:val="001B42BD"/>
    <w:rsid w:val="001B59BD"/>
    <w:rsid w:val="001B6224"/>
    <w:rsid w:val="001B62A4"/>
    <w:rsid w:val="001B752A"/>
    <w:rsid w:val="001C12FB"/>
    <w:rsid w:val="001C2DB4"/>
    <w:rsid w:val="001C3228"/>
    <w:rsid w:val="001C35E9"/>
    <w:rsid w:val="001C36BD"/>
    <w:rsid w:val="001C3733"/>
    <w:rsid w:val="001C3AEB"/>
    <w:rsid w:val="001C49B3"/>
    <w:rsid w:val="001C5B30"/>
    <w:rsid w:val="001C75F7"/>
    <w:rsid w:val="001C7F88"/>
    <w:rsid w:val="001D19A4"/>
    <w:rsid w:val="001D2953"/>
    <w:rsid w:val="001D34DA"/>
    <w:rsid w:val="001D3C05"/>
    <w:rsid w:val="001D6AF4"/>
    <w:rsid w:val="001D6F48"/>
    <w:rsid w:val="001E0CC1"/>
    <w:rsid w:val="001E1C10"/>
    <w:rsid w:val="001E2B3E"/>
    <w:rsid w:val="001E2E9B"/>
    <w:rsid w:val="001E3CC0"/>
    <w:rsid w:val="001E77C3"/>
    <w:rsid w:val="001F090B"/>
    <w:rsid w:val="001F180A"/>
    <w:rsid w:val="001F1A28"/>
    <w:rsid w:val="001F1AD0"/>
    <w:rsid w:val="001F21D4"/>
    <w:rsid w:val="001F283A"/>
    <w:rsid w:val="001F2B81"/>
    <w:rsid w:val="001F2E7F"/>
    <w:rsid w:val="001F35E8"/>
    <w:rsid w:val="001F4014"/>
    <w:rsid w:val="001F4441"/>
    <w:rsid w:val="001F445E"/>
    <w:rsid w:val="001F45C4"/>
    <w:rsid w:val="001F6423"/>
    <w:rsid w:val="001F6D16"/>
    <w:rsid w:val="001F7494"/>
    <w:rsid w:val="00201213"/>
    <w:rsid w:val="0020165E"/>
    <w:rsid w:val="0020272E"/>
    <w:rsid w:val="00202E50"/>
    <w:rsid w:val="002032EE"/>
    <w:rsid w:val="00204AAB"/>
    <w:rsid w:val="00205180"/>
    <w:rsid w:val="00206D54"/>
    <w:rsid w:val="00207F81"/>
    <w:rsid w:val="0021055C"/>
    <w:rsid w:val="002109F4"/>
    <w:rsid w:val="0021174D"/>
    <w:rsid w:val="00211FDA"/>
    <w:rsid w:val="002128BC"/>
    <w:rsid w:val="00213FB8"/>
    <w:rsid w:val="002157EA"/>
    <w:rsid w:val="00215FDA"/>
    <w:rsid w:val="002160C2"/>
    <w:rsid w:val="0022043D"/>
    <w:rsid w:val="00222BB9"/>
    <w:rsid w:val="002258D6"/>
    <w:rsid w:val="0022625B"/>
    <w:rsid w:val="002274FB"/>
    <w:rsid w:val="002277EC"/>
    <w:rsid w:val="002309D2"/>
    <w:rsid w:val="00231B61"/>
    <w:rsid w:val="00232C35"/>
    <w:rsid w:val="00232F52"/>
    <w:rsid w:val="0023315B"/>
    <w:rsid w:val="002347FE"/>
    <w:rsid w:val="002365F7"/>
    <w:rsid w:val="00236876"/>
    <w:rsid w:val="0024178D"/>
    <w:rsid w:val="00242244"/>
    <w:rsid w:val="00242619"/>
    <w:rsid w:val="0024392B"/>
    <w:rsid w:val="002450C6"/>
    <w:rsid w:val="002451B3"/>
    <w:rsid w:val="00245DCF"/>
    <w:rsid w:val="00246C65"/>
    <w:rsid w:val="0024721F"/>
    <w:rsid w:val="00251A10"/>
    <w:rsid w:val="00252BFF"/>
    <w:rsid w:val="00253732"/>
    <w:rsid w:val="002542A8"/>
    <w:rsid w:val="002572CD"/>
    <w:rsid w:val="00260A11"/>
    <w:rsid w:val="00261316"/>
    <w:rsid w:val="0026169A"/>
    <w:rsid w:val="00262188"/>
    <w:rsid w:val="00262763"/>
    <w:rsid w:val="002635EB"/>
    <w:rsid w:val="002636C8"/>
    <w:rsid w:val="00264BEA"/>
    <w:rsid w:val="002669E0"/>
    <w:rsid w:val="00267850"/>
    <w:rsid w:val="00267D53"/>
    <w:rsid w:val="00271032"/>
    <w:rsid w:val="00273E3E"/>
    <w:rsid w:val="00274147"/>
    <w:rsid w:val="00275189"/>
    <w:rsid w:val="002756DC"/>
    <w:rsid w:val="00275D4A"/>
    <w:rsid w:val="00276412"/>
    <w:rsid w:val="00276437"/>
    <w:rsid w:val="002771C9"/>
    <w:rsid w:val="00280053"/>
    <w:rsid w:val="0028063F"/>
    <w:rsid w:val="00280740"/>
    <w:rsid w:val="00280CD6"/>
    <w:rsid w:val="0028386C"/>
    <w:rsid w:val="00283B02"/>
    <w:rsid w:val="00283C5D"/>
    <w:rsid w:val="002844B0"/>
    <w:rsid w:val="00284DE0"/>
    <w:rsid w:val="00285DE6"/>
    <w:rsid w:val="00286136"/>
    <w:rsid w:val="00286322"/>
    <w:rsid w:val="00291302"/>
    <w:rsid w:val="00293EFF"/>
    <w:rsid w:val="00296B03"/>
    <w:rsid w:val="00296C1F"/>
    <w:rsid w:val="002A1A88"/>
    <w:rsid w:val="002A2434"/>
    <w:rsid w:val="002A294E"/>
    <w:rsid w:val="002A3A10"/>
    <w:rsid w:val="002A41E6"/>
    <w:rsid w:val="002A44C8"/>
    <w:rsid w:val="002A5E48"/>
    <w:rsid w:val="002B0059"/>
    <w:rsid w:val="002B0455"/>
    <w:rsid w:val="002B1941"/>
    <w:rsid w:val="002B261C"/>
    <w:rsid w:val="002B2BE6"/>
    <w:rsid w:val="002B2BEE"/>
    <w:rsid w:val="002B35C5"/>
    <w:rsid w:val="002B3935"/>
    <w:rsid w:val="002B406A"/>
    <w:rsid w:val="002B41D4"/>
    <w:rsid w:val="002B543F"/>
    <w:rsid w:val="002B6165"/>
    <w:rsid w:val="002B7B74"/>
    <w:rsid w:val="002B7D73"/>
    <w:rsid w:val="002C054C"/>
    <w:rsid w:val="002C06E3"/>
    <w:rsid w:val="002C0801"/>
    <w:rsid w:val="002C09EF"/>
    <w:rsid w:val="002C0FEB"/>
    <w:rsid w:val="002C145F"/>
    <w:rsid w:val="002C33B3"/>
    <w:rsid w:val="002C42A5"/>
    <w:rsid w:val="002C44B0"/>
    <w:rsid w:val="002C4E07"/>
    <w:rsid w:val="002C7528"/>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23DA"/>
    <w:rsid w:val="002E374A"/>
    <w:rsid w:val="002E4E94"/>
    <w:rsid w:val="002E6D7E"/>
    <w:rsid w:val="002E7CBB"/>
    <w:rsid w:val="002F1F28"/>
    <w:rsid w:val="002F2486"/>
    <w:rsid w:val="002F43CA"/>
    <w:rsid w:val="002F57AA"/>
    <w:rsid w:val="002F6EF7"/>
    <w:rsid w:val="002F714C"/>
    <w:rsid w:val="002F77BF"/>
    <w:rsid w:val="003004A2"/>
    <w:rsid w:val="00302CA4"/>
    <w:rsid w:val="00303DD5"/>
    <w:rsid w:val="00305D2B"/>
    <w:rsid w:val="0030686E"/>
    <w:rsid w:val="003071E9"/>
    <w:rsid w:val="00307B74"/>
    <w:rsid w:val="003102C6"/>
    <w:rsid w:val="0031034C"/>
    <w:rsid w:val="00310764"/>
    <w:rsid w:val="00311335"/>
    <w:rsid w:val="00311BFD"/>
    <w:rsid w:val="00314718"/>
    <w:rsid w:val="0031488A"/>
    <w:rsid w:val="00315EB8"/>
    <w:rsid w:val="003175E1"/>
    <w:rsid w:val="0032003B"/>
    <w:rsid w:val="00320203"/>
    <w:rsid w:val="00320F02"/>
    <w:rsid w:val="00321FEB"/>
    <w:rsid w:val="00322002"/>
    <w:rsid w:val="00323EEC"/>
    <w:rsid w:val="003247B0"/>
    <w:rsid w:val="00325E81"/>
    <w:rsid w:val="00326948"/>
    <w:rsid w:val="00327052"/>
    <w:rsid w:val="003336BB"/>
    <w:rsid w:val="0033486D"/>
    <w:rsid w:val="00335228"/>
    <w:rsid w:val="003367C4"/>
    <w:rsid w:val="00336D8E"/>
    <w:rsid w:val="003376B3"/>
    <w:rsid w:val="00340707"/>
    <w:rsid w:val="00340BF3"/>
    <w:rsid w:val="0034278A"/>
    <w:rsid w:val="003430D0"/>
    <w:rsid w:val="00345F9C"/>
    <w:rsid w:val="0034654B"/>
    <w:rsid w:val="00347776"/>
    <w:rsid w:val="003519C0"/>
    <w:rsid w:val="00351A91"/>
    <w:rsid w:val="003520C4"/>
    <w:rsid w:val="003533AE"/>
    <w:rsid w:val="003533C9"/>
    <w:rsid w:val="00355E14"/>
    <w:rsid w:val="00356CFA"/>
    <w:rsid w:val="00357C5E"/>
    <w:rsid w:val="003608BD"/>
    <w:rsid w:val="00360D84"/>
    <w:rsid w:val="00361109"/>
    <w:rsid w:val="00361280"/>
    <w:rsid w:val="003615F1"/>
    <w:rsid w:val="00361A6E"/>
    <w:rsid w:val="00361F27"/>
    <w:rsid w:val="003626AF"/>
    <w:rsid w:val="00362745"/>
    <w:rsid w:val="00363D7F"/>
    <w:rsid w:val="00364B9D"/>
    <w:rsid w:val="0036655E"/>
    <w:rsid w:val="003665D5"/>
    <w:rsid w:val="00367C66"/>
    <w:rsid w:val="003700B2"/>
    <w:rsid w:val="0037233D"/>
    <w:rsid w:val="003736EF"/>
    <w:rsid w:val="003737E3"/>
    <w:rsid w:val="00373D26"/>
    <w:rsid w:val="00374297"/>
    <w:rsid w:val="00374579"/>
    <w:rsid w:val="00380448"/>
    <w:rsid w:val="00380A1A"/>
    <w:rsid w:val="00380A57"/>
    <w:rsid w:val="00380D80"/>
    <w:rsid w:val="0038500E"/>
    <w:rsid w:val="00385B59"/>
    <w:rsid w:val="003874A8"/>
    <w:rsid w:val="0038761D"/>
    <w:rsid w:val="003906F8"/>
    <w:rsid w:val="00390F6D"/>
    <w:rsid w:val="00391A05"/>
    <w:rsid w:val="00392C0D"/>
    <w:rsid w:val="003935EE"/>
    <w:rsid w:val="00393EE9"/>
    <w:rsid w:val="0039408A"/>
    <w:rsid w:val="003945F5"/>
    <w:rsid w:val="0039673D"/>
    <w:rsid w:val="00396F05"/>
    <w:rsid w:val="003975DA"/>
    <w:rsid w:val="00397893"/>
    <w:rsid w:val="00397C66"/>
    <w:rsid w:val="003A1BA9"/>
    <w:rsid w:val="003A2407"/>
    <w:rsid w:val="003A2CF0"/>
    <w:rsid w:val="003A33D3"/>
    <w:rsid w:val="003A3880"/>
    <w:rsid w:val="003A3943"/>
    <w:rsid w:val="003A4B52"/>
    <w:rsid w:val="003A5119"/>
    <w:rsid w:val="003A5BC5"/>
    <w:rsid w:val="003A5D55"/>
    <w:rsid w:val="003A5F95"/>
    <w:rsid w:val="003A75E6"/>
    <w:rsid w:val="003A76CC"/>
    <w:rsid w:val="003A77D2"/>
    <w:rsid w:val="003B1382"/>
    <w:rsid w:val="003B255B"/>
    <w:rsid w:val="003B2754"/>
    <w:rsid w:val="003B3317"/>
    <w:rsid w:val="003B4B2F"/>
    <w:rsid w:val="003B4C50"/>
    <w:rsid w:val="003B52D4"/>
    <w:rsid w:val="003B6666"/>
    <w:rsid w:val="003B669A"/>
    <w:rsid w:val="003B7828"/>
    <w:rsid w:val="003B7A73"/>
    <w:rsid w:val="003C02A6"/>
    <w:rsid w:val="003C1CA5"/>
    <w:rsid w:val="003C1EC7"/>
    <w:rsid w:val="003C3295"/>
    <w:rsid w:val="003C3D8E"/>
    <w:rsid w:val="003C5E61"/>
    <w:rsid w:val="003C64A0"/>
    <w:rsid w:val="003C6DB0"/>
    <w:rsid w:val="003C6F0B"/>
    <w:rsid w:val="003C7BA3"/>
    <w:rsid w:val="003C7D52"/>
    <w:rsid w:val="003D3642"/>
    <w:rsid w:val="003D4E9C"/>
    <w:rsid w:val="003D5EE8"/>
    <w:rsid w:val="003E0D78"/>
    <w:rsid w:val="003E1CAB"/>
    <w:rsid w:val="003E1CB1"/>
    <w:rsid w:val="003E374A"/>
    <w:rsid w:val="003E3A1D"/>
    <w:rsid w:val="003E3E49"/>
    <w:rsid w:val="003E5991"/>
    <w:rsid w:val="003E6CA0"/>
    <w:rsid w:val="003F0FD5"/>
    <w:rsid w:val="003F1F41"/>
    <w:rsid w:val="003F2FDE"/>
    <w:rsid w:val="003F3158"/>
    <w:rsid w:val="003F330B"/>
    <w:rsid w:val="003F6FDF"/>
    <w:rsid w:val="003F7370"/>
    <w:rsid w:val="00400192"/>
    <w:rsid w:val="00400D04"/>
    <w:rsid w:val="004016F5"/>
    <w:rsid w:val="00402A1B"/>
    <w:rsid w:val="00402B07"/>
    <w:rsid w:val="004045AA"/>
    <w:rsid w:val="0040549A"/>
    <w:rsid w:val="00405CC9"/>
    <w:rsid w:val="00405FDA"/>
    <w:rsid w:val="004063D0"/>
    <w:rsid w:val="0040711E"/>
    <w:rsid w:val="00407D67"/>
    <w:rsid w:val="00407D6C"/>
    <w:rsid w:val="00412450"/>
    <w:rsid w:val="004138DE"/>
    <w:rsid w:val="00413B39"/>
    <w:rsid w:val="004143E8"/>
    <w:rsid w:val="00414B2F"/>
    <w:rsid w:val="00415E58"/>
    <w:rsid w:val="00416231"/>
    <w:rsid w:val="0042047E"/>
    <w:rsid w:val="004208AB"/>
    <w:rsid w:val="00420F63"/>
    <w:rsid w:val="004219EF"/>
    <w:rsid w:val="00421A72"/>
    <w:rsid w:val="00424348"/>
    <w:rsid w:val="00426A7B"/>
    <w:rsid w:val="00426CD9"/>
    <w:rsid w:val="00426DE2"/>
    <w:rsid w:val="00430E61"/>
    <w:rsid w:val="00430FEB"/>
    <w:rsid w:val="004310EE"/>
    <w:rsid w:val="00433677"/>
    <w:rsid w:val="0043384D"/>
    <w:rsid w:val="004340D5"/>
    <w:rsid w:val="00434880"/>
    <w:rsid w:val="00434A21"/>
    <w:rsid w:val="00435210"/>
    <w:rsid w:val="0043526D"/>
    <w:rsid w:val="00442DF1"/>
    <w:rsid w:val="004431FE"/>
    <w:rsid w:val="00444F0D"/>
    <w:rsid w:val="0044516D"/>
    <w:rsid w:val="004460E9"/>
    <w:rsid w:val="0044728C"/>
    <w:rsid w:val="00447B6F"/>
    <w:rsid w:val="00447E35"/>
    <w:rsid w:val="00447FF2"/>
    <w:rsid w:val="004501D4"/>
    <w:rsid w:val="00450E8C"/>
    <w:rsid w:val="004512D5"/>
    <w:rsid w:val="00451555"/>
    <w:rsid w:val="00452E50"/>
    <w:rsid w:val="00453623"/>
    <w:rsid w:val="00453C11"/>
    <w:rsid w:val="00454BF1"/>
    <w:rsid w:val="0045548E"/>
    <w:rsid w:val="004557B0"/>
    <w:rsid w:val="00457946"/>
    <w:rsid w:val="00457D8B"/>
    <w:rsid w:val="0046042A"/>
    <w:rsid w:val="00460466"/>
    <w:rsid w:val="00460A17"/>
    <w:rsid w:val="0046236C"/>
    <w:rsid w:val="00462F79"/>
    <w:rsid w:val="00463438"/>
    <w:rsid w:val="00463ECE"/>
    <w:rsid w:val="00465388"/>
    <w:rsid w:val="004677C9"/>
    <w:rsid w:val="00467D90"/>
    <w:rsid w:val="0047002E"/>
    <w:rsid w:val="00470CB5"/>
    <w:rsid w:val="00471EAB"/>
    <w:rsid w:val="004723EE"/>
    <w:rsid w:val="004738E9"/>
    <w:rsid w:val="00475A92"/>
    <w:rsid w:val="00477BB9"/>
    <w:rsid w:val="004800EF"/>
    <w:rsid w:val="00485117"/>
    <w:rsid w:val="004859EE"/>
    <w:rsid w:val="004866D9"/>
    <w:rsid w:val="00487366"/>
    <w:rsid w:val="004873E4"/>
    <w:rsid w:val="0049072C"/>
    <w:rsid w:val="004907AD"/>
    <w:rsid w:val="00490F95"/>
    <w:rsid w:val="00490FD1"/>
    <w:rsid w:val="00491444"/>
    <w:rsid w:val="00491AD2"/>
    <w:rsid w:val="004935C0"/>
    <w:rsid w:val="00493B43"/>
    <w:rsid w:val="00494EB1"/>
    <w:rsid w:val="0049619F"/>
    <w:rsid w:val="00496414"/>
    <w:rsid w:val="00497339"/>
    <w:rsid w:val="00497A38"/>
    <w:rsid w:val="004A0A74"/>
    <w:rsid w:val="004A1F0E"/>
    <w:rsid w:val="004A2C56"/>
    <w:rsid w:val="004A3CAA"/>
    <w:rsid w:val="004A45BD"/>
    <w:rsid w:val="004A4656"/>
    <w:rsid w:val="004A4D5A"/>
    <w:rsid w:val="004A5B2D"/>
    <w:rsid w:val="004A7536"/>
    <w:rsid w:val="004A77B0"/>
    <w:rsid w:val="004B08A9"/>
    <w:rsid w:val="004B109A"/>
    <w:rsid w:val="004B1A10"/>
    <w:rsid w:val="004B1CED"/>
    <w:rsid w:val="004B34A7"/>
    <w:rsid w:val="004B3B06"/>
    <w:rsid w:val="004B3ED5"/>
    <w:rsid w:val="004B4643"/>
    <w:rsid w:val="004B5D02"/>
    <w:rsid w:val="004B7F67"/>
    <w:rsid w:val="004C06BE"/>
    <w:rsid w:val="004C0938"/>
    <w:rsid w:val="004C0FD6"/>
    <w:rsid w:val="004C147B"/>
    <w:rsid w:val="004C1994"/>
    <w:rsid w:val="004C2E5C"/>
    <w:rsid w:val="004C6B22"/>
    <w:rsid w:val="004C6B2B"/>
    <w:rsid w:val="004C70FC"/>
    <w:rsid w:val="004D0477"/>
    <w:rsid w:val="004D2675"/>
    <w:rsid w:val="004D26B3"/>
    <w:rsid w:val="004D4080"/>
    <w:rsid w:val="004D5184"/>
    <w:rsid w:val="004D7448"/>
    <w:rsid w:val="004E05FD"/>
    <w:rsid w:val="004E1A0D"/>
    <w:rsid w:val="004E23F5"/>
    <w:rsid w:val="004E2D07"/>
    <w:rsid w:val="004E5418"/>
    <w:rsid w:val="004E5C4A"/>
    <w:rsid w:val="004E63E5"/>
    <w:rsid w:val="004E6B76"/>
    <w:rsid w:val="004F1437"/>
    <w:rsid w:val="004F29DB"/>
    <w:rsid w:val="004F3540"/>
    <w:rsid w:val="004F44E4"/>
    <w:rsid w:val="004F4CE7"/>
    <w:rsid w:val="004F52DB"/>
    <w:rsid w:val="004F5624"/>
    <w:rsid w:val="004F5DA4"/>
    <w:rsid w:val="004F62B2"/>
    <w:rsid w:val="004F6424"/>
    <w:rsid w:val="005040CD"/>
    <w:rsid w:val="00505229"/>
    <w:rsid w:val="00507F98"/>
    <w:rsid w:val="005108A3"/>
    <w:rsid w:val="00510DB5"/>
    <w:rsid w:val="00510F6E"/>
    <w:rsid w:val="00511422"/>
    <w:rsid w:val="005118AE"/>
    <w:rsid w:val="0051212F"/>
    <w:rsid w:val="0051587A"/>
    <w:rsid w:val="005158FA"/>
    <w:rsid w:val="005169AD"/>
    <w:rsid w:val="005208B9"/>
    <w:rsid w:val="005212EB"/>
    <w:rsid w:val="005221F0"/>
    <w:rsid w:val="0052256B"/>
    <w:rsid w:val="00522AE6"/>
    <w:rsid w:val="0052379E"/>
    <w:rsid w:val="005237D2"/>
    <w:rsid w:val="00523E07"/>
    <w:rsid w:val="00524140"/>
    <w:rsid w:val="00524807"/>
    <w:rsid w:val="005252FE"/>
    <w:rsid w:val="00525FF9"/>
    <w:rsid w:val="00532C41"/>
    <w:rsid w:val="00532D3F"/>
    <w:rsid w:val="00532DC5"/>
    <w:rsid w:val="00532F75"/>
    <w:rsid w:val="0053386D"/>
    <w:rsid w:val="00533A2A"/>
    <w:rsid w:val="00533A3F"/>
    <w:rsid w:val="00534700"/>
    <w:rsid w:val="0053791F"/>
    <w:rsid w:val="00540AA5"/>
    <w:rsid w:val="00542104"/>
    <w:rsid w:val="00544F5D"/>
    <w:rsid w:val="0054506E"/>
    <w:rsid w:val="005454D8"/>
    <w:rsid w:val="00546622"/>
    <w:rsid w:val="00547538"/>
    <w:rsid w:val="005502FA"/>
    <w:rsid w:val="005522E0"/>
    <w:rsid w:val="00553BFA"/>
    <w:rsid w:val="005546C5"/>
    <w:rsid w:val="00554D05"/>
    <w:rsid w:val="0056077E"/>
    <w:rsid w:val="00560EDA"/>
    <w:rsid w:val="0056212D"/>
    <w:rsid w:val="005629EE"/>
    <w:rsid w:val="00562D53"/>
    <w:rsid w:val="0056378C"/>
    <w:rsid w:val="00563E46"/>
    <w:rsid w:val="00564472"/>
    <w:rsid w:val="0056447C"/>
    <w:rsid w:val="005648FA"/>
    <w:rsid w:val="00564D50"/>
    <w:rsid w:val="00567346"/>
    <w:rsid w:val="0057371B"/>
    <w:rsid w:val="00573F55"/>
    <w:rsid w:val="005752EA"/>
    <w:rsid w:val="00575EB8"/>
    <w:rsid w:val="0057613A"/>
    <w:rsid w:val="00576E5E"/>
    <w:rsid w:val="00582A9B"/>
    <w:rsid w:val="005832AB"/>
    <w:rsid w:val="00583C53"/>
    <w:rsid w:val="00584001"/>
    <w:rsid w:val="0058437C"/>
    <w:rsid w:val="00587B6A"/>
    <w:rsid w:val="00592E6E"/>
    <w:rsid w:val="005935F4"/>
    <w:rsid w:val="00593E0A"/>
    <w:rsid w:val="005963C1"/>
    <w:rsid w:val="005965DA"/>
    <w:rsid w:val="00596683"/>
    <w:rsid w:val="005A0DFB"/>
    <w:rsid w:val="005A167F"/>
    <w:rsid w:val="005A346E"/>
    <w:rsid w:val="005A454E"/>
    <w:rsid w:val="005A4EE0"/>
    <w:rsid w:val="005A5A3E"/>
    <w:rsid w:val="005A73CF"/>
    <w:rsid w:val="005B3F6F"/>
    <w:rsid w:val="005B4002"/>
    <w:rsid w:val="005B41F4"/>
    <w:rsid w:val="005B528A"/>
    <w:rsid w:val="005B798B"/>
    <w:rsid w:val="005B7DA8"/>
    <w:rsid w:val="005C1FAE"/>
    <w:rsid w:val="005C39E8"/>
    <w:rsid w:val="005C5660"/>
    <w:rsid w:val="005C7072"/>
    <w:rsid w:val="005C71E4"/>
    <w:rsid w:val="005C72E3"/>
    <w:rsid w:val="005C7776"/>
    <w:rsid w:val="005D11B2"/>
    <w:rsid w:val="005D1299"/>
    <w:rsid w:val="005D17C2"/>
    <w:rsid w:val="005D33D8"/>
    <w:rsid w:val="005D3CF4"/>
    <w:rsid w:val="005D4788"/>
    <w:rsid w:val="005D48D7"/>
    <w:rsid w:val="005D4B68"/>
    <w:rsid w:val="005D6D4B"/>
    <w:rsid w:val="005D783D"/>
    <w:rsid w:val="005E0ABB"/>
    <w:rsid w:val="005E0C85"/>
    <w:rsid w:val="005E11C1"/>
    <w:rsid w:val="005E2563"/>
    <w:rsid w:val="005E2EBE"/>
    <w:rsid w:val="005E31AC"/>
    <w:rsid w:val="005E394C"/>
    <w:rsid w:val="005E42BF"/>
    <w:rsid w:val="005E4E70"/>
    <w:rsid w:val="005E65BB"/>
    <w:rsid w:val="005F0143"/>
    <w:rsid w:val="005F0161"/>
    <w:rsid w:val="005F0DA0"/>
    <w:rsid w:val="005F2767"/>
    <w:rsid w:val="005F4914"/>
    <w:rsid w:val="005F62B7"/>
    <w:rsid w:val="005F67FC"/>
    <w:rsid w:val="005F6869"/>
    <w:rsid w:val="005F6BB9"/>
    <w:rsid w:val="005F7141"/>
    <w:rsid w:val="00603148"/>
    <w:rsid w:val="00603BAA"/>
    <w:rsid w:val="00606FC7"/>
    <w:rsid w:val="00610456"/>
    <w:rsid w:val="0061053A"/>
    <w:rsid w:val="00611473"/>
    <w:rsid w:val="006115A8"/>
    <w:rsid w:val="00611B36"/>
    <w:rsid w:val="0061378B"/>
    <w:rsid w:val="00613A34"/>
    <w:rsid w:val="00615ADA"/>
    <w:rsid w:val="00616408"/>
    <w:rsid w:val="006221CD"/>
    <w:rsid w:val="00622220"/>
    <w:rsid w:val="00622E32"/>
    <w:rsid w:val="006245B5"/>
    <w:rsid w:val="006266A9"/>
    <w:rsid w:val="00630426"/>
    <w:rsid w:val="006316C1"/>
    <w:rsid w:val="00631ED4"/>
    <w:rsid w:val="006320E0"/>
    <w:rsid w:val="00633BC7"/>
    <w:rsid w:val="00633C24"/>
    <w:rsid w:val="00635015"/>
    <w:rsid w:val="00635174"/>
    <w:rsid w:val="00635AC7"/>
    <w:rsid w:val="00635E9C"/>
    <w:rsid w:val="0063753F"/>
    <w:rsid w:val="00637B41"/>
    <w:rsid w:val="00637EFA"/>
    <w:rsid w:val="00640197"/>
    <w:rsid w:val="006414EE"/>
    <w:rsid w:val="00641BDE"/>
    <w:rsid w:val="00642524"/>
    <w:rsid w:val="00642D0A"/>
    <w:rsid w:val="0064431A"/>
    <w:rsid w:val="0064630E"/>
    <w:rsid w:val="00646FE1"/>
    <w:rsid w:val="00647075"/>
    <w:rsid w:val="00647BDA"/>
    <w:rsid w:val="0065043E"/>
    <w:rsid w:val="00651E31"/>
    <w:rsid w:val="00652C65"/>
    <w:rsid w:val="0065380A"/>
    <w:rsid w:val="0065413A"/>
    <w:rsid w:val="0065581D"/>
    <w:rsid w:val="00655C2F"/>
    <w:rsid w:val="00655DD3"/>
    <w:rsid w:val="00657765"/>
    <w:rsid w:val="00657D75"/>
    <w:rsid w:val="00660403"/>
    <w:rsid w:val="00660552"/>
    <w:rsid w:val="006609F2"/>
    <w:rsid w:val="00661140"/>
    <w:rsid w:val="00663594"/>
    <w:rsid w:val="00664999"/>
    <w:rsid w:val="0066578D"/>
    <w:rsid w:val="006659D2"/>
    <w:rsid w:val="00665C4B"/>
    <w:rsid w:val="00670863"/>
    <w:rsid w:val="00670B10"/>
    <w:rsid w:val="00670C03"/>
    <w:rsid w:val="006710DD"/>
    <w:rsid w:val="00671DA8"/>
    <w:rsid w:val="00671FC9"/>
    <w:rsid w:val="00673200"/>
    <w:rsid w:val="0067499B"/>
    <w:rsid w:val="0067501E"/>
    <w:rsid w:val="006773D2"/>
    <w:rsid w:val="00680498"/>
    <w:rsid w:val="00680581"/>
    <w:rsid w:val="00680B2D"/>
    <w:rsid w:val="00681A41"/>
    <w:rsid w:val="006821B2"/>
    <w:rsid w:val="0068380E"/>
    <w:rsid w:val="006838C0"/>
    <w:rsid w:val="006857EB"/>
    <w:rsid w:val="00685901"/>
    <w:rsid w:val="00685BB9"/>
    <w:rsid w:val="00686EAB"/>
    <w:rsid w:val="00687E61"/>
    <w:rsid w:val="00690127"/>
    <w:rsid w:val="0069101F"/>
    <w:rsid w:val="00691BFF"/>
    <w:rsid w:val="00692C52"/>
    <w:rsid w:val="006953C1"/>
    <w:rsid w:val="00696EB2"/>
    <w:rsid w:val="006A1466"/>
    <w:rsid w:val="006A1600"/>
    <w:rsid w:val="006A16E9"/>
    <w:rsid w:val="006A5450"/>
    <w:rsid w:val="006B0199"/>
    <w:rsid w:val="006B0A32"/>
    <w:rsid w:val="006B0BD8"/>
    <w:rsid w:val="006B301A"/>
    <w:rsid w:val="006B34B6"/>
    <w:rsid w:val="006B4557"/>
    <w:rsid w:val="006C0251"/>
    <w:rsid w:val="006C1AD3"/>
    <w:rsid w:val="006C2B9A"/>
    <w:rsid w:val="006C39BB"/>
    <w:rsid w:val="006C4502"/>
    <w:rsid w:val="006C6114"/>
    <w:rsid w:val="006C68C0"/>
    <w:rsid w:val="006C6C6A"/>
    <w:rsid w:val="006D1CFC"/>
    <w:rsid w:val="006D2288"/>
    <w:rsid w:val="006D4464"/>
    <w:rsid w:val="006D4EF4"/>
    <w:rsid w:val="006D5E91"/>
    <w:rsid w:val="006D7E87"/>
    <w:rsid w:val="006E10B2"/>
    <w:rsid w:val="006E14E6"/>
    <w:rsid w:val="006E1AEE"/>
    <w:rsid w:val="006E2F52"/>
    <w:rsid w:val="006E32A9"/>
    <w:rsid w:val="006E3B9C"/>
    <w:rsid w:val="006E3E10"/>
    <w:rsid w:val="006E4DE9"/>
    <w:rsid w:val="006E51A2"/>
    <w:rsid w:val="006F0953"/>
    <w:rsid w:val="006F0DE2"/>
    <w:rsid w:val="006F11BD"/>
    <w:rsid w:val="006F25B4"/>
    <w:rsid w:val="006F32C7"/>
    <w:rsid w:val="006F3392"/>
    <w:rsid w:val="006F3495"/>
    <w:rsid w:val="006F417D"/>
    <w:rsid w:val="006F5C83"/>
    <w:rsid w:val="006F67CC"/>
    <w:rsid w:val="006F6B89"/>
    <w:rsid w:val="006F6E73"/>
    <w:rsid w:val="00701A6B"/>
    <w:rsid w:val="00701C2D"/>
    <w:rsid w:val="00702162"/>
    <w:rsid w:val="00703930"/>
    <w:rsid w:val="007040BE"/>
    <w:rsid w:val="0070610E"/>
    <w:rsid w:val="00707759"/>
    <w:rsid w:val="00707C0F"/>
    <w:rsid w:val="00710081"/>
    <w:rsid w:val="00710B0D"/>
    <w:rsid w:val="0071343E"/>
    <w:rsid w:val="00713907"/>
    <w:rsid w:val="00713CB5"/>
    <w:rsid w:val="0071434A"/>
    <w:rsid w:val="00714E3F"/>
    <w:rsid w:val="0071558B"/>
    <w:rsid w:val="0071776A"/>
    <w:rsid w:val="00717893"/>
    <w:rsid w:val="007207E5"/>
    <w:rsid w:val="00720812"/>
    <w:rsid w:val="00721189"/>
    <w:rsid w:val="007221C3"/>
    <w:rsid w:val="007227E4"/>
    <w:rsid w:val="00722F2C"/>
    <w:rsid w:val="007254D1"/>
    <w:rsid w:val="00725B32"/>
    <w:rsid w:val="00725B3C"/>
    <w:rsid w:val="007270A0"/>
    <w:rsid w:val="00727948"/>
    <w:rsid w:val="00732B42"/>
    <w:rsid w:val="00733D54"/>
    <w:rsid w:val="00736A4F"/>
    <w:rsid w:val="0073708B"/>
    <w:rsid w:val="00737753"/>
    <w:rsid w:val="00737768"/>
    <w:rsid w:val="00737DFE"/>
    <w:rsid w:val="00740BB8"/>
    <w:rsid w:val="00740CE9"/>
    <w:rsid w:val="007428E3"/>
    <w:rsid w:val="0074394E"/>
    <w:rsid w:val="007441DC"/>
    <w:rsid w:val="0074422D"/>
    <w:rsid w:val="00750AED"/>
    <w:rsid w:val="00750D0A"/>
    <w:rsid w:val="00751D93"/>
    <w:rsid w:val="00752300"/>
    <w:rsid w:val="00753BF5"/>
    <w:rsid w:val="0075466E"/>
    <w:rsid w:val="007546F8"/>
    <w:rsid w:val="0075579B"/>
    <w:rsid w:val="00755BAB"/>
    <w:rsid w:val="00755F5B"/>
    <w:rsid w:val="00757273"/>
    <w:rsid w:val="00757ECC"/>
    <w:rsid w:val="0076080E"/>
    <w:rsid w:val="00762C91"/>
    <w:rsid w:val="0076411D"/>
    <w:rsid w:val="00764505"/>
    <w:rsid w:val="00764D4B"/>
    <w:rsid w:val="0076670C"/>
    <w:rsid w:val="0076690F"/>
    <w:rsid w:val="007670F8"/>
    <w:rsid w:val="007671D4"/>
    <w:rsid w:val="0077019D"/>
    <w:rsid w:val="00770A85"/>
    <w:rsid w:val="00773C8C"/>
    <w:rsid w:val="00773DC9"/>
    <w:rsid w:val="0077572E"/>
    <w:rsid w:val="00777BE4"/>
    <w:rsid w:val="00777F55"/>
    <w:rsid w:val="0078031B"/>
    <w:rsid w:val="007803D0"/>
    <w:rsid w:val="00784F44"/>
    <w:rsid w:val="00786672"/>
    <w:rsid w:val="007872CF"/>
    <w:rsid w:val="00790668"/>
    <w:rsid w:val="0079201C"/>
    <w:rsid w:val="007926D0"/>
    <w:rsid w:val="0079307F"/>
    <w:rsid w:val="007940C5"/>
    <w:rsid w:val="007947C4"/>
    <w:rsid w:val="00795812"/>
    <w:rsid w:val="00795CE1"/>
    <w:rsid w:val="00796540"/>
    <w:rsid w:val="00796F33"/>
    <w:rsid w:val="007976DB"/>
    <w:rsid w:val="007A047D"/>
    <w:rsid w:val="007A0646"/>
    <w:rsid w:val="007A06AC"/>
    <w:rsid w:val="007A1B2F"/>
    <w:rsid w:val="007A31B8"/>
    <w:rsid w:val="007A4636"/>
    <w:rsid w:val="007A513E"/>
    <w:rsid w:val="007A54E2"/>
    <w:rsid w:val="007A5510"/>
    <w:rsid w:val="007A5B78"/>
    <w:rsid w:val="007B1014"/>
    <w:rsid w:val="007B103F"/>
    <w:rsid w:val="007B1076"/>
    <w:rsid w:val="007B1484"/>
    <w:rsid w:val="007B1A10"/>
    <w:rsid w:val="007B31AB"/>
    <w:rsid w:val="007B3268"/>
    <w:rsid w:val="007B37F1"/>
    <w:rsid w:val="007B42D3"/>
    <w:rsid w:val="007B46D9"/>
    <w:rsid w:val="007B6659"/>
    <w:rsid w:val="007B6C39"/>
    <w:rsid w:val="007B76AB"/>
    <w:rsid w:val="007B7DBD"/>
    <w:rsid w:val="007C039F"/>
    <w:rsid w:val="007C264B"/>
    <w:rsid w:val="007C309E"/>
    <w:rsid w:val="007C322E"/>
    <w:rsid w:val="007C33AD"/>
    <w:rsid w:val="007C3A2B"/>
    <w:rsid w:val="007C45D3"/>
    <w:rsid w:val="007C597B"/>
    <w:rsid w:val="007C5DDD"/>
    <w:rsid w:val="007C6FFD"/>
    <w:rsid w:val="007C760C"/>
    <w:rsid w:val="007D08FD"/>
    <w:rsid w:val="007D0A87"/>
    <w:rsid w:val="007D1584"/>
    <w:rsid w:val="007D2044"/>
    <w:rsid w:val="007D4F33"/>
    <w:rsid w:val="007D554B"/>
    <w:rsid w:val="007D65C7"/>
    <w:rsid w:val="007D7475"/>
    <w:rsid w:val="007D74D2"/>
    <w:rsid w:val="007D79B5"/>
    <w:rsid w:val="007E0419"/>
    <w:rsid w:val="007E0DCA"/>
    <w:rsid w:val="007E18B3"/>
    <w:rsid w:val="007E2334"/>
    <w:rsid w:val="007E23CE"/>
    <w:rsid w:val="007E2CE7"/>
    <w:rsid w:val="007E4041"/>
    <w:rsid w:val="007E4269"/>
    <w:rsid w:val="007E43D0"/>
    <w:rsid w:val="007E4F00"/>
    <w:rsid w:val="007E54F8"/>
    <w:rsid w:val="007E5987"/>
    <w:rsid w:val="007E5BD8"/>
    <w:rsid w:val="007E5BED"/>
    <w:rsid w:val="007E6FA7"/>
    <w:rsid w:val="007E71EA"/>
    <w:rsid w:val="007E7BF9"/>
    <w:rsid w:val="007F0235"/>
    <w:rsid w:val="007F02BC"/>
    <w:rsid w:val="007F1670"/>
    <w:rsid w:val="007F1D17"/>
    <w:rsid w:val="007F20D7"/>
    <w:rsid w:val="007F2E65"/>
    <w:rsid w:val="007F3CDF"/>
    <w:rsid w:val="007F43BA"/>
    <w:rsid w:val="007F45D1"/>
    <w:rsid w:val="007F595A"/>
    <w:rsid w:val="007F64BE"/>
    <w:rsid w:val="007F66BA"/>
    <w:rsid w:val="007F6DC3"/>
    <w:rsid w:val="008006B4"/>
    <w:rsid w:val="008015B6"/>
    <w:rsid w:val="00803FD4"/>
    <w:rsid w:val="0080459B"/>
    <w:rsid w:val="0080481C"/>
    <w:rsid w:val="00804990"/>
    <w:rsid w:val="00804C54"/>
    <w:rsid w:val="008056DD"/>
    <w:rsid w:val="00806E4A"/>
    <w:rsid w:val="008101CD"/>
    <w:rsid w:val="00810D3E"/>
    <w:rsid w:val="0081104C"/>
    <w:rsid w:val="008121F2"/>
    <w:rsid w:val="00812D16"/>
    <w:rsid w:val="0081315F"/>
    <w:rsid w:val="00816C51"/>
    <w:rsid w:val="008175B3"/>
    <w:rsid w:val="00820708"/>
    <w:rsid w:val="00821865"/>
    <w:rsid w:val="008225EB"/>
    <w:rsid w:val="0082327D"/>
    <w:rsid w:val="0082433D"/>
    <w:rsid w:val="0082445A"/>
    <w:rsid w:val="008247E9"/>
    <w:rsid w:val="00825558"/>
    <w:rsid w:val="00826509"/>
    <w:rsid w:val="00826B20"/>
    <w:rsid w:val="00831B01"/>
    <w:rsid w:val="0083354D"/>
    <w:rsid w:val="0083561B"/>
    <w:rsid w:val="00837D78"/>
    <w:rsid w:val="00840D79"/>
    <w:rsid w:val="00840FD3"/>
    <w:rsid w:val="0084128E"/>
    <w:rsid w:val="00842A21"/>
    <w:rsid w:val="008442F6"/>
    <w:rsid w:val="00845DAD"/>
    <w:rsid w:val="00846172"/>
    <w:rsid w:val="00846DC9"/>
    <w:rsid w:val="00851377"/>
    <w:rsid w:val="008513C1"/>
    <w:rsid w:val="00851AE0"/>
    <w:rsid w:val="0085375B"/>
    <w:rsid w:val="0085437C"/>
    <w:rsid w:val="00854B2F"/>
    <w:rsid w:val="00855481"/>
    <w:rsid w:val="00855508"/>
    <w:rsid w:val="00856354"/>
    <w:rsid w:val="008563CD"/>
    <w:rsid w:val="008568E1"/>
    <w:rsid w:val="00856BE9"/>
    <w:rsid w:val="00856F6B"/>
    <w:rsid w:val="008578F8"/>
    <w:rsid w:val="00857E29"/>
    <w:rsid w:val="00860566"/>
    <w:rsid w:val="0086129A"/>
    <w:rsid w:val="0086165C"/>
    <w:rsid w:val="00861B26"/>
    <w:rsid w:val="00862EED"/>
    <w:rsid w:val="008634FF"/>
    <w:rsid w:val="00863A18"/>
    <w:rsid w:val="008640FA"/>
    <w:rsid w:val="008643FC"/>
    <w:rsid w:val="008645FF"/>
    <w:rsid w:val="008648F8"/>
    <w:rsid w:val="008649B9"/>
    <w:rsid w:val="008657DF"/>
    <w:rsid w:val="00865D13"/>
    <w:rsid w:val="00865DBD"/>
    <w:rsid w:val="00867040"/>
    <w:rsid w:val="0086784F"/>
    <w:rsid w:val="00870394"/>
    <w:rsid w:val="0087073B"/>
    <w:rsid w:val="00873967"/>
    <w:rsid w:val="00874381"/>
    <w:rsid w:val="008743BB"/>
    <w:rsid w:val="00874C17"/>
    <w:rsid w:val="00875E32"/>
    <w:rsid w:val="008763DF"/>
    <w:rsid w:val="008770D4"/>
    <w:rsid w:val="008800E5"/>
    <w:rsid w:val="0088127F"/>
    <w:rsid w:val="008815EF"/>
    <w:rsid w:val="0088370A"/>
    <w:rsid w:val="00883ED5"/>
    <w:rsid w:val="00885273"/>
    <w:rsid w:val="00885F2C"/>
    <w:rsid w:val="008861F4"/>
    <w:rsid w:val="00886386"/>
    <w:rsid w:val="0088701C"/>
    <w:rsid w:val="00891C95"/>
    <w:rsid w:val="00891D76"/>
    <w:rsid w:val="00892459"/>
    <w:rsid w:val="008929AA"/>
    <w:rsid w:val="00892AA5"/>
    <w:rsid w:val="0089499B"/>
    <w:rsid w:val="00894ACA"/>
    <w:rsid w:val="00894EC5"/>
    <w:rsid w:val="00895B09"/>
    <w:rsid w:val="008961FB"/>
    <w:rsid w:val="00896658"/>
    <w:rsid w:val="008967B5"/>
    <w:rsid w:val="008A03AC"/>
    <w:rsid w:val="008A06DF"/>
    <w:rsid w:val="008A1008"/>
    <w:rsid w:val="008A3258"/>
    <w:rsid w:val="008A345A"/>
    <w:rsid w:val="008A3DB9"/>
    <w:rsid w:val="008A5552"/>
    <w:rsid w:val="008A6A5C"/>
    <w:rsid w:val="008A7316"/>
    <w:rsid w:val="008A7352"/>
    <w:rsid w:val="008B01A4"/>
    <w:rsid w:val="008B1696"/>
    <w:rsid w:val="008B4A1C"/>
    <w:rsid w:val="008B500A"/>
    <w:rsid w:val="008B5CB3"/>
    <w:rsid w:val="008B7973"/>
    <w:rsid w:val="008C090B"/>
    <w:rsid w:val="008C1610"/>
    <w:rsid w:val="008C2F1E"/>
    <w:rsid w:val="008C30E5"/>
    <w:rsid w:val="008C3B5B"/>
    <w:rsid w:val="008C409F"/>
    <w:rsid w:val="008C602D"/>
    <w:rsid w:val="008C6BCC"/>
    <w:rsid w:val="008D098D"/>
    <w:rsid w:val="008D0CBD"/>
    <w:rsid w:val="008D135A"/>
    <w:rsid w:val="008D2205"/>
    <w:rsid w:val="008D2259"/>
    <w:rsid w:val="008D2331"/>
    <w:rsid w:val="008D28EA"/>
    <w:rsid w:val="008D347F"/>
    <w:rsid w:val="008D35AD"/>
    <w:rsid w:val="008D36CD"/>
    <w:rsid w:val="008D4380"/>
    <w:rsid w:val="008D48D1"/>
    <w:rsid w:val="008D4EED"/>
    <w:rsid w:val="008D52E1"/>
    <w:rsid w:val="008D6BE8"/>
    <w:rsid w:val="008E27E9"/>
    <w:rsid w:val="008E2A0F"/>
    <w:rsid w:val="008E42DE"/>
    <w:rsid w:val="008E5373"/>
    <w:rsid w:val="008E66A2"/>
    <w:rsid w:val="008F0445"/>
    <w:rsid w:val="008F0CAC"/>
    <w:rsid w:val="008F1F3A"/>
    <w:rsid w:val="008F2C49"/>
    <w:rsid w:val="008F32CD"/>
    <w:rsid w:val="008F36F0"/>
    <w:rsid w:val="008F4304"/>
    <w:rsid w:val="008F66BC"/>
    <w:rsid w:val="008F7CFF"/>
    <w:rsid w:val="008F7ED1"/>
    <w:rsid w:val="008F7FEA"/>
    <w:rsid w:val="009018CF"/>
    <w:rsid w:val="00901C8D"/>
    <w:rsid w:val="00904945"/>
    <w:rsid w:val="00904A4D"/>
    <w:rsid w:val="00905643"/>
    <w:rsid w:val="00905EE9"/>
    <w:rsid w:val="009065F4"/>
    <w:rsid w:val="009075A7"/>
    <w:rsid w:val="009076A7"/>
    <w:rsid w:val="00907DD5"/>
    <w:rsid w:val="00907DFB"/>
    <w:rsid w:val="00910624"/>
    <w:rsid w:val="00910FBA"/>
    <w:rsid w:val="00911D39"/>
    <w:rsid w:val="00912B9F"/>
    <w:rsid w:val="00912BFD"/>
    <w:rsid w:val="00912E25"/>
    <w:rsid w:val="00914BE6"/>
    <w:rsid w:val="00914E0E"/>
    <w:rsid w:val="009173DF"/>
    <w:rsid w:val="00917907"/>
    <w:rsid w:val="00917C0F"/>
    <w:rsid w:val="0092040E"/>
    <w:rsid w:val="00920C6C"/>
    <w:rsid w:val="00921897"/>
    <w:rsid w:val="00921C6D"/>
    <w:rsid w:val="009227D9"/>
    <w:rsid w:val="009232A2"/>
    <w:rsid w:val="00923C44"/>
    <w:rsid w:val="0092505A"/>
    <w:rsid w:val="00925180"/>
    <w:rsid w:val="00927791"/>
    <w:rsid w:val="00927FCA"/>
    <w:rsid w:val="00930607"/>
    <w:rsid w:val="00930D0A"/>
    <w:rsid w:val="009329BA"/>
    <w:rsid w:val="0093304D"/>
    <w:rsid w:val="009348E5"/>
    <w:rsid w:val="00934A94"/>
    <w:rsid w:val="00934DBA"/>
    <w:rsid w:val="00935536"/>
    <w:rsid w:val="00936939"/>
    <w:rsid w:val="00937479"/>
    <w:rsid w:val="0094053B"/>
    <w:rsid w:val="009413E2"/>
    <w:rsid w:val="009417F7"/>
    <w:rsid w:val="00942040"/>
    <w:rsid w:val="0094258D"/>
    <w:rsid w:val="00942C9F"/>
    <w:rsid w:val="00942EFC"/>
    <w:rsid w:val="00943F98"/>
    <w:rsid w:val="009445C9"/>
    <w:rsid w:val="00945631"/>
    <w:rsid w:val="00947549"/>
    <w:rsid w:val="00947CF3"/>
    <w:rsid w:val="00955F6B"/>
    <w:rsid w:val="00956C5C"/>
    <w:rsid w:val="009572C4"/>
    <w:rsid w:val="0095793C"/>
    <w:rsid w:val="0096045D"/>
    <w:rsid w:val="0096111E"/>
    <w:rsid w:val="00961125"/>
    <w:rsid w:val="009623D8"/>
    <w:rsid w:val="00963362"/>
    <w:rsid w:val="00963BD1"/>
    <w:rsid w:val="009641CC"/>
    <w:rsid w:val="00966AD5"/>
    <w:rsid w:val="00966B1F"/>
    <w:rsid w:val="00967D26"/>
    <w:rsid w:val="00970A7E"/>
    <w:rsid w:val="0097116E"/>
    <w:rsid w:val="00972BF8"/>
    <w:rsid w:val="00972EF6"/>
    <w:rsid w:val="00973CB3"/>
    <w:rsid w:val="00974518"/>
    <w:rsid w:val="009747F1"/>
    <w:rsid w:val="00974F2B"/>
    <w:rsid w:val="0097513C"/>
    <w:rsid w:val="00975617"/>
    <w:rsid w:val="00975D53"/>
    <w:rsid w:val="00976C34"/>
    <w:rsid w:val="0098035D"/>
    <w:rsid w:val="00980FE0"/>
    <w:rsid w:val="00985686"/>
    <w:rsid w:val="00985F8B"/>
    <w:rsid w:val="00987D67"/>
    <w:rsid w:val="00990C3B"/>
    <w:rsid w:val="00991CBD"/>
    <w:rsid w:val="009921E6"/>
    <w:rsid w:val="009928B7"/>
    <w:rsid w:val="0099321A"/>
    <w:rsid w:val="009947E8"/>
    <w:rsid w:val="009960B7"/>
    <w:rsid w:val="00996F08"/>
    <w:rsid w:val="009972FE"/>
    <w:rsid w:val="009A18AD"/>
    <w:rsid w:val="009A4C2D"/>
    <w:rsid w:val="009B0152"/>
    <w:rsid w:val="009B061C"/>
    <w:rsid w:val="009B23D5"/>
    <w:rsid w:val="009B2C91"/>
    <w:rsid w:val="009B3096"/>
    <w:rsid w:val="009B3DC4"/>
    <w:rsid w:val="009B536C"/>
    <w:rsid w:val="009B5C19"/>
    <w:rsid w:val="009B6496"/>
    <w:rsid w:val="009C01DA"/>
    <w:rsid w:val="009C03B2"/>
    <w:rsid w:val="009C10C1"/>
    <w:rsid w:val="009C1528"/>
    <w:rsid w:val="009C20CC"/>
    <w:rsid w:val="009C2BDF"/>
    <w:rsid w:val="009C3057"/>
    <w:rsid w:val="009C3558"/>
    <w:rsid w:val="009C504A"/>
    <w:rsid w:val="009C562E"/>
    <w:rsid w:val="009C5E44"/>
    <w:rsid w:val="009C7531"/>
    <w:rsid w:val="009C7651"/>
    <w:rsid w:val="009D0862"/>
    <w:rsid w:val="009D220C"/>
    <w:rsid w:val="009D221F"/>
    <w:rsid w:val="009D2267"/>
    <w:rsid w:val="009D55B7"/>
    <w:rsid w:val="009E035D"/>
    <w:rsid w:val="009E09F0"/>
    <w:rsid w:val="009E0DBC"/>
    <w:rsid w:val="009E19E8"/>
    <w:rsid w:val="009E377C"/>
    <w:rsid w:val="009E3CD6"/>
    <w:rsid w:val="009E411C"/>
    <w:rsid w:val="009E44EC"/>
    <w:rsid w:val="009E458A"/>
    <w:rsid w:val="009E4ED8"/>
    <w:rsid w:val="009E5316"/>
    <w:rsid w:val="009E5D7C"/>
    <w:rsid w:val="009E5DFC"/>
    <w:rsid w:val="009E68E0"/>
    <w:rsid w:val="009E6B3B"/>
    <w:rsid w:val="009E728F"/>
    <w:rsid w:val="009E74EA"/>
    <w:rsid w:val="009F1789"/>
    <w:rsid w:val="009F2E3B"/>
    <w:rsid w:val="009F36D2"/>
    <w:rsid w:val="009F39E9"/>
    <w:rsid w:val="009F3B6B"/>
    <w:rsid w:val="009F4504"/>
    <w:rsid w:val="009F4E10"/>
    <w:rsid w:val="009F502C"/>
    <w:rsid w:val="009F58EC"/>
    <w:rsid w:val="009F603B"/>
    <w:rsid w:val="009F6987"/>
    <w:rsid w:val="009F720F"/>
    <w:rsid w:val="00A010E7"/>
    <w:rsid w:val="00A01A17"/>
    <w:rsid w:val="00A01A60"/>
    <w:rsid w:val="00A02A8E"/>
    <w:rsid w:val="00A04AD9"/>
    <w:rsid w:val="00A05C86"/>
    <w:rsid w:val="00A06E6E"/>
    <w:rsid w:val="00A076F9"/>
    <w:rsid w:val="00A07997"/>
    <w:rsid w:val="00A07F87"/>
    <w:rsid w:val="00A11323"/>
    <w:rsid w:val="00A13659"/>
    <w:rsid w:val="00A158E7"/>
    <w:rsid w:val="00A1637F"/>
    <w:rsid w:val="00A206ED"/>
    <w:rsid w:val="00A20806"/>
    <w:rsid w:val="00A20C7F"/>
    <w:rsid w:val="00A21D41"/>
    <w:rsid w:val="00A22422"/>
    <w:rsid w:val="00A22DBA"/>
    <w:rsid w:val="00A22E32"/>
    <w:rsid w:val="00A230F6"/>
    <w:rsid w:val="00A2329D"/>
    <w:rsid w:val="00A238A8"/>
    <w:rsid w:val="00A2490E"/>
    <w:rsid w:val="00A25442"/>
    <w:rsid w:val="00A25BFF"/>
    <w:rsid w:val="00A26648"/>
    <w:rsid w:val="00A26B3B"/>
    <w:rsid w:val="00A26F79"/>
    <w:rsid w:val="00A27522"/>
    <w:rsid w:val="00A30F9A"/>
    <w:rsid w:val="00A3136F"/>
    <w:rsid w:val="00A3237A"/>
    <w:rsid w:val="00A34D0C"/>
    <w:rsid w:val="00A34D76"/>
    <w:rsid w:val="00A365D0"/>
    <w:rsid w:val="00A37645"/>
    <w:rsid w:val="00A402B8"/>
    <w:rsid w:val="00A4043E"/>
    <w:rsid w:val="00A4264A"/>
    <w:rsid w:val="00A437D9"/>
    <w:rsid w:val="00A43B7C"/>
    <w:rsid w:val="00A43C16"/>
    <w:rsid w:val="00A4422A"/>
    <w:rsid w:val="00A443A6"/>
    <w:rsid w:val="00A45A1A"/>
    <w:rsid w:val="00A45E61"/>
    <w:rsid w:val="00A472DD"/>
    <w:rsid w:val="00A47E66"/>
    <w:rsid w:val="00A47F32"/>
    <w:rsid w:val="00A505E4"/>
    <w:rsid w:val="00A5185B"/>
    <w:rsid w:val="00A53220"/>
    <w:rsid w:val="00A535D5"/>
    <w:rsid w:val="00A538E6"/>
    <w:rsid w:val="00A54465"/>
    <w:rsid w:val="00A54514"/>
    <w:rsid w:val="00A5597C"/>
    <w:rsid w:val="00A55A3C"/>
    <w:rsid w:val="00A56102"/>
    <w:rsid w:val="00A56800"/>
    <w:rsid w:val="00A56D7E"/>
    <w:rsid w:val="00A57404"/>
    <w:rsid w:val="00A575BD"/>
    <w:rsid w:val="00A60EEC"/>
    <w:rsid w:val="00A617FB"/>
    <w:rsid w:val="00A63000"/>
    <w:rsid w:val="00A63B83"/>
    <w:rsid w:val="00A63F14"/>
    <w:rsid w:val="00A65BD9"/>
    <w:rsid w:val="00A66592"/>
    <w:rsid w:val="00A66718"/>
    <w:rsid w:val="00A66A7C"/>
    <w:rsid w:val="00A671EF"/>
    <w:rsid w:val="00A70B31"/>
    <w:rsid w:val="00A72672"/>
    <w:rsid w:val="00A734B6"/>
    <w:rsid w:val="00A73A74"/>
    <w:rsid w:val="00A759FE"/>
    <w:rsid w:val="00A75CF2"/>
    <w:rsid w:val="00A75FE1"/>
    <w:rsid w:val="00A76D67"/>
    <w:rsid w:val="00A77562"/>
    <w:rsid w:val="00A776B8"/>
    <w:rsid w:val="00A77DB9"/>
    <w:rsid w:val="00A81EB6"/>
    <w:rsid w:val="00A82F2D"/>
    <w:rsid w:val="00A837FE"/>
    <w:rsid w:val="00A85357"/>
    <w:rsid w:val="00A871E5"/>
    <w:rsid w:val="00A87396"/>
    <w:rsid w:val="00A902DD"/>
    <w:rsid w:val="00A91617"/>
    <w:rsid w:val="00A91EAC"/>
    <w:rsid w:val="00A93C1C"/>
    <w:rsid w:val="00A94FF2"/>
    <w:rsid w:val="00A96FA8"/>
    <w:rsid w:val="00A9770A"/>
    <w:rsid w:val="00AA0230"/>
    <w:rsid w:val="00AA0A43"/>
    <w:rsid w:val="00AA0DD3"/>
    <w:rsid w:val="00AA1C07"/>
    <w:rsid w:val="00AA2F04"/>
    <w:rsid w:val="00AA3688"/>
    <w:rsid w:val="00AA5887"/>
    <w:rsid w:val="00AA6A7B"/>
    <w:rsid w:val="00AB19F8"/>
    <w:rsid w:val="00AB2A61"/>
    <w:rsid w:val="00AB3A12"/>
    <w:rsid w:val="00AB49D5"/>
    <w:rsid w:val="00AB4FB3"/>
    <w:rsid w:val="00AB59FE"/>
    <w:rsid w:val="00AB5A8D"/>
    <w:rsid w:val="00AB6642"/>
    <w:rsid w:val="00AC11C1"/>
    <w:rsid w:val="00AC26A9"/>
    <w:rsid w:val="00AC2EFE"/>
    <w:rsid w:val="00AC3930"/>
    <w:rsid w:val="00AC3AB1"/>
    <w:rsid w:val="00AC68C6"/>
    <w:rsid w:val="00AC79C1"/>
    <w:rsid w:val="00AC7CA4"/>
    <w:rsid w:val="00AD1FF3"/>
    <w:rsid w:val="00AD3409"/>
    <w:rsid w:val="00AD41A2"/>
    <w:rsid w:val="00AD493B"/>
    <w:rsid w:val="00AD4A64"/>
    <w:rsid w:val="00AD4D4E"/>
    <w:rsid w:val="00AD598F"/>
    <w:rsid w:val="00AD6D09"/>
    <w:rsid w:val="00AD78CE"/>
    <w:rsid w:val="00AE07DA"/>
    <w:rsid w:val="00AE098E"/>
    <w:rsid w:val="00AE0BBA"/>
    <w:rsid w:val="00AE2291"/>
    <w:rsid w:val="00AE25C8"/>
    <w:rsid w:val="00AE2CBE"/>
    <w:rsid w:val="00AE4003"/>
    <w:rsid w:val="00AE4113"/>
    <w:rsid w:val="00AE4380"/>
    <w:rsid w:val="00AE4FAC"/>
    <w:rsid w:val="00AE5525"/>
    <w:rsid w:val="00AE6381"/>
    <w:rsid w:val="00AE640C"/>
    <w:rsid w:val="00AE656F"/>
    <w:rsid w:val="00AE6CB0"/>
    <w:rsid w:val="00AE7C3A"/>
    <w:rsid w:val="00AE7D78"/>
    <w:rsid w:val="00AF0C33"/>
    <w:rsid w:val="00AF1BEE"/>
    <w:rsid w:val="00AF2CCF"/>
    <w:rsid w:val="00AF308B"/>
    <w:rsid w:val="00AF32D5"/>
    <w:rsid w:val="00AF41F6"/>
    <w:rsid w:val="00AF438E"/>
    <w:rsid w:val="00AF45CA"/>
    <w:rsid w:val="00AF4910"/>
    <w:rsid w:val="00AF5912"/>
    <w:rsid w:val="00AF5CEE"/>
    <w:rsid w:val="00AF6366"/>
    <w:rsid w:val="00AF6E4B"/>
    <w:rsid w:val="00AF7506"/>
    <w:rsid w:val="00AF7769"/>
    <w:rsid w:val="00B007DD"/>
    <w:rsid w:val="00B0097C"/>
    <w:rsid w:val="00B0098A"/>
    <w:rsid w:val="00B00F54"/>
    <w:rsid w:val="00B01016"/>
    <w:rsid w:val="00B0146E"/>
    <w:rsid w:val="00B02160"/>
    <w:rsid w:val="00B026E7"/>
    <w:rsid w:val="00B027CB"/>
    <w:rsid w:val="00B0352B"/>
    <w:rsid w:val="00B06370"/>
    <w:rsid w:val="00B073E6"/>
    <w:rsid w:val="00B074F8"/>
    <w:rsid w:val="00B11A3D"/>
    <w:rsid w:val="00B121B0"/>
    <w:rsid w:val="00B12D42"/>
    <w:rsid w:val="00B13B87"/>
    <w:rsid w:val="00B13F63"/>
    <w:rsid w:val="00B17FAB"/>
    <w:rsid w:val="00B21221"/>
    <w:rsid w:val="00B22C5F"/>
    <w:rsid w:val="00B230A3"/>
    <w:rsid w:val="00B23487"/>
    <w:rsid w:val="00B23687"/>
    <w:rsid w:val="00B25710"/>
    <w:rsid w:val="00B27B03"/>
    <w:rsid w:val="00B31160"/>
    <w:rsid w:val="00B31B62"/>
    <w:rsid w:val="00B31BCA"/>
    <w:rsid w:val="00B3208E"/>
    <w:rsid w:val="00B328C1"/>
    <w:rsid w:val="00B33711"/>
    <w:rsid w:val="00B34889"/>
    <w:rsid w:val="00B357FE"/>
    <w:rsid w:val="00B37550"/>
    <w:rsid w:val="00B402C6"/>
    <w:rsid w:val="00B4195B"/>
    <w:rsid w:val="00B41DC1"/>
    <w:rsid w:val="00B423BE"/>
    <w:rsid w:val="00B42607"/>
    <w:rsid w:val="00B42F69"/>
    <w:rsid w:val="00B43C2C"/>
    <w:rsid w:val="00B46EC7"/>
    <w:rsid w:val="00B50A91"/>
    <w:rsid w:val="00B5160B"/>
    <w:rsid w:val="00B51761"/>
    <w:rsid w:val="00B51871"/>
    <w:rsid w:val="00B52022"/>
    <w:rsid w:val="00B52187"/>
    <w:rsid w:val="00B544C8"/>
    <w:rsid w:val="00B54691"/>
    <w:rsid w:val="00B560DB"/>
    <w:rsid w:val="00B56D93"/>
    <w:rsid w:val="00B60CCD"/>
    <w:rsid w:val="00B62786"/>
    <w:rsid w:val="00B62854"/>
    <w:rsid w:val="00B62C0E"/>
    <w:rsid w:val="00B62EF1"/>
    <w:rsid w:val="00B63DE7"/>
    <w:rsid w:val="00B640CC"/>
    <w:rsid w:val="00B645B6"/>
    <w:rsid w:val="00B64B2F"/>
    <w:rsid w:val="00B664ED"/>
    <w:rsid w:val="00B667BF"/>
    <w:rsid w:val="00B674D6"/>
    <w:rsid w:val="00B6797D"/>
    <w:rsid w:val="00B67BF9"/>
    <w:rsid w:val="00B713FF"/>
    <w:rsid w:val="00B71803"/>
    <w:rsid w:val="00B7245B"/>
    <w:rsid w:val="00B735B8"/>
    <w:rsid w:val="00B73AC8"/>
    <w:rsid w:val="00B73D3E"/>
    <w:rsid w:val="00B73DC7"/>
    <w:rsid w:val="00B73FF8"/>
    <w:rsid w:val="00B74858"/>
    <w:rsid w:val="00B752EB"/>
    <w:rsid w:val="00B76313"/>
    <w:rsid w:val="00B77BE4"/>
    <w:rsid w:val="00B80863"/>
    <w:rsid w:val="00B812BE"/>
    <w:rsid w:val="00B813D5"/>
    <w:rsid w:val="00B81EA6"/>
    <w:rsid w:val="00B8258D"/>
    <w:rsid w:val="00B825B4"/>
    <w:rsid w:val="00B82860"/>
    <w:rsid w:val="00B83704"/>
    <w:rsid w:val="00B83900"/>
    <w:rsid w:val="00B84E7E"/>
    <w:rsid w:val="00B8643B"/>
    <w:rsid w:val="00B86608"/>
    <w:rsid w:val="00B875F2"/>
    <w:rsid w:val="00B87847"/>
    <w:rsid w:val="00B90477"/>
    <w:rsid w:val="00B91047"/>
    <w:rsid w:val="00B92AA5"/>
    <w:rsid w:val="00B9368A"/>
    <w:rsid w:val="00B93904"/>
    <w:rsid w:val="00B94C2B"/>
    <w:rsid w:val="00B955FE"/>
    <w:rsid w:val="00B96634"/>
    <w:rsid w:val="00B96744"/>
    <w:rsid w:val="00B97F4D"/>
    <w:rsid w:val="00BA010A"/>
    <w:rsid w:val="00BA0B9F"/>
    <w:rsid w:val="00BA126E"/>
    <w:rsid w:val="00BA3287"/>
    <w:rsid w:val="00BA5273"/>
    <w:rsid w:val="00BA5821"/>
    <w:rsid w:val="00BA6419"/>
    <w:rsid w:val="00BA6550"/>
    <w:rsid w:val="00BB0FC6"/>
    <w:rsid w:val="00BB3642"/>
    <w:rsid w:val="00BB4A3B"/>
    <w:rsid w:val="00BB59F6"/>
    <w:rsid w:val="00BB5EF0"/>
    <w:rsid w:val="00BB66AB"/>
    <w:rsid w:val="00BB7BBA"/>
    <w:rsid w:val="00BC0AD6"/>
    <w:rsid w:val="00BC122E"/>
    <w:rsid w:val="00BC3584"/>
    <w:rsid w:val="00BC5838"/>
    <w:rsid w:val="00BC6075"/>
    <w:rsid w:val="00BC6829"/>
    <w:rsid w:val="00BC6DC2"/>
    <w:rsid w:val="00BC6ECC"/>
    <w:rsid w:val="00BE4ED6"/>
    <w:rsid w:val="00BE54F3"/>
    <w:rsid w:val="00BE5F67"/>
    <w:rsid w:val="00BE7920"/>
    <w:rsid w:val="00BF1E46"/>
    <w:rsid w:val="00BF22CD"/>
    <w:rsid w:val="00BF2A3A"/>
    <w:rsid w:val="00BF2CD1"/>
    <w:rsid w:val="00BF4B6A"/>
    <w:rsid w:val="00BF5135"/>
    <w:rsid w:val="00BF5AB0"/>
    <w:rsid w:val="00BF7DD0"/>
    <w:rsid w:val="00C00312"/>
    <w:rsid w:val="00C00828"/>
    <w:rsid w:val="00C009F5"/>
    <w:rsid w:val="00C01129"/>
    <w:rsid w:val="00C015E8"/>
    <w:rsid w:val="00C01C1D"/>
    <w:rsid w:val="00C02239"/>
    <w:rsid w:val="00C022E1"/>
    <w:rsid w:val="00C0398D"/>
    <w:rsid w:val="00C03E65"/>
    <w:rsid w:val="00C03EA6"/>
    <w:rsid w:val="00C05C3D"/>
    <w:rsid w:val="00C071AC"/>
    <w:rsid w:val="00C07EF8"/>
    <w:rsid w:val="00C100F1"/>
    <w:rsid w:val="00C109A2"/>
    <w:rsid w:val="00C11E4C"/>
    <w:rsid w:val="00C12A1E"/>
    <w:rsid w:val="00C12CE4"/>
    <w:rsid w:val="00C145C8"/>
    <w:rsid w:val="00C14954"/>
    <w:rsid w:val="00C14E7E"/>
    <w:rsid w:val="00C1519B"/>
    <w:rsid w:val="00C15E15"/>
    <w:rsid w:val="00C16C78"/>
    <w:rsid w:val="00C179B0"/>
    <w:rsid w:val="00C2015D"/>
    <w:rsid w:val="00C20245"/>
    <w:rsid w:val="00C20CA6"/>
    <w:rsid w:val="00C226F9"/>
    <w:rsid w:val="00C23398"/>
    <w:rsid w:val="00C233E9"/>
    <w:rsid w:val="00C23B23"/>
    <w:rsid w:val="00C2428B"/>
    <w:rsid w:val="00C25B4E"/>
    <w:rsid w:val="00C25BB2"/>
    <w:rsid w:val="00C26C22"/>
    <w:rsid w:val="00C27B03"/>
    <w:rsid w:val="00C3089B"/>
    <w:rsid w:val="00C34B40"/>
    <w:rsid w:val="00C35836"/>
    <w:rsid w:val="00C35C15"/>
    <w:rsid w:val="00C378E7"/>
    <w:rsid w:val="00C4116B"/>
    <w:rsid w:val="00C41CD3"/>
    <w:rsid w:val="00C43438"/>
    <w:rsid w:val="00C44264"/>
    <w:rsid w:val="00C44632"/>
    <w:rsid w:val="00C46251"/>
    <w:rsid w:val="00C4790F"/>
    <w:rsid w:val="00C47FC0"/>
    <w:rsid w:val="00C5189F"/>
    <w:rsid w:val="00C52357"/>
    <w:rsid w:val="00C528CC"/>
    <w:rsid w:val="00C53ABD"/>
    <w:rsid w:val="00C53AD3"/>
    <w:rsid w:val="00C53C94"/>
    <w:rsid w:val="00C5485D"/>
    <w:rsid w:val="00C56A1A"/>
    <w:rsid w:val="00C57741"/>
    <w:rsid w:val="00C57E3F"/>
    <w:rsid w:val="00C6074F"/>
    <w:rsid w:val="00C6111C"/>
    <w:rsid w:val="00C6152D"/>
    <w:rsid w:val="00C62568"/>
    <w:rsid w:val="00C64143"/>
    <w:rsid w:val="00C6434D"/>
    <w:rsid w:val="00C652E5"/>
    <w:rsid w:val="00C67446"/>
    <w:rsid w:val="00C701F5"/>
    <w:rsid w:val="00C702CC"/>
    <w:rsid w:val="00C70898"/>
    <w:rsid w:val="00C70962"/>
    <w:rsid w:val="00C71674"/>
    <w:rsid w:val="00C742D9"/>
    <w:rsid w:val="00C76238"/>
    <w:rsid w:val="00C7697F"/>
    <w:rsid w:val="00C77AB6"/>
    <w:rsid w:val="00C8136C"/>
    <w:rsid w:val="00C823C1"/>
    <w:rsid w:val="00C8245B"/>
    <w:rsid w:val="00C828FF"/>
    <w:rsid w:val="00C82FAC"/>
    <w:rsid w:val="00C82FFA"/>
    <w:rsid w:val="00C837DE"/>
    <w:rsid w:val="00C84A1B"/>
    <w:rsid w:val="00C85521"/>
    <w:rsid w:val="00C856C0"/>
    <w:rsid w:val="00C85ECE"/>
    <w:rsid w:val="00C863EE"/>
    <w:rsid w:val="00C92646"/>
    <w:rsid w:val="00C9316A"/>
    <w:rsid w:val="00C93B5E"/>
    <w:rsid w:val="00C950A8"/>
    <w:rsid w:val="00C95D8D"/>
    <w:rsid w:val="00C97890"/>
    <w:rsid w:val="00C97C7F"/>
    <w:rsid w:val="00C97D64"/>
    <w:rsid w:val="00CA12AB"/>
    <w:rsid w:val="00CA2283"/>
    <w:rsid w:val="00CA2AEF"/>
    <w:rsid w:val="00CA2CA3"/>
    <w:rsid w:val="00CA325F"/>
    <w:rsid w:val="00CA33B8"/>
    <w:rsid w:val="00CA4D80"/>
    <w:rsid w:val="00CA666D"/>
    <w:rsid w:val="00CA6AF5"/>
    <w:rsid w:val="00CA7909"/>
    <w:rsid w:val="00CB0721"/>
    <w:rsid w:val="00CB0AAA"/>
    <w:rsid w:val="00CB1582"/>
    <w:rsid w:val="00CB22B7"/>
    <w:rsid w:val="00CB2433"/>
    <w:rsid w:val="00CB31DA"/>
    <w:rsid w:val="00CB5032"/>
    <w:rsid w:val="00CB5F46"/>
    <w:rsid w:val="00CB69E2"/>
    <w:rsid w:val="00CB7DF6"/>
    <w:rsid w:val="00CC1229"/>
    <w:rsid w:val="00CC303F"/>
    <w:rsid w:val="00CC31C8"/>
    <w:rsid w:val="00CC3324"/>
    <w:rsid w:val="00CC3ADE"/>
    <w:rsid w:val="00CC3C96"/>
    <w:rsid w:val="00CC544E"/>
    <w:rsid w:val="00CC6BAF"/>
    <w:rsid w:val="00CD077C"/>
    <w:rsid w:val="00CD0790"/>
    <w:rsid w:val="00CD2B1A"/>
    <w:rsid w:val="00CD342A"/>
    <w:rsid w:val="00CD3940"/>
    <w:rsid w:val="00CD46E4"/>
    <w:rsid w:val="00CD6444"/>
    <w:rsid w:val="00CD7577"/>
    <w:rsid w:val="00CE2F14"/>
    <w:rsid w:val="00CE4239"/>
    <w:rsid w:val="00CE52B8"/>
    <w:rsid w:val="00CE6A0B"/>
    <w:rsid w:val="00CE7BF6"/>
    <w:rsid w:val="00CF0950"/>
    <w:rsid w:val="00CF3131"/>
    <w:rsid w:val="00CF3B07"/>
    <w:rsid w:val="00CF4C13"/>
    <w:rsid w:val="00CF4D03"/>
    <w:rsid w:val="00CF62E0"/>
    <w:rsid w:val="00CF6384"/>
    <w:rsid w:val="00CF6902"/>
    <w:rsid w:val="00D02B8F"/>
    <w:rsid w:val="00D03851"/>
    <w:rsid w:val="00D039E7"/>
    <w:rsid w:val="00D0401F"/>
    <w:rsid w:val="00D06E88"/>
    <w:rsid w:val="00D11F90"/>
    <w:rsid w:val="00D13527"/>
    <w:rsid w:val="00D15B0B"/>
    <w:rsid w:val="00D15E4E"/>
    <w:rsid w:val="00D16F06"/>
    <w:rsid w:val="00D175E1"/>
    <w:rsid w:val="00D17601"/>
    <w:rsid w:val="00D200D5"/>
    <w:rsid w:val="00D20D6E"/>
    <w:rsid w:val="00D2109D"/>
    <w:rsid w:val="00D21300"/>
    <w:rsid w:val="00D21C96"/>
    <w:rsid w:val="00D22F7B"/>
    <w:rsid w:val="00D230DC"/>
    <w:rsid w:val="00D25130"/>
    <w:rsid w:val="00D26C9A"/>
    <w:rsid w:val="00D27766"/>
    <w:rsid w:val="00D27B27"/>
    <w:rsid w:val="00D27B9F"/>
    <w:rsid w:val="00D303E8"/>
    <w:rsid w:val="00D31BA6"/>
    <w:rsid w:val="00D33373"/>
    <w:rsid w:val="00D335E1"/>
    <w:rsid w:val="00D33A7D"/>
    <w:rsid w:val="00D3545E"/>
    <w:rsid w:val="00D35FEA"/>
    <w:rsid w:val="00D3664B"/>
    <w:rsid w:val="00D366E4"/>
    <w:rsid w:val="00D374D5"/>
    <w:rsid w:val="00D40D80"/>
    <w:rsid w:val="00D411D5"/>
    <w:rsid w:val="00D41BAA"/>
    <w:rsid w:val="00D423AC"/>
    <w:rsid w:val="00D44B15"/>
    <w:rsid w:val="00D44DC6"/>
    <w:rsid w:val="00D476EA"/>
    <w:rsid w:val="00D50AA5"/>
    <w:rsid w:val="00D514E5"/>
    <w:rsid w:val="00D5174E"/>
    <w:rsid w:val="00D53589"/>
    <w:rsid w:val="00D539D5"/>
    <w:rsid w:val="00D544D5"/>
    <w:rsid w:val="00D56795"/>
    <w:rsid w:val="00D57897"/>
    <w:rsid w:val="00D57EDB"/>
    <w:rsid w:val="00D602DE"/>
    <w:rsid w:val="00D6096A"/>
    <w:rsid w:val="00D60ABE"/>
    <w:rsid w:val="00D60CE5"/>
    <w:rsid w:val="00D60D9E"/>
    <w:rsid w:val="00D61811"/>
    <w:rsid w:val="00D6203B"/>
    <w:rsid w:val="00D62DDB"/>
    <w:rsid w:val="00D63F9F"/>
    <w:rsid w:val="00D646D3"/>
    <w:rsid w:val="00D662F2"/>
    <w:rsid w:val="00D665F1"/>
    <w:rsid w:val="00D6711E"/>
    <w:rsid w:val="00D72E79"/>
    <w:rsid w:val="00D73B08"/>
    <w:rsid w:val="00D740C3"/>
    <w:rsid w:val="00D75DF0"/>
    <w:rsid w:val="00D80127"/>
    <w:rsid w:val="00D804E2"/>
    <w:rsid w:val="00D805D1"/>
    <w:rsid w:val="00D81FB3"/>
    <w:rsid w:val="00D82FD7"/>
    <w:rsid w:val="00D84FA6"/>
    <w:rsid w:val="00D85585"/>
    <w:rsid w:val="00D85C5F"/>
    <w:rsid w:val="00D85ECC"/>
    <w:rsid w:val="00D864C7"/>
    <w:rsid w:val="00D86EB7"/>
    <w:rsid w:val="00D907A5"/>
    <w:rsid w:val="00D91E9F"/>
    <w:rsid w:val="00D92807"/>
    <w:rsid w:val="00D92B5E"/>
    <w:rsid w:val="00D93388"/>
    <w:rsid w:val="00D936F4"/>
    <w:rsid w:val="00D93CFF"/>
    <w:rsid w:val="00D93FDB"/>
    <w:rsid w:val="00D94571"/>
    <w:rsid w:val="00D95457"/>
    <w:rsid w:val="00D96760"/>
    <w:rsid w:val="00D97A7B"/>
    <w:rsid w:val="00DA074D"/>
    <w:rsid w:val="00DA1259"/>
    <w:rsid w:val="00DA1AAD"/>
    <w:rsid w:val="00DA1CFD"/>
    <w:rsid w:val="00DA1E08"/>
    <w:rsid w:val="00DA25D9"/>
    <w:rsid w:val="00DA4A52"/>
    <w:rsid w:val="00DA4FBC"/>
    <w:rsid w:val="00DA61B9"/>
    <w:rsid w:val="00DA7457"/>
    <w:rsid w:val="00DB1083"/>
    <w:rsid w:val="00DB1B31"/>
    <w:rsid w:val="00DB2995"/>
    <w:rsid w:val="00DB2ED0"/>
    <w:rsid w:val="00DB38F0"/>
    <w:rsid w:val="00DB3EE8"/>
    <w:rsid w:val="00DB4701"/>
    <w:rsid w:val="00DB4E76"/>
    <w:rsid w:val="00DB59C0"/>
    <w:rsid w:val="00DB7C0D"/>
    <w:rsid w:val="00DC011A"/>
    <w:rsid w:val="00DC0146"/>
    <w:rsid w:val="00DC03EE"/>
    <w:rsid w:val="00DC26FD"/>
    <w:rsid w:val="00DC36B8"/>
    <w:rsid w:val="00DC53F2"/>
    <w:rsid w:val="00DC6B01"/>
    <w:rsid w:val="00DC7797"/>
    <w:rsid w:val="00DC7E53"/>
    <w:rsid w:val="00DD078A"/>
    <w:rsid w:val="00DD1737"/>
    <w:rsid w:val="00DD18B5"/>
    <w:rsid w:val="00DD2490"/>
    <w:rsid w:val="00DD34E1"/>
    <w:rsid w:val="00DD45E7"/>
    <w:rsid w:val="00DD46D1"/>
    <w:rsid w:val="00DD4FF2"/>
    <w:rsid w:val="00DD66FA"/>
    <w:rsid w:val="00DD71F6"/>
    <w:rsid w:val="00DD7667"/>
    <w:rsid w:val="00DD777C"/>
    <w:rsid w:val="00DE0D2F"/>
    <w:rsid w:val="00DE0D75"/>
    <w:rsid w:val="00DE11BE"/>
    <w:rsid w:val="00DE19EB"/>
    <w:rsid w:val="00DE3566"/>
    <w:rsid w:val="00DE5B0F"/>
    <w:rsid w:val="00DE684D"/>
    <w:rsid w:val="00DE79FA"/>
    <w:rsid w:val="00DF0FE3"/>
    <w:rsid w:val="00DF2CB1"/>
    <w:rsid w:val="00DF2FF4"/>
    <w:rsid w:val="00DF3E67"/>
    <w:rsid w:val="00DF3EAF"/>
    <w:rsid w:val="00DF5504"/>
    <w:rsid w:val="00DF641F"/>
    <w:rsid w:val="00DF69F9"/>
    <w:rsid w:val="00E01CF7"/>
    <w:rsid w:val="00E020B8"/>
    <w:rsid w:val="00E02579"/>
    <w:rsid w:val="00E02B50"/>
    <w:rsid w:val="00E0478E"/>
    <w:rsid w:val="00E04B3F"/>
    <w:rsid w:val="00E053DD"/>
    <w:rsid w:val="00E060C1"/>
    <w:rsid w:val="00E06B1E"/>
    <w:rsid w:val="00E075C5"/>
    <w:rsid w:val="00E07787"/>
    <w:rsid w:val="00E109F8"/>
    <w:rsid w:val="00E10AAF"/>
    <w:rsid w:val="00E118E9"/>
    <w:rsid w:val="00E11D49"/>
    <w:rsid w:val="00E147D5"/>
    <w:rsid w:val="00E14C0E"/>
    <w:rsid w:val="00E14EE0"/>
    <w:rsid w:val="00E16642"/>
    <w:rsid w:val="00E1736D"/>
    <w:rsid w:val="00E17680"/>
    <w:rsid w:val="00E1787C"/>
    <w:rsid w:val="00E179B7"/>
    <w:rsid w:val="00E17B3D"/>
    <w:rsid w:val="00E202EC"/>
    <w:rsid w:val="00E2109D"/>
    <w:rsid w:val="00E2249E"/>
    <w:rsid w:val="00E22B76"/>
    <w:rsid w:val="00E234F1"/>
    <w:rsid w:val="00E241ED"/>
    <w:rsid w:val="00E24E24"/>
    <w:rsid w:val="00E24E3A"/>
    <w:rsid w:val="00E25AF8"/>
    <w:rsid w:val="00E25CE8"/>
    <w:rsid w:val="00E26C55"/>
    <w:rsid w:val="00E26F6C"/>
    <w:rsid w:val="00E30F1E"/>
    <w:rsid w:val="00E31BD0"/>
    <w:rsid w:val="00E337A1"/>
    <w:rsid w:val="00E34CA3"/>
    <w:rsid w:val="00E35C4A"/>
    <w:rsid w:val="00E37A0F"/>
    <w:rsid w:val="00E37DA6"/>
    <w:rsid w:val="00E37FE3"/>
    <w:rsid w:val="00E40EB7"/>
    <w:rsid w:val="00E43AAA"/>
    <w:rsid w:val="00E43DBA"/>
    <w:rsid w:val="00E43F3E"/>
    <w:rsid w:val="00E44B4A"/>
    <w:rsid w:val="00E44C62"/>
    <w:rsid w:val="00E45642"/>
    <w:rsid w:val="00E45B54"/>
    <w:rsid w:val="00E51141"/>
    <w:rsid w:val="00E5315B"/>
    <w:rsid w:val="00E5387C"/>
    <w:rsid w:val="00E53E2C"/>
    <w:rsid w:val="00E54EF2"/>
    <w:rsid w:val="00E56962"/>
    <w:rsid w:val="00E56AB2"/>
    <w:rsid w:val="00E56BE0"/>
    <w:rsid w:val="00E60A5E"/>
    <w:rsid w:val="00E60DC5"/>
    <w:rsid w:val="00E61036"/>
    <w:rsid w:val="00E623FC"/>
    <w:rsid w:val="00E63559"/>
    <w:rsid w:val="00E646F4"/>
    <w:rsid w:val="00E64DCB"/>
    <w:rsid w:val="00E67180"/>
    <w:rsid w:val="00E676E2"/>
    <w:rsid w:val="00E72D27"/>
    <w:rsid w:val="00E74B53"/>
    <w:rsid w:val="00E74FA5"/>
    <w:rsid w:val="00E756A8"/>
    <w:rsid w:val="00E76032"/>
    <w:rsid w:val="00E768F2"/>
    <w:rsid w:val="00E77E9E"/>
    <w:rsid w:val="00E80172"/>
    <w:rsid w:val="00E80975"/>
    <w:rsid w:val="00E81DED"/>
    <w:rsid w:val="00E82316"/>
    <w:rsid w:val="00E825B3"/>
    <w:rsid w:val="00E827D2"/>
    <w:rsid w:val="00E849DE"/>
    <w:rsid w:val="00E84E74"/>
    <w:rsid w:val="00E853E3"/>
    <w:rsid w:val="00E85948"/>
    <w:rsid w:val="00E86536"/>
    <w:rsid w:val="00E90874"/>
    <w:rsid w:val="00E91505"/>
    <w:rsid w:val="00E9167E"/>
    <w:rsid w:val="00E922A4"/>
    <w:rsid w:val="00E925CE"/>
    <w:rsid w:val="00E92672"/>
    <w:rsid w:val="00E93F3F"/>
    <w:rsid w:val="00E95403"/>
    <w:rsid w:val="00EA05D9"/>
    <w:rsid w:val="00EA1104"/>
    <w:rsid w:val="00EA294D"/>
    <w:rsid w:val="00EA503F"/>
    <w:rsid w:val="00EA5257"/>
    <w:rsid w:val="00EA59B6"/>
    <w:rsid w:val="00EA7415"/>
    <w:rsid w:val="00EB0062"/>
    <w:rsid w:val="00EB0433"/>
    <w:rsid w:val="00EB1B8B"/>
    <w:rsid w:val="00EB24EC"/>
    <w:rsid w:val="00EB38DA"/>
    <w:rsid w:val="00EB3C54"/>
    <w:rsid w:val="00EB4951"/>
    <w:rsid w:val="00EB566F"/>
    <w:rsid w:val="00EB595B"/>
    <w:rsid w:val="00EC098E"/>
    <w:rsid w:val="00EC0BCB"/>
    <w:rsid w:val="00EC0E71"/>
    <w:rsid w:val="00EC2AF7"/>
    <w:rsid w:val="00EC4094"/>
    <w:rsid w:val="00ED0778"/>
    <w:rsid w:val="00ED1A18"/>
    <w:rsid w:val="00ED399C"/>
    <w:rsid w:val="00ED613A"/>
    <w:rsid w:val="00ED630A"/>
    <w:rsid w:val="00ED6CFA"/>
    <w:rsid w:val="00ED6D53"/>
    <w:rsid w:val="00EE1855"/>
    <w:rsid w:val="00EE266A"/>
    <w:rsid w:val="00EE2B68"/>
    <w:rsid w:val="00EE359F"/>
    <w:rsid w:val="00EE35A8"/>
    <w:rsid w:val="00EE3733"/>
    <w:rsid w:val="00EE395E"/>
    <w:rsid w:val="00EE4CD6"/>
    <w:rsid w:val="00EE6D70"/>
    <w:rsid w:val="00EF04B4"/>
    <w:rsid w:val="00EF12FA"/>
    <w:rsid w:val="00EF1386"/>
    <w:rsid w:val="00EF1485"/>
    <w:rsid w:val="00EF2491"/>
    <w:rsid w:val="00EF256B"/>
    <w:rsid w:val="00EF5277"/>
    <w:rsid w:val="00EF5CAD"/>
    <w:rsid w:val="00EF611F"/>
    <w:rsid w:val="00EF76E1"/>
    <w:rsid w:val="00F029AF"/>
    <w:rsid w:val="00F03441"/>
    <w:rsid w:val="00F03E0D"/>
    <w:rsid w:val="00F04099"/>
    <w:rsid w:val="00F05B66"/>
    <w:rsid w:val="00F05FC8"/>
    <w:rsid w:val="00F1030E"/>
    <w:rsid w:val="00F10925"/>
    <w:rsid w:val="00F12F6C"/>
    <w:rsid w:val="00F13DAE"/>
    <w:rsid w:val="00F13DCE"/>
    <w:rsid w:val="00F1496B"/>
    <w:rsid w:val="00F14BCA"/>
    <w:rsid w:val="00F157D8"/>
    <w:rsid w:val="00F201AD"/>
    <w:rsid w:val="00F21189"/>
    <w:rsid w:val="00F213FA"/>
    <w:rsid w:val="00F21481"/>
    <w:rsid w:val="00F215B1"/>
    <w:rsid w:val="00F21B21"/>
    <w:rsid w:val="00F222BB"/>
    <w:rsid w:val="00F2252E"/>
    <w:rsid w:val="00F23CA2"/>
    <w:rsid w:val="00F24594"/>
    <w:rsid w:val="00F2491A"/>
    <w:rsid w:val="00F24EF6"/>
    <w:rsid w:val="00F254E4"/>
    <w:rsid w:val="00F25719"/>
    <w:rsid w:val="00F26AAB"/>
    <w:rsid w:val="00F26F5D"/>
    <w:rsid w:val="00F26FF8"/>
    <w:rsid w:val="00F2705F"/>
    <w:rsid w:val="00F274AA"/>
    <w:rsid w:val="00F277CD"/>
    <w:rsid w:val="00F34C92"/>
    <w:rsid w:val="00F3543E"/>
    <w:rsid w:val="00F35D19"/>
    <w:rsid w:val="00F36F67"/>
    <w:rsid w:val="00F377AE"/>
    <w:rsid w:val="00F40712"/>
    <w:rsid w:val="00F41269"/>
    <w:rsid w:val="00F41319"/>
    <w:rsid w:val="00F41639"/>
    <w:rsid w:val="00F42676"/>
    <w:rsid w:val="00F44A39"/>
    <w:rsid w:val="00F44B13"/>
    <w:rsid w:val="00F44D47"/>
    <w:rsid w:val="00F45BE7"/>
    <w:rsid w:val="00F4619E"/>
    <w:rsid w:val="00F463D7"/>
    <w:rsid w:val="00F46952"/>
    <w:rsid w:val="00F50163"/>
    <w:rsid w:val="00F510E2"/>
    <w:rsid w:val="00F515F1"/>
    <w:rsid w:val="00F5225C"/>
    <w:rsid w:val="00F5273A"/>
    <w:rsid w:val="00F52D6B"/>
    <w:rsid w:val="00F52E18"/>
    <w:rsid w:val="00F535E2"/>
    <w:rsid w:val="00F546DE"/>
    <w:rsid w:val="00F546FB"/>
    <w:rsid w:val="00F55335"/>
    <w:rsid w:val="00F55CF7"/>
    <w:rsid w:val="00F56340"/>
    <w:rsid w:val="00F56FA8"/>
    <w:rsid w:val="00F57D1C"/>
    <w:rsid w:val="00F6086A"/>
    <w:rsid w:val="00F6169B"/>
    <w:rsid w:val="00F62824"/>
    <w:rsid w:val="00F62D7C"/>
    <w:rsid w:val="00F634C8"/>
    <w:rsid w:val="00F64B9B"/>
    <w:rsid w:val="00F64CD1"/>
    <w:rsid w:val="00F65618"/>
    <w:rsid w:val="00F658B9"/>
    <w:rsid w:val="00F67155"/>
    <w:rsid w:val="00F6785E"/>
    <w:rsid w:val="00F7058F"/>
    <w:rsid w:val="00F70D21"/>
    <w:rsid w:val="00F70FEF"/>
    <w:rsid w:val="00F7105D"/>
    <w:rsid w:val="00F721FB"/>
    <w:rsid w:val="00F73F06"/>
    <w:rsid w:val="00F74F3A"/>
    <w:rsid w:val="00F7505D"/>
    <w:rsid w:val="00F750B4"/>
    <w:rsid w:val="00F75630"/>
    <w:rsid w:val="00F75C02"/>
    <w:rsid w:val="00F77835"/>
    <w:rsid w:val="00F778DE"/>
    <w:rsid w:val="00F77ECB"/>
    <w:rsid w:val="00F80317"/>
    <w:rsid w:val="00F81583"/>
    <w:rsid w:val="00F819E3"/>
    <w:rsid w:val="00F81BF8"/>
    <w:rsid w:val="00F81E47"/>
    <w:rsid w:val="00F824EF"/>
    <w:rsid w:val="00F8298B"/>
    <w:rsid w:val="00F84408"/>
    <w:rsid w:val="00F857C7"/>
    <w:rsid w:val="00F86474"/>
    <w:rsid w:val="00F868B4"/>
    <w:rsid w:val="00F86AF5"/>
    <w:rsid w:val="00F8730A"/>
    <w:rsid w:val="00F9016F"/>
    <w:rsid w:val="00F90601"/>
    <w:rsid w:val="00F93703"/>
    <w:rsid w:val="00F95BB8"/>
    <w:rsid w:val="00F97A0A"/>
    <w:rsid w:val="00FA2A20"/>
    <w:rsid w:val="00FA3883"/>
    <w:rsid w:val="00FA5654"/>
    <w:rsid w:val="00FA74EB"/>
    <w:rsid w:val="00FA78FD"/>
    <w:rsid w:val="00FB11BE"/>
    <w:rsid w:val="00FB1357"/>
    <w:rsid w:val="00FB137A"/>
    <w:rsid w:val="00FB1799"/>
    <w:rsid w:val="00FB1B56"/>
    <w:rsid w:val="00FB27F1"/>
    <w:rsid w:val="00FB4C6F"/>
    <w:rsid w:val="00FB52A0"/>
    <w:rsid w:val="00FB6E91"/>
    <w:rsid w:val="00FB76CC"/>
    <w:rsid w:val="00FC1A5E"/>
    <w:rsid w:val="00FC34DF"/>
    <w:rsid w:val="00FC4FF5"/>
    <w:rsid w:val="00FC5E76"/>
    <w:rsid w:val="00FC66A5"/>
    <w:rsid w:val="00FC69CF"/>
    <w:rsid w:val="00FC7214"/>
    <w:rsid w:val="00FD058F"/>
    <w:rsid w:val="00FD0B70"/>
    <w:rsid w:val="00FD11B8"/>
    <w:rsid w:val="00FD1440"/>
    <w:rsid w:val="00FD1489"/>
    <w:rsid w:val="00FD17D7"/>
    <w:rsid w:val="00FD2065"/>
    <w:rsid w:val="00FD2DA9"/>
    <w:rsid w:val="00FD35FA"/>
    <w:rsid w:val="00FD43AC"/>
    <w:rsid w:val="00FD4864"/>
    <w:rsid w:val="00FD4C02"/>
    <w:rsid w:val="00FD59F1"/>
    <w:rsid w:val="00FD6FE2"/>
    <w:rsid w:val="00FD74CB"/>
    <w:rsid w:val="00FD7543"/>
    <w:rsid w:val="00FD7BF5"/>
    <w:rsid w:val="00FE0148"/>
    <w:rsid w:val="00FE0E1A"/>
    <w:rsid w:val="00FE185C"/>
    <w:rsid w:val="00FE3C5F"/>
    <w:rsid w:val="00FE401B"/>
    <w:rsid w:val="00FE4705"/>
    <w:rsid w:val="00FE557C"/>
    <w:rsid w:val="00FE7A03"/>
    <w:rsid w:val="00FF16CF"/>
    <w:rsid w:val="00FF2EC0"/>
    <w:rsid w:val="00FF4C3A"/>
    <w:rsid w:val="00FF62F4"/>
    <w:rsid w:val="00FF651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12D16"/>
    <w:pPr>
      <w:tabs>
        <w:tab w:val="left" w:pos="567"/>
      </w:tabs>
      <w:spacing w:line="260" w:lineRule="exact"/>
    </w:pPr>
  </w:style>
  <w:style w:type="paragraph" w:styleId="Nadpis1">
    <w:name w:val="heading 1"/>
    <w:basedOn w:val="Normlny"/>
    <w:next w:val="Normlny"/>
    <w:link w:val="Nadpis1Char"/>
    <w:qFormat/>
    <w:rsid w:val="00E56BE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next w:val="Normlny"/>
    <w:link w:val="Nadpis2Char"/>
    <w:unhideWhenUsed/>
    <w:qFormat/>
    <w:rsid w:val="00E56BE0"/>
    <w:pPr>
      <w:keepNext/>
      <w:keepLines/>
      <w:spacing w:after="2" w:line="259" w:lineRule="auto"/>
      <w:ind w:left="17" w:hanging="10"/>
      <w:outlineLvl w:val="1"/>
    </w:pPr>
    <w:rPr>
      <w:rFonts w:eastAsia="Times New Roman"/>
      <w:color w:val="000000"/>
      <w:u w:val="single" w:color="000000"/>
    </w:rPr>
  </w:style>
  <w:style w:type="paragraph" w:styleId="Nadpis3">
    <w:name w:val="heading 3"/>
    <w:next w:val="Normlny"/>
    <w:link w:val="Nadpis3Char"/>
    <w:unhideWhenUsed/>
    <w:qFormat/>
    <w:rsid w:val="00E56BE0"/>
    <w:pPr>
      <w:keepNext/>
      <w:keepLines/>
      <w:spacing w:line="259" w:lineRule="auto"/>
      <w:ind w:left="17" w:hanging="10"/>
      <w:outlineLvl w:val="2"/>
    </w:pPr>
    <w:rPr>
      <w:rFonts w:eastAsia="Times New Roman"/>
      <w:i/>
      <w:color w:val="000000"/>
    </w:rPr>
  </w:style>
  <w:style w:type="paragraph" w:styleId="Nadpis4">
    <w:name w:val="heading 4"/>
    <w:basedOn w:val="Normlny"/>
    <w:next w:val="Normlny"/>
    <w:link w:val="Nadpis4Char"/>
    <w:qFormat/>
    <w:rsid w:val="008247E9"/>
    <w:pPr>
      <w:keepNext/>
      <w:jc w:val="both"/>
      <w:outlineLvl w:val="3"/>
    </w:pPr>
    <w:rPr>
      <w:b/>
      <w:noProof/>
      <w:lang w:val="en-GB" w:eastAsia="en-US"/>
    </w:rPr>
  </w:style>
  <w:style w:type="paragraph" w:styleId="Nadpis5">
    <w:name w:val="heading 5"/>
    <w:basedOn w:val="Normlny"/>
    <w:next w:val="Normlny"/>
    <w:link w:val="Nadpis5Char"/>
    <w:qFormat/>
    <w:rsid w:val="008247E9"/>
    <w:pPr>
      <w:tabs>
        <w:tab w:val="clear" w:pos="567"/>
      </w:tabs>
      <w:spacing w:before="240" w:after="60" w:line="240" w:lineRule="auto"/>
      <w:outlineLvl w:val="4"/>
    </w:pPr>
    <w:rPr>
      <w:rFonts w:ascii="Calibri" w:hAnsi="Calibri"/>
      <w:b/>
      <w:bCs/>
      <w:i/>
      <w:iCs/>
      <w:sz w:val="26"/>
      <w:szCs w:val="26"/>
      <w:lang w:val="en-US" w:eastAsia="en-US"/>
    </w:rPr>
  </w:style>
  <w:style w:type="paragraph" w:styleId="Nadpis6">
    <w:name w:val="heading 6"/>
    <w:basedOn w:val="Normlny"/>
    <w:next w:val="Normlny"/>
    <w:link w:val="Nadpis6Char"/>
    <w:qFormat/>
    <w:rsid w:val="008247E9"/>
    <w:pPr>
      <w:keepNext/>
      <w:tabs>
        <w:tab w:val="clear" w:pos="567"/>
      </w:tabs>
      <w:spacing w:line="240" w:lineRule="auto"/>
      <w:jc w:val="center"/>
      <w:outlineLvl w:val="5"/>
    </w:pPr>
    <w:rPr>
      <w:bCs/>
      <w:sz w:val="24"/>
      <w:lang w:val="en-US" w:eastAsia="en-US"/>
    </w:rPr>
  </w:style>
  <w:style w:type="paragraph" w:styleId="Nadpis7">
    <w:name w:val="heading 7"/>
    <w:basedOn w:val="Normlny"/>
    <w:next w:val="Normlny"/>
    <w:link w:val="Nadpis7Char"/>
    <w:qFormat/>
    <w:rsid w:val="008247E9"/>
    <w:pPr>
      <w:keepNext/>
      <w:tabs>
        <w:tab w:val="left" w:pos="-720"/>
        <w:tab w:val="left" w:pos="4536"/>
      </w:tabs>
      <w:suppressAutoHyphens/>
      <w:jc w:val="both"/>
      <w:outlineLvl w:val="6"/>
    </w:pPr>
    <w:rPr>
      <w:i/>
      <w:lang w:val="en-GB" w:eastAsia="en-US"/>
    </w:rPr>
  </w:style>
  <w:style w:type="paragraph" w:styleId="Nadpis8">
    <w:name w:val="heading 8"/>
    <w:basedOn w:val="Normlny"/>
    <w:next w:val="Normlny"/>
    <w:link w:val="Nadpis8Char"/>
    <w:qFormat/>
    <w:rsid w:val="008247E9"/>
    <w:pPr>
      <w:keepNext/>
      <w:ind w:left="567" w:hanging="567"/>
      <w:jc w:val="both"/>
      <w:outlineLvl w:val="7"/>
    </w:pPr>
    <w:rPr>
      <w:b/>
      <w:i/>
      <w:lang w:val="en-GB" w:eastAsia="en-US"/>
    </w:rPr>
  </w:style>
  <w:style w:type="paragraph" w:styleId="Nadpis9">
    <w:name w:val="heading 9"/>
    <w:basedOn w:val="Normlny"/>
    <w:next w:val="Normlny"/>
    <w:link w:val="Nadpis9Char"/>
    <w:qFormat/>
    <w:rsid w:val="008247E9"/>
    <w:pPr>
      <w:keepNext/>
      <w:jc w:val="both"/>
      <w:outlineLvl w:val="8"/>
    </w:pPr>
    <w:rPr>
      <w:b/>
      <w:i/>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B328C1"/>
    <w:pPr>
      <w:tabs>
        <w:tab w:val="center" w:pos="4536"/>
        <w:tab w:val="right" w:pos="8306"/>
      </w:tabs>
    </w:pPr>
    <w:rPr>
      <w:rFonts w:ascii="Arial" w:hAnsi="Arial"/>
      <w:noProof/>
      <w:sz w:val="16"/>
    </w:rPr>
  </w:style>
  <w:style w:type="paragraph" w:styleId="Hlavika">
    <w:name w:val="header"/>
    <w:basedOn w:val="Normlny"/>
    <w:link w:val="HlavikaChar"/>
    <w:uiPriority w:val="99"/>
    <w:rsid w:val="00B328C1"/>
    <w:pPr>
      <w:tabs>
        <w:tab w:val="center" w:pos="4153"/>
        <w:tab w:val="right" w:pos="8306"/>
      </w:tabs>
    </w:pPr>
    <w:rPr>
      <w:rFonts w:ascii="Arial" w:hAnsi="Arial"/>
      <w:sz w:val="20"/>
    </w:rPr>
  </w:style>
  <w:style w:type="paragraph" w:customStyle="1" w:styleId="MemoHeaderStyle">
    <w:name w:val="MemoHeaderStyle"/>
    <w:basedOn w:val="Normlny"/>
    <w:next w:val="Normlny"/>
    <w:rsid w:val="000967DB"/>
    <w:pPr>
      <w:spacing w:line="120" w:lineRule="atLeast"/>
      <w:ind w:left="1418"/>
      <w:jc w:val="both"/>
    </w:pPr>
    <w:rPr>
      <w:rFonts w:ascii="Arial" w:hAnsi="Arial"/>
      <w:b/>
      <w:smallCaps/>
    </w:rPr>
  </w:style>
  <w:style w:type="character" w:styleId="slostrany">
    <w:name w:val="page number"/>
    <w:basedOn w:val="Predvolenpsmoodseku"/>
    <w:rsid w:val="00812D16"/>
  </w:style>
  <w:style w:type="paragraph" w:styleId="Zkladntext">
    <w:name w:val="Body Text"/>
    <w:basedOn w:val="Normlny"/>
    <w:link w:val="ZkladntextChar"/>
    <w:rsid w:val="00812D16"/>
    <w:pPr>
      <w:tabs>
        <w:tab w:val="clear" w:pos="567"/>
      </w:tabs>
      <w:spacing w:line="240" w:lineRule="auto"/>
    </w:pPr>
    <w:rPr>
      <w:i/>
      <w:color w:val="008000"/>
    </w:rPr>
  </w:style>
  <w:style w:type="paragraph" w:styleId="Textkomentra">
    <w:name w:val="annotation text"/>
    <w:basedOn w:val="Normlny"/>
    <w:link w:val="TextkomentraChar"/>
    <w:unhideWhenUsed/>
    <w:rsid w:val="00B328C1"/>
    <w:pPr>
      <w:spacing w:line="240" w:lineRule="auto"/>
    </w:pPr>
    <w:rPr>
      <w:sz w:val="20"/>
    </w:rPr>
  </w:style>
  <w:style w:type="character" w:styleId="Hypertextovprepojenie">
    <w:name w:val="Hyperlink"/>
    <w:rsid w:val="00812D16"/>
    <w:rPr>
      <w:color w:val="0000FF"/>
      <w:u w:val="single"/>
    </w:rPr>
  </w:style>
  <w:style w:type="paragraph" w:customStyle="1" w:styleId="EMEAEnBodyText">
    <w:name w:val="EMEA En Body Text"/>
    <w:basedOn w:val="Normlny"/>
    <w:rsid w:val="00812D16"/>
    <w:pPr>
      <w:tabs>
        <w:tab w:val="clear" w:pos="567"/>
      </w:tabs>
      <w:spacing w:before="120" w:after="120" w:line="240" w:lineRule="auto"/>
      <w:jc w:val="both"/>
    </w:pPr>
  </w:style>
  <w:style w:type="paragraph" w:styleId="Textbubliny">
    <w:name w:val="Balloon Text"/>
    <w:basedOn w:val="Normlny"/>
    <w:link w:val="TextbublinyChar"/>
    <w:uiPriority w:val="99"/>
    <w:rsid w:val="00B328C1"/>
    <w:rPr>
      <w:rFonts w:ascii="Tahoma" w:hAnsi="Tahoma" w:cs="Tahoma"/>
      <w:sz w:val="16"/>
      <w:szCs w:val="16"/>
    </w:rPr>
  </w:style>
  <w:style w:type="paragraph" w:customStyle="1" w:styleId="BodytextAgency">
    <w:name w:val="Body text (Agency)"/>
    <w:basedOn w:val="Normlny"/>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uiPriority w:val="99"/>
    <w:rsid w:val="00C179B0"/>
    <w:rPr>
      <w:rFonts w:ascii="Verdana" w:eastAsia="Verdana" w:hAnsi="Verdana" w:cs="Verdana"/>
      <w:sz w:val="18"/>
      <w:szCs w:val="18"/>
      <w:lang w:bidi="sk-SK"/>
    </w:rPr>
  </w:style>
  <w:style w:type="table" w:customStyle="1" w:styleId="TablegridAgencyblack">
    <w:name w:val="Table grid (Agency) black"/>
    <w:basedOn w:val="Normlnatabuka"/>
    <w:semiHidden/>
    <w:rsid w:val="00C179B0"/>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styleId="Odkaznakomentr">
    <w:name w:val="annotation reference"/>
    <w:unhideWhenUsed/>
    <w:rsid w:val="00B328C1"/>
    <w:rPr>
      <w:sz w:val="16"/>
      <w:szCs w:val="16"/>
    </w:rPr>
  </w:style>
  <w:style w:type="paragraph" w:styleId="Predmetkomentra">
    <w:name w:val="annotation subject"/>
    <w:basedOn w:val="Textkomentra"/>
    <w:next w:val="Textkomentra"/>
    <w:link w:val="PredmetkomentraChar"/>
    <w:uiPriority w:val="99"/>
    <w:rsid w:val="00B328C1"/>
    <w:rPr>
      <w:b/>
      <w:bCs/>
    </w:rPr>
  </w:style>
  <w:style w:type="character" w:customStyle="1" w:styleId="TextkomentraChar">
    <w:name w:val="Text komentára Char"/>
    <w:link w:val="Textkomentra"/>
    <w:rsid w:val="00BC6DC2"/>
    <w:rPr>
      <w:rFonts w:eastAsia="Times New Roman"/>
      <w:lang w:val="sk-SK" w:eastAsia="sk-SK" w:bidi="sk-SK"/>
    </w:rPr>
  </w:style>
  <w:style w:type="character" w:customStyle="1" w:styleId="PredmetkomentraChar">
    <w:name w:val="Predmet komentára Char"/>
    <w:link w:val="Predmetkomentra"/>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styleId="Odsekzoznamu">
    <w:name w:val="List Paragraph"/>
    <w:basedOn w:val="Normlny"/>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
    <w:uiPriority w:val="99"/>
    <w:locked/>
    <w:rsid w:val="00B328C1"/>
    <w:rPr>
      <w:rFonts w:ascii="Tahoma" w:eastAsia="Times New Roman" w:hAnsi="Tahoma" w:cs="Tahoma"/>
      <w:sz w:val="16"/>
      <w:szCs w:val="16"/>
      <w:lang w:val="sk-SK" w:eastAsia="sk-SK" w:bidi="sk-SK"/>
    </w:rPr>
  </w:style>
  <w:style w:type="character" w:styleId="PouitHypertextovPrepojenie">
    <w:name w:val="FollowedHyperlink"/>
    <w:rsid w:val="00B328C1"/>
    <w:rPr>
      <w:rFonts w:cs="Times New Roman"/>
      <w:color w:val="800080"/>
      <w:u w:val="single"/>
    </w:rPr>
  </w:style>
  <w:style w:type="paragraph" w:styleId="Revzia">
    <w:name w:val="Revision"/>
    <w:hidden/>
    <w:uiPriority w:val="99"/>
    <w:semiHidden/>
    <w:rsid w:val="00B328C1"/>
    <w:rPr>
      <w:rFonts w:eastAsia="Times New Roman"/>
      <w:lang w:val="en-GB" w:eastAsia="en-US"/>
    </w:rPr>
  </w:style>
  <w:style w:type="character" w:customStyle="1" w:styleId="HlavikaChar">
    <w:name w:val="Hlavička Char"/>
    <w:link w:val="Hlavika"/>
    <w:uiPriority w:val="99"/>
    <w:locked/>
    <w:rsid w:val="00B328C1"/>
    <w:rPr>
      <w:rFonts w:ascii="Arial" w:eastAsia="Times New Roman" w:hAnsi="Arial"/>
      <w:lang w:val="sk-SK" w:eastAsia="sk-SK" w:bidi="sk-SK"/>
    </w:rPr>
  </w:style>
  <w:style w:type="character" w:customStyle="1" w:styleId="PtaChar">
    <w:name w:val="Päta Char"/>
    <w:link w:val="Pta"/>
    <w:uiPriority w:val="99"/>
    <w:locked/>
    <w:rsid w:val="00B328C1"/>
    <w:rPr>
      <w:rFonts w:ascii="Arial" w:eastAsia="Times New Roman" w:hAnsi="Arial"/>
      <w:noProof/>
      <w:sz w:val="16"/>
      <w:lang w:val="sk-SK" w:eastAsia="sk-SK" w:bidi="sk-SK"/>
    </w:rPr>
  </w:style>
  <w:style w:type="character" w:customStyle="1" w:styleId="Nadpis2Char">
    <w:name w:val="Nadpis 2 Char"/>
    <w:basedOn w:val="Predvolenpsmoodseku"/>
    <w:link w:val="Nadpis2"/>
    <w:rsid w:val="00E56BE0"/>
    <w:rPr>
      <w:rFonts w:eastAsia="Times New Roman"/>
      <w:color w:val="000000"/>
      <w:sz w:val="22"/>
      <w:szCs w:val="22"/>
      <w:u w:val="single" w:color="000000"/>
    </w:rPr>
  </w:style>
  <w:style w:type="character" w:customStyle="1" w:styleId="Nadpis3Char">
    <w:name w:val="Nadpis 3 Char"/>
    <w:basedOn w:val="Predvolenpsmoodseku"/>
    <w:link w:val="Nadpis3"/>
    <w:rsid w:val="00E56BE0"/>
    <w:rPr>
      <w:rFonts w:eastAsia="Times New Roman"/>
      <w:i/>
      <w:color w:val="000000"/>
      <w:sz w:val="22"/>
      <w:szCs w:val="22"/>
    </w:rPr>
  </w:style>
  <w:style w:type="table" w:customStyle="1" w:styleId="TableGrid">
    <w:name w:val="TableGrid"/>
    <w:rsid w:val="00E56BE0"/>
    <w:rPr>
      <w:rFonts w:asciiTheme="minorHAnsi" w:eastAsiaTheme="minorEastAsia" w:hAnsiTheme="minorHAnsi" w:cstheme="minorBidi"/>
    </w:rPr>
    <w:tblPr>
      <w:tblCellMar>
        <w:top w:w="0" w:type="dxa"/>
        <w:left w:w="0" w:type="dxa"/>
        <w:bottom w:w="0" w:type="dxa"/>
        <w:right w:w="0" w:type="dxa"/>
      </w:tblCellMar>
    </w:tblPr>
  </w:style>
  <w:style w:type="character" w:customStyle="1" w:styleId="Nadpis1Char">
    <w:name w:val="Nadpis 1 Char"/>
    <w:basedOn w:val="Predvolenpsmoodseku"/>
    <w:link w:val="Nadpis1"/>
    <w:rsid w:val="00E56BE0"/>
    <w:rPr>
      <w:rFonts w:asciiTheme="majorHAnsi" w:eastAsiaTheme="majorEastAsia" w:hAnsiTheme="majorHAnsi" w:cstheme="majorBidi"/>
      <w:color w:val="2E74B5" w:themeColor="accent1" w:themeShade="BF"/>
      <w:sz w:val="32"/>
      <w:szCs w:val="32"/>
      <w:lang w:bidi="sk-SK"/>
    </w:rPr>
  </w:style>
  <w:style w:type="paragraph" w:customStyle="1" w:styleId="footnotedescription">
    <w:name w:val="footnote description"/>
    <w:next w:val="Normlny"/>
    <w:link w:val="footnotedescriptionChar"/>
    <w:hidden/>
    <w:rsid w:val="00E56BE0"/>
    <w:pPr>
      <w:spacing w:line="259" w:lineRule="auto"/>
      <w:ind w:left="7"/>
    </w:pPr>
    <w:rPr>
      <w:rFonts w:eastAsia="Times New Roman"/>
      <w:color w:val="000000"/>
      <w:sz w:val="18"/>
    </w:rPr>
  </w:style>
  <w:style w:type="character" w:customStyle="1" w:styleId="footnotedescriptionChar">
    <w:name w:val="footnote description Char"/>
    <w:link w:val="footnotedescription"/>
    <w:rsid w:val="00E56BE0"/>
    <w:rPr>
      <w:rFonts w:eastAsia="Times New Roman"/>
      <w:color w:val="000000"/>
      <w:sz w:val="18"/>
      <w:szCs w:val="22"/>
    </w:rPr>
  </w:style>
  <w:style w:type="character" w:customStyle="1" w:styleId="footnotemark">
    <w:name w:val="footnote mark"/>
    <w:hidden/>
    <w:rsid w:val="00E56BE0"/>
    <w:rPr>
      <w:rFonts w:ascii="Times New Roman" w:eastAsia="Times New Roman" w:hAnsi="Times New Roman" w:cs="Times New Roman"/>
      <w:color w:val="000000"/>
      <w:sz w:val="18"/>
      <w:vertAlign w:val="superscript"/>
    </w:rPr>
  </w:style>
  <w:style w:type="paragraph" w:customStyle="1" w:styleId="knZulassung01">
    <w:name w:val="knZulassung01"/>
    <w:basedOn w:val="Normlny"/>
    <w:rsid w:val="004F44E4"/>
    <w:pPr>
      <w:spacing w:line="240" w:lineRule="auto"/>
      <w:ind w:left="1843" w:right="284" w:hanging="1843"/>
    </w:pPr>
    <w:rPr>
      <w:rFonts w:ascii="Courier" w:hAnsi="Courier"/>
      <w:sz w:val="24"/>
      <w:lang w:val="de-DE" w:eastAsia="en-US"/>
    </w:rPr>
  </w:style>
  <w:style w:type="character" w:customStyle="1" w:styleId="Nadpis4Char">
    <w:name w:val="Nadpis 4 Char"/>
    <w:basedOn w:val="Predvolenpsmoodseku"/>
    <w:link w:val="Nadpis4"/>
    <w:rsid w:val="008247E9"/>
    <w:rPr>
      <w:rFonts w:eastAsia="Times New Roman"/>
      <w:b/>
      <w:noProof/>
      <w:sz w:val="22"/>
      <w:lang w:val="en-GB" w:eastAsia="en-US"/>
    </w:rPr>
  </w:style>
  <w:style w:type="character" w:customStyle="1" w:styleId="Nadpis5Char">
    <w:name w:val="Nadpis 5 Char"/>
    <w:basedOn w:val="Predvolenpsmoodseku"/>
    <w:link w:val="Nadpis5"/>
    <w:rsid w:val="008247E9"/>
    <w:rPr>
      <w:rFonts w:ascii="Calibri" w:eastAsia="Times New Roman" w:hAnsi="Calibri"/>
      <w:b/>
      <w:bCs/>
      <w:i/>
      <w:iCs/>
      <w:sz w:val="26"/>
      <w:szCs w:val="26"/>
      <w:lang w:val="en-US" w:eastAsia="en-US"/>
    </w:rPr>
  </w:style>
  <w:style w:type="character" w:customStyle="1" w:styleId="Nadpis6Char">
    <w:name w:val="Nadpis 6 Char"/>
    <w:basedOn w:val="Predvolenpsmoodseku"/>
    <w:link w:val="Nadpis6"/>
    <w:rsid w:val="008247E9"/>
    <w:rPr>
      <w:rFonts w:eastAsia="Times New Roman"/>
      <w:bCs/>
      <w:sz w:val="24"/>
      <w:lang w:val="en-US" w:eastAsia="en-US"/>
    </w:rPr>
  </w:style>
  <w:style w:type="character" w:customStyle="1" w:styleId="Nadpis7Char">
    <w:name w:val="Nadpis 7 Char"/>
    <w:basedOn w:val="Predvolenpsmoodseku"/>
    <w:link w:val="Nadpis7"/>
    <w:rsid w:val="008247E9"/>
    <w:rPr>
      <w:rFonts w:eastAsia="Times New Roman"/>
      <w:i/>
      <w:sz w:val="22"/>
      <w:lang w:val="en-GB" w:eastAsia="en-US"/>
    </w:rPr>
  </w:style>
  <w:style w:type="character" w:customStyle="1" w:styleId="Nadpis8Char">
    <w:name w:val="Nadpis 8 Char"/>
    <w:basedOn w:val="Predvolenpsmoodseku"/>
    <w:link w:val="Nadpis8"/>
    <w:rsid w:val="008247E9"/>
    <w:rPr>
      <w:rFonts w:eastAsia="Times New Roman"/>
      <w:b/>
      <w:i/>
      <w:sz w:val="22"/>
      <w:lang w:val="en-GB" w:eastAsia="en-US"/>
    </w:rPr>
  </w:style>
  <w:style w:type="character" w:customStyle="1" w:styleId="Nadpis9Char">
    <w:name w:val="Nadpis 9 Char"/>
    <w:basedOn w:val="Predvolenpsmoodseku"/>
    <w:link w:val="Nadpis9"/>
    <w:rsid w:val="008247E9"/>
    <w:rPr>
      <w:rFonts w:eastAsia="Times New Roman"/>
      <w:b/>
      <w:i/>
      <w:sz w:val="22"/>
      <w:lang w:val="en-GB" w:eastAsia="en-US"/>
    </w:rPr>
  </w:style>
  <w:style w:type="numbering" w:customStyle="1" w:styleId="NoList1">
    <w:name w:val="No List1"/>
    <w:next w:val="Bezzoznamu"/>
    <w:uiPriority w:val="99"/>
    <w:semiHidden/>
    <w:unhideWhenUsed/>
    <w:rsid w:val="008247E9"/>
  </w:style>
  <w:style w:type="numbering" w:customStyle="1" w:styleId="NoList2">
    <w:name w:val="No List2"/>
    <w:next w:val="Bezzoznamu"/>
    <w:uiPriority w:val="99"/>
    <w:semiHidden/>
    <w:unhideWhenUsed/>
    <w:rsid w:val="008247E9"/>
  </w:style>
  <w:style w:type="table" w:styleId="Mriekatabuky">
    <w:name w:val="Table Grid"/>
    <w:basedOn w:val="Normlnatabuka"/>
    <w:uiPriority w:val="59"/>
    <w:rsid w:val="008247E9"/>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ov">
    <w:name w:val="Title"/>
    <w:basedOn w:val="Normlny"/>
    <w:link w:val="NzovChar"/>
    <w:qFormat/>
    <w:rsid w:val="008247E9"/>
    <w:pPr>
      <w:tabs>
        <w:tab w:val="clear" w:pos="567"/>
      </w:tabs>
      <w:spacing w:line="240" w:lineRule="auto"/>
      <w:jc w:val="center"/>
    </w:pPr>
    <w:rPr>
      <w:sz w:val="24"/>
      <w:lang w:val="en-US" w:eastAsia="en-US"/>
    </w:rPr>
  </w:style>
  <w:style w:type="character" w:customStyle="1" w:styleId="NzovChar">
    <w:name w:val="Názov Char"/>
    <w:basedOn w:val="Predvolenpsmoodseku"/>
    <w:link w:val="Nzov"/>
    <w:rsid w:val="008247E9"/>
    <w:rPr>
      <w:rFonts w:eastAsia="Times New Roman"/>
      <w:sz w:val="24"/>
      <w:lang w:val="en-US" w:eastAsia="en-US"/>
    </w:rPr>
  </w:style>
  <w:style w:type="paragraph" w:customStyle="1" w:styleId="Pa0">
    <w:name w:val="Pa0"/>
    <w:basedOn w:val="Normlny"/>
    <w:next w:val="Normlny"/>
    <w:rsid w:val="008247E9"/>
    <w:pPr>
      <w:tabs>
        <w:tab w:val="clear" w:pos="567"/>
      </w:tabs>
      <w:autoSpaceDE w:val="0"/>
      <w:autoSpaceDN w:val="0"/>
      <w:adjustRightInd w:val="0"/>
      <w:spacing w:line="241" w:lineRule="atLeast"/>
    </w:pPr>
    <w:rPr>
      <w:rFonts w:ascii="Frutiger" w:hAnsi="Frutiger"/>
      <w:sz w:val="24"/>
      <w:szCs w:val="24"/>
      <w:lang w:val="en-US" w:eastAsia="en-US"/>
    </w:rPr>
  </w:style>
  <w:style w:type="character" w:customStyle="1" w:styleId="A2">
    <w:name w:val="A2"/>
    <w:rsid w:val="008247E9"/>
    <w:rPr>
      <w:rFonts w:cs="Frutiger"/>
      <w:color w:val="484848"/>
      <w:sz w:val="18"/>
      <w:szCs w:val="18"/>
    </w:rPr>
  </w:style>
  <w:style w:type="paragraph" w:styleId="Normlnywebov">
    <w:name w:val="Normal (Web)"/>
    <w:basedOn w:val="Normlny"/>
    <w:uiPriority w:val="99"/>
    <w:unhideWhenUsed/>
    <w:rsid w:val="008247E9"/>
    <w:pPr>
      <w:tabs>
        <w:tab w:val="clear" w:pos="567"/>
      </w:tabs>
      <w:spacing w:before="100" w:beforeAutospacing="1" w:after="100" w:afterAutospacing="1" w:line="240" w:lineRule="auto"/>
    </w:pPr>
    <w:rPr>
      <w:sz w:val="24"/>
      <w:szCs w:val="24"/>
      <w:lang w:val="en-GB" w:eastAsia="en-GB"/>
    </w:rPr>
  </w:style>
  <w:style w:type="paragraph" w:styleId="Obyajntext">
    <w:name w:val="Plain Text"/>
    <w:basedOn w:val="Normlny"/>
    <w:link w:val="ObyajntextChar"/>
    <w:uiPriority w:val="99"/>
    <w:unhideWhenUsed/>
    <w:rsid w:val="008247E9"/>
    <w:pPr>
      <w:tabs>
        <w:tab w:val="clear" w:pos="567"/>
      </w:tabs>
      <w:spacing w:line="240" w:lineRule="auto"/>
    </w:pPr>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8247E9"/>
    <w:rPr>
      <w:rFonts w:ascii="Consolas" w:eastAsia="Calibri" w:hAnsi="Consolas"/>
      <w:sz w:val="21"/>
      <w:szCs w:val="21"/>
      <w:lang w:eastAsia="en-US"/>
    </w:rPr>
  </w:style>
  <w:style w:type="paragraph" w:styleId="slovanzoznam">
    <w:name w:val="List Number"/>
    <w:basedOn w:val="Normlny"/>
    <w:rsid w:val="008247E9"/>
    <w:pPr>
      <w:numPr>
        <w:numId w:val="22"/>
      </w:numPr>
      <w:spacing w:before="120" w:after="120" w:line="240" w:lineRule="auto"/>
    </w:pPr>
    <w:rPr>
      <w:rFonts w:ascii="Arial" w:hAnsi="Arial"/>
      <w:sz w:val="24"/>
      <w:lang w:val="en-US" w:eastAsia="en-US"/>
    </w:rPr>
  </w:style>
  <w:style w:type="paragraph" w:styleId="slovanzoznam2">
    <w:name w:val="List Number 2"/>
    <w:basedOn w:val="Zkladntext2"/>
    <w:rsid w:val="008247E9"/>
    <w:pPr>
      <w:numPr>
        <w:ilvl w:val="1"/>
        <w:numId w:val="22"/>
      </w:numPr>
      <w:spacing w:before="120" w:line="240" w:lineRule="auto"/>
    </w:pPr>
    <w:rPr>
      <w:sz w:val="24"/>
    </w:rPr>
  </w:style>
  <w:style w:type="paragraph" w:styleId="Zkladntext2">
    <w:name w:val="Body Text 2"/>
    <w:basedOn w:val="Normlny"/>
    <w:link w:val="Zkladntext2Char"/>
    <w:rsid w:val="008247E9"/>
    <w:pPr>
      <w:tabs>
        <w:tab w:val="clear" w:pos="567"/>
      </w:tabs>
      <w:spacing w:after="120" w:line="480" w:lineRule="auto"/>
    </w:pPr>
    <w:rPr>
      <w:rFonts w:ascii="Arial" w:hAnsi="Arial"/>
      <w:sz w:val="20"/>
      <w:lang w:val="en-US" w:eastAsia="en-US"/>
    </w:rPr>
  </w:style>
  <w:style w:type="character" w:customStyle="1" w:styleId="Zkladntext2Char">
    <w:name w:val="Základný text 2 Char"/>
    <w:basedOn w:val="Predvolenpsmoodseku"/>
    <w:link w:val="Zkladntext2"/>
    <w:rsid w:val="008247E9"/>
    <w:rPr>
      <w:rFonts w:ascii="Arial" w:eastAsia="Times New Roman" w:hAnsi="Arial"/>
      <w:lang w:val="en-US" w:eastAsia="en-US"/>
    </w:rPr>
  </w:style>
  <w:style w:type="paragraph" w:styleId="slovanzoznam3">
    <w:name w:val="List Number 3"/>
    <w:basedOn w:val="Zkladntext3"/>
    <w:rsid w:val="008247E9"/>
    <w:pPr>
      <w:numPr>
        <w:ilvl w:val="2"/>
        <w:numId w:val="22"/>
      </w:numPr>
      <w:spacing w:before="120"/>
    </w:pPr>
    <w:rPr>
      <w:sz w:val="24"/>
      <w:szCs w:val="24"/>
    </w:rPr>
  </w:style>
  <w:style w:type="paragraph" w:styleId="Zkladntext3">
    <w:name w:val="Body Text 3"/>
    <w:basedOn w:val="Normlny"/>
    <w:link w:val="Zkladntext3Char"/>
    <w:rsid w:val="008247E9"/>
    <w:pPr>
      <w:tabs>
        <w:tab w:val="clear" w:pos="567"/>
      </w:tabs>
      <w:spacing w:after="120" w:line="240" w:lineRule="auto"/>
    </w:pPr>
    <w:rPr>
      <w:rFonts w:ascii="Arial" w:hAnsi="Arial"/>
      <w:sz w:val="16"/>
      <w:szCs w:val="16"/>
      <w:lang w:val="en-US" w:eastAsia="en-US"/>
    </w:rPr>
  </w:style>
  <w:style w:type="character" w:customStyle="1" w:styleId="Zkladntext3Char">
    <w:name w:val="Základný text 3 Char"/>
    <w:basedOn w:val="Predvolenpsmoodseku"/>
    <w:link w:val="Zkladntext3"/>
    <w:rsid w:val="008247E9"/>
    <w:rPr>
      <w:rFonts w:ascii="Arial" w:eastAsia="Times New Roman" w:hAnsi="Arial"/>
      <w:sz w:val="16"/>
      <w:szCs w:val="16"/>
      <w:lang w:val="en-US" w:eastAsia="en-US"/>
    </w:rPr>
  </w:style>
  <w:style w:type="paragraph" w:styleId="slovanzoznam4">
    <w:name w:val="List Number 4"/>
    <w:basedOn w:val="Normlny"/>
    <w:rsid w:val="008247E9"/>
    <w:pPr>
      <w:numPr>
        <w:ilvl w:val="3"/>
        <w:numId w:val="22"/>
      </w:numPr>
      <w:tabs>
        <w:tab w:val="clear" w:pos="567"/>
      </w:tabs>
      <w:spacing w:before="120" w:after="120" w:line="240" w:lineRule="auto"/>
    </w:pPr>
    <w:rPr>
      <w:rFonts w:ascii="Arial" w:hAnsi="Arial"/>
      <w:sz w:val="24"/>
      <w:lang w:val="en-US" w:eastAsia="en-US"/>
    </w:rPr>
  </w:style>
  <w:style w:type="character" w:customStyle="1" w:styleId="ZkladntextChar">
    <w:name w:val="Základný text Char"/>
    <w:basedOn w:val="Predvolenpsmoodseku"/>
    <w:link w:val="Zkladntext"/>
    <w:rsid w:val="008247E9"/>
    <w:rPr>
      <w:rFonts w:eastAsia="Times New Roman"/>
      <w:i/>
      <w:color w:val="008000"/>
      <w:sz w:val="22"/>
      <w:lang w:bidi="sk-SK"/>
    </w:rPr>
  </w:style>
  <w:style w:type="numbering" w:customStyle="1" w:styleId="NoList11">
    <w:name w:val="No List11"/>
    <w:next w:val="Bezzoznamu"/>
    <w:semiHidden/>
    <w:rsid w:val="008247E9"/>
  </w:style>
  <w:style w:type="paragraph" w:styleId="Zarkazkladnhotextu">
    <w:name w:val="Body Text Indent"/>
    <w:basedOn w:val="Normlny"/>
    <w:link w:val="ZarkazkladnhotextuChar"/>
    <w:rsid w:val="008247E9"/>
    <w:pPr>
      <w:tabs>
        <w:tab w:val="clear" w:pos="567"/>
      </w:tabs>
      <w:autoSpaceDE w:val="0"/>
      <w:autoSpaceDN w:val="0"/>
      <w:adjustRightInd w:val="0"/>
      <w:spacing w:line="240" w:lineRule="auto"/>
      <w:ind w:left="720"/>
      <w:jc w:val="both"/>
    </w:pPr>
    <w:rPr>
      <w:lang w:val="en-GB" w:eastAsia="en-GB"/>
    </w:rPr>
  </w:style>
  <w:style w:type="character" w:customStyle="1" w:styleId="ZarkazkladnhotextuChar">
    <w:name w:val="Zarážka základného textu Char"/>
    <w:basedOn w:val="Predvolenpsmoodseku"/>
    <w:link w:val="Zarkazkladnhotextu"/>
    <w:rsid w:val="008247E9"/>
    <w:rPr>
      <w:rFonts w:eastAsia="Times New Roman"/>
      <w:sz w:val="22"/>
      <w:szCs w:val="22"/>
      <w:lang w:val="en-GB" w:eastAsia="en-GB"/>
    </w:rPr>
  </w:style>
  <w:style w:type="paragraph" w:styleId="Zarkazkladnhotextu2">
    <w:name w:val="Body Text Indent 2"/>
    <w:basedOn w:val="Normlny"/>
    <w:link w:val="Zarkazkladnhotextu2Char"/>
    <w:rsid w:val="008247E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lang w:val="en-GB" w:eastAsia="en-US"/>
    </w:rPr>
  </w:style>
  <w:style w:type="character" w:customStyle="1" w:styleId="Zarkazkladnhotextu2Char">
    <w:name w:val="Zarážka základného textu 2 Char"/>
    <w:basedOn w:val="Predvolenpsmoodseku"/>
    <w:link w:val="Zarkazkladnhotextu2"/>
    <w:rsid w:val="008247E9"/>
    <w:rPr>
      <w:rFonts w:eastAsia="Times New Roman"/>
      <w:b/>
      <w:bCs/>
      <w:color w:val="0000FF"/>
      <w:sz w:val="22"/>
      <w:szCs w:val="22"/>
      <w:lang w:val="en-GB" w:eastAsia="en-US"/>
    </w:rPr>
  </w:style>
  <w:style w:type="paragraph" w:styleId="truktradokumentu">
    <w:name w:val="Document Map"/>
    <w:basedOn w:val="Normlny"/>
    <w:link w:val="truktradokumentuChar"/>
    <w:rsid w:val="008247E9"/>
    <w:pPr>
      <w:shd w:val="clear" w:color="auto" w:fill="000080"/>
    </w:pPr>
    <w:rPr>
      <w:rFonts w:ascii="Tahoma" w:hAnsi="Tahoma" w:cs="Tahoma"/>
      <w:lang w:val="en-GB" w:eastAsia="en-US"/>
    </w:rPr>
  </w:style>
  <w:style w:type="character" w:customStyle="1" w:styleId="truktradokumentuChar">
    <w:name w:val="Štruktúra dokumentu Char"/>
    <w:basedOn w:val="Predvolenpsmoodseku"/>
    <w:link w:val="truktradokumentu"/>
    <w:rsid w:val="008247E9"/>
    <w:rPr>
      <w:rFonts w:ascii="Tahoma" w:eastAsia="Times New Roman" w:hAnsi="Tahoma" w:cs="Tahoma"/>
      <w:sz w:val="22"/>
      <w:shd w:val="clear" w:color="auto" w:fill="000080"/>
      <w:lang w:val="en-GB" w:eastAsia="en-US"/>
    </w:rPr>
  </w:style>
  <w:style w:type="paragraph" w:customStyle="1" w:styleId="AHeader1">
    <w:name w:val="AHeader 1"/>
    <w:basedOn w:val="Normlny"/>
    <w:rsid w:val="008247E9"/>
    <w:pPr>
      <w:numPr>
        <w:numId w:val="23"/>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8247E9"/>
    <w:pPr>
      <w:numPr>
        <w:ilvl w:val="1"/>
      </w:numPr>
      <w:tabs>
        <w:tab w:val="clear" w:pos="709"/>
        <w:tab w:val="num" w:pos="360"/>
      </w:tabs>
    </w:pPr>
    <w:rPr>
      <w:sz w:val="22"/>
    </w:rPr>
  </w:style>
  <w:style w:type="paragraph" w:customStyle="1" w:styleId="AHeader3">
    <w:name w:val="AHeader 3"/>
    <w:basedOn w:val="AHeader2"/>
    <w:rsid w:val="008247E9"/>
    <w:pPr>
      <w:numPr>
        <w:ilvl w:val="2"/>
      </w:numPr>
      <w:tabs>
        <w:tab w:val="clear" w:pos="1276"/>
        <w:tab w:val="num" w:pos="360"/>
      </w:tabs>
    </w:pPr>
  </w:style>
  <w:style w:type="paragraph" w:customStyle="1" w:styleId="AHeader2abc">
    <w:name w:val="AHeader 2 abc"/>
    <w:basedOn w:val="AHeader3"/>
    <w:rsid w:val="008247E9"/>
    <w:pPr>
      <w:numPr>
        <w:ilvl w:val="3"/>
      </w:numPr>
      <w:tabs>
        <w:tab w:val="clear" w:pos="1276"/>
        <w:tab w:val="num" w:pos="360"/>
      </w:tabs>
      <w:jc w:val="both"/>
    </w:pPr>
    <w:rPr>
      <w:b w:val="0"/>
      <w:bCs w:val="0"/>
    </w:rPr>
  </w:style>
  <w:style w:type="paragraph" w:customStyle="1" w:styleId="AHeader3abc">
    <w:name w:val="AHeader 3 abc"/>
    <w:basedOn w:val="AHeader2abc"/>
    <w:rsid w:val="008247E9"/>
    <w:pPr>
      <w:numPr>
        <w:ilvl w:val="4"/>
      </w:numPr>
      <w:tabs>
        <w:tab w:val="clear" w:pos="1701"/>
        <w:tab w:val="num" w:pos="360"/>
      </w:tabs>
    </w:pPr>
  </w:style>
  <w:style w:type="paragraph" w:styleId="Zarkazkladnhotextu3">
    <w:name w:val="Body Text Indent 3"/>
    <w:basedOn w:val="Normlny"/>
    <w:link w:val="Zarkazkladnhotextu3Char"/>
    <w:rsid w:val="008247E9"/>
    <w:pPr>
      <w:tabs>
        <w:tab w:val="left" w:pos="1134"/>
      </w:tabs>
      <w:autoSpaceDE w:val="0"/>
      <w:autoSpaceDN w:val="0"/>
      <w:adjustRightInd w:val="0"/>
      <w:ind w:left="633"/>
      <w:jc w:val="both"/>
    </w:pPr>
    <w:rPr>
      <w:szCs w:val="21"/>
      <w:lang w:val="en-GB" w:eastAsia="en-US"/>
    </w:rPr>
  </w:style>
  <w:style w:type="character" w:customStyle="1" w:styleId="Zarkazkladnhotextu3Char">
    <w:name w:val="Zarážka základného textu 3 Char"/>
    <w:basedOn w:val="Predvolenpsmoodseku"/>
    <w:link w:val="Zarkazkladnhotextu3"/>
    <w:rsid w:val="008247E9"/>
    <w:rPr>
      <w:rFonts w:eastAsia="Times New Roman"/>
      <w:sz w:val="22"/>
      <w:szCs w:val="21"/>
      <w:lang w:val="en-GB" w:eastAsia="en-US"/>
    </w:rPr>
  </w:style>
  <w:style w:type="paragraph" w:customStyle="1" w:styleId="Default">
    <w:name w:val="Default"/>
    <w:rsid w:val="008247E9"/>
    <w:pPr>
      <w:autoSpaceDE w:val="0"/>
      <w:autoSpaceDN w:val="0"/>
      <w:adjustRightInd w:val="0"/>
    </w:pPr>
    <w:rPr>
      <w:rFonts w:eastAsia="Times New Roman"/>
      <w:lang w:val="en-US" w:eastAsia="en-US"/>
    </w:rPr>
  </w:style>
  <w:style w:type="paragraph" w:customStyle="1" w:styleId="MGGTextLeft">
    <w:name w:val="MGG Text Left"/>
    <w:basedOn w:val="Zkladntext"/>
    <w:rsid w:val="008247E9"/>
    <w:rPr>
      <w:i w:val="0"/>
      <w:color w:val="auto"/>
      <w:szCs w:val="24"/>
      <w:lang w:val="en-GB" w:eastAsia="en-US"/>
    </w:rPr>
  </w:style>
  <w:style w:type="paragraph" w:styleId="Textpoznmkypodiarou">
    <w:name w:val="footnote text"/>
    <w:basedOn w:val="Normlny"/>
    <w:link w:val="TextpoznmkypodiarouChar"/>
    <w:uiPriority w:val="99"/>
    <w:unhideWhenUsed/>
    <w:rsid w:val="008247E9"/>
    <w:pPr>
      <w:tabs>
        <w:tab w:val="clear" w:pos="567"/>
      </w:tabs>
      <w:spacing w:line="240" w:lineRule="auto"/>
    </w:pPr>
    <w:rPr>
      <w:rFonts w:asciiTheme="minorHAnsi" w:eastAsiaTheme="minorHAnsi" w:hAnsiTheme="minorHAnsi" w:cstheme="minorBidi"/>
      <w:sz w:val="20"/>
      <w:lang w:val="en-GB" w:eastAsia="en-US"/>
    </w:rPr>
  </w:style>
  <w:style w:type="character" w:customStyle="1" w:styleId="TextpoznmkypodiarouChar">
    <w:name w:val="Text poznámky pod čiarou Char"/>
    <w:basedOn w:val="Predvolenpsmoodseku"/>
    <w:link w:val="Textpoznmkypodiarou"/>
    <w:uiPriority w:val="99"/>
    <w:rsid w:val="008247E9"/>
    <w:rPr>
      <w:rFonts w:asciiTheme="minorHAnsi" w:eastAsiaTheme="minorHAnsi" w:hAnsiTheme="minorHAnsi" w:cstheme="minorBidi"/>
      <w:lang w:val="en-GB" w:eastAsia="en-US"/>
    </w:rPr>
  </w:style>
  <w:style w:type="character" w:styleId="Odkaznapoznmkupodiarou">
    <w:name w:val="footnote reference"/>
    <w:basedOn w:val="Predvolenpsmoodseku"/>
    <w:uiPriority w:val="99"/>
    <w:unhideWhenUsed/>
    <w:rsid w:val="008247E9"/>
    <w:rPr>
      <w:vertAlign w:val="superscript"/>
    </w:rPr>
  </w:style>
  <w:style w:type="character" w:customStyle="1" w:styleId="apple-converted-space">
    <w:name w:val="apple-converted-space"/>
    <w:basedOn w:val="Predvolenpsmoodseku"/>
    <w:rsid w:val="008247E9"/>
  </w:style>
  <w:style w:type="paragraph" w:styleId="Textkoncovejpoznmky">
    <w:name w:val="endnote text"/>
    <w:basedOn w:val="Normlny"/>
    <w:link w:val="TextkoncovejpoznmkyChar"/>
    <w:rsid w:val="00163AEA"/>
    <w:pPr>
      <w:spacing w:line="240" w:lineRule="auto"/>
    </w:pPr>
    <w:rPr>
      <w:sz w:val="20"/>
    </w:rPr>
  </w:style>
  <w:style w:type="character" w:customStyle="1" w:styleId="TextkoncovejpoznmkyChar">
    <w:name w:val="Text koncovej poznámky Char"/>
    <w:basedOn w:val="Predvolenpsmoodseku"/>
    <w:link w:val="Textkoncovejpoznmky"/>
    <w:rsid w:val="00163AEA"/>
    <w:rPr>
      <w:rFonts w:eastAsia="Times New Roman"/>
      <w:lang w:bidi="sk-SK"/>
    </w:rPr>
  </w:style>
  <w:style w:type="character" w:styleId="Odkaznakoncovpoznmku">
    <w:name w:val="endnote reference"/>
    <w:basedOn w:val="Predvolenpsmoodseku"/>
    <w:rsid w:val="00163AEA"/>
    <w:rPr>
      <w:vertAlign w:val="superscript"/>
    </w:rPr>
  </w:style>
</w:styles>
</file>

<file path=word/webSettings.xml><?xml version="1.0" encoding="utf-8"?>
<w:webSettings xmlns:r="http://schemas.openxmlformats.org/officeDocument/2006/relationships" xmlns:w="http://schemas.openxmlformats.org/wordprocessingml/2006/main">
  <w:divs>
    <w:div w:id="353576151">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07074043">
      <w:marLeft w:val="0"/>
      <w:marRight w:val="0"/>
      <w:marTop w:val="0"/>
      <w:marBottom w:val="0"/>
      <w:divBdr>
        <w:top w:val="none" w:sz="0" w:space="0" w:color="auto"/>
        <w:left w:val="none" w:sz="0" w:space="0" w:color="auto"/>
        <w:bottom w:val="none" w:sz="0" w:space="0" w:color="auto"/>
        <w:right w:val="none" w:sz="0" w:space="0" w:color="auto"/>
      </w:divBdr>
    </w:div>
    <w:div w:id="707074044">
      <w:marLeft w:val="0"/>
      <w:marRight w:val="0"/>
      <w:marTop w:val="0"/>
      <w:marBottom w:val="0"/>
      <w:divBdr>
        <w:top w:val="none" w:sz="0" w:space="0" w:color="auto"/>
        <w:left w:val="none" w:sz="0" w:space="0" w:color="auto"/>
        <w:bottom w:val="none" w:sz="0" w:space="0" w:color="auto"/>
        <w:right w:val="none" w:sz="0" w:space="0" w:color="auto"/>
      </w:divBdr>
    </w:div>
    <w:div w:id="707074045">
      <w:marLeft w:val="0"/>
      <w:marRight w:val="0"/>
      <w:marTop w:val="0"/>
      <w:marBottom w:val="0"/>
      <w:divBdr>
        <w:top w:val="none" w:sz="0" w:space="0" w:color="auto"/>
        <w:left w:val="none" w:sz="0" w:space="0" w:color="auto"/>
        <w:bottom w:val="none" w:sz="0" w:space="0" w:color="auto"/>
        <w:right w:val="none" w:sz="0" w:space="0" w:color="auto"/>
      </w:divBdr>
    </w:div>
    <w:div w:id="707074046">
      <w:marLeft w:val="0"/>
      <w:marRight w:val="0"/>
      <w:marTop w:val="0"/>
      <w:marBottom w:val="0"/>
      <w:divBdr>
        <w:top w:val="none" w:sz="0" w:space="0" w:color="auto"/>
        <w:left w:val="none" w:sz="0" w:space="0" w:color="auto"/>
        <w:bottom w:val="none" w:sz="0" w:space="0" w:color="auto"/>
        <w:right w:val="none" w:sz="0" w:space="0" w:color="auto"/>
      </w:divBdr>
    </w:div>
    <w:div w:id="707074047">
      <w:marLeft w:val="0"/>
      <w:marRight w:val="0"/>
      <w:marTop w:val="0"/>
      <w:marBottom w:val="0"/>
      <w:divBdr>
        <w:top w:val="none" w:sz="0" w:space="0" w:color="auto"/>
        <w:left w:val="none" w:sz="0" w:space="0" w:color="auto"/>
        <w:bottom w:val="none" w:sz="0" w:space="0" w:color="auto"/>
        <w:right w:val="none" w:sz="0" w:space="0" w:color="auto"/>
      </w:divBdr>
    </w:div>
    <w:div w:id="707074048">
      <w:marLeft w:val="0"/>
      <w:marRight w:val="0"/>
      <w:marTop w:val="0"/>
      <w:marBottom w:val="0"/>
      <w:divBdr>
        <w:top w:val="none" w:sz="0" w:space="0" w:color="auto"/>
        <w:left w:val="none" w:sz="0" w:space="0" w:color="auto"/>
        <w:bottom w:val="none" w:sz="0" w:space="0" w:color="auto"/>
        <w:right w:val="none" w:sz="0" w:space="0" w:color="auto"/>
      </w:divBdr>
    </w:div>
    <w:div w:id="707074049">
      <w:marLeft w:val="0"/>
      <w:marRight w:val="0"/>
      <w:marTop w:val="0"/>
      <w:marBottom w:val="0"/>
      <w:divBdr>
        <w:top w:val="none" w:sz="0" w:space="0" w:color="auto"/>
        <w:left w:val="none" w:sz="0" w:space="0" w:color="auto"/>
        <w:bottom w:val="none" w:sz="0" w:space="0" w:color="auto"/>
        <w:right w:val="none" w:sz="0" w:space="0" w:color="auto"/>
      </w:divBdr>
    </w:div>
    <w:div w:id="707074050">
      <w:marLeft w:val="0"/>
      <w:marRight w:val="0"/>
      <w:marTop w:val="0"/>
      <w:marBottom w:val="0"/>
      <w:divBdr>
        <w:top w:val="none" w:sz="0" w:space="0" w:color="auto"/>
        <w:left w:val="none" w:sz="0" w:space="0" w:color="auto"/>
        <w:bottom w:val="none" w:sz="0" w:space="0" w:color="auto"/>
        <w:right w:val="none" w:sz="0" w:space="0" w:color="auto"/>
      </w:divBdr>
    </w:div>
    <w:div w:id="707074051">
      <w:marLeft w:val="0"/>
      <w:marRight w:val="0"/>
      <w:marTop w:val="0"/>
      <w:marBottom w:val="0"/>
      <w:divBdr>
        <w:top w:val="none" w:sz="0" w:space="0" w:color="auto"/>
        <w:left w:val="none" w:sz="0" w:space="0" w:color="auto"/>
        <w:bottom w:val="none" w:sz="0" w:space="0" w:color="auto"/>
        <w:right w:val="none" w:sz="0" w:space="0" w:color="auto"/>
      </w:divBdr>
    </w:div>
    <w:div w:id="707074052">
      <w:marLeft w:val="0"/>
      <w:marRight w:val="0"/>
      <w:marTop w:val="0"/>
      <w:marBottom w:val="0"/>
      <w:divBdr>
        <w:top w:val="none" w:sz="0" w:space="0" w:color="auto"/>
        <w:left w:val="none" w:sz="0" w:space="0" w:color="auto"/>
        <w:bottom w:val="none" w:sz="0" w:space="0" w:color="auto"/>
        <w:right w:val="none" w:sz="0" w:space="0" w:color="auto"/>
      </w:divBdr>
    </w:div>
    <w:div w:id="707074053">
      <w:marLeft w:val="0"/>
      <w:marRight w:val="0"/>
      <w:marTop w:val="0"/>
      <w:marBottom w:val="0"/>
      <w:divBdr>
        <w:top w:val="none" w:sz="0" w:space="0" w:color="auto"/>
        <w:left w:val="none" w:sz="0" w:space="0" w:color="auto"/>
        <w:bottom w:val="none" w:sz="0" w:space="0" w:color="auto"/>
        <w:right w:val="none" w:sz="0" w:space="0" w:color="auto"/>
      </w:divBdr>
    </w:div>
    <w:div w:id="707074054">
      <w:marLeft w:val="0"/>
      <w:marRight w:val="0"/>
      <w:marTop w:val="0"/>
      <w:marBottom w:val="0"/>
      <w:divBdr>
        <w:top w:val="none" w:sz="0" w:space="0" w:color="auto"/>
        <w:left w:val="none" w:sz="0" w:space="0" w:color="auto"/>
        <w:bottom w:val="none" w:sz="0" w:space="0" w:color="auto"/>
        <w:right w:val="none" w:sz="0" w:space="0" w:color="auto"/>
      </w:divBdr>
    </w:div>
    <w:div w:id="707074055">
      <w:marLeft w:val="0"/>
      <w:marRight w:val="0"/>
      <w:marTop w:val="0"/>
      <w:marBottom w:val="0"/>
      <w:divBdr>
        <w:top w:val="none" w:sz="0" w:space="0" w:color="auto"/>
        <w:left w:val="none" w:sz="0" w:space="0" w:color="auto"/>
        <w:bottom w:val="none" w:sz="0" w:space="0" w:color="auto"/>
        <w:right w:val="none" w:sz="0" w:space="0" w:color="auto"/>
      </w:divBdr>
    </w:div>
    <w:div w:id="707074056">
      <w:marLeft w:val="0"/>
      <w:marRight w:val="0"/>
      <w:marTop w:val="0"/>
      <w:marBottom w:val="0"/>
      <w:divBdr>
        <w:top w:val="none" w:sz="0" w:space="0" w:color="auto"/>
        <w:left w:val="none" w:sz="0" w:space="0" w:color="auto"/>
        <w:bottom w:val="none" w:sz="0" w:space="0" w:color="auto"/>
        <w:right w:val="none" w:sz="0" w:space="0" w:color="auto"/>
      </w:divBdr>
    </w:div>
    <w:div w:id="707074057">
      <w:marLeft w:val="0"/>
      <w:marRight w:val="0"/>
      <w:marTop w:val="0"/>
      <w:marBottom w:val="0"/>
      <w:divBdr>
        <w:top w:val="none" w:sz="0" w:space="0" w:color="auto"/>
        <w:left w:val="none" w:sz="0" w:space="0" w:color="auto"/>
        <w:bottom w:val="none" w:sz="0" w:space="0" w:color="auto"/>
        <w:right w:val="none" w:sz="0" w:space="0" w:color="auto"/>
      </w:divBdr>
    </w:div>
    <w:div w:id="707074058">
      <w:marLeft w:val="0"/>
      <w:marRight w:val="0"/>
      <w:marTop w:val="0"/>
      <w:marBottom w:val="0"/>
      <w:divBdr>
        <w:top w:val="none" w:sz="0" w:space="0" w:color="auto"/>
        <w:left w:val="none" w:sz="0" w:space="0" w:color="auto"/>
        <w:bottom w:val="none" w:sz="0" w:space="0" w:color="auto"/>
        <w:right w:val="none" w:sz="0" w:space="0" w:color="auto"/>
      </w:divBdr>
    </w:div>
    <w:div w:id="707074059">
      <w:marLeft w:val="0"/>
      <w:marRight w:val="0"/>
      <w:marTop w:val="0"/>
      <w:marBottom w:val="0"/>
      <w:divBdr>
        <w:top w:val="none" w:sz="0" w:space="0" w:color="auto"/>
        <w:left w:val="none" w:sz="0" w:space="0" w:color="auto"/>
        <w:bottom w:val="none" w:sz="0" w:space="0" w:color="auto"/>
        <w:right w:val="none" w:sz="0" w:space="0" w:color="auto"/>
      </w:divBdr>
    </w:div>
    <w:div w:id="707074060">
      <w:marLeft w:val="0"/>
      <w:marRight w:val="0"/>
      <w:marTop w:val="0"/>
      <w:marBottom w:val="0"/>
      <w:divBdr>
        <w:top w:val="none" w:sz="0" w:space="0" w:color="auto"/>
        <w:left w:val="none" w:sz="0" w:space="0" w:color="auto"/>
        <w:bottom w:val="none" w:sz="0" w:space="0" w:color="auto"/>
        <w:right w:val="none" w:sz="0" w:space="0" w:color="auto"/>
      </w:divBdr>
    </w:div>
    <w:div w:id="70707406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51561311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271F1-D326-4F7F-8E12-D5B16B19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10462</Words>
  <Characters>59637</Characters>
  <Application>Microsoft Office Word</Application>
  <DocSecurity>0</DocSecurity>
  <Lines>496</Lines>
  <Paragraphs>139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Hqrdtemplatecleansk</vt:lpstr>
      <vt:lpstr>Hqrdtemplatecleansk</vt:lpstr>
    </vt:vector>
  </TitlesOfParts>
  <Company>Translation Centre</Company>
  <LinksUpToDate>false</LinksUpToDate>
  <CharactersWithSpaces>69960</CharactersWithSpaces>
  <SharedDoc>false</SharedDoc>
  <HLinks>
    <vt:vector size="42" baseType="variant">
      <vt:variant>
        <vt:i4>7733306</vt:i4>
      </vt:variant>
      <vt:variant>
        <vt:i4>18</vt:i4>
      </vt:variant>
      <vt:variant>
        <vt:i4>0</vt:i4>
      </vt:variant>
      <vt:variant>
        <vt:i4>5</vt:i4>
      </vt:variant>
      <vt:variant>
        <vt:lpwstr>http://www.sukl.sk/</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7733306</vt:i4>
      </vt:variant>
      <vt:variant>
        <vt:i4>9</vt:i4>
      </vt:variant>
      <vt:variant>
        <vt:i4>0</vt:i4>
      </vt:variant>
      <vt:variant>
        <vt:i4>5</vt:i4>
      </vt:variant>
      <vt:variant>
        <vt:lpwstr>http://www.sukl.sk/</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Hqrdtemplatecleansk</dc:title>
  <dc:subject/>
  <dc:creator>European Medicines Agency</dc:creator>
  <cp:keywords/>
  <cp:lastModifiedBy> Jana Repiščáková</cp:lastModifiedBy>
  <cp:revision>5</cp:revision>
  <dcterms:created xsi:type="dcterms:W3CDTF">2017-12-08T07:07:00Z</dcterms:created>
  <dcterms:modified xsi:type="dcterms:W3CDTF">2017-12-08T08:36:00Z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_NewReviewCycle">
    <vt:lpwstr/>
  </property>
  <property fmtid="{D5CDD505-2E9C-101B-9397-08002B2CF9AE}" pid="31" name="DM_Version">
    <vt:lpwstr>CURRENT,1.0</vt:lpwstr>
  </property>
  <property fmtid="{D5CDD505-2E9C-101B-9397-08002B2CF9AE}" pid="32" name="DM_Name">
    <vt:lpwstr>Hqrdtemplatecleansk</vt:lpwstr>
  </property>
  <property fmtid="{D5CDD505-2E9C-101B-9397-08002B2CF9AE}" pid="33" name="DM_Creation_Date">
    <vt:lpwstr>19/04/2016 16:37:26</vt:lpwstr>
  </property>
  <property fmtid="{D5CDD505-2E9C-101B-9397-08002B2CF9AE}" pid="34" name="DM_Modify_Date">
    <vt:lpwstr>19/04/2016 16:37:26</vt:lpwstr>
  </property>
  <property fmtid="{D5CDD505-2E9C-101B-9397-08002B2CF9AE}" pid="35" name="DM_Creator_Name">
    <vt:lpwstr>Akhtar Tia</vt:lpwstr>
  </property>
  <property fmtid="{D5CDD505-2E9C-101B-9397-08002B2CF9AE}" pid="36" name="DM_Modifier_Name">
    <vt:lpwstr>Akhtar Tia</vt:lpwstr>
  </property>
  <property fmtid="{D5CDD505-2E9C-101B-9397-08002B2CF9AE}" pid="37" name="DM_Type">
    <vt:lpwstr>emea_document</vt:lpwstr>
  </property>
  <property fmtid="{D5CDD505-2E9C-101B-9397-08002B2CF9AE}" pid="38" name="DM_DocRefId">
    <vt:lpwstr>EMA/281846/2016</vt:lpwstr>
  </property>
  <property fmtid="{D5CDD505-2E9C-101B-9397-08002B2CF9AE}" pid="39" name="DM_Category">
    <vt:lpwstr>Templates and Form</vt:lpwstr>
  </property>
  <property fmtid="{D5CDD505-2E9C-101B-9397-08002B2CF9AE}" pid="40" name="DM_Path">
    <vt:lpwstr>/02b. Administration of Scientific Meeting/WPs SAGs DGs and other WGs/CxMP - QRD/3. Other activities/02. Procedures/01. QRD PI templates/01 QRD Human Templates/07 H-qrd template v10 (falsified legislation)/Publication April 2016 - corrections/03. Final PI</vt:lpwstr>
  </property>
  <property fmtid="{D5CDD505-2E9C-101B-9397-08002B2CF9AE}" pid="41" name="DM_emea_doc_ref_id">
    <vt:lpwstr>EMA/281846/2016</vt:lpwstr>
  </property>
  <property fmtid="{D5CDD505-2E9C-101B-9397-08002B2CF9AE}" pid="42" name="DM_Modifer_Name">
    <vt:lpwstr>Akhtar Tia</vt:lpwstr>
  </property>
  <property fmtid="{D5CDD505-2E9C-101B-9397-08002B2CF9AE}" pid="43" name="DM_Modified_Date">
    <vt:lpwstr>19/04/2016 16:37:26</vt:lpwstr>
  </property>
</Properties>
</file>