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9E" w:rsidRPr="008B38EC" w:rsidRDefault="008B38EC" w:rsidP="008B38EC">
      <w:pPr>
        <w:pStyle w:val="Hlavika"/>
        <w:jc w:val="both"/>
        <w:rPr>
          <w:rFonts w:ascii="Times New Roman" w:hAnsi="Times New Roman"/>
          <w:sz w:val="18"/>
          <w:szCs w:val="18"/>
          <w:lang w:val="sk-SK"/>
        </w:rPr>
      </w:pPr>
      <w:bookmarkStart w:id="0" w:name="_GoBack"/>
      <w:bookmarkEnd w:id="0"/>
      <w:r w:rsidRPr="008B38EC">
        <w:rPr>
          <w:rFonts w:ascii="Times New Roman" w:hAnsi="Times New Roman"/>
          <w:sz w:val="18"/>
          <w:szCs w:val="18"/>
          <w:lang w:val="sk-SK"/>
        </w:rPr>
        <w:t xml:space="preserve">Príloha č. </w:t>
      </w:r>
      <w:r w:rsidR="002B7261">
        <w:rPr>
          <w:rFonts w:ascii="Times New Roman" w:hAnsi="Times New Roman"/>
          <w:sz w:val="18"/>
          <w:szCs w:val="18"/>
          <w:lang w:val="sk-SK"/>
        </w:rPr>
        <w:t>1</w:t>
      </w:r>
      <w:r w:rsidRPr="008B38EC">
        <w:rPr>
          <w:rFonts w:ascii="Times New Roman" w:hAnsi="Times New Roman"/>
          <w:sz w:val="18"/>
          <w:szCs w:val="18"/>
          <w:lang w:val="sk-SK"/>
        </w:rPr>
        <w:t xml:space="preserve"> k notifikácii o zmene, ev. č.: </w:t>
      </w:r>
      <w:r w:rsidR="00E156A1">
        <w:rPr>
          <w:rFonts w:ascii="Times New Roman" w:hAnsi="Times New Roman"/>
          <w:sz w:val="18"/>
          <w:szCs w:val="18"/>
          <w:lang w:val="sk-SK"/>
        </w:rPr>
        <w:t>2017/06366-Z1A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5A59D4">
      <w:pPr>
        <w:pStyle w:val="Zkladntext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Súhrn charakteristických vlastností lieku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NázOv LIEku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AMPICILIN 0,5 BIOTIKA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AMPICILIN 1,0 BIOTIKA</w:t>
      </w:r>
    </w:p>
    <w:p w:rsidR="00FD1C7E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</w:t>
      </w:r>
      <w:r w:rsidR="00E22914" w:rsidRPr="008B38EC">
        <w:rPr>
          <w:rFonts w:ascii="Times New Roman" w:hAnsi="Times New Roman"/>
          <w:b w:val="0"/>
          <w:sz w:val="22"/>
          <w:szCs w:val="22"/>
        </w:rPr>
        <w:t xml:space="preserve">rášok na injekčný </w:t>
      </w:r>
      <w:r w:rsidR="00151F1C">
        <w:rPr>
          <w:rFonts w:ascii="Times New Roman" w:hAnsi="Times New Roman"/>
          <w:b w:val="0"/>
          <w:sz w:val="22"/>
          <w:szCs w:val="22"/>
        </w:rPr>
        <w:t xml:space="preserve">alebo </w:t>
      </w:r>
      <w:proofErr w:type="spellStart"/>
      <w:r w:rsidR="00151F1C">
        <w:rPr>
          <w:rFonts w:ascii="Times New Roman" w:hAnsi="Times New Roman"/>
          <w:b w:val="0"/>
          <w:sz w:val="22"/>
          <w:szCs w:val="22"/>
        </w:rPr>
        <w:t>infúzny</w:t>
      </w:r>
      <w:proofErr w:type="spellEnd"/>
      <w:r w:rsidR="00151F1C">
        <w:rPr>
          <w:rFonts w:ascii="Times New Roman" w:hAnsi="Times New Roman"/>
          <w:b w:val="0"/>
          <w:sz w:val="22"/>
          <w:szCs w:val="22"/>
        </w:rPr>
        <w:t xml:space="preserve"> </w:t>
      </w:r>
      <w:r w:rsidR="00E22914" w:rsidRPr="008B38EC">
        <w:rPr>
          <w:rFonts w:ascii="Times New Roman" w:hAnsi="Times New Roman"/>
          <w:b w:val="0"/>
          <w:sz w:val="22"/>
          <w:szCs w:val="22"/>
        </w:rPr>
        <w:t>roztok</w:t>
      </w:r>
      <w:r w:rsidR="00151F1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E22914" w:rsidRPr="008B38EC" w:rsidRDefault="00E22914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kvalitatÍvnE A kvantitatÍvnE ZLOŽENIE 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CF6C4C" w:rsidRDefault="00140DC7" w:rsidP="008B38EC">
      <w:pPr>
        <w:pStyle w:val="Zkladntext"/>
        <w:tabs>
          <w:tab w:val="left" w:pos="1134"/>
        </w:tabs>
        <w:ind w:left="2127" w:hanging="2127"/>
        <w:jc w:val="both"/>
        <w:rPr>
          <w:rFonts w:ascii="Times New Roman" w:hAnsi="Times New Roman"/>
          <w:sz w:val="22"/>
          <w:szCs w:val="22"/>
        </w:rPr>
      </w:pPr>
      <w:r w:rsidRPr="00140DC7">
        <w:rPr>
          <w:rFonts w:ascii="Times New Roman" w:hAnsi="Times New Roman"/>
          <w:b w:val="0"/>
          <w:sz w:val="22"/>
          <w:szCs w:val="22"/>
        </w:rPr>
        <w:t>AMPICILIN 0,5 BIOTIKA:</w:t>
      </w:r>
      <w:r w:rsidR="00FD1C7E" w:rsidRPr="008B38EC">
        <w:rPr>
          <w:rFonts w:ascii="Times New Roman" w:hAnsi="Times New Roman"/>
          <w:sz w:val="22"/>
          <w:szCs w:val="22"/>
        </w:rPr>
        <w:t xml:space="preserve"> </w:t>
      </w:r>
    </w:p>
    <w:p w:rsidR="00312BBF" w:rsidRDefault="00CF6C4C">
      <w:pPr>
        <w:pStyle w:val="Zkladntext"/>
        <w:tabs>
          <w:tab w:val="left" w:pos="1134"/>
        </w:tabs>
        <w:ind w:left="2127" w:hanging="212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Jedna injekčná liekovka obsahuje</w:t>
      </w:r>
      <w:r w:rsidR="00F6113B">
        <w:rPr>
          <w:rFonts w:ascii="Times New Roman" w:hAnsi="Times New Roman"/>
          <w:b w:val="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3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0,53 g</w:t>
        </w:r>
      </w:smartTag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 w:rsidR="008926A5">
        <w:rPr>
          <w:rFonts w:ascii="Times New Roman" w:hAnsi="Times New Roman"/>
          <w:b w:val="0"/>
          <w:sz w:val="22"/>
          <w:szCs w:val="22"/>
        </w:rPr>
        <w:t xml:space="preserve">sodnej soli </w:t>
      </w:r>
      <w:proofErr w:type="spellStart"/>
      <w:r w:rsidR="00C25EE8">
        <w:rPr>
          <w:rFonts w:ascii="Times New Roman" w:hAnsi="Times New Roman"/>
          <w:b w:val="0"/>
          <w:sz w:val="22"/>
          <w:szCs w:val="22"/>
        </w:rPr>
        <w:t>ampicilín</w:t>
      </w:r>
      <w:r w:rsidR="009F33AA">
        <w:rPr>
          <w:rFonts w:ascii="Times New Roman" w:hAnsi="Times New Roman"/>
          <w:b w:val="0"/>
          <w:sz w:val="22"/>
          <w:szCs w:val="22"/>
        </w:rPr>
        <w:t>u</w:t>
      </w:r>
      <w:proofErr w:type="spellEnd"/>
      <w:r w:rsidR="00C25EE8">
        <w:rPr>
          <w:rFonts w:ascii="Times New Roman" w:hAnsi="Times New Roman"/>
          <w:b w:val="0"/>
          <w:sz w:val="22"/>
          <w:szCs w:val="22"/>
        </w:rPr>
        <w:t>,</w:t>
      </w:r>
      <w:r w:rsidR="00FD1C7E" w:rsidRPr="008B38EC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čo </w:t>
      </w:r>
      <w:r w:rsidR="00FD1C7E" w:rsidRPr="008B38EC">
        <w:rPr>
          <w:rFonts w:ascii="Times New Roman" w:hAnsi="Times New Roman"/>
          <w:b w:val="0"/>
          <w:sz w:val="22"/>
          <w:szCs w:val="22"/>
        </w:rPr>
        <w:t xml:space="preserve">zodpovedá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0,5 g </w:t>
      </w:r>
      <w:proofErr w:type="spellStart"/>
      <w:r w:rsidR="008565BA"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 w:rsidR="00081694">
        <w:rPr>
          <w:rFonts w:ascii="Times New Roman" w:hAnsi="Times New Roman"/>
          <w:b w:val="0"/>
          <w:sz w:val="22"/>
          <w:szCs w:val="22"/>
        </w:rPr>
        <w:t>.</w:t>
      </w:r>
      <w:r w:rsidR="008565BA"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F6113B" w:rsidRPr="00F6113B" w:rsidRDefault="00F6113B" w:rsidP="00F6113B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F6113B">
        <w:rPr>
          <w:rFonts w:ascii="Times New Roman" w:hAnsi="Times New Roman"/>
          <w:b w:val="0"/>
          <w:sz w:val="22"/>
          <w:szCs w:val="22"/>
        </w:rPr>
        <w:t>AMPICILIN 1,0 BIOTIKA</w:t>
      </w:r>
      <w:r>
        <w:rPr>
          <w:rFonts w:ascii="Times New Roman" w:hAnsi="Times New Roman"/>
          <w:b w:val="0"/>
          <w:sz w:val="22"/>
          <w:szCs w:val="22"/>
        </w:rPr>
        <w:t>:</w:t>
      </w:r>
    </w:p>
    <w:p w:rsidR="00FD1C7E" w:rsidRPr="008B38EC" w:rsidRDefault="00F6113B" w:rsidP="00F6113B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Jedna injekčná liekovka obsahuje </w:t>
      </w:r>
      <w:r w:rsidRPr="008B38EC">
        <w:rPr>
          <w:rFonts w:ascii="Times New Roman" w:hAnsi="Times New Roman"/>
          <w:b w:val="0"/>
          <w:sz w:val="22"/>
          <w:szCs w:val="22"/>
        </w:rPr>
        <w:t>1,06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sz w:val="22"/>
          <w:szCs w:val="22"/>
        </w:rPr>
        <w:t>g</w:t>
      </w:r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 w:rsidR="008926A5">
        <w:rPr>
          <w:rFonts w:ascii="Times New Roman" w:hAnsi="Times New Roman"/>
          <w:b w:val="0"/>
          <w:sz w:val="22"/>
          <w:szCs w:val="22"/>
        </w:rPr>
        <w:t xml:space="preserve">sodnej soli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čo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zodpovedá </w:t>
      </w:r>
      <w:r>
        <w:rPr>
          <w:rFonts w:ascii="Times New Roman" w:hAnsi="Times New Roman"/>
          <w:b w:val="0"/>
          <w:sz w:val="22"/>
          <w:szCs w:val="22"/>
        </w:rPr>
        <w:t>1,0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g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 w:rsidR="00081694">
        <w:rPr>
          <w:rFonts w:ascii="Times New Roman" w:hAnsi="Times New Roman"/>
          <w:sz w:val="22"/>
          <w:szCs w:val="22"/>
        </w:rPr>
        <w:t>.</w:t>
      </w:r>
      <w:r w:rsidR="00FD1C7E" w:rsidRPr="008B38EC">
        <w:rPr>
          <w:rFonts w:ascii="Times New Roman" w:hAnsi="Times New Roman"/>
          <w:sz w:val="22"/>
          <w:szCs w:val="22"/>
        </w:rPr>
        <w:t xml:space="preserve"> </w:t>
      </w:r>
    </w:p>
    <w:p w:rsidR="00922D03" w:rsidRDefault="00922D03" w:rsidP="008B38EC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140DC7" w:rsidP="008B38EC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  <w:r w:rsidRPr="00140DC7">
        <w:rPr>
          <w:rFonts w:ascii="Times New Roman" w:hAnsi="Times New Roman"/>
          <w:b w:val="0"/>
          <w:sz w:val="22"/>
          <w:szCs w:val="22"/>
          <w:u w:val="single"/>
        </w:rPr>
        <w:t>AMPICILIN BIOTIKA obsahuje sodík</w:t>
      </w:r>
      <w:r w:rsidR="00E10A77">
        <w:rPr>
          <w:rFonts w:ascii="Times New Roman" w:hAnsi="Times New Roman"/>
          <w:b w:val="0"/>
          <w:sz w:val="22"/>
          <w:szCs w:val="22"/>
        </w:rPr>
        <w:t xml:space="preserve">: </w:t>
      </w:r>
      <w:r w:rsidR="00687FF7" w:rsidRPr="008B38EC">
        <w:rPr>
          <w:rFonts w:ascii="Times New Roman" w:hAnsi="Times New Roman"/>
          <w:b w:val="0"/>
          <w:sz w:val="22"/>
          <w:szCs w:val="22"/>
        </w:rPr>
        <w:t xml:space="preserve">1 g </w:t>
      </w:r>
      <w:r w:rsidR="008A451D" w:rsidRPr="008B38EC">
        <w:rPr>
          <w:rFonts w:ascii="Times New Roman" w:hAnsi="Times New Roman"/>
          <w:b w:val="0"/>
          <w:sz w:val="22"/>
          <w:szCs w:val="22"/>
        </w:rPr>
        <w:t>A</w:t>
      </w:r>
      <w:r w:rsidR="00922D03">
        <w:rPr>
          <w:rFonts w:ascii="Times New Roman" w:hAnsi="Times New Roman"/>
          <w:b w:val="0"/>
          <w:sz w:val="22"/>
          <w:szCs w:val="22"/>
        </w:rPr>
        <w:t>MPICILINU</w:t>
      </w:r>
      <w:r w:rsidR="008A451D" w:rsidRPr="008B38EC">
        <w:rPr>
          <w:rFonts w:ascii="Times New Roman" w:hAnsi="Times New Roman"/>
          <w:b w:val="0"/>
          <w:sz w:val="22"/>
          <w:szCs w:val="22"/>
        </w:rPr>
        <w:t xml:space="preserve"> B</w:t>
      </w:r>
      <w:r w:rsidR="00922D03">
        <w:rPr>
          <w:rFonts w:ascii="Times New Roman" w:hAnsi="Times New Roman"/>
          <w:b w:val="0"/>
          <w:sz w:val="22"/>
          <w:szCs w:val="22"/>
        </w:rPr>
        <w:t>IOTIKA</w:t>
      </w:r>
      <w:r w:rsidR="008A451D" w:rsidRPr="008B38EC">
        <w:rPr>
          <w:rFonts w:ascii="Times New Roman" w:hAnsi="Times New Roman"/>
          <w:b w:val="0"/>
          <w:sz w:val="22"/>
          <w:szCs w:val="22"/>
        </w:rPr>
        <w:t xml:space="preserve"> obsahuje 2,7 </w:t>
      </w:r>
      <w:proofErr w:type="spellStart"/>
      <w:r w:rsidR="008A451D" w:rsidRPr="008B38EC">
        <w:rPr>
          <w:rFonts w:ascii="Times New Roman" w:hAnsi="Times New Roman"/>
          <w:b w:val="0"/>
          <w:sz w:val="22"/>
          <w:szCs w:val="22"/>
        </w:rPr>
        <w:t>mmol</w:t>
      </w:r>
      <w:proofErr w:type="spellEnd"/>
      <w:r w:rsidR="008A451D" w:rsidRPr="008B38EC">
        <w:rPr>
          <w:rFonts w:ascii="Times New Roman" w:hAnsi="Times New Roman"/>
          <w:b w:val="0"/>
          <w:sz w:val="22"/>
          <w:szCs w:val="22"/>
        </w:rPr>
        <w:t xml:space="preserve"> </w:t>
      </w:r>
      <w:r w:rsidR="00F900FE">
        <w:rPr>
          <w:rFonts w:ascii="Times New Roman" w:hAnsi="Times New Roman"/>
          <w:b w:val="0"/>
          <w:sz w:val="22"/>
          <w:szCs w:val="22"/>
        </w:rPr>
        <w:t>sodíka</w:t>
      </w:r>
      <w:r w:rsidR="008A451D" w:rsidRPr="008B38EC">
        <w:rPr>
          <w:rFonts w:ascii="Times New Roman" w:hAnsi="Times New Roman"/>
          <w:b w:val="0"/>
          <w:sz w:val="22"/>
          <w:szCs w:val="22"/>
        </w:rPr>
        <w:t>.</w:t>
      </w:r>
    </w:p>
    <w:p w:rsidR="00E22914" w:rsidRPr="008B38EC" w:rsidRDefault="00E22914" w:rsidP="008B38EC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1134"/>
        </w:tabs>
        <w:ind w:left="1985" w:hanging="1985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Lieková forma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</w:t>
      </w:r>
      <w:r w:rsidR="00C77B97" w:rsidRPr="008B38EC">
        <w:rPr>
          <w:rFonts w:ascii="Times New Roman" w:hAnsi="Times New Roman"/>
          <w:b w:val="0"/>
          <w:sz w:val="22"/>
          <w:szCs w:val="22"/>
        </w:rPr>
        <w:t xml:space="preserve">rášok na injekčný </w:t>
      </w:r>
      <w:r w:rsidR="001D4D59">
        <w:rPr>
          <w:rFonts w:ascii="Times New Roman" w:hAnsi="Times New Roman"/>
          <w:b w:val="0"/>
          <w:sz w:val="22"/>
          <w:szCs w:val="22"/>
        </w:rPr>
        <w:t xml:space="preserve">alebo </w:t>
      </w:r>
      <w:proofErr w:type="spellStart"/>
      <w:r w:rsidR="001D4D59">
        <w:rPr>
          <w:rFonts w:ascii="Times New Roman" w:hAnsi="Times New Roman"/>
          <w:b w:val="0"/>
          <w:sz w:val="22"/>
          <w:szCs w:val="22"/>
        </w:rPr>
        <w:t>infúzny</w:t>
      </w:r>
      <w:proofErr w:type="spellEnd"/>
      <w:r w:rsidR="001D4D59">
        <w:rPr>
          <w:rFonts w:ascii="Times New Roman" w:hAnsi="Times New Roman"/>
          <w:b w:val="0"/>
          <w:sz w:val="22"/>
          <w:szCs w:val="22"/>
        </w:rPr>
        <w:t xml:space="preserve"> </w:t>
      </w:r>
      <w:r w:rsidR="00C77B97" w:rsidRPr="008B38EC">
        <w:rPr>
          <w:rFonts w:ascii="Times New Roman" w:hAnsi="Times New Roman"/>
          <w:b w:val="0"/>
          <w:sz w:val="22"/>
          <w:szCs w:val="22"/>
        </w:rPr>
        <w:t>roztok</w:t>
      </w:r>
    </w:p>
    <w:p w:rsidR="00FD1C7E" w:rsidRPr="008B38EC" w:rsidRDefault="00151F1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151F1C">
        <w:rPr>
          <w:rFonts w:ascii="Times New Roman" w:hAnsi="Times New Roman"/>
          <w:b w:val="0"/>
          <w:sz w:val="22"/>
          <w:szCs w:val="22"/>
        </w:rPr>
        <w:t>biely alebo takmer biely prášok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Klinické údaje</w:t>
      </w:r>
    </w:p>
    <w:p w:rsidR="006A5ED8" w:rsidRPr="008B38EC" w:rsidRDefault="006A5ED8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4.1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 xml:space="preserve">Terapeutické indikácie </w:t>
      </w:r>
    </w:p>
    <w:p w:rsidR="00AB7DE0" w:rsidRPr="008B38EC" w:rsidRDefault="00AB7DE0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je antibiotikum prvej voľby u infekcií dolných dýchacích ciest s hnisavou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expektoráciou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vyvolaných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pneumokokmi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hemofilmi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alebo zmiešanou mikroflórou; pri akútnej bronchitíde,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bronch</w:t>
      </w:r>
      <w:r w:rsidR="0071402D" w:rsidRPr="008B38EC">
        <w:rPr>
          <w:rFonts w:ascii="Times New Roman" w:hAnsi="Times New Roman"/>
          <w:b w:val="0"/>
          <w:sz w:val="22"/>
          <w:szCs w:val="22"/>
        </w:rPr>
        <w:t>i</w:t>
      </w:r>
      <w:r w:rsidRPr="008B38EC">
        <w:rPr>
          <w:rFonts w:ascii="Times New Roman" w:hAnsi="Times New Roman"/>
          <w:b w:val="0"/>
          <w:sz w:val="22"/>
          <w:szCs w:val="22"/>
        </w:rPr>
        <w:t>olitíde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 pri zápaloch pľúc u detí (pokiaľ nie je dôkaz samostatnej stafylokokovej etiológie, prípadne v kombinácii s 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oxacil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nom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), pri akútnej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epiglotitíde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pri zápaloch stredného ucha novorodencov a detí predškolského veku; pri zápaloch vedľajších nosových dutín. Pri liečbe akútnych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exacerbácií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chronickej bronchitídy je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indikovaný v prvom rade pri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monoinfekcii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pneumokokmi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>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Pri infekciách močových ciest sa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ordinuje až v druhom rade, pokiaľ nie je vhodnejšie použiť krátkodobé sulfónamidy,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kotrimoxazol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alebo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oxytetracykl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. Ak je mikroorganizmus citlivý, je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indikovaný pri infekciách žlčových ciest, zažívacieho traktu, pri hnisavých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meningitídach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(predovšetkým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hemofilovej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pneumokokovej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meningokokovej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>, streptokokovej a 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enterokokovej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etiológie), pri bakteriálnych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endokarditídach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pri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septikémiách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prípadne tiež pri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peritonitídach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6738FA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sa používa tiež na liečbu brušného týfusu alebo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paratýfusu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(pokiaľ nemožno použiť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chloramfenikol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>) a na sanáciu nosičov salmonel v žlčníku a žlčových cestách v rámci komplexnej antibioticko-chirurgickej liečby.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Pri ťažkých zmiešaných infekciách (napríklad pri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peritonitídach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) možno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výhodne kombinovať s 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aminoglykozidovými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antibiotikami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gentamycínového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typu.</w:t>
      </w:r>
    </w:p>
    <w:p w:rsidR="003B72BA" w:rsidRPr="008B38EC" w:rsidRDefault="003B72BA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4.2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Dávkovanie a spôsob podávania</w:t>
      </w:r>
    </w:p>
    <w:p w:rsidR="005B7E67" w:rsidRDefault="005B7E6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</w:p>
    <w:p w:rsidR="00642F82" w:rsidRPr="00F37AB4" w:rsidRDefault="00F37AB4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Dávkovanie</w:t>
      </w:r>
    </w:p>
    <w:p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  <w:proofErr w:type="spellStart"/>
      <w:r w:rsidRPr="008B38EC">
        <w:rPr>
          <w:rFonts w:ascii="Times New Roman" w:hAnsi="Times New Roman"/>
          <w:sz w:val="22"/>
          <w:szCs w:val="22"/>
        </w:rPr>
        <w:lastRenderedPageBreak/>
        <w:t>Parenterálne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sa podáva </w:t>
      </w:r>
      <w:proofErr w:type="spellStart"/>
      <w:r w:rsidRPr="008B38EC">
        <w:rPr>
          <w:rFonts w:ascii="Times New Roman" w:hAnsi="Times New Roman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predovšetkým pri ťažkých infekciách, kedy sa musia použiť vysoké dávky, prípadne na začatie liečby, v ktorej sa pokračuje perorálnym podávaním </w:t>
      </w:r>
      <w:proofErr w:type="spellStart"/>
      <w:r w:rsidRPr="008B38EC">
        <w:rPr>
          <w:rFonts w:ascii="Times New Roman" w:hAnsi="Times New Roman"/>
          <w:sz w:val="22"/>
          <w:szCs w:val="22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. </w:t>
      </w:r>
    </w:p>
    <w:p w:rsidR="005B7E67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Denná dávka sa rozdeľuje na 4 dávky, ktoré sa aplikujú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intramuskulárne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alebo intravenózne v 6 hodinových intervaloch. Dávky do </w:t>
      </w:r>
      <w:smartTag w:uri="urn:schemas-microsoft-com:office:smarttags" w:element="metricconverter">
        <w:smartTagPr>
          <w:attr w:name="ProductID" w:val="6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6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denne po 1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1,5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g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B05519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4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6 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 xml:space="preserve">čiastkových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dávkach, vyššie dávky nad </w:t>
      </w:r>
      <w:smartTag w:uri="urn:schemas-microsoft-com:office:smarttags" w:element="metricconverter">
        <w:smartTagPr>
          <w:attr w:name="ProductID" w:val="6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6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denne sa podávajú intravenóznou infúziou</w:t>
      </w:r>
      <w:r w:rsidR="005B7E67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D80456" w:rsidRPr="00D80456" w:rsidRDefault="00D80456" w:rsidP="008B38EC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Dospelí</w:t>
      </w:r>
    </w:p>
    <w:p w:rsidR="00FD1C7E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Dospelým sa obyčajne podáva denná dávka 2 - </w:t>
      </w:r>
      <w:smartTag w:uri="urn:schemas-microsoft-com:office:smarttags" w:element="metricconverter">
        <w:smartTagPr>
          <w:attr w:name="ProductID" w:val="3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3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>, t.j. 500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 každých 4 až 6 hodín, pri ťažších infekciách až 200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mg/kg telesnej hmotnosti a deň. </w:t>
      </w:r>
    </w:p>
    <w:p w:rsidR="007241C6" w:rsidRDefault="007241C6" w:rsidP="008B38EC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:rsidR="00A7498D" w:rsidRPr="007241C6" w:rsidRDefault="00A7498D" w:rsidP="008B38EC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u w:val="single"/>
          <w:lang w:val="sk-SK"/>
        </w:rPr>
        <w:t>Denná dávka pre deti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je 1,7 - 2,3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g/m</w:t>
      </w:r>
      <w:r w:rsidRPr="008B38EC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65B3F" w:rsidRPr="008B38EC">
        <w:rPr>
          <w:rFonts w:ascii="Times New Roman" w:hAnsi="Times New Roman"/>
          <w:sz w:val="22"/>
          <w:szCs w:val="22"/>
          <w:lang w:val="sk-SK"/>
        </w:rPr>
        <w:t xml:space="preserve">telesného povrchu </w:t>
      </w:r>
      <w:r w:rsidRPr="008B38EC">
        <w:rPr>
          <w:rFonts w:ascii="Times New Roman" w:hAnsi="Times New Roman"/>
          <w:sz w:val="22"/>
          <w:szCs w:val="22"/>
          <w:lang w:val="sk-SK"/>
        </w:rPr>
        <w:t>alebo 50 - 400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mg/kg</w:t>
      </w:r>
      <w:r w:rsidR="00665B3F" w:rsidRPr="008B38EC">
        <w:rPr>
          <w:rFonts w:ascii="Times New Roman" w:hAnsi="Times New Roman"/>
          <w:sz w:val="22"/>
          <w:szCs w:val="22"/>
          <w:lang w:val="sk-SK"/>
        </w:rPr>
        <w:t xml:space="preserve"> telesnej hmotnosti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, t. j.: 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deťom do 1 roku</w:t>
      </w:r>
      <w:r w:rsidRPr="008B38EC">
        <w:rPr>
          <w:rFonts w:ascii="Times New Roman" w:hAnsi="Times New Roman"/>
          <w:sz w:val="22"/>
          <w:szCs w:val="22"/>
          <w:lang w:val="sk-SK"/>
        </w:rPr>
        <w:tab/>
      </w:r>
      <w:r w:rsidRPr="008B38EC">
        <w:rPr>
          <w:rFonts w:ascii="Times New Roman" w:hAnsi="Times New Roman"/>
          <w:sz w:val="22"/>
          <w:szCs w:val="22"/>
          <w:lang w:val="sk-SK"/>
        </w:rPr>
        <w:tab/>
        <w:t>0,25 - 1,0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od 1 roku do 6 rokov</w:t>
      </w:r>
      <w:r w:rsidRPr="008B38EC">
        <w:rPr>
          <w:rFonts w:ascii="Times New Roman" w:hAnsi="Times New Roman"/>
          <w:sz w:val="22"/>
          <w:szCs w:val="22"/>
          <w:lang w:val="sk-SK"/>
        </w:rPr>
        <w:tab/>
      </w:r>
      <w:r w:rsidRPr="008B38EC">
        <w:rPr>
          <w:rFonts w:ascii="Times New Roman" w:hAnsi="Times New Roman"/>
          <w:sz w:val="22"/>
          <w:szCs w:val="22"/>
          <w:lang w:val="sk-SK"/>
        </w:rPr>
        <w:tab/>
        <w:t>1,0   - 2,0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od 6 do 15 rokov</w:t>
      </w:r>
      <w:r w:rsidRPr="008B38EC">
        <w:rPr>
          <w:rFonts w:ascii="Times New Roman" w:hAnsi="Times New Roman"/>
          <w:sz w:val="22"/>
          <w:szCs w:val="22"/>
          <w:lang w:val="sk-SK"/>
        </w:rPr>
        <w:tab/>
      </w:r>
      <w:r w:rsidRPr="008B38EC">
        <w:rPr>
          <w:rFonts w:ascii="Times New Roman" w:hAnsi="Times New Roman"/>
          <w:sz w:val="22"/>
          <w:szCs w:val="22"/>
          <w:lang w:val="sk-SK"/>
        </w:rPr>
        <w:tab/>
        <w:t>2,0   - 4,0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</w:t>
      </w:r>
    </w:p>
    <w:p w:rsidR="007241C6" w:rsidRDefault="007241C6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Pri liečbe nosičov salmonel je denná dávka pre dospelých 6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8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8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v dávkach v 6 hodinových intervaloch, z toho 4 krát denne po 0,5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g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i.v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v prvom týždni liečby a v ďalších týždňoch liečby </w:t>
      </w:r>
      <w:smartTag w:uri="urn:schemas-microsoft-com:office:smarttags" w:element="metricconverter">
        <w:smartTagPr>
          <w:attr w:name="ProductID" w:val="1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1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per os v 8 hodinových intervaloch. Súčasne sa aplikuje 2 krát denne po </w:t>
      </w:r>
      <w:smartTag w:uri="urn:schemas-microsoft-com:office:smarttags" w:element="metricconverter">
        <w:smartTagPr>
          <w:attr w:name="ProductID" w:val="1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1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probenecidu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na udržanie vysokých plazmatických hladín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Pri ťažkých bakteriálnych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meningitídach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sa denne podáva až 400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mg/kg telesnej hmotnosti intravenóznou injekciou alebo infúziou.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je možno podať i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intratekálne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v jednej dennej dávke: deťom do dvoch rokov 5 - 10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mg, deťom od 2 do 12 rokov 10 - 20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mg, dospelým 20 - 40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mg.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Pri výrazne zníženej funkcii obličiek sa udrž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ia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vacia dávka zníži na 2/3, prípadne až na 1/3 alebo sa dávkovací interval predĺži na 8 až 12 hodín. Pri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insuficienci</w:t>
      </w:r>
      <w:r w:rsidR="00E41E4C" w:rsidRPr="008B38EC">
        <w:rPr>
          <w:rFonts w:ascii="Times New Roman" w:hAnsi="Times New Roman"/>
          <w:sz w:val="22"/>
          <w:szCs w:val="22"/>
          <w:lang w:val="sk-SK"/>
        </w:rPr>
        <w:t>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pečene s predĺženým biologickým polčasom treba dávky primerane znížiť. Podávanie antibiotika pri bežných infekciách má trvať 7 - 14 dní, pri ťažkých aj dlhšie. </w:t>
      </w:r>
    </w:p>
    <w:p w:rsidR="00FD1C7E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464FFD" w:rsidRPr="00464FFD" w:rsidRDefault="00464FFD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Injekčný roztok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sa pripravuje tesne pred použitím.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intramuskulárnu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aplikáciu sa roztok pripraví rozpustením 0,5</w:t>
      </w:r>
      <w:r w:rsidR="00E41E4C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g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v 2 až 3</w:t>
      </w:r>
      <w:r w:rsidR="00E41E4C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(1,0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 v 4 až 6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ml) vody na injekciu a injikuje sa hlboko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intragluteálne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Injekčný roztok na pomalú intravenóznu injekciu sa pripraví rozpustením 0,5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 v 10 až 30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(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1,0 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v 20 až 60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ml)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izotonického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roztoku chloridu sodného.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Roztok na intravenóznu infúziu sa pripraví v koncentrácii 0,2 až 3,0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vo vhodnom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infúznom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roztoku.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Roztok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intratekálnu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aplikáciu sa pripraví v koncentrácii 1 až 2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v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izotonickom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roztoku chloridu sodného.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Deťom do 2 rokov sa podá 0,5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ml, od 2 do 12 rokov 1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a dospelým 2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1</w:t>
      </w:r>
      <w:r w:rsidR="00464FF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63548">
        <w:rPr>
          <w:rFonts w:ascii="Times New Roman" w:hAnsi="Times New Roman"/>
          <w:sz w:val="22"/>
          <w:szCs w:val="22"/>
          <w:lang w:val="sk-SK"/>
        </w:rPr>
        <w:t>–</w:t>
      </w:r>
      <w:r w:rsidR="00464FF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2</w:t>
      </w:r>
      <w:r w:rsidR="00D6354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% roztoku antibiotika v 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izotonickom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roztoku chloridu sodného.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70487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4.3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Kontraindikácie</w:t>
      </w:r>
    </w:p>
    <w:p w:rsidR="00464FFD" w:rsidRPr="008B38EC" w:rsidRDefault="00464FFD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312BBF" w:rsidRDefault="00140DC7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40DC7">
        <w:rPr>
          <w:rFonts w:ascii="Times New Roman" w:hAnsi="Times New Roman"/>
          <w:sz w:val="22"/>
          <w:szCs w:val="22"/>
          <w:lang w:val="sk-SK"/>
        </w:rPr>
        <w:t>Hypersenzitivita</w:t>
      </w:r>
      <w:proofErr w:type="spellEnd"/>
      <w:r w:rsidRPr="00140DC7">
        <w:rPr>
          <w:rFonts w:ascii="Times New Roman" w:hAnsi="Times New Roman"/>
          <w:sz w:val="22"/>
          <w:szCs w:val="22"/>
          <w:lang w:val="sk-SK"/>
        </w:rPr>
        <w:t xml:space="preserve"> na penicilíny.</w:t>
      </w:r>
    </w:p>
    <w:p w:rsidR="00BD5E02" w:rsidRDefault="004718DC" w:rsidP="001D634A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Ť</w:t>
      </w:r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ažká </w:t>
      </w:r>
      <w:proofErr w:type="spellStart"/>
      <w:r w:rsidR="00F70487" w:rsidRPr="003F32B9">
        <w:rPr>
          <w:rFonts w:ascii="Times New Roman" w:hAnsi="Times New Roman"/>
          <w:sz w:val="22"/>
          <w:szCs w:val="22"/>
          <w:lang w:val="sk-SK"/>
        </w:rPr>
        <w:t>insuficienci</w:t>
      </w:r>
      <w:r w:rsidR="00E30852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 pečene</w:t>
      </w:r>
      <w:r w:rsidR="00783AE3">
        <w:rPr>
          <w:rFonts w:ascii="Times New Roman" w:hAnsi="Times New Roman"/>
          <w:sz w:val="22"/>
          <w:szCs w:val="22"/>
          <w:lang w:val="sk-SK"/>
        </w:rPr>
        <w:t>.</w:t>
      </w:r>
      <w:r w:rsidR="00783AE3" w:rsidRPr="003F32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C6BD7" w:rsidRDefault="004718DC" w:rsidP="001D634A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</w:t>
      </w:r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nfekčné ochorenia vyvolané kmeňmi rezistentnými na </w:t>
      </w:r>
      <w:proofErr w:type="spellStart"/>
      <w:r w:rsidR="00F70487" w:rsidRPr="003F32B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, predovšetkým </w:t>
      </w:r>
      <w:proofErr w:type="spellStart"/>
      <w:r w:rsidR="00F70487" w:rsidRPr="003F32B9">
        <w:rPr>
          <w:rFonts w:ascii="Times New Roman" w:hAnsi="Times New Roman"/>
          <w:sz w:val="22"/>
          <w:szCs w:val="22"/>
          <w:lang w:val="sk-SK"/>
        </w:rPr>
        <w:t>pseudomonádami</w:t>
      </w:r>
      <w:proofErr w:type="spellEnd"/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312BBF" w:rsidRDefault="00140DC7">
      <w:pPr>
        <w:ind w:left="360"/>
        <w:jc w:val="both"/>
        <w:rPr>
          <w:rFonts w:ascii="Times New Roman" w:hAnsi="Times New Roman"/>
          <w:sz w:val="22"/>
          <w:szCs w:val="22"/>
          <w:lang w:val="sk-SK"/>
        </w:rPr>
      </w:pPr>
      <w:r w:rsidRPr="00140DC7">
        <w:rPr>
          <w:rFonts w:ascii="Times New Roman" w:hAnsi="Times New Roman"/>
          <w:sz w:val="22"/>
          <w:szCs w:val="22"/>
          <w:lang w:val="sk-SK"/>
        </w:rPr>
        <w:t xml:space="preserve">a stafylokokmi. </w:t>
      </w:r>
    </w:p>
    <w:p w:rsidR="00FD1C7E" w:rsidRPr="008B38EC" w:rsidRDefault="00F70487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Pre možnosť vzniku precitlivenosti sú </w:t>
      </w:r>
      <w:r w:rsidR="004A6A87" w:rsidRPr="00B40794">
        <w:rPr>
          <w:rFonts w:ascii="Times New Roman" w:hAnsi="Times New Roman"/>
          <w:sz w:val="22"/>
          <w:szCs w:val="22"/>
          <w:lang w:val="sk-SK"/>
        </w:rPr>
        <w:t>relatívnymi kontraindikáciami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FD1C7E" w:rsidRPr="008B38EC">
        <w:rPr>
          <w:rFonts w:ascii="Times New Roman" w:hAnsi="Times New Roman"/>
          <w:sz w:val="22"/>
          <w:szCs w:val="22"/>
          <w:lang w:val="sk-SK"/>
        </w:rPr>
        <w:t>hypersenzitivita</w:t>
      </w:r>
      <w:proofErr w:type="spellEnd"/>
      <w:r w:rsidR="00FD1C7E" w:rsidRPr="008B38EC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="00FD1C7E" w:rsidRPr="008B38EC">
        <w:rPr>
          <w:rFonts w:ascii="Times New Roman" w:hAnsi="Times New Roman"/>
          <w:sz w:val="22"/>
          <w:szCs w:val="22"/>
          <w:lang w:val="sk-SK"/>
        </w:rPr>
        <w:t>cefalosporíny</w:t>
      </w:r>
      <w:proofErr w:type="spellEnd"/>
      <w:r w:rsidR="00FD1C7E" w:rsidRPr="008B38EC">
        <w:rPr>
          <w:rFonts w:ascii="Times New Roman" w:hAnsi="Times New Roman"/>
          <w:sz w:val="22"/>
          <w:szCs w:val="22"/>
          <w:lang w:val="sk-SK"/>
        </w:rPr>
        <w:t xml:space="preserve">, akákoľvek alergia v anamnéze, bronchiálna astma, senná nádcha alebo žihľavka, sekundárna infekcia pri infekčnej </w:t>
      </w:r>
      <w:proofErr w:type="spellStart"/>
      <w:r w:rsidR="00FD1C7E" w:rsidRPr="008B38EC">
        <w:rPr>
          <w:rFonts w:ascii="Times New Roman" w:hAnsi="Times New Roman"/>
          <w:sz w:val="22"/>
          <w:szCs w:val="22"/>
          <w:lang w:val="sk-SK"/>
        </w:rPr>
        <w:t>mononukleóze</w:t>
      </w:r>
      <w:proofErr w:type="spellEnd"/>
      <w:r w:rsidR="00FD1C7E" w:rsidRPr="008B38EC">
        <w:rPr>
          <w:rFonts w:ascii="Times New Roman" w:hAnsi="Times New Roman"/>
          <w:sz w:val="22"/>
          <w:szCs w:val="22"/>
          <w:lang w:val="sk-SK"/>
        </w:rPr>
        <w:t>, lymfatickej leukémii.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642F82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4.4</w:t>
      </w:r>
      <w:r w:rsidR="008B38EC">
        <w:rPr>
          <w:rFonts w:ascii="Times New Roman" w:hAnsi="Times New Roman"/>
          <w:sz w:val="22"/>
          <w:szCs w:val="22"/>
        </w:rPr>
        <w:tab/>
      </w:r>
      <w:r w:rsidR="00B77C54" w:rsidRPr="008B38EC">
        <w:rPr>
          <w:rFonts w:ascii="Times New Roman" w:hAnsi="Times New Roman"/>
          <w:sz w:val="22"/>
          <w:szCs w:val="22"/>
        </w:rPr>
        <w:t>Osobitné upozornenia a opatrenia pri používaní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 xml:space="preserve">Vyžaduje sa, aby sa pred použitím </w:t>
      </w:r>
      <w:r w:rsidR="007F7C53">
        <w:rPr>
          <w:rFonts w:ascii="Times New Roman" w:hAnsi="Times New Roman"/>
          <w:sz w:val="22"/>
          <w:szCs w:val="22"/>
        </w:rPr>
        <w:t>lieku</w:t>
      </w:r>
      <w:r w:rsidR="007F7C53" w:rsidRPr="008B38EC">
        <w:rPr>
          <w:rFonts w:ascii="Times New Roman" w:hAnsi="Times New Roman"/>
          <w:sz w:val="22"/>
          <w:szCs w:val="22"/>
        </w:rPr>
        <w:t xml:space="preserve"> </w:t>
      </w:r>
      <w:r w:rsidRPr="008B38EC">
        <w:rPr>
          <w:rFonts w:ascii="Times New Roman" w:hAnsi="Times New Roman"/>
          <w:sz w:val="22"/>
          <w:szCs w:val="22"/>
        </w:rPr>
        <w:t xml:space="preserve">laboratórne dokázala citlivosť infekčného agens. Pri podávaní vysokých dávok </w:t>
      </w:r>
      <w:proofErr w:type="spellStart"/>
      <w:r w:rsidRPr="008B38EC">
        <w:rPr>
          <w:rFonts w:ascii="Times New Roman" w:hAnsi="Times New Roman"/>
          <w:sz w:val="22"/>
          <w:szCs w:val="22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</w:rPr>
        <w:t>, najmä dlhšiu dobu je potrebné kontrolovať funkciu pečene, predovšetkým zmeny S-AST, krvný obraz a moč.</w:t>
      </w:r>
    </w:p>
    <w:p w:rsidR="00987ED5" w:rsidRPr="00474787" w:rsidRDefault="00BD70D5" w:rsidP="00987ED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3E5D">
        <w:rPr>
          <w:rFonts w:ascii="Times New Roman" w:hAnsi="Times New Roman"/>
          <w:sz w:val="22"/>
          <w:szCs w:val="22"/>
          <w:lang w:val="sk-SK"/>
        </w:rPr>
        <w:lastRenderedPageBreak/>
        <w:t>AMPICILIN BIOTIKA</w:t>
      </w:r>
      <w:r w:rsidR="00FD1C7E" w:rsidRPr="00D53E5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40DC7" w:rsidRPr="00140DC7">
        <w:rPr>
          <w:rFonts w:ascii="Times New Roman" w:hAnsi="Times New Roman"/>
          <w:sz w:val="22"/>
          <w:szCs w:val="22"/>
          <w:lang w:val="sk-SK"/>
        </w:rPr>
        <w:t xml:space="preserve">obsahuje 2,7 </w:t>
      </w:r>
      <w:proofErr w:type="spellStart"/>
      <w:r w:rsidR="00140DC7" w:rsidRPr="00140DC7">
        <w:rPr>
          <w:rFonts w:ascii="Times New Roman" w:hAnsi="Times New Roman"/>
          <w:sz w:val="22"/>
          <w:szCs w:val="22"/>
          <w:lang w:val="sk-SK"/>
        </w:rPr>
        <w:t>mmol</w:t>
      </w:r>
      <w:proofErr w:type="spellEnd"/>
      <w:r w:rsidR="00140DC7" w:rsidRPr="00140DC7">
        <w:rPr>
          <w:rFonts w:ascii="Times New Roman" w:hAnsi="Times New Roman"/>
          <w:sz w:val="22"/>
          <w:szCs w:val="22"/>
          <w:lang w:val="sk-SK"/>
        </w:rPr>
        <w:t xml:space="preserve"> sodíka v 1g prášku na injekčný roztok.</w:t>
      </w:r>
      <w:r w:rsidR="00987ED5" w:rsidRPr="002179A0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987ED5">
        <w:rPr>
          <w:rFonts w:ascii="Times New Roman" w:hAnsi="Times New Roman"/>
          <w:color w:val="000000"/>
          <w:sz w:val="22"/>
          <w:szCs w:val="22"/>
          <w:lang w:val="sk-SK"/>
        </w:rPr>
        <w:t>Toto sa m</w:t>
      </w:r>
      <w:r w:rsidR="00987ED5" w:rsidRPr="00474787">
        <w:rPr>
          <w:rFonts w:ascii="Times New Roman" w:hAnsi="Times New Roman"/>
          <w:color w:val="000000"/>
          <w:sz w:val="22"/>
          <w:szCs w:val="22"/>
          <w:lang w:val="sk-SK"/>
        </w:rPr>
        <w:t>á vziať do úvahy u pacientov so zníženou funkciou obličiek alebo u pacientov na diéte s kontrolovaným obsahom sodíka.</w:t>
      </w:r>
    </w:p>
    <w:p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</w:p>
    <w:p w:rsidR="00FD1C7E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Alergická reakcia je indikáciou pre prerušenie podávania prípravku. Pri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anafylaktickom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šoku je potrebné predovšetkým zvládnuť zlyhanie obehu krvi a porúch dýchania adrenalínom,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noradrenalínom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hydrokortizónom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podať vápnik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antihistaminiká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 Postupuje sa podľa zásad na zvládnutie týchto reakcií.</w:t>
      </w:r>
    </w:p>
    <w:p w:rsidR="00BD70D5" w:rsidRPr="008B38EC" w:rsidRDefault="00BD70D5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Pacientky, ktoré užívajú perorálnu hormonálnu antikoncepciu, by mali byť upozornené na nutnosť alternatívnej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kontracepcie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Po dobu podávania prípravku sa nesmú konzumovať alkoholické nápoje.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4.5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Liekové a iné interakcie</w:t>
      </w:r>
    </w:p>
    <w:p w:rsidR="00642F82" w:rsidRPr="008B38EC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Skrížená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senzibilizácia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penicilínov a 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cefalosporínov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Pri súčasnom podávaní s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bakteriostatickými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antibiotikami (tetracyklínmi,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chloramfenikolom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erytromycínom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ďalšími) dochádza k antagonizmu. Kombinácia s 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aminoglykozidmi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naopak pôsobí synergicky a rozširuje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spektrum, čo sa využíva v terapii.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Súčasné podávanie diuretík znižuje plazmatickú koncentráciu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môže znižovať účinok perorálne podávanej antikoncepcie obsahujúcej estrogén vzhľadom </w:t>
      </w:r>
      <w:r w:rsidR="00572458" w:rsidRPr="008B38EC">
        <w:rPr>
          <w:rFonts w:ascii="Times New Roman" w:hAnsi="Times New Roman"/>
          <w:sz w:val="22"/>
          <w:szCs w:val="22"/>
          <w:lang w:val="sk-SK"/>
        </w:rPr>
        <w:t>na</w:t>
      </w:r>
      <w:r w:rsidRPr="008B38EC">
        <w:rPr>
          <w:rFonts w:ascii="Times New Roman" w:hAnsi="Times New Roman"/>
          <w:sz w:val="22"/>
          <w:szCs w:val="22"/>
          <w:lang w:val="sk-SK"/>
        </w:rPr>
        <w:t> svoj vplyv na bakteriálnu flóru zažívacie</w:t>
      </w:r>
      <w:r w:rsidR="00572458" w:rsidRPr="008B38EC">
        <w:rPr>
          <w:rFonts w:ascii="Times New Roman" w:hAnsi="Times New Roman"/>
          <w:sz w:val="22"/>
          <w:szCs w:val="22"/>
          <w:lang w:val="sk-SK"/>
        </w:rPr>
        <w:t>ho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traktu.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Pri podávaní s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allopurinolom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vzrastá frekvencia výskytu alergických kožných reakcií.</w:t>
      </w:r>
    </w:p>
    <w:p w:rsidR="00BD70D5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Súčasné podávanie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probenecidu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spomaľuje vylučovanie; u detí do 2 rokov je však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kontraindikovaný.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U pacientov liečených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antikoagulanci</w:t>
      </w:r>
      <w:r w:rsidR="00E85E98" w:rsidRPr="008B38EC">
        <w:rPr>
          <w:rFonts w:ascii="Times New Roman" w:hAnsi="Times New Roman"/>
          <w:sz w:val="22"/>
          <w:szCs w:val="22"/>
          <w:lang w:val="sk-SK"/>
        </w:rPr>
        <w:t>ami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je možnosť predĺženia krvácavosti.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642F82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4.6</w:t>
      </w:r>
      <w:r w:rsidR="008B38EC">
        <w:rPr>
          <w:rFonts w:ascii="Times New Roman" w:hAnsi="Times New Roman"/>
          <w:sz w:val="22"/>
          <w:szCs w:val="22"/>
        </w:rPr>
        <w:tab/>
      </w:r>
      <w:proofErr w:type="spellStart"/>
      <w:r w:rsidR="00B77C54" w:rsidRPr="008B38EC">
        <w:rPr>
          <w:rFonts w:ascii="Times New Roman" w:hAnsi="Times New Roman"/>
          <w:sz w:val="22"/>
          <w:szCs w:val="22"/>
        </w:rPr>
        <w:t>Fertilita</w:t>
      </w:r>
      <w:proofErr w:type="spellEnd"/>
      <w:r w:rsidR="00B77C54" w:rsidRPr="008B38EC">
        <w:rPr>
          <w:rFonts w:ascii="Times New Roman" w:hAnsi="Times New Roman"/>
          <w:sz w:val="22"/>
          <w:szCs w:val="22"/>
        </w:rPr>
        <w:t>, gravidita a</w:t>
      </w:r>
      <w:r w:rsidR="00642F82" w:rsidRPr="008B38EC">
        <w:rPr>
          <w:rFonts w:ascii="Times New Roman" w:hAnsi="Times New Roman"/>
          <w:sz w:val="22"/>
          <w:szCs w:val="22"/>
        </w:rPr>
        <w:t> </w:t>
      </w:r>
      <w:r w:rsidR="00B77C54" w:rsidRPr="008B38EC">
        <w:rPr>
          <w:rFonts w:ascii="Times New Roman" w:hAnsi="Times New Roman"/>
          <w:sz w:val="22"/>
          <w:szCs w:val="22"/>
        </w:rPr>
        <w:t>laktácia</w:t>
      </w:r>
    </w:p>
    <w:p w:rsidR="00FD1C7E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66631C" w:rsidRPr="0066631C" w:rsidRDefault="000B5BD4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b w:val="0"/>
          <w:sz w:val="22"/>
          <w:szCs w:val="22"/>
          <w:u w:val="single"/>
        </w:rPr>
        <w:t>Fertilita</w:t>
      </w:r>
      <w:proofErr w:type="spellEnd"/>
      <w:r>
        <w:rPr>
          <w:rFonts w:ascii="Times New Roman" w:hAnsi="Times New Roman"/>
          <w:b w:val="0"/>
          <w:sz w:val="22"/>
          <w:szCs w:val="22"/>
          <w:u w:val="single"/>
        </w:rPr>
        <w:t xml:space="preserve"> a g</w:t>
      </w:r>
      <w:r w:rsidR="0066631C">
        <w:rPr>
          <w:rFonts w:ascii="Times New Roman" w:hAnsi="Times New Roman"/>
          <w:b w:val="0"/>
          <w:sz w:val="22"/>
          <w:szCs w:val="22"/>
          <w:u w:val="single"/>
        </w:rPr>
        <w:t>ravidita</w:t>
      </w:r>
    </w:p>
    <w:p w:rsidR="0066631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 w:rsidDel="0066631C">
        <w:rPr>
          <w:rFonts w:ascii="Times New Roman" w:hAnsi="Times New Roman"/>
          <w:b w:val="0"/>
          <w:sz w:val="22"/>
          <w:szCs w:val="22"/>
        </w:rPr>
        <w:t>Penicilíny prechádzajú placentárnou bariérou</w:t>
      </w:r>
      <w:r w:rsidR="00DF7946">
        <w:rPr>
          <w:rFonts w:ascii="Times New Roman" w:hAnsi="Times New Roman"/>
          <w:b w:val="0"/>
          <w:sz w:val="22"/>
          <w:szCs w:val="22"/>
        </w:rPr>
        <w:t>.</w:t>
      </w:r>
      <w:r w:rsidRPr="008B38EC" w:rsidDel="0066631C">
        <w:rPr>
          <w:rFonts w:ascii="Times New Roman" w:hAnsi="Times New Roman"/>
          <w:b w:val="0"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Aj keď reprodukčné štúdie u cicavcov nepreukázali žiadne známky poruchy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fertility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alebo poškodenia plodu, mal by byť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používaný počas tehotenstva len keď je to nevyhnutné. </w:t>
      </w:r>
    </w:p>
    <w:p w:rsidR="0066631C" w:rsidRDefault="0066631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66631C" w:rsidRPr="0066631C" w:rsidRDefault="0066631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Dojčenie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Pozornosť je potrebné venovať tiež použitiu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v prípade dojčiacich žien vzhľadom </w:t>
      </w:r>
      <w:r w:rsidR="00572458" w:rsidRPr="008B38EC">
        <w:rPr>
          <w:rFonts w:ascii="Times New Roman" w:hAnsi="Times New Roman"/>
          <w:b w:val="0"/>
          <w:sz w:val="22"/>
          <w:szCs w:val="22"/>
        </w:rPr>
        <w:t>na to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, že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je </w:t>
      </w:r>
      <w:r w:rsidR="00A1663F">
        <w:rPr>
          <w:rFonts w:ascii="Times New Roman" w:hAnsi="Times New Roman"/>
          <w:b w:val="0"/>
          <w:sz w:val="22"/>
          <w:szCs w:val="22"/>
        </w:rPr>
        <w:t xml:space="preserve">v </w:t>
      </w:r>
      <w:r w:rsidR="00DF7946">
        <w:rPr>
          <w:rFonts w:ascii="Times New Roman" w:hAnsi="Times New Roman"/>
          <w:b w:val="0"/>
          <w:sz w:val="22"/>
          <w:szCs w:val="22"/>
        </w:rPr>
        <w:t xml:space="preserve">malom množstve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vylučovaný </w:t>
      </w:r>
      <w:r w:rsidR="00572458" w:rsidRPr="008B38EC">
        <w:rPr>
          <w:rFonts w:ascii="Times New Roman" w:hAnsi="Times New Roman"/>
          <w:b w:val="0"/>
          <w:sz w:val="22"/>
          <w:szCs w:val="22"/>
        </w:rPr>
        <w:t>do ľudského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mliek</w:t>
      </w:r>
      <w:r w:rsidR="00572458" w:rsidRPr="008B38EC">
        <w:rPr>
          <w:rFonts w:ascii="Times New Roman" w:hAnsi="Times New Roman"/>
          <w:b w:val="0"/>
          <w:sz w:val="22"/>
          <w:szCs w:val="22"/>
        </w:rPr>
        <w:t>a</w:t>
      </w:r>
      <w:r w:rsidRPr="008B38EC">
        <w:rPr>
          <w:rFonts w:ascii="Times New Roman" w:hAnsi="Times New Roman"/>
          <w:b w:val="0"/>
          <w:sz w:val="22"/>
          <w:szCs w:val="22"/>
        </w:rPr>
        <w:t>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4.7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Ovplyvnenie schopnosti viesť vozidlá a obsluhovať stroje</w:t>
      </w:r>
    </w:p>
    <w:p w:rsidR="00642F82" w:rsidRPr="008B38EC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B975F0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Údaj</w:t>
      </w:r>
      <w:r w:rsidR="004323B8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 xml:space="preserve"> o vplyv</w:t>
      </w:r>
      <w:r w:rsidR="004323B8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na schopnosť viesť vozidlá a obsluhovať stroje nie sú k dispozícii.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4.8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Nežiaduce účinky</w:t>
      </w:r>
    </w:p>
    <w:p w:rsidR="00642F82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783D73" w:rsidRDefault="00783D73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783D73">
        <w:rPr>
          <w:rFonts w:ascii="Times New Roman" w:hAnsi="Times New Roman"/>
          <w:b w:val="0"/>
          <w:sz w:val="22"/>
          <w:szCs w:val="22"/>
        </w:rPr>
        <w:t>Nežiaduce ú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inky sa objavujú naj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astejšie medzi 7. až 10. d</w:t>
      </w:r>
      <w:r w:rsidRPr="00783D73">
        <w:rPr>
          <w:rFonts w:ascii="Times New Roman" w:hAnsi="Times New Roman" w:hint="eastAsia"/>
          <w:b w:val="0"/>
          <w:sz w:val="22"/>
          <w:szCs w:val="22"/>
        </w:rPr>
        <w:t>ň</w:t>
      </w:r>
      <w:r w:rsidRPr="00783D73">
        <w:rPr>
          <w:rFonts w:ascii="Times New Roman" w:hAnsi="Times New Roman"/>
          <w:b w:val="0"/>
          <w:sz w:val="22"/>
          <w:szCs w:val="22"/>
        </w:rPr>
        <w:t>om od za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iatku lie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by a vyskytujú sa u 10 až 15 % pacientov.</w:t>
      </w:r>
    </w:p>
    <w:p w:rsidR="00783D73" w:rsidRDefault="00783D73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W w:w="1004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26"/>
        <w:gridCol w:w="6521"/>
      </w:tblGrid>
      <w:tr w:rsidR="00CB76C6" w:rsidTr="00CB76C6">
        <w:trPr>
          <w:trHeight w:val="230"/>
        </w:trPr>
        <w:tc>
          <w:tcPr>
            <w:tcW w:w="3526" w:type="dxa"/>
          </w:tcPr>
          <w:p w:rsidR="00CB76C6" w:rsidRPr="00D11C78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MedDRA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triedy orgánových systémov</w:t>
            </w:r>
          </w:p>
        </w:tc>
        <w:tc>
          <w:tcPr>
            <w:tcW w:w="6521" w:type="dxa"/>
          </w:tcPr>
          <w:p w:rsidR="00CB76C6" w:rsidRPr="00BA3782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3782">
              <w:rPr>
                <w:rFonts w:ascii="Times New Roman" w:hAnsi="Times New Roman"/>
                <w:sz w:val="22"/>
                <w:szCs w:val="22"/>
              </w:rPr>
              <w:t>Nežiaduci účinok</w:t>
            </w:r>
          </w:p>
        </w:tc>
      </w:tr>
      <w:tr w:rsidR="00CB76C6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krvi a lymfatického systému</w:t>
            </w:r>
          </w:p>
        </w:tc>
        <w:tc>
          <w:tcPr>
            <w:tcW w:w="6521" w:type="dxa"/>
          </w:tcPr>
          <w:p w:rsidR="00CB76C6" w:rsidRDefault="00690671" w:rsidP="00AA6DD0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krvotvorby,</w:t>
            </w:r>
            <w:r w:rsidR="007C7835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CB76C6">
              <w:rPr>
                <w:rFonts w:ascii="Times New Roman" w:hAnsi="Times New Roman"/>
                <w:b w:val="0"/>
                <w:sz w:val="22"/>
                <w:szCs w:val="22"/>
              </w:rPr>
              <w:t>purpura</w:t>
            </w:r>
            <w:proofErr w:type="spellEnd"/>
            <w:r w:rsidR="00CB76C6" w:rsidRPr="00AA6DD0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="00CB76C6" w:rsidRPr="00AA6DD0">
              <w:rPr>
                <w:rFonts w:ascii="Times New Roman" w:hAnsi="Times New Roman"/>
                <w:b w:val="0"/>
                <w:sz w:val="22"/>
                <w:szCs w:val="22"/>
              </w:rPr>
              <w:t>trombocytopénia</w:t>
            </w:r>
            <w:proofErr w:type="spellEnd"/>
          </w:p>
        </w:tc>
      </w:tr>
      <w:tr w:rsidR="00CB76C6" w:rsidRPr="00585CD0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imunitného systému</w:t>
            </w:r>
          </w:p>
        </w:tc>
        <w:tc>
          <w:tcPr>
            <w:tcW w:w="6521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riziko </w:t>
            </w:r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 xml:space="preserve">skríženej </w:t>
            </w:r>
            <w:proofErr w:type="spellStart"/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>senzibilizácie</w:t>
            </w:r>
            <w:proofErr w:type="spellEnd"/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 xml:space="preserve"> 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 </w:t>
            </w:r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>penicilínmi</w:t>
            </w:r>
          </w:p>
          <w:p w:rsidR="00CB76C6" w:rsidRDefault="00CB76C6" w:rsidP="00A156BB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037">
              <w:rPr>
                <w:rFonts w:ascii="Times New Roman" w:hAnsi="Times New Roman"/>
                <w:b w:val="0"/>
                <w:sz w:val="22"/>
                <w:szCs w:val="22"/>
              </w:rPr>
              <w:t xml:space="preserve">riziko skríženej </w:t>
            </w:r>
            <w:proofErr w:type="spellStart"/>
            <w:r w:rsidRPr="00D96037">
              <w:rPr>
                <w:rFonts w:ascii="Times New Roman" w:hAnsi="Times New Roman"/>
                <w:b w:val="0"/>
                <w:sz w:val="22"/>
                <w:szCs w:val="22"/>
              </w:rPr>
              <w:t>senzibilizácie</w:t>
            </w:r>
            <w:proofErr w:type="spellEnd"/>
            <w:r w:rsidRPr="00D96037">
              <w:rPr>
                <w:rFonts w:ascii="Times New Roman" w:hAnsi="Times New Roman"/>
                <w:b w:val="0"/>
                <w:sz w:val="22"/>
                <w:szCs w:val="22"/>
              </w:rPr>
              <w:t xml:space="preserve"> 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cefalosporínmi</w:t>
            </w:r>
            <w:proofErr w:type="spellEnd"/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="00A156BB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anafylaktick</w:t>
            </w:r>
            <w:r w:rsidR="00690671">
              <w:rPr>
                <w:rFonts w:ascii="Times New Roman" w:hAnsi="Times New Roman"/>
                <w:b w:val="0"/>
                <w:sz w:val="22"/>
                <w:szCs w:val="22"/>
              </w:rPr>
              <w:t>á</w:t>
            </w:r>
            <w:proofErr w:type="spellEnd"/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reakci</w:t>
            </w:r>
            <w:r w:rsidR="00690671">
              <w:rPr>
                <w:rFonts w:ascii="Times New Roman" w:hAnsi="Times New Roman"/>
                <w:b w:val="0"/>
                <w:sz w:val="22"/>
                <w:szCs w:val="22"/>
              </w:rPr>
              <w:t>a</w:t>
            </w:r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, edém</w:t>
            </w:r>
          </w:p>
        </w:tc>
      </w:tr>
      <w:tr w:rsidR="00CB76C6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Psychiatrické poruchy</w:t>
            </w:r>
          </w:p>
        </w:tc>
        <w:tc>
          <w:tcPr>
            <w:tcW w:w="6521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C7C6A">
              <w:rPr>
                <w:rFonts w:ascii="Times New Roman" w:hAnsi="Times New Roman"/>
                <w:b w:val="0"/>
                <w:sz w:val="22"/>
                <w:szCs w:val="22"/>
              </w:rPr>
              <w:t>poruchy spánku a osobnosti</w:t>
            </w:r>
          </w:p>
        </w:tc>
      </w:tr>
      <w:tr w:rsidR="00CB76C6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nervového systému</w:t>
            </w:r>
          </w:p>
        </w:tc>
        <w:tc>
          <w:tcPr>
            <w:tcW w:w="6521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370CA">
              <w:rPr>
                <w:rFonts w:ascii="Times New Roman" w:hAnsi="Times New Roman"/>
                <w:b w:val="0"/>
                <w:sz w:val="22"/>
                <w:szCs w:val="22"/>
              </w:rPr>
              <w:t>bolesti hlavy</w:t>
            </w:r>
          </w:p>
        </w:tc>
      </w:tr>
      <w:tr w:rsidR="00CB76C6" w:rsidRPr="00585CD0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Poruchy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gastrointestinálneho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traktu</w:t>
            </w:r>
          </w:p>
        </w:tc>
        <w:tc>
          <w:tcPr>
            <w:tcW w:w="6521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9E2DED">
              <w:rPr>
                <w:rFonts w:ascii="Times New Roman" w:hAnsi="Times New Roman"/>
                <w:b w:val="0"/>
                <w:sz w:val="22"/>
                <w:szCs w:val="22"/>
              </w:rPr>
              <w:t>nauzea</w:t>
            </w:r>
            <w:proofErr w:type="spellEnd"/>
            <w:r w:rsidRPr="009E2DED">
              <w:rPr>
                <w:rFonts w:ascii="Times New Roman" w:hAnsi="Times New Roman"/>
                <w:b w:val="0"/>
                <w:sz w:val="22"/>
                <w:szCs w:val="22"/>
              </w:rPr>
              <w:t>, hna</w:t>
            </w:r>
            <w:r w:rsidRPr="009E2DED">
              <w:rPr>
                <w:rFonts w:ascii="Times New Roman" w:hAnsi="Times New Roman" w:hint="eastAsia"/>
                <w:b w:val="0"/>
                <w:sz w:val="22"/>
                <w:szCs w:val="22"/>
              </w:rPr>
              <w:t>č</w:t>
            </w:r>
            <w:r w:rsidRPr="009E2DED">
              <w:rPr>
                <w:rFonts w:ascii="Times New Roman" w:hAnsi="Times New Roman"/>
                <w:b w:val="0"/>
                <w:sz w:val="22"/>
                <w:szCs w:val="22"/>
              </w:rPr>
              <w:t>ka, vracanie</w:t>
            </w:r>
          </w:p>
          <w:p w:rsidR="00CB76C6" w:rsidRDefault="00140DC7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pseudomembranózna</w:t>
            </w:r>
            <w:proofErr w:type="spellEnd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kolitída</w:t>
            </w:r>
            <w:proofErr w:type="spellEnd"/>
          </w:p>
        </w:tc>
      </w:tr>
      <w:tr w:rsidR="00CB76C6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Poruchy pečene a žlčových ciest</w:t>
            </w:r>
          </w:p>
        </w:tc>
        <w:tc>
          <w:tcPr>
            <w:tcW w:w="6521" w:type="dxa"/>
          </w:tcPr>
          <w:p w:rsidR="00CB76C6" w:rsidRPr="00CF31C5" w:rsidRDefault="00140DC7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poruchy funkcie pečene</w:t>
            </w:r>
          </w:p>
        </w:tc>
      </w:tr>
      <w:tr w:rsidR="00CB76C6" w:rsidRPr="00E30852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kože a podkožného tkaniva</w:t>
            </w:r>
          </w:p>
        </w:tc>
        <w:tc>
          <w:tcPr>
            <w:tcW w:w="6521" w:type="dxa"/>
          </w:tcPr>
          <w:p w:rsidR="00CB76C6" w:rsidRPr="00CF31C5" w:rsidRDefault="00140DC7" w:rsidP="00D019AB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u 6 až 8 %</w:t>
            </w:r>
            <w:r w:rsidR="00CB76C6" w:rsidRPr="00CF31C5">
              <w:rPr>
                <w:rFonts w:ascii="Times New Roman" w:hAnsi="Times New Roman"/>
                <w:b w:val="0"/>
                <w:sz w:val="22"/>
                <w:szCs w:val="22"/>
              </w:rPr>
              <w:t xml:space="preserve"> osôb</w:t>
            </w: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exantém, žihľavka, </w:t>
            </w: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pruritus</w:t>
            </w:r>
            <w:proofErr w:type="spellEnd"/>
          </w:p>
          <w:p w:rsidR="00CB76C6" w:rsidRPr="00CF31C5" w:rsidRDefault="00140DC7" w:rsidP="00D019AB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Stevensov</w:t>
            </w:r>
            <w:proofErr w:type="spellEnd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- </w:t>
            </w: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Johnsonov</w:t>
            </w:r>
            <w:proofErr w:type="spellEnd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a </w:t>
            </w: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Lyellov</w:t>
            </w:r>
            <w:proofErr w:type="spellEnd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syndróm</w:t>
            </w:r>
          </w:p>
        </w:tc>
      </w:tr>
      <w:tr w:rsidR="00CB76C6" w:rsidRPr="00585CD0" w:rsidTr="00CB76C6">
        <w:trPr>
          <w:trHeight w:val="265"/>
        </w:trPr>
        <w:tc>
          <w:tcPr>
            <w:tcW w:w="3526" w:type="dxa"/>
          </w:tcPr>
          <w:p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Celkové poruchy a reakcie v mieste podania</w:t>
            </w:r>
          </w:p>
        </w:tc>
        <w:tc>
          <w:tcPr>
            <w:tcW w:w="6521" w:type="dxa"/>
          </w:tcPr>
          <w:p w:rsidR="00CB76C6" w:rsidRPr="00CF31C5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F31C5">
              <w:rPr>
                <w:rFonts w:ascii="Times New Roman" w:hAnsi="Times New Roman"/>
                <w:b w:val="0"/>
                <w:sz w:val="22"/>
                <w:szCs w:val="22"/>
              </w:rPr>
              <w:t xml:space="preserve">Po intravenóznej alebo </w:t>
            </w:r>
            <w:proofErr w:type="spellStart"/>
            <w:r w:rsidRPr="00CF31C5">
              <w:rPr>
                <w:rFonts w:ascii="Times New Roman" w:hAnsi="Times New Roman"/>
                <w:b w:val="0"/>
                <w:sz w:val="22"/>
                <w:szCs w:val="22"/>
              </w:rPr>
              <w:t>intramuskulárnej</w:t>
            </w:r>
            <w:proofErr w:type="spellEnd"/>
            <w:r w:rsidRPr="00CF31C5">
              <w:rPr>
                <w:rFonts w:ascii="Times New Roman" w:hAnsi="Times New Roman"/>
                <w:b w:val="0"/>
                <w:sz w:val="22"/>
                <w:szCs w:val="22"/>
              </w:rPr>
              <w:t xml:space="preserve"> aplikácii sa môže objaviť</w:t>
            </w:r>
            <w:r w:rsidR="00161205">
              <w:rPr>
                <w:rFonts w:ascii="Times New Roman" w:hAnsi="Times New Roman"/>
                <w:b w:val="0"/>
                <w:sz w:val="22"/>
                <w:szCs w:val="22"/>
              </w:rPr>
              <w:t xml:space="preserve"> lokálne podráždenie kože, pocit bolesti či tromboflebitída v okolí miesta vpichu</w:t>
            </w:r>
          </w:p>
        </w:tc>
      </w:tr>
    </w:tbl>
    <w:p w:rsidR="00D11C78" w:rsidRDefault="00D11C78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8F576C" w:rsidRPr="008B38EC" w:rsidRDefault="008F576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 w:rsidRPr="008B38EC">
        <w:rPr>
          <w:rFonts w:ascii="Times New Roman" w:hAnsi="Times New Roman"/>
          <w:b w:val="0"/>
          <w:sz w:val="22"/>
          <w:szCs w:val="22"/>
          <w:u w:val="single"/>
        </w:rPr>
        <w:t>Hlásenie podozrení na nežiaduce reakcie</w:t>
      </w:r>
    </w:p>
    <w:p w:rsidR="008F576C" w:rsidRPr="008B38EC" w:rsidRDefault="008F576C" w:rsidP="008B38EC">
      <w:pPr>
        <w:pStyle w:val="Zkladntext"/>
        <w:jc w:val="both"/>
        <w:rPr>
          <w:rFonts w:ascii="Times New Roman" w:hAnsi="Times New Roman"/>
          <w:b w:val="0"/>
          <w:noProof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86056">
        <w:rPr>
          <w:rFonts w:ascii="Times New Roman" w:hAnsi="Times New Roman"/>
          <w:b w:val="0"/>
          <w:sz w:val="22"/>
          <w:szCs w:val="22"/>
        </w:rPr>
        <w:t>na</w:t>
      </w:r>
      <w:r w:rsidRPr="008B38EC">
        <w:rPr>
          <w:rFonts w:ascii="Times New Roman" w:hAnsi="Times New Roman"/>
          <w:b w:val="0"/>
          <w:noProof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noProof/>
          <w:sz w:val="22"/>
          <w:szCs w:val="22"/>
          <w:highlight w:val="lightGray"/>
        </w:rPr>
        <w:t xml:space="preserve">národné </w:t>
      </w:r>
      <w:r w:rsidR="00F86056">
        <w:rPr>
          <w:rFonts w:ascii="Times New Roman" w:hAnsi="Times New Roman"/>
          <w:b w:val="0"/>
          <w:noProof/>
          <w:sz w:val="22"/>
          <w:szCs w:val="22"/>
          <w:highlight w:val="lightGray"/>
        </w:rPr>
        <w:t>centrum</w:t>
      </w:r>
      <w:r w:rsidRPr="008B38EC">
        <w:rPr>
          <w:rFonts w:ascii="Times New Roman" w:hAnsi="Times New Roman"/>
          <w:b w:val="0"/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8B38EC">
          <w:rPr>
            <w:rStyle w:val="Hypertextovprepojenie"/>
            <w:rFonts w:ascii="Times New Roman" w:hAnsi="Times New Roman"/>
            <w:b w:val="0"/>
            <w:noProof/>
            <w:sz w:val="22"/>
            <w:szCs w:val="22"/>
            <w:highlight w:val="lightGray"/>
          </w:rPr>
          <w:t>Prílohe V</w:t>
        </w:r>
      </w:hyperlink>
      <w:r w:rsidRPr="008B38EC">
        <w:rPr>
          <w:rFonts w:ascii="Times New Roman" w:hAnsi="Times New Roman"/>
          <w:b w:val="0"/>
          <w:noProof/>
          <w:sz w:val="22"/>
          <w:szCs w:val="22"/>
        </w:rPr>
        <w:t>.</w:t>
      </w:r>
    </w:p>
    <w:p w:rsidR="00CA11A5" w:rsidRPr="008B38EC" w:rsidRDefault="00CA11A5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642F82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4.9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Predávkovanie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Vzhľadom na veľkú terapeutickú šírku nebolo predávkovanie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ampicilínom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popísané. Pri prípadnom predávkovaní by bol terapeutický postup symptomatický, prípadne </w:t>
      </w:r>
      <w:r w:rsidR="00BE11CE" w:rsidRPr="008B38EC">
        <w:rPr>
          <w:rFonts w:ascii="Times New Roman" w:hAnsi="Times New Roman"/>
          <w:b w:val="0"/>
          <w:sz w:val="22"/>
          <w:szCs w:val="22"/>
        </w:rPr>
        <w:t>by bola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indikovaná hemodialýza.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Farmakologické vlastnosti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5.1</w:t>
      </w:r>
      <w:r w:rsidR="008B38EC">
        <w:rPr>
          <w:rFonts w:ascii="Times New Roman" w:hAnsi="Times New Roman"/>
          <w:sz w:val="22"/>
          <w:szCs w:val="22"/>
        </w:rPr>
        <w:tab/>
      </w:r>
      <w:proofErr w:type="spellStart"/>
      <w:r w:rsidRPr="008B38EC">
        <w:rPr>
          <w:rFonts w:ascii="Times New Roman" w:hAnsi="Times New Roman"/>
          <w:sz w:val="22"/>
          <w:szCs w:val="22"/>
        </w:rPr>
        <w:t>Farmakodynamické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vlastnosti</w:t>
      </w:r>
    </w:p>
    <w:p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Farmakoterapeutická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skupina: antibiotik</w:t>
      </w:r>
      <w:r w:rsidR="00620B68">
        <w:rPr>
          <w:rFonts w:ascii="Times New Roman" w:hAnsi="Times New Roman"/>
          <w:b w:val="0"/>
          <w:sz w:val="22"/>
          <w:szCs w:val="22"/>
        </w:rPr>
        <w:t>á na systémové použitie</w:t>
      </w:r>
    </w:p>
    <w:p w:rsidR="00FD1C7E" w:rsidRPr="008B38EC" w:rsidRDefault="00046A13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ATC </w:t>
      </w:r>
      <w:r w:rsidR="00DD1152" w:rsidRPr="008B38EC">
        <w:rPr>
          <w:rFonts w:ascii="Times New Roman" w:hAnsi="Times New Roman"/>
          <w:b w:val="0"/>
          <w:sz w:val="22"/>
          <w:szCs w:val="22"/>
        </w:rPr>
        <w:t>kód</w:t>
      </w:r>
      <w:r w:rsidRPr="008B38EC">
        <w:rPr>
          <w:rFonts w:ascii="Times New Roman" w:hAnsi="Times New Roman"/>
          <w:b w:val="0"/>
          <w:sz w:val="22"/>
          <w:szCs w:val="22"/>
        </w:rPr>
        <w:t>: J01CA01</w:t>
      </w:r>
    </w:p>
    <w:p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620B68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Penicilínové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polosyntetické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baktericídne širokospektrálne antibiotikum, citlivé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betalaktamázu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zlatých stafylokokov. </w:t>
      </w:r>
    </w:p>
    <w:p w:rsidR="00620B68" w:rsidRDefault="00620B68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Mechanizmus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účinku 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Mechanizmus baktericídneho účinku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spočíva v blokáde syntézy bunkovej steny baktérie s následnou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bakteriolýzou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spektrum: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pôsobí na všetky kmene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hemolytických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streptokokov (vrátane streptokokov skupiny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B),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viridujúce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streptokoky,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pneumokoky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enterokoky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(80 - 98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ďalej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korynebaktérie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listérie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Erysipelothrix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insidiosa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bacil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antraxu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tiež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aktinomycéty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menej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klostrídie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Zo stafylokokov pôsobí len na kmene, ktoré netvoria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betalaktamázu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, t.j. asi na 10 - 20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kmeňov.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Z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gramnegatívnych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baktérií účinkuje dobre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gonokoky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meningokoky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, na salmonely (asi na 90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kmeňov). Menej citlivé sú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hemofily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bordetely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(asi 60 - 70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kmeňov),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Escherichia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coli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(60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shigely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(40 - 90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klebsiely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enterobaktery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(15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providencie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citrobaktery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(30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%); z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proteov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pôsobí asi na 60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kmeňov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mirabilis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, ale len na 5 - 20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kmeňov iných biotypov (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vulgaris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morgani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rettgeri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). Z ostatných kmeňov sú citlivé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brucely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leptospiry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trepon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é</w:t>
      </w:r>
      <w:r w:rsidRPr="008B38EC">
        <w:rPr>
          <w:rFonts w:ascii="Times New Roman" w:hAnsi="Times New Roman"/>
          <w:sz w:val="22"/>
          <w:szCs w:val="22"/>
          <w:lang w:val="sk-SK"/>
        </w:rPr>
        <w:t>my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Z anaeróbov je citlivá väčšina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grampozitívnych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kokov a baktérií s výnimkou </w:t>
      </w:r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B.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fragilis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Nepôsobí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yersínie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francisely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pseudomonády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mykobaktérie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mykoplazmy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ricke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t</w:t>
      </w:r>
      <w:r w:rsidRPr="008B38EC">
        <w:rPr>
          <w:rFonts w:ascii="Times New Roman" w:hAnsi="Times New Roman"/>
          <w:sz w:val="22"/>
          <w:szCs w:val="22"/>
          <w:lang w:val="sk-SK"/>
        </w:rPr>
        <w:t>tsie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bedsonie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huby a prvoky. 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5.2</w:t>
      </w:r>
      <w:r w:rsidR="008B38EC">
        <w:rPr>
          <w:rFonts w:ascii="Times New Roman" w:hAnsi="Times New Roman"/>
          <w:sz w:val="22"/>
          <w:szCs w:val="22"/>
        </w:rPr>
        <w:tab/>
      </w:r>
      <w:proofErr w:type="spellStart"/>
      <w:r w:rsidRPr="008B38EC">
        <w:rPr>
          <w:rFonts w:ascii="Times New Roman" w:hAnsi="Times New Roman"/>
          <w:sz w:val="22"/>
          <w:szCs w:val="22"/>
        </w:rPr>
        <w:t>Farmakokinetické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vlastnosti</w:t>
      </w:r>
    </w:p>
    <w:p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C46CDC" w:rsidRPr="00C46CDC" w:rsidRDefault="00140DC7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140DC7">
        <w:rPr>
          <w:rFonts w:ascii="Times New Roman" w:hAnsi="Times New Roman"/>
          <w:sz w:val="22"/>
          <w:szCs w:val="22"/>
          <w:u w:val="single"/>
          <w:lang w:val="sk-SK"/>
        </w:rPr>
        <w:t>Absorbcia</w:t>
      </w:r>
      <w:proofErr w:type="spellEnd"/>
    </w:p>
    <w:p w:rsidR="00C46CD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intramuskulárnom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ale predovšetkým po intravenóznom podaní sa dosiahne maximálna plazmatická koncentrácia o ½ - 1 hodinu a je 2 až 4 krát vyššia ako pri perorálnom podaní rovnakej dávky. </w:t>
      </w:r>
    </w:p>
    <w:p w:rsidR="00C46CDC" w:rsidRPr="00C46CDC" w:rsidRDefault="00140DC7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140DC7">
        <w:rPr>
          <w:rFonts w:ascii="Times New Roman" w:hAnsi="Times New Roman"/>
          <w:sz w:val="22"/>
          <w:szCs w:val="22"/>
          <w:u w:val="single"/>
          <w:lang w:val="sk-SK"/>
        </w:rPr>
        <w:t>Distribúcia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preniká dobre do väčšiny tkanív a telesných dutín; minimálne preniká do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cerebrospinálneho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likvoru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zdravých osôb, ale pri zápale mozgových blán je jeho hladina v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likvore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podstatne vyššia. Koncentrácie 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po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rovnateľné s plazmatickými dosahuje v pečeni a v obličkách. Prechádza placentárnou bariérou a v nízkych </w:t>
      </w:r>
      <w:r w:rsidRPr="008B38EC">
        <w:rPr>
          <w:rFonts w:ascii="Times New Roman" w:hAnsi="Times New Roman"/>
          <w:sz w:val="22"/>
          <w:szCs w:val="22"/>
          <w:lang w:val="sk-SK"/>
        </w:rPr>
        <w:lastRenderedPageBreak/>
        <w:t xml:space="preserve">koncentráciách sa dostáva do materského mlieka.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í</w:t>
      </w:r>
      <w:r w:rsidRPr="008B38EC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sa dobre vylučuje do žlč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e</w:t>
      </w:r>
      <w:r w:rsidRPr="008B38EC">
        <w:rPr>
          <w:rFonts w:ascii="Times New Roman" w:hAnsi="Times New Roman"/>
          <w:sz w:val="22"/>
          <w:szCs w:val="22"/>
          <w:lang w:val="sk-SK"/>
        </w:rPr>
        <w:t>, kde vytvára terapeuticky účinné koncentrácie.</w:t>
      </w:r>
    </w:p>
    <w:p w:rsidR="00C46CDC" w:rsidRPr="00C46CDC" w:rsidRDefault="00140DC7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140DC7">
        <w:rPr>
          <w:rFonts w:ascii="Times New Roman" w:hAnsi="Times New Roman"/>
          <w:sz w:val="22"/>
          <w:szCs w:val="22"/>
          <w:u w:val="single"/>
          <w:lang w:val="sk-SK"/>
        </w:rPr>
        <w:t>Eliminácia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Eliminuje sa obličkami, hlavne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tubulárnou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sekréciou, len veľmi málo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glomerulárnou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filtráciou. Inhibítor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tubulárnej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sekrécie –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predlžuje polčas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v organizme a zvyšuje jeho plazmatickú koncentráciu. Do 24 hodín sa vylúči močom po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intramuskulárnom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podaní 64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%, po intravenóznom 70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podanej dávky. Biologický polčas je asi 1 hodina. Pri obličkovom zlyhaní sa biologický polčas predlžuje na 12</w:t>
      </w:r>
      <w:r w:rsidR="00E868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E868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20 hodín.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Ampicilin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je možné odstrániť hemodialýzou.</w:t>
      </w: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5.3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Predklinické údaje o</w:t>
      </w:r>
      <w:r w:rsidR="00F7242E" w:rsidRPr="008B38EC">
        <w:rPr>
          <w:rFonts w:ascii="Times New Roman" w:hAnsi="Times New Roman"/>
          <w:sz w:val="22"/>
          <w:szCs w:val="22"/>
        </w:rPr>
        <w:t> </w:t>
      </w:r>
      <w:r w:rsidRPr="008B38EC">
        <w:rPr>
          <w:rFonts w:ascii="Times New Roman" w:hAnsi="Times New Roman"/>
          <w:sz w:val="22"/>
          <w:szCs w:val="22"/>
        </w:rPr>
        <w:t>bezpečnosti</w:t>
      </w:r>
    </w:p>
    <w:p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je prakticky netoxický, hodnoty LD</w:t>
      </w:r>
      <w:r w:rsidRPr="008B38EC">
        <w:rPr>
          <w:rFonts w:ascii="Times New Roman" w:hAnsi="Times New Roman"/>
          <w:sz w:val="22"/>
          <w:szCs w:val="22"/>
          <w:vertAlign w:val="subscript"/>
          <w:lang w:val="sk-SK"/>
        </w:rPr>
        <w:t xml:space="preserve">50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neboli stanovené, pretože dávky 5</w:t>
      </w:r>
      <w:r w:rsidR="006738FA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g/kg hmotnosti per os a</w:t>
      </w:r>
      <w:r w:rsidR="006738FA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2</w:t>
      </w:r>
      <w:r w:rsidR="006738FA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g/kg hmotnosti intravenózne znášali myši bez uhynutia.</w:t>
      </w:r>
    </w:p>
    <w:p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 xml:space="preserve">Reprodukčné štúdie a štúdie na </w:t>
      </w:r>
      <w:proofErr w:type="spellStart"/>
      <w:r w:rsidRPr="008B38EC">
        <w:rPr>
          <w:rFonts w:ascii="Times New Roman" w:hAnsi="Times New Roman"/>
          <w:sz w:val="22"/>
          <w:szCs w:val="22"/>
        </w:rPr>
        <w:t>teratogenitu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na zvieratách nepreukázali žiadne známky poruchy </w:t>
      </w:r>
      <w:proofErr w:type="spellStart"/>
      <w:r w:rsidRPr="008B38EC">
        <w:rPr>
          <w:rFonts w:ascii="Times New Roman" w:hAnsi="Times New Roman"/>
          <w:sz w:val="22"/>
          <w:szCs w:val="22"/>
        </w:rPr>
        <w:t>fertility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alebo poškodenie plodu vplyvom podávania </w:t>
      </w:r>
      <w:proofErr w:type="spellStart"/>
      <w:r w:rsidRPr="008B38EC">
        <w:rPr>
          <w:rFonts w:ascii="Times New Roman" w:hAnsi="Times New Roman"/>
          <w:sz w:val="22"/>
          <w:szCs w:val="22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. 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B00BDD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Farmaceutické </w:t>
      </w:r>
      <w:r w:rsidR="00DD1152" w:rsidRPr="008B38EC">
        <w:rPr>
          <w:rFonts w:ascii="Times New Roman" w:hAnsi="Times New Roman"/>
          <w:caps/>
          <w:sz w:val="22"/>
          <w:szCs w:val="22"/>
        </w:rPr>
        <w:t>INFORMÁCIE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6.1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Zoznam pomocných látok</w:t>
      </w:r>
    </w:p>
    <w:p w:rsidR="00642F82" w:rsidRPr="008B38EC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16E58" w:rsidP="008B38EC">
      <w:pPr>
        <w:pStyle w:val="Textmakra"/>
        <w:tabs>
          <w:tab w:val="clear" w:pos="480"/>
          <w:tab w:val="clear" w:pos="2400"/>
          <w:tab w:val="left" w:pos="-1985"/>
          <w:tab w:val="left" w:pos="284"/>
        </w:tabs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Žiadne</w:t>
      </w:r>
      <w:r w:rsidR="00FD1C7E" w:rsidRPr="008B38EC">
        <w:rPr>
          <w:rFonts w:ascii="Times New Roman" w:hAnsi="Times New Roman"/>
          <w:sz w:val="22"/>
          <w:szCs w:val="22"/>
          <w:lang w:val="sk-SK"/>
        </w:rPr>
        <w:t>.</w:t>
      </w:r>
    </w:p>
    <w:p w:rsidR="00FD1C7E" w:rsidRPr="008B38EC" w:rsidRDefault="00FD1C7E" w:rsidP="008B38EC">
      <w:pPr>
        <w:pStyle w:val="Textmakra"/>
        <w:tabs>
          <w:tab w:val="clear" w:pos="480"/>
          <w:tab w:val="clear" w:pos="2400"/>
          <w:tab w:val="left" w:pos="-1985"/>
          <w:tab w:val="left" w:pos="284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:rsidR="00FD1C7E" w:rsidRPr="008B38EC" w:rsidRDefault="00FD1C7E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6.2</w:t>
      </w:r>
      <w:r w:rsidR="00E819FD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Inkompatibility</w:t>
      </w:r>
    </w:p>
    <w:p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Pri súčasnom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parenterálnom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podaní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betalaktámových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antibiotík a 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aminoglykozidov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môže viesť k vzájomnej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inaktivácii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. Pokiaľ sú tieto antibakteriálne látky aplikované následne po sebe, mali by byť aplikované na rôzne miesta v odstupe aspoň 1 hodiny. Tieto skupiny antibiotík by sa nemali miešať v rovnakej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infúznej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fľaši či podávať rovnakou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infúznou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hadičkou.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</w:t>
      </w:r>
      <w:r w:rsidR="006738FA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by nemal byť pridávaný do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infúznych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roztokov, pretože je zásaditý a môže zvyšovať pH na hodnotu 8,0 a viac.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6.3</w:t>
      </w:r>
      <w:r w:rsidR="00E819FD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Čas použiteľnosti</w:t>
      </w:r>
    </w:p>
    <w:p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7D6FCD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3 roky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Po nariedení ihneď spotrebovať.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7242E" w:rsidRPr="008B38EC" w:rsidRDefault="00B00BDD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6.4</w:t>
      </w:r>
      <w:r w:rsidR="00E819FD">
        <w:rPr>
          <w:rFonts w:ascii="Times New Roman" w:hAnsi="Times New Roman"/>
          <w:sz w:val="22"/>
          <w:szCs w:val="22"/>
        </w:rPr>
        <w:tab/>
      </w:r>
      <w:r w:rsidR="006B47BC" w:rsidRPr="008B38EC">
        <w:rPr>
          <w:rFonts w:ascii="Times New Roman" w:hAnsi="Times New Roman"/>
          <w:sz w:val="22"/>
          <w:szCs w:val="22"/>
        </w:rPr>
        <w:t>Špeciálne upozornenia na uchovávanie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FD1C7E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Uchováva</w:t>
      </w:r>
      <w:r w:rsidR="004E7B37" w:rsidRPr="008B38EC">
        <w:rPr>
          <w:rFonts w:ascii="Times New Roman" w:hAnsi="Times New Roman"/>
          <w:b w:val="0"/>
          <w:sz w:val="22"/>
          <w:szCs w:val="22"/>
        </w:rPr>
        <w:t>jte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pri teplote do 25</w:t>
      </w:r>
      <w:r w:rsidR="000469C9">
        <w:rPr>
          <w:rFonts w:ascii="Times New Roman" w:hAnsi="Times New Roman"/>
          <w:b w:val="0"/>
          <w:sz w:val="22"/>
          <w:szCs w:val="22"/>
        </w:rPr>
        <w:t xml:space="preserve"> °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C </w:t>
      </w:r>
      <w:r w:rsidR="00DA6A8F" w:rsidRPr="008B38EC">
        <w:rPr>
          <w:rFonts w:ascii="Times New Roman" w:hAnsi="Times New Roman"/>
          <w:b w:val="0"/>
          <w:sz w:val="22"/>
          <w:szCs w:val="22"/>
        </w:rPr>
        <w:t xml:space="preserve">v pôvodnom obale </w:t>
      </w:r>
      <w:r w:rsidRPr="008B38EC">
        <w:rPr>
          <w:rFonts w:ascii="Times New Roman" w:hAnsi="Times New Roman"/>
          <w:b w:val="0"/>
          <w:sz w:val="22"/>
          <w:szCs w:val="22"/>
        </w:rPr>
        <w:t>na ochranu pred svetlom a vlhkosťou.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B00BDD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6.5</w:t>
      </w:r>
      <w:r w:rsidR="00E819FD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Druh obalu a obsah balenia</w:t>
      </w:r>
    </w:p>
    <w:p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3F6876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Liekovka </w:t>
      </w:r>
      <w:r w:rsidR="00A60F0D" w:rsidRPr="008B38EC">
        <w:rPr>
          <w:rFonts w:ascii="Times New Roman" w:hAnsi="Times New Roman"/>
          <w:b w:val="0"/>
          <w:sz w:val="22"/>
          <w:szCs w:val="22"/>
        </w:rPr>
        <w:t xml:space="preserve">z bezfarebného skla </w:t>
      </w:r>
      <w:r w:rsidRPr="008B38EC">
        <w:rPr>
          <w:rFonts w:ascii="Times New Roman" w:hAnsi="Times New Roman"/>
          <w:b w:val="0"/>
          <w:sz w:val="22"/>
          <w:szCs w:val="22"/>
        </w:rPr>
        <w:t>s obrubou</w:t>
      </w:r>
      <w:r w:rsidR="003F7B85" w:rsidRPr="008B38EC">
        <w:rPr>
          <w:rFonts w:ascii="Times New Roman" w:hAnsi="Times New Roman"/>
          <w:b w:val="0"/>
          <w:sz w:val="22"/>
          <w:szCs w:val="22"/>
        </w:rPr>
        <w:t>, gumová</w:t>
      </w:r>
      <w:r w:rsidR="00C77B97" w:rsidRPr="008B38EC">
        <w:rPr>
          <w:rFonts w:ascii="Times New Roman" w:hAnsi="Times New Roman"/>
          <w:b w:val="0"/>
          <w:sz w:val="22"/>
          <w:szCs w:val="22"/>
        </w:rPr>
        <w:t xml:space="preserve"> zátka</w:t>
      </w:r>
      <w:r w:rsidR="00FD1C7E" w:rsidRPr="008B38EC">
        <w:rPr>
          <w:rFonts w:ascii="Times New Roman" w:hAnsi="Times New Roman"/>
          <w:b w:val="0"/>
          <w:sz w:val="22"/>
          <w:szCs w:val="22"/>
        </w:rPr>
        <w:t xml:space="preserve">, hliníkový </w:t>
      </w:r>
      <w:proofErr w:type="spellStart"/>
      <w:r w:rsidR="00FD1C7E" w:rsidRPr="008B38EC">
        <w:rPr>
          <w:rFonts w:ascii="Times New Roman" w:hAnsi="Times New Roman"/>
          <w:b w:val="0"/>
          <w:sz w:val="22"/>
          <w:szCs w:val="22"/>
        </w:rPr>
        <w:t>obrubovací</w:t>
      </w:r>
      <w:proofErr w:type="spellEnd"/>
      <w:r w:rsidR="00FD1C7E" w:rsidRPr="008B38EC">
        <w:rPr>
          <w:rFonts w:ascii="Times New Roman" w:hAnsi="Times New Roman"/>
          <w:b w:val="0"/>
          <w:sz w:val="22"/>
          <w:szCs w:val="22"/>
        </w:rPr>
        <w:t xml:space="preserve"> uzáver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, </w:t>
      </w:r>
      <w:r w:rsidR="00AB7DE0" w:rsidRPr="008B38EC">
        <w:rPr>
          <w:rFonts w:ascii="Times New Roman" w:hAnsi="Times New Roman"/>
          <w:b w:val="0"/>
          <w:sz w:val="22"/>
          <w:szCs w:val="22"/>
        </w:rPr>
        <w:t>škatuľka</w:t>
      </w:r>
      <w:r w:rsidRPr="008B38EC">
        <w:rPr>
          <w:rFonts w:ascii="Times New Roman" w:hAnsi="Times New Roman"/>
          <w:b w:val="0"/>
          <w:sz w:val="22"/>
          <w:szCs w:val="22"/>
        </w:rPr>
        <w:t>.</w:t>
      </w:r>
    </w:p>
    <w:p w:rsidR="003E45D7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Veľkosť balenia: </w:t>
      </w:r>
      <w:r w:rsidRPr="008B38EC">
        <w:rPr>
          <w:rFonts w:ascii="Times New Roman" w:hAnsi="Times New Roman"/>
          <w:b w:val="0"/>
          <w:sz w:val="22"/>
          <w:szCs w:val="22"/>
        </w:rPr>
        <w:tab/>
        <w:t xml:space="preserve">1 injekčná liekovka po </w:t>
      </w:r>
      <w:smartTag w:uri="urn:schemas-microsoft-com:office:smarttags" w:element="metricconverter">
        <w:smartTagPr>
          <w:attr w:name="ProductID" w:val="0,5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 g</w:t>
        </w:r>
      </w:smartTag>
    </w:p>
    <w:p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10 injekčných liekoviek po </w:t>
      </w:r>
      <w:smartTag w:uri="urn:schemas-microsoft-com:office:smarttags" w:element="metricconverter">
        <w:smartTagPr>
          <w:attr w:name="ProductID" w:val="0,5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 g</w:t>
        </w:r>
      </w:smartTag>
    </w:p>
    <w:p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50 injekčných liekoviek po </w:t>
      </w:r>
      <w:smartTag w:uri="urn:schemas-microsoft-com:office:smarttags" w:element="metricconverter">
        <w:smartTagPr>
          <w:attr w:name="ProductID" w:val="0,5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 g</w:t>
        </w:r>
      </w:smartTag>
    </w:p>
    <w:p w:rsidR="003E45D7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1 injekčná liekovka po 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1,0 g</w:t>
        </w:r>
      </w:smartTag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10 injekčných liekoviek po 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1,0 g</w:t>
        </w:r>
      </w:smartTag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3E45D7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50 injekčných liekoviek po 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1,0 g</w:t>
        </w:r>
      </w:smartTag>
    </w:p>
    <w:p w:rsidR="00D448D6" w:rsidRPr="00D448D6" w:rsidRDefault="00D448D6" w:rsidP="00D448D6">
      <w:pPr>
        <w:tabs>
          <w:tab w:val="left" w:pos="7200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D448D6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7242E" w:rsidRPr="008B38EC" w:rsidRDefault="00FD1C7E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6.6</w:t>
      </w:r>
      <w:r w:rsidR="00E819FD">
        <w:rPr>
          <w:rFonts w:ascii="Times New Roman" w:hAnsi="Times New Roman"/>
          <w:sz w:val="22"/>
          <w:szCs w:val="22"/>
        </w:rPr>
        <w:tab/>
      </w:r>
      <w:r w:rsidR="006B47BC" w:rsidRPr="008B38EC">
        <w:rPr>
          <w:rFonts w:ascii="Times New Roman" w:hAnsi="Times New Roman"/>
          <w:sz w:val="22"/>
          <w:szCs w:val="22"/>
        </w:rPr>
        <w:t>Špeciálne opatrenia na likvidáciu a iné zaobchádzanie s</w:t>
      </w:r>
      <w:r w:rsidR="00F7242E" w:rsidRPr="008B38EC">
        <w:rPr>
          <w:rFonts w:ascii="Times New Roman" w:hAnsi="Times New Roman"/>
          <w:sz w:val="22"/>
          <w:szCs w:val="22"/>
        </w:rPr>
        <w:t> </w:t>
      </w:r>
      <w:r w:rsidR="006B47BC" w:rsidRPr="008B38EC">
        <w:rPr>
          <w:rFonts w:ascii="Times New Roman" w:hAnsi="Times New Roman"/>
          <w:sz w:val="22"/>
          <w:szCs w:val="22"/>
        </w:rPr>
        <w:t>liekom</w:t>
      </w:r>
    </w:p>
    <w:p w:rsidR="00FD1C7E" w:rsidRPr="00E819FD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510980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Všetok nepoužitý liek alebo odpad vzniknutý z lieku sa má zlikvidovať v súlade s národnými požiadavkami</w:t>
      </w:r>
      <w:r w:rsidR="00A94A4B" w:rsidRPr="008B38EC">
        <w:rPr>
          <w:rFonts w:ascii="Times New Roman" w:hAnsi="Times New Roman"/>
          <w:b w:val="0"/>
          <w:sz w:val="22"/>
          <w:szCs w:val="22"/>
        </w:rPr>
        <w:t>.</w:t>
      </w:r>
    </w:p>
    <w:p w:rsidR="00C77B97" w:rsidRPr="008B38EC" w:rsidRDefault="00C77B9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DržiteĽ rozhodnutia o registrácii </w:t>
      </w:r>
    </w:p>
    <w:p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0E6C5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BB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Pharma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a.s., </w:t>
      </w:r>
      <w:proofErr w:type="spellStart"/>
      <w:r w:rsidR="00217D79">
        <w:rPr>
          <w:rFonts w:ascii="Times New Roman" w:hAnsi="Times New Roman"/>
          <w:b w:val="0"/>
          <w:sz w:val="22"/>
          <w:szCs w:val="22"/>
        </w:rPr>
        <w:t>Durychova</w:t>
      </w:r>
      <w:proofErr w:type="spellEnd"/>
      <w:r w:rsidR="00217D79">
        <w:rPr>
          <w:rFonts w:ascii="Times New Roman" w:hAnsi="Times New Roman"/>
          <w:b w:val="0"/>
          <w:sz w:val="22"/>
          <w:szCs w:val="22"/>
        </w:rPr>
        <w:t xml:space="preserve"> 101/66, 142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00 Praha 4</w:t>
      </w:r>
      <w:r w:rsidR="00217D79">
        <w:rPr>
          <w:rFonts w:ascii="Times New Roman" w:hAnsi="Times New Roman"/>
          <w:b w:val="0"/>
          <w:sz w:val="22"/>
          <w:szCs w:val="22"/>
        </w:rPr>
        <w:t xml:space="preserve"> - </w:t>
      </w:r>
      <w:proofErr w:type="spellStart"/>
      <w:r w:rsidR="00217D79">
        <w:rPr>
          <w:rFonts w:ascii="Times New Roman" w:hAnsi="Times New Roman"/>
          <w:b w:val="0"/>
          <w:sz w:val="22"/>
          <w:szCs w:val="22"/>
        </w:rPr>
        <w:t>Lhotka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>, Česká republika</w:t>
      </w:r>
      <w:r w:rsidR="00FD1C7E" w:rsidRPr="008B38EC">
        <w:rPr>
          <w:rFonts w:ascii="Times New Roman" w:hAnsi="Times New Roman"/>
          <w:b w:val="0"/>
          <w:sz w:val="22"/>
          <w:szCs w:val="22"/>
        </w:rPr>
        <w:t>.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F7242E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Registračné čísl</w:t>
      </w:r>
      <w:r w:rsidR="00AF4762" w:rsidRPr="008B38EC">
        <w:rPr>
          <w:rFonts w:ascii="Times New Roman" w:hAnsi="Times New Roman"/>
          <w:caps/>
          <w:sz w:val="22"/>
          <w:szCs w:val="22"/>
        </w:rPr>
        <w:t>A</w:t>
      </w:r>
    </w:p>
    <w:p w:rsidR="00FD1C7E" w:rsidRPr="00E819FD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AF4762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 w:rsidRPr="008B38EC">
        <w:rPr>
          <w:rFonts w:ascii="Times New Roman" w:hAnsi="Times New Roman"/>
          <w:b w:val="0"/>
          <w:caps/>
          <w:sz w:val="22"/>
          <w:szCs w:val="22"/>
        </w:rPr>
        <w:t xml:space="preserve">AMPICILIN 0,5 BIOTIKA: </w:t>
      </w:r>
      <w:r w:rsidR="00FD1C7E" w:rsidRPr="008B38EC">
        <w:rPr>
          <w:rFonts w:ascii="Times New Roman" w:hAnsi="Times New Roman"/>
          <w:b w:val="0"/>
          <w:caps/>
          <w:sz w:val="22"/>
          <w:szCs w:val="22"/>
        </w:rPr>
        <w:t>15/0548/92-S</w:t>
      </w:r>
    </w:p>
    <w:p w:rsidR="00FD1C7E" w:rsidRPr="008B38EC" w:rsidRDefault="006B661C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 w:rsidRPr="008B38EC">
        <w:rPr>
          <w:rFonts w:ascii="Times New Roman" w:hAnsi="Times New Roman"/>
          <w:b w:val="0"/>
          <w:caps/>
          <w:sz w:val="22"/>
          <w:szCs w:val="22"/>
        </w:rPr>
        <w:t>AMPICILIN 1,0 BIOTIKA:</w:t>
      </w:r>
      <w:r w:rsidR="00F7242E" w:rsidRPr="008B38EC">
        <w:rPr>
          <w:rFonts w:ascii="Times New Roman" w:hAnsi="Times New Roman"/>
          <w:b w:val="0"/>
          <w:caps/>
          <w:sz w:val="22"/>
          <w:szCs w:val="22"/>
        </w:rPr>
        <w:t xml:space="preserve"> 15/0299/13-S</w:t>
      </w:r>
    </w:p>
    <w:p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48557D" w:rsidRPr="008B38EC" w:rsidRDefault="0048557D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Dátum </w:t>
      </w:r>
      <w:r w:rsidR="006B661C" w:rsidRPr="008B38EC">
        <w:rPr>
          <w:rFonts w:ascii="Times New Roman" w:hAnsi="Times New Roman"/>
          <w:caps/>
          <w:sz w:val="22"/>
          <w:szCs w:val="22"/>
        </w:rPr>
        <w:t xml:space="preserve">PRVEJ </w:t>
      </w:r>
      <w:r w:rsidRPr="008B38EC">
        <w:rPr>
          <w:rFonts w:ascii="Times New Roman" w:hAnsi="Times New Roman"/>
          <w:caps/>
          <w:sz w:val="22"/>
          <w:szCs w:val="22"/>
        </w:rPr>
        <w:t>registrácie / Predĺženia registrácie</w:t>
      </w:r>
    </w:p>
    <w:p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Dátum prvej registrácie</w:t>
      </w:r>
      <w:r w:rsidR="00CC1AE5" w:rsidRPr="008B38EC">
        <w:rPr>
          <w:rFonts w:ascii="Times New Roman" w:hAnsi="Times New Roman"/>
          <w:b w:val="0"/>
          <w:sz w:val="22"/>
          <w:szCs w:val="22"/>
        </w:rPr>
        <w:t xml:space="preserve">: </w:t>
      </w:r>
      <w:r w:rsidR="006B661C" w:rsidRPr="008B38EC">
        <w:rPr>
          <w:rFonts w:ascii="Times New Roman" w:hAnsi="Times New Roman"/>
          <w:b w:val="0"/>
          <w:caps/>
          <w:sz w:val="22"/>
          <w:szCs w:val="22"/>
        </w:rPr>
        <w:t>16.</w:t>
      </w:r>
      <w:r w:rsidR="003E45D7" w:rsidRPr="008B38EC">
        <w:rPr>
          <w:rFonts w:ascii="Times New Roman" w:hAnsi="Times New Roman"/>
          <w:b w:val="0"/>
          <w:caps/>
          <w:sz w:val="22"/>
          <w:szCs w:val="22"/>
        </w:rPr>
        <w:t xml:space="preserve"> </w:t>
      </w:r>
      <w:r w:rsidR="003E45D7" w:rsidRPr="008B38EC">
        <w:rPr>
          <w:rFonts w:ascii="Times New Roman" w:hAnsi="Times New Roman"/>
          <w:b w:val="0"/>
          <w:sz w:val="22"/>
          <w:szCs w:val="22"/>
        </w:rPr>
        <w:t>október</w:t>
      </w:r>
      <w:r w:rsidR="00687FF7" w:rsidRPr="008B38EC">
        <w:rPr>
          <w:rFonts w:ascii="Times New Roman" w:hAnsi="Times New Roman"/>
          <w:b w:val="0"/>
          <w:caps/>
          <w:sz w:val="22"/>
          <w:szCs w:val="22"/>
        </w:rPr>
        <w:t>1992</w:t>
      </w:r>
      <w:r w:rsidR="0069515E" w:rsidRPr="008B38EC">
        <w:rPr>
          <w:rFonts w:ascii="Times New Roman" w:hAnsi="Times New Roman"/>
          <w:b w:val="0"/>
          <w:caps/>
          <w:sz w:val="22"/>
          <w:szCs w:val="22"/>
        </w:rPr>
        <w:t xml:space="preserve">  </w:t>
      </w:r>
    </w:p>
    <w:p w:rsidR="00FD1C7E" w:rsidRPr="008B38EC" w:rsidRDefault="00CC1AE5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Dátum posledného predĺženia registrácie: 26.</w:t>
      </w:r>
      <w:r w:rsidR="003E45D7" w:rsidRPr="008B38EC">
        <w:rPr>
          <w:rFonts w:ascii="Times New Roman" w:hAnsi="Times New Roman"/>
          <w:b w:val="0"/>
          <w:sz w:val="22"/>
          <w:szCs w:val="22"/>
        </w:rPr>
        <w:t xml:space="preserve"> marec </w:t>
      </w:r>
      <w:r w:rsidRPr="008B38EC">
        <w:rPr>
          <w:rFonts w:ascii="Times New Roman" w:hAnsi="Times New Roman"/>
          <w:b w:val="0"/>
          <w:sz w:val="22"/>
          <w:szCs w:val="22"/>
        </w:rPr>
        <w:t>2007</w:t>
      </w:r>
    </w:p>
    <w:p w:rsidR="00FD1C7E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E96B45" w:rsidRPr="00E819FD" w:rsidRDefault="00E96B45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E85E98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DÁtum revízie textu </w:t>
      </w:r>
    </w:p>
    <w:p w:rsidR="00CC1AE5" w:rsidRPr="008B38EC" w:rsidRDefault="00CC1AE5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:rsidR="00FD1C7E" w:rsidRPr="00E96B45" w:rsidRDefault="008F12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>
        <w:rPr>
          <w:rFonts w:ascii="Times New Roman" w:hAnsi="Times New Roman"/>
          <w:b w:val="0"/>
          <w:caps/>
          <w:sz w:val="22"/>
          <w:szCs w:val="22"/>
        </w:rPr>
        <w:t>12/2017</w:t>
      </w:r>
    </w:p>
    <w:sectPr w:rsidR="00FD1C7E" w:rsidRPr="00E96B45" w:rsidSect="005A59D4">
      <w:headerReference w:type="default" r:id="rId9"/>
      <w:footerReference w:type="default" r:id="rId10"/>
      <w:footnotePr>
        <w:pos w:val="sectEnd"/>
      </w:footnotePr>
      <w:endnotePr>
        <w:numFmt w:val="decimal"/>
        <w:numStart w:val="0"/>
      </w:endnotePr>
      <w:pgSz w:w="12240" w:h="15840"/>
      <w:pgMar w:top="1134" w:right="1183" w:bottom="1134" w:left="1134" w:header="709" w:footer="726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15C" w:rsidRDefault="00E6215C">
      <w:r>
        <w:separator/>
      </w:r>
    </w:p>
  </w:endnote>
  <w:endnote w:type="continuationSeparator" w:id="0">
    <w:p w:rsidR="00E6215C" w:rsidRDefault="00E62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11422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89399E" w:rsidRPr="0089399E" w:rsidRDefault="004049A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9399E">
          <w:rPr>
            <w:rFonts w:ascii="Times New Roman" w:hAnsi="Times New Roman"/>
            <w:sz w:val="18"/>
            <w:szCs w:val="18"/>
          </w:rPr>
          <w:fldChar w:fldCharType="begin"/>
        </w:r>
        <w:r w:rsidR="0089399E" w:rsidRPr="008939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9399E">
          <w:rPr>
            <w:rFonts w:ascii="Times New Roman" w:hAnsi="Times New Roman"/>
            <w:sz w:val="18"/>
            <w:szCs w:val="18"/>
          </w:rPr>
          <w:fldChar w:fldCharType="separate"/>
        </w:r>
        <w:r w:rsidR="002B7261" w:rsidRPr="002B7261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8939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89399E" w:rsidRPr="0089399E" w:rsidRDefault="0089399E">
    <w:pPr>
      <w:pStyle w:val="Pt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15C" w:rsidRDefault="00E6215C">
      <w:r>
        <w:separator/>
      </w:r>
    </w:p>
  </w:footnote>
  <w:footnote w:type="continuationSeparator" w:id="0">
    <w:p w:rsidR="00E6215C" w:rsidRDefault="00E62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5D7" w:rsidRPr="006738FA" w:rsidRDefault="003E45D7" w:rsidP="003E45D7">
    <w:pPr>
      <w:pStyle w:val="Hlavika"/>
      <w:rPr>
        <w:rFonts w:ascii="Times New Roman" w:hAnsi="Times New Roman"/>
        <w:lang w:val="sk-SK"/>
      </w:rPr>
    </w:pPr>
  </w:p>
  <w:p w:rsidR="003E45D7" w:rsidRPr="006738FA" w:rsidRDefault="003E45D7" w:rsidP="006738F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B421E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F727FF3"/>
    <w:multiLevelType w:val="hybridMultilevel"/>
    <w:tmpl w:val="28800098"/>
    <w:lvl w:ilvl="0" w:tplc="B8A63D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0010E"/>
    <w:multiLevelType w:val="hybridMultilevel"/>
    <w:tmpl w:val="FE3497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B1F4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gmar Sarkar">
    <w15:presenceInfo w15:providerId="None" w15:userId="Dagmar Sarka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6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</w:compat>
  <w:rsids>
    <w:rsidRoot w:val="00FA3495"/>
    <w:rsid w:val="00015DFC"/>
    <w:rsid w:val="00021DF1"/>
    <w:rsid w:val="00021F3F"/>
    <w:rsid w:val="000469C9"/>
    <w:rsid w:val="00046A13"/>
    <w:rsid w:val="0006216D"/>
    <w:rsid w:val="00063012"/>
    <w:rsid w:val="00070938"/>
    <w:rsid w:val="00081694"/>
    <w:rsid w:val="00087F51"/>
    <w:rsid w:val="0009305C"/>
    <w:rsid w:val="000932A4"/>
    <w:rsid w:val="000B5BD4"/>
    <w:rsid w:val="000C1D15"/>
    <w:rsid w:val="000C4A9D"/>
    <w:rsid w:val="000C75F1"/>
    <w:rsid w:val="000D3157"/>
    <w:rsid w:val="000D5D2B"/>
    <w:rsid w:val="000E6C5E"/>
    <w:rsid w:val="001046A8"/>
    <w:rsid w:val="0010776A"/>
    <w:rsid w:val="0011194D"/>
    <w:rsid w:val="001153C1"/>
    <w:rsid w:val="00140DC7"/>
    <w:rsid w:val="001416F3"/>
    <w:rsid w:val="00151F1C"/>
    <w:rsid w:val="00153E81"/>
    <w:rsid w:val="00160A35"/>
    <w:rsid w:val="00161205"/>
    <w:rsid w:val="001633C1"/>
    <w:rsid w:val="00194967"/>
    <w:rsid w:val="0019718F"/>
    <w:rsid w:val="001A1550"/>
    <w:rsid w:val="001B070A"/>
    <w:rsid w:val="001D4D59"/>
    <w:rsid w:val="001D634A"/>
    <w:rsid w:val="001E2A88"/>
    <w:rsid w:val="001E3ED7"/>
    <w:rsid w:val="001F362F"/>
    <w:rsid w:val="002179A0"/>
    <w:rsid w:val="00217D79"/>
    <w:rsid w:val="002200D6"/>
    <w:rsid w:val="00221508"/>
    <w:rsid w:val="00222720"/>
    <w:rsid w:val="0022420B"/>
    <w:rsid w:val="00226FAC"/>
    <w:rsid w:val="0023174A"/>
    <w:rsid w:val="002363F4"/>
    <w:rsid w:val="00252416"/>
    <w:rsid w:val="002747CA"/>
    <w:rsid w:val="00277BD6"/>
    <w:rsid w:val="00280FB3"/>
    <w:rsid w:val="00281D52"/>
    <w:rsid w:val="00287BED"/>
    <w:rsid w:val="002B7261"/>
    <w:rsid w:val="002C2D02"/>
    <w:rsid w:val="002C472F"/>
    <w:rsid w:val="002D411E"/>
    <w:rsid w:val="002D4488"/>
    <w:rsid w:val="003079AB"/>
    <w:rsid w:val="00307AEC"/>
    <w:rsid w:val="00312BBF"/>
    <w:rsid w:val="00322C7B"/>
    <w:rsid w:val="0032317F"/>
    <w:rsid w:val="00350D05"/>
    <w:rsid w:val="00373369"/>
    <w:rsid w:val="00393F53"/>
    <w:rsid w:val="00397F65"/>
    <w:rsid w:val="003A0FDB"/>
    <w:rsid w:val="003B72BA"/>
    <w:rsid w:val="003C5ACF"/>
    <w:rsid w:val="003D16CC"/>
    <w:rsid w:val="003D2200"/>
    <w:rsid w:val="003D2EBE"/>
    <w:rsid w:val="003E45D7"/>
    <w:rsid w:val="003F32B9"/>
    <w:rsid w:val="003F6876"/>
    <w:rsid w:val="003F7B85"/>
    <w:rsid w:val="004049A3"/>
    <w:rsid w:val="004253B4"/>
    <w:rsid w:val="004257BD"/>
    <w:rsid w:val="004323B8"/>
    <w:rsid w:val="00435CFB"/>
    <w:rsid w:val="00464FFD"/>
    <w:rsid w:val="004718DC"/>
    <w:rsid w:val="004725D4"/>
    <w:rsid w:val="0048557D"/>
    <w:rsid w:val="00494B2C"/>
    <w:rsid w:val="004A6A87"/>
    <w:rsid w:val="004E7919"/>
    <w:rsid w:val="004E7B01"/>
    <w:rsid w:val="004E7B37"/>
    <w:rsid w:val="004F49FF"/>
    <w:rsid w:val="00510980"/>
    <w:rsid w:val="00554E35"/>
    <w:rsid w:val="00560989"/>
    <w:rsid w:val="00572458"/>
    <w:rsid w:val="00583DA3"/>
    <w:rsid w:val="00585CD0"/>
    <w:rsid w:val="005A0CB7"/>
    <w:rsid w:val="005A59D4"/>
    <w:rsid w:val="005A770D"/>
    <w:rsid w:val="005B7957"/>
    <w:rsid w:val="005B7E67"/>
    <w:rsid w:val="005C77C3"/>
    <w:rsid w:val="005E5C09"/>
    <w:rsid w:val="005E6EF5"/>
    <w:rsid w:val="005F5943"/>
    <w:rsid w:val="006056DB"/>
    <w:rsid w:val="00607105"/>
    <w:rsid w:val="00616AED"/>
    <w:rsid w:val="0062087A"/>
    <w:rsid w:val="00620B68"/>
    <w:rsid w:val="00627750"/>
    <w:rsid w:val="00631177"/>
    <w:rsid w:val="006329E2"/>
    <w:rsid w:val="00642F82"/>
    <w:rsid w:val="00644D35"/>
    <w:rsid w:val="00651FB5"/>
    <w:rsid w:val="00661F29"/>
    <w:rsid w:val="006634FD"/>
    <w:rsid w:val="00665B3F"/>
    <w:rsid w:val="0066631C"/>
    <w:rsid w:val="006738FA"/>
    <w:rsid w:val="00674551"/>
    <w:rsid w:val="00687FF7"/>
    <w:rsid w:val="00690671"/>
    <w:rsid w:val="00694996"/>
    <w:rsid w:val="0069515E"/>
    <w:rsid w:val="006967CC"/>
    <w:rsid w:val="006A1D2E"/>
    <w:rsid w:val="006A5ED8"/>
    <w:rsid w:val="006B0B8E"/>
    <w:rsid w:val="006B1740"/>
    <w:rsid w:val="006B47BC"/>
    <w:rsid w:val="006B661C"/>
    <w:rsid w:val="006F60EB"/>
    <w:rsid w:val="0071402D"/>
    <w:rsid w:val="00716F48"/>
    <w:rsid w:val="007217DA"/>
    <w:rsid w:val="007241C6"/>
    <w:rsid w:val="00726045"/>
    <w:rsid w:val="00731E8B"/>
    <w:rsid w:val="00733B76"/>
    <w:rsid w:val="0073425C"/>
    <w:rsid w:val="007370CA"/>
    <w:rsid w:val="00760C48"/>
    <w:rsid w:val="00765A02"/>
    <w:rsid w:val="00766648"/>
    <w:rsid w:val="00780ACC"/>
    <w:rsid w:val="00783AE3"/>
    <w:rsid w:val="00783D73"/>
    <w:rsid w:val="007875EA"/>
    <w:rsid w:val="007972AE"/>
    <w:rsid w:val="007B012D"/>
    <w:rsid w:val="007B0FC5"/>
    <w:rsid w:val="007B4018"/>
    <w:rsid w:val="007C7835"/>
    <w:rsid w:val="007D6FCD"/>
    <w:rsid w:val="007E3069"/>
    <w:rsid w:val="007F2263"/>
    <w:rsid w:val="007F7C53"/>
    <w:rsid w:val="00813106"/>
    <w:rsid w:val="008565BA"/>
    <w:rsid w:val="00857220"/>
    <w:rsid w:val="0086443D"/>
    <w:rsid w:val="00880367"/>
    <w:rsid w:val="008926A5"/>
    <w:rsid w:val="0089399E"/>
    <w:rsid w:val="008A451D"/>
    <w:rsid w:val="008B38EC"/>
    <w:rsid w:val="008D61B4"/>
    <w:rsid w:val="008E2199"/>
    <w:rsid w:val="008E79CA"/>
    <w:rsid w:val="008F127E"/>
    <w:rsid w:val="008F4F64"/>
    <w:rsid w:val="008F576C"/>
    <w:rsid w:val="00902788"/>
    <w:rsid w:val="00906DFC"/>
    <w:rsid w:val="00922D03"/>
    <w:rsid w:val="00944DEB"/>
    <w:rsid w:val="0095327F"/>
    <w:rsid w:val="00966176"/>
    <w:rsid w:val="00987ED5"/>
    <w:rsid w:val="00991827"/>
    <w:rsid w:val="009B15C8"/>
    <w:rsid w:val="009B269C"/>
    <w:rsid w:val="009D4F79"/>
    <w:rsid w:val="009E2DED"/>
    <w:rsid w:val="009F0D50"/>
    <w:rsid w:val="009F33AA"/>
    <w:rsid w:val="00A0498C"/>
    <w:rsid w:val="00A10F60"/>
    <w:rsid w:val="00A156BB"/>
    <w:rsid w:val="00A1663F"/>
    <w:rsid w:val="00A25D94"/>
    <w:rsid w:val="00A41270"/>
    <w:rsid w:val="00A43ACB"/>
    <w:rsid w:val="00A57406"/>
    <w:rsid w:val="00A60F0D"/>
    <w:rsid w:val="00A67AA4"/>
    <w:rsid w:val="00A715CE"/>
    <w:rsid w:val="00A7498D"/>
    <w:rsid w:val="00A933FB"/>
    <w:rsid w:val="00A94A4B"/>
    <w:rsid w:val="00AA28B3"/>
    <w:rsid w:val="00AA47C6"/>
    <w:rsid w:val="00AA6DD0"/>
    <w:rsid w:val="00AB7DE0"/>
    <w:rsid w:val="00AE05C8"/>
    <w:rsid w:val="00AF4762"/>
    <w:rsid w:val="00AF6E31"/>
    <w:rsid w:val="00B00BDD"/>
    <w:rsid w:val="00B05519"/>
    <w:rsid w:val="00B109AB"/>
    <w:rsid w:val="00B23CB0"/>
    <w:rsid w:val="00B40794"/>
    <w:rsid w:val="00B43A79"/>
    <w:rsid w:val="00B46C82"/>
    <w:rsid w:val="00B66F49"/>
    <w:rsid w:val="00B67607"/>
    <w:rsid w:val="00B77C54"/>
    <w:rsid w:val="00B81EE7"/>
    <w:rsid w:val="00B86395"/>
    <w:rsid w:val="00B96D1F"/>
    <w:rsid w:val="00B975F0"/>
    <w:rsid w:val="00BA3782"/>
    <w:rsid w:val="00BB16EA"/>
    <w:rsid w:val="00BB2DBA"/>
    <w:rsid w:val="00BC35CD"/>
    <w:rsid w:val="00BC42EF"/>
    <w:rsid w:val="00BC79D9"/>
    <w:rsid w:val="00BD5E02"/>
    <w:rsid w:val="00BD70D5"/>
    <w:rsid w:val="00BE11CE"/>
    <w:rsid w:val="00BF0A70"/>
    <w:rsid w:val="00BF70FD"/>
    <w:rsid w:val="00C164BC"/>
    <w:rsid w:val="00C25EE8"/>
    <w:rsid w:val="00C27297"/>
    <w:rsid w:val="00C34D05"/>
    <w:rsid w:val="00C46CDC"/>
    <w:rsid w:val="00C50723"/>
    <w:rsid w:val="00C710B5"/>
    <w:rsid w:val="00C7694C"/>
    <w:rsid w:val="00C77B97"/>
    <w:rsid w:val="00C91B97"/>
    <w:rsid w:val="00CA11A5"/>
    <w:rsid w:val="00CB549E"/>
    <w:rsid w:val="00CB671E"/>
    <w:rsid w:val="00CB6951"/>
    <w:rsid w:val="00CB76C6"/>
    <w:rsid w:val="00CC1AE5"/>
    <w:rsid w:val="00CF31C5"/>
    <w:rsid w:val="00CF63D7"/>
    <w:rsid w:val="00CF6C4C"/>
    <w:rsid w:val="00D00D7D"/>
    <w:rsid w:val="00D019AB"/>
    <w:rsid w:val="00D11C78"/>
    <w:rsid w:val="00D261AB"/>
    <w:rsid w:val="00D3495E"/>
    <w:rsid w:val="00D448D6"/>
    <w:rsid w:val="00D53E5D"/>
    <w:rsid w:val="00D63548"/>
    <w:rsid w:val="00D72A14"/>
    <w:rsid w:val="00D7778B"/>
    <w:rsid w:val="00D80456"/>
    <w:rsid w:val="00D921AE"/>
    <w:rsid w:val="00D9490C"/>
    <w:rsid w:val="00D96037"/>
    <w:rsid w:val="00DA6A8F"/>
    <w:rsid w:val="00DB074B"/>
    <w:rsid w:val="00DB2D8D"/>
    <w:rsid w:val="00DB4D88"/>
    <w:rsid w:val="00DD1152"/>
    <w:rsid w:val="00DD14B0"/>
    <w:rsid w:val="00DF7946"/>
    <w:rsid w:val="00E10A77"/>
    <w:rsid w:val="00E156A1"/>
    <w:rsid w:val="00E22914"/>
    <w:rsid w:val="00E25E37"/>
    <w:rsid w:val="00E30852"/>
    <w:rsid w:val="00E33988"/>
    <w:rsid w:val="00E41E4C"/>
    <w:rsid w:val="00E6215C"/>
    <w:rsid w:val="00E66CC7"/>
    <w:rsid w:val="00E819FD"/>
    <w:rsid w:val="00E822D5"/>
    <w:rsid w:val="00E85E98"/>
    <w:rsid w:val="00E868D5"/>
    <w:rsid w:val="00E96514"/>
    <w:rsid w:val="00E96B45"/>
    <w:rsid w:val="00EB6A15"/>
    <w:rsid w:val="00EB7239"/>
    <w:rsid w:val="00EC26AC"/>
    <w:rsid w:val="00EC42C4"/>
    <w:rsid w:val="00EC6BD7"/>
    <w:rsid w:val="00EE035A"/>
    <w:rsid w:val="00F03268"/>
    <w:rsid w:val="00F06B47"/>
    <w:rsid w:val="00F16E58"/>
    <w:rsid w:val="00F31F94"/>
    <w:rsid w:val="00F33075"/>
    <w:rsid w:val="00F37AB4"/>
    <w:rsid w:val="00F6113B"/>
    <w:rsid w:val="00F61461"/>
    <w:rsid w:val="00F66437"/>
    <w:rsid w:val="00F70487"/>
    <w:rsid w:val="00F7242E"/>
    <w:rsid w:val="00F82B35"/>
    <w:rsid w:val="00F86056"/>
    <w:rsid w:val="00F900FE"/>
    <w:rsid w:val="00F951B9"/>
    <w:rsid w:val="00FA3495"/>
    <w:rsid w:val="00FA7F27"/>
    <w:rsid w:val="00FB2029"/>
    <w:rsid w:val="00FC4EBE"/>
    <w:rsid w:val="00FC7C6A"/>
    <w:rsid w:val="00FD1C7E"/>
    <w:rsid w:val="00FD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1E8B"/>
    <w:rPr>
      <w:lang w:val="en-US"/>
    </w:rPr>
  </w:style>
  <w:style w:type="paragraph" w:styleId="Nadpis1">
    <w:name w:val="heading 1"/>
    <w:basedOn w:val="Normlny"/>
    <w:next w:val="Normlny"/>
    <w:qFormat/>
    <w:rsid w:val="00731E8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i/>
      <w:sz w:val="36"/>
    </w:rPr>
  </w:style>
  <w:style w:type="paragraph" w:styleId="Nadpis2">
    <w:name w:val="heading 2"/>
    <w:basedOn w:val="Normlny"/>
    <w:next w:val="Normlny"/>
    <w:qFormat/>
    <w:rsid w:val="00731E8B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5" w:color="auto"/>
      </w:pBdr>
      <w:jc w:val="center"/>
      <w:outlineLvl w:val="1"/>
    </w:pPr>
    <w:rPr>
      <w:rFonts w:ascii="Arial" w:hAnsi="Arial"/>
      <w:b/>
      <w:i/>
      <w:sz w:val="36"/>
    </w:rPr>
  </w:style>
  <w:style w:type="paragraph" w:styleId="Nadpis3">
    <w:name w:val="heading 3"/>
    <w:basedOn w:val="Normlny"/>
    <w:next w:val="Normlny"/>
    <w:qFormat/>
    <w:rsid w:val="00731E8B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0" w:color="auto"/>
      </w:pBdr>
      <w:jc w:val="center"/>
      <w:outlineLvl w:val="2"/>
    </w:pPr>
    <w:rPr>
      <w:rFonts w:ascii="Arial" w:hAnsi="Arial"/>
      <w:i/>
      <w:sz w:val="44"/>
    </w:rPr>
  </w:style>
  <w:style w:type="paragraph" w:styleId="Nadpis4">
    <w:name w:val="heading 4"/>
    <w:basedOn w:val="Normlny"/>
    <w:next w:val="Normlny"/>
    <w:qFormat/>
    <w:rsid w:val="00731E8B"/>
    <w:pPr>
      <w:keepNext/>
      <w:jc w:val="center"/>
      <w:outlineLvl w:val="3"/>
    </w:pPr>
    <w:rPr>
      <w:rFonts w:ascii="Arial" w:hAnsi="Arial"/>
      <w:b/>
      <w:i/>
      <w:sz w:val="44"/>
    </w:rPr>
  </w:style>
  <w:style w:type="paragraph" w:styleId="Nadpis5">
    <w:name w:val="heading 5"/>
    <w:basedOn w:val="Normlny"/>
    <w:next w:val="Normlny"/>
    <w:qFormat/>
    <w:rsid w:val="00731E8B"/>
    <w:pPr>
      <w:keepNext/>
      <w:jc w:val="center"/>
      <w:outlineLvl w:val="4"/>
    </w:pPr>
    <w:rPr>
      <w:b/>
      <w:i/>
      <w:sz w:val="52"/>
    </w:rPr>
  </w:style>
  <w:style w:type="paragraph" w:styleId="Nadpis6">
    <w:name w:val="heading 6"/>
    <w:basedOn w:val="Normlny"/>
    <w:next w:val="Normlny"/>
    <w:qFormat/>
    <w:rsid w:val="00731E8B"/>
    <w:pPr>
      <w:keepNext/>
      <w:jc w:val="both"/>
      <w:outlineLvl w:val="5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31E8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31E8B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731E8B"/>
    <w:pPr>
      <w:jc w:val="center"/>
    </w:pPr>
    <w:rPr>
      <w:rFonts w:ascii="Arial" w:hAnsi="Arial"/>
      <w:b/>
      <w:i/>
      <w:sz w:val="48"/>
    </w:rPr>
  </w:style>
  <w:style w:type="paragraph" w:styleId="Textmakra">
    <w:name w:val="macro"/>
    <w:semiHidden/>
    <w:rsid w:val="00731E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alEEW" w:hAnsi="AralEEW"/>
      <w:snapToGrid w:val="0"/>
      <w:sz w:val="16"/>
      <w:lang w:val="en-GB"/>
    </w:rPr>
  </w:style>
  <w:style w:type="paragraph" w:styleId="Zkladntext">
    <w:name w:val="Body Text"/>
    <w:basedOn w:val="Normlny"/>
    <w:rsid w:val="00731E8B"/>
    <w:pPr>
      <w:jc w:val="center"/>
    </w:pPr>
    <w:rPr>
      <w:rFonts w:ascii="Arial" w:hAnsi="Arial"/>
      <w:b/>
      <w:sz w:val="72"/>
      <w:lang w:val="sk-SK"/>
    </w:rPr>
  </w:style>
  <w:style w:type="paragraph" w:styleId="Zkladntext2">
    <w:name w:val="Body Text 2"/>
    <w:basedOn w:val="Normlny"/>
    <w:rsid w:val="00731E8B"/>
    <w:pPr>
      <w:jc w:val="both"/>
    </w:pPr>
    <w:rPr>
      <w:rFonts w:ascii="Arial" w:hAnsi="Arial"/>
      <w:lang w:val="sk-SK"/>
    </w:rPr>
  </w:style>
  <w:style w:type="character" w:styleId="slostrany">
    <w:name w:val="page number"/>
    <w:basedOn w:val="Predvolenpsmoodseku"/>
    <w:rsid w:val="00731E8B"/>
  </w:style>
  <w:style w:type="paragraph" w:styleId="Zarkazkladnhotextu">
    <w:name w:val="Body Text Indent"/>
    <w:basedOn w:val="Normlny"/>
    <w:rsid w:val="00731E8B"/>
    <w:pPr>
      <w:jc w:val="both"/>
    </w:pPr>
    <w:rPr>
      <w:rFonts w:ascii="Arial" w:hAnsi="Arial"/>
      <w:lang w:val="sk-SK"/>
    </w:rPr>
  </w:style>
  <w:style w:type="paragraph" w:styleId="Textbubliny">
    <w:name w:val="Balloon Text"/>
    <w:basedOn w:val="Normlny"/>
    <w:semiHidden/>
    <w:rsid w:val="00BC79D9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4E7919"/>
    <w:rPr>
      <w:lang w:val="en-US"/>
    </w:rPr>
  </w:style>
  <w:style w:type="character" w:styleId="Hypertextovprepojenie">
    <w:name w:val="Hyperlink"/>
    <w:rsid w:val="00CA11A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D5E0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F6C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6C4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6C4C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6C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6C4C"/>
    <w:rPr>
      <w:b/>
      <w:bCs/>
      <w:lang w:val="en-US"/>
    </w:rPr>
  </w:style>
  <w:style w:type="paragraph" w:styleId="Revzia">
    <w:name w:val="Revision"/>
    <w:hidden/>
    <w:uiPriority w:val="99"/>
    <w:semiHidden/>
    <w:rsid w:val="009F0D50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8377-55EC-4D8D-81D3-661D4EFC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REGISTRAČNÁ DOKUMENTÁCIA</vt:lpstr>
    </vt:vector>
  </TitlesOfParts>
  <Company>VVZ, Biotika a.s.</Company>
  <LinksUpToDate>false</LinksUpToDate>
  <CharactersWithSpaces>13882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REGISTRAČNÁ DOKUMENTÁCIA</dc:title>
  <dc:subject/>
  <dc:creator>gborosova</dc:creator>
  <cp:keywords/>
  <cp:lastModifiedBy> Jana Repiščáková</cp:lastModifiedBy>
  <cp:revision>8</cp:revision>
  <cp:lastPrinted>2013-09-19T15:05:00Z</cp:lastPrinted>
  <dcterms:created xsi:type="dcterms:W3CDTF">2017-12-19T06:46:00Z</dcterms:created>
  <dcterms:modified xsi:type="dcterms:W3CDTF">2017-12-20T09:30:00Z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