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4B8" w:rsidRDefault="000424B8">
      <w:pPr>
        <w:pStyle w:val="Nadpis1"/>
        <w:jc w:val="center"/>
        <w:rPr>
          <w:sz w:val="22"/>
          <w:szCs w:val="22"/>
          <w:u w:val="none"/>
        </w:rPr>
      </w:pPr>
    </w:p>
    <w:p w:rsidR="006E3105" w:rsidRPr="00CE51D7" w:rsidRDefault="006E3105">
      <w:pPr>
        <w:pStyle w:val="Nadpis1"/>
        <w:jc w:val="center"/>
        <w:rPr>
          <w:sz w:val="22"/>
          <w:szCs w:val="22"/>
          <w:u w:val="none"/>
        </w:rPr>
      </w:pPr>
      <w:r w:rsidRPr="00CE51D7">
        <w:rPr>
          <w:sz w:val="22"/>
          <w:szCs w:val="22"/>
          <w:u w:val="none"/>
        </w:rPr>
        <w:t>SÚHRN CHARAKTERISTICKÝCH VLASTNOSTÍ LIEKU</w:t>
      </w:r>
    </w:p>
    <w:p w:rsidR="006E3105" w:rsidRPr="00CE51D7" w:rsidRDefault="006E3105">
      <w:pPr>
        <w:ind w:right="-1"/>
        <w:jc w:val="both"/>
        <w:rPr>
          <w:sz w:val="22"/>
          <w:szCs w:val="22"/>
        </w:rPr>
      </w:pPr>
    </w:p>
    <w:p w:rsidR="006E3105" w:rsidRPr="00CE51D7" w:rsidRDefault="006E3105">
      <w:pPr>
        <w:ind w:right="-1"/>
        <w:jc w:val="both"/>
        <w:rPr>
          <w:b/>
          <w:caps/>
          <w:sz w:val="22"/>
          <w:szCs w:val="22"/>
        </w:rPr>
      </w:pPr>
      <w:r w:rsidRPr="00CE51D7">
        <w:rPr>
          <w:b/>
          <w:sz w:val="22"/>
          <w:szCs w:val="22"/>
        </w:rPr>
        <w:t xml:space="preserve">1. </w:t>
      </w:r>
      <w:r w:rsidRPr="00CE51D7">
        <w:rPr>
          <w:b/>
          <w:caps/>
          <w:sz w:val="22"/>
          <w:szCs w:val="22"/>
        </w:rPr>
        <w:t>Názov lieku</w:t>
      </w:r>
    </w:p>
    <w:p w:rsidR="006E3105" w:rsidRPr="00CE51D7" w:rsidRDefault="006E3105">
      <w:pPr>
        <w:ind w:right="-1"/>
        <w:jc w:val="both"/>
        <w:rPr>
          <w:sz w:val="22"/>
          <w:szCs w:val="22"/>
        </w:rPr>
      </w:pPr>
    </w:p>
    <w:p w:rsidR="006E3105" w:rsidRPr="00CE51D7" w:rsidRDefault="00A1775C">
      <w:pPr>
        <w:ind w:right="-1"/>
        <w:jc w:val="both"/>
        <w:rPr>
          <w:b/>
          <w:bCs/>
          <w:sz w:val="22"/>
          <w:szCs w:val="22"/>
        </w:rPr>
      </w:pPr>
      <w:r w:rsidRPr="00CE51D7">
        <w:rPr>
          <w:b/>
          <w:sz w:val="22"/>
          <w:szCs w:val="22"/>
        </w:rPr>
        <w:t>Salofalk</w:t>
      </w:r>
      <w:r w:rsidR="006E3105" w:rsidRPr="00CE51D7">
        <w:rPr>
          <w:sz w:val="22"/>
          <w:szCs w:val="22"/>
        </w:rPr>
        <w:t xml:space="preserve"> </w:t>
      </w:r>
      <w:r w:rsidR="006E3105" w:rsidRPr="00CE51D7">
        <w:rPr>
          <w:b/>
          <w:bCs/>
          <w:sz w:val="22"/>
          <w:szCs w:val="22"/>
        </w:rPr>
        <w:t>500 tablety</w:t>
      </w:r>
    </w:p>
    <w:p w:rsidR="00BA247B" w:rsidRPr="00CE51D7" w:rsidRDefault="00BA247B">
      <w:pPr>
        <w:ind w:right="-1"/>
        <w:jc w:val="both"/>
        <w:rPr>
          <w:b/>
          <w:sz w:val="22"/>
          <w:szCs w:val="22"/>
          <w:u w:val="single"/>
        </w:rPr>
      </w:pPr>
    </w:p>
    <w:p w:rsidR="006E3105" w:rsidRPr="00CE51D7" w:rsidRDefault="006E3105">
      <w:pPr>
        <w:ind w:right="-1"/>
        <w:jc w:val="both"/>
        <w:rPr>
          <w:sz w:val="22"/>
          <w:szCs w:val="22"/>
        </w:rPr>
      </w:pPr>
      <w:r w:rsidRPr="00CE51D7">
        <w:rPr>
          <w:b/>
          <w:sz w:val="22"/>
          <w:szCs w:val="22"/>
        </w:rPr>
        <w:t xml:space="preserve">2. </w:t>
      </w:r>
      <w:r w:rsidRPr="00CE51D7">
        <w:rPr>
          <w:b/>
          <w:caps/>
          <w:sz w:val="22"/>
          <w:szCs w:val="22"/>
        </w:rPr>
        <w:t>Kvalitatívne a kvantitatívne zloženie</w:t>
      </w:r>
    </w:p>
    <w:p w:rsidR="006E3105" w:rsidRPr="00CE51D7" w:rsidRDefault="006E3105">
      <w:pPr>
        <w:ind w:right="-1"/>
        <w:jc w:val="both"/>
        <w:rPr>
          <w:sz w:val="22"/>
          <w:szCs w:val="22"/>
        </w:rPr>
      </w:pPr>
    </w:p>
    <w:p w:rsidR="006E3105" w:rsidRPr="00CE51D7" w:rsidRDefault="006E3105">
      <w:pPr>
        <w:ind w:right="-1"/>
        <w:jc w:val="both"/>
        <w:rPr>
          <w:sz w:val="22"/>
          <w:szCs w:val="22"/>
        </w:rPr>
      </w:pPr>
      <w:r w:rsidRPr="00CE51D7">
        <w:rPr>
          <w:sz w:val="22"/>
          <w:szCs w:val="22"/>
        </w:rPr>
        <w:t>Liečivo: mesalaz</w:t>
      </w:r>
      <w:r w:rsidR="000762C1" w:rsidRPr="00CE51D7">
        <w:rPr>
          <w:sz w:val="22"/>
          <w:szCs w:val="22"/>
        </w:rPr>
        <w:t>ín</w:t>
      </w:r>
      <w:r w:rsidRPr="00CE51D7">
        <w:rPr>
          <w:sz w:val="22"/>
          <w:szCs w:val="22"/>
        </w:rPr>
        <w:t xml:space="preserve"> 500 mg v jednej tablete</w:t>
      </w:r>
    </w:p>
    <w:p w:rsidR="003A706C" w:rsidRPr="00CE51D7" w:rsidRDefault="003A706C" w:rsidP="009A19AC">
      <w:pPr>
        <w:ind w:right="-1"/>
        <w:jc w:val="both"/>
        <w:rPr>
          <w:sz w:val="22"/>
          <w:szCs w:val="22"/>
        </w:rPr>
      </w:pPr>
    </w:p>
    <w:p w:rsidR="009A19AC" w:rsidRPr="00CE51D7" w:rsidRDefault="009A19AC" w:rsidP="009A19AC">
      <w:pPr>
        <w:ind w:right="-1"/>
        <w:jc w:val="both"/>
        <w:rPr>
          <w:sz w:val="22"/>
          <w:szCs w:val="22"/>
        </w:rPr>
      </w:pPr>
      <w:r w:rsidRPr="00CE51D7">
        <w:rPr>
          <w:sz w:val="22"/>
          <w:szCs w:val="22"/>
        </w:rPr>
        <w:t>Pomocné látky: bezvodý uhličitan sodný</w:t>
      </w:r>
    </w:p>
    <w:p w:rsidR="003A706C" w:rsidRPr="00CE51D7" w:rsidRDefault="003A706C">
      <w:pPr>
        <w:ind w:right="-1"/>
        <w:jc w:val="both"/>
        <w:rPr>
          <w:sz w:val="22"/>
          <w:szCs w:val="22"/>
        </w:rPr>
      </w:pPr>
    </w:p>
    <w:p w:rsidR="006E3105" w:rsidRPr="00CE51D7" w:rsidRDefault="00587539">
      <w:pPr>
        <w:ind w:right="-1"/>
        <w:jc w:val="both"/>
        <w:rPr>
          <w:sz w:val="22"/>
          <w:szCs w:val="22"/>
        </w:rPr>
      </w:pPr>
      <w:r>
        <w:rPr>
          <w:sz w:val="22"/>
          <w:szCs w:val="22"/>
        </w:rPr>
        <w:t>Úplný zoznam pomocných látok, pozri časť 6.1.</w:t>
      </w:r>
    </w:p>
    <w:p w:rsidR="006E3105" w:rsidRPr="00CE51D7" w:rsidRDefault="006E3105">
      <w:pPr>
        <w:ind w:right="-1"/>
        <w:jc w:val="both"/>
        <w:rPr>
          <w:sz w:val="22"/>
          <w:szCs w:val="22"/>
        </w:rPr>
      </w:pPr>
    </w:p>
    <w:p w:rsidR="00BA247B" w:rsidRPr="00CE51D7" w:rsidRDefault="00BA247B">
      <w:pPr>
        <w:ind w:right="-1"/>
        <w:jc w:val="both"/>
        <w:rPr>
          <w:sz w:val="22"/>
          <w:szCs w:val="22"/>
        </w:rPr>
      </w:pPr>
    </w:p>
    <w:p w:rsidR="006E3105" w:rsidRPr="00CE51D7" w:rsidRDefault="00587539">
      <w:pPr>
        <w:ind w:right="-1"/>
        <w:jc w:val="both"/>
        <w:rPr>
          <w:sz w:val="22"/>
          <w:szCs w:val="22"/>
        </w:rPr>
      </w:pPr>
      <w:r>
        <w:rPr>
          <w:b/>
          <w:sz w:val="22"/>
          <w:szCs w:val="22"/>
        </w:rPr>
        <w:t xml:space="preserve">3. </w:t>
      </w:r>
      <w:r>
        <w:rPr>
          <w:b/>
          <w:caps/>
          <w:sz w:val="22"/>
          <w:szCs w:val="22"/>
        </w:rPr>
        <w:t>Lieková forma</w:t>
      </w:r>
    </w:p>
    <w:p w:rsidR="006E3105" w:rsidRPr="00CE51D7" w:rsidRDefault="006E3105">
      <w:pPr>
        <w:ind w:right="-1"/>
        <w:jc w:val="both"/>
        <w:rPr>
          <w:sz w:val="22"/>
          <w:szCs w:val="22"/>
        </w:rPr>
      </w:pPr>
    </w:p>
    <w:p w:rsidR="006E3105" w:rsidRPr="00CE51D7" w:rsidRDefault="00587539">
      <w:pPr>
        <w:ind w:right="-1"/>
        <w:jc w:val="both"/>
        <w:rPr>
          <w:sz w:val="22"/>
          <w:szCs w:val="22"/>
        </w:rPr>
      </w:pPr>
      <w:r>
        <w:rPr>
          <w:sz w:val="22"/>
          <w:szCs w:val="22"/>
        </w:rPr>
        <w:t>Gastrorezistentná tableta</w:t>
      </w:r>
    </w:p>
    <w:p w:rsidR="006E3105" w:rsidRPr="00CE51D7" w:rsidRDefault="006E3105">
      <w:pPr>
        <w:ind w:right="-1"/>
        <w:jc w:val="both"/>
        <w:rPr>
          <w:sz w:val="22"/>
          <w:szCs w:val="22"/>
        </w:rPr>
      </w:pPr>
    </w:p>
    <w:p w:rsidR="006E3105" w:rsidRPr="00CE51D7" w:rsidRDefault="00587539">
      <w:pPr>
        <w:ind w:right="-1"/>
        <w:jc w:val="both"/>
        <w:rPr>
          <w:sz w:val="22"/>
          <w:szCs w:val="22"/>
        </w:rPr>
      </w:pPr>
      <w:r>
        <w:rPr>
          <w:sz w:val="22"/>
          <w:szCs w:val="22"/>
        </w:rPr>
        <w:t>Okrúhla tableta bledožltej až okrovej farby, matný hladký povrch, bez deliacej ryhy.</w:t>
      </w:r>
    </w:p>
    <w:p w:rsidR="006E3105" w:rsidRPr="00CE51D7" w:rsidRDefault="006E3105">
      <w:pPr>
        <w:ind w:right="-1"/>
        <w:jc w:val="both"/>
        <w:rPr>
          <w:sz w:val="22"/>
          <w:szCs w:val="22"/>
        </w:rPr>
      </w:pPr>
    </w:p>
    <w:p w:rsidR="00BA247B" w:rsidRPr="00CE51D7" w:rsidRDefault="00BA247B">
      <w:pPr>
        <w:ind w:right="-1"/>
        <w:jc w:val="both"/>
        <w:rPr>
          <w:sz w:val="22"/>
          <w:szCs w:val="22"/>
        </w:rPr>
      </w:pPr>
    </w:p>
    <w:p w:rsidR="006E3105" w:rsidRPr="00CE51D7" w:rsidRDefault="00587539">
      <w:pPr>
        <w:ind w:right="-1"/>
        <w:jc w:val="both"/>
        <w:rPr>
          <w:caps/>
          <w:sz w:val="22"/>
          <w:szCs w:val="22"/>
        </w:rPr>
      </w:pPr>
      <w:r>
        <w:rPr>
          <w:b/>
          <w:sz w:val="22"/>
          <w:szCs w:val="22"/>
        </w:rPr>
        <w:t xml:space="preserve">4. </w:t>
      </w:r>
      <w:r>
        <w:rPr>
          <w:b/>
          <w:caps/>
          <w:sz w:val="22"/>
          <w:szCs w:val="22"/>
        </w:rPr>
        <w:t>Klinické údaje</w:t>
      </w:r>
    </w:p>
    <w:p w:rsidR="006E3105" w:rsidRPr="00CE51D7" w:rsidRDefault="006E3105">
      <w:pPr>
        <w:ind w:right="-1"/>
        <w:jc w:val="both"/>
        <w:rPr>
          <w:sz w:val="22"/>
          <w:szCs w:val="22"/>
        </w:rPr>
      </w:pPr>
    </w:p>
    <w:p w:rsidR="006E3105" w:rsidRPr="00CE51D7" w:rsidRDefault="00587539">
      <w:pPr>
        <w:ind w:right="-1"/>
        <w:jc w:val="both"/>
        <w:rPr>
          <w:b/>
          <w:sz w:val="22"/>
          <w:szCs w:val="22"/>
        </w:rPr>
      </w:pPr>
      <w:r>
        <w:rPr>
          <w:b/>
          <w:sz w:val="22"/>
          <w:szCs w:val="22"/>
        </w:rPr>
        <w:t>4.1 Terapeutické indikácie</w:t>
      </w:r>
    </w:p>
    <w:p w:rsidR="006E3105" w:rsidRPr="00CE51D7" w:rsidRDefault="006E3105">
      <w:pPr>
        <w:ind w:right="-1"/>
        <w:jc w:val="both"/>
        <w:rPr>
          <w:sz w:val="22"/>
          <w:szCs w:val="22"/>
        </w:rPr>
      </w:pPr>
    </w:p>
    <w:p w:rsidR="006E3105" w:rsidRPr="00CE51D7" w:rsidRDefault="00587539">
      <w:pPr>
        <w:ind w:right="-1"/>
        <w:jc w:val="both"/>
        <w:rPr>
          <w:sz w:val="22"/>
          <w:szCs w:val="22"/>
        </w:rPr>
      </w:pPr>
      <w:r>
        <w:rPr>
          <w:sz w:val="22"/>
          <w:szCs w:val="22"/>
        </w:rPr>
        <w:t>Liečba akútneho štádia a profylaxia recidívy ulceróznej kolitídy.</w:t>
      </w:r>
    </w:p>
    <w:p w:rsidR="006E3105" w:rsidRPr="00CE51D7" w:rsidRDefault="00587539">
      <w:pPr>
        <w:ind w:right="-1"/>
        <w:jc w:val="both"/>
        <w:rPr>
          <w:sz w:val="22"/>
          <w:szCs w:val="22"/>
        </w:rPr>
      </w:pPr>
      <w:r>
        <w:rPr>
          <w:sz w:val="22"/>
          <w:szCs w:val="22"/>
        </w:rPr>
        <w:t>Liečba akútneho štádia a profylaxia recidívy Crohnovej choroby.</w:t>
      </w:r>
    </w:p>
    <w:p w:rsidR="006E3105" w:rsidRPr="00CE51D7" w:rsidRDefault="006E3105">
      <w:pPr>
        <w:ind w:right="-1"/>
        <w:jc w:val="both"/>
        <w:rPr>
          <w:sz w:val="22"/>
          <w:szCs w:val="22"/>
          <w:u w:val="single"/>
        </w:rPr>
      </w:pPr>
    </w:p>
    <w:p w:rsidR="006E3105" w:rsidRPr="00CE51D7" w:rsidRDefault="00587539">
      <w:pPr>
        <w:ind w:right="-1"/>
        <w:jc w:val="both"/>
        <w:rPr>
          <w:b/>
          <w:sz w:val="22"/>
          <w:szCs w:val="22"/>
        </w:rPr>
      </w:pPr>
      <w:r>
        <w:rPr>
          <w:b/>
          <w:sz w:val="22"/>
          <w:szCs w:val="22"/>
        </w:rPr>
        <w:t>4.2 Dávkovanie a spôsob podávania</w:t>
      </w:r>
    </w:p>
    <w:p w:rsidR="006E3105" w:rsidRPr="00CE51D7" w:rsidRDefault="006E3105">
      <w:pPr>
        <w:ind w:right="-1"/>
        <w:jc w:val="both"/>
        <w:rPr>
          <w:sz w:val="22"/>
          <w:szCs w:val="22"/>
        </w:rPr>
      </w:pPr>
    </w:p>
    <w:p w:rsidR="006E3105" w:rsidRPr="00CE51D7" w:rsidRDefault="00587539">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Na liečbu chronických zápalových ochorení čreva (Crohnova choroba a ulcerózna kolitída) sú dostupné lieky Salofalk 250 tablety a Salofalk 500 tablety.</w:t>
      </w:r>
    </w:p>
    <w:p w:rsidR="006E3105" w:rsidRPr="00CE51D7" w:rsidRDefault="00587539">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 xml:space="preserve">Ak denná odporúčaná dávka presiahne </w:t>
      </w:r>
      <w:smartTag w:uri="urn:schemas-microsoft-com:office:smarttags" w:element="metricconverter">
        <w:smartTagPr>
          <w:attr w:name="ProductID" w:val="1,5 g"/>
        </w:smartTagPr>
        <w:r>
          <w:rPr>
            <w:rFonts w:ascii="Times New Roman" w:hAnsi="Times New Roman" w:cs="Times New Roman"/>
            <w:color w:val="auto"/>
            <w:sz w:val="22"/>
            <w:szCs w:val="22"/>
          </w:rPr>
          <w:t>1,5 g</w:t>
        </w:r>
      </w:smartTag>
      <w:r>
        <w:rPr>
          <w:rFonts w:ascii="Times New Roman" w:hAnsi="Times New Roman" w:cs="Times New Roman"/>
          <w:color w:val="auto"/>
          <w:sz w:val="22"/>
          <w:szCs w:val="22"/>
        </w:rPr>
        <w:t xml:space="preserve"> mesalazínu denne, má sa užívať liek Salofalk 500 tablety.</w:t>
      </w:r>
    </w:p>
    <w:p w:rsidR="00DF05B7" w:rsidRPr="00CE51D7" w:rsidRDefault="00DF05B7">
      <w:pPr>
        <w:ind w:right="-1"/>
        <w:jc w:val="both"/>
        <w:rPr>
          <w:sz w:val="22"/>
          <w:szCs w:val="22"/>
        </w:rPr>
      </w:pPr>
    </w:p>
    <w:p w:rsidR="006E3105" w:rsidRPr="00CE51D7" w:rsidRDefault="00587539">
      <w:pPr>
        <w:ind w:right="-1"/>
        <w:jc w:val="both"/>
        <w:rPr>
          <w:sz w:val="22"/>
          <w:szCs w:val="22"/>
          <w:u w:val="single"/>
        </w:rPr>
      </w:pPr>
      <w:r>
        <w:rPr>
          <w:sz w:val="22"/>
          <w:szCs w:val="22"/>
          <w:u w:val="single"/>
        </w:rPr>
        <w:t>Dospelí:</w:t>
      </w:r>
    </w:p>
    <w:p w:rsidR="006E3105" w:rsidRPr="00CE51D7" w:rsidRDefault="00587539">
      <w:pPr>
        <w:ind w:right="-1"/>
        <w:jc w:val="both"/>
        <w:rPr>
          <w:sz w:val="22"/>
          <w:szCs w:val="22"/>
        </w:rPr>
      </w:pPr>
      <w:r>
        <w:rPr>
          <w:sz w:val="22"/>
          <w:szCs w:val="22"/>
        </w:rPr>
        <w:t>V závislosti od individuálneho k</w:t>
      </w:r>
      <w:bookmarkStart w:id="0" w:name="_GoBack"/>
      <w:bookmarkEnd w:id="0"/>
      <w:r>
        <w:rPr>
          <w:sz w:val="22"/>
          <w:szCs w:val="22"/>
        </w:rPr>
        <w:t>linického stavu pacienta sa užívajú dávky podľa nižšie uvedenej schémy:</w:t>
      </w:r>
    </w:p>
    <w:p w:rsidR="006E3105" w:rsidRPr="00CE51D7" w:rsidRDefault="006E3105">
      <w:pPr>
        <w:ind w:right="-1"/>
        <w:jc w:val="both"/>
        <w:rPr>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36"/>
        <w:gridCol w:w="4536"/>
      </w:tblGrid>
      <w:tr w:rsidR="006E3105" w:rsidRPr="00CE51D7">
        <w:trPr>
          <w:cantSplit/>
        </w:trPr>
        <w:tc>
          <w:tcPr>
            <w:tcW w:w="9072" w:type="dxa"/>
            <w:gridSpan w:val="2"/>
          </w:tcPr>
          <w:p w:rsidR="006E3105" w:rsidRPr="00CE51D7" w:rsidRDefault="00587539">
            <w:pPr>
              <w:ind w:right="-1"/>
              <w:jc w:val="center"/>
              <w:rPr>
                <w:sz w:val="22"/>
                <w:szCs w:val="22"/>
              </w:rPr>
            </w:pPr>
            <w:r>
              <w:rPr>
                <w:sz w:val="22"/>
                <w:szCs w:val="22"/>
              </w:rPr>
              <w:t>Denná dávka mesalazínu</w:t>
            </w:r>
          </w:p>
        </w:tc>
      </w:tr>
      <w:tr w:rsidR="006E3105" w:rsidRPr="00CE51D7">
        <w:trPr>
          <w:cantSplit/>
        </w:trPr>
        <w:tc>
          <w:tcPr>
            <w:tcW w:w="4536" w:type="dxa"/>
          </w:tcPr>
          <w:p w:rsidR="006E3105" w:rsidRPr="00CE51D7" w:rsidRDefault="006E3105">
            <w:pPr>
              <w:ind w:right="-1"/>
              <w:jc w:val="center"/>
              <w:rPr>
                <w:sz w:val="22"/>
                <w:szCs w:val="22"/>
              </w:rPr>
            </w:pPr>
            <w:r w:rsidRPr="00CE51D7">
              <w:rPr>
                <w:sz w:val="22"/>
                <w:szCs w:val="22"/>
              </w:rPr>
              <w:t>Crohnova choroba</w:t>
            </w:r>
          </w:p>
        </w:tc>
        <w:tc>
          <w:tcPr>
            <w:tcW w:w="4536" w:type="dxa"/>
          </w:tcPr>
          <w:p w:rsidR="006E3105" w:rsidRPr="00CE51D7" w:rsidRDefault="00587539">
            <w:pPr>
              <w:ind w:right="-1"/>
              <w:jc w:val="center"/>
              <w:rPr>
                <w:sz w:val="22"/>
                <w:szCs w:val="22"/>
              </w:rPr>
            </w:pPr>
            <w:r>
              <w:rPr>
                <w:sz w:val="22"/>
                <w:szCs w:val="22"/>
              </w:rPr>
              <w:t>Ulcerózna kolitída</w:t>
            </w:r>
          </w:p>
        </w:tc>
      </w:tr>
      <w:tr w:rsidR="006E3105" w:rsidRPr="00CE51D7">
        <w:tc>
          <w:tcPr>
            <w:tcW w:w="4536" w:type="dxa"/>
          </w:tcPr>
          <w:p w:rsidR="006E3105" w:rsidRPr="00CE51D7" w:rsidRDefault="006E3105">
            <w:pPr>
              <w:ind w:right="-1"/>
              <w:jc w:val="center"/>
              <w:rPr>
                <w:sz w:val="22"/>
                <w:szCs w:val="22"/>
              </w:rPr>
            </w:pPr>
            <w:r w:rsidRPr="00CE51D7">
              <w:rPr>
                <w:sz w:val="22"/>
                <w:szCs w:val="22"/>
              </w:rPr>
              <w:t>akútny atak</w:t>
            </w:r>
          </w:p>
        </w:tc>
        <w:tc>
          <w:tcPr>
            <w:tcW w:w="4536" w:type="dxa"/>
          </w:tcPr>
          <w:p w:rsidR="006E3105" w:rsidRPr="00CE51D7" w:rsidRDefault="00587539">
            <w:pPr>
              <w:ind w:right="-1"/>
              <w:jc w:val="center"/>
              <w:rPr>
                <w:sz w:val="22"/>
                <w:szCs w:val="22"/>
              </w:rPr>
            </w:pPr>
            <w:r>
              <w:rPr>
                <w:sz w:val="22"/>
                <w:szCs w:val="22"/>
              </w:rPr>
              <w:t>akútny atak</w:t>
            </w:r>
          </w:p>
        </w:tc>
      </w:tr>
      <w:tr w:rsidR="006E3105" w:rsidRPr="00CE51D7">
        <w:tc>
          <w:tcPr>
            <w:tcW w:w="4536" w:type="dxa"/>
          </w:tcPr>
          <w:p w:rsidR="006E3105" w:rsidRPr="00CE51D7" w:rsidRDefault="006E3105">
            <w:pPr>
              <w:ind w:right="-1"/>
              <w:jc w:val="center"/>
              <w:rPr>
                <w:sz w:val="22"/>
                <w:szCs w:val="22"/>
              </w:rPr>
            </w:pPr>
            <w:smartTag w:uri="urn:schemas-microsoft-com:office:smarttags" w:element="metricconverter">
              <w:smartTagPr>
                <w:attr w:name="ProductID" w:val="1,5 g"/>
              </w:smartTagPr>
              <w:r w:rsidRPr="00CE51D7">
                <w:rPr>
                  <w:sz w:val="22"/>
                  <w:szCs w:val="22"/>
                </w:rPr>
                <w:t>1,5 g</w:t>
              </w:r>
            </w:smartTag>
            <w:r w:rsidRPr="00CE51D7">
              <w:rPr>
                <w:sz w:val="22"/>
                <w:szCs w:val="22"/>
              </w:rPr>
              <w:t xml:space="preserve"> - </w:t>
            </w:r>
            <w:smartTag w:uri="urn:schemas-microsoft-com:office:smarttags" w:element="metricconverter">
              <w:smartTagPr>
                <w:attr w:name="ProductID" w:val="4,5 g"/>
              </w:smartTagPr>
              <w:r w:rsidRPr="00CE51D7">
                <w:rPr>
                  <w:sz w:val="22"/>
                  <w:szCs w:val="22"/>
                </w:rPr>
                <w:t>4,5 g</w:t>
              </w:r>
            </w:smartTag>
          </w:p>
        </w:tc>
        <w:tc>
          <w:tcPr>
            <w:tcW w:w="4536" w:type="dxa"/>
          </w:tcPr>
          <w:p w:rsidR="006E3105" w:rsidRPr="00CE51D7" w:rsidRDefault="00587539">
            <w:pPr>
              <w:ind w:right="-1"/>
              <w:jc w:val="center"/>
              <w:rPr>
                <w:sz w:val="22"/>
                <w:szCs w:val="22"/>
              </w:rPr>
            </w:pPr>
            <w:smartTag w:uri="urn:schemas-microsoft-com:office:smarttags" w:element="metricconverter">
              <w:smartTagPr>
                <w:attr w:name="ProductID" w:val="1,5 g"/>
              </w:smartTagPr>
              <w:r>
                <w:rPr>
                  <w:sz w:val="22"/>
                  <w:szCs w:val="22"/>
                </w:rPr>
                <w:t>1,5 g</w:t>
              </w:r>
            </w:smartTag>
            <w:r>
              <w:rPr>
                <w:sz w:val="22"/>
                <w:szCs w:val="22"/>
              </w:rPr>
              <w:t xml:space="preserve"> - </w:t>
            </w:r>
            <w:smartTag w:uri="urn:schemas-microsoft-com:office:smarttags" w:element="metricconverter">
              <w:smartTagPr>
                <w:attr w:name="ProductID" w:val="3,0 g"/>
              </w:smartTagPr>
              <w:r>
                <w:rPr>
                  <w:sz w:val="22"/>
                  <w:szCs w:val="22"/>
                </w:rPr>
                <w:t>3,0 g</w:t>
              </w:r>
            </w:smartTag>
          </w:p>
        </w:tc>
      </w:tr>
      <w:tr w:rsidR="006E3105" w:rsidRPr="00CE51D7">
        <w:tc>
          <w:tcPr>
            <w:tcW w:w="4536" w:type="dxa"/>
          </w:tcPr>
          <w:p w:rsidR="006E3105" w:rsidRPr="00CE51D7" w:rsidRDefault="006E3105">
            <w:pPr>
              <w:ind w:right="-1"/>
              <w:jc w:val="center"/>
              <w:rPr>
                <w:sz w:val="22"/>
                <w:szCs w:val="22"/>
              </w:rPr>
            </w:pPr>
            <w:r w:rsidRPr="00CE51D7">
              <w:rPr>
                <w:sz w:val="22"/>
                <w:szCs w:val="22"/>
              </w:rPr>
              <w:t>3 x 1 tableta až 3 x 3 tablety</w:t>
            </w:r>
          </w:p>
          <w:p w:rsidR="006E3105" w:rsidRPr="00CE51D7" w:rsidRDefault="00587539">
            <w:pPr>
              <w:ind w:right="-1"/>
              <w:jc w:val="center"/>
              <w:rPr>
                <w:b/>
                <w:sz w:val="22"/>
                <w:szCs w:val="22"/>
              </w:rPr>
            </w:pPr>
            <w:r>
              <w:rPr>
                <w:b/>
                <w:sz w:val="22"/>
                <w:szCs w:val="22"/>
              </w:rPr>
              <w:t>Salofalk 500 tablety</w:t>
            </w:r>
          </w:p>
        </w:tc>
        <w:tc>
          <w:tcPr>
            <w:tcW w:w="4536" w:type="dxa"/>
          </w:tcPr>
          <w:p w:rsidR="006E3105" w:rsidRPr="00CE51D7" w:rsidRDefault="00587539">
            <w:pPr>
              <w:ind w:right="-1"/>
              <w:jc w:val="center"/>
              <w:rPr>
                <w:sz w:val="22"/>
                <w:szCs w:val="22"/>
              </w:rPr>
            </w:pPr>
            <w:r>
              <w:rPr>
                <w:sz w:val="22"/>
                <w:szCs w:val="22"/>
              </w:rPr>
              <w:t>3 x 1 tableta až 3 x 2 tablety</w:t>
            </w:r>
          </w:p>
          <w:p w:rsidR="006E3105" w:rsidRPr="00CE51D7" w:rsidRDefault="00587539">
            <w:pPr>
              <w:ind w:right="-1"/>
              <w:jc w:val="center"/>
              <w:rPr>
                <w:b/>
                <w:sz w:val="22"/>
                <w:szCs w:val="22"/>
              </w:rPr>
            </w:pPr>
            <w:r>
              <w:rPr>
                <w:b/>
                <w:sz w:val="22"/>
                <w:szCs w:val="22"/>
              </w:rPr>
              <w:t>Salofalk 500 tablety</w:t>
            </w:r>
          </w:p>
        </w:tc>
      </w:tr>
      <w:tr w:rsidR="006E3105" w:rsidRPr="00CE51D7">
        <w:tc>
          <w:tcPr>
            <w:tcW w:w="9072" w:type="dxa"/>
            <w:gridSpan w:val="2"/>
          </w:tcPr>
          <w:p w:rsidR="006E3105" w:rsidRPr="00CE51D7" w:rsidRDefault="006E3105">
            <w:pPr>
              <w:ind w:right="-1"/>
              <w:jc w:val="both"/>
              <w:rPr>
                <w:sz w:val="22"/>
                <w:szCs w:val="22"/>
              </w:rPr>
            </w:pPr>
          </w:p>
        </w:tc>
      </w:tr>
      <w:tr w:rsidR="006E3105" w:rsidRPr="00CE51D7">
        <w:tc>
          <w:tcPr>
            <w:tcW w:w="9072" w:type="dxa"/>
            <w:gridSpan w:val="2"/>
          </w:tcPr>
          <w:p w:rsidR="006E3105" w:rsidRPr="00CE51D7" w:rsidRDefault="006E3105">
            <w:pPr>
              <w:pStyle w:val="Nadpis3"/>
              <w:rPr>
                <w:b w:val="0"/>
                <w:bCs w:val="0"/>
                <w:sz w:val="22"/>
                <w:szCs w:val="22"/>
              </w:rPr>
            </w:pPr>
            <w:r w:rsidRPr="00CE51D7">
              <w:rPr>
                <w:b w:val="0"/>
                <w:bCs w:val="0"/>
                <w:sz w:val="22"/>
                <w:szCs w:val="22"/>
              </w:rPr>
              <w:t>Remisia/dlhodobá liečba</w:t>
            </w:r>
          </w:p>
        </w:tc>
      </w:tr>
      <w:tr w:rsidR="006E3105" w:rsidRPr="00CE51D7">
        <w:tc>
          <w:tcPr>
            <w:tcW w:w="9072" w:type="dxa"/>
            <w:gridSpan w:val="2"/>
          </w:tcPr>
          <w:p w:rsidR="006E3105" w:rsidRPr="00CE51D7" w:rsidRDefault="006E3105">
            <w:pPr>
              <w:ind w:right="-1"/>
              <w:jc w:val="center"/>
              <w:rPr>
                <w:sz w:val="22"/>
                <w:szCs w:val="22"/>
              </w:rPr>
            </w:pPr>
            <w:smartTag w:uri="urn:schemas-microsoft-com:office:smarttags" w:element="metricconverter">
              <w:smartTagPr>
                <w:attr w:name="ProductID" w:val="1,5 g"/>
              </w:smartTagPr>
              <w:r w:rsidRPr="00CE51D7">
                <w:rPr>
                  <w:sz w:val="22"/>
                  <w:szCs w:val="22"/>
                </w:rPr>
                <w:t>1,5 g</w:t>
              </w:r>
            </w:smartTag>
          </w:p>
        </w:tc>
      </w:tr>
      <w:tr w:rsidR="006E3105" w:rsidRPr="00CE51D7">
        <w:tc>
          <w:tcPr>
            <w:tcW w:w="9072" w:type="dxa"/>
            <w:gridSpan w:val="2"/>
          </w:tcPr>
          <w:p w:rsidR="006E3105" w:rsidRPr="00CE51D7" w:rsidRDefault="006E3105">
            <w:pPr>
              <w:ind w:right="-1"/>
              <w:jc w:val="center"/>
              <w:rPr>
                <w:sz w:val="22"/>
                <w:szCs w:val="22"/>
              </w:rPr>
            </w:pPr>
            <w:r w:rsidRPr="00CE51D7">
              <w:rPr>
                <w:sz w:val="22"/>
                <w:szCs w:val="22"/>
              </w:rPr>
              <w:t>3 x 1 tableta</w:t>
            </w:r>
          </w:p>
          <w:p w:rsidR="006E3105" w:rsidRPr="00CE51D7" w:rsidRDefault="00587539">
            <w:pPr>
              <w:ind w:right="-1"/>
              <w:jc w:val="center"/>
              <w:rPr>
                <w:b/>
                <w:sz w:val="22"/>
                <w:szCs w:val="22"/>
              </w:rPr>
            </w:pPr>
            <w:r>
              <w:rPr>
                <w:b/>
                <w:sz w:val="22"/>
                <w:szCs w:val="22"/>
              </w:rPr>
              <w:t>Salofalk 500 tablety</w:t>
            </w:r>
          </w:p>
        </w:tc>
      </w:tr>
    </w:tbl>
    <w:p w:rsidR="006E3105" w:rsidRPr="00CE51D7" w:rsidRDefault="006E3105">
      <w:pPr>
        <w:ind w:right="-1"/>
        <w:jc w:val="both"/>
        <w:rPr>
          <w:sz w:val="22"/>
          <w:szCs w:val="22"/>
        </w:rPr>
      </w:pPr>
    </w:p>
    <w:p w:rsidR="006E3105" w:rsidRPr="00CE51D7" w:rsidRDefault="00587539">
      <w:pPr>
        <w:ind w:right="-1"/>
        <w:jc w:val="both"/>
        <w:rPr>
          <w:sz w:val="22"/>
          <w:szCs w:val="22"/>
          <w:u w:val="single"/>
        </w:rPr>
      </w:pPr>
      <w:r>
        <w:rPr>
          <w:sz w:val="22"/>
          <w:szCs w:val="22"/>
          <w:u w:val="single"/>
        </w:rPr>
        <w:t>Deti:</w:t>
      </w:r>
    </w:p>
    <w:p w:rsidR="00BA247B" w:rsidRPr="00CE51D7" w:rsidRDefault="00587539" w:rsidP="00AF493A">
      <w:pPr>
        <w:ind w:right="-1"/>
        <w:jc w:val="both"/>
        <w:rPr>
          <w:sz w:val="22"/>
          <w:szCs w:val="22"/>
        </w:rPr>
        <w:sectPr w:rsidR="00BA247B" w:rsidRPr="00CE51D7" w:rsidSect="00671EA5">
          <w:headerReference w:type="default" r:id="rId7"/>
          <w:footerReference w:type="even" r:id="rId8"/>
          <w:footerReference w:type="default" r:id="rId9"/>
          <w:headerReference w:type="first" r:id="rId10"/>
          <w:footerReference w:type="first" r:id="rId11"/>
          <w:pgSz w:w="11907" w:h="16840"/>
          <w:pgMar w:top="1418" w:right="1418" w:bottom="1418" w:left="1418" w:header="709" w:footer="709" w:gutter="0"/>
          <w:cols w:space="708"/>
          <w:titlePg/>
          <w:docGrid w:linePitch="272"/>
        </w:sectPr>
      </w:pPr>
      <w:r>
        <w:rPr>
          <w:sz w:val="22"/>
          <w:szCs w:val="22"/>
        </w:rPr>
        <w:t xml:space="preserve">Pri lieku Salofalk 500 tablety nie je dostatočne zdokumentovaný účinok na deti (vek 6 – 18 rokov). </w:t>
      </w:r>
    </w:p>
    <w:p w:rsidR="006E3105" w:rsidRPr="00CE51D7" w:rsidRDefault="00587539">
      <w:pPr>
        <w:ind w:right="-1"/>
        <w:jc w:val="both"/>
        <w:rPr>
          <w:sz w:val="22"/>
          <w:szCs w:val="22"/>
          <w:u w:val="single"/>
        </w:rPr>
      </w:pPr>
      <w:r>
        <w:rPr>
          <w:sz w:val="22"/>
          <w:szCs w:val="22"/>
          <w:u w:val="single"/>
        </w:rPr>
        <w:lastRenderedPageBreak/>
        <w:t>Deti staršie ako 6 rokov a adolescenti:</w:t>
      </w:r>
    </w:p>
    <w:p w:rsidR="005944EE" w:rsidRPr="00CE51D7" w:rsidRDefault="00587539" w:rsidP="005944EE">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V závislosti od individuálneho klinického stavu  sa užíva počas akútneho štádia na začiatku 30-50 mg mesalazínu na kg telesnej hmotnosti denne, v rozdelených dávkach. Maximálna dávka: 75 mg/kg/deň. Celková dávka mesalazínu nesmie presiahnuť odporúčanú dávku pre dospelých.</w:t>
      </w:r>
    </w:p>
    <w:p w:rsidR="005944EE" w:rsidRPr="00CE51D7" w:rsidRDefault="00587539" w:rsidP="005944EE">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Na udržanie remisie sa užíva na začiatku 15-30 mg mesalazínu na kg telesnej hmotnosti denne, v rozdelených  dávkach.</w:t>
      </w:r>
      <w:r>
        <w:rPr>
          <w:rFonts w:ascii="Times New Roman" w:hAnsi="Times New Roman" w:cs="Times New Roman"/>
          <w:sz w:val="22"/>
          <w:szCs w:val="22"/>
        </w:rPr>
        <w:t xml:space="preserve"> </w:t>
      </w:r>
      <w:r>
        <w:rPr>
          <w:rFonts w:ascii="Times New Roman" w:hAnsi="Times New Roman" w:cs="Times New Roman"/>
          <w:color w:val="auto"/>
          <w:sz w:val="22"/>
          <w:szCs w:val="22"/>
        </w:rPr>
        <w:t>Celková dávka mesalazínu nesmie presiahnuť odporúčanú dávku pre dospelých.</w:t>
      </w:r>
    </w:p>
    <w:p w:rsidR="005944EE" w:rsidRPr="00CE51D7" w:rsidRDefault="00587539" w:rsidP="005944EE">
      <w:pPr>
        <w:ind w:right="-1"/>
        <w:jc w:val="both"/>
        <w:rPr>
          <w:sz w:val="22"/>
          <w:szCs w:val="22"/>
        </w:rPr>
      </w:pPr>
      <w:r>
        <w:rPr>
          <w:sz w:val="22"/>
          <w:szCs w:val="22"/>
        </w:rPr>
        <w:t xml:space="preserve">Vo všeobecnosti užívajú deti s telesnou hmotnosťou do </w:t>
      </w:r>
      <w:smartTag w:uri="urn:schemas-microsoft-com:office:smarttags" w:element="metricconverter">
        <w:smartTagPr>
          <w:attr w:name="ProductID" w:val="40 kg"/>
        </w:smartTagPr>
        <w:r>
          <w:rPr>
            <w:sz w:val="22"/>
            <w:szCs w:val="22"/>
          </w:rPr>
          <w:t>40 kg</w:t>
        </w:r>
      </w:smartTag>
      <w:r>
        <w:rPr>
          <w:sz w:val="22"/>
          <w:szCs w:val="22"/>
        </w:rPr>
        <w:t xml:space="preserve"> polovičnú dávku z dávky u dospelého a deti nad </w:t>
      </w:r>
      <w:smartTag w:uri="urn:schemas-microsoft-com:office:smarttags" w:element="metricconverter">
        <w:smartTagPr>
          <w:attr w:name="ProductID" w:val="40 kg"/>
        </w:smartTagPr>
        <w:r>
          <w:rPr>
            <w:sz w:val="22"/>
            <w:szCs w:val="22"/>
          </w:rPr>
          <w:t>40 kg</w:t>
        </w:r>
      </w:smartTag>
      <w:r>
        <w:rPr>
          <w:sz w:val="22"/>
          <w:szCs w:val="22"/>
        </w:rPr>
        <w:t xml:space="preserve"> môžu užívať normálnu dávku ako u dospelých. </w:t>
      </w:r>
    </w:p>
    <w:p w:rsidR="006E3105" w:rsidRPr="00CE51D7" w:rsidRDefault="006E3105">
      <w:pPr>
        <w:ind w:right="-1"/>
        <w:jc w:val="both"/>
        <w:rPr>
          <w:sz w:val="22"/>
          <w:szCs w:val="22"/>
        </w:rPr>
      </w:pPr>
    </w:p>
    <w:p w:rsidR="00E854F0" w:rsidRPr="00CE51D7" w:rsidRDefault="00587539" w:rsidP="00E854F0">
      <w:pPr>
        <w:ind w:right="-1"/>
        <w:jc w:val="both"/>
        <w:rPr>
          <w:sz w:val="22"/>
          <w:szCs w:val="22"/>
          <w:u w:val="single"/>
        </w:rPr>
      </w:pPr>
      <w:r>
        <w:rPr>
          <w:sz w:val="22"/>
          <w:szCs w:val="22"/>
          <w:u w:val="single"/>
        </w:rPr>
        <w:t>Všeobecné podmienky užívania:</w:t>
      </w:r>
    </w:p>
    <w:p w:rsidR="006E3105" w:rsidRPr="00CE51D7" w:rsidRDefault="00587539">
      <w:pPr>
        <w:ind w:right="-1"/>
        <w:jc w:val="both"/>
        <w:rPr>
          <w:sz w:val="22"/>
          <w:szCs w:val="22"/>
        </w:rPr>
      </w:pPr>
      <w:r>
        <w:rPr>
          <w:sz w:val="22"/>
          <w:szCs w:val="22"/>
        </w:rPr>
        <w:t>Požadované množstvo tabliet sa má užiť 1 hodinu pred jedlom ráno, napoludnie a večer. Tablety sa majú prehltnúť celé a zapiť dostatočným množstvom tekutiny.</w:t>
      </w:r>
    </w:p>
    <w:p w:rsidR="006E3105" w:rsidRPr="00CE51D7" w:rsidRDefault="006E3105">
      <w:pPr>
        <w:ind w:right="-1"/>
        <w:jc w:val="both"/>
        <w:rPr>
          <w:sz w:val="22"/>
          <w:szCs w:val="22"/>
        </w:rPr>
      </w:pPr>
    </w:p>
    <w:p w:rsidR="006E3105" w:rsidRPr="00CE51D7" w:rsidRDefault="00587539">
      <w:pPr>
        <w:pStyle w:val="Zkladntext"/>
        <w:rPr>
          <w:sz w:val="22"/>
          <w:szCs w:val="22"/>
        </w:rPr>
      </w:pPr>
      <w:r>
        <w:rPr>
          <w:sz w:val="22"/>
          <w:szCs w:val="22"/>
        </w:rPr>
        <w:t>Liečba liekmi Salofalk 250 tablety a Salofalk 500 tablety môže byť úspešná, iba ak sa v priebehu akútneho štádia zápalu, aj pri dlhodobom užívaní postupuje pravidelne a dôsledne.</w:t>
      </w:r>
    </w:p>
    <w:p w:rsidR="006E3105" w:rsidRPr="00CE51D7" w:rsidRDefault="006E3105">
      <w:pPr>
        <w:ind w:right="-1"/>
        <w:jc w:val="both"/>
        <w:rPr>
          <w:sz w:val="22"/>
          <w:szCs w:val="22"/>
        </w:rPr>
      </w:pPr>
    </w:p>
    <w:p w:rsidR="006E3105" w:rsidRPr="00CE51D7" w:rsidRDefault="00587539">
      <w:pPr>
        <w:ind w:right="-1"/>
        <w:jc w:val="both"/>
        <w:rPr>
          <w:sz w:val="22"/>
          <w:szCs w:val="22"/>
        </w:rPr>
      </w:pPr>
      <w:r>
        <w:rPr>
          <w:sz w:val="22"/>
          <w:szCs w:val="22"/>
        </w:rPr>
        <w:t>Dĺžka liečby závisí od charakteru, závažnosti a priebehu ochorenia.</w:t>
      </w:r>
    </w:p>
    <w:p w:rsidR="006E3105" w:rsidRPr="00CE51D7" w:rsidRDefault="00587539">
      <w:pPr>
        <w:pStyle w:val="Zkladntext"/>
        <w:rPr>
          <w:sz w:val="22"/>
          <w:szCs w:val="22"/>
        </w:rPr>
      </w:pPr>
      <w:r>
        <w:rPr>
          <w:sz w:val="22"/>
          <w:szCs w:val="22"/>
        </w:rPr>
        <w:t>Akútna epizóda ulceróznej kolitídy alebo Crohnovej choroby obyčajne ustúpi počas 8-12 týždňov. Dlhšie užívanie vysokých dávok nie je efektívne.</w:t>
      </w:r>
    </w:p>
    <w:p w:rsidR="006E3105" w:rsidRPr="00CE51D7" w:rsidRDefault="006E3105">
      <w:pPr>
        <w:pStyle w:val="Zkladntext"/>
        <w:rPr>
          <w:sz w:val="22"/>
          <w:szCs w:val="22"/>
        </w:rPr>
      </w:pPr>
    </w:p>
    <w:p w:rsidR="006E3105" w:rsidRPr="00CE51D7" w:rsidRDefault="00587539">
      <w:pPr>
        <w:ind w:right="-1"/>
        <w:jc w:val="both"/>
        <w:rPr>
          <w:sz w:val="22"/>
          <w:szCs w:val="22"/>
          <w:u w:val="single"/>
        </w:rPr>
      </w:pPr>
      <w:r>
        <w:rPr>
          <w:sz w:val="22"/>
          <w:szCs w:val="22"/>
          <w:u w:val="single"/>
        </w:rPr>
        <w:t>Poznámka:</w:t>
      </w:r>
    </w:p>
    <w:p w:rsidR="006E3105" w:rsidRPr="00CE51D7" w:rsidRDefault="00587539">
      <w:pPr>
        <w:keepNext/>
        <w:suppressAutoHyphens/>
        <w:jc w:val="both"/>
        <w:rPr>
          <w:sz w:val="22"/>
          <w:szCs w:val="22"/>
        </w:rPr>
      </w:pPr>
      <w:r>
        <w:rPr>
          <w:sz w:val="22"/>
          <w:szCs w:val="22"/>
        </w:rPr>
        <w:t>V ojedinelých prípadoch sa u pacientov s čiastočným odstránením čreva, príp. po črevnej operácii v oblasti prechodu medzi tenkým a hrubým črevom (ileocekálna chlopňa) pozorovalo vylučovanie nerozpustených tabliet lieku Salofalk 500 tablety stolicou v dôsledku príliš rýchleho prechodu črevným traktom.</w:t>
      </w:r>
    </w:p>
    <w:p w:rsidR="006E3105" w:rsidRPr="00CE51D7" w:rsidRDefault="006E3105">
      <w:pPr>
        <w:ind w:right="-1"/>
        <w:jc w:val="both"/>
        <w:rPr>
          <w:sz w:val="22"/>
          <w:szCs w:val="22"/>
        </w:rPr>
      </w:pPr>
    </w:p>
    <w:p w:rsidR="006E3105" w:rsidRPr="00CE51D7" w:rsidRDefault="00587539">
      <w:pPr>
        <w:ind w:right="-1"/>
        <w:jc w:val="both"/>
        <w:rPr>
          <w:b/>
          <w:sz w:val="22"/>
          <w:szCs w:val="22"/>
        </w:rPr>
      </w:pPr>
      <w:r>
        <w:rPr>
          <w:b/>
          <w:sz w:val="22"/>
          <w:szCs w:val="22"/>
        </w:rPr>
        <w:t>4.3 Kontraindikácie</w:t>
      </w:r>
    </w:p>
    <w:p w:rsidR="006E3105" w:rsidRPr="00CE51D7" w:rsidRDefault="006E3105">
      <w:pPr>
        <w:ind w:right="-1"/>
        <w:jc w:val="both"/>
        <w:rPr>
          <w:sz w:val="22"/>
          <w:szCs w:val="22"/>
        </w:rPr>
      </w:pPr>
    </w:p>
    <w:p w:rsidR="006E3105" w:rsidRPr="00CE51D7" w:rsidRDefault="00587539">
      <w:pPr>
        <w:ind w:right="-1"/>
        <w:jc w:val="both"/>
        <w:rPr>
          <w:sz w:val="22"/>
          <w:szCs w:val="22"/>
        </w:rPr>
      </w:pPr>
      <w:r>
        <w:rPr>
          <w:sz w:val="22"/>
          <w:szCs w:val="22"/>
        </w:rPr>
        <w:t>Liek Salofalk 500 tablety sa nesmie používať pri:</w:t>
      </w:r>
    </w:p>
    <w:p w:rsidR="006E3105" w:rsidRPr="00CE51D7" w:rsidRDefault="00587539">
      <w:pPr>
        <w:numPr>
          <w:ilvl w:val="0"/>
          <w:numId w:val="1"/>
        </w:numPr>
        <w:tabs>
          <w:tab w:val="clear" w:pos="1770"/>
          <w:tab w:val="num" w:pos="851"/>
        </w:tabs>
        <w:ind w:left="851" w:right="-1"/>
        <w:jc w:val="both"/>
        <w:rPr>
          <w:sz w:val="22"/>
          <w:szCs w:val="22"/>
        </w:rPr>
      </w:pPr>
      <w:r>
        <w:rPr>
          <w:sz w:val="22"/>
          <w:szCs w:val="22"/>
        </w:rPr>
        <w:t>známej precitlivenosti na kyselinu salicylovú, jej deriváty alebo na inú zložku lieku;</w:t>
      </w:r>
    </w:p>
    <w:p w:rsidR="006E3105" w:rsidRPr="00CE51D7" w:rsidRDefault="00587539">
      <w:pPr>
        <w:numPr>
          <w:ilvl w:val="0"/>
          <w:numId w:val="1"/>
        </w:numPr>
        <w:tabs>
          <w:tab w:val="clear" w:pos="1770"/>
          <w:tab w:val="num" w:pos="851"/>
        </w:tabs>
        <w:ind w:left="851" w:right="-1"/>
        <w:jc w:val="both"/>
        <w:rPr>
          <w:sz w:val="22"/>
          <w:szCs w:val="22"/>
        </w:rPr>
      </w:pPr>
      <w:r>
        <w:rPr>
          <w:sz w:val="22"/>
          <w:szCs w:val="22"/>
        </w:rPr>
        <w:t>ťažkých poruchách funkcie pečene a obličiek;</w:t>
      </w:r>
    </w:p>
    <w:p w:rsidR="00C309C6" w:rsidRPr="00CE51D7" w:rsidRDefault="00C309C6" w:rsidP="00C309C6">
      <w:pPr>
        <w:ind w:right="-1"/>
        <w:jc w:val="both"/>
        <w:rPr>
          <w:b/>
          <w:sz w:val="22"/>
          <w:szCs w:val="22"/>
        </w:rPr>
      </w:pPr>
    </w:p>
    <w:p w:rsidR="00C309C6" w:rsidRPr="00CE51D7" w:rsidRDefault="00587539" w:rsidP="00C309C6">
      <w:pPr>
        <w:ind w:right="-1"/>
        <w:jc w:val="both"/>
        <w:rPr>
          <w:b/>
          <w:sz w:val="22"/>
          <w:szCs w:val="22"/>
        </w:rPr>
      </w:pPr>
      <w:r>
        <w:rPr>
          <w:b/>
          <w:sz w:val="22"/>
          <w:szCs w:val="22"/>
        </w:rPr>
        <w:t>4.4 Osobitné upozornenia a opatrenia pri používaní</w:t>
      </w:r>
    </w:p>
    <w:p w:rsidR="00C309C6" w:rsidRPr="00CE51D7" w:rsidRDefault="00C309C6" w:rsidP="00C309C6">
      <w:pPr>
        <w:ind w:right="-1"/>
        <w:jc w:val="both"/>
        <w:rPr>
          <w:sz w:val="22"/>
          <w:szCs w:val="22"/>
        </w:rPr>
      </w:pPr>
    </w:p>
    <w:p w:rsidR="00C309C6" w:rsidRPr="00CE51D7" w:rsidRDefault="00587539" w:rsidP="00C309C6">
      <w:pPr>
        <w:ind w:right="-1"/>
        <w:jc w:val="both"/>
        <w:rPr>
          <w:sz w:val="22"/>
          <w:szCs w:val="22"/>
        </w:rPr>
      </w:pPr>
      <w:r>
        <w:rPr>
          <w:sz w:val="22"/>
          <w:szCs w:val="22"/>
        </w:rPr>
        <w:t>Podľa zváženia ošetrujúceho lekára sa majú urobiť pred liečbou a počas liečby vyšetrenia krvi (diferenciálny krvný obraz; pečeňové funkcie ako ALT alebo AST; sérový kreatinín) a moču (testovacie prúžky / sediment). Kontrolné vyšetrenia sa odporúčajú urobiť 14 dní po začatí liečby, potom ešte 2-krát až 3-krát v intervaloch 4 týždne. Pri normálnych nálezoch sú potrebné ďalšie kontrolné vyšetrenia raz za štvrť roka, pri výskyte ďalších chorobných príznakov okamžite.</w:t>
      </w:r>
    </w:p>
    <w:p w:rsidR="00C309C6" w:rsidRPr="00CE51D7" w:rsidRDefault="00C309C6" w:rsidP="00C309C6">
      <w:pPr>
        <w:ind w:right="-1"/>
        <w:jc w:val="both"/>
        <w:rPr>
          <w:sz w:val="22"/>
          <w:szCs w:val="22"/>
        </w:rPr>
      </w:pPr>
    </w:p>
    <w:p w:rsidR="00C309C6" w:rsidRPr="00CE51D7" w:rsidRDefault="00587539" w:rsidP="00C309C6">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Opatrnosť je nutná u pacientov s pečeňovou dysfunkciou.</w:t>
      </w:r>
    </w:p>
    <w:p w:rsidR="00C309C6" w:rsidRPr="00CE51D7" w:rsidRDefault="00C309C6" w:rsidP="00C309C6">
      <w:pPr>
        <w:pStyle w:val="Zkladntext3"/>
        <w:rPr>
          <w:rFonts w:ascii="Times New Roman" w:hAnsi="Times New Roman" w:cs="Times New Roman"/>
          <w:color w:val="auto"/>
          <w:sz w:val="22"/>
          <w:szCs w:val="22"/>
        </w:rPr>
      </w:pPr>
    </w:p>
    <w:p w:rsidR="00C309C6" w:rsidRPr="00CE51D7" w:rsidRDefault="00587539" w:rsidP="00C309C6">
      <w:pPr>
        <w:pStyle w:val="Zkladntext2"/>
        <w:rPr>
          <w:rFonts w:ascii="Times New Roman" w:hAnsi="Times New Roman" w:cs="Times New Roman"/>
          <w:sz w:val="22"/>
          <w:szCs w:val="22"/>
        </w:rPr>
      </w:pPr>
      <w:r>
        <w:rPr>
          <w:rFonts w:ascii="Times New Roman" w:hAnsi="Times New Roman" w:cs="Times New Roman"/>
          <w:sz w:val="22"/>
          <w:szCs w:val="22"/>
        </w:rPr>
        <w:t>Liek Salofalk 500 tablety nemajú užívať pacienti s renálnou dysfunkciou.</w:t>
      </w:r>
      <w:r>
        <w:rPr>
          <w:rFonts w:ascii="Times New Roman" w:hAnsi="Times New Roman" w:cs="Times New Roman"/>
          <w:position w:val="4"/>
          <w:sz w:val="22"/>
          <w:szCs w:val="22"/>
        </w:rPr>
        <w:t xml:space="preserve"> </w:t>
      </w:r>
      <w:r>
        <w:rPr>
          <w:rFonts w:ascii="Times New Roman" w:hAnsi="Times New Roman" w:cs="Times New Roman"/>
          <w:sz w:val="22"/>
          <w:szCs w:val="22"/>
        </w:rPr>
        <w:t>U pacientov, u ktorých sa počas liečby objaví renálna dysfunkcia, môže ísť o nefrotoxicitu spôsobenú mesalazínom.</w:t>
      </w:r>
    </w:p>
    <w:p w:rsidR="00C309C6" w:rsidRPr="00CE51D7" w:rsidRDefault="00C309C6" w:rsidP="00C309C6">
      <w:pPr>
        <w:pStyle w:val="Zkladntext2"/>
        <w:rPr>
          <w:rFonts w:ascii="Times New Roman" w:hAnsi="Times New Roman" w:cs="Times New Roman"/>
          <w:sz w:val="22"/>
          <w:szCs w:val="22"/>
        </w:rPr>
      </w:pPr>
    </w:p>
    <w:p w:rsidR="00C309C6" w:rsidRPr="00CE51D7" w:rsidRDefault="00587539" w:rsidP="00C309C6">
      <w:pPr>
        <w:ind w:right="-1"/>
        <w:jc w:val="both"/>
        <w:rPr>
          <w:sz w:val="22"/>
          <w:szCs w:val="22"/>
        </w:rPr>
      </w:pPr>
      <w:r>
        <w:rPr>
          <w:sz w:val="22"/>
          <w:szCs w:val="22"/>
        </w:rPr>
        <w:t>Pri poruchách funkcie pľúc, najmä pri bronchiálnej astme, je v priebehu užívania lieku Salofalk 500 tablety  potrebné dôsledné sledovanie.</w:t>
      </w:r>
    </w:p>
    <w:p w:rsidR="00C309C6" w:rsidRPr="00CE51D7" w:rsidRDefault="00587539" w:rsidP="00C309C6">
      <w:pPr>
        <w:ind w:right="-1"/>
        <w:jc w:val="both"/>
        <w:rPr>
          <w:sz w:val="22"/>
          <w:szCs w:val="22"/>
        </w:rPr>
      </w:pPr>
      <w:r>
        <w:rPr>
          <w:sz w:val="22"/>
          <w:szCs w:val="22"/>
        </w:rPr>
        <w:t>U pacientov so známou precitlivenosťou na lieky s obsahom sulfasalazínu sa má liečba liekom Salofalk 500 tablety začať len pod prísnym lekárskym dozorom. Pri výskyte akútnych prejavov intolerancie, napr. brušných kŕčov, akútnych bolestí brucha, horúčky, úporných bolestí hlavy a kožných vyrážok, sa musí liečba okamžite prerušiť.</w:t>
      </w:r>
    </w:p>
    <w:p w:rsidR="00C309C6" w:rsidRPr="00CE51D7" w:rsidRDefault="00C309C6" w:rsidP="00C309C6">
      <w:pPr>
        <w:ind w:right="-1"/>
        <w:jc w:val="both"/>
        <w:rPr>
          <w:sz w:val="22"/>
          <w:szCs w:val="22"/>
        </w:rPr>
      </w:pPr>
    </w:p>
    <w:p w:rsidR="00C309C6" w:rsidRPr="00CE51D7" w:rsidRDefault="00587539" w:rsidP="00C309C6">
      <w:pPr>
        <w:ind w:right="-1"/>
        <w:jc w:val="both"/>
        <w:rPr>
          <w:bCs/>
          <w:caps/>
          <w:sz w:val="22"/>
          <w:szCs w:val="22"/>
        </w:rPr>
      </w:pPr>
      <w:r>
        <w:rPr>
          <w:bCs/>
          <w:sz w:val="22"/>
          <w:szCs w:val="22"/>
        </w:rPr>
        <w:lastRenderedPageBreak/>
        <w:t>Jedna tableta Salofalk 500 tablety obsahuje 2,1 mmol (49 mg) sodíka. Má sa vziať do úvahy u pacientov so zníženou funkc</w:t>
      </w:r>
      <w:r w:rsidR="00CE51D7">
        <w:rPr>
          <w:bCs/>
          <w:sz w:val="22"/>
          <w:szCs w:val="22"/>
        </w:rPr>
        <w:t>i</w:t>
      </w:r>
      <w:r w:rsidR="00C309C6" w:rsidRPr="00CE51D7">
        <w:rPr>
          <w:bCs/>
          <w:sz w:val="22"/>
          <w:szCs w:val="22"/>
        </w:rPr>
        <w:t>ou obličiek alebo u pacientov na diéte s kontrolovaným obsahom sodíka.</w:t>
      </w:r>
    </w:p>
    <w:p w:rsidR="00C309C6" w:rsidRPr="00CE51D7" w:rsidRDefault="00C309C6" w:rsidP="00C309C6">
      <w:pPr>
        <w:ind w:right="-1"/>
        <w:jc w:val="both"/>
        <w:rPr>
          <w:sz w:val="22"/>
          <w:szCs w:val="22"/>
        </w:rPr>
      </w:pPr>
    </w:p>
    <w:p w:rsidR="00C309C6" w:rsidRPr="00CE51D7" w:rsidRDefault="00587539" w:rsidP="00C309C6">
      <w:pPr>
        <w:ind w:right="-1"/>
        <w:jc w:val="both"/>
        <w:rPr>
          <w:b/>
          <w:sz w:val="22"/>
          <w:szCs w:val="22"/>
        </w:rPr>
      </w:pPr>
      <w:r>
        <w:rPr>
          <w:b/>
          <w:sz w:val="22"/>
          <w:szCs w:val="22"/>
        </w:rPr>
        <w:t>4.5 Liekové a iné interakcie</w:t>
      </w:r>
    </w:p>
    <w:p w:rsidR="00C309C6" w:rsidRPr="00CE51D7" w:rsidRDefault="00C309C6" w:rsidP="00C309C6">
      <w:pPr>
        <w:ind w:right="-1"/>
        <w:jc w:val="both"/>
        <w:rPr>
          <w:sz w:val="22"/>
          <w:szCs w:val="22"/>
        </w:rPr>
      </w:pPr>
    </w:p>
    <w:p w:rsidR="00C309C6" w:rsidRPr="00CE51D7" w:rsidRDefault="00587539" w:rsidP="00C309C6">
      <w:pPr>
        <w:pStyle w:val="Zkladntext"/>
        <w:rPr>
          <w:sz w:val="22"/>
          <w:szCs w:val="22"/>
        </w:rPr>
      </w:pPr>
      <w:r>
        <w:rPr>
          <w:sz w:val="22"/>
          <w:szCs w:val="22"/>
        </w:rPr>
        <w:t>Neboli vykonané špecifické štúdie interakcií.</w:t>
      </w:r>
    </w:p>
    <w:p w:rsidR="00C309C6" w:rsidRPr="00CE51D7" w:rsidRDefault="00C309C6" w:rsidP="00C309C6">
      <w:pPr>
        <w:ind w:right="-1"/>
        <w:jc w:val="both"/>
        <w:rPr>
          <w:sz w:val="22"/>
          <w:szCs w:val="22"/>
        </w:rPr>
      </w:pPr>
    </w:p>
    <w:p w:rsidR="00C309C6" w:rsidRPr="00CE51D7" w:rsidRDefault="00587539" w:rsidP="00C309C6">
      <w:pPr>
        <w:pStyle w:val="Zkladntext"/>
        <w:rPr>
          <w:sz w:val="22"/>
          <w:szCs w:val="22"/>
        </w:rPr>
      </w:pPr>
      <w:r>
        <w:rPr>
          <w:sz w:val="22"/>
          <w:szCs w:val="22"/>
        </w:rPr>
        <w:t>U pacientov, ktorí sú súbežne liečení azatioprinom, 6-merkaptopurínom alebo tioguanínom, je potrebné počítať s možným zvýšením myelosupresívneho účinku azatioprinu, 6-merkaptopurínu alebo tioguanínu.</w:t>
      </w:r>
    </w:p>
    <w:p w:rsidR="00C309C6" w:rsidRPr="00CE51D7" w:rsidRDefault="00C309C6" w:rsidP="00C309C6">
      <w:pPr>
        <w:pStyle w:val="Zkladntext"/>
        <w:rPr>
          <w:sz w:val="22"/>
          <w:szCs w:val="22"/>
        </w:rPr>
      </w:pPr>
    </w:p>
    <w:p w:rsidR="00C309C6" w:rsidRPr="00CE51D7" w:rsidRDefault="00587539" w:rsidP="00C309C6">
      <w:pPr>
        <w:pStyle w:val="Zkladntext"/>
        <w:rPr>
          <w:sz w:val="22"/>
          <w:szCs w:val="22"/>
        </w:rPr>
      </w:pPr>
      <w:r>
        <w:rPr>
          <w:sz w:val="22"/>
          <w:szCs w:val="22"/>
        </w:rPr>
        <w:t>Mesalazín môže znížiť antikoagulačný účinok warfarínu.</w:t>
      </w:r>
    </w:p>
    <w:p w:rsidR="00C309C6" w:rsidRPr="00CE51D7" w:rsidRDefault="00C309C6" w:rsidP="00C309C6">
      <w:pPr>
        <w:ind w:right="-1"/>
        <w:jc w:val="both"/>
        <w:rPr>
          <w:sz w:val="22"/>
          <w:szCs w:val="22"/>
        </w:rPr>
      </w:pPr>
    </w:p>
    <w:p w:rsidR="00C309C6" w:rsidRPr="00CE51D7" w:rsidRDefault="00587539" w:rsidP="00C309C6">
      <w:pPr>
        <w:ind w:right="-1"/>
        <w:jc w:val="both"/>
        <w:rPr>
          <w:b/>
          <w:sz w:val="22"/>
          <w:szCs w:val="22"/>
        </w:rPr>
      </w:pPr>
      <w:r>
        <w:rPr>
          <w:b/>
          <w:sz w:val="22"/>
          <w:szCs w:val="22"/>
        </w:rPr>
        <w:t>4.6 Fertilita, gravidita a laktácia</w:t>
      </w:r>
    </w:p>
    <w:p w:rsidR="00C309C6" w:rsidRPr="00CE51D7" w:rsidRDefault="00C309C6" w:rsidP="00C309C6">
      <w:pPr>
        <w:ind w:right="-1"/>
        <w:jc w:val="both"/>
        <w:rPr>
          <w:sz w:val="22"/>
          <w:szCs w:val="22"/>
        </w:rPr>
      </w:pPr>
    </w:p>
    <w:p w:rsidR="007B7BC0" w:rsidRPr="00CE51D7" w:rsidRDefault="00587539" w:rsidP="00C309C6">
      <w:pPr>
        <w:ind w:right="-1"/>
        <w:jc w:val="both"/>
        <w:rPr>
          <w:i/>
          <w:sz w:val="22"/>
          <w:szCs w:val="22"/>
        </w:rPr>
      </w:pPr>
      <w:r>
        <w:rPr>
          <w:i/>
          <w:sz w:val="22"/>
          <w:szCs w:val="22"/>
        </w:rPr>
        <w:t>Gravidita</w:t>
      </w:r>
    </w:p>
    <w:p w:rsidR="00C309C6" w:rsidRPr="00CE51D7" w:rsidRDefault="00587539" w:rsidP="00C309C6">
      <w:pPr>
        <w:ind w:right="-1"/>
        <w:jc w:val="both"/>
        <w:rPr>
          <w:sz w:val="22"/>
          <w:szCs w:val="22"/>
        </w:rPr>
      </w:pPr>
      <w:r>
        <w:rPr>
          <w:sz w:val="22"/>
          <w:szCs w:val="22"/>
        </w:rPr>
        <w:t>O užívaní lieku Salofalk 500 tablety u tehotných žien nie sú dostatočné údaje. U limitovaného počtu tehotných žien, ktoré boli liečené mesalazínom, neboli pozorované žiadne negatívne účinky na priebeh tehotenstva alebo na zdravie plodu a novorodenca. Žiadne relevantné epidemiologické údaje nie sú momentálne dostupné. Objavil sa jeden izolovaný prípad renálneho zlyhania u novorodenca ženy, ktorá počas tehotenstva užívala dlhodobo vysoké dávky mesalazínu (2-4 g/deň p.o.).</w:t>
      </w:r>
    </w:p>
    <w:p w:rsidR="00C309C6" w:rsidRPr="00CE51D7" w:rsidRDefault="00C309C6" w:rsidP="00C309C6">
      <w:pPr>
        <w:ind w:right="-1"/>
        <w:jc w:val="both"/>
        <w:rPr>
          <w:sz w:val="22"/>
          <w:szCs w:val="22"/>
        </w:rPr>
      </w:pPr>
    </w:p>
    <w:p w:rsidR="00C309C6" w:rsidRPr="00CE51D7" w:rsidRDefault="00587539" w:rsidP="00C309C6">
      <w:pPr>
        <w:ind w:right="-1"/>
        <w:jc w:val="both"/>
        <w:rPr>
          <w:sz w:val="22"/>
          <w:szCs w:val="22"/>
        </w:rPr>
      </w:pPr>
      <w:r>
        <w:rPr>
          <w:sz w:val="22"/>
          <w:szCs w:val="22"/>
        </w:rPr>
        <w:t>Štúdie na zvieratách po perorálnom podaní mesalazínu nepreukázali žiadne priame alebo nepriame negatívne účinky na tehotenstvo, embryonálny vývoj, vývoj plodu, pôrod alebo postnatálny vývoj novorodenca.</w:t>
      </w:r>
    </w:p>
    <w:p w:rsidR="00C309C6" w:rsidRPr="00CE51D7" w:rsidRDefault="00C309C6" w:rsidP="00C309C6">
      <w:pPr>
        <w:ind w:right="-1"/>
        <w:jc w:val="both"/>
        <w:rPr>
          <w:sz w:val="22"/>
          <w:szCs w:val="22"/>
        </w:rPr>
      </w:pPr>
    </w:p>
    <w:p w:rsidR="00C309C6" w:rsidRPr="00CE51D7" w:rsidRDefault="00587539" w:rsidP="00C309C6">
      <w:pPr>
        <w:ind w:right="-1"/>
        <w:jc w:val="both"/>
        <w:rPr>
          <w:sz w:val="22"/>
          <w:szCs w:val="22"/>
        </w:rPr>
      </w:pPr>
      <w:r>
        <w:rPr>
          <w:sz w:val="22"/>
          <w:szCs w:val="22"/>
        </w:rPr>
        <w:t>Napriek tomu sa v tehotenstve má liek Salofalk 500 tablety používať iba v prípade, ak prínos významne preváži možné riziko.</w:t>
      </w:r>
    </w:p>
    <w:p w:rsidR="00C309C6" w:rsidRPr="00CE51D7" w:rsidRDefault="00C309C6" w:rsidP="00C309C6">
      <w:pPr>
        <w:ind w:right="-1"/>
        <w:jc w:val="both"/>
        <w:rPr>
          <w:sz w:val="22"/>
          <w:szCs w:val="22"/>
        </w:rPr>
      </w:pPr>
    </w:p>
    <w:p w:rsidR="007B7BC0" w:rsidRPr="00CE51D7" w:rsidRDefault="00587539" w:rsidP="00C309C6">
      <w:pPr>
        <w:ind w:right="-1"/>
        <w:jc w:val="both"/>
        <w:rPr>
          <w:i/>
          <w:sz w:val="22"/>
          <w:szCs w:val="22"/>
        </w:rPr>
      </w:pPr>
      <w:r>
        <w:rPr>
          <w:i/>
          <w:sz w:val="22"/>
          <w:szCs w:val="22"/>
        </w:rPr>
        <w:t>Laktácia</w:t>
      </w:r>
    </w:p>
    <w:p w:rsidR="00C309C6" w:rsidRPr="00CE51D7" w:rsidRDefault="00587539" w:rsidP="00C309C6">
      <w:pPr>
        <w:ind w:right="-1"/>
        <w:jc w:val="both"/>
        <w:rPr>
          <w:sz w:val="22"/>
          <w:szCs w:val="22"/>
        </w:rPr>
      </w:pPr>
      <w:r>
        <w:rPr>
          <w:sz w:val="22"/>
          <w:szCs w:val="22"/>
        </w:rPr>
        <w:t>N-acetyl-5-aminosalicylová kyselina a malé množstvo mesalazínu prechádza do materského mlieka. Zatiaľ chýbajú dostatočné skúsenosti s užívaním lieku počas dojčenia. Nemožno vylúčiť prejavy hypersenzitivity u dieťaťa, ako je napríklad hnačka. Liek Salofalk 500 tablety sa má užívať počas dojčenia iba v prípade, ak prínos významne preváži možné riziko. Ak sa u dojčeného dieťaťa objaví hnačka, má sa dojčenie ukončiť.</w:t>
      </w:r>
    </w:p>
    <w:p w:rsidR="00C309C6" w:rsidRPr="00CE51D7" w:rsidRDefault="00C309C6" w:rsidP="00C309C6">
      <w:pPr>
        <w:ind w:right="-1"/>
        <w:jc w:val="both"/>
        <w:rPr>
          <w:sz w:val="22"/>
          <w:szCs w:val="22"/>
        </w:rPr>
      </w:pPr>
    </w:p>
    <w:p w:rsidR="00C309C6" w:rsidRPr="00CE51D7" w:rsidRDefault="00587539" w:rsidP="00C309C6">
      <w:pPr>
        <w:ind w:right="-1"/>
        <w:jc w:val="both"/>
        <w:rPr>
          <w:b/>
          <w:sz w:val="22"/>
          <w:szCs w:val="22"/>
        </w:rPr>
      </w:pPr>
      <w:r>
        <w:rPr>
          <w:b/>
          <w:sz w:val="22"/>
          <w:szCs w:val="22"/>
        </w:rPr>
        <w:t>4.7 Ovplyvnenie schopnosti viesť vozidlá a obsluhovať stroje</w:t>
      </w:r>
    </w:p>
    <w:p w:rsidR="00C309C6" w:rsidRPr="00CE51D7" w:rsidRDefault="00C309C6" w:rsidP="00C309C6">
      <w:pPr>
        <w:ind w:right="-1"/>
        <w:jc w:val="both"/>
        <w:rPr>
          <w:sz w:val="22"/>
          <w:szCs w:val="22"/>
        </w:rPr>
      </w:pPr>
    </w:p>
    <w:p w:rsidR="00C309C6" w:rsidRPr="00CE51D7" w:rsidRDefault="00587539" w:rsidP="00C309C6">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Neboli pozorované žiadne účinky na schopnosť viesť vozidlá a obsluhovať stroje.</w:t>
      </w:r>
    </w:p>
    <w:p w:rsidR="00C309C6" w:rsidRPr="00CE51D7" w:rsidRDefault="00C309C6" w:rsidP="00C309C6">
      <w:pPr>
        <w:ind w:right="-1"/>
        <w:jc w:val="both"/>
        <w:rPr>
          <w:sz w:val="22"/>
          <w:szCs w:val="22"/>
        </w:rPr>
      </w:pPr>
    </w:p>
    <w:p w:rsidR="00C309C6" w:rsidRPr="00CE51D7" w:rsidRDefault="00587539" w:rsidP="00C309C6">
      <w:pPr>
        <w:ind w:right="-1"/>
        <w:jc w:val="both"/>
        <w:rPr>
          <w:b/>
          <w:sz w:val="22"/>
          <w:szCs w:val="22"/>
        </w:rPr>
      </w:pPr>
      <w:r>
        <w:rPr>
          <w:b/>
          <w:sz w:val="22"/>
          <w:szCs w:val="22"/>
        </w:rPr>
        <w:t>4.8 Nežiaduce účinky</w:t>
      </w:r>
    </w:p>
    <w:p w:rsidR="00C309C6" w:rsidRPr="00CE51D7" w:rsidRDefault="00C309C6" w:rsidP="00C309C6">
      <w:pPr>
        <w:ind w:right="-1"/>
        <w:jc w:val="both"/>
        <w:rPr>
          <w:sz w:val="22"/>
          <w:szCs w:val="22"/>
        </w:rPr>
      </w:pPr>
    </w:p>
    <w:p w:rsidR="00C309C6" w:rsidRPr="00CE51D7" w:rsidRDefault="00587539" w:rsidP="00C309C6">
      <w:pPr>
        <w:rPr>
          <w:b/>
          <w:bCs/>
          <w:sz w:val="22"/>
          <w:szCs w:val="22"/>
        </w:rPr>
      </w:pPr>
      <w:r>
        <w:rPr>
          <w:b/>
          <w:bCs/>
          <w:sz w:val="22"/>
          <w:szCs w:val="22"/>
        </w:rPr>
        <w:t>Počas užívania mesalazínu boli zaznamenané nasledovné nežiaduce účinky:</w:t>
      </w:r>
    </w:p>
    <w:p w:rsidR="00C309C6" w:rsidRPr="00CE51D7" w:rsidRDefault="00C309C6" w:rsidP="00C309C6">
      <w:pPr>
        <w:ind w:right="-1"/>
        <w:jc w:val="both"/>
        <w:rPr>
          <w:sz w:val="22"/>
          <w:szCs w:val="22"/>
        </w:rPr>
      </w:pPr>
    </w:p>
    <w:tbl>
      <w:tblPr>
        <w:tblW w:w="8222" w:type="dxa"/>
        <w:tblInd w:w="108" w:type="dxa"/>
        <w:tblLayout w:type="fixed"/>
        <w:tblLook w:val="0000"/>
      </w:tblPr>
      <w:tblGrid>
        <w:gridCol w:w="3400"/>
        <w:gridCol w:w="2835"/>
        <w:gridCol w:w="1987"/>
      </w:tblGrid>
      <w:tr w:rsidR="00C309C6" w:rsidRPr="00CE51D7" w:rsidTr="00C309C6">
        <w:tc>
          <w:tcPr>
            <w:tcW w:w="3400" w:type="dxa"/>
            <w:tcBorders>
              <w:top w:val="single" w:sz="1" w:space="0" w:color="000000"/>
              <w:left w:val="single" w:sz="1" w:space="0" w:color="000000"/>
              <w:bottom w:val="single" w:sz="1" w:space="0" w:color="000000"/>
            </w:tcBorders>
          </w:tcPr>
          <w:p w:rsidR="00C309C6" w:rsidRPr="00CE51D7" w:rsidRDefault="00587539" w:rsidP="00C309C6">
            <w:pPr>
              <w:pStyle w:val="knZulassung02"/>
              <w:snapToGrid w:val="0"/>
              <w:ind w:left="34"/>
              <w:rPr>
                <w:rFonts w:ascii="Times New Roman" w:eastAsia="Times New Roman" w:hAnsi="Times New Roman" w:cs="Times New Roman"/>
                <w:i/>
                <w:iCs/>
                <w:sz w:val="22"/>
                <w:szCs w:val="22"/>
                <w:lang w:val="sk-SK"/>
              </w:rPr>
            </w:pPr>
            <w:r>
              <w:rPr>
                <w:rFonts w:ascii="Times New Roman" w:eastAsia="Times New Roman" w:hAnsi="Times New Roman" w:cs="Times New Roman"/>
                <w:i/>
                <w:iCs/>
                <w:sz w:val="22"/>
                <w:szCs w:val="22"/>
                <w:lang w:val="sk-SK"/>
              </w:rPr>
              <w:t>Trieda orgánových systémov</w:t>
            </w:r>
          </w:p>
        </w:tc>
        <w:tc>
          <w:tcPr>
            <w:tcW w:w="4822" w:type="dxa"/>
            <w:gridSpan w:val="2"/>
            <w:tcBorders>
              <w:top w:val="single" w:sz="1" w:space="0" w:color="000000"/>
              <w:left w:val="single" w:sz="1" w:space="0" w:color="000000"/>
              <w:bottom w:val="single" w:sz="1" w:space="0" w:color="000000"/>
              <w:right w:val="single" w:sz="1" w:space="0" w:color="000000"/>
            </w:tcBorders>
          </w:tcPr>
          <w:p w:rsidR="00C309C6" w:rsidRPr="00CE51D7" w:rsidRDefault="00587539" w:rsidP="00C309C6">
            <w:pPr>
              <w:pStyle w:val="knZulassung02"/>
              <w:snapToGrid w:val="0"/>
              <w:spacing w:after="200" w:line="276" w:lineRule="auto"/>
              <w:ind w:left="34"/>
              <w:jc w:val="both"/>
              <w:rPr>
                <w:rFonts w:ascii="Times New Roman" w:eastAsia="Times New Roman" w:hAnsi="Times New Roman" w:cs="Times New Roman"/>
                <w:i/>
                <w:iCs/>
                <w:sz w:val="22"/>
                <w:szCs w:val="22"/>
                <w:lang w:val="sk-SK"/>
              </w:rPr>
            </w:pPr>
            <w:r>
              <w:rPr>
                <w:rFonts w:ascii="Times New Roman" w:eastAsia="Times New Roman" w:hAnsi="Times New Roman" w:cs="Times New Roman"/>
                <w:i/>
                <w:iCs/>
                <w:sz w:val="22"/>
                <w:szCs w:val="22"/>
                <w:lang w:val="sk-SK"/>
              </w:rPr>
              <w:t xml:space="preserve">frekvencia podľa konvencií MedDRA </w:t>
            </w:r>
          </w:p>
        </w:tc>
      </w:tr>
      <w:tr w:rsidR="00C309C6" w:rsidRPr="00CE51D7" w:rsidTr="00C309C6">
        <w:tc>
          <w:tcPr>
            <w:tcW w:w="3400" w:type="dxa"/>
            <w:tcBorders>
              <w:top w:val="single" w:sz="1" w:space="0" w:color="000000"/>
              <w:left w:val="single" w:sz="1" w:space="0" w:color="000000"/>
              <w:bottom w:val="single" w:sz="1" w:space="0" w:color="000000"/>
            </w:tcBorders>
          </w:tcPr>
          <w:p w:rsidR="00C309C6" w:rsidRPr="00CE51D7" w:rsidRDefault="00C309C6" w:rsidP="00C309C6">
            <w:pPr>
              <w:pStyle w:val="knZulassung02"/>
              <w:snapToGrid w:val="0"/>
              <w:ind w:left="34"/>
              <w:jc w:val="both"/>
              <w:rPr>
                <w:rFonts w:ascii="Times New Roman" w:eastAsia="Times New Roman" w:hAnsi="Times New Roman" w:cs="Times New Roman"/>
                <w:i/>
                <w:iCs/>
                <w:sz w:val="22"/>
                <w:szCs w:val="22"/>
                <w:lang w:val="sk-SK"/>
              </w:rPr>
            </w:pPr>
          </w:p>
        </w:tc>
        <w:tc>
          <w:tcPr>
            <w:tcW w:w="2835" w:type="dxa"/>
            <w:tcBorders>
              <w:top w:val="single" w:sz="1" w:space="0" w:color="000000"/>
              <w:left w:val="single" w:sz="1" w:space="0" w:color="000000"/>
              <w:bottom w:val="single" w:sz="1" w:space="0" w:color="000000"/>
            </w:tcBorders>
          </w:tcPr>
          <w:p w:rsidR="00C309C6" w:rsidRPr="00CE51D7" w:rsidRDefault="00587539" w:rsidP="00C309C6">
            <w:pPr>
              <w:pStyle w:val="knZulassung02"/>
              <w:snapToGrid w:val="0"/>
              <w:ind w:left="34"/>
              <w:jc w:val="both"/>
              <w:rPr>
                <w:rFonts w:ascii="Times New Roman" w:eastAsia="Times New Roman" w:hAnsi="Times New Roman" w:cs="Times New Roman"/>
                <w:i/>
                <w:iCs/>
                <w:sz w:val="22"/>
                <w:szCs w:val="22"/>
                <w:lang w:val="sk-SK"/>
              </w:rPr>
            </w:pPr>
            <w:r>
              <w:rPr>
                <w:rFonts w:ascii="Times New Roman" w:eastAsia="Times New Roman" w:hAnsi="Times New Roman" w:cs="Times New Roman"/>
                <w:i/>
                <w:iCs/>
                <w:sz w:val="22"/>
                <w:szCs w:val="22"/>
                <w:lang w:val="sk-SK"/>
              </w:rPr>
              <w:t>zriedkavé</w:t>
            </w:r>
          </w:p>
          <w:p w:rsidR="00C309C6" w:rsidRPr="00CE51D7" w:rsidRDefault="00587539" w:rsidP="00C309C6">
            <w:pPr>
              <w:pStyle w:val="knZulassung02"/>
              <w:ind w:left="34"/>
              <w:jc w:val="both"/>
              <w:rPr>
                <w:rFonts w:ascii="Times New Roman" w:eastAsia="Times New Roman" w:hAnsi="Times New Roman" w:cs="Times New Roman"/>
                <w:i/>
                <w:iCs/>
                <w:sz w:val="22"/>
                <w:szCs w:val="22"/>
                <w:lang w:val="sk-SK"/>
              </w:rPr>
            </w:pPr>
            <w:r>
              <w:rPr>
                <w:rFonts w:ascii="Times New Roman" w:eastAsia="Times New Roman" w:hAnsi="Times New Roman" w:cs="Times New Roman"/>
                <w:i/>
                <w:iCs/>
                <w:sz w:val="22"/>
                <w:szCs w:val="22"/>
                <w:lang w:val="sk-SK"/>
              </w:rPr>
              <w:t>(≥ 1/10 000;  &lt;1/1 000)</w:t>
            </w:r>
          </w:p>
        </w:tc>
        <w:tc>
          <w:tcPr>
            <w:tcW w:w="1987" w:type="dxa"/>
            <w:tcBorders>
              <w:top w:val="single" w:sz="1" w:space="0" w:color="000000"/>
              <w:left w:val="single" w:sz="1" w:space="0" w:color="000000"/>
              <w:bottom w:val="single" w:sz="1" w:space="0" w:color="000000"/>
              <w:right w:val="single" w:sz="1" w:space="0" w:color="000000"/>
            </w:tcBorders>
          </w:tcPr>
          <w:p w:rsidR="00C309C6" w:rsidRPr="00CE51D7" w:rsidRDefault="00587539" w:rsidP="00C309C6">
            <w:pPr>
              <w:pStyle w:val="knZulassung02"/>
              <w:snapToGrid w:val="0"/>
              <w:ind w:left="34"/>
              <w:jc w:val="both"/>
              <w:rPr>
                <w:rFonts w:ascii="Times New Roman" w:eastAsia="Times New Roman" w:hAnsi="Times New Roman" w:cs="Times New Roman"/>
                <w:i/>
                <w:iCs/>
                <w:sz w:val="22"/>
                <w:szCs w:val="22"/>
                <w:lang w:val="sk-SK"/>
              </w:rPr>
            </w:pPr>
            <w:r>
              <w:rPr>
                <w:rFonts w:ascii="Times New Roman" w:eastAsia="Times New Roman" w:hAnsi="Times New Roman" w:cs="Times New Roman"/>
                <w:i/>
                <w:iCs/>
                <w:sz w:val="22"/>
                <w:szCs w:val="22"/>
                <w:lang w:val="sk-SK"/>
              </w:rPr>
              <w:t>veľmi zriedkavé</w:t>
            </w:r>
          </w:p>
          <w:p w:rsidR="00C309C6" w:rsidRPr="00CE51D7" w:rsidRDefault="00587539" w:rsidP="00C309C6">
            <w:pPr>
              <w:pStyle w:val="knZulassung02"/>
              <w:spacing w:after="200" w:line="276" w:lineRule="auto"/>
              <w:ind w:left="34"/>
              <w:rPr>
                <w:rFonts w:ascii="Times New Roman" w:eastAsia="Times New Roman" w:hAnsi="Times New Roman" w:cs="Times New Roman"/>
                <w:i/>
                <w:iCs/>
                <w:sz w:val="22"/>
                <w:szCs w:val="22"/>
                <w:lang w:val="sk-SK"/>
              </w:rPr>
            </w:pPr>
            <w:r>
              <w:rPr>
                <w:rFonts w:ascii="Times New Roman" w:eastAsia="Times New Roman" w:hAnsi="Times New Roman" w:cs="Times New Roman"/>
                <w:i/>
                <w:iCs/>
                <w:sz w:val="22"/>
                <w:szCs w:val="22"/>
                <w:lang w:val="sk-SK"/>
              </w:rPr>
              <w:t xml:space="preserve"> (&lt; 1/ 10 000)</w:t>
            </w:r>
          </w:p>
        </w:tc>
      </w:tr>
      <w:tr w:rsidR="00C309C6" w:rsidRPr="00CE51D7" w:rsidTr="00C309C6">
        <w:tc>
          <w:tcPr>
            <w:tcW w:w="3400" w:type="dxa"/>
            <w:tcBorders>
              <w:top w:val="single" w:sz="1" w:space="0" w:color="000000"/>
              <w:left w:val="single" w:sz="1" w:space="0" w:color="000000"/>
              <w:bottom w:val="single" w:sz="1" w:space="0" w:color="000000"/>
            </w:tcBorders>
          </w:tcPr>
          <w:p w:rsidR="00C309C6" w:rsidRPr="00CE51D7" w:rsidRDefault="00C309C6" w:rsidP="00C309C6">
            <w:pPr>
              <w:pStyle w:val="knZulassung02"/>
              <w:snapToGrid w:val="0"/>
              <w:ind w:left="34"/>
              <w:rPr>
                <w:rFonts w:ascii="Times New Roman" w:eastAsia="Times New Roman" w:hAnsi="Times New Roman" w:cs="Times New Roman"/>
                <w:sz w:val="22"/>
                <w:szCs w:val="22"/>
                <w:lang w:val="sk-SK"/>
              </w:rPr>
            </w:pPr>
            <w:r w:rsidRPr="00CE51D7">
              <w:rPr>
                <w:rFonts w:ascii="Times New Roman" w:eastAsia="Times New Roman" w:hAnsi="Times New Roman" w:cs="Times New Roman"/>
                <w:sz w:val="22"/>
                <w:szCs w:val="22"/>
                <w:lang w:val="sk-SK"/>
              </w:rPr>
              <w:t>Ochorenia krvi a lymfatického systému</w:t>
            </w:r>
          </w:p>
        </w:tc>
        <w:tc>
          <w:tcPr>
            <w:tcW w:w="2835" w:type="dxa"/>
            <w:tcBorders>
              <w:top w:val="single" w:sz="1" w:space="0" w:color="000000"/>
              <w:left w:val="single" w:sz="1" w:space="0" w:color="000000"/>
              <w:bottom w:val="single" w:sz="1" w:space="0" w:color="000000"/>
            </w:tcBorders>
          </w:tcPr>
          <w:p w:rsidR="00C309C6" w:rsidRPr="00CE51D7" w:rsidRDefault="00C309C6" w:rsidP="00C309C6">
            <w:pPr>
              <w:pStyle w:val="knZulassung02"/>
              <w:snapToGrid w:val="0"/>
              <w:ind w:left="34"/>
              <w:jc w:val="both"/>
              <w:rPr>
                <w:rFonts w:ascii="Times New Roman" w:eastAsia="Times New Roman" w:hAnsi="Times New Roman" w:cs="Times New Roman"/>
                <w:sz w:val="22"/>
                <w:szCs w:val="22"/>
                <w:lang w:val="sk-SK"/>
              </w:rPr>
            </w:pPr>
          </w:p>
        </w:tc>
        <w:tc>
          <w:tcPr>
            <w:tcW w:w="1987" w:type="dxa"/>
            <w:tcBorders>
              <w:top w:val="single" w:sz="1" w:space="0" w:color="000000"/>
              <w:left w:val="single" w:sz="1" w:space="0" w:color="000000"/>
              <w:bottom w:val="single" w:sz="1" w:space="0" w:color="000000"/>
              <w:right w:val="single" w:sz="1" w:space="0" w:color="000000"/>
            </w:tcBorders>
          </w:tcPr>
          <w:p w:rsidR="00C309C6" w:rsidRPr="00CE51D7" w:rsidRDefault="00587539" w:rsidP="00C309C6">
            <w:pPr>
              <w:pStyle w:val="knZulassung02"/>
              <w:snapToGrid w:val="0"/>
              <w:spacing w:after="200" w:line="276" w:lineRule="auto"/>
              <w:ind w:left="34"/>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 xml:space="preserve">Zmeny v počte krviniek (aplastická anémia, </w:t>
            </w:r>
            <w:r>
              <w:rPr>
                <w:rFonts w:ascii="Times New Roman" w:eastAsia="Times New Roman" w:hAnsi="Times New Roman" w:cs="Times New Roman"/>
                <w:sz w:val="22"/>
                <w:szCs w:val="22"/>
                <w:lang w:val="sk-SK"/>
              </w:rPr>
              <w:lastRenderedPageBreak/>
              <w:t>agranulocytóza, pancytopénia, neutropénia, leukopénia, trombocytopénia)</w:t>
            </w:r>
          </w:p>
        </w:tc>
      </w:tr>
      <w:tr w:rsidR="00C309C6" w:rsidRPr="00CE51D7" w:rsidTr="00C309C6">
        <w:tc>
          <w:tcPr>
            <w:tcW w:w="3400" w:type="dxa"/>
            <w:tcBorders>
              <w:top w:val="single" w:sz="1" w:space="0" w:color="000000"/>
              <w:left w:val="single" w:sz="1" w:space="0" w:color="000000"/>
              <w:bottom w:val="single" w:sz="1" w:space="0" w:color="000000"/>
            </w:tcBorders>
          </w:tcPr>
          <w:p w:rsidR="00C309C6" w:rsidRPr="00CE51D7" w:rsidRDefault="00C309C6" w:rsidP="00C309C6">
            <w:pPr>
              <w:pStyle w:val="knZulassung02"/>
              <w:snapToGrid w:val="0"/>
              <w:ind w:left="34"/>
              <w:rPr>
                <w:rFonts w:ascii="Times New Roman" w:eastAsia="Times New Roman" w:hAnsi="Times New Roman" w:cs="Times New Roman"/>
                <w:sz w:val="22"/>
                <w:szCs w:val="22"/>
                <w:lang w:val="sk-SK"/>
              </w:rPr>
            </w:pPr>
            <w:r w:rsidRPr="00CE51D7">
              <w:rPr>
                <w:rFonts w:ascii="Times New Roman" w:eastAsia="Times New Roman" w:hAnsi="Times New Roman" w:cs="Times New Roman"/>
                <w:sz w:val="22"/>
                <w:szCs w:val="22"/>
                <w:lang w:val="sk-SK"/>
              </w:rPr>
              <w:lastRenderedPageBreak/>
              <w:t>Poruchy nervového systému</w:t>
            </w:r>
          </w:p>
        </w:tc>
        <w:tc>
          <w:tcPr>
            <w:tcW w:w="2835" w:type="dxa"/>
            <w:tcBorders>
              <w:top w:val="single" w:sz="1" w:space="0" w:color="000000"/>
              <w:left w:val="single" w:sz="1" w:space="0" w:color="000000"/>
              <w:bottom w:val="single" w:sz="1" w:space="0" w:color="000000"/>
            </w:tcBorders>
          </w:tcPr>
          <w:p w:rsidR="00C309C6" w:rsidRPr="00CE51D7" w:rsidRDefault="00587539" w:rsidP="00C309C6">
            <w:pPr>
              <w:pStyle w:val="knZulassung02"/>
              <w:snapToGrid w:val="0"/>
              <w:ind w:left="34"/>
              <w:jc w:val="both"/>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Bolesti hlavy, závraty</w:t>
            </w:r>
          </w:p>
        </w:tc>
        <w:tc>
          <w:tcPr>
            <w:tcW w:w="1987" w:type="dxa"/>
            <w:tcBorders>
              <w:top w:val="single" w:sz="1" w:space="0" w:color="000000"/>
              <w:left w:val="single" w:sz="1" w:space="0" w:color="000000"/>
              <w:bottom w:val="single" w:sz="1" w:space="0" w:color="000000"/>
              <w:right w:val="single" w:sz="1" w:space="0" w:color="000000"/>
            </w:tcBorders>
          </w:tcPr>
          <w:p w:rsidR="00C309C6" w:rsidRPr="00CE51D7" w:rsidRDefault="00587539" w:rsidP="00C309C6">
            <w:pPr>
              <w:pStyle w:val="knZulassung02"/>
              <w:snapToGrid w:val="0"/>
              <w:spacing w:after="200" w:line="276" w:lineRule="auto"/>
              <w:ind w:left="0"/>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periférna neuropatia</w:t>
            </w:r>
          </w:p>
        </w:tc>
      </w:tr>
      <w:tr w:rsidR="00C309C6" w:rsidRPr="00CE51D7" w:rsidTr="00C309C6">
        <w:tc>
          <w:tcPr>
            <w:tcW w:w="3400" w:type="dxa"/>
            <w:tcBorders>
              <w:top w:val="single" w:sz="1" w:space="0" w:color="000000"/>
              <w:left w:val="single" w:sz="1" w:space="0" w:color="000000"/>
              <w:bottom w:val="single" w:sz="1" w:space="0" w:color="000000"/>
            </w:tcBorders>
          </w:tcPr>
          <w:p w:rsidR="00C309C6" w:rsidRPr="00CE51D7" w:rsidRDefault="00C309C6" w:rsidP="00C309C6">
            <w:pPr>
              <w:pStyle w:val="knZulassung02"/>
              <w:snapToGrid w:val="0"/>
              <w:ind w:left="34"/>
              <w:rPr>
                <w:rFonts w:ascii="Times New Roman" w:eastAsia="Times New Roman" w:hAnsi="Times New Roman" w:cs="Times New Roman"/>
                <w:sz w:val="22"/>
                <w:szCs w:val="22"/>
                <w:lang w:val="sk-SK"/>
              </w:rPr>
            </w:pPr>
            <w:r w:rsidRPr="00CE51D7">
              <w:rPr>
                <w:rFonts w:ascii="Times New Roman" w:eastAsia="Times New Roman" w:hAnsi="Times New Roman" w:cs="Times New Roman"/>
                <w:sz w:val="22"/>
                <w:szCs w:val="22"/>
                <w:lang w:val="sk-SK"/>
              </w:rPr>
              <w:t>Poruchy srdca a srdcovej činnosti</w:t>
            </w:r>
          </w:p>
        </w:tc>
        <w:tc>
          <w:tcPr>
            <w:tcW w:w="2835" w:type="dxa"/>
            <w:tcBorders>
              <w:top w:val="single" w:sz="1" w:space="0" w:color="000000"/>
              <w:left w:val="single" w:sz="1" w:space="0" w:color="000000"/>
              <w:bottom w:val="single" w:sz="1" w:space="0" w:color="000000"/>
            </w:tcBorders>
          </w:tcPr>
          <w:p w:rsidR="00C309C6" w:rsidRPr="00CE51D7" w:rsidRDefault="00587539" w:rsidP="00C309C6">
            <w:pPr>
              <w:pStyle w:val="knZulassung02"/>
              <w:snapToGrid w:val="0"/>
              <w:ind w:left="34"/>
              <w:jc w:val="both"/>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Zápal srdcového svalu</w:t>
            </w:r>
          </w:p>
          <w:p w:rsidR="00C309C6" w:rsidRPr="00CE51D7" w:rsidRDefault="00587539" w:rsidP="00C309C6">
            <w:pPr>
              <w:pStyle w:val="knZulassung02"/>
              <w:snapToGrid w:val="0"/>
              <w:ind w:left="34"/>
              <w:jc w:val="both"/>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Zápal osrdcovníka</w:t>
            </w:r>
          </w:p>
        </w:tc>
        <w:tc>
          <w:tcPr>
            <w:tcW w:w="1987" w:type="dxa"/>
            <w:tcBorders>
              <w:top w:val="single" w:sz="1" w:space="0" w:color="000000"/>
              <w:left w:val="single" w:sz="1" w:space="0" w:color="000000"/>
              <w:bottom w:val="single" w:sz="1" w:space="0" w:color="000000"/>
              <w:right w:val="single" w:sz="1" w:space="0" w:color="000000"/>
            </w:tcBorders>
          </w:tcPr>
          <w:p w:rsidR="00C309C6" w:rsidRPr="00CE51D7" w:rsidRDefault="00C309C6" w:rsidP="00C309C6">
            <w:pPr>
              <w:pStyle w:val="knZulassung02"/>
              <w:snapToGrid w:val="0"/>
              <w:spacing w:after="200" w:line="276" w:lineRule="auto"/>
              <w:ind w:left="0"/>
              <w:rPr>
                <w:rFonts w:ascii="Times New Roman" w:eastAsia="Times New Roman" w:hAnsi="Times New Roman" w:cs="Times New Roman"/>
                <w:sz w:val="22"/>
                <w:szCs w:val="22"/>
                <w:lang w:val="sk-SK"/>
              </w:rPr>
            </w:pPr>
          </w:p>
        </w:tc>
      </w:tr>
      <w:tr w:rsidR="00C309C6" w:rsidRPr="00CE51D7" w:rsidTr="00C309C6">
        <w:tc>
          <w:tcPr>
            <w:tcW w:w="3400" w:type="dxa"/>
            <w:tcBorders>
              <w:top w:val="single" w:sz="1" w:space="0" w:color="000000"/>
              <w:left w:val="single" w:sz="1" w:space="0" w:color="000000"/>
              <w:bottom w:val="single" w:sz="1" w:space="0" w:color="000000"/>
            </w:tcBorders>
          </w:tcPr>
          <w:p w:rsidR="00C309C6" w:rsidRPr="00CE51D7" w:rsidRDefault="00C309C6" w:rsidP="00C309C6">
            <w:pPr>
              <w:pStyle w:val="knZulassung02"/>
              <w:snapToGrid w:val="0"/>
              <w:ind w:left="34"/>
              <w:rPr>
                <w:rFonts w:ascii="Times New Roman" w:eastAsia="Times New Roman" w:hAnsi="Times New Roman" w:cs="Times New Roman"/>
                <w:sz w:val="22"/>
                <w:szCs w:val="22"/>
                <w:lang w:val="sk-SK"/>
              </w:rPr>
            </w:pPr>
            <w:r w:rsidRPr="00CE51D7">
              <w:rPr>
                <w:rFonts w:ascii="Times New Roman" w:eastAsia="Times New Roman" w:hAnsi="Times New Roman" w:cs="Times New Roman"/>
                <w:sz w:val="22"/>
                <w:szCs w:val="22"/>
                <w:lang w:val="sk-SK"/>
              </w:rPr>
              <w:t>Poruchy dýchacej sústavy, hrudníka a mediast</w:t>
            </w:r>
            <w:r w:rsidR="00975EAA">
              <w:rPr>
                <w:rFonts w:ascii="Times New Roman" w:eastAsia="Times New Roman" w:hAnsi="Times New Roman" w:cs="Times New Roman"/>
                <w:sz w:val="22"/>
                <w:szCs w:val="22"/>
                <w:lang w:val="sk-SK"/>
              </w:rPr>
              <w:t>í</w:t>
            </w:r>
            <w:r w:rsidRPr="00CE51D7">
              <w:rPr>
                <w:rFonts w:ascii="Times New Roman" w:eastAsia="Times New Roman" w:hAnsi="Times New Roman" w:cs="Times New Roman"/>
                <w:sz w:val="22"/>
                <w:szCs w:val="22"/>
                <w:lang w:val="sk-SK"/>
              </w:rPr>
              <w:t xml:space="preserve">na </w:t>
            </w:r>
          </w:p>
          <w:p w:rsidR="00C309C6" w:rsidRPr="00CE51D7" w:rsidRDefault="00587539" w:rsidP="00C309C6">
            <w:pPr>
              <w:pStyle w:val="knZulassung02"/>
              <w:snapToGrid w:val="0"/>
              <w:ind w:left="34"/>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(medzip</w:t>
            </w:r>
            <w:r w:rsidR="00975EAA">
              <w:rPr>
                <w:rFonts w:ascii="Times New Roman" w:eastAsia="Times New Roman" w:hAnsi="Times New Roman" w:cs="Times New Roman"/>
                <w:sz w:val="22"/>
                <w:szCs w:val="22"/>
                <w:lang w:val="sk-SK"/>
              </w:rPr>
              <w:t>ľ</w:t>
            </w:r>
            <w:r>
              <w:rPr>
                <w:rFonts w:ascii="Times New Roman" w:eastAsia="Times New Roman" w:hAnsi="Times New Roman" w:cs="Times New Roman"/>
                <w:sz w:val="22"/>
                <w:szCs w:val="22"/>
                <w:lang w:val="sk-SK"/>
              </w:rPr>
              <w:t>úcia)</w:t>
            </w:r>
          </w:p>
        </w:tc>
        <w:tc>
          <w:tcPr>
            <w:tcW w:w="2835" w:type="dxa"/>
            <w:tcBorders>
              <w:top w:val="single" w:sz="1" w:space="0" w:color="000000"/>
              <w:left w:val="single" w:sz="1" w:space="0" w:color="000000"/>
              <w:bottom w:val="single" w:sz="1" w:space="0" w:color="000000"/>
            </w:tcBorders>
          </w:tcPr>
          <w:p w:rsidR="00C309C6" w:rsidRPr="00CE51D7" w:rsidRDefault="00C309C6" w:rsidP="00C309C6">
            <w:pPr>
              <w:pStyle w:val="knZulassung02"/>
              <w:snapToGrid w:val="0"/>
              <w:ind w:left="34"/>
              <w:jc w:val="both"/>
              <w:rPr>
                <w:rFonts w:ascii="Times New Roman" w:eastAsia="Times New Roman" w:hAnsi="Times New Roman" w:cs="Times New Roman"/>
                <w:sz w:val="22"/>
                <w:szCs w:val="22"/>
                <w:lang w:val="sk-SK"/>
              </w:rPr>
            </w:pPr>
          </w:p>
        </w:tc>
        <w:tc>
          <w:tcPr>
            <w:tcW w:w="1987" w:type="dxa"/>
            <w:tcBorders>
              <w:top w:val="single" w:sz="1" w:space="0" w:color="000000"/>
              <w:left w:val="single" w:sz="1" w:space="0" w:color="000000"/>
              <w:bottom w:val="single" w:sz="1" w:space="0" w:color="000000"/>
              <w:right w:val="single" w:sz="1" w:space="0" w:color="000000"/>
            </w:tcBorders>
          </w:tcPr>
          <w:p w:rsidR="00C309C6" w:rsidRPr="00CE51D7" w:rsidRDefault="00587539" w:rsidP="00C309C6">
            <w:pPr>
              <w:pStyle w:val="knZulassung02"/>
              <w:snapToGrid w:val="0"/>
              <w:spacing w:after="200" w:line="276" w:lineRule="auto"/>
              <w:ind w:left="0"/>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Alergická a fibrotická  pľúcna reakcia (vrátane dýchavičnosti, kašľu, bronchospasmu, alveolitída, pľúcnej eozinofílie, pľúcnej infiltrácie, zápalu pľúc).</w:t>
            </w:r>
          </w:p>
        </w:tc>
      </w:tr>
      <w:tr w:rsidR="00C309C6" w:rsidRPr="00CE51D7" w:rsidTr="00C309C6">
        <w:tc>
          <w:tcPr>
            <w:tcW w:w="3400" w:type="dxa"/>
            <w:tcBorders>
              <w:top w:val="single" w:sz="1" w:space="0" w:color="000000"/>
              <w:left w:val="single" w:sz="1" w:space="0" w:color="000000"/>
              <w:bottom w:val="single" w:sz="1" w:space="0" w:color="000000"/>
            </w:tcBorders>
          </w:tcPr>
          <w:p w:rsidR="00C309C6" w:rsidRPr="00CE51D7" w:rsidRDefault="00C309C6" w:rsidP="00C309C6">
            <w:pPr>
              <w:pStyle w:val="knZulassung02"/>
              <w:snapToGrid w:val="0"/>
              <w:ind w:left="34"/>
              <w:rPr>
                <w:rFonts w:ascii="Times New Roman" w:eastAsia="Times New Roman" w:hAnsi="Times New Roman" w:cs="Times New Roman"/>
                <w:sz w:val="22"/>
                <w:szCs w:val="22"/>
                <w:lang w:val="sk-SK"/>
              </w:rPr>
            </w:pPr>
            <w:r w:rsidRPr="00CE51D7">
              <w:rPr>
                <w:rFonts w:ascii="Times New Roman" w:eastAsia="Times New Roman" w:hAnsi="Times New Roman" w:cs="Times New Roman"/>
                <w:sz w:val="22"/>
                <w:szCs w:val="22"/>
                <w:lang w:val="sk-SK"/>
              </w:rPr>
              <w:t>Poruchy a ochorenia gastrointestinálneho traktu</w:t>
            </w:r>
          </w:p>
        </w:tc>
        <w:tc>
          <w:tcPr>
            <w:tcW w:w="2835" w:type="dxa"/>
            <w:tcBorders>
              <w:top w:val="single" w:sz="1" w:space="0" w:color="000000"/>
              <w:left w:val="single" w:sz="1" w:space="0" w:color="000000"/>
              <w:bottom w:val="single" w:sz="1" w:space="0" w:color="000000"/>
            </w:tcBorders>
          </w:tcPr>
          <w:p w:rsidR="00C309C6" w:rsidRPr="00CE51D7" w:rsidRDefault="00587539" w:rsidP="00C309C6">
            <w:pPr>
              <w:pStyle w:val="Normlnysozarkami1"/>
              <w:autoSpaceDE w:val="0"/>
              <w:snapToGrid w:val="0"/>
              <w:ind w:left="34"/>
              <w:rPr>
                <w:lang w:val="sk-SK"/>
              </w:rPr>
            </w:pPr>
            <w:r w:rsidRPr="00587539">
              <w:rPr>
                <w:lang w:val="sk-SK"/>
              </w:rPr>
              <w:t>Bolesti brucha, hnačka, plynatosť, napínanie na vracanie, vracanie, zápcha</w:t>
            </w:r>
          </w:p>
        </w:tc>
        <w:tc>
          <w:tcPr>
            <w:tcW w:w="1987" w:type="dxa"/>
            <w:tcBorders>
              <w:top w:val="single" w:sz="1" w:space="0" w:color="000000"/>
              <w:left w:val="single" w:sz="1" w:space="0" w:color="000000"/>
              <w:bottom w:val="single" w:sz="1" w:space="0" w:color="000000"/>
              <w:right w:val="single" w:sz="1" w:space="0" w:color="000000"/>
            </w:tcBorders>
          </w:tcPr>
          <w:p w:rsidR="00C309C6" w:rsidRPr="00CE51D7" w:rsidRDefault="00587539" w:rsidP="00C309C6">
            <w:pPr>
              <w:snapToGrid w:val="0"/>
              <w:spacing w:after="200" w:line="276" w:lineRule="auto"/>
              <w:rPr>
                <w:iCs/>
                <w:sz w:val="22"/>
                <w:szCs w:val="22"/>
              </w:rPr>
            </w:pPr>
            <w:r>
              <w:rPr>
                <w:iCs/>
                <w:sz w:val="22"/>
                <w:szCs w:val="22"/>
              </w:rPr>
              <w:t>Akútny zápal slinivky brušnej</w:t>
            </w:r>
          </w:p>
        </w:tc>
      </w:tr>
      <w:tr w:rsidR="00C309C6" w:rsidRPr="00CE51D7" w:rsidTr="00C309C6">
        <w:tc>
          <w:tcPr>
            <w:tcW w:w="3400" w:type="dxa"/>
            <w:tcBorders>
              <w:top w:val="single" w:sz="1" w:space="0" w:color="000000"/>
              <w:left w:val="single" w:sz="1" w:space="0" w:color="000000"/>
              <w:bottom w:val="single" w:sz="1" w:space="0" w:color="000000"/>
            </w:tcBorders>
          </w:tcPr>
          <w:p w:rsidR="00C309C6" w:rsidRPr="00CE51D7" w:rsidRDefault="00C309C6" w:rsidP="00C309C6">
            <w:pPr>
              <w:pStyle w:val="knZulassung02"/>
              <w:snapToGrid w:val="0"/>
              <w:ind w:left="34"/>
              <w:rPr>
                <w:rFonts w:ascii="Times New Roman" w:eastAsia="Times New Roman" w:hAnsi="Times New Roman" w:cs="Times New Roman"/>
                <w:sz w:val="22"/>
                <w:szCs w:val="22"/>
                <w:lang w:val="sk-SK"/>
              </w:rPr>
            </w:pPr>
            <w:r w:rsidRPr="00CE51D7">
              <w:rPr>
                <w:rFonts w:ascii="Times New Roman" w:eastAsia="Times New Roman" w:hAnsi="Times New Roman" w:cs="Times New Roman"/>
                <w:sz w:val="22"/>
                <w:szCs w:val="22"/>
                <w:lang w:val="sk-SK"/>
              </w:rPr>
              <w:t>Poruchy obličiek a močovej sústavy</w:t>
            </w:r>
          </w:p>
        </w:tc>
        <w:tc>
          <w:tcPr>
            <w:tcW w:w="2835" w:type="dxa"/>
            <w:tcBorders>
              <w:top w:val="single" w:sz="1" w:space="0" w:color="000000"/>
              <w:left w:val="single" w:sz="1" w:space="0" w:color="000000"/>
              <w:bottom w:val="single" w:sz="1" w:space="0" w:color="000000"/>
            </w:tcBorders>
          </w:tcPr>
          <w:p w:rsidR="00C309C6" w:rsidRPr="00CE51D7" w:rsidRDefault="00C309C6" w:rsidP="00C309C6">
            <w:pPr>
              <w:pStyle w:val="knZulassung02"/>
              <w:snapToGrid w:val="0"/>
              <w:ind w:left="34"/>
              <w:jc w:val="both"/>
              <w:rPr>
                <w:rFonts w:ascii="Times New Roman" w:eastAsia="Times New Roman" w:hAnsi="Times New Roman" w:cs="Times New Roman"/>
                <w:sz w:val="22"/>
                <w:szCs w:val="22"/>
                <w:lang w:val="sk-SK"/>
              </w:rPr>
            </w:pPr>
          </w:p>
        </w:tc>
        <w:tc>
          <w:tcPr>
            <w:tcW w:w="1987" w:type="dxa"/>
            <w:tcBorders>
              <w:top w:val="single" w:sz="1" w:space="0" w:color="000000"/>
              <w:left w:val="single" w:sz="1" w:space="0" w:color="000000"/>
              <w:bottom w:val="single" w:sz="1" w:space="0" w:color="000000"/>
              <w:right w:val="single" w:sz="1" w:space="0" w:color="000000"/>
            </w:tcBorders>
          </w:tcPr>
          <w:p w:rsidR="00C309C6" w:rsidRPr="00CE51D7" w:rsidRDefault="00587539" w:rsidP="00C309C6">
            <w:pPr>
              <w:pStyle w:val="Zoznam"/>
              <w:snapToGrid w:val="0"/>
              <w:spacing w:after="200" w:line="276" w:lineRule="auto"/>
              <w:rPr>
                <w:rFonts w:cs="Times New Roman"/>
                <w:lang w:val="sk-SK"/>
              </w:rPr>
            </w:pPr>
            <w:r w:rsidRPr="00587539">
              <w:rPr>
                <w:rFonts w:cs="Times New Roman"/>
                <w:lang w:val="sk-SK"/>
              </w:rPr>
              <w:t>Porucha činnosti obličiek vrátane akútnej a chronickej intersticiálnej nefritídy a renálnej nedostatočnosti</w:t>
            </w:r>
          </w:p>
        </w:tc>
      </w:tr>
      <w:tr w:rsidR="00C309C6" w:rsidRPr="00CE51D7" w:rsidTr="00C309C6">
        <w:tc>
          <w:tcPr>
            <w:tcW w:w="3400" w:type="dxa"/>
            <w:tcBorders>
              <w:top w:val="single" w:sz="1" w:space="0" w:color="000000"/>
              <w:left w:val="single" w:sz="1" w:space="0" w:color="000000"/>
              <w:bottom w:val="single" w:sz="1" w:space="0" w:color="000000"/>
            </w:tcBorders>
          </w:tcPr>
          <w:p w:rsidR="00C309C6" w:rsidRPr="00CE51D7" w:rsidRDefault="00C309C6" w:rsidP="00C309C6">
            <w:pPr>
              <w:pStyle w:val="knZulassung02"/>
              <w:snapToGrid w:val="0"/>
              <w:ind w:left="34"/>
              <w:rPr>
                <w:rFonts w:ascii="Times New Roman" w:eastAsia="Times New Roman" w:hAnsi="Times New Roman" w:cs="Times New Roman"/>
                <w:sz w:val="22"/>
                <w:szCs w:val="22"/>
                <w:lang w:val="sk-SK"/>
              </w:rPr>
            </w:pPr>
            <w:r w:rsidRPr="00CE51D7">
              <w:rPr>
                <w:rFonts w:ascii="Times New Roman" w:eastAsia="Times New Roman" w:hAnsi="Times New Roman" w:cs="Times New Roman"/>
                <w:sz w:val="22"/>
                <w:szCs w:val="22"/>
                <w:lang w:val="sk-SK"/>
              </w:rPr>
              <w:t>Poruchy kože a podkožného tkaniva</w:t>
            </w:r>
          </w:p>
        </w:tc>
        <w:tc>
          <w:tcPr>
            <w:tcW w:w="2835" w:type="dxa"/>
            <w:tcBorders>
              <w:top w:val="single" w:sz="1" w:space="0" w:color="000000"/>
              <w:left w:val="single" w:sz="1" w:space="0" w:color="000000"/>
              <w:bottom w:val="single" w:sz="1" w:space="0" w:color="000000"/>
            </w:tcBorders>
          </w:tcPr>
          <w:p w:rsidR="00C309C6" w:rsidRPr="00CE51D7" w:rsidRDefault="00587539" w:rsidP="00C309C6">
            <w:pPr>
              <w:pStyle w:val="knZulassung02"/>
              <w:snapToGrid w:val="0"/>
              <w:ind w:left="34"/>
              <w:jc w:val="both"/>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Fotosenzitivita</w:t>
            </w:r>
          </w:p>
        </w:tc>
        <w:tc>
          <w:tcPr>
            <w:tcW w:w="1987" w:type="dxa"/>
            <w:tcBorders>
              <w:top w:val="single" w:sz="1" w:space="0" w:color="000000"/>
              <w:left w:val="single" w:sz="1" w:space="0" w:color="000000"/>
              <w:bottom w:val="single" w:sz="1" w:space="0" w:color="000000"/>
              <w:right w:val="single" w:sz="1" w:space="0" w:color="000000"/>
            </w:tcBorders>
          </w:tcPr>
          <w:p w:rsidR="00C309C6" w:rsidRPr="00CE51D7" w:rsidRDefault="00587539" w:rsidP="00C309C6">
            <w:pPr>
              <w:snapToGrid w:val="0"/>
              <w:spacing w:after="200" w:line="276" w:lineRule="auto"/>
              <w:rPr>
                <w:sz w:val="22"/>
                <w:szCs w:val="22"/>
              </w:rPr>
            </w:pPr>
            <w:r>
              <w:rPr>
                <w:sz w:val="22"/>
                <w:szCs w:val="22"/>
              </w:rPr>
              <w:t>Vypadávanie vlasov (alopécia)</w:t>
            </w:r>
          </w:p>
        </w:tc>
      </w:tr>
      <w:tr w:rsidR="00C309C6" w:rsidRPr="00CE51D7" w:rsidTr="00C309C6">
        <w:tc>
          <w:tcPr>
            <w:tcW w:w="3400" w:type="dxa"/>
            <w:tcBorders>
              <w:top w:val="single" w:sz="1" w:space="0" w:color="000000"/>
              <w:left w:val="single" w:sz="1" w:space="0" w:color="000000"/>
              <w:bottom w:val="single" w:sz="1" w:space="0" w:color="000000"/>
            </w:tcBorders>
          </w:tcPr>
          <w:p w:rsidR="00C309C6" w:rsidRPr="00CE51D7" w:rsidRDefault="00C309C6" w:rsidP="00C309C6">
            <w:pPr>
              <w:pStyle w:val="knZulassung02"/>
              <w:snapToGrid w:val="0"/>
              <w:ind w:left="34"/>
              <w:rPr>
                <w:rFonts w:ascii="Times New Roman" w:eastAsia="Times New Roman" w:hAnsi="Times New Roman" w:cs="Times New Roman"/>
                <w:sz w:val="22"/>
                <w:szCs w:val="22"/>
                <w:lang w:val="sk-SK"/>
              </w:rPr>
            </w:pPr>
            <w:r w:rsidRPr="00CE51D7">
              <w:rPr>
                <w:rFonts w:ascii="Times New Roman" w:eastAsia="Times New Roman" w:hAnsi="Times New Roman" w:cs="Times New Roman"/>
                <w:sz w:val="22"/>
                <w:szCs w:val="22"/>
                <w:lang w:val="sk-SK"/>
              </w:rPr>
              <w:t>Poruchy kostrovej a svalovej sústavy a spojivového tkaniva</w:t>
            </w:r>
          </w:p>
        </w:tc>
        <w:tc>
          <w:tcPr>
            <w:tcW w:w="2835" w:type="dxa"/>
            <w:tcBorders>
              <w:top w:val="single" w:sz="1" w:space="0" w:color="000000"/>
              <w:left w:val="single" w:sz="1" w:space="0" w:color="000000"/>
              <w:bottom w:val="single" w:sz="1" w:space="0" w:color="000000"/>
            </w:tcBorders>
          </w:tcPr>
          <w:p w:rsidR="00C309C6" w:rsidRPr="00CE51D7" w:rsidRDefault="00C309C6" w:rsidP="00C309C6">
            <w:pPr>
              <w:pStyle w:val="knZulassung02"/>
              <w:snapToGrid w:val="0"/>
              <w:ind w:left="34"/>
              <w:jc w:val="both"/>
              <w:rPr>
                <w:rFonts w:ascii="Times New Roman" w:eastAsia="Times New Roman" w:hAnsi="Times New Roman" w:cs="Times New Roman"/>
                <w:sz w:val="22"/>
                <w:szCs w:val="22"/>
                <w:lang w:val="sk-SK"/>
              </w:rPr>
            </w:pPr>
          </w:p>
        </w:tc>
        <w:tc>
          <w:tcPr>
            <w:tcW w:w="1987" w:type="dxa"/>
            <w:tcBorders>
              <w:top w:val="single" w:sz="1" w:space="0" w:color="000000"/>
              <w:left w:val="single" w:sz="1" w:space="0" w:color="000000"/>
              <w:bottom w:val="single" w:sz="1" w:space="0" w:color="000000"/>
              <w:right w:val="single" w:sz="1" w:space="0" w:color="000000"/>
            </w:tcBorders>
          </w:tcPr>
          <w:p w:rsidR="00C309C6" w:rsidRPr="00CE51D7" w:rsidRDefault="00587539" w:rsidP="00C309C6">
            <w:pPr>
              <w:pStyle w:val="knZulassung02"/>
              <w:snapToGrid w:val="0"/>
              <w:spacing w:after="200" w:line="276" w:lineRule="auto"/>
              <w:ind w:left="34" w:right="0"/>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Bolesti svalov a kĺbov (artralgia, myalgia)</w:t>
            </w:r>
          </w:p>
        </w:tc>
      </w:tr>
      <w:tr w:rsidR="00C309C6" w:rsidRPr="00CE51D7" w:rsidTr="00C309C6">
        <w:tc>
          <w:tcPr>
            <w:tcW w:w="3400" w:type="dxa"/>
            <w:tcBorders>
              <w:top w:val="single" w:sz="1" w:space="0" w:color="000000"/>
              <w:left w:val="single" w:sz="1" w:space="0" w:color="000000"/>
              <w:bottom w:val="single" w:sz="1" w:space="0" w:color="000000"/>
            </w:tcBorders>
          </w:tcPr>
          <w:p w:rsidR="00C309C6" w:rsidRPr="00CE51D7" w:rsidRDefault="00C309C6" w:rsidP="00C309C6">
            <w:pPr>
              <w:pStyle w:val="knZulassung02"/>
              <w:snapToGrid w:val="0"/>
              <w:ind w:left="34"/>
              <w:rPr>
                <w:rFonts w:ascii="Times New Roman" w:eastAsia="Times New Roman" w:hAnsi="Times New Roman" w:cs="Times New Roman"/>
                <w:sz w:val="22"/>
                <w:szCs w:val="22"/>
                <w:lang w:val="sk-SK"/>
              </w:rPr>
            </w:pPr>
          </w:p>
          <w:p w:rsidR="00C309C6" w:rsidRPr="00CE51D7" w:rsidRDefault="00C309C6" w:rsidP="00C309C6">
            <w:pPr>
              <w:pStyle w:val="knZulassung02"/>
              <w:ind w:left="34"/>
              <w:rPr>
                <w:rFonts w:ascii="Times New Roman" w:eastAsia="Times New Roman" w:hAnsi="Times New Roman" w:cs="Times New Roman"/>
                <w:sz w:val="22"/>
                <w:szCs w:val="22"/>
                <w:lang w:val="sk-SK"/>
              </w:rPr>
            </w:pPr>
          </w:p>
          <w:p w:rsidR="00C309C6" w:rsidRPr="00CE51D7" w:rsidRDefault="00587539" w:rsidP="00C309C6">
            <w:pPr>
              <w:pStyle w:val="knZulassung02"/>
              <w:ind w:left="34"/>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Poruchy imunitného systému</w:t>
            </w:r>
          </w:p>
        </w:tc>
        <w:tc>
          <w:tcPr>
            <w:tcW w:w="2835" w:type="dxa"/>
            <w:tcBorders>
              <w:top w:val="single" w:sz="1" w:space="0" w:color="000000"/>
              <w:left w:val="single" w:sz="1" w:space="0" w:color="000000"/>
              <w:bottom w:val="single" w:sz="1" w:space="0" w:color="000000"/>
            </w:tcBorders>
          </w:tcPr>
          <w:p w:rsidR="00C309C6" w:rsidRPr="00CE51D7" w:rsidRDefault="00C309C6" w:rsidP="00C309C6">
            <w:pPr>
              <w:pStyle w:val="knZulassung02"/>
              <w:snapToGrid w:val="0"/>
              <w:ind w:left="34"/>
              <w:jc w:val="both"/>
              <w:rPr>
                <w:rFonts w:ascii="Times New Roman" w:eastAsia="Times New Roman" w:hAnsi="Times New Roman" w:cs="Times New Roman"/>
                <w:sz w:val="22"/>
                <w:szCs w:val="22"/>
                <w:lang w:val="sk-SK"/>
              </w:rPr>
            </w:pPr>
          </w:p>
        </w:tc>
        <w:tc>
          <w:tcPr>
            <w:tcW w:w="1987" w:type="dxa"/>
            <w:tcBorders>
              <w:top w:val="single" w:sz="1" w:space="0" w:color="000000"/>
              <w:left w:val="single" w:sz="1" w:space="0" w:color="000000"/>
              <w:bottom w:val="single" w:sz="1" w:space="0" w:color="000000"/>
              <w:right w:val="single" w:sz="1" w:space="0" w:color="000000"/>
            </w:tcBorders>
          </w:tcPr>
          <w:p w:rsidR="00C309C6" w:rsidRPr="00CE51D7" w:rsidRDefault="00587539" w:rsidP="00C309C6">
            <w:pPr>
              <w:pStyle w:val="Zoznam"/>
              <w:spacing w:after="200" w:line="276" w:lineRule="auto"/>
              <w:rPr>
                <w:rFonts w:cs="Times New Roman"/>
                <w:lang w:val="sk-SK"/>
              </w:rPr>
            </w:pPr>
            <w:r w:rsidRPr="00587539">
              <w:rPr>
                <w:rFonts w:cs="Times New Roman"/>
                <w:lang w:val="sk-SK"/>
              </w:rPr>
              <w:t xml:space="preserve">    Hypersenzitívne reakcie  ako sú  alergické vyrážky, lieková horúčka,   systémový lupus eryt</w:t>
            </w:r>
            <w:r w:rsidR="00975EAA">
              <w:rPr>
                <w:rFonts w:cs="Times New Roman"/>
                <w:lang w:val="sk-SK"/>
              </w:rPr>
              <w:t>h</w:t>
            </w:r>
            <w:r w:rsidRPr="00587539">
              <w:rPr>
                <w:rFonts w:cs="Times New Roman"/>
                <w:lang w:val="sk-SK"/>
              </w:rPr>
              <w:t xml:space="preserve">ematosus, </w:t>
            </w:r>
            <w:r w:rsidRPr="00587539">
              <w:rPr>
                <w:rFonts w:cs="Times New Roman"/>
                <w:lang w:val="sk-SK"/>
              </w:rPr>
              <w:lastRenderedPageBreak/>
              <w:t>pankolitída</w:t>
            </w:r>
          </w:p>
        </w:tc>
      </w:tr>
      <w:tr w:rsidR="00C309C6" w:rsidRPr="00CE51D7" w:rsidTr="00C309C6">
        <w:tc>
          <w:tcPr>
            <w:tcW w:w="3400" w:type="dxa"/>
            <w:tcBorders>
              <w:top w:val="single" w:sz="1" w:space="0" w:color="000000"/>
              <w:left w:val="single" w:sz="1" w:space="0" w:color="000000"/>
              <w:bottom w:val="single" w:sz="1" w:space="0" w:color="000000"/>
            </w:tcBorders>
          </w:tcPr>
          <w:p w:rsidR="00C309C6" w:rsidRPr="00CE51D7" w:rsidRDefault="00C309C6" w:rsidP="00C309C6">
            <w:pPr>
              <w:pStyle w:val="knZulassung02"/>
              <w:snapToGrid w:val="0"/>
              <w:ind w:left="34"/>
              <w:rPr>
                <w:rFonts w:ascii="Times New Roman" w:eastAsia="Times New Roman" w:hAnsi="Times New Roman" w:cs="Times New Roman"/>
                <w:sz w:val="22"/>
                <w:szCs w:val="22"/>
                <w:lang w:val="sk-SK"/>
              </w:rPr>
            </w:pPr>
            <w:r w:rsidRPr="00CE51D7">
              <w:rPr>
                <w:rFonts w:ascii="Times New Roman" w:eastAsia="Times New Roman" w:hAnsi="Times New Roman" w:cs="Times New Roman"/>
                <w:sz w:val="22"/>
                <w:szCs w:val="22"/>
                <w:lang w:val="sk-SK"/>
              </w:rPr>
              <w:lastRenderedPageBreak/>
              <w:t>Ochorenia pečene a žlčových ciest</w:t>
            </w:r>
          </w:p>
        </w:tc>
        <w:tc>
          <w:tcPr>
            <w:tcW w:w="2835" w:type="dxa"/>
            <w:tcBorders>
              <w:top w:val="single" w:sz="1" w:space="0" w:color="000000"/>
              <w:left w:val="single" w:sz="1" w:space="0" w:color="000000"/>
              <w:bottom w:val="single" w:sz="1" w:space="0" w:color="000000"/>
            </w:tcBorders>
          </w:tcPr>
          <w:p w:rsidR="00C309C6" w:rsidRPr="00CE51D7" w:rsidRDefault="00C309C6" w:rsidP="00C309C6">
            <w:pPr>
              <w:pStyle w:val="knZulassung02"/>
              <w:snapToGrid w:val="0"/>
              <w:ind w:left="34"/>
              <w:jc w:val="both"/>
              <w:rPr>
                <w:rFonts w:ascii="Times New Roman" w:eastAsia="Times New Roman" w:hAnsi="Times New Roman" w:cs="Times New Roman"/>
                <w:sz w:val="22"/>
                <w:szCs w:val="22"/>
                <w:lang w:val="sk-SK"/>
              </w:rPr>
            </w:pPr>
          </w:p>
        </w:tc>
        <w:tc>
          <w:tcPr>
            <w:tcW w:w="1987" w:type="dxa"/>
            <w:tcBorders>
              <w:top w:val="single" w:sz="1" w:space="0" w:color="000000"/>
              <w:left w:val="single" w:sz="1" w:space="0" w:color="000000"/>
              <w:bottom w:val="single" w:sz="1" w:space="0" w:color="000000"/>
              <w:right w:val="single" w:sz="1" w:space="0" w:color="000000"/>
            </w:tcBorders>
          </w:tcPr>
          <w:p w:rsidR="00C309C6" w:rsidRPr="00CE51D7" w:rsidRDefault="00587539" w:rsidP="00C309C6">
            <w:pPr>
              <w:pStyle w:val="knZulassung02"/>
              <w:snapToGrid w:val="0"/>
              <w:spacing w:after="200" w:line="276" w:lineRule="auto"/>
              <w:ind w:left="34"/>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Zmeny vo funkcii pečene (zvýšenie hodnôt transamináz, parametrov cholestázy), hepatitída, cholestatická hepatitída</w:t>
            </w:r>
          </w:p>
        </w:tc>
      </w:tr>
      <w:tr w:rsidR="00C309C6" w:rsidRPr="00CE51D7" w:rsidTr="00C309C6">
        <w:tc>
          <w:tcPr>
            <w:tcW w:w="3400" w:type="dxa"/>
            <w:tcBorders>
              <w:top w:val="single" w:sz="1" w:space="0" w:color="000000"/>
              <w:left w:val="single" w:sz="1" w:space="0" w:color="000000"/>
              <w:bottom w:val="single" w:sz="1" w:space="0" w:color="000000"/>
            </w:tcBorders>
          </w:tcPr>
          <w:p w:rsidR="00C309C6" w:rsidRPr="00CE51D7" w:rsidRDefault="00C309C6" w:rsidP="00C309C6">
            <w:pPr>
              <w:pStyle w:val="knZulassung02"/>
              <w:snapToGrid w:val="0"/>
              <w:ind w:left="34"/>
              <w:rPr>
                <w:rFonts w:ascii="Times New Roman" w:eastAsia="Times New Roman" w:hAnsi="Times New Roman" w:cs="Times New Roman"/>
                <w:sz w:val="22"/>
                <w:szCs w:val="22"/>
                <w:lang w:val="sk-SK"/>
              </w:rPr>
            </w:pPr>
            <w:r w:rsidRPr="00CE51D7">
              <w:rPr>
                <w:rFonts w:ascii="Times New Roman" w:eastAsia="Times New Roman" w:hAnsi="Times New Roman" w:cs="Times New Roman"/>
                <w:sz w:val="22"/>
                <w:szCs w:val="22"/>
                <w:lang w:val="sk-SK"/>
              </w:rPr>
              <w:t>Ochorenia reprodukčného systému</w:t>
            </w:r>
          </w:p>
        </w:tc>
        <w:tc>
          <w:tcPr>
            <w:tcW w:w="2835" w:type="dxa"/>
            <w:tcBorders>
              <w:top w:val="single" w:sz="1" w:space="0" w:color="000000"/>
              <w:left w:val="single" w:sz="1" w:space="0" w:color="000000"/>
              <w:bottom w:val="single" w:sz="1" w:space="0" w:color="000000"/>
            </w:tcBorders>
          </w:tcPr>
          <w:p w:rsidR="00C309C6" w:rsidRPr="00CE51D7" w:rsidRDefault="00C309C6" w:rsidP="00C309C6">
            <w:pPr>
              <w:pStyle w:val="knZulassung02"/>
              <w:snapToGrid w:val="0"/>
              <w:ind w:left="34"/>
              <w:jc w:val="both"/>
              <w:rPr>
                <w:rFonts w:ascii="Times New Roman" w:eastAsia="Times New Roman" w:hAnsi="Times New Roman" w:cs="Times New Roman"/>
                <w:sz w:val="22"/>
                <w:szCs w:val="22"/>
                <w:lang w:val="sk-SK"/>
              </w:rPr>
            </w:pPr>
          </w:p>
        </w:tc>
        <w:tc>
          <w:tcPr>
            <w:tcW w:w="1987" w:type="dxa"/>
            <w:tcBorders>
              <w:top w:val="single" w:sz="1" w:space="0" w:color="000000"/>
              <w:left w:val="single" w:sz="1" w:space="0" w:color="000000"/>
              <w:bottom w:val="single" w:sz="1" w:space="0" w:color="000000"/>
              <w:right w:val="single" w:sz="1" w:space="0" w:color="000000"/>
            </w:tcBorders>
          </w:tcPr>
          <w:p w:rsidR="00C309C6" w:rsidRPr="00CE51D7" w:rsidRDefault="00587539" w:rsidP="00C309C6">
            <w:pPr>
              <w:pStyle w:val="knZulassung02"/>
              <w:snapToGrid w:val="0"/>
              <w:ind w:left="34" w:right="0"/>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Oligospermia (reverzibilná)</w:t>
            </w:r>
          </w:p>
          <w:p w:rsidR="00C309C6" w:rsidRPr="00CE51D7" w:rsidRDefault="00C309C6" w:rsidP="00C309C6">
            <w:pPr>
              <w:spacing w:after="200" w:line="276" w:lineRule="auto"/>
              <w:rPr>
                <w:i/>
                <w:iCs/>
                <w:sz w:val="22"/>
                <w:szCs w:val="22"/>
              </w:rPr>
            </w:pPr>
          </w:p>
        </w:tc>
      </w:tr>
    </w:tbl>
    <w:p w:rsidR="00C309C6" w:rsidRPr="00CE51D7" w:rsidRDefault="00C309C6" w:rsidP="00C309C6">
      <w:pPr>
        <w:ind w:right="-1"/>
        <w:jc w:val="both"/>
        <w:rPr>
          <w:sz w:val="22"/>
          <w:szCs w:val="22"/>
        </w:rPr>
      </w:pPr>
    </w:p>
    <w:p w:rsidR="00671EA5" w:rsidRPr="00CE51D7" w:rsidRDefault="00587539" w:rsidP="00671EA5">
      <w:pPr>
        <w:tabs>
          <w:tab w:val="left" w:pos="-720"/>
        </w:tabs>
        <w:suppressAutoHyphens/>
        <w:rPr>
          <w:rFonts w:eastAsia="Calibri"/>
          <w:noProof/>
          <w:sz w:val="22"/>
          <w:szCs w:val="22"/>
          <w:u w:val="single"/>
          <w:lang w:eastAsia="zh-CN"/>
        </w:rPr>
      </w:pPr>
      <w:r w:rsidRPr="00587539">
        <w:rPr>
          <w:rFonts w:eastAsia="Calibri"/>
          <w:noProof/>
          <w:sz w:val="22"/>
          <w:szCs w:val="22"/>
          <w:u w:val="single"/>
          <w:lang w:eastAsia="zh-CN"/>
        </w:rPr>
        <w:t>Fotosenzitivita</w:t>
      </w:r>
    </w:p>
    <w:p w:rsidR="00671EA5" w:rsidRPr="00CE51D7" w:rsidRDefault="00587539" w:rsidP="00671EA5">
      <w:pPr>
        <w:tabs>
          <w:tab w:val="left" w:pos="-720"/>
        </w:tabs>
        <w:suppressAutoHyphens/>
        <w:rPr>
          <w:rFonts w:eastAsia="Calibri"/>
          <w:noProof/>
          <w:sz w:val="22"/>
          <w:szCs w:val="22"/>
          <w:u w:val="single"/>
          <w:lang w:eastAsia="zh-CN"/>
        </w:rPr>
      </w:pPr>
      <w:r w:rsidRPr="00587539">
        <w:rPr>
          <w:rFonts w:eastAsia="Calibri"/>
          <w:noProof/>
          <w:sz w:val="22"/>
          <w:szCs w:val="22"/>
          <w:u w:val="single"/>
          <w:lang w:eastAsia="zh-CN"/>
        </w:rPr>
        <w:t xml:space="preserve">U pacientov s existujúcimi ochoreniamu kože, ako je atopická dermatitída a atopický ekzém, sú hlásené závažnejšie reakcie. </w:t>
      </w:r>
    </w:p>
    <w:p w:rsidR="00671EA5" w:rsidRPr="00CE51D7" w:rsidRDefault="00671EA5" w:rsidP="00DF05B7">
      <w:pPr>
        <w:tabs>
          <w:tab w:val="left" w:pos="-720"/>
        </w:tabs>
        <w:suppressAutoHyphens/>
        <w:rPr>
          <w:rFonts w:eastAsia="Calibri"/>
          <w:noProof/>
          <w:sz w:val="22"/>
          <w:szCs w:val="22"/>
          <w:u w:val="single"/>
          <w:lang w:eastAsia="zh-CN"/>
        </w:rPr>
      </w:pPr>
    </w:p>
    <w:p w:rsidR="00DF05B7" w:rsidRPr="00CE51D7" w:rsidRDefault="00587539" w:rsidP="00DF05B7">
      <w:pPr>
        <w:tabs>
          <w:tab w:val="left" w:pos="-720"/>
        </w:tabs>
        <w:suppressAutoHyphens/>
        <w:rPr>
          <w:rFonts w:eastAsia="Calibri"/>
          <w:noProof/>
          <w:sz w:val="22"/>
          <w:szCs w:val="22"/>
          <w:u w:val="single"/>
          <w:lang w:eastAsia="zh-CN"/>
        </w:rPr>
      </w:pPr>
      <w:r w:rsidRPr="00587539">
        <w:rPr>
          <w:rFonts w:eastAsia="Calibri"/>
          <w:noProof/>
          <w:sz w:val="22"/>
          <w:szCs w:val="22"/>
          <w:u w:val="single"/>
          <w:lang w:eastAsia="zh-CN"/>
        </w:rPr>
        <w:t>Hlásenie podozrení na nežiaduce reakcie</w:t>
      </w:r>
    </w:p>
    <w:p w:rsidR="00DF05B7" w:rsidRPr="00CE51D7" w:rsidRDefault="00587539" w:rsidP="00DF05B7">
      <w:pPr>
        <w:tabs>
          <w:tab w:val="left" w:pos="-720"/>
        </w:tabs>
        <w:suppressAutoHyphens/>
        <w:rPr>
          <w:rFonts w:eastAsia="Calibri"/>
          <w:noProof/>
          <w:sz w:val="22"/>
          <w:szCs w:val="22"/>
          <w:u w:val="single"/>
          <w:lang w:eastAsia="zh-CN"/>
        </w:rPr>
      </w:pPr>
      <w:r w:rsidRPr="00587539">
        <w:rPr>
          <w:rFonts w:eastAsia="Calibri"/>
          <w:noProof/>
          <w:sz w:val="22"/>
          <w:szCs w:val="22"/>
          <w:u w:val="single"/>
          <w:lang w:eastAsia="zh-CN"/>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975EAA">
        <w:rPr>
          <w:rFonts w:eastAsia="Calibri"/>
          <w:noProof/>
          <w:sz w:val="22"/>
          <w:szCs w:val="22"/>
          <w:highlight w:val="lightGray"/>
          <w:u w:val="single"/>
          <w:lang w:eastAsia="zh-CN"/>
        </w:rPr>
        <w:t>národné centrum hlásenia</w:t>
      </w:r>
      <w:r w:rsidR="00975EAA" w:rsidRPr="00975EAA">
        <w:rPr>
          <w:rFonts w:eastAsia="Calibri"/>
          <w:noProof/>
          <w:sz w:val="22"/>
          <w:szCs w:val="22"/>
          <w:highlight w:val="lightGray"/>
          <w:u w:val="single"/>
          <w:lang w:eastAsia="zh-CN"/>
        </w:rPr>
        <w:t xml:space="preserve"> uvedené v </w:t>
      </w:r>
      <w:hyperlink r:id="rId12" w:history="1">
        <w:r w:rsidR="00975EAA" w:rsidRPr="00975EAA">
          <w:rPr>
            <w:rStyle w:val="Hypertextovprepojenie"/>
            <w:noProof/>
            <w:sz w:val="22"/>
            <w:szCs w:val="22"/>
            <w:highlight w:val="lightGray"/>
          </w:rPr>
          <w:t>Prílohe V</w:t>
        </w:r>
      </w:hyperlink>
      <w:r w:rsidR="00975EAA">
        <w:rPr>
          <w:rFonts w:eastAsia="Calibri"/>
          <w:noProof/>
          <w:sz w:val="22"/>
          <w:szCs w:val="22"/>
          <w:u w:val="single"/>
          <w:lang w:eastAsia="zh-CN"/>
        </w:rPr>
        <w:t>.</w:t>
      </w:r>
    </w:p>
    <w:p w:rsidR="00470F72" w:rsidRDefault="00470F72" w:rsidP="00C309C6">
      <w:pPr>
        <w:ind w:right="-1"/>
        <w:jc w:val="both"/>
        <w:rPr>
          <w:b/>
          <w:sz w:val="22"/>
          <w:szCs w:val="22"/>
        </w:rPr>
      </w:pPr>
    </w:p>
    <w:p w:rsidR="00C309C6" w:rsidRPr="00CE51D7" w:rsidRDefault="00587539" w:rsidP="00C309C6">
      <w:pPr>
        <w:ind w:right="-1"/>
        <w:jc w:val="both"/>
        <w:rPr>
          <w:b/>
          <w:sz w:val="22"/>
          <w:szCs w:val="22"/>
        </w:rPr>
      </w:pPr>
      <w:r>
        <w:rPr>
          <w:b/>
          <w:sz w:val="22"/>
          <w:szCs w:val="22"/>
        </w:rPr>
        <w:t>4.9 Predávkovanie</w:t>
      </w:r>
    </w:p>
    <w:p w:rsidR="00C309C6" w:rsidRPr="00CE51D7" w:rsidRDefault="00C309C6" w:rsidP="00C309C6">
      <w:pPr>
        <w:ind w:right="-1"/>
        <w:jc w:val="both"/>
        <w:rPr>
          <w:sz w:val="22"/>
          <w:szCs w:val="22"/>
        </w:rPr>
      </w:pPr>
    </w:p>
    <w:p w:rsidR="00C309C6" w:rsidRPr="00CE51D7" w:rsidRDefault="00587539" w:rsidP="0097762C">
      <w:pPr>
        <w:pStyle w:val="Normlnysozarkami1"/>
        <w:ind w:left="0"/>
        <w:rPr>
          <w:lang w:val="sk-SK"/>
        </w:rPr>
      </w:pPr>
      <w:r w:rsidRPr="00587539">
        <w:rPr>
          <w:lang w:val="sk-SK"/>
        </w:rPr>
        <w:t>Údaje o predávkovaní sú zriedkavé (napríklad možné sebevražedné správanie pri vysokých perorálnych dávkach mesalazínu), a z nich nie je možné naznačovať renálnu a hepatálnu toxicitu. Neexistuje špecifické antidotum a liečba je symptomatická a podporná.</w:t>
      </w:r>
    </w:p>
    <w:p w:rsidR="00C309C6" w:rsidRPr="00CE51D7" w:rsidRDefault="00C309C6" w:rsidP="00C309C6">
      <w:pPr>
        <w:ind w:right="-1"/>
        <w:jc w:val="both"/>
        <w:rPr>
          <w:sz w:val="22"/>
          <w:szCs w:val="22"/>
        </w:rPr>
      </w:pPr>
    </w:p>
    <w:p w:rsidR="0097762C" w:rsidRPr="00CE51D7" w:rsidRDefault="0097762C" w:rsidP="00C309C6">
      <w:pPr>
        <w:ind w:right="-1"/>
        <w:jc w:val="both"/>
        <w:rPr>
          <w:sz w:val="22"/>
          <w:szCs w:val="22"/>
        </w:rPr>
      </w:pPr>
    </w:p>
    <w:p w:rsidR="00C309C6" w:rsidRPr="00CE51D7" w:rsidRDefault="00587539" w:rsidP="00C309C6">
      <w:pPr>
        <w:ind w:right="-1"/>
        <w:jc w:val="both"/>
        <w:rPr>
          <w:caps/>
          <w:sz w:val="22"/>
          <w:szCs w:val="22"/>
        </w:rPr>
      </w:pPr>
      <w:r>
        <w:rPr>
          <w:b/>
          <w:sz w:val="22"/>
          <w:szCs w:val="22"/>
        </w:rPr>
        <w:t xml:space="preserve">5. </w:t>
      </w:r>
      <w:r>
        <w:rPr>
          <w:b/>
          <w:caps/>
          <w:sz w:val="22"/>
          <w:szCs w:val="22"/>
        </w:rPr>
        <w:t>Farmakologické vlastnosti</w:t>
      </w:r>
    </w:p>
    <w:p w:rsidR="00C309C6" w:rsidRPr="00CE51D7" w:rsidRDefault="00C309C6" w:rsidP="00C309C6">
      <w:pPr>
        <w:ind w:right="-1"/>
        <w:jc w:val="both"/>
        <w:rPr>
          <w:b/>
          <w:sz w:val="22"/>
          <w:szCs w:val="22"/>
        </w:rPr>
      </w:pPr>
    </w:p>
    <w:p w:rsidR="00366BF6" w:rsidRPr="00CE51D7" w:rsidRDefault="00366BF6" w:rsidP="00C309C6">
      <w:pPr>
        <w:ind w:right="-1"/>
        <w:jc w:val="both"/>
        <w:rPr>
          <w:b/>
          <w:sz w:val="22"/>
          <w:szCs w:val="22"/>
        </w:rPr>
      </w:pPr>
    </w:p>
    <w:p w:rsidR="00366BF6" w:rsidRPr="00CE51D7" w:rsidRDefault="00587539" w:rsidP="00366BF6">
      <w:pPr>
        <w:rPr>
          <w:b/>
          <w:sz w:val="22"/>
          <w:szCs w:val="22"/>
        </w:rPr>
      </w:pPr>
      <w:r>
        <w:rPr>
          <w:b/>
          <w:sz w:val="22"/>
          <w:szCs w:val="22"/>
        </w:rPr>
        <w:t>5.1 Farmakodynamické vlastnosti</w:t>
      </w:r>
    </w:p>
    <w:p w:rsidR="00F55D8E" w:rsidRPr="00CE51D7" w:rsidRDefault="00F55D8E" w:rsidP="00F55D8E">
      <w:pPr>
        <w:pStyle w:val="Nadpis2"/>
        <w:jc w:val="both"/>
        <w:rPr>
          <w:sz w:val="22"/>
          <w:szCs w:val="22"/>
        </w:rPr>
      </w:pPr>
    </w:p>
    <w:p w:rsidR="00F55D8E" w:rsidRPr="00CE51D7" w:rsidRDefault="00587539" w:rsidP="00F55D8E">
      <w:pPr>
        <w:pStyle w:val="Nadpis2"/>
        <w:jc w:val="both"/>
        <w:rPr>
          <w:b w:val="0"/>
          <w:bCs/>
          <w:sz w:val="22"/>
          <w:szCs w:val="22"/>
        </w:rPr>
      </w:pPr>
      <w:r>
        <w:rPr>
          <w:sz w:val="22"/>
          <w:szCs w:val="22"/>
        </w:rPr>
        <w:t xml:space="preserve">Farmakoterapeutická skupina: </w:t>
      </w:r>
      <w:r>
        <w:rPr>
          <w:b w:val="0"/>
          <w:bCs/>
          <w:sz w:val="22"/>
          <w:szCs w:val="22"/>
        </w:rPr>
        <w:t>Črevné protizápalové liečivá</w:t>
      </w:r>
    </w:p>
    <w:p w:rsidR="00F55D8E" w:rsidRPr="00CE51D7" w:rsidRDefault="00587539" w:rsidP="00F55D8E">
      <w:pPr>
        <w:pStyle w:val="Nadpis2"/>
        <w:jc w:val="both"/>
        <w:rPr>
          <w:b w:val="0"/>
          <w:bCs/>
          <w:snapToGrid w:val="0"/>
          <w:sz w:val="22"/>
          <w:szCs w:val="22"/>
          <w:lang w:eastAsia="cs-CZ"/>
        </w:rPr>
      </w:pPr>
      <w:r>
        <w:rPr>
          <w:sz w:val="22"/>
          <w:szCs w:val="22"/>
        </w:rPr>
        <w:t xml:space="preserve">ATC klasifikácia: </w:t>
      </w:r>
      <w:r>
        <w:rPr>
          <w:b w:val="0"/>
          <w:bCs/>
          <w:snapToGrid w:val="0"/>
          <w:sz w:val="22"/>
          <w:szCs w:val="22"/>
          <w:lang w:eastAsia="cs-CZ"/>
        </w:rPr>
        <w:t>A07EC02</w:t>
      </w:r>
    </w:p>
    <w:p w:rsidR="00366BF6" w:rsidRPr="00CE51D7" w:rsidRDefault="00366BF6" w:rsidP="00366BF6">
      <w:pPr>
        <w:ind w:right="-1"/>
        <w:jc w:val="both"/>
        <w:rPr>
          <w:sz w:val="22"/>
          <w:szCs w:val="22"/>
        </w:rPr>
      </w:pPr>
    </w:p>
    <w:p w:rsidR="00366BF6" w:rsidRPr="00CE51D7" w:rsidRDefault="00587539" w:rsidP="00366BF6">
      <w:pPr>
        <w:pStyle w:val="Zkladntext2"/>
        <w:rPr>
          <w:rFonts w:ascii="Times New Roman" w:hAnsi="Times New Roman" w:cs="Times New Roman"/>
          <w:sz w:val="22"/>
          <w:szCs w:val="22"/>
        </w:rPr>
      </w:pPr>
      <w:r>
        <w:rPr>
          <w:rFonts w:ascii="Times New Roman" w:hAnsi="Times New Roman" w:cs="Times New Roman"/>
          <w:sz w:val="22"/>
          <w:szCs w:val="22"/>
        </w:rPr>
        <w:t xml:space="preserve">Mechanizmus účinku mesalazínu nie je ešte celkom objasnený. Štúdie </w:t>
      </w:r>
      <w:r>
        <w:rPr>
          <w:rFonts w:ascii="Times New Roman" w:hAnsi="Times New Roman" w:cs="Times New Roman"/>
          <w:i/>
          <w:sz w:val="22"/>
          <w:szCs w:val="22"/>
        </w:rPr>
        <w:t>in vitro</w:t>
      </w:r>
      <w:r>
        <w:rPr>
          <w:rFonts w:ascii="Times New Roman" w:hAnsi="Times New Roman" w:cs="Times New Roman"/>
          <w:sz w:val="22"/>
          <w:szCs w:val="22"/>
        </w:rPr>
        <w:t xml:space="preserve"> ukázali, že mechanizmus inhibície lipooxygenázy môže byť významným faktorom účinku.</w:t>
      </w:r>
    </w:p>
    <w:p w:rsidR="00366BF6" w:rsidRPr="00CE51D7" w:rsidRDefault="00587539" w:rsidP="00366BF6">
      <w:pPr>
        <w:ind w:right="-1"/>
        <w:jc w:val="both"/>
        <w:rPr>
          <w:sz w:val="22"/>
          <w:szCs w:val="22"/>
        </w:rPr>
      </w:pPr>
      <w:r>
        <w:rPr>
          <w:sz w:val="22"/>
          <w:szCs w:val="22"/>
        </w:rPr>
        <w:t>Bol preukázaný tiež vplyv na obsah prostaglandínov v intestinálnej mukóze. Mesalazín (5-aminosalicylová kyselina / 5-ASA) tiež pôsobí ako zachytávač radikálov reaktívnych zlúčenín kyslíka.</w:t>
      </w:r>
    </w:p>
    <w:p w:rsidR="00366BF6" w:rsidRPr="00CE51D7" w:rsidRDefault="00587539" w:rsidP="00366BF6">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Perorálne podaný mesalazín má predovšetkým lokálny účinok na intestinálnej mukóze a v podslizničnom tkanive. Preto je dôležité, aby bol mesalazín dostupný v zapálených miestach tráviaceho traktu. Systémová dostupnosť a jeho plazmatická koncentrácia preto nie sú relevantné pre terapeutický účinok, ale majú význam pri posúdení bezpečnosti. Pre splnenie týchto kritérií sú tablety lieku Salofalk 500 tablety sú obalené vrstvou Eudragitu L, ktorá zabezpečuje odolnosť voči žalúdočnej kyseline a uvoľňovanie mesalazínu je závislé od pH.</w:t>
      </w:r>
    </w:p>
    <w:p w:rsidR="00366BF6" w:rsidRPr="00CE51D7" w:rsidRDefault="00366BF6" w:rsidP="00366BF6">
      <w:pPr>
        <w:pStyle w:val="Zkladntext3"/>
        <w:rPr>
          <w:rFonts w:ascii="Times New Roman" w:hAnsi="Times New Roman" w:cs="Times New Roman"/>
          <w:color w:val="auto"/>
          <w:sz w:val="22"/>
          <w:szCs w:val="22"/>
        </w:rPr>
      </w:pPr>
    </w:p>
    <w:p w:rsidR="00366BF6" w:rsidRPr="00CE51D7" w:rsidRDefault="00587539" w:rsidP="00366BF6">
      <w:pPr>
        <w:ind w:right="-1"/>
        <w:jc w:val="both"/>
        <w:rPr>
          <w:b/>
          <w:sz w:val="22"/>
          <w:szCs w:val="22"/>
        </w:rPr>
      </w:pPr>
      <w:r>
        <w:rPr>
          <w:b/>
          <w:sz w:val="22"/>
          <w:szCs w:val="22"/>
        </w:rPr>
        <w:lastRenderedPageBreak/>
        <w:t>5.2 Farmakokinetické vlastnosti</w:t>
      </w:r>
    </w:p>
    <w:p w:rsidR="00366BF6" w:rsidRPr="00CE51D7" w:rsidRDefault="00366BF6" w:rsidP="00366BF6">
      <w:pPr>
        <w:ind w:right="-1"/>
        <w:jc w:val="both"/>
        <w:rPr>
          <w:sz w:val="22"/>
          <w:szCs w:val="22"/>
        </w:rPr>
      </w:pPr>
    </w:p>
    <w:p w:rsidR="00366BF6" w:rsidRPr="00CE51D7" w:rsidRDefault="00587539" w:rsidP="00366BF6">
      <w:pPr>
        <w:ind w:right="-1"/>
        <w:jc w:val="both"/>
        <w:rPr>
          <w:sz w:val="22"/>
          <w:szCs w:val="22"/>
          <w:u w:val="single"/>
        </w:rPr>
      </w:pPr>
      <w:r>
        <w:rPr>
          <w:sz w:val="22"/>
          <w:szCs w:val="22"/>
          <w:u w:val="single"/>
        </w:rPr>
        <w:t>Všeobecné vlastnosti mesalazínu:</w:t>
      </w:r>
    </w:p>
    <w:p w:rsidR="00366BF6" w:rsidRPr="00CE51D7" w:rsidRDefault="00366BF6" w:rsidP="00366BF6">
      <w:pPr>
        <w:ind w:right="-1"/>
        <w:jc w:val="both"/>
        <w:rPr>
          <w:sz w:val="22"/>
          <w:szCs w:val="22"/>
        </w:rPr>
      </w:pPr>
    </w:p>
    <w:p w:rsidR="00366BF6" w:rsidRPr="00CE51D7" w:rsidRDefault="00587539" w:rsidP="00366BF6">
      <w:pPr>
        <w:pStyle w:val="Nadpis5"/>
        <w:rPr>
          <w:rFonts w:ascii="Times New Roman" w:hAnsi="Times New Roman" w:cs="Times New Roman"/>
          <w:sz w:val="22"/>
          <w:szCs w:val="22"/>
        </w:rPr>
      </w:pPr>
      <w:r>
        <w:rPr>
          <w:rFonts w:ascii="Times New Roman" w:hAnsi="Times New Roman" w:cs="Times New Roman"/>
          <w:sz w:val="22"/>
          <w:szCs w:val="22"/>
        </w:rPr>
        <w:t>Absorpcia</w:t>
      </w:r>
    </w:p>
    <w:p w:rsidR="00366BF6" w:rsidRPr="00CE51D7" w:rsidRDefault="00587539" w:rsidP="00366BF6">
      <w:pPr>
        <w:pStyle w:val="Zkladntext2"/>
        <w:rPr>
          <w:rFonts w:ascii="Times New Roman" w:hAnsi="Times New Roman" w:cs="Times New Roman"/>
          <w:sz w:val="22"/>
          <w:szCs w:val="22"/>
        </w:rPr>
      </w:pPr>
      <w:r>
        <w:rPr>
          <w:rFonts w:ascii="Times New Roman" w:hAnsi="Times New Roman" w:cs="Times New Roman"/>
          <w:sz w:val="22"/>
          <w:szCs w:val="22"/>
        </w:rPr>
        <w:t>Absorpcia mesalazínu je najvyššia v proximálnych častiach a najnižšia v distálnych častiach čreva.</w:t>
      </w:r>
    </w:p>
    <w:p w:rsidR="00366BF6" w:rsidRPr="00CE51D7" w:rsidRDefault="00366BF6" w:rsidP="00366BF6">
      <w:pPr>
        <w:ind w:right="-1"/>
        <w:jc w:val="both"/>
        <w:rPr>
          <w:sz w:val="22"/>
          <w:szCs w:val="22"/>
        </w:rPr>
      </w:pPr>
    </w:p>
    <w:p w:rsidR="00366BF6" w:rsidRPr="00CE51D7" w:rsidRDefault="00587539" w:rsidP="00366BF6">
      <w:pPr>
        <w:pStyle w:val="Nadpis5"/>
        <w:rPr>
          <w:rFonts w:ascii="Times New Roman" w:hAnsi="Times New Roman" w:cs="Times New Roman"/>
          <w:sz w:val="22"/>
          <w:szCs w:val="22"/>
        </w:rPr>
      </w:pPr>
      <w:r>
        <w:rPr>
          <w:rFonts w:ascii="Times New Roman" w:hAnsi="Times New Roman" w:cs="Times New Roman"/>
          <w:sz w:val="22"/>
          <w:szCs w:val="22"/>
        </w:rPr>
        <w:t>Biotransformácia</w:t>
      </w:r>
    </w:p>
    <w:p w:rsidR="00366BF6" w:rsidRPr="00CE51D7" w:rsidRDefault="00587539" w:rsidP="00366BF6">
      <w:pPr>
        <w:ind w:right="-1"/>
        <w:jc w:val="both"/>
        <w:rPr>
          <w:sz w:val="22"/>
          <w:szCs w:val="22"/>
        </w:rPr>
      </w:pPr>
      <w:r>
        <w:rPr>
          <w:sz w:val="22"/>
          <w:szCs w:val="22"/>
        </w:rPr>
        <w:t>Mesalazín sa metabolizuje pred vstupom do krvného obehu v intestinálnej mukóze a v pečeni na farmakologicky neaktívnu N-acetyl-5-aminosalicylovú kyselinu (N-Ac-5-ASA). Acetylácia je pravdepodobne nezávislá od acetylátorového fenotypu pacienta. Časť mesalazínu sa acetyluje baktériami v hrubom čreve. 43 % mesalazínu a 78 % N-Ac-5-ASA sa viaže na sérové bielkoviny.</w:t>
      </w:r>
    </w:p>
    <w:p w:rsidR="00366BF6" w:rsidRPr="00CE51D7" w:rsidRDefault="00366BF6" w:rsidP="00366BF6">
      <w:pPr>
        <w:pStyle w:val="Zkladntext2"/>
        <w:rPr>
          <w:rFonts w:ascii="Times New Roman" w:hAnsi="Times New Roman" w:cs="Times New Roman"/>
          <w:sz w:val="22"/>
          <w:szCs w:val="22"/>
        </w:rPr>
      </w:pPr>
    </w:p>
    <w:p w:rsidR="00366BF6" w:rsidRPr="00CE51D7" w:rsidRDefault="00587539" w:rsidP="00366BF6">
      <w:pPr>
        <w:pStyle w:val="Zkladntext2"/>
        <w:rPr>
          <w:rFonts w:ascii="Times New Roman" w:hAnsi="Times New Roman" w:cs="Times New Roman"/>
          <w:i/>
          <w:iCs/>
          <w:sz w:val="22"/>
          <w:szCs w:val="22"/>
        </w:rPr>
      </w:pPr>
      <w:r>
        <w:rPr>
          <w:rFonts w:ascii="Times New Roman" w:hAnsi="Times New Roman" w:cs="Times New Roman"/>
          <w:i/>
          <w:iCs/>
          <w:sz w:val="22"/>
          <w:szCs w:val="22"/>
        </w:rPr>
        <w:t>Eliminácia/exkrécia</w:t>
      </w:r>
    </w:p>
    <w:p w:rsidR="00366BF6" w:rsidRPr="00CE51D7" w:rsidRDefault="00587539" w:rsidP="00366BF6">
      <w:pPr>
        <w:ind w:right="-1"/>
        <w:jc w:val="both"/>
        <w:rPr>
          <w:sz w:val="22"/>
          <w:szCs w:val="22"/>
        </w:rPr>
      </w:pPr>
      <w:r>
        <w:rPr>
          <w:sz w:val="22"/>
          <w:szCs w:val="22"/>
        </w:rPr>
        <w:t>Mesalazín a jeho metabolit N-Ac-5-ASA sa vylučujú stolicou (hlavná časť), močom (množstvo kolíše medzi 20 a 50 % v závislosti od spôsobu podania, liekovej formy a pridruženého spôsobu vylučovania) a žlčovými cestami (malá časť). Močom sa vylučuje predovšetkým vo forme N-Ac-5-ASA. Približne 1 % perorálne podaného mesalazínu prechádza do materského mlieka, prevažne ako N-Ac-5-ASA.</w:t>
      </w:r>
    </w:p>
    <w:p w:rsidR="00366BF6" w:rsidRPr="00CE51D7" w:rsidRDefault="00366BF6" w:rsidP="00366BF6">
      <w:pPr>
        <w:ind w:right="-1"/>
        <w:jc w:val="both"/>
        <w:rPr>
          <w:sz w:val="22"/>
          <w:szCs w:val="22"/>
        </w:rPr>
      </w:pPr>
    </w:p>
    <w:p w:rsidR="00366BF6" w:rsidRPr="00CE51D7" w:rsidRDefault="00587539" w:rsidP="00366BF6">
      <w:pPr>
        <w:pStyle w:val="Nadpis6"/>
        <w:rPr>
          <w:rFonts w:ascii="Times New Roman" w:hAnsi="Times New Roman" w:cs="Times New Roman"/>
          <w:sz w:val="22"/>
          <w:szCs w:val="22"/>
        </w:rPr>
      </w:pPr>
      <w:r>
        <w:rPr>
          <w:rFonts w:ascii="Times New Roman" w:hAnsi="Times New Roman" w:cs="Times New Roman"/>
          <w:sz w:val="22"/>
          <w:szCs w:val="22"/>
        </w:rPr>
        <w:t>Špecifické vlastnosti lieku Salofalk 500 tablety</w:t>
      </w:r>
    </w:p>
    <w:p w:rsidR="00366BF6" w:rsidRPr="00CE51D7" w:rsidRDefault="00366BF6" w:rsidP="00366BF6">
      <w:pPr>
        <w:pStyle w:val="Zkladntext2"/>
        <w:rPr>
          <w:rFonts w:ascii="Times New Roman" w:hAnsi="Times New Roman" w:cs="Times New Roman"/>
          <w:sz w:val="22"/>
          <w:szCs w:val="22"/>
        </w:rPr>
      </w:pPr>
    </w:p>
    <w:p w:rsidR="00366BF6" w:rsidRPr="00CE51D7" w:rsidRDefault="00587539" w:rsidP="00366BF6">
      <w:pPr>
        <w:pStyle w:val="Zkladntext2"/>
        <w:rPr>
          <w:rFonts w:ascii="Times New Roman" w:hAnsi="Times New Roman" w:cs="Times New Roman"/>
          <w:i/>
          <w:iCs/>
          <w:sz w:val="22"/>
          <w:szCs w:val="22"/>
        </w:rPr>
      </w:pPr>
      <w:r>
        <w:rPr>
          <w:rFonts w:ascii="Times New Roman" w:hAnsi="Times New Roman" w:cs="Times New Roman"/>
          <w:i/>
          <w:iCs/>
          <w:sz w:val="22"/>
          <w:szCs w:val="22"/>
        </w:rPr>
        <w:t>Distribúcia</w:t>
      </w:r>
    </w:p>
    <w:p w:rsidR="00366BF6" w:rsidRPr="00CE51D7" w:rsidRDefault="00587539" w:rsidP="00366BF6">
      <w:pPr>
        <w:pStyle w:val="Zkladntext2"/>
        <w:rPr>
          <w:rFonts w:ascii="Times New Roman" w:hAnsi="Times New Roman" w:cs="Times New Roman"/>
          <w:position w:val="4"/>
          <w:sz w:val="22"/>
          <w:szCs w:val="22"/>
        </w:rPr>
      </w:pPr>
      <w:r>
        <w:rPr>
          <w:rFonts w:ascii="Times New Roman" w:hAnsi="Times New Roman" w:cs="Times New Roman"/>
          <w:position w:val="4"/>
          <w:sz w:val="22"/>
          <w:szCs w:val="22"/>
        </w:rPr>
        <w:t>Kombinovaná farmakoscintigrafická/farmakokinetická štúdia na pacientoch ukázala, že liek Salofalk 500 tablety dosiahne ileocekálnu oblasť približne po 3-4 hodinách, ak sa užijú súčasne s jedlom a colon ascendens dosiahne približne po 4-5 hodinách. Celkový čas prechodu tráviacim systémom je cca 17 hodín.</w:t>
      </w:r>
    </w:p>
    <w:p w:rsidR="00366BF6" w:rsidRPr="00CE51D7" w:rsidRDefault="00366BF6" w:rsidP="00366BF6">
      <w:pPr>
        <w:pStyle w:val="Zkladntext2"/>
        <w:rPr>
          <w:rFonts w:ascii="Times New Roman" w:hAnsi="Times New Roman" w:cs="Times New Roman"/>
          <w:position w:val="4"/>
          <w:sz w:val="22"/>
          <w:szCs w:val="22"/>
        </w:rPr>
      </w:pPr>
    </w:p>
    <w:p w:rsidR="00366BF6" w:rsidRPr="00CE51D7" w:rsidRDefault="00587539" w:rsidP="00366BF6">
      <w:pPr>
        <w:pStyle w:val="Zkladntext2"/>
        <w:rPr>
          <w:rFonts w:ascii="Times New Roman" w:hAnsi="Times New Roman" w:cs="Times New Roman"/>
          <w:i/>
          <w:iCs/>
          <w:sz w:val="22"/>
          <w:szCs w:val="22"/>
        </w:rPr>
      </w:pPr>
      <w:r>
        <w:rPr>
          <w:rFonts w:ascii="Times New Roman" w:hAnsi="Times New Roman" w:cs="Times New Roman"/>
          <w:i/>
          <w:iCs/>
          <w:sz w:val="22"/>
          <w:szCs w:val="22"/>
        </w:rPr>
        <w:t>Absorpcia</w:t>
      </w:r>
    </w:p>
    <w:p w:rsidR="00366BF6" w:rsidRPr="00CE51D7" w:rsidRDefault="00587539" w:rsidP="00366BF6">
      <w:pPr>
        <w:pStyle w:val="Zkladntext2"/>
        <w:rPr>
          <w:rFonts w:ascii="Times New Roman" w:hAnsi="Times New Roman" w:cs="Times New Roman"/>
          <w:sz w:val="22"/>
          <w:szCs w:val="22"/>
        </w:rPr>
      </w:pPr>
      <w:r>
        <w:rPr>
          <w:rFonts w:ascii="Times New Roman" w:hAnsi="Times New Roman" w:cs="Times New Roman"/>
          <w:sz w:val="22"/>
          <w:szCs w:val="22"/>
        </w:rPr>
        <w:t xml:space="preserve">Uvoľňovanie mesalazínu z lieku Salofalk 500 tablety začína po prestávke, ktorá trvá približne 3-4 hodiny. Maximálne plazmatické koncentrácie dosiahne po asi 5 hodinách (ileocekálna oblasť) a pri dávke 5 x 500 mg (3 x 1 tableta lieku Salofalk 500 tablety) sú 3,0 ± 1,6 </w:t>
      </w:r>
      <w:r>
        <w:rPr>
          <w:rFonts w:ascii="Times New Roman" w:hAnsi="Times New Roman" w:cs="Times New Roman"/>
          <w:sz w:val="22"/>
          <w:szCs w:val="22"/>
        </w:rPr>
        <w:sym w:font="Symbol" w:char="F06D"/>
      </w:r>
      <w:r>
        <w:rPr>
          <w:rFonts w:ascii="Times New Roman" w:hAnsi="Times New Roman" w:cs="Times New Roman"/>
          <w:sz w:val="22"/>
          <w:szCs w:val="22"/>
        </w:rPr>
        <w:t xml:space="preserve">g/ml pre 5-ASA a 3,4 ± 1,6 </w:t>
      </w:r>
      <w:r>
        <w:rPr>
          <w:rFonts w:ascii="Times New Roman" w:hAnsi="Times New Roman" w:cs="Times New Roman"/>
          <w:sz w:val="22"/>
          <w:szCs w:val="22"/>
        </w:rPr>
        <w:sym w:font="Symbol" w:char="F06D"/>
      </w:r>
      <w:r>
        <w:rPr>
          <w:rFonts w:ascii="Times New Roman" w:hAnsi="Times New Roman" w:cs="Times New Roman"/>
          <w:sz w:val="22"/>
          <w:szCs w:val="22"/>
        </w:rPr>
        <w:t>g/ml pre metabolit N-Ac-5-ASA.</w:t>
      </w:r>
    </w:p>
    <w:p w:rsidR="00366BF6" w:rsidRPr="00CE51D7" w:rsidRDefault="00366BF6" w:rsidP="00366BF6">
      <w:pPr>
        <w:pStyle w:val="Zkladntext2"/>
        <w:rPr>
          <w:rFonts w:ascii="Times New Roman" w:hAnsi="Times New Roman" w:cs="Times New Roman"/>
          <w:sz w:val="22"/>
          <w:szCs w:val="22"/>
        </w:rPr>
      </w:pPr>
    </w:p>
    <w:p w:rsidR="00366BF6" w:rsidRPr="00CE51D7" w:rsidRDefault="00587539" w:rsidP="00366BF6">
      <w:pPr>
        <w:pStyle w:val="Zkladntext2"/>
        <w:rPr>
          <w:rFonts w:ascii="Times New Roman" w:hAnsi="Times New Roman" w:cs="Times New Roman"/>
          <w:i/>
          <w:iCs/>
          <w:sz w:val="22"/>
          <w:szCs w:val="22"/>
        </w:rPr>
      </w:pPr>
      <w:r>
        <w:rPr>
          <w:rFonts w:ascii="Times New Roman" w:hAnsi="Times New Roman" w:cs="Times New Roman"/>
          <w:i/>
          <w:iCs/>
          <w:sz w:val="22"/>
          <w:szCs w:val="22"/>
        </w:rPr>
        <w:t>Eliminácia</w:t>
      </w:r>
    </w:p>
    <w:p w:rsidR="00366BF6" w:rsidRPr="00CE51D7" w:rsidRDefault="00587539" w:rsidP="00366BF6">
      <w:pPr>
        <w:pStyle w:val="Zkladntext2"/>
        <w:rPr>
          <w:rFonts w:ascii="Times New Roman" w:hAnsi="Times New Roman" w:cs="Times New Roman"/>
          <w:sz w:val="22"/>
          <w:szCs w:val="22"/>
        </w:rPr>
      </w:pPr>
      <w:r>
        <w:rPr>
          <w:rFonts w:ascii="Times New Roman" w:hAnsi="Times New Roman" w:cs="Times New Roman"/>
          <w:sz w:val="22"/>
          <w:szCs w:val="22"/>
        </w:rPr>
        <w:t>Renálna rýchlosť eliminácie pre mesalazín a N-Ac-5-ASA počas 24 hodín po opakovanom podaní (3 x 1 tableta lieku Salofalk 500 tablety počas 2 dní; 1 tablety na tretí deň – deň vyšetrenia) bola približne 60 %.</w:t>
      </w:r>
    </w:p>
    <w:p w:rsidR="00366BF6" w:rsidRPr="00CE51D7" w:rsidRDefault="00587539" w:rsidP="00366BF6">
      <w:pPr>
        <w:pStyle w:val="Zkladntext2"/>
        <w:rPr>
          <w:rFonts w:ascii="Times New Roman" w:hAnsi="Times New Roman" w:cs="Times New Roman"/>
          <w:sz w:val="22"/>
          <w:szCs w:val="22"/>
        </w:rPr>
      </w:pPr>
      <w:r>
        <w:rPr>
          <w:rFonts w:ascii="Times New Roman" w:hAnsi="Times New Roman" w:cs="Times New Roman"/>
          <w:sz w:val="22"/>
          <w:szCs w:val="22"/>
        </w:rPr>
        <w:t>Nezmetabolizovaný mesalazín po perorálnom podaní tvoril asi 10 %.</w:t>
      </w:r>
    </w:p>
    <w:p w:rsidR="00366BF6" w:rsidRPr="00CE51D7" w:rsidRDefault="00366BF6" w:rsidP="00366BF6">
      <w:pPr>
        <w:ind w:right="-1"/>
        <w:jc w:val="both"/>
        <w:rPr>
          <w:sz w:val="22"/>
          <w:szCs w:val="22"/>
          <w:u w:val="single"/>
        </w:rPr>
      </w:pPr>
    </w:p>
    <w:p w:rsidR="00366BF6" w:rsidRPr="00CE51D7" w:rsidRDefault="00587539" w:rsidP="00366BF6">
      <w:pPr>
        <w:ind w:right="-1"/>
        <w:jc w:val="both"/>
        <w:rPr>
          <w:b/>
          <w:sz w:val="22"/>
          <w:szCs w:val="22"/>
        </w:rPr>
      </w:pPr>
      <w:r>
        <w:rPr>
          <w:b/>
          <w:sz w:val="22"/>
          <w:szCs w:val="22"/>
        </w:rPr>
        <w:t>5.3 Predklinické údaje o bezpečnosti</w:t>
      </w:r>
    </w:p>
    <w:p w:rsidR="00366BF6" w:rsidRPr="00CE51D7" w:rsidRDefault="00366BF6" w:rsidP="00366BF6">
      <w:pPr>
        <w:ind w:right="-1"/>
        <w:jc w:val="both"/>
        <w:rPr>
          <w:sz w:val="22"/>
          <w:szCs w:val="22"/>
        </w:rPr>
      </w:pPr>
    </w:p>
    <w:p w:rsidR="00366BF6" w:rsidRPr="00CE51D7" w:rsidRDefault="00587539" w:rsidP="00366BF6">
      <w:pPr>
        <w:ind w:right="-1"/>
        <w:jc w:val="both"/>
        <w:rPr>
          <w:sz w:val="22"/>
          <w:szCs w:val="22"/>
        </w:rPr>
      </w:pPr>
      <w:r>
        <w:rPr>
          <w:sz w:val="22"/>
          <w:szCs w:val="22"/>
        </w:rPr>
        <w:t>Predklinické údaje získané v konvenčných štúdiách na farmakologickú bezpečnosť, genotoxicitu, karcinogenitu (potkan) alebo reprodukčnú toxicitu nepreukázali žiadne osobitné riziko pre ľudí.</w:t>
      </w:r>
    </w:p>
    <w:p w:rsidR="00366BF6" w:rsidRPr="00CE51D7" w:rsidRDefault="00366BF6" w:rsidP="00366BF6">
      <w:pPr>
        <w:ind w:right="-1"/>
        <w:jc w:val="both"/>
        <w:rPr>
          <w:sz w:val="22"/>
          <w:szCs w:val="22"/>
        </w:rPr>
      </w:pPr>
    </w:p>
    <w:p w:rsidR="00366BF6" w:rsidRPr="00CE51D7" w:rsidRDefault="00587539" w:rsidP="00366BF6">
      <w:pPr>
        <w:ind w:right="-1"/>
        <w:jc w:val="both"/>
        <w:rPr>
          <w:sz w:val="22"/>
          <w:szCs w:val="22"/>
        </w:rPr>
      </w:pPr>
      <w:r>
        <w:rPr>
          <w:sz w:val="22"/>
          <w:szCs w:val="22"/>
        </w:rPr>
        <w:t>Renálna toxicita (renálna nekróza a poškodenie epitelu proximálnych tubulov alebo celých nefrónov) bola pozorovaná v štúdiách na toxicitu po opakovanom podaní vysokých dávok mesalazínu p.o. Klinická významnosť týchto zistení nie je jasná.</w:t>
      </w:r>
    </w:p>
    <w:p w:rsidR="00366BF6" w:rsidRPr="00CE51D7" w:rsidRDefault="00366BF6" w:rsidP="00366BF6">
      <w:pPr>
        <w:ind w:right="-1"/>
        <w:jc w:val="both"/>
        <w:rPr>
          <w:sz w:val="22"/>
          <w:szCs w:val="22"/>
          <w:u w:val="single"/>
        </w:rPr>
      </w:pPr>
    </w:p>
    <w:p w:rsidR="0097762C" w:rsidRPr="00CE51D7" w:rsidRDefault="0097762C" w:rsidP="00366BF6">
      <w:pPr>
        <w:ind w:right="-1"/>
        <w:jc w:val="both"/>
        <w:rPr>
          <w:sz w:val="22"/>
          <w:szCs w:val="22"/>
          <w:u w:val="single"/>
        </w:rPr>
      </w:pPr>
    </w:p>
    <w:p w:rsidR="00A26CC8" w:rsidRPr="00CE51D7" w:rsidRDefault="00A26CC8" w:rsidP="00366BF6">
      <w:pPr>
        <w:ind w:right="-1"/>
        <w:jc w:val="both"/>
        <w:rPr>
          <w:sz w:val="22"/>
          <w:szCs w:val="22"/>
          <w:u w:val="single"/>
        </w:rPr>
      </w:pPr>
    </w:p>
    <w:p w:rsidR="00A26CC8" w:rsidRPr="00CE51D7" w:rsidRDefault="00A26CC8" w:rsidP="00366BF6">
      <w:pPr>
        <w:ind w:right="-1"/>
        <w:jc w:val="both"/>
        <w:rPr>
          <w:sz w:val="22"/>
          <w:szCs w:val="22"/>
          <w:u w:val="single"/>
        </w:rPr>
      </w:pPr>
    </w:p>
    <w:p w:rsidR="00366BF6" w:rsidRPr="00CE51D7" w:rsidRDefault="00587539" w:rsidP="00366BF6">
      <w:pPr>
        <w:ind w:right="-1"/>
        <w:jc w:val="both"/>
        <w:rPr>
          <w:b/>
          <w:sz w:val="22"/>
          <w:szCs w:val="22"/>
        </w:rPr>
      </w:pPr>
      <w:r>
        <w:rPr>
          <w:b/>
          <w:sz w:val="22"/>
          <w:szCs w:val="22"/>
        </w:rPr>
        <w:t xml:space="preserve">6. </w:t>
      </w:r>
      <w:r>
        <w:rPr>
          <w:b/>
          <w:caps/>
          <w:sz w:val="22"/>
          <w:szCs w:val="22"/>
        </w:rPr>
        <w:t>Farmaceutické informácie</w:t>
      </w:r>
    </w:p>
    <w:p w:rsidR="00366BF6" w:rsidRPr="00CE51D7" w:rsidRDefault="00366BF6" w:rsidP="00366BF6">
      <w:pPr>
        <w:ind w:right="-1"/>
        <w:jc w:val="both"/>
        <w:rPr>
          <w:sz w:val="22"/>
          <w:szCs w:val="22"/>
        </w:rPr>
      </w:pPr>
    </w:p>
    <w:p w:rsidR="00366BF6" w:rsidRPr="00CE51D7" w:rsidRDefault="00587539" w:rsidP="00366BF6">
      <w:pPr>
        <w:ind w:right="-1"/>
        <w:jc w:val="both"/>
        <w:rPr>
          <w:b/>
          <w:sz w:val="22"/>
          <w:szCs w:val="22"/>
        </w:rPr>
      </w:pPr>
      <w:r>
        <w:rPr>
          <w:b/>
          <w:sz w:val="22"/>
          <w:szCs w:val="22"/>
        </w:rPr>
        <w:t>6.1 Zoznam pomocných látok</w:t>
      </w:r>
    </w:p>
    <w:p w:rsidR="00366BF6" w:rsidRPr="00CE51D7" w:rsidRDefault="00366BF6" w:rsidP="00366BF6">
      <w:pPr>
        <w:ind w:right="-1"/>
        <w:jc w:val="both"/>
        <w:rPr>
          <w:sz w:val="22"/>
          <w:szCs w:val="22"/>
        </w:rPr>
      </w:pPr>
    </w:p>
    <w:p w:rsidR="00366BF6" w:rsidRPr="00CE51D7" w:rsidRDefault="00587539" w:rsidP="00366BF6">
      <w:pPr>
        <w:ind w:right="-1"/>
        <w:jc w:val="both"/>
        <w:rPr>
          <w:sz w:val="22"/>
          <w:szCs w:val="22"/>
        </w:rPr>
      </w:pPr>
      <w:r>
        <w:rPr>
          <w:sz w:val="22"/>
          <w:szCs w:val="22"/>
          <w:u w:val="single"/>
        </w:rPr>
        <w:t>Jadro tablety</w:t>
      </w:r>
      <w:r>
        <w:rPr>
          <w:sz w:val="22"/>
          <w:szCs w:val="22"/>
        </w:rPr>
        <w:t>: bezvodý uhličitan sodný, glycín, povidón, mikrokryštalická celulóza, bezvodý koloidný oxid kremičitý, kalciumstearát, sodná soľ karmelózy.</w:t>
      </w:r>
    </w:p>
    <w:p w:rsidR="00366BF6" w:rsidRPr="00CE51D7" w:rsidRDefault="00366BF6" w:rsidP="00366BF6">
      <w:pPr>
        <w:ind w:right="-1"/>
        <w:jc w:val="both"/>
        <w:rPr>
          <w:sz w:val="22"/>
          <w:szCs w:val="22"/>
        </w:rPr>
      </w:pPr>
    </w:p>
    <w:p w:rsidR="00366BF6" w:rsidRPr="00CE51D7" w:rsidRDefault="00587539" w:rsidP="00366BF6">
      <w:pPr>
        <w:ind w:right="-1"/>
        <w:jc w:val="both"/>
        <w:rPr>
          <w:sz w:val="22"/>
          <w:szCs w:val="22"/>
        </w:rPr>
      </w:pPr>
      <w:r>
        <w:rPr>
          <w:sz w:val="22"/>
          <w:szCs w:val="22"/>
          <w:u w:val="single"/>
        </w:rPr>
        <w:t>Izolačná vrstva</w:t>
      </w:r>
      <w:r>
        <w:rPr>
          <w:sz w:val="22"/>
          <w:szCs w:val="22"/>
        </w:rPr>
        <w:t>: hypromelóza.</w:t>
      </w:r>
    </w:p>
    <w:p w:rsidR="00366BF6" w:rsidRPr="00CE51D7" w:rsidRDefault="00366BF6" w:rsidP="00366BF6">
      <w:pPr>
        <w:ind w:right="-1"/>
        <w:jc w:val="both"/>
        <w:rPr>
          <w:sz w:val="22"/>
          <w:szCs w:val="22"/>
          <w:u w:val="single"/>
        </w:rPr>
      </w:pPr>
    </w:p>
    <w:p w:rsidR="00366BF6" w:rsidRPr="00CE51D7" w:rsidRDefault="00587539" w:rsidP="00366BF6">
      <w:pPr>
        <w:ind w:right="-1"/>
        <w:jc w:val="both"/>
        <w:rPr>
          <w:sz w:val="22"/>
          <w:szCs w:val="22"/>
        </w:rPr>
      </w:pPr>
      <w:r>
        <w:rPr>
          <w:sz w:val="22"/>
          <w:szCs w:val="22"/>
          <w:u w:val="single"/>
        </w:rPr>
        <w:t>Obal tablety</w:t>
      </w:r>
      <w:r>
        <w:rPr>
          <w:sz w:val="22"/>
          <w:szCs w:val="22"/>
        </w:rPr>
        <w:t>: metakrylátový kopolymér typ A, metakrylátový kopolymér typ C, mastenec, makrogol 6000, oxid titaničitý (E 171), žltý oxid železitý (E 172).</w:t>
      </w:r>
    </w:p>
    <w:p w:rsidR="00366BF6" w:rsidRPr="00CE51D7" w:rsidRDefault="00366BF6" w:rsidP="00366BF6">
      <w:pPr>
        <w:ind w:right="-1"/>
        <w:jc w:val="both"/>
        <w:rPr>
          <w:sz w:val="22"/>
          <w:szCs w:val="22"/>
        </w:rPr>
      </w:pPr>
    </w:p>
    <w:p w:rsidR="00366BF6" w:rsidRPr="00CE51D7" w:rsidRDefault="00587539" w:rsidP="00366BF6">
      <w:pPr>
        <w:ind w:right="-1"/>
        <w:jc w:val="both"/>
        <w:rPr>
          <w:b/>
          <w:sz w:val="22"/>
          <w:szCs w:val="22"/>
        </w:rPr>
      </w:pPr>
      <w:r>
        <w:rPr>
          <w:b/>
          <w:sz w:val="22"/>
          <w:szCs w:val="22"/>
        </w:rPr>
        <w:t>6.2 Inkompatibility</w:t>
      </w:r>
    </w:p>
    <w:p w:rsidR="00366BF6" w:rsidRPr="00CE51D7" w:rsidRDefault="00366BF6" w:rsidP="00366BF6">
      <w:pPr>
        <w:ind w:right="-1"/>
        <w:jc w:val="both"/>
        <w:rPr>
          <w:sz w:val="22"/>
          <w:szCs w:val="22"/>
        </w:rPr>
      </w:pPr>
    </w:p>
    <w:p w:rsidR="00366BF6" w:rsidRPr="00CE51D7" w:rsidRDefault="00587539" w:rsidP="00366BF6">
      <w:pPr>
        <w:ind w:right="-1"/>
        <w:jc w:val="both"/>
        <w:rPr>
          <w:sz w:val="22"/>
          <w:szCs w:val="22"/>
        </w:rPr>
      </w:pPr>
      <w:r>
        <w:rPr>
          <w:sz w:val="22"/>
          <w:szCs w:val="22"/>
        </w:rPr>
        <w:t>Žiadne.</w:t>
      </w:r>
    </w:p>
    <w:p w:rsidR="00A26CC8" w:rsidRPr="00CE51D7" w:rsidRDefault="00A26CC8" w:rsidP="00366BF6">
      <w:pPr>
        <w:ind w:right="-1"/>
        <w:jc w:val="both"/>
        <w:rPr>
          <w:sz w:val="22"/>
          <w:szCs w:val="22"/>
        </w:rPr>
      </w:pPr>
    </w:p>
    <w:p w:rsidR="00366BF6" w:rsidRPr="00CE51D7" w:rsidRDefault="00587539" w:rsidP="00366BF6">
      <w:pPr>
        <w:ind w:right="-1"/>
        <w:jc w:val="both"/>
        <w:rPr>
          <w:b/>
          <w:sz w:val="22"/>
          <w:szCs w:val="22"/>
        </w:rPr>
      </w:pPr>
      <w:r>
        <w:rPr>
          <w:b/>
          <w:sz w:val="22"/>
          <w:szCs w:val="22"/>
        </w:rPr>
        <w:t>6.3 Čas použiteľnosti</w:t>
      </w:r>
    </w:p>
    <w:p w:rsidR="00366BF6" w:rsidRPr="00CE51D7" w:rsidRDefault="00366BF6" w:rsidP="00366BF6">
      <w:pPr>
        <w:ind w:right="-1"/>
        <w:jc w:val="both"/>
        <w:rPr>
          <w:sz w:val="22"/>
          <w:szCs w:val="22"/>
        </w:rPr>
      </w:pPr>
    </w:p>
    <w:p w:rsidR="00366BF6" w:rsidRPr="00CE51D7" w:rsidRDefault="00587539" w:rsidP="00366BF6">
      <w:pPr>
        <w:ind w:right="-1"/>
        <w:jc w:val="both"/>
        <w:rPr>
          <w:b/>
          <w:sz w:val="22"/>
          <w:szCs w:val="22"/>
        </w:rPr>
      </w:pPr>
      <w:r>
        <w:rPr>
          <w:sz w:val="22"/>
          <w:szCs w:val="22"/>
        </w:rPr>
        <w:t>3 roky</w:t>
      </w:r>
    </w:p>
    <w:p w:rsidR="00366BF6" w:rsidRPr="00CE51D7" w:rsidRDefault="00366BF6" w:rsidP="00366BF6">
      <w:pPr>
        <w:ind w:right="-1"/>
        <w:jc w:val="both"/>
        <w:rPr>
          <w:sz w:val="22"/>
          <w:szCs w:val="22"/>
        </w:rPr>
      </w:pPr>
    </w:p>
    <w:p w:rsidR="00366BF6" w:rsidRPr="00CE51D7" w:rsidRDefault="00587539" w:rsidP="00366BF6">
      <w:pPr>
        <w:ind w:right="-1"/>
        <w:jc w:val="both"/>
        <w:rPr>
          <w:b/>
          <w:sz w:val="22"/>
          <w:szCs w:val="22"/>
        </w:rPr>
      </w:pPr>
      <w:r>
        <w:rPr>
          <w:b/>
          <w:sz w:val="22"/>
          <w:szCs w:val="22"/>
        </w:rPr>
        <w:t>6.4 Špeciálne upozornenia na uchovávanie</w:t>
      </w:r>
    </w:p>
    <w:p w:rsidR="00366BF6" w:rsidRPr="00CE51D7" w:rsidRDefault="00366BF6" w:rsidP="00366BF6">
      <w:pPr>
        <w:ind w:right="-1"/>
        <w:jc w:val="both"/>
        <w:rPr>
          <w:sz w:val="22"/>
          <w:szCs w:val="22"/>
        </w:rPr>
      </w:pPr>
    </w:p>
    <w:p w:rsidR="00366BF6" w:rsidRPr="00CE51D7" w:rsidRDefault="00587539" w:rsidP="00366BF6">
      <w:pPr>
        <w:ind w:right="-1"/>
        <w:jc w:val="both"/>
        <w:rPr>
          <w:sz w:val="22"/>
          <w:szCs w:val="22"/>
        </w:rPr>
      </w:pPr>
      <w:r>
        <w:rPr>
          <w:sz w:val="22"/>
          <w:szCs w:val="22"/>
        </w:rPr>
        <w:t xml:space="preserve">Uchovávajte pri teplotách do </w:t>
      </w:r>
      <w:smartTag w:uri="urn:schemas-microsoft-com:office:smarttags" w:element="metricconverter">
        <w:smartTagPr>
          <w:attr w:name="ProductID" w:val="25 ﾰC"/>
        </w:smartTagPr>
        <w:r>
          <w:rPr>
            <w:sz w:val="22"/>
            <w:szCs w:val="22"/>
          </w:rPr>
          <w:t>25 °C</w:t>
        </w:r>
      </w:smartTag>
      <w:r>
        <w:rPr>
          <w:sz w:val="22"/>
          <w:szCs w:val="22"/>
        </w:rPr>
        <w:t>.</w:t>
      </w:r>
    </w:p>
    <w:p w:rsidR="00366BF6" w:rsidRPr="00CE51D7" w:rsidRDefault="00366BF6" w:rsidP="00366BF6">
      <w:pPr>
        <w:ind w:right="-1"/>
        <w:jc w:val="both"/>
        <w:rPr>
          <w:b/>
          <w:sz w:val="22"/>
          <w:szCs w:val="22"/>
        </w:rPr>
      </w:pPr>
    </w:p>
    <w:p w:rsidR="00366BF6" w:rsidRPr="00CE51D7" w:rsidRDefault="00587539" w:rsidP="00366BF6">
      <w:pPr>
        <w:ind w:right="-1"/>
        <w:jc w:val="both"/>
        <w:rPr>
          <w:b/>
          <w:sz w:val="22"/>
          <w:szCs w:val="22"/>
        </w:rPr>
      </w:pPr>
      <w:r>
        <w:rPr>
          <w:b/>
          <w:sz w:val="22"/>
          <w:szCs w:val="22"/>
        </w:rPr>
        <w:t>6.5 Druh obalu a obsah balenia</w:t>
      </w:r>
    </w:p>
    <w:p w:rsidR="00366BF6" w:rsidRPr="00CE51D7" w:rsidRDefault="00366BF6" w:rsidP="00366BF6">
      <w:pPr>
        <w:ind w:right="-1"/>
        <w:jc w:val="both"/>
        <w:rPr>
          <w:sz w:val="22"/>
          <w:szCs w:val="22"/>
        </w:rPr>
      </w:pPr>
    </w:p>
    <w:p w:rsidR="00366BF6" w:rsidRPr="00CE51D7" w:rsidRDefault="00587539" w:rsidP="00366BF6">
      <w:pPr>
        <w:ind w:right="-1"/>
        <w:jc w:val="both"/>
        <w:rPr>
          <w:sz w:val="22"/>
          <w:szCs w:val="22"/>
        </w:rPr>
      </w:pPr>
      <w:r>
        <w:rPr>
          <w:sz w:val="22"/>
          <w:szCs w:val="22"/>
        </w:rPr>
        <w:t>Al/PVC/PVDC blistrové pásy v papierových škatuľkách, písomná informácia pre používateľa.</w:t>
      </w:r>
    </w:p>
    <w:p w:rsidR="00366BF6" w:rsidRPr="00CE51D7" w:rsidRDefault="00366BF6" w:rsidP="00366BF6">
      <w:pPr>
        <w:ind w:right="-1"/>
        <w:jc w:val="both"/>
        <w:rPr>
          <w:sz w:val="22"/>
          <w:szCs w:val="22"/>
        </w:rPr>
      </w:pPr>
    </w:p>
    <w:p w:rsidR="00366BF6" w:rsidRPr="00CE51D7" w:rsidRDefault="00587539" w:rsidP="00366BF6">
      <w:pPr>
        <w:ind w:right="-1"/>
        <w:jc w:val="both"/>
        <w:rPr>
          <w:sz w:val="22"/>
          <w:szCs w:val="22"/>
        </w:rPr>
      </w:pPr>
      <w:r>
        <w:rPr>
          <w:sz w:val="22"/>
          <w:szCs w:val="22"/>
          <w:u w:val="single"/>
        </w:rPr>
        <w:t>Veľkosť balenia</w:t>
      </w:r>
      <w:r>
        <w:rPr>
          <w:sz w:val="22"/>
          <w:szCs w:val="22"/>
        </w:rPr>
        <w:t>: 50 alebo 100 gastrorezistentných tabliet</w:t>
      </w:r>
    </w:p>
    <w:p w:rsidR="00366BF6" w:rsidRPr="00CE51D7" w:rsidRDefault="00366BF6" w:rsidP="00366BF6">
      <w:pPr>
        <w:ind w:right="-1"/>
        <w:jc w:val="both"/>
        <w:rPr>
          <w:sz w:val="22"/>
          <w:szCs w:val="22"/>
        </w:rPr>
      </w:pPr>
    </w:p>
    <w:p w:rsidR="00366BF6" w:rsidRPr="00CE51D7" w:rsidRDefault="00587539" w:rsidP="00366BF6">
      <w:pPr>
        <w:ind w:right="-1"/>
        <w:jc w:val="both"/>
        <w:rPr>
          <w:b/>
          <w:sz w:val="22"/>
          <w:szCs w:val="22"/>
        </w:rPr>
      </w:pPr>
      <w:r>
        <w:rPr>
          <w:b/>
          <w:sz w:val="22"/>
          <w:szCs w:val="22"/>
        </w:rPr>
        <w:t>6.6  Špeciálne opatrenia na likvidáciu a iné zaobchádzania s liekom</w:t>
      </w:r>
    </w:p>
    <w:p w:rsidR="00366BF6" w:rsidRPr="00CE51D7" w:rsidRDefault="00366BF6" w:rsidP="00366BF6">
      <w:pPr>
        <w:ind w:right="-1"/>
        <w:jc w:val="both"/>
        <w:rPr>
          <w:sz w:val="22"/>
          <w:szCs w:val="22"/>
        </w:rPr>
      </w:pPr>
    </w:p>
    <w:p w:rsidR="00A26CC8" w:rsidRPr="00CE51D7" w:rsidRDefault="00587539" w:rsidP="00A26CC8">
      <w:pPr>
        <w:ind w:right="-1"/>
        <w:jc w:val="both"/>
        <w:rPr>
          <w:sz w:val="22"/>
          <w:szCs w:val="22"/>
        </w:rPr>
      </w:pPr>
      <w:r>
        <w:rPr>
          <w:sz w:val="22"/>
          <w:szCs w:val="22"/>
        </w:rPr>
        <w:t>Nepoužitý liek alebo odpad vzniknutý z lieku treba vrátiť do lekárne.</w:t>
      </w:r>
    </w:p>
    <w:p w:rsidR="00366BF6" w:rsidRPr="00CE51D7" w:rsidRDefault="00366BF6" w:rsidP="00366BF6">
      <w:pPr>
        <w:ind w:right="-1"/>
        <w:jc w:val="both"/>
        <w:rPr>
          <w:sz w:val="22"/>
          <w:szCs w:val="22"/>
        </w:rPr>
      </w:pPr>
    </w:p>
    <w:p w:rsidR="00366BF6" w:rsidRPr="00CE51D7" w:rsidRDefault="00366BF6" w:rsidP="00366BF6">
      <w:pPr>
        <w:ind w:right="-1"/>
        <w:jc w:val="both"/>
        <w:rPr>
          <w:sz w:val="22"/>
          <w:szCs w:val="22"/>
        </w:rPr>
      </w:pPr>
    </w:p>
    <w:p w:rsidR="00366BF6" w:rsidRPr="00CE51D7" w:rsidRDefault="00587539" w:rsidP="00366BF6">
      <w:pPr>
        <w:ind w:right="-1"/>
        <w:jc w:val="both"/>
        <w:rPr>
          <w:caps/>
          <w:sz w:val="22"/>
          <w:szCs w:val="22"/>
        </w:rPr>
      </w:pPr>
      <w:r>
        <w:rPr>
          <w:b/>
          <w:sz w:val="22"/>
          <w:szCs w:val="22"/>
        </w:rPr>
        <w:t xml:space="preserve">7. </w:t>
      </w:r>
      <w:r>
        <w:rPr>
          <w:b/>
          <w:caps/>
          <w:sz w:val="22"/>
          <w:szCs w:val="22"/>
        </w:rPr>
        <w:t>Držiteľ rozhodnutia o registrácii</w:t>
      </w:r>
    </w:p>
    <w:p w:rsidR="00366BF6" w:rsidRPr="00CE51D7" w:rsidRDefault="00366BF6" w:rsidP="00366BF6">
      <w:pPr>
        <w:ind w:right="-1"/>
        <w:jc w:val="both"/>
        <w:rPr>
          <w:sz w:val="22"/>
          <w:szCs w:val="22"/>
        </w:rPr>
      </w:pPr>
    </w:p>
    <w:p w:rsidR="00366BF6" w:rsidRPr="00CE51D7" w:rsidRDefault="00587539" w:rsidP="00366BF6">
      <w:pPr>
        <w:tabs>
          <w:tab w:val="left" w:pos="426"/>
        </w:tabs>
        <w:jc w:val="both"/>
        <w:rPr>
          <w:sz w:val="22"/>
          <w:szCs w:val="22"/>
        </w:rPr>
      </w:pPr>
      <w:r>
        <w:rPr>
          <w:sz w:val="22"/>
          <w:szCs w:val="22"/>
        </w:rPr>
        <w:t>Dr. Falk Pharma GmbH</w:t>
      </w:r>
    </w:p>
    <w:p w:rsidR="00366BF6" w:rsidRPr="00CE51D7" w:rsidRDefault="00587539" w:rsidP="00366BF6">
      <w:pPr>
        <w:tabs>
          <w:tab w:val="left" w:pos="426"/>
        </w:tabs>
        <w:jc w:val="both"/>
        <w:rPr>
          <w:sz w:val="22"/>
          <w:szCs w:val="22"/>
        </w:rPr>
      </w:pPr>
      <w:r>
        <w:rPr>
          <w:sz w:val="22"/>
          <w:szCs w:val="22"/>
        </w:rPr>
        <w:t>Leinenweberstrasse 5</w:t>
      </w:r>
    </w:p>
    <w:p w:rsidR="00366BF6" w:rsidRPr="00CE51D7" w:rsidRDefault="00587539" w:rsidP="00366BF6">
      <w:pPr>
        <w:tabs>
          <w:tab w:val="left" w:pos="426"/>
        </w:tabs>
        <w:jc w:val="both"/>
        <w:rPr>
          <w:sz w:val="22"/>
          <w:szCs w:val="22"/>
        </w:rPr>
      </w:pPr>
      <w:r>
        <w:rPr>
          <w:sz w:val="22"/>
          <w:szCs w:val="22"/>
        </w:rPr>
        <w:t>791 08 Freiburg</w:t>
      </w:r>
    </w:p>
    <w:p w:rsidR="00366BF6" w:rsidRPr="00CE51D7" w:rsidRDefault="00587539" w:rsidP="00366BF6">
      <w:pPr>
        <w:tabs>
          <w:tab w:val="left" w:pos="426"/>
        </w:tabs>
        <w:jc w:val="both"/>
        <w:rPr>
          <w:sz w:val="22"/>
          <w:szCs w:val="22"/>
        </w:rPr>
      </w:pPr>
      <w:r>
        <w:rPr>
          <w:sz w:val="22"/>
          <w:szCs w:val="22"/>
        </w:rPr>
        <w:t>Nemecko</w:t>
      </w:r>
    </w:p>
    <w:p w:rsidR="0097762C" w:rsidRPr="00CE51D7" w:rsidRDefault="0097762C" w:rsidP="00366BF6">
      <w:pPr>
        <w:ind w:right="-1"/>
        <w:jc w:val="both"/>
        <w:rPr>
          <w:b/>
          <w:sz w:val="22"/>
          <w:szCs w:val="22"/>
          <w:u w:val="single"/>
        </w:rPr>
      </w:pPr>
    </w:p>
    <w:p w:rsidR="00366BF6" w:rsidRPr="00CE51D7" w:rsidRDefault="00587539" w:rsidP="00366BF6">
      <w:pPr>
        <w:ind w:right="-1"/>
        <w:jc w:val="both"/>
        <w:rPr>
          <w:sz w:val="22"/>
          <w:szCs w:val="22"/>
        </w:rPr>
      </w:pPr>
      <w:r>
        <w:rPr>
          <w:b/>
          <w:sz w:val="22"/>
          <w:szCs w:val="22"/>
        </w:rPr>
        <w:t xml:space="preserve">8. </w:t>
      </w:r>
      <w:r>
        <w:rPr>
          <w:b/>
          <w:caps/>
          <w:sz w:val="22"/>
          <w:szCs w:val="22"/>
        </w:rPr>
        <w:t>Registračné číslo</w:t>
      </w:r>
    </w:p>
    <w:p w:rsidR="00366BF6" w:rsidRPr="00CE51D7" w:rsidRDefault="00366BF6" w:rsidP="00366BF6">
      <w:pPr>
        <w:ind w:right="-1"/>
        <w:jc w:val="both"/>
        <w:rPr>
          <w:snapToGrid w:val="0"/>
          <w:sz w:val="22"/>
          <w:szCs w:val="22"/>
          <w:lang w:eastAsia="cs-CZ"/>
        </w:rPr>
      </w:pPr>
    </w:p>
    <w:p w:rsidR="00FC62A8" w:rsidRPr="00CE51D7" w:rsidRDefault="00587539" w:rsidP="00366BF6">
      <w:pPr>
        <w:ind w:right="-1"/>
        <w:jc w:val="both"/>
        <w:rPr>
          <w:snapToGrid w:val="0"/>
          <w:sz w:val="22"/>
          <w:szCs w:val="22"/>
          <w:lang w:eastAsia="cs-CZ"/>
        </w:rPr>
      </w:pPr>
      <w:r>
        <w:rPr>
          <w:snapToGrid w:val="0"/>
          <w:sz w:val="22"/>
          <w:szCs w:val="22"/>
          <w:lang w:eastAsia="cs-CZ"/>
        </w:rPr>
        <w:t>29/0227/13-S</w:t>
      </w:r>
    </w:p>
    <w:p w:rsidR="0097762C" w:rsidRPr="00CE51D7" w:rsidRDefault="0097762C" w:rsidP="0097762C">
      <w:pPr>
        <w:ind w:right="-1"/>
        <w:jc w:val="both"/>
        <w:rPr>
          <w:snapToGrid w:val="0"/>
          <w:sz w:val="22"/>
          <w:szCs w:val="22"/>
          <w:lang w:eastAsia="cs-CZ"/>
        </w:rPr>
      </w:pPr>
    </w:p>
    <w:p w:rsidR="0097762C" w:rsidRPr="00CE51D7" w:rsidRDefault="00587539" w:rsidP="0097762C">
      <w:pPr>
        <w:ind w:right="-1"/>
        <w:jc w:val="both"/>
        <w:rPr>
          <w:b/>
          <w:sz w:val="22"/>
          <w:szCs w:val="22"/>
        </w:rPr>
      </w:pPr>
      <w:r>
        <w:rPr>
          <w:b/>
          <w:sz w:val="22"/>
          <w:szCs w:val="22"/>
        </w:rPr>
        <w:t xml:space="preserve">9. </w:t>
      </w:r>
      <w:r>
        <w:rPr>
          <w:b/>
          <w:caps/>
          <w:sz w:val="22"/>
          <w:szCs w:val="22"/>
        </w:rPr>
        <w:t>Dátum prvej registrácie / predĺženia registrácie</w:t>
      </w:r>
    </w:p>
    <w:p w:rsidR="0097762C" w:rsidRPr="00CE51D7" w:rsidRDefault="0097762C" w:rsidP="0097762C">
      <w:pPr>
        <w:ind w:right="-1"/>
        <w:jc w:val="both"/>
        <w:rPr>
          <w:sz w:val="22"/>
          <w:szCs w:val="22"/>
        </w:rPr>
      </w:pPr>
    </w:p>
    <w:p w:rsidR="00FC62A8" w:rsidRPr="00CE51D7" w:rsidRDefault="00587539" w:rsidP="00FC62A8">
      <w:pPr>
        <w:tabs>
          <w:tab w:val="left" w:pos="426"/>
        </w:tabs>
        <w:jc w:val="both"/>
        <w:rPr>
          <w:sz w:val="22"/>
          <w:szCs w:val="22"/>
        </w:rPr>
      </w:pPr>
      <w:r>
        <w:rPr>
          <w:sz w:val="22"/>
          <w:szCs w:val="22"/>
        </w:rPr>
        <w:t>Dátum prvej registrácie: 15. júna 1987</w:t>
      </w:r>
    </w:p>
    <w:p w:rsidR="00FC62A8" w:rsidRPr="00CE51D7" w:rsidRDefault="00587539" w:rsidP="00FC62A8">
      <w:pPr>
        <w:tabs>
          <w:tab w:val="left" w:pos="426"/>
        </w:tabs>
        <w:jc w:val="both"/>
        <w:rPr>
          <w:sz w:val="22"/>
          <w:szCs w:val="22"/>
        </w:rPr>
      </w:pPr>
      <w:r>
        <w:rPr>
          <w:sz w:val="22"/>
          <w:szCs w:val="22"/>
        </w:rPr>
        <w:t>Dátum posledného predĺženia: 26. januára 2007</w:t>
      </w:r>
    </w:p>
    <w:p w:rsidR="0097762C" w:rsidRPr="00CE51D7" w:rsidRDefault="0097762C" w:rsidP="0097762C">
      <w:pPr>
        <w:ind w:right="-1"/>
        <w:jc w:val="both"/>
        <w:rPr>
          <w:sz w:val="22"/>
          <w:szCs w:val="22"/>
        </w:rPr>
      </w:pPr>
    </w:p>
    <w:p w:rsidR="0097762C" w:rsidRPr="00CE51D7" w:rsidRDefault="0097762C" w:rsidP="0097762C">
      <w:pPr>
        <w:ind w:right="-1"/>
        <w:jc w:val="both"/>
        <w:rPr>
          <w:sz w:val="22"/>
          <w:szCs w:val="22"/>
        </w:rPr>
      </w:pPr>
    </w:p>
    <w:p w:rsidR="0097762C" w:rsidRPr="00CE51D7" w:rsidRDefault="00587539" w:rsidP="0097762C">
      <w:pPr>
        <w:ind w:right="-1"/>
        <w:jc w:val="both"/>
        <w:rPr>
          <w:b/>
          <w:sz w:val="22"/>
          <w:szCs w:val="22"/>
        </w:rPr>
      </w:pPr>
      <w:r>
        <w:rPr>
          <w:b/>
          <w:sz w:val="22"/>
          <w:szCs w:val="22"/>
        </w:rPr>
        <w:t xml:space="preserve">10. </w:t>
      </w:r>
      <w:r>
        <w:rPr>
          <w:b/>
          <w:caps/>
          <w:sz w:val="22"/>
          <w:szCs w:val="22"/>
        </w:rPr>
        <w:t>Dátum revízie textu</w:t>
      </w:r>
    </w:p>
    <w:p w:rsidR="0097762C" w:rsidRPr="00CE51D7" w:rsidRDefault="0097762C" w:rsidP="0097762C">
      <w:pPr>
        <w:ind w:right="-1"/>
        <w:jc w:val="both"/>
        <w:rPr>
          <w:sz w:val="22"/>
          <w:szCs w:val="22"/>
        </w:rPr>
      </w:pPr>
    </w:p>
    <w:p w:rsidR="006E3105" w:rsidRPr="00CE51D7" w:rsidRDefault="00587539" w:rsidP="007379DB">
      <w:pPr>
        <w:ind w:right="-1"/>
        <w:jc w:val="both"/>
        <w:rPr>
          <w:sz w:val="22"/>
          <w:szCs w:val="22"/>
          <w:u w:val="single"/>
        </w:rPr>
      </w:pPr>
      <w:r>
        <w:rPr>
          <w:sz w:val="22"/>
          <w:szCs w:val="22"/>
        </w:rPr>
        <w:t>12/2017</w:t>
      </w:r>
    </w:p>
    <w:sectPr w:rsidR="006E3105" w:rsidRPr="00CE51D7" w:rsidSect="00D732E6">
      <w:headerReference w:type="default" r:id="rId13"/>
      <w:pgSz w:w="11907" w:h="16840"/>
      <w:pgMar w:top="1418" w:right="1418" w:bottom="1418"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6B0" w:rsidRDefault="00EE16B0">
      <w:r>
        <w:separator/>
      </w:r>
    </w:p>
  </w:endnote>
  <w:endnote w:type="continuationSeparator" w:id="0">
    <w:p w:rsidR="00EE16B0" w:rsidRDefault="00EE16B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Calibri Light">
    <w:altName w:val="Segoe UI"/>
    <w:charset w:val="EE"/>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8D8" w:rsidRDefault="008F4AF6" w:rsidP="00B36AF0">
    <w:pPr>
      <w:pStyle w:val="Pta"/>
      <w:framePr w:wrap="around" w:vAnchor="text" w:hAnchor="margin" w:xAlign="center" w:y="1"/>
      <w:rPr>
        <w:rStyle w:val="slostrany"/>
      </w:rPr>
    </w:pPr>
    <w:r>
      <w:rPr>
        <w:rStyle w:val="slostrany"/>
      </w:rPr>
      <w:fldChar w:fldCharType="begin"/>
    </w:r>
    <w:r w:rsidR="000B48D8">
      <w:rPr>
        <w:rStyle w:val="slostrany"/>
      </w:rPr>
      <w:instrText xml:space="preserve">PAGE  </w:instrText>
    </w:r>
    <w:r>
      <w:rPr>
        <w:rStyle w:val="slostrany"/>
      </w:rPr>
      <w:fldChar w:fldCharType="end"/>
    </w:r>
  </w:p>
  <w:p w:rsidR="000B48D8" w:rsidRDefault="000B48D8">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06C" w:rsidRPr="00CE51D7" w:rsidRDefault="008F4AF6">
    <w:pPr>
      <w:pStyle w:val="Pta"/>
      <w:jc w:val="right"/>
      <w:rPr>
        <w:sz w:val="18"/>
        <w:szCs w:val="18"/>
      </w:rPr>
    </w:pPr>
    <w:r w:rsidRPr="00587539">
      <w:rPr>
        <w:sz w:val="18"/>
        <w:szCs w:val="18"/>
      </w:rPr>
      <w:fldChar w:fldCharType="begin"/>
    </w:r>
    <w:r w:rsidR="00587539" w:rsidRPr="00587539">
      <w:rPr>
        <w:sz w:val="18"/>
        <w:szCs w:val="18"/>
      </w:rPr>
      <w:instrText>PAGE   \* MERGEFORMAT</w:instrText>
    </w:r>
    <w:r w:rsidRPr="00587539">
      <w:rPr>
        <w:sz w:val="18"/>
        <w:szCs w:val="18"/>
      </w:rPr>
      <w:fldChar w:fldCharType="separate"/>
    </w:r>
    <w:r w:rsidR="00470F72">
      <w:rPr>
        <w:noProof/>
        <w:sz w:val="18"/>
        <w:szCs w:val="18"/>
      </w:rPr>
      <w:t>5</w:t>
    </w:r>
    <w:r w:rsidRPr="00587539">
      <w:rPr>
        <w:sz w:val="18"/>
        <w:szCs w:val="18"/>
      </w:rPr>
      <w:fldChar w:fldCharType="end"/>
    </w:r>
  </w:p>
  <w:p w:rsidR="000B48D8" w:rsidRDefault="000B48D8">
    <w:pPr>
      <w:pStyle w:val="Pt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310851"/>
      <w:docPartObj>
        <w:docPartGallery w:val="Page Numbers (Bottom of Page)"/>
        <w:docPartUnique/>
      </w:docPartObj>
    </w:sdtPr>
    <w:sdtContent>
      <w:p w:rsidR="00D232A7" w:rsidRDefault="008F4AF6">
        <w:pPr>
          <w:pStyle w:val="Pta"/>
          <w:jc w:val="right"/>
        </w:pPr>
        <w:r w:rsidRPr="00587539">
          <w:rPr>
            <w:sz w:val="18"/>
            <w:szCs w:val="18"/>
          </w:rPr>
          <w:fldChar w:fldCharType="begin"/>
        </w:r>
        <w:r w:rsidR="00587539" w:rsidRPr="00587539">
          <w:rPr>
            <w:sz w:val="18"/>
            <w:szCs w:val="18"/>
          </w:rPr>
          <w:instrText>PAGE   \* MERGEFORMAT</w:instrText>
        </w:r>
        <w:r w:rsidRPr="00587539">
          <w:rPr>
            <w:sz w:val="18"/>
            <w:szCs w:val="18"/>
          </w:rPr>
          <w:fldChar w:fldCharType="separate"/>
        </w:r>
        <w:r w:rsidR="00470F72">
          <w:rPr>
            <w:noProof/>
            <w:sz w:val="18"/>
            <w:szCs w:val="18"/>
          </w:rPr>
          <w:t>1</w:t>
        </w:r>
        <w:r w:rsidRPr="00587539">
          <w:rPr>
            <w:sz w:val="18"/>
            <w:szCs w:val="18"/>
          </w:rPr>
          <w:fldChar w:fldCharType="end"/>
        </w:r>
      </w:p>
    </w:sdtContent>
  </w:sdt>
  <w:p w:rsidR="00D232A7" w:rsidRDefault="00D232A7">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6B0" w:rsidRDefault="00EE16B0">
      <w:r>
        <w:separator/>
      </w:r>
    </w:p>
  </w:footnote>
  <w:footnote w:type="continuationSeparator" w:id="0">
    <w:p w:rsidR="00EE16B0" w:rsidRDefault="00EE16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8D8" w:rsidRDefault="007B7BC0" w:rsidP="000424B8">
    <w:pPr>
      <w:pStyle w:val="Hlavika"/>
      <w:rPr>
        <w:sz w:val="18"/>
        <w:szCs w:val="18"/>
      </w:rPr>
    </w:pPr>
    <w:r w:rsidRPr="003A706C">
      <w:rPr>
        <w:sz w:val="18"/>
        <w:szCs w:val="18"/>
      </w:rPr>
      <w:t>Príloha č.</w:t>
    </w:r>
    <w:r w:rsidR="003A706C">
      <w:rPr>
        <w:sz w:val="18"/>
        <w:szCs w:val="18"/>
      </w:rPr>
      <w:t xml:space="preserve"> 2 </w:t>
    </w:r>
    <w:r w:rsidRPr="003A706C">
      <w:rPr>
        <w:sz w:val="18"/>
        <w:szCs w:val="18"/>
      </w:rPr>
      <w:t xml:space="preserve">k notifikácii </w:t>
    </w:r>
    <w:r w:rsidR="00DF05B7">
      <w:rPr>
        <w:sz w:val="18"/>
        <w:szCs w:val="18"/>
      </w:rPr>
      <w:t xml:space="preserve">o </w:t>
    </w:r>
    <w:r w:rsidRPr="003A706C">
      <w:rPr>
        <w:sz w:val="18"/>
        <w:szCs w:val="18"/>
      </w:rPr>
      <w:t>zmen</w:t>
    </w:r>
    <w:r w:rsidR="00DF05B7">
      <w:rPr>
        <w:sz w:val="18"/>
        <w:szCs w:val="18"/>
      </w:rPr>
      <w:t>e</w:t>
    </w:r>
    <w:r w:rsidRPr="003A706C">
      <w:rPr>
        <w:sz w:val="18"/>
        <w:szCs w:val="18"/>
      </w:rPr>
      <w:t>, ev. č.</w:t>
    </w:r>
    <w:r w:rsidR="00DF05B7">
      <w:rPr>
        <w:sz w:val="18"/>
        <w:szCs w:val="18"/>
      </w:rPr>
      <w:t xml:space="preserve"> 2013/01037</w:t>
    </w:r>
  </w:p>
  <w:p w:rsidR="00671EA5" w:rsidRPr="003A706C" w:rsidRDefault="00671EA5" w:rsidP="000424B8">
    <w:pPr>
      <w:pStyle w:val="Hlavika"/>
      <w:rPr>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EA5" w:rsidRDefault="00671EA5">
    <w:pPr>
      <w:pStyle w:val="Hlavika"/>
    </w:pPr>
    <w:r w:rsidRPr="003A706C">
      <w:rPr>
        <w:sz w:val="18"/>
        <w:szCs w:val="18"/>
      </w:rPr>
      <w:t>Príloha č.</w:t>
    </w:r>
    <w:r>
      <w:rPr>
        <w:sz w:val="18"/>
        <w:szCs w:val="18"/>
      </w:rPr>
      <w:t xml:space="preserve"> 1 </w:t>
    </w:r>
    <w:r w:rsidRPr="003A706C">
      <w:rPr>
        <w:sz w:val="18"/>
        <w:szCs w:val="18"/>
      </w:rPr>
      <w:t xml:space="preserve">k notifikácii </w:t>
    </w:r>
    <w:r>
      <w:rPr>
        <w:sz w:val="18"/>
        <w:szCs w:val="18"/>
      </w:rPr>
      <w:t xml:space="preserve">o </w:t>
    </w:r>
    <w:r w:rsidRPr="003A706C">
      <w:rPr>
        <w:sz w:val="18"/>
        <w:szCs w:val="18"/>
      </w:rPr>
      <w:t>zmen</w:t>
    </w:r>
    <w:r>
      <w:rPr>
        <w:sz w:val="18"/>
        <w:szCs w:val="18"/>
      </w:rPr>
      <w:t>e</w:t>
    </w:r>
    <w:r w:rsidRPr="003A706C">
      <w:rPr>
        <w:sz w:val="18"/>
        <w:szCs w:val="18"/>
      </w:rPr>
      <w:t>, ev. č.</w:t>
    </w:r>
    <w:r w:rsidR="00CE51D7">
      <w:rPr>
        <w:sz w:val="18"/>
        <w:szCs w:val="18"/>
      </w:rPr>
      <w:t>: 2017/06122-Z1A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8D8" w:rsidRPr="00AE05F1" w:rsidRDefault="000B48D8" w:rsidP="00AE05F1">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3E27AF"/>
    <w:multiLevelType w:val="hybridMultilevel"/>
    <w:tmpl w:val="072EE692"/>
    <w:lvl w:ilvl="0" w:tplc="340ACEA4">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6DB46D53"/>
    <w:multiLevelType w:val="hybridMultilevel"/>
    <w:tmpl w:val="D598DBBC"/>
    <w:lvl w:ilvl="0" w:tplc="DB783FF8">
      <w:numFmt w:val="bullet"/>
      <w:lvlText w:val="-"/>
      <w:lvlJc w:val="left"/>
      <w:pPr>
        <w:tabs>
          <w:tab w:val="num" w:pos="1770"/>
        </w:tabs>
        <w:ind w:left="177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ária Nádaská">
    <w15:presenceInfo w15:providerId="AD" w15:userId="S-1-5-21-2113108341-2188065649-901500279-120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
  <w:rsids>
    <w:rsidRoot w:val="003A11E1"/>
    <w:rsid w:val="000424B8"/>
    <w:rsid w:val="0005681D"/>
    <w:rsid w:val="000762C1"/>
    <w:rsid w:val="000B48D8"/>
    <w:rsid w:val="000B5E03"/>
    <w:rsid w:val="000E6D81"/>
    <w:rsid w:val="00115BCB"/>
    <w:rsid w:val="00120130"/>
    <w:rsid w:val="001329AA"/>
    <w:rsid w:val="00136491"/>
    <w:rsid w:val="00175736"/>
    <w:rsid w:val="00182226"/>
    <w:rsid w:val="001C0A6C"/>
    <w:rsid w:val="001C48B4"/>
    <w:rsid w:val="001C63B6"/>
    <w:rsid w:val="001D6ED1"/>
    <w:rsid w:val="001D7EC2"/>
    <w:rsid w:val="00220439"/>
    <w:rsid w:val="002260CD"/>
    <w:rsid w:val="00236A45"/>
    <w:rsid w:val="00251C23"/>
    <w:rsid w:val="00287456"/>
    <w:rsid w:val="002959F3"/>
    <w:rsid w:val="002B2BE9"/>
    <w:rsid w:val="002F0CD3"/>
    <w:rsid w:val="002F64B9"/>
    <w:rsid w:val="00304269"/>
    <w:rsid w:val="00351677"/>
    <w:rsid w:val="00357ABB"/>
    <w:rsid w:val="003644AB"/>
    <w:rsid w:val="00366BF6"/>
    <w:rsid w:val="00380FE1"/>
    <w:rsid w:val="003A11E1"/>
    <w:rsid w:val="003A706C"/>
    <w:rsid w:val="003E658F"/>
    <w:rsid w:val="0041652F"/>
    <w:rsid w:val="00416E68"/>
    <w:rsid w:val="00437A26"/>
    <w:rsid w:val="00442353"/>
    <w:rsid w:val="004437CD"/>
    <w:rsid w:val="00445960"/>
    <w:rsid w:val="00470F72"/>
    <w:rsid w:val="004D0DAF"/>
    <w:rsid w:val="004E0677"/>
    <w:rsid w:val="005041D1"/>
    <w:rsid w:val="005109F7"/>
    <w:rsid w:val="00524069"/>
    <w:rsid w:val="00545A47"/>
    <w:rsid w:val="00554EE0"/>
    <w:rsid w:val="00584D91"/>
    <w:rsid w:val="00587539"/>
    <w:rsid w:val="005944EE"/>
    <w:rsid w:val="005B1D19"/>
    <w:rsid w:val="005B6324"/>
    <w:rsid w:val="005E51F2"/>
    <w:rsid w:val="005F1381"/>
    <w:rsid w:val="005F3D4D"/>
    <w:rsid w:val="00621695"/>
    <w:rsid w:val="00622426"/>
    <w:rsid w:val="00646932"/>
    <w:rsid w:val="00647816"/>
    <w:rsid w:val="00652BC9"/>
    <w:rsid w:val="00661E3E"/>
    <w:rsid w:val="00671EA5"/>
    <w:rsid w:val="006A2380"/>
    <w:rsid w:val="006E3105"/>
    <w:rsid w:val="007266C1"/>
    <w:rsid w:val="007312E1"/>
    <w:rsid w:val="007379DB"/>
    <w:rsid w:val="00762D50"/>
    <w:rsid w:val="007923FE"/>
    <w:rsid w:val="007B2B99"/>
    <w:rsid w:val="007B5225"/>
    <w:rsid w:val="007B5FA6"/>
    <w:rsid w:val="007B7BC0"/>
    <w:rsid w:val="007D396A"/>
    <w:rsid w:val="007E5AFC"/>
    <w:rsid w:val="007E5C07"/>
    <w:rsid w:val="007F632A"/>
    <w:rsid w:val="00833879"/>
    <w:rsid w:val="00836B1E"/>
    <w:rsid w:val="00842DA7"/>
    <w:rsid w:val="00883FE9"/>
    <w:rsid w:val="0088781F"/>
    <w:rsid w:val="00896F1C"/>
    <w:rsid w:val="008D4D8D"/>
    <w:rsid w:val="008F4AF6"/>
    <w:rsid w:val="00900F26"/>
    <w:rsid w:val="009274C3"/>
    <w:rsid w:val="00931DE8"/>
    <w:rsid w:val="00975EAA"/>
    <w:rsid w:val="0097762C"/>
    <w:rsid w:val="0098675C"/>
    <w:rsid w:val="009A19AC"/>
    <w:rsid w:val="009D4CD9"/>
    <w:rsid w:val="009E0CED"/>
    <w:rsid w:val="00A1775C"/>
    <w:rsid w:val="00A26CC8"/>
    <w:rsid w:val="00A67274"/>
    <w:rsid w:val="00A7451E"/>
    <w:rsid w:val="00A86277"/>
    <w:rsid w:val="00AE05F1"/>
    <w:rsid w:val="00AF493A"/>
    <w:rsid w:val="00B31B94"/>
    <w:rsid w:val="00B36AF0"/>
    <w:rsid w:val="00B4041F"/>
    <w:rsid w:val="00B54674"/>
    <w:rsid w:val="00B74176"/>
    <w:rsid w:val="00B90BC3"/>
    <w:rsid w:val="00BA247B"/>
    <w:rsid w:val="00BE5641"/>
    <w:rsid w:val="00C06973"/>
    <w:rsid w:val="00C309C6"/>
    <w:rsid w:val="00C44802"/>
    <w:rsid w:val="00C533DB"/>
    <w:rsid w:val="00C5469A"/>
    <w:rsid w:val="00C628A4"/>
    <w:rsid w:val="00C808EE"/>
    <w:rsid w:val="00C90396"/>
    <w:rsid w:val="00CD0123"/>
    <w:rsid w:val="00CD675E"/>
    <w:rsid w:val="00CD77FA"/>
    <w:rsid w:val="00CE4D1B"/>
    <w:rsid w:val="00CE51D7"/>
    <w:rsid w:val="00D00D5B"/>
    <w:rsid w:val="00D03190"/>
    <w:rsid w:val="00D17B9D"/>
    <w:rsid w:val="00D2047D"/>
    <w:rsid w:val="00D232A7"/>
    <w:rsid w:val="00D72673"/>
    <w:rsid w:val="00D732E6"/>
    <w:rsid w:val="00DB64CC"/>
    <w:rsid w:val="00DD42CA"/>
    <w:rsid w:val="00DF05B7"/>
    <w:rsid w:val="00DF70B8"/>
    <w:rsid w:val="00E2756E"/>
    <w:rsid w:val="00E41E99"/>
    <w:rsid w:val="00E4580C"/>
    <w:rsid w:val="00E45F66"/>
    <w:rsid w:val="00E500E3"/>
    <w:rsid w:val="00E65931"/>
    <w:rsid w:val="00E842D0"/>
    <w:rsid w:val="00E854F0"/>
    <w:rsid w:val="00E97488"/>
    <w:rsid w:val="00EB193B"/>
    <w:rsid w:val="00EE16B0"/>
    <w:rsid w:val="00EF0CBA"/>
    <w:rsid w:val="00F30DBB"/>
    <w:rsid w:val="00F55D8E"/>
    <w:rsid w:val="00F74D13"/>
    <w:rsid w:val="00F80EB1"/>
    <w:rsid w:val="00FC4C8B"/>
    <w:rsid w:val="00FC62A8"/>
    <w:rsid w:val="00FE356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D732E6"/>
  </w:style>
  <w:style w:type="paragraph" w:styleId="Nadpis1">
    <w:name w:val="heading 1"/>
    <w:basedOn w:val="Normlny"/>
    <w:next w:val="Normlny"/>
    <w:qFormat/>
    <w:rsid w:val="00D732E6"/>
    <w:pPr>
      <w:keepNext/>
      <w:ind w:right="-1"/>
      <w:outlineLvl w:val="0"/>
    </w:pPr>
    <w:rPr>
      <w:b/>
      <w:sz w:val="24"/>
      <w:u w:val="single"/>
    </w:rPr>
  </w:style>
  <w:style w:type="paragraph" w:styleId="Nadpis2">
    <w:name w:val="heading 2"/>
    <w:basedOn w:val="Normlny"/>
    <w:next w:val="Normlny"/>
    <w:qFormat/>
    <w:rsid w:val="00D732E6"/>
    <w:pPr>
      <w:keepNext/>
      <w:ind w:right="-1"/>
      <w:outlineLvl w:val="1"/>
    </w:pPr>
    <w:rPr>
      <w:b/>
    </w:rPr>
  </w:style>
  <w:style w:type="paragraph" w:styleId="Nadpis3">
    <w:name w:val="heading 3"/>
    <w:basedOn w:val="Normlny"/>
    <w:next w:val="Normlny"/>
    <w:qFormat/>
    <w:rsid w:val="00D732E6"/>
    <w:pPr>
      <w:keepNext/>
      <w:ind w:right="-1"/>
      <w:jc w:val="center"/>
      <w:outlineLvl w:val="2"/>
    </w:pPr>
    <w:rPr>
      <w:b/>
      <w:bCs/>
    </w:rPr>
  </w:style>
  <w:style w:type="paragraph" w:styleId="Nadpis4">
    <w:name w:val="heading 4"/>
    <w:basedOn w:val="Normlny"/>
    <w:next w:val="Normlny"/>
    <w:qFormat/>
    <w:rsid w:val="00D732E6"/>
    <w:pPr>
      <w:keepNext/>
      <w:ind w:right="-1"/>
      <w:jc w:val="both"/>
      <w:outlineLvl w:val="3"/>
    </w:pPr>
    <w:rPr>
      <w:i/>
      <w:iCs/>
      <w:sz w:val="24"/>
    </w:rPr>
  </w:style>
  <w:style w:type="paragraph" w:styleId="Nadpis5">
    <w:name w:val="heading 5"/>
    <w:basedOn w:val="Normlny"/>
    <w:next w:val="Normlny"/>
    <w:qFormat/>
    <w:rsid w:val="00D732E6"/>
    <w:pPr>
      <w:keepNext/>
      <w:ind w:right="-1"/>
      <w:jc w:val="both"/>
      <w:outlineLvl w:val="4"/>
    </w:pPr>
    <w:rPr>
      <w:rFonts w:ascii="Arial" w:hAnsi="Arial" w:cs="Arial"/>
      <w:i/>
      <w:iCs/>
    </w:rPr>
  </w:style>
  <w:style w:type="paragraph" w:styleId="Nadpis6">
    <w:name w:val="heading 6"/>
    <w:basedOn w:val="Normlny"/>
    <w:next w:val="Normlny"/>
    <w:qFormat/>
    <w:rsid w:val="00D732E6"/>
    <w:pPr>
      <w:keepNext/>
      <w:ind w:right="-1"/>
      <w:jc w:val="both"/>
      <w:outlineLvl w:val="5"/>
    </w:pPr>
    <w:rPr>
      <w:rFonts w:ascii="Arial" w:hAnsi="Arial" w:cs="Arial"/>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D732E6"/>
    <w:pPr>
      <w:ind w:right="-1"/>
      <w:jc w:val="both"/>
    </w:pPr>
    <w:rPr>
      <w:sz w:val="24"/>
    </w:rPr>
  </w:style>
  <w:style w:type="paragraph" w:styleId="Hlavika">
    <w:name w:val="header"/>
    <w:basedOn w:val="Normlny"/>
    <w:rsid w:val="00D732E6"/>
    <w:pPr>
      <w:tabs>
        <w:tab w:val="center" w:pos="4536"/>
        <w:tab w:val="right" w:pos="9072"/>
      </w:tabs>
    </w:pPr>
  </w:style>
  <w:style w:type="paragraph" w:styleId="Pta">
    <w:name w:val="footer"/>
    <w:basedOn w:val="Normlny"/>
    <w:link w:val="PtaChar"/>
    <w:uiPriority w:val="99"/>
    <w:rsid w:val="00D732E6"/>
    <w:pPr>
      <w:tabs>
        <w:tab w:val="center" w:pos="4536"/>
        <w:tab w:val="right" w:pos="9072"/>
      </w:tabs>
    </w:pPr>
  </w:style>
  <w:style w:type="character" w:styleId="slostrany">
    <w:name w:val="page number"/>
    <w:basedOn w:val="Predvolenpsmoodseku"/>
    <w:rsid w:val="00D732E6"/>
  </w:style>
  <w:style w:type="paragraph" w:styleId="Zkladntext2">
    <w:name w:val="Body Text 2"/>
    <w:basedOn w:val="Normlny"/>
    <w:rsid w:val="00D732E6"/>
    <w:pPr>
      <w:ind w:right="-1"/>
      <w:jc w:val="both"/>
    </w:pPr>
    <w:rPr>
      <w:rFonts w:ascii="Arial" w:hAnsi="Arial" w:cs="Arial"/>
    </w:rPr>
  </w:style>
  <w:style w:type="paragraph" w:styleId="Zkladntext3">
    <w:name w:val="Body Text 3"/>
    <w:basedOn w:val="Normlny"/>
    <w:rsid w:val="00D732E6"/>
    <w:pPr>
      <w:ind w:right="-1"/>
      <w:jc w:val="both"/>
    </w:pPr>
    <w:rPr>
      <w:rFonts w:ascii="Arial" w:hAnsi="Arial" w:cs="Arial"/>
      <w:color w:val="FF0000"/>
    </w:rPr>
  </w:style>
  <w:style w:type="paragraph" w:styleId="Textbubliny">
    <w:name w:val="Balloon Text"/>
    <w:basedOn w:val="Normlny"/>
    <w:semiHidden/>
    <w:rsid w:val="00DB64CC"/>
    <w:rPr>
      <w:rFonts w:ascii="Tahoma" w:hAnsi="Tahoma" w:cs="Tahoma"/>
      <w:sz w:val="16"/>
      <w:szCs w:val="16"/>
    </w:rPr>
  </w:style>
  <w:style w:type="paragraph" w:customStyle="1" w:styleId="knZulassung02">
    <w:name w:val="knZulassung02"/>
    <w:basedOn w:val="Normlny"/>
    <w:rsid w:val="001D7EC2"/>
    <w:pPr>
      <w:widowControl w:val="0"/>
      <w:suppressAutoHyphens/>
      <w:autoSpaceDE w:val="0"/>
      <w:ind w:left="1843" w:right="284"/>
    </w:pPr>
    <w:rPr>
      <w:rFonts w:ascii="Courier" w:eastAsia="Courier" w:hAnsi="Courier" w:cs="Courier"/>
      <w:sz w:val="24"/>
      <w:szCs w:val="24"/>
      <w:lang w:val="en-AU" w:eastAsia="ar-SA"/>
    </w:rPr>
  </w:style>
  <w:style w:type="paragraph" w:customStyle="1" w:styleId="Normlnysozarkami1">
    <w:name w:val="Normálny so zarážkami1"/>
    <w:basedOn w:val="Normlny"/>
    <w:rsid w:val="001D7EC2"/>
    <w:pPr>
      <w:widowControl w:val="0"/>
      <w:suppressAutoHyphens/>
      <w:spacing w:after="120"/>
      <w:ind w:left="720"/>
    </w:pPr>
    <w:rPr>
      <w:sz w:val="22"/>
      <w:szCs w:val="22"/>
      <w:lang w:val="en-GB" w:eastAsia="ar-SA"/>
    </w:rPr>
  </w:style>
  <w:style w:type="paragraph" w:styleId="Zoznam">
    <w:name w:val="List"/>
    <w:basedOn w:val="Zkladntext"/>
    <w:rsid w:val="001D7EC2"/>
    <w:pPr>
      <w:widowControl w:val="0"/>
      <w:suppressAutoHyphens/>
      <w:spacing w:after="120"/>
      <w:ind w:right="0"/>
      <w:jc w:val="left"/>
    </w:pPr>
    <w:rPr>
      <w:rFonts w:cs="Tahoma"/>
      <w:sz w:val="22"/>
      <w:szCs w:val="22"/>
      <w:lang w:val="en-GB" w:eastAsia="ar-SA"/>
    </w:rPr>
  </w:style>
  <w:style w:type="character" w:customStyle="1" w:styleId="PtaChar">
    <w:name w:val="Päta Char"/>
    <w:link w:val="Pta"/>
    <w:uiPriority w:val="99"/>
    <w:rsid w:val="00CE4D1B"/>
    <w:rPr>
      <w:lang w:val="cs-CZ"/>
    </w:rPr>
  </w:style>
  <w:style w:type="paragraph" w:styleId="Nzov">
    <w:name w:val="Title"/>
    <w:basedOn w:val="Normlny"/>
    <w:link w:val="NzovChar"/>
    <w:qFormat/>
    <w:rsid w:val="00900F26"/>
    <w:pPr>
      <w:ind w:right="-1"/>
      <w:jc w:val="center"/>
    </w:pPr>
    <w:rPr>
      <w:b/>
      <w:sz w:val="24"/>
    </w:rPr>
  </w:style>
  <w:style w:type="character" w:customStyle="1" w:styleId="NzovChar">
    <w:name w:val="Názov Char"/>
    <w:link w:val="Nzov"/>
    <w:rsid w:val="00900F26"/>
    <w:rPr>
      <w:b/>
      <w:sz w:val="24"/>
    </w:rPr>
  </w:style>
  <w:style w:type="character" w:styleId="Odkaznakomentr">
    <w:name w:val="annotation reference"/>
    <w:basedOn w:val="Predvolenpsmoodseku"/>
    <w:rsid w:val="00CE51D7"/>
    <w:rPr>
      <w:sz w:val="16"/>
      <w:szCs w:val="16"/>
    </w:rPr>
  </w:style>
  <w:style w:type="paragraph" w:styleId="Textkomentra">
    <w:name w:val="annotation text"/>
    <w:basedOn w:val="Normlny"/>
    <w:link w:val="TextkomentraChar"/>
    <w:rsid w:val="00CE51D7"/>
  </w:style>
  <w:style w:type="character" w:customStyle="1" w:styleId="TextkomentraChar">
    <w:name w:val="Text komentára Char"/>
    <w:basedOn w:val="Predvolenpsmoodseku"/>
    <w:link w:val="Textkomentra"/>
    <w:rsid w:val="00CE51D7"/>
    <w:rPr>
      <w:lang w:val="cs-CZ"/>
    </w:rPr>
  </w:style>
  <w:style w:type="paragraph" w:styleId="Predmetkomentra">
    <w:name w:val="annotation subject"/>
    <w:basedOn w:val="Textkomentra"/>
    <w:next w:val="Textkomentra"/>
    <w:link w:val="PredmetkomentraChar"/>
    <w:rsid w:val="00CE51D7"/>
    <w:rPr>
      <w:b/>
      <w:bCs/>
    </w:rPr>
  </w:style>
  <w:style w:type="character" w:customStyle="1" w:styleId="PredmetkomentraChar">
    <w:name w:val="Predmet komentára Char"/>
    <w:basedOn w:val="TextkomentraChar"/>
    <w:link w:val="Predmetkomentra"/>
    <w:rsid w:val="00CE51D7"/>
    <w:rPr>
      <w:b/>
      <w:bCs/>
    </w:rPr>
  </w:style>
  <w:style w:type="character" w:styleId="Hypertextovprepojenie">
    <w:name w:val="Hyperlink"/>
    <w:rsid w:val="00975EAA"/>
    <w:rPr>
      <w:color w:val="0000FF"/>
      <w:u w:val="single"/>
    </w:rPr>
  </w:style>
  <w:style w:type="character" w:styleId="PouitHypertextovPrepojenie">
    <w:name w:val="FollowedHyperlink"/>
    <w:basedOn w:val="Predvolenpsmoodseku"/>
    <w:rsid w:val="00975EAA"/>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29448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1789</Words>
  <Characters>11599</Characters>
  <Application>Microsoft Office Word</Application>
  <DocSecurity>0</DocSecurity>
  <Lines>96</Lines>
  <Paragraphs>26</Paragraphs>
  <ScaleCrop>false</ScaleCrop>
  <HeadingPairs>
    <vt:vector size="2" baseType="variant">
      <vt:variant>
        <vt:lpstr>Názov</vt:lpstr>
      </vt:variant>
      <vt:variant>
        <vt:i4>1</vt:i4>
      </vt:variant>
    </vt:vector>
  </HeadingPairs>
  <TitlesOfParts>
    <vt:vector size="1" baseType="lpstr">
      <vt:lpstr>SÚHRN CHARAKTERISTICKÝCH VLASTNOSTÍ LIEKU</vt:lpstr>
    </vt:vector>
  </TitlesOfParts>
  <Company>Hewlett-Packard Company</Company>
  <LinksUpToDate>false</LinksUpToDate>
  <CharactersWithSpaces>13362</CharactersWithSpaces>
  <SharedDoc>false</SharedDoc>
  <HLinks>
    <vt:vector size="12" baseType="variant">
      <vt:variant>
        <vt:i4>5898285</vt:i4>
      </vt:variant>
      <vt:variant>
        <vt:i4>3</vt:i4>
      </vt:variant>
      <vt:variant>
        <vt:i4>0</vt:i4>
      </vt:variant>
      <vt:variant>
        <vt:i4>5</vt:i4>
      </vt:variant>
      <vt:variant>
        <vt:lpwstr>mailto:neziaduce.ucinky@sukl.sk</vt:lpwstr>
      </vt:variant>
      <vt:variant>
        <vt:lpwstr/>
      </vt:variant>
      <vt:variant>
        <vt:i4>5636157</vt:i4>
      </vt:variant>
      <vt:variant>
        <vt:i4>0</vt:i4>
      </vt:variant>
      <vt:variant>
        <vt:i4>0</vt:i4>
      </vt:variant>
      <vt:variant>
        <vt:i4>5</vt:i4>
      </vt:variant>
      <vt:variant>
        <vt:lpwstr>http://www.sukl.sk/sk/bezpecnost-liekov/aktuality?page_id=218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subject/>
  <dc:creator>adriena</dc:creator>
  <cp:keywords/>
  <cp:lastModifiedBy>Andrea Krajčí</cp:lastModifiedBy>
  <cp:revision>9</cp:revision>
  <cp:lastPrinted>2013-02-14T14:55:00Z</cp:lastPrinted>
  <dcterms:created xsi:type="dcterms:W3CDTF">2017-10-23T09:22:00Z</dcterms:created>
  <dcterms:modified xsi:type="dcterms:W3CDTF">2017-12-19T11:57:00Z</dcterms:modified>
</cp:coreProperties>
</file>