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50" w:rsidRDefault="00442450" w:rsidP="00321062">
      <w:pPr>
        <w:pStyle w:val="Nzov"/>
        <w:rPr>
          <w:sz w:val="22"/>
          <w:szCs w:val="22"/>
        </w:rPr>
      </w:pPr>
      <w:bookmarkStart w:id="0" w:name="_GoBack"/>
      <w:bookmarkEnd w:id="0"/>
    </w:p>
    <w:p w:rsidR="00D92E8F" w:rsidRPr="00C56189" w:rsidRDefault="00D92E8F" w:rsidP="00321062">
      <w:pPr>
        <w:pStyle w:val="Nzov"/>
        <w:rPr>
          <w:sz w:val="22"/>
          <w:szCs w:val="22"/>
        </w:rPr>
      </w:pPr>
      <w:r w:rsidRPr="00C56189">
        <w:rPr>
          <w:sz w:val="22"/>
          <w:szCs w:val="22"/>
        </w:rPr>
        <w:t>SÚHRN CHARAKTERISTICKÝCH VLASTNOSTÍ LIEKU</w:t>
      </w:r>
    </w:p>
    <w:p w:rsidR="004D719E" w:rsidRPr="00C56189" w:rsidRDefault="004D719E" w:rsidP="00321062">
      <w:pPr>
        <w:pStyle w:val="Nzov"/>
        <w:rPr>
          <w:sz w:val="22"/>
          <w:szCs w:val="22"/>
        </w:rPr>
      </w:pPr>
    </w:p>
    <w:p w:rsidR="004D719E" w:rsidRPr="00C56189" w:rsidRDefault="004D719E" w:rsidP="00321062">
      <w:pPr>
        <w:pStyle w:val="Nzov"/>
        <w:rPr>
          <w:sz w:val="22"/>
          <w:szCs w:val="22"/>
        </w:rPr>
      </w:pPr>
    </w:p>
    <w:p w:rsidR="002D6588" w:rsidRPr="00C56189" w:rsidRDefault="002D6588">
      <w:pPr>
        <w:ind w:right="-1"/>
        <w:jc w:val="both"/>
        <w:rPr>
          <w:sz w:val="22"/>
          <w:szCs w:val="22"/>
        </w:rPr>
      </w:pPr>
    </w:p>
    <w:p w:rsidR="00442450" w:rsidRPr="00C56189" w:rsidRDefault="00442450">
      <w:pPr>
        <w:ind w:right="-1"/>
        <w:jc w:val="both"/>
        <w:rPr>
          <w:sz w:val="22"/>
          <w:szCs w:val="22"/>
        </w:rPr>
      </w:pPr>
    </w:p>
    <w:p w:rsidR="004D719E" w:rsidRPr="00C56189" w:rsidRDefault="004D719E">
      <w:pPr>
        <w:ind w:right="-1"/>
        <w:jc w:val="both"/>
        <w:rPr>
          <w:sz w:val="22"/>
          <w:szCs w:val="22"/>
        </w:rPr>
      </w:pPr>
    </w:p>
    <w:p w:rsidR="00195BB3" w:rsidRPr="00C56189" w:rsidRDefault="00AD42C6" w:rsidP="00195BB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Salofalk 500 čapíky</w:t>
      </w:r>
    </w:p>
    <w:p w:rsidR="00D92E8F" w:rsidRPr="00C56189" w:rsidRDefault="00D92E8F">
      <w:pPr>
        <w:ind w:right="-1"/>
        <w:jc w:val="both"/>
        <w:rPr>
          <w:b/>
          <w:sz w:val="22"/>
          <w:szCs w:val="22"/>
          <w:u w:val="single"/>
        </w:rPr>
      </w:pPr>
    </w:p>
    <w:p w:rsidR="00195BB3" w:rsidRPr="00C56189" w:rsidRDefault="00195BB3">
      <w:pPr>
        <w:ind w:right="-1"/>
        <w:jc w:val="both"/>
        <w:rPr>
          <w:b/>
          <w:sz w:val="22"/>
          <w:szCs w:val="22"/>
          <w:u w:val="single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Liečivo: mesalazín 500 mg v jednom čapíku</w:t>
      </w:r>
    </w:p>
    <w:p w:rsidR="001F208F" w:rsidRPr="00C56189" w:rsidRDefault="001F208F">
      <w:pPr>
        <w:ind w:right="-1"/>
        <w:jc w:val="both"/>
        <w:rPr>
          <w:sz w:val="22"/>
          <w:szCs w:val="22"/>
        </w:rPr>
      </w:pPr>
    </w:p>
    <w:p w:rsidR="001F208F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Pomocné látky: cetylalkohol</w:t>
      </w:r>
    </w:p>
    <w:p w:rsidR="00C558C5" w:rsidRPr="00C56189" w:rsidRDefault="00C558C5" w:rsidP="0030266A">
      <w:pPr>
        <w:ind w:right="-1"/>
        <w:jc w:val="both"/>
        <w:rPr>
          <w:sz w:val="22"/>
          <w:szCs w:val="22"/>
        </w:rPr>
      </w:pPr>
    </w:p>
    <w:p w:rsidR="0030266A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30266A" w:rsidRPr="00C56189" w:rsidRDefault="0030266A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  <w:r>
        <w:rPr>
          <w:b/>
          <w:sz w:val="22"/>
          <w:szCs w:val="22"/>
        </w:rPr>
        <w:t xml:space="preserve"> </w:t>
      </w:r>
    </w:p>
    <w:p w:rsidR="000123E3" w:rsidRPr="00C56189" w:rsidRDefault="000123E3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Čapíky bielej až krémovej farby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9933F2" w:rsidRPr="00C56189" w:rsidRDefault="009933F2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  <w:r>
        <w:rPr>
          <w:b/>
          <w:sz w:val="22"/>
          <w:szCs w:val="22"/>
        </w:rPr>
        <w:t xml:space="preserve"> </w:t>
      </w:r>
    </w:p>
    <w:p w:rsidR="00C6672D" w:rsidRPr="00C56189" w:rsidRDefault="00C6672D">
      <w:pPr>
        <w:ind w:right="-1"/>
        <w:jc w:val="both"/>
        <w:rPr>
          <w:b/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Akútna liečba zápalových ochorení hrubého čreva s rektálnou lokalizáciou (ulcerózna kolitída, proktitída, zápal análneho kanála) a profylaxia recidívy.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:rsidR="000123E3" w:rsidRPr="00C56189" w:rsidRDefault="000123E3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Liečba akútnych epizód ulceróznej kolitídy:</w:t>
      </w: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V závislosti od klinického stavu sa 3x denne zavedie 1 čapík lieku Salofalk 500 čapíky do konečníka (ekvivalentné 1500 mg mesalazínu denne).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Prevencia recidívy ulceróznej kolitídy:</w:t>
      </w: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Keď sa dosiahne remisia, dávka sa zredukuje na 3x denne 250 mg mesalazínu (ekvivalentné 750 mg mesalazínu denne). V takom prípade sa podáva liek </w:t>
      </w:r>
      <w:r>
        <w:rPr>
          <w:b/>
          <w:bCs/>
          <w:sz w:val="22"/>
          <w:szCs w:val="22"/>
        </w:rPr>
        <w:t>Salofalk 250 čapíky.</w:t>
      </w:r>
    </w:p>
    <w:p w:rsidR="00A2088D" w:rsidRPr="00C56189" w:rsidRDefault="00A2088D">
      <w:pPr>
        <w:ind w:right="-1"/>
        <w:jc w:val="both"/>
        <w:rPr>
          <w:sz w:val="22"/>
          <w:szCs w:val="22"/>
        </w:rPr>
      </w:pPr>
    </w:p>
    <w:p w:rsidR="009517AA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Deti: </w:t>
      </w:r>
    </w:p>
    <w:p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 podávaním lieku Salofalk 500 čapíky deťom sú malé skúsenosti a nie je dostatočne zdokumentovaný účinok na deti.</w:t>
      </w:r>
    </w:p>
    <w:p w:rsidR="00C44D47" w:rsidRPr="00C56189" w:rsidRDefault="00C44D47" w:rsidP="00CD19BF">
      <w:pPr>
        <w:ind w:right="-1"/>
        <w:jc w:val="both"/>
        <w:rPr>
          <w:bCs/>
          <w:iCs/>
          <w:sz w:val="22"/>
          <w:szCs w:val="22"/>
          <w:u w:val="single"/>
        </w:rPr>
      </w:pPr>
    </w:p>
    <w:p w:rsidR="00CD19BF" w:rsidRPr="00C56189" w:rsidRDefault="00AD42C6" w:rsidP="00CD19BF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Ak sa liek Salofalk 500 čapíky má podávať trikrát denne, aplikuje sa do konečníka ráno, napoludnie a večer.</w:t>
      </w:r>
    </w:p>
    <w:p w:rsidR="00D92E8F" w:rsidRPr="00C56189" w:rsidRDefault="00D92E8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liekom Salofalk 500 čapíky môže byť úspešná, iba ak sa podáva pravidelne a dôsledne.</w:t>
      </w:r>
    </w:p>
    <w:p w:rsidR="00D92E8F" w:rsidRPr="00C56189" w:rsidRDefault="00AD42C6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Liek Salofalk 500 čapíky sa nesmie podávať pri:</w:t>
      </w:r>
    </w:p>
    <w:p w:rsidR="00FE406E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acetylsalicylovú, jej deriváty alebo na inú zložku lieku</w:t>
      </w:r>
    </w:p>
    <w:p w:rsidR="00321062" w:rsidRPr="00C56189" w:rsidRDefault="00AD42C6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  <w:r w:rsidRPr="00AD42C6">
        <w:rPr>
          <w:sz w:val="22"/>
          <w:szCs w:val="22"/>
          <w:lang w:val="sk-SK"/>
        </w:rPr>
        <w:t xml:space="preserve">- </w:t>
      </w:r>
      <w:r>
        <w:rPr>
          <w:rStyle w:val="Nadpis1Char"/>
          <w:rFonts w:ascii="Times New Roman" w:hAnsi="Times New Roman"/>
          <w:b w:val="0"/>
          <w:sz w:val="22"/>
          <w:szCs w:val="22"/>
          <w:lang w:val="sk-SK"/>
        </w:rPr>
        <w:t>ťažkých poruchách funkcie pečene a obličiek;</w:t>
      </w:r>
    </w:p>
    <w:p w:rsidR="008B12FF" w:rsidRPr="00C56189" w:rsidRDefault="008B12FF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442450" w:rsidRPr="00C56189" w:rsidRDefault="00AD42C6" w:rsidP="0044245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4.4 Osobitné upozornenia a opatrenia pri používaní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Podľa zváženia ošetrujúceho lekára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Liek Salofalk 500 čapíky sa nemá podávať pacientom s renálnou dysfunkciou.</w:t>
      </w:r>
      <w:r w:rsidRPr="00AD42C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 w:rsidRPr="00AD42C6"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:rsidR="00442450" w:rsidRPr="00C56189" w:rsidRDefault="00442450" w:rsidP="00442450">
      <w:pPr>
        <w:ind w:right="-1"/>
        <w:jc w:val="both"/>
        <w:rPr>
          <w:position w:val="4"/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Pri poruchách funkcie pľúc, najmä pri bronchiálnej astme, je v priebehu podávania lieku Salofalk 500 čapíky potrebné dôsledné sledovanie.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U pacientov so známou precitlivenosťou na lieky s obsahom sulfasalazínu sa má liečba liekom Salofalk 500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Liek Salofalk 500 čapíky obsahuje cetylalkohol. Môže vyvolať lokálne kožné reakcie  (napr. kontaktnú dermatitídu).</w:t>
      </w:r>
    </w:p>
    <w:p w:rsidR="00442450" w:rsidRPr="00C56189" w:rsidRDefault="0044245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442450" w:rsidRPr="00C56189" w:rsidRDefault="00AD42C6" w:rsidP="00442450">
      <w:pPr>
        <w:ind w:right="-1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4.5 Liekové a iné interakcie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:rsidR="00442450" w:rsidRPr="00C56189" w:rsidRDefault="00442450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:rsidR="00442450" w:rsidRPr="00C56189" w:rsidRDefault="00442450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Mesalazín môže znížiť antikoagulačný účinok warfarínu.</w:t>
      </w:r>
    </w:p>
    <w:p w:rsidR="005A01C0" w:rsidRPr="00C56189" w:rsidRDefault="005A01C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A01C0" w:rsidRPr="00C56189" w:rsidRDefault="00AD42C6" w:rsidP="005A01C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4.6 Fertilita, gravidita a laktácia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Gravidita</w:t>
      </w: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O podávaní lieku Salofalk 500 čapíky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Štúdie na zvieratách po perorálnom podaní mesalazínu nepreukázali žiadne priame alebo nepriame negatívne účinky na tehotenstvo, embryonálny vývoj, vývoj plodu, pôrod alebo postnatálny vývoj novorodenca.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lastRenderedPageBreak/>
        <w:t>Napriek tomu  sa má v tehotenstve  podávať liek Salofalk 500 čapíky iba v prípade, ak prínos významne preváži možné riziko.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Laktácia</w:t>
      </w: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500 čapíky  sa má podávať počas dojčenia iba v prípade, ak prínos významne preváži možné riziko. Ak sa u dojčeného dieťaťa objaví hnačka, malo by sa dojčenie ukončiť.</w:t>
      </w:r>
    </w:p>
    <w:p w:rsidR="00596365" w:rsidRPr="00C56189" w:rsidRDefault="00596365" w:rsidP="005A01C0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4.7 Ovplyvnenie schopnosti viesť motorové vozidlá a obsluhovať stroje</w:t>
      </w:r>
    </w:p>
    <w:p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4.8 Nežiaduce účinky</w:t>
      </w:r>
    </w:p>
    <w:p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rPr>
          <w:b/>
          <w:bCs/>
          <w:sz w:val="22"/>
          <w:szCs w:val="22"/>
        </w:rPr>
      </w:pPr>
      <w:r w:rsidRPr="00AD42C6">
        <w:rPr>
          <w:b/>
          <w:bCs/>
          <w:sz w:val="22"/>
          <w:szCs w:val="22"/>
        </w:rPr>
        <w:t>Počas užívania mesalazínu boli zaznamenané nasledovné nežiaduce účinky:</w:t>
      </w: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8222" w:type="dxa"/>
        <w:tblInd w:w="108" w:type="dxa"/>
        <w:tblLayout w:type="fixed"/>
        <w:tblLook w:val="0000"/>
      </w:tblPr>
      <w:tblGrid>
        <w:gridCol w:w="3400"/>
        <w:gridCol w:w="2835"/>
        <w:gridCol w:w="1987"/>
      </w:tblGrid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 MedDRA 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596365" w:rsidRPr="00C56189" w:rsidRDefault="00AD42C6" w:rsidP="00A42937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596365" w:rsidRPr="00C56189" w:rsidRDefault="00AD42C6" w:rsidP="00A42937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(aplastická anémia, agranulocytóza, pancytopénia, neutropénia, leukopénia, trombocytopénia)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596365" w:rsidRPr="00C56189" w:rsidRDefault="00AD42C6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 w:rsidR="00AD42C6"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ína </w:t>
            </w:r>
          </w:p>
          <w:p w:rsidR="00596365" w:rsidRPr="00C56189" w:rsidRDefault="00AD42C6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(medzipľúcia)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Alergická a fibrotická  pľúcna reakcia (vrátane dýchavičnosti, kašľu, bronchospasmu, alveolitída, pľúcnej eozinofílie, pľúcnej infiltrácie, 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zápalu pľúc).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a ochorenia gastrointestinál</w:t>
            </w:r>
            <w:r w:rsidR="00AD42C6"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neho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AD42C6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 w:rsidRPr="00AD42C6">
              <w:rPr>
                <w:iCs/>
                <w:sz w:val="22"/>
                <w:szCs w:val="22"/>
              </w:rPr>
              <w:t>Akútny zápal slinivky brušnej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AD42C6"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tabs>
                <w:tab w:val="center" w:pos="4536"/>
                <w:tab w:val="right" w:pos="9072"/>
              </w:tabs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AD42C6">
              <w:rPr>
                <w:sz w:val="22"/>
                <w:szCs w:val="22"/>
              </w:rPr>
              <w:t>Vypadávanie vlasov (alopécia)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96365" w:rsidRPr="00C56189" w:rsidRDefault="00596365" w:rsidP="00A42937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96365" w:rsidRPr="00C56189" w:rsidRDefault="00AD42C6" w:rsidP="00A42937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5A79E0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 w:rsidRPr="00AD42C6">
              <w:rPr>
                <w:rFonts w:cs="Times New Roman"/>
                <w:lang w:val="sk-SK"/>
              </w:rPr>
              <w:t>Hypersenzitívne reakcie ako sú alergické vyrážky, lieková horúčka, systémový lupus erytematosus, pankolitída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vo funkcii pečene (zvýšenie hodnôt transamináz, parametrov cholestázy), hepatitída, cholestatická hepatitída</w:t>
            </w:r>
          </w:p>
        </w:tc>
      </w:tr>
      <w:tr w:rsidR="00596365" w:rsidRPr="00C56189" w:rsidTr="00A42937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6365" w:rsidRPr="00C56189" w:rsidRDefault="00596365" w:rsidP="00A42937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6365" w:rsidRPr="00C56189" w:rsidRDefault="00AD42C6" w:rsidP="00A42937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:rsidR="00596365" w:rsidRPr="00C56189" w:rsidRDefault="00596365" w:rsidP="00A42937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5A79E0" w:rsidRPr="00C56189" w:rsidRDefault="005A79E0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9F30BE" w:rsidRPr="00C56189" w:rsidRDefault="009F30BE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:rsidR="000123E3" w:rsidRPr="00C56189" w:rsidRDefault="00AD42C6" w:rsidP="005A79E0">
      <w:pPr>
        <w:keepNext/>
        <w:keepLines/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lastRenderedPageBreak/>
        <w:t>Hlásenie podozrení na n</w:t>
      </w:r>
      <w:r w:rsidR="00C56189">
        <w:rPr>
          <w:rFonts w:eastAsia="Calibri"/>
          <w:noProof/>
          <w:sz w:val="22"/>
          <w:szCs w:val="22"/>
          <w:u w:val="single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u w:val="single"/>
          <w:lang w:eastAsia="zh-CN"/>
        </w:rPr>
        <w:t>žiaduce reakcie</w:t>
      </w:r>
    </w:p>
    <w:p w:rsidR="000123E3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>Hlásenie podozrení na n</w:t>
      </w:r>
      <w:r w:rsidR="00C56189">
        <w:rPr>
          <w:rFonts w:eastAsia="Calibri"/>
          <w:noProof/>
          <w:sz w:val="22"/>
          <w:szCs w:val="22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lang w:eastAsia="zh-CN"/>
        </w:rPr>
        <w:t xml:space="preserve">žiaduce reakcie po registrácii lieku je dôležité. Umožňuje priebežné monitorovanie pomeru prínosu a rizika lieku. Od zdravotníckych pracovníkov sa vyžaduje, aby hlásili akékoľvek podozrenia na nežiaduce reakcie na </w:t>
      </w:r>
      <w:r w:rsidRPr="00AD42C6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5D26D9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7" w:history="1">
        <w:r w:rsidR="005D26D9" w:rsidRPr="00975EA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5D26D9">
        <w:t>.</w:t>
      </w:r>
    </w:p>
    <w:p w:rsidR="000123E3" w:rsidRPr="00C56189" w:rsidRDefault="000123E3" w:rsidP="00A53A9F">
      <w:pPr>
        <w:ind w:right="-1"/>
        <w:jc w:val="both"/>
        <w:rPr>
          <w:b/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4.9 Predávkovanie</w:t>
      </w:r>
    </w:p>
    <w:p w:rsidR="00A53A9F" w:rsidRPr="00C56189" w:rsidRDefault="00A53A9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pStyle w:val="Normlnysozarkami1"/>
        <w:ind w:left="0"/>
        <w:rPr>
          <w:lang w:val="sk-SK"/>
        </w:rPr>
      </w:pPr>
      <w:r w:rsidRPr="00AD42C6"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803931">
        <w:rPr>
          <w:lang w:val="sk-SK"/>
        </w:rPr>
        <w:t>álnu</w:t>
      </w:r>
      <w:r w:rsidR="00A53A9F" w:rsidRPr="00C56189">
        <w:rPr>
          <w:lang w:val="sk-SK"/>
        </w:rPr>
        <w:t xml:space="preserve"> toxicitu. Neexistuje špecifické antidotum a liečba je symptomatická a podporná.</w:t>
      </w:r>
    </w:p>
    <w:p w:rsidR="00A53A9F" w:rsidRPr="00C56189" w:rsidRDefault="00A53A9F" w:rsidP="00A53A9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>5. FARMAKOKINETICKÉ VLASTNOSTI</w:t>
      </w:r>
    </w:p>
    <w:p w:rsidR="00D32D7D" w:rsidRPr="00C56189" w:rsidRDefault="00D32D7D" w:rsidP="00A53A9F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5.1 Farmakodynamické vlastnosti    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2D494F" w:rsidRPr="00C56189" w:rsidRDefault="00AD42C6" w:rsidP="002D494F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 w:rsidRPr="00AD42C6">
        <w:rPr>
          <w:sz w:val="22"/>
          <w:szCs w:val="22"/>
          <w:lang w:val="sk-SK"/>
        </w:rPr>
        <w:t xml:space="preserve">Farmakoterapeutická skupina: </w:t>
      </w:r>
      <w:r w:rsidRPr="00AD42C6">
        <w:rPr>
          <w:b w:val="0"/>
          <w:bCs/>
          <w:sz w:val="22"/>
          <w:szCs w:val="22"/>
          <w:lang w:val="sk-SK"/>
        </w:rPr>
        <w:t>Črevné protizápalové liečivá</w:t>
      </w:r>
    </w:p>
    <w:p w:rsidR="00062E10" w:rsidRPr="00C56189" w:rsidRDefault="00062E10" w:rsidP="00062E10">
      <w:pPr>
        <w:pStyle w:val="Nadpis2"/>
        <w:jc w:val="both"/>
        <w:rPr>
          <w:b w:val="0"/>
          <w:bCs/>
          <w:sz w:val="22"/>
          <w:szCs w:val="22"/>
          <w:lang w:val="sk-SK"/>
        </w:rPr>
      </w:pPr>
    </w:p>
    <w:p w:rsidR="00062E10" w:rsidRPr="00C56189" w:rsidRDefault="00AD42C6" w:rsidP="00062E10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AD42C6">
        <w:rPr>
          <w:b/>
          <w:bCs/>
          <w:sz w:val="22"/>
          <w:szCs w:val="22"/>
        </w:rPr>
        <w:t>ATC klasifikácia:</w:t>
      </w:r>
      <w:r w:rsidRPr="00AD42C6">
        <w:rPr>
          <w:sz w:val="22"/>
          <w:szCs w:val="22"/>
        </w:rPr>
        <w:t xml:space="preserve"> </w:t>
      </w:r>
      <w:r w:rsidRPr="00AD42C6">
        <w:rPr>
          <w:snapToGrid w:val="0"/>
          <w:sz w:val="22"/>
          <w:szCs w:val="22"/>
          <w:lang w:eastAsia="cs-CZ"/>
        </w:rPr>
        <w:t>A07EC02</w:t>
      </w:r>
    </w:p>
    <w:p w:rsidR="00062E10" w:rsidRPr="00C56189" w:rsidRDefault="00062E10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 w:rsidRPr="00AD42C6">
        <w:rPr>
          <w:rFonts w:ascii="Times New Roman" w:hAnsi="Times New Roman" w:cs="Times New Roman"/>
          <w:i/>
          <w:sz w:val="22"/>
          <w:szCs w:val="22"/>
        </w:rPr>
        <w:t>in-vitro</w:t>
      </w:r>
      <w:r w:rsidRPr="00AD42C6">
        <w:rPr>
          <w:rFonts w:ascii="Times New Roman" w:hAnsi="Times New Roman" w:cs="Times New Roman"/>
          <w:sz w:val="22"/>
          <w:szCs w:val="22"/>
        </w:rPr>
        <w:t xml:space="preserve"> ukázali, že mechanizmus inhibície lipooxygenázy môže byť významným faktorom účinku.</w:t>
      </w: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5.2 Farmakokinetické vlastnosti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  <w:u w:val="single"/>
        </w:rPr>
      </w:pPr>
      <w:r w:rsidRPr="00AD42C6">
        <w:rPr>
          <w:sz w:val="22"/>
          <w:szCs w:val="22"/>
          <w:u w:val="single"/>
        </w:rPr>
        <w:t>Všeobecné vlastnosti mesalazínu: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Absorpcia</w:t>
      </w:r>
    </w:p>
    <w:p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Biotransformácia</w:t>
      </w: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Eliminácia/exkrécia</w:t>
      </w: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5.3 Predklinické údaje o bezpečnosti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t xml:space="preserve">6. </w:t>
      </w:r>
      <w:r w:rsidRPr="00AD42C6">
        <w:rPr>
          <w:b/>
          <w:caps/>
          <w:sz w:val="22"/>
          <w:szCs w:val="22"/>
        </w:rPr>
        <w:t>Farmaceutické informácie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6.1. Zoznam pomocných látok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Tuhý tuk, sodná soľ dokusátu, cetylalkohol.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6.2 Inkompatibility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Žiadne.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6.3 Čas použiteľnosti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Cs/>
          <w:sz w:val="22"/>
          <w:szCs w:val="22"/>
        </w:rPr>
      </w:pPr>
      <w:r w:rsidRPr="00AD42C6">
        <w:rPr>
          <w:bCs/>
          <w:sz w:val="22"/>
          <w:szCs w:val="22"/>
        </w:rPr>
        <w:t>3 roky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6.4 Špeciálne upozornenia na uchovávanie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Chrániť pred svetlom a uchovávať pri teplote do 25 °C.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6.5 Druh obalu a obsah balenia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PVC-fólia, papierová škatuľka, písomná informácia pre používateľa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  <w:u w:val="single"/>
        </w:rPr>
        <w:t>Veľkosť balenia</w:t>
      </w:r>
      <w:r w:rsidRPr="00AD42C6">
        <w:rPr>
          <w:sz w:val="22"/>
          <w:szCs w:val="22"/>
        </w:rPr>
        <w:t>: 10 alebo 30 čapíkov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6.6 Špeciálne opatrenia na likvidáciu a iné zaobchádzania s liekom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2D494F" w:rsidRPr="00C56189" w:rsidRDefault="00AD42C6" w:rsidP="002D494F">
      <w:pPr>
        <w:ind w:right="-1"/>
        <w:jc w:val="both"/>
        <w:rPr>
          <w:bCs/>
          <w:sz w:val="22"/>
          <w:szCs w:val="22"/>
          <w:u w:val="single"/>
        </w:rPr>
      </w:pPr>
      <w:r w:rsidRPr="00AD42C6">
        <w:rPr>
          <w:sz w:val="22"/>
          <w:szCs w:val="22"/>
        </w:rPr>
        <w:t xml:space="preserve">Nepoužitý liek alebo odpad vzniknutý z lieku treba vrátiť do lekárne </w:t>
      </w:r>
    </w:p>
    <w:p w:rsidR="00D32D7D" w:rsidRPr="00C56189" w:rsidRDefault="00D32D7D" w:rsidP="00D32D7D">
      <w:pPr>
        <w:ind w:right="-1"/>
        <w:jc w:val="both"/>
        <w:rPr>
          <w:bCs/>
          <w:sz w:val="22"/>
          <w:szCs w:val="22"/>
          <w:u w:val="single"/>
        </w:rPr>
      </w:pP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7. </w:t>
      </w:r>
      <w:r w:rsidRPr="00AD42C6">
        <w:rPr>
          <w:b/>
          <w:caps/>
          <w:sz w:val="22"/>
          <w:szCs w:val="22"/>
        </w:rPr>
        <w:t>Držiteľ rozhodnutia o registrácii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Dr. Falk Pharma GmbH.</w:t>
      </w:r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Leinenweberstrasse. 5</w:t>
      </w:r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791 08 Freiburg</w:t>
      </w:r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Nemecko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8. </w:t>
      </w:r>
      <w:r w:rsidRPr="00AD42C6">
        <w:rPr>
          <w:b/>
          <w:caps/>
          <w:sz w:val="22"/>
          <w:szCs w:val="22"/>
        </w:rPr>
        <w:t>Registračné číslo</w:t>
      </w:r>
    </w:p>
    <w:p w:rsidR="00D32D7D" w:rsidRPr="00C56189" w:rsidRDefault="00D32D7D" w:rsidP="00D32D7D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29/0228/13-S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9. </w:t>
      </w:r>
      <w:r w:rsidRPr="00AD42C6">
        <w:rPr>
          <w:b/>
          <w:caps/>
          <w:sz w:val="22"/>
          <w:szCs w:val="22"/>
        </w:rPr>
        <w:t>Dátum prvej registrácie / predĺženia registrácie</w:t>
      </w:r>
      <w:r w:rsidRPr="00AD42C6">
        <w:rPr>
          <w:b/>
          <w:sz w:val="22"/>
          <w:szCs w:val="22"/>
        </w:rPr>
        <w:t xml:space="preserve"> </w:t>
      </w:r>
    </w:p>
    <w:p w:rsidR="00D32D7D" w:rsidRPr="00C56189" w:rsidRDefault="00D32D7D" w:rsidP="00D32D7D">
      <w:pPr>
        <w:tabs>
          <w:tab w:val="left" w:pos="426"/>
        </w:tabs>
        <w:jc w:val="both"/>
        <w:rPr>
          <w:sz w:val="22"/>
          <w:szCs w:val="22"/>
        </w:rPr>
      </w:pPr>
    </w:p>
    <w:p w:rsidR="00F1675E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prvej registrácie: 15. júna 1987</w:t>
      </w:r>
    </w:p>
    <w:p w:rsidR="00F1675E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posledného predĺženia: 26. januára 2007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F1675E" w:rsidRPr="00C56189" w:rsidRDefault="00F1675E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t xml:space="preserve">10. </w:t>
      </w:r>
      <w:r w:rsidRPr="00AD42C6">
        <w:rPr>
          <w:b/>
          <w:caps/>
          <w:sz w:val="22"/>
          <w:szCs w:val="22"/>
        </w:rPr>
        <w:t>Dátum revízie textu</w:t>
      </w:r>
      <w:r w:rsidRPr="00AD42C6">
        <w:rPr>
          <w:b/>
          <w:caps/>
          <w:sz w:val="22"/>
          <w:szCs w:val="22"/>
          <w:u w:val="single"/>
        </w:rPr>
        <w:t xml:space="preserve"> 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rPr>
          <w:sz w:val="22"/>
          <w:szCs w:val="22"/>
        </w:rPr>
      </w:pPr>
      <w:r w:rsidRPr="00AD42C6">
        <w:rPr>
          <w:sz w:val="22"/>
          <w:szCs w:val="22"/>
        </w:rPr>
        <w:t>12/2017</w:t>
      </w:r>
    </w:p>
    <w:p w:rsidR="00D92E8F" w:rsidRPr="00C56189" w:rsidRDefault="00D92E8F" w:rsidP="00404DA8">
      <w:pPr>
        <w:ind w:right="-1"/>
        <w:jc w:val="both"/>
        <w:rPr>
          <w:snapToGrid w:val="0"/>
          <w:sz w:val="22"/>
          <w:szCs w:val="22"/>
          <w:lang w:eastAsia="cs-CZ"/>
        </w:rPr>
      </w:pPr>
    </w:p>
    <w:sectPr w:rsidR="00D92E8F" w:rsidRPr="00C56189" w:rsidSect="00C56189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851" w:bottom="1701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89" w:rsidRDefault="00C56189">
      <w:r>
        <w:separator/>
      </w:r>
    </w:p>
  </w:endnote>
  <w:endnote w:type="continuationSeparator" w:id="0">
    <w:p w:rsidR="00C56189" w:rsidRDefault="00C5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9" w:rsidRPr="00C56189" w:rsidRDefault="00AD42C6">
    <w:pPr>
      <w:pStyle w:val="Pta"/>
      <w:jc w:val="right"/>
      <w:rPr>
        <w:sz w:val="18"/>
        <w:szCs w:val="18"/>
      </w:rPr>
    </w:pPr>
    <w:r w:rsidRPr="00AD42C6">
      <w:rPr>
        <w:sz w:val="18"/>
        <w:szCs w:val="18"/>
      </w:rPr>
      <w:fldChar w:fldCharType="begin"/>
    </w:r>
    <w:r w:rsidRPr="00AD42C6">
      <w:rPr>
        <w:sz w:val="18"/>
        <w:szCs w:val="18"/>
      </w:rPr>
      <w:instrText>PAGE   \* MERGEFORMAT</w:instrText>
    </w:r>
    <w:r w:rsidRPr="00AD42C6">
      <w:rPr>
        <w:sz w:val="18"/>
        <w:szCs w:val="18"/>
      </w:rPr>
      <w:fldChar w:fldCharType="separate"/>
    </w:r>
    <w:r w:rsidR="005D26D9">
      <w:rPr>
        <w:noProof/>
        <w:sz w:val="18"/>
        <w:szCs w:val="18"/>
      </w:rPr>
      <w:t>5</w:t>
    </w:r>
    <w:r w:rsidRPr="00AD42C6">
      <w:rPr>
        <w:sz w:val="18"/>
        <w:szCs w:val="18"/>
      </w:rPr>
      <w:fldChar w:fldCharType="end"/>
    </w:r>
  </w:p>
  <w:p w:rsidR="00C56189" w:rsidRDefault="00C56189" w:rsidP="003724E2">
    <w:pPr>
      <w:pStyle w:val="Pta"/>
      <w:tabs>
        <w:tab w:val="clear" w:pos="4536"/>
        <w:tab w:val="clear" w:pos="9072"/>
        <w:tab w:val="center" w:pos="4961"/>
        <w:tab w:val="right" w:pos="992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18985"/>
      <w:docPartObj>
        <w:docPartGallery w:val="Page Numbers (Bottom of Page)"/>
        <w:docPartUnique/>
      </w:docPartObj>
    </w:sdtPr>
    <w:sdtContent>
      <w:p w:rsidR="00C56189" w:rsidRPr="00C56189" w:rsidRDefault="00AD42C6">
        <w:pPr>
          <w:pStyle w:val="Pta"/>
          <w:jc w:val="right"/>
          <w:rPr>
            <w:sz w:val="18"/>
            <w:szCs w:val="18"/>
          </w:rPr>
        </w:pPr>
        <w:r w:rsidRPr="00AD42C6">
          <w:rPr>
            <w:sz w:val="18"/>
            <w:szCs w:val="18"/>
          </w:rPr>
          <w:t>1</w:t>
        </w:r>
      </w:p>
    </w:sdtContent>
  </w:sdt>
  <w:p w:rsidR="00C56189" w:rsidRDefault="00C561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89" w:rsidRDefault="00C56189">
      <w:r>
        <w:separator/>
      </w:r>
    </w:p>
  </w:footnote>
  <w:footnote w:type="continuationSeparator" w:id="0">
    <w:p w:rsidR="00C56189" w:rsidRDefault="00C5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9" w:rsidRDefault="00C56189" w:rsidP="004A5B51">
    <w:pPr>
      <w:pStyle w:val="Hlavika"/>
      <w:rPr>
        <w:sz w:val="18"/>
        <w:szCs w:val="18"/>
      </w:rPr>
    </w:pPr>
  </w:p>
  <w:p w:rsidR="00C56189" w:rsidRDefault="00C56189">
    <w:pPr>
      <w:pStyle w:val="Hlavika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9" w:rsidRDefault="00C56189" w:rsidP="00C56189">
    <w:pPr>
      <w:pStyle w:val="Hlavika"/>
      <w:rPr>
        <w:sz w:val="18"/>
        <w:szCs w:val="18"/>
      </w:rPr>
    </w:pPr>
    <w:r w:rsidRPr="000E6DDC">
      <w:rPr>
        <w:sz w:val="18"/>
        <w:szCs w:val="18"/>
      </w:rPr>
      <w:t>Príloha č.</w:t>
    </w:r>
    <w:r>
      <w:rPr>
        <w:sz w:val="18"/>
        <w:szCs w:val="18"/>
      </w:rPr>
      <w:t xml:space="preserve"> 1</w:t>
    </w:r>
    <w:r w:rsidRPr="000E6DDC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0E6DDC">
      <w:rPr>
        <w:sz w:val="18"/>
        <w:szCs w:val="18"/>
      </w:rPr>
      <w:t>zmen</w:t>
    </w:r>
    <w:r>
      <w:rPr>
        <w:sz w:val="18"/>
        <w:szCs w:val="18"/>
      </w:rPr>
      <w:t>e</w:t>
    </w:r>
    <w:r w:rsidRPr="000E6DDC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E6DDC">
      <w:rPr>
        <w:sz w:val="18"/>
        <w:szCs w:val="18"/>
      </w:rPr>
      <w:t>č.</w:t>
    </w:r>
    <w:r>
      <w:rPr>
        <w:sz w:val="18"/>
        <w:szCs w:val="18"/>
      </w:rPr>
      <w:t xml:space="preserve"> 2017/06122-Z1A</w:t>
    </w:r>
  </w:p>
  <w:p w:rsidR="00C56189" w:rsidRDefault="00C56189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  <w15:person w15:author="LM">
    <w15:presenceInfo w15:providerId="None" w15:userId="L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D77F7"/>
    <w:rsid w:val="000123E3"/>
    <w:rsid w:val="00026196"/>
    <w:rsid w:val="0006093C"/>
    <w:rsid w:val="00062E10"/>
    <w:rsid w:val="00086147"/>
    <w:rsid w:val="000874DA"/>
    <w:rsid w:val="000A00BF"/>
    <w:rsid w:val="000B5F48"/>
    <w:rsid w:val="000C0C4F"/>
    <w:rsid w:val="000E2BFA"/>
    <w:rsid w:val="000E6D4E"/>
    <w:rsid w:val="000F48B6"/>
    <w:rsid w:val="000F65D1"/>
    <w:rsid w:val="00107D3C"/>
    <w:rsid w:val="00122C91"/>
    <w:rsid w:val="00143920"/>
    <w:rsid w:val="00143BA4"/>
    <w:rsid w:val="00187D07"/>
    <w:rsid w:val="001919AA"/>
    <w:rsid w:val="00195BB3"/>
    <w:rsid w:val="001E057C"/>
    <w:rsid w:val="001F208F"/>
    <w:rsid w:val="00210368"/>
    <w:rsid w:val="00230CC5"/>
    <w:rsid w:val="002A36A9"/>
    <w:rsid w:val="002B5510"/>
    <w:rsid w:val="002D494F"/>
    <w:rsid w:val="002D6588"/>
    <w:rsid w:val="002E528A"/>
    <w:rsid w:val="002F4FC3"/>
    <w:rsid w:val="0030266A"/>
    <w:rsid w:val="00302D5E"/>
    <w:rsid w:val="00313ABC"/>
    <w:rsid w:val="00321062"/>
    <w:rsid w:val="00342752"/>
    <w:rsid w:val="003724E2"/>
    <w:rsid w:val="003961EF"/>
    <w:rsid w:val="003B03DB"/>
    <w:rsid w:val="003B4458"/>
    <w:rsid w:val="003D3112"/>
    <w:rsid w:val="003D5B60"/>
    <w:rsid w:val="003D5BAE"/>
    <w:rsid w:val="003D77F7"/>
    <w:rsid w:val="003E2BF6"/>
    <w:rsid w:val="003E5556"/>
    <w:rsid w:val="00404DA8"/>
    <w:rsid w:val="00442450"/>
    <w:rsid w:val="00467387"/>
    <w:rsid w:val="0047305D"/>
    <w:rsid w:val="004A5B51"/>
    <w:rsid w:val="004B3444"/>
    <w:rsid w:val="004C543D"/>
    <w:rsid w:val="004C7673"/>
    <w:rsid w:val="004D4837"/>
    <w:rsid w:val="004D719E"/>
    <w:rsid w:val="00541FEC"/>
    <w:rsid w:val="00544EA0"/>
    <w:rsid w:val="005461CA"/>
    <w:rsid w:val="005809B7"/>
    <w:rsid w:val="00596365"/>
    <w:rsid w:val="005A01C0"/>
    <w:rsid w:val="005A79E0"/>
    <w:rsid w:val="005B76A0"/>
    <w:rsid w:val="005D103C"/>
    <w:rsid w:val="005D26D9"/>
    <w:rsid w:val="005E7C89"/>
    <w:rsid w:val="006037CA"/>
    <w:rsid w:val="0060547B"/>
    <w:rsid w:val="00605CAE"/>
    <w:rsid w:val="00635A45"/>
    <w:rsid w:val="006663D2"/>
    <w:rsid w:val="00677D22"/>
    <w:rsid w:val="00681D62"/>
    <w:rsid w:val="006A2AE2"/>
    <w:rsid w:val="006A3C34"/>
    <w:rsid w:val="006C51DE"/>
    <w:rsid w:val="0073297E"/>
    <w:rsid w:val="00751C27"/>
    <w:rsid w:val="00793240"/>
    <w:rsid w:val="007D303E"/>
    <w:rsid w:val="007F166D"/>
    <w:rsid w:val="007F749F"/>
    <w:rsid w:val="00803931"/>
    <w:rsid w:val="00807DAF"/>
    <w:rsid w:val="0081135E"/>
    <w:rsid w:val="00836793"/>
    <w:rsid w:val="008B12FF"/>
    <w:rsid w:val="008B1753"/>
    <w:rsid w:val="008B6B47"/>
    <w:rsid w:val="008C5DED"/>
    <w:rsid w:val="008E4C28"/>
    <w:rsid w:val="009001E7"/>
    <w:rsid w:val="009143D1"/>
    <w:rsid w:val="00932149"/>
    <w:rsid w:val="0093289D"/>
    <w:rsid w:val="009346F2"/>
    <w:rsid w:val="00936DFB"/>
    <w:rsid w:val="00943820"/>
    <w:rsid w:val="009517AA"/>
    <w:rsid w:val="00985CF4"/>
    <w:rsid w:val="009933F2"/>
    <w:rsid w:val="009E307B"/>
    <w:rsid w:val="009E58ED"/>
    <w:rsid w:val="009F1699"/>
    <w:rsid w:val="009F30BE"/>
    <w:rsid w:val="009F799C"/>
    <w:rsid w:val="00A16F21"/>
    <w:rsid w:val="00A2088D"/>
    <w:rsid w:val="00A42937"/>
    <w:rsid w:val="00A53A9F"/>
    <w:rsid w:val="00A641EF"/>
    <w:rsid w:val="00A9174F"/>
    <w:rsid w:val="00AA1F23"/>
    <w:rsid w:val="00AD42C6"/>
    <w:rsid w:val="00B00F35"/>
    <w:rsid w:val="00B03A8B"/>
    <w:rsid w:val="00B136F2"/>
    <w:rsid w:val="00B20305"/>
    <w:rsid w:val="00B23D3F"/>
    <w:rsid w:val="00B745D7"/>
    <w:rsid w:val="00BA4BC9"/>
    <w:rsid w:val="00BC34CC"/>
    <w:rsid w:val="00BE2201"/>
    <w:rsid w:val="00BF1990"/>
    <w:rsid w:val="00C22CE5"/>
    <w:rsid w:val="00C32122"/>
    <w:rsid w:val="00C3359A"/>
    <w:rsid w:val="00C341B8"/>
    <w:rsid w:val="00C44D47"/>
    <w:rsid w:val="00C45829"/>
    <w:rsid w:val="00C558C5"/>
    <w:rsid w:val="00C56189"/>
    <w:rsid w:val="00C6672D"/>
    <w:rsid w:val="00CC77C2"/>
    <w:rsid w:val="00CD19BF"/>
    <w:rsid w:val="00D2415A"/>
    <w:rsid w:val="00D32D7D"/>
    <w:rsid w:val="00D66E80"/>
    <w:rsid w:val="00D76AE4"/>
    <w:rsid w:val="00D80528"/>
    <w:rsid w:val="00D82B84"/>
    <w:rsid w:val="00D92E39"/>
    <w:rsid w:val="00D92E8F"/>
    <w:rsid w:val="00D963B5"/>
    <w:rsid w:val="00DC0035"/>
    <w:rsid w:val="00DF06CB"/>
    <w:rsid w:val="00E44978"/>
    <w:rsid w:val="00E549DA"/>
    <w:rsid w:val="00E634E8"/>
    <w:rsid w:val="00E65643"/>
    <w:rsid w:val="00EB7AFC"/>
    <w:rsid w:val="00EC099B"/>
    <w:rsid w:val="00F02C25"/>
    <w:rsid w:val="00F1316C"/>
    <w:rsid w:val="00F148FD"/>
    <w:rsid w:val="00F1675E"/>
    <w:rsid w:val="00F241FC"/>
    <w:rsid w:val="00F260DE"/>
    <w:rsid w:val="00F53F30"/>
    <w:rsid w:val="00F6238C"/>
    <w:rsid w:val="00F755C8"/>
    <w:rsid w:val="00F87B23"/>
    <w:rsid w:val="00F94C8C"/>
    <w:rsid w:val="00F957FE"/>
    <w:rsid w:val="00FE406E"/>
    <w:rsid w:val="00FE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148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E4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148FD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F148FD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148F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148FD"/>
  </w:style>
  <w:style w:type="paragraph" w:styleId="Nzov">
    <w:name w:val="Title"/>
    <w:basedOn w:val="Normlny"/>
    <w:qFormat/>
    <w:rsid w:val="00F148FD"/>
    <w:pPr>
      <w:ind w:right="-1"/>
      <w:jc w:val="center"/>
    </w:pPr>
    <w:rPr>
      <w:b/>
    </w:rPr>
  </w:style>
  <w:style w:type="paragraph" w:styleId="Hlavika">
    <w:name w:val="header"/>
    <w:basedOn w:val="Normlny"/>
    <w:rsid w:val="00F148FD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48FD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F148FD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F148FD"/>
    <w:pPr>
      <w:ind w:right="-1"/>
      <w:jc w:val="both"/>
    </w:pPr>
    <w:rPr>
      <w:rFonts w:ascii="Arial" w:hAnsi="Arial" w:cs="Arial"/>
      <w:sz w:val="20"/>
      <w:szCs w:val="20"/>
    </w:rPr>
  </w:style>
  <w:style w:type="character" w:customStyle="1" w:styleId="1">
    <w:name w:val="1"/>
    <w:semiHidden/>
    <w:rsid w:val="00122C91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y"/>
    <w:link w:val="TextbublinyChar"/>
    <w:rsid w:val="009F7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99C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6A2AE2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D66E80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D66E80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D66E80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customStyle="1" w:styleId="Nadpis1Char">
    <w:name w:val="Nadpis 1 Char"/>
    <w:link w:val="Nadpis1"/>
    <w:rsid w:val="00FE40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ezriadkovania">
    <w:name w:val="No Spacing"/>
    <w:uiPriority w:val="1"/>
    <w:qFormat/>
    <w:rsid w:val="00FE406E"/>
    <w:rPr>
      <w:sz w:val="24"/>
      <w:szCs w:val="24"/>
      <w:lang w:val="en-US"/>
    </w:rPr>
  </w:style>
  <w:style w:type="character" w:styleId="Hypertextovprepojenie">
    <w:name w:val="Hyperlink"/>
    <w:rsid w:val="005D26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4D5A-3753-4524-9A35-2F60FF28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10117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EWOpharma</dc:creator>
  <cp:keywords/>
  <cp:lastModifiedBy>Andrea Krajčí</cp:lastModifiedBy>
  <cp:revision>5</cp:revision>
  <cp:lastPrinted>2017-11-20T13:56:00Z</cp:lastPrinted>
  <dcterms:created xsi:type="dcterms:W3CDTF">2017-11-20T13:54:00Z</dcterms:created>
  <dcterms:modified xsi:type="dcterms:W3CDTF">2017-12-19T12:34:00Z</dcterms:modified>
</cp:coreProperties>
</file>