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4CB426" w14:textId="77777777" w:rsidR="008039A5" w:rsidRPr="00E34F72" w:rsidRDefault="008039A5" w:rsidP="00E93873">
      <w:pPr>
        <w:pStyle w:val="Normlndobloku"/>
        <w:jc w:val="center"/>
        <w:outlineLvl w:val="0"/>
        <w:rPr>
          <w:b/>
          <w:lang w:val="sk-SK"/>
        </w:rPr>
      </w:pPr>
      <w:r w:rsidRPr="00E34F72">
        <w:rPr>
          <w:b/>
          <w:lang w:val="sk-SK"/>
        </w:rPr>
        <w:t>SÚHRN CHARAKTERISTICKÝCH VLASTNOSTÍ LIEKU</w:t>
      </w:r>
    </w:p>
    <w:p w14:paraId="5CA7E05B" w14:textId="77777777" w:rsidR="008039A5" w:rsidRPr="00E34F72" w:rsidRDefault="008039A5" w:rsidP="00645668">
      <w:pPr>
        <w:pStyle w:val="Styl1"/>
      </w:pPr>
      <w:r w:rsidRPr="00E34F72">
        <w:t>NÁZOV LIEKU</w:t>
      </w:r>
      <w:bookmarkStart w:id="0" w:name="_GoBack"/>
      <w:bookmarkEnd w:id="0"/>
    </w:p>
    <w:p w14:paraId="2F56F8FF" w14:textId="77777777" w:rsidR="00BE63D0" w:rsidRPr="00E34F72" w:rsidRDefault="00F273D9" w:rsidP="00CA12CF">
      <w:pPr>
        <w:pStyle w:val="Normlndobloku"/>
        <w:rPr>
          <w:lang w:val="sk-SK"/>
        </w:rPr>
      </w:pPr>
      <w:r w:rsidRPr="00E34F72">
        <w:rPr>
          <w:lang w:val="sk-SK"/>
        </w:rPr>
        <w:t>DEXAMED</w:t>
      </w:r>
    </w:p>
    <w:p w14:paraId="369B24BB" w14:textId="77777777" w:rsidR="008039A5" w:rsidRPr="00E34F72" w:rsidRDefault="008039A5" w:rsidP="00645668">
      <w:pPr>
        <w:pStyle w:val="Styl1"/>
      </w:pPr>
      <w:r w:rsidRPr="00E34F72">
        <w:t>KVALITATÍVNE A KVANTITATÍVNE ZLOŽENIE</w:t>
      </w:r>
    </w:p>
    <w:p w14:paraId="78DCE875" w14:textId="77777777" w:rsidR="00F21880" w:rsidRPr="00E34F72" w:rsidRDefault="008039A5" w:rsidP="00CA12CF">
      <w:pPr>
        <w:pStyle w:val="Normlndobloku"/>
        <w:rPr>
          <w:lang w:val="sk-SK"/>
        </w:rPr>
      </w:pPr>
      <w:r w:rsidRPr="00E34F72">
        <w:rPr>
          <w:lang w:val="sk-SK"/>
        </w:rPr>
        <w:t>1 ampul</w:t>
      </w:r>
      <w:r w:rsidR="00FA644E" w:rsidRPr="00E34F72">
        <w:rPr>
          <w:lang w:val="sk-SK"/>
        </w:rPr>
        <w:t>k</w:t>
      </w:r>
      <w:r w:rsidRPr="00E34F72">
        <w:rPr>
          <w:lang w:val="sk-SK"/>
        </w:rPr>
        <w:t xml:space="preserve">a (= 2 ml) obsahuje </w:t>
      </w:r>
      <w:proofErr w:type="spellStart"/>
      <w:r w:rsidRPr="00E34F72">
        <w:rPr>
          <w:lang w:val="sk-SK"/>
        </w:rPr>
        <w:t>dexamethasoni</w:t>
      </w:r>
      <w:proofErr w:type="spellEnd"/>
      <w:r w:rsidRPr="00E34F72">
        <w:rPr>
          <w:lang w:val="sk-SK"/>
        </w:rPr>
        <w:t xml:space="preserve"> </w:t>
      </w:r>
      <w:proofErr w:type="spellStart"/>
      <w:r w:rsidRPr="00E34F72">
        <w:rPr>
          <w:lang w:val="sk-SK"/>
        </w:rPr>
        <w:t>natrii</w:t>
      </w:r>
      <w:proofErr w:type="spellEnd"/>
      <w:r w:rsidRPr="00E34F72">
        <w:rPr>
          <w:lang w:val="sk-SK"/>
        </w:rPr>
        <w:t xml:space="preserve"> </w:t>
      </w:r>
      <w:proofErr w:type="spellStart"/>
      <w:r w:rsidRPr="00E34F72">
        <w:rPr>
          <w:lang w:val="sk-SK"/>
        </w:rPr>
        <w:t>phosphas</w:t>
      </w:r>
      <w:proofErr w:type="spellEnd"/>
      <w:r w:rsidRPr="00E34F72">
        <w:rPr>
          <w:lang w:val="sk-SK"/>
        </w:rPr>
        <w:t xml:space="preserve"> 8,75 mg, ekvivalent </w:t>
      </w:r>
      <w:proofErr w:type="spellStart"/>
      <w:r w:rsidRPr="00E34F72">
        <w:rPr>
          <w:lang w:val="sk-SK"/>
        </w:rPr>
        <w:t>dexamethasoni</w:t>
      </w:r>
      <w:proofErr w:type="spellEnd"/>
      <w:r w:rsidRPr="00E34F72">
        <w:rPr>
          <w:lang w:val="sk-SK"/>
        </w:rPr>
        <w:t xml:space="preserve"> </w:t>
      </w:r>
      <w:proofErr w:type="spellStart"/>
      <w:r w:rsidRPr="00E34F72">
        <w:rPr>
          <w:lang w:val="sk-SK"/>
        </w:rPr>
        <w:t>phosphas</w:t>
      </w:r>
      <w:proofErr w:type="spellEnd"/>
      <w:r w:rsidRPr="00E34F72">
        <w:rPr>
          <w:lang w:val="sk-SK"/>
        </w:rPr>
        <w:t xml:space="preserve"> 8 mg.</w:t>
      </w:r>
    </w:p>
    <w:p w14:paraId="4DCEB821" w14:textId="77777777" w:rsidR="008039A5" w:rsidRPr="00E34F72" w:rsidRDefault="008039A5" w:rsidP="00645668">
      <w:pPr>
        <w:pStyle w:val="Styl1"/>
      </w:pPr>
      <w:r w:rsidRPr="00E34F72">
        <w:t>LIEKOVÁ FORMA</w:t>
      </w:r>
    </w:p>
    <w:p w14:paraId="0E7AABEC" w14:textId="77777777" w:rsidR="0041475B" w:rsidRPr="00E34F72" w:rsidRDefault="008039A5" w:rsidP="00CA12CF">
      <w:pPr>
        <w:pStyle w:val="Normlndobloku"/>
        <w:rPr>
          <w:lang w:val="sk-SK"/>
        </w:rPr>
      </w:pPr>
      <w:r w:rsidRPr="00E34F72">
        <w:rPr>
          <w:lang w:val="sk-SK"/>
        </w:rPr>
        <w:t xml:space="preserve">Injekčný roztok </w:t>
      </w:r>
    </w:p>
    <w:p w14:paraId="13223FB9" w14:textId="77777777" w:rsidR="008039A5" w:rsidRPr="00E34F72" w:rsidRDefault="008039A5" w:rsidP="00CA12CF">
      <w:pPr>
        <w:pStyle w:val="Normlndobloku"/>
        <w:rPr>
          <w:lang w:val="sk-SK"/>
        </w:rPr>
      </w:pPr>
      <w:r w:rsidRPr="00E34F72">
        <w:rPr>
          <w:lang w:val="sk-SK"/>
        </w:rPr>
        <w:t>Tekutina číra, bezfarebná alebo takmer bezfarebná.</w:t>
      </w:r>
    </w:p>
    <w:p w14:paraId="23F35E85" w14:textId="77777777" w:rsidR="008039A5" w:rsidRPr="00E34F72" w:rsidRDefault="008039A5" w:rsidP="00645668">
      <w:pPr>
        <w:pStyle w:val="Styl1"/>
      </w:pPr>
      <w:r w:rsidRPr="00E34F72">
        <w:t>KLINICKÉ ÚDAJE</w:t>
      </w:r>
    </w:p>
    <w:p w14:paraId="4A7DE4A4" w14:textId="77777777" w:rsidR="008039A5" w:rsidRPr="00A97442" w:rsidRDefault="008039A5" w:rsidP="00A81CB3">
      <w:pPr>
        <w:pStyle w:val="Styl2"/>
        <w:rPr>
          <w:lang w:val="sk-SK"/>
        </w:rPr>
      </w:pPr>
      <w:r w:rsidRPr="00A97442">
        <w:rPr>
          <w:lang w:val="sk-SK"/>
        </w:rPr>
        <w:t>Terapeutické indikácie</w:t>
      </w:r>
    </w:p>
    <w:p w14:paraId="5AB936A0" w14:textId="77777777" w:rsidR="008039A5" w:rsidRPr="00E34F72" w:rsidRDefault="008039A5" w:rsidP="00CA12CF">
      <w:pPr>
        <w:pStyle w:val="Normlndobloku"/>
        <w:rPr>
          <w:lang w:val="sk-SK"/>
        </w:rPr>
      </w:pPr>
      <w:r w:rsidRPr="00E34F72">
        <w:rPr>
          <w:lang w:val="sk-SK"/>
        </w:rPr>
        <w:t xml:space="preserve">Injekcie sú indikované pre použitie vo všetkých formách celkovej alebo lokálnej </w:t>
      </w:r>
      <w:proofErr w:type="spellStart"/>
      <w:r w:rsidRPr="00E34F72">
        <w:rPr>
          <w:lang w:val="sk-SK"/>
        </w:rPr>
        <w:t>glukokortikoidnej</w:t>
      </w:r>
      <w:proofErr w:type="spellEnd"/>
      <w:r w:rsidRPr="00E34F72">
        <w:rPr>
          <w:lang w:val="sk-SK"/>
        </w:rPr>
        <w:t xml:space="preserve"> injekčnej liečby a v akútnych prípadoch, kde podanie liečby </w:t>
      </w:r>
      <w:proofErr w:type="spellStart"/>
      <w:r w:rsidRPr="00E34F72">
        <w:rPr>
          <w:lang w:val="sk-SK"/>
        </w:rPr>
        <w:t>glukokortikoidmi</w:t>
      </w:r>
      <w:proofErr w:type="spellEnd"/>
      <w:r w:rsidRPr="00E34F72">
        <w:rPr>
          <w:lang w:val="sk-SK"/>
        </w:rPr>
        <w:t xml:space="preserve"> môže byť život zachraňujúce.</w:t>
      </w:r>
    </w:p>
    <w:p w14:paraId="0E718A2B" w14:textId="77777777" w:rsidR="008039A5" w:rsidRPr="00E34F72" w:rsidRDefault="008039A5" w:rsidP="00CA12CF">
      <w:pPr>
        <w:pStyle w:val="Normlndobloku"/>
        <w:rPr>
          <w:lang w:val="sk-SK"/>
        </w:rPr>
      </w:pPr>
      <w:r w:rsidRPr="00E34F72">
        <w:rPr>
          <w:lang w:val="sk-SK"/>
        </w:rPr>
        <w:t xml:space="preserve">Pre systémové podanie intravenóznej alebo </w:t>
      </w:r>
      <w:proofErr w:type="spellStart"/>
      <w:r w:rsidRPr="00E34F72">
        <w:rPr>
          <w:lang w:val="sk-SK"/>
        </w:rPr>
        <w:t>intramuskulárnej</w:t>
      </w:r>
      <w:proofErr w:type="spellEnd"/>
      <w:r w:rsidRPr="00E34F72">
        <w:rPr>
          <w:lang w:val="sk-SK"/>
        </w:rPr>
        <w:t xml:space="preserve"> injekcie:</w:t>
      </w:r>
    </w:p>
    <w:p w14:paraId="34CE58A2" w14:textId="77777777" w:rsidR="006718C7" w:rsidRPr="00E34F72" w:rsidRDefault="008039A5" w:rsidP="00A97442">
      <w:pPr>
        <w:pStyle w:val="Styl3"/>
      </w:pPr>
      <w:proofErr w:type="spellStart"/>
      <w:r w:rsidRPr="00E34F72">
        <w:t>Endokrinné</w:t>
      </w:r>
      <w:proofErr w:type="spellEnd"/>
      <w:r w:rsidRPr="00E34F72">
        <w:t xml:space="preserve"> </w:t>
      </w:r>
      <w:proofErr w:type="spellStart"/>
      <w:r w:rsidRPr="00E34F72">
        <w:t>ochorenia</w:t>
      </w:r>
      <w:proofErr w:type="spellEnd"/>
    </w:p>
    <w:p w14:paraId="6B2AFD7D" w14:textId="77777777" w:rsidR="008039A5" w:rsidRPr="00E34F72" w:rsidRDefault="008039A5" w:rsidP="00CA12CF">
      <w:pPr>
        <w:pStyle w:val="Normlndobloku"/>
        <w:rPr>
          <w:lang w:val="sk-SK"/>
        </w:rPr>
      </w:pPr>
      <w:r w:rsidRPr="00E34F72">
        <w:rPr>
          <w:lang w:val="sk-SK"/>
        </w:rPr>
        <w:t xml:space="preserve">Primárna alebo sekundárna </w:t>
      </w:r>
      <w:proofErr w:type="spellStart"/>
      <w:r w:rsidRPr="00E34F72">
        <w:rPr>
          <w:lang w:val="sk-SK"/>
        </w:rPr>
        <w:t>adrenokortikálna</w:t>
      </w:r>
      <w:proofErr w:type="spellEnd"/>
      <w:r w:rsidRPr="00E34F72">
        <w:rPr>
          <w:lang w:val="sk-SK"/>
        </w:rPr>
        <w:t xml:space="preserve"> </w:t>
      </w:r>
      <w:proofErr w:type="spellStart"/>
      <w:r w:rsidRPr="00E34F72">
        <w:rPr>
          <w:lang w:val="sk-SK"/>
        </w:rPr>
        <w:t>insuficiencia</w:t>
      </w:r>
      <w:proofErr w:type="spellEnd"/>
      <w:r w:rsidRPr="00E34F72">
        <w:rPr>
          <w:lang w:val="sk-SK"/>
        </w:rPr>
        <w:t xml:space="preserve"> (prvá voľba je </w:t>
      </w:r>
      <w:proofErr w:type="spellStart"/>
      <w:r w:rsidRPr="00E34F72">
        <w:rPr>
          <w:lang w:val="sk-SK"/>
        </w:rPr>
        <w:t>hydrokortizón</w:t>
      </w:r>
      <w:proofErr w:type="spellEnd"/>
      <w:r w:rsidRPr="00E34F72">
        <w:rPr>
          <w:lang w:val="sk-SK"/>
        </w:rPr>
        <w:t xml:space="preserve"> alebo </w:t>
      </w:r>
      <w:proofErr w:type="spellStart"/>
      <w:r w:rsidRPr="00E34F72">
        <w:rPr>
          <w:lang w:val="sk-SK"/>
        </w:rPr>
        <w:t>kortizón</w:t>
      </w:r>
      <w:proofErr w:type="spellEnd"/>
      <w:r w:rsidRPr="00E34F72">
        <w:rPr>
          <w:lang w:val="sk-SK"/>
        </w:rPr>
        <w:t xml:space="preserve">, ale ak je to vhodné, môže byť použitý syntetický </w:t>
      </w:r>
      <w:proofErr w:type="spellStart"/>
      <w:r w:rsidRPr="00E34F72">
        <w:rPr>
          <w:lang w:val="sk-SK"/>
        </w:rPr>
        <w:t>analóg</w:t>
      </w:r>
      <w:proofErr w:type="spellEnd"/>
      <w:r w:rsidRPr="00E34F72">
        <w:rPr>
          <w:lang w:val="sk-SK"/>
        </w:rPr>
        <w:t xml:space="preserve"> spolu s </w:t>
      </w:r>
      <w:proofErr w:type="spellStart"/>
      <w:r w:rsidRPr="00E34F72">
        <w:rPr>
          <w:lang w:val="sk-SK"/>
        </w:rPr>
        <w:t>mineralokortikoidmi</w:t>
      </w:r>
      <w:proofErr w:type="spellEnd"/>
      <w:r w:rsidRPr="00E34F72">
        <w:rPr>
          <w:lang w:val="sk-SK"/>
        </w:rPr>
        <w:t xml:space="preserve">, v detstve je </w:t>
      </w:r>
      <w:proofErr w:type="spellStart"/>
      <w:r w:rsidRPr="00E34F72">
        <w:rPr>
          <w:lang w:val="sk-SK"/>
        </w:rPr>
        <w:t>mineralokortikoidná</w:t>
      </w:r>
      <w:proofErr w:type="spellEnd"/>
      <w:r w:rsidRPr="00E34F72">
        <w:rPr>
          <w:lang w:val="sk-SK"/>
        </w:rPr>
        <w:t xml:space="preserve"> </w:t>
      </w:r>
      <w:proofErr w:type="spellStart"/>
      <w:r w:rsidRPr="00E34F72">
        <w:rPr>
          <w:lang w:val="sk-SK"/>
        </w:rPr>
        <w:t>suplementácia</w:t>
      </w:r>
      <w:proofErr w:type="spellEnd"/>
      <w:r w:rsidRPr="00E34F72">
        <w:rPr>
          <w:lang w:val="sk-SK"/>
        </w:rPr>
        <w:t xml:space="preserve"> výnimočne dôležitá), </w:t>
      </w:r>
      <w:proofErr w:type="spellStart"/>
      <w:r w:rsidRPr="00E34F72">
        <w:rPr>
          <w:lang w:val="sk-SK"/>
        </w:rPr>
        <w:t>kongenitálna</w:t>
      </w:r>
      <w:proofErr w:type="spellEnd"/>
      <w:r w:rsidRPr="00E34F72">
        <w:rPr>
          <w:lang w:val="sk-SK"/>
        </w:rPr>
        <w:t xml:space="preserve"> </w:t>
      </w:r>
      <w:proofErr w:type="spellStart"/>
      <w:r w:rsidRPr="00E34F72">
        <w:rPr>
          <w:lang w:val="sk-SK"/>
        </w:rPr>
        <w:t>adrenálna</w:t>
      </w:r>
      <w:proofErr w:type="spellEnd"/>
      <w:r w:rsidRPr="00E34F72">
        <w:rPr>
          <w:lang w:val="sk-SK"/>
        </w:rPr>
        <w:t xml:space="preserve"> </w:t>
      </w:r>
      <w:proofErr w:type="spellStart"/>
      <w:r w:rsidRPr="00E34F72">
        <w:rPr>
          <w:lang w:val="sk-SK"/>
        </w:rPr>
        <w:t>hyperplázia</w:t>
      </w:r>
      <w:proofErr w:type="spellEnd"/>
      <w:r w:rsidRPr="00E34F72">
        <w:rPr>
          <w:lang w:val="sk-SK"/>
        </w:rPr>
        <w:t>.</w:t>
      </w:r>
    </w:p>
    <w:p w14:paraId="6B4B9EEA" w14:textId="77777777" w:rsidR="006718C7" w:rsidRPr="00E34F72" w:rsidRDefault="008039A5" w:rsidP="00A97442">
      <w:pPr>
        <w:pStyle w:val="Styl3"/>
      </w:pPr>
      <w:proofErr w:type="spellStart"/>
      <w:r w:rsidRPr="00E34F72">
        <w:t>Neendokrinné</w:t>
      </w:r>
      <w:proofErr w:type="spellEnd"/>
      <w:r w:rsidRPr="00E34F72">
        <w:t xml:space="preserve"> </w:t>
      </w:r>
      <w:proofErr w:type="spellStart"/>
      <w:r w:rsidRPr="00E34F72">
        <w:t>ochorenia</w:t>
      </w:r>
      <w:proofErr w:type="spellEnd"/>
    </w:p>
    <w:p w14:paraId="4F1C769C" w14:textId="77777777" w:rsidR="008039A5" w:rsidRPr="00E34F72" w:rsidRDefault="008039A5" w:rsidP="00CA12CF">
      <w:pPr>
        <w:pStyle w:val="Normlndobloku"/>
        <w:rPr>
          <w:lang w:val="sk-SK"/>
        </w:rPr>
      </w:pPr>
      <w:r w:rsidRPr="00E34F72">
        <w:rPr>
          <w:lang w:val="sk-SK"/>
        </w:rPr>
        <w:t xml:space="preserve">Neendokrinné stavy odpovedajúce na použitie </w:t>
      </w:r>
      <w:proofErr w:type="spellStart"/>
      <w:r w:rsidRPr="00E34F72">
        <w:rPr>
          <w:lang w:val="sk-SK"/>
        </w:rPr>
        <w:t>kortikosteroidov</w:t>
      </w:r>
      <w:proofErr w:type="spellEnd"/>
      <w:r w:rsidRPr="00E34F72">
        <w:rPr>
          <w:lang w:val="sk-SK"/>
        </w:rPr>
        <w:t xml:space="preserve"> sú:</w:t>
      </w:r>
    </w:p>
    <w:p w14:paraId="11FF2567" w14:textId="77777777" w:rsidR="008039A5" w:rsidRPr="00A97442" w:rsidRDefault="008039A5" w:rsidP="00DC615D">
      <w:pPr>
        <w:pStyle w:val="Normlndobloku"/>
        <w:rPr>
          <w:lang w:val="sk-SK"/>
        </w:rPr>
      </w:pPr>
      <w:r w:rsidRPr="00A97442">
        <w:rPr>
          <w:b/>
          <w:lang w:val="sk-SK"/>
        </w:rPr>
        <w:t>Alergia a </w:t>
      </w:r>
      <w:proofErr w:type="spellStart"/>
      <w:r w:rsidRPr="00A97442">
        <w:rPr>
          <w:b/>
          <w:lang w:val="sk-SK"/>
        </w:rPr>
        <w:t>anafylaxia</w:t>
      </w:r>
      <w:proofErr w:type="spellEnd"/>
      <w:r w:rsidRPr="00A97442">
        <w:rPr>
          <w:b/>
          <w:lang w:val="sk-SK"/>
        </w:rPr>
        <w:t>:</w:t>
      </w:r>
      <w:r w:rsidRPr="00A97442">
        <w:rPr>
          <w:lang w:val="sk-SK"/>
        </w:rPr>
        <w:t xml:space="preserve"> </w:t>
      </w:r>
      <w:proofErr w:type="spellStart"/>
      <w:r w:rsidRPr="00A97442">
        <w:rPr>
          <w:lang w:val="sk-SK"/>
        </w:rPr>
        <w:t>angioneurotický</w:t>
      </w:r>
      <w:proofErr w:type="spellEnd"/>
      <w:r w:rsidRPr="00A97442">
        <w:rPr>
          <w:lang w:val="sk-SK"/>
        </w:rPr>
        <w:t xml:space="preserve"> edém a </w:t>
      </w:r>
      <w:proofErr w:type="spellStart"/>
      <w:r w:rsidRPr="00A97442">
        <w:rPr>
          <w:lang w:val="sk-SK"/>
        </w:rPr>
        <w:t>anafylaxia</w:t>
      </w:r>
      <w:proofErr w:type="spellEnd"/>
      <w:r w:rsidRPr="00A97442">
        <w:rPr>
          <w:lang w:val="sk-SK"/>
        </w:rPr>
        <w:t>, akútne alergické stavy (po predchádzajúcej aplikácii adrenalínu).</w:t>
      </w:r>
    </w:p>
    <w:p w14:paraId="044A9506" w14:textId="77777777" w:rsidR="008039A5" w:rsidRPr="00A97442" w:rsidRDefault="008039A5" w:rsidP="00DC615D">
      <w:pPr>
        <w:pStyle w:val="Normlndobloku"/>
        <w:rPr>
          <w:lang w:val="sk-SK"/>
        </w:rPr>
      </w:pPr>
      <w:proofErr w:type="spellStart"/>
      <w:r w:rsidRPr="00A97442">
        <w:rPr>
          <w:b/>
          <w:lang w:val="sk-SK"/>
        </w:rPr>
        <w:t>Gastrointestinálne</w:t>
      </w:r>
      <w:proofErr w:type="spellEnd"/>
      <w:r w:rsidRPr="00A97442">
        <w:rPr>
          <w:b/>
          <w:lang w:val="sk-SK"/>
        </w:rPr>
        <w:t>:</w:t>
      </w:r>
      <w:r w:rsidRPr="00A97442">
        <w:rPr>
          <w:lang w:val="sk-SK"/>
        </w:rPr>
        <w:t xml:space="preserve"> </w:t>
      </w:r>
      <w:proofErr w:type="spellStart"/>
      <w:r w:rsidRPr="00A97442">
        <w:rPr>
          <w:lang w:val="sk-SK"/>
        </w:rPr>
        <w:t>Crohnova</w:t>
      </w:r>
      <w:proofErr w:type="spellEnd"/>
      <w:r w:rsidRPr="00A97442">
        <w:rPr>
          <w:lang w:val="sk-SK"/>
        </w:rPr>
        <w:t xml:space="preserve"> choroba, </w:t>
      </w:r>
      <w:proofErr w:type="spellStart"/>
      <w:r w:rsidRPr="00A97442">
        <w:rPr>
          <w:lang w:val="sk-SK"/>
        </w:rPr>
        <w:t>ulcerózna</w:t>
      </w:r>
      <w:proofErr w:type="spellEnd"/>
      <w:r w:rsidRPr="00A97442">
        <w:rPr>
          <w:lang w:val="sk-SK"/>
        </w:rPr>
        <w:t xml:space="preserve"> </w:t>
      </w:r>
      <w:proofErr w:type="spellStart"/>
      <w:r w:rsidRPr="00A97442">
        <w:rPr>
          <w:lang w:val="sk-SK"/>
        </w:rPr>
        <w:t>kolitída</w:t>
      </w:r>
      <w:proofErr w:type="spellEnd"/>
      <w:r w:rsidRPr="00A97442">
        <w:rPr>
          <w:lang w:val="sk-SK"/>
        </w:rPr>
        <w:t>.</w:t>
      </w:r>
    </w:p>
    <w:p w14:paraId="3C43A7ED" w14:textId="77777777" w:rsidR="008039A5" w:rsidRPr="00A97442" w:rsidRDefault="008039A5" w:rsidP="00DC615D">
      <w:pPr>
        <w:pStyle w:val="Normlndobloku"/>
        <w:rPr>
          <w:lang w:val="sk-SK"/>
        </w:rPr>
      </w:pPr>
      <w:r w:rsidRPr="00A97442">
        <w:rPr>
          <w:lang w:val="sk-SK"/>
        </w:rPr>
        <w:t xml:space="preserve">Infekcie (s príslušnou chemoterapiou): </w:t>
      </w:r>
      <w:proofErr w:type="spellStart"/>
      <w:r w:rsidRPr="00A97442">
        <w:rPr>
          <w:lang w:val="sk-SK"/>
        </w:rPr>
        <w:t>miliárna</w:t>
      </w:r>
      <w:proofErr w:type="spellEnd"/>
      <w:r w:rsidRPr="00A97442">
        <w:rPr>
          <w:lang w:val="sk-SK"/>
        </w:rPr>
        <w:t xml:space="preserve"> tuberkulóza a </w:t>
      </w:r>
      <w:proofErr w:type="spellStart"/>
      <w:r w:rsidRPr="00A97442">
        <w:rPr>
          <w:lang w:val="sk-SK"/>
        </w:rPr>
        <w:t>endotoxínový</w:t>
      </w:r>
      <w:proofErr w:type="spellEnd"/>
      <w:r w:rsidRPr="00A97442">
        <w:rPr>
          <w:lang w:val="sk-SK"/>
        </w:rPr>
        <w:t xml:space="preserve"> šok.</w:t>
      </w:r>
    </w:p>
    <w:p w14:paraId="0A8DF10A" w14:textId="77777777" w:rsidR="008039A5" w:rsidRPr="00A97442" w:rsidRDefault="008039A5" w:rsidP="00DC615D">
      <w:pPr>
        <w:pStyle w:val="Normlndobloku"/>
        <w:rPr>
          <w:lang w:val="sk-SK"/>
        </w:rPr>
      </w:pPr>
      <w:r w:rsidRPr="00A97442">
        <w:rPr>
          <w:lang w:val="sk-SK"/>
        </w:rPr>
        <w:t xml:space="preserve">Neurologické ochorenia: zvýšený </w:t>
      </w:r>
      <w:proofErr w:type="spellStart"/>
      <w:r w:rsidRPr="00A97442">
        <w:rPr>
          <w:lang w:val="sk-SK"/>
        </w:rPr>
        <w:t>vnútrolebečný</w:t>
      </w:r>
      <w:proofErr w:type="spellEnd"/>
      <w:r w:rsidRPr="00A97442">
        <w:rPr>
          <w:lang w:val="sk-SK"/>
        </w:rPr>
        <w:t xml:space="preserve"> tlak spôsobený mozgovým tumorom, traumou, operáciou, príp. radiáciou a kŕče dojčiat.</w:t>
      </w:r>
    </w:p>
    <w:p w14:paraId="0264BA1E" w14:textId="77777777" w:rsidR="008039A5" w:rsidRPr="00A97442" w:rsidRDefault="008039A5" w:rsidP="00DC615D">
      <w:pPr>
        <w:pStyle w:val="Normlndobloku"/>
        <w:rPr>
          <w:lang w:val="sk-SK"/>
        </w:rPr>
      </w:pPr>
      <w:r w:rsidRPr="00A97442">
        <w:rPr>
          <w:lang w:val="sk-SK"/>
        </w:rPr>
        <w:t xml:space="preserve">Respiračné: bronchiálna astma a aspiračná </w:t>
      </w:r>
      <w:proofErr w:type="spellStart"/>
      <w:r w:rsidRPr="00A97442">
        <w:rPr>
          <w:lang w:val="sk-SK"/>
        </w:rPr>
        <w:t>pneumonitída</w:t>
      </w:r>
      <w:proofErr w:type="spellEnd"/>
      <w:r w:rsidRPr="00A97442">
        <w:rPr>
          <w:lang w:val="sk-SK"/>
        </w:rPr>
        <w:t xml:space="preserve">, edém </w:t>
      </w:r>
      <w:proofErr w:type="spellStart"/>
      <w:r w:rsidRPr="00A97442">
        <w:rPr>
          <w:lang w:val="sk-SK"/>
        </w:rPr>
        <w:t>laryngu</w:t>
      </w:r>
      <w:proofErr w:type="spellEnd"/>
      <w:r w:rsidRPr="00A97442">
        <w:rPr>
          <w:lang w:val="sk-SK"/>
        </w:rPr>
        <w:t xml:space="preserve"> rôzneho pôvodu.</w:t>
      </w:r>
    </w:p>
    <w:p w14:paraId="6D44CE30" w14:textId="77777777" w:rsidR="008039A5" w:rsidRPr="00A97442" w:rsidRDefault="008039A5" w:rsidP="00DC615D">
      <w:pPr>
        <w:pStyle w:val="Normlndobloku"/>
        <w:rPr>
          <w:lang w:val="sk-SK"/>
        </w:rPr>
      </w:pPr>
      <w:proofErr w:type="spellStart"/>
      <w:r w:rsidRPr="00A97442">
        <w:rPr>
          <w:lang w:val="sk-SK"/>
        </w:rPr>
        <w:t>Renálne</w:t>
      </w:r>
      <w:proofErr w:type="spellEnd"/>
      <w:r w:rsidRPr="00A97442">
        <w:rPr>
          <w:lang w:val="sk-SK"/>
        </w:rPr>
        <w:t xml:space="preserve"> ochorenia: </w:t>
      </w:r>
      <w:proofErr w:type="spellStart"/>
      <w:r w:rsidRPr="00A97442">
        <w:rPr>
          <w:lang w:val="sk-SK"/>
        </w:rPr>
        <w:t>nefrotický</w:t>
      </w:r>
      <w:proofErr w:type="spellEnd"/>
      <w:r w:rsidRPr="00A97442">
        <w:rPr>
          <w:lang w:val="sk-SK"/>
        </w:rPr>
        <w:t xml:space="preserve"> syndróm.</w:t>
      </w:r>
    </w:p>
    <w:p w14:paraId="03A6F79D" w14:textId="77777777" w:rsidR="008039A5" w:rsidRPr="00A97442" w:rsidRDefault="008039A5" w:rsidP="00DC615D">
      <w:pPr>
        <w:pStyle w:val="Normlndobloku"/>
        <w:rPr>
          <w:lang w:val="sk-SK"/>
        </w:rPr>
      </w:pPr>
      <w:r w:rsidRPr="00A97442">
        <w:rPr>
          <w:lang w:val="sk-SK"/>
        </w:rPr>
        <w:t xml:space="preserve">Kožné ochorenia: toxická </w:t>
      </w:r>
      <w:proofErr w:type="spellStart"/>
      <w:r w:rsidRPr="00A97442">
        <w:rPr>
          <w:lang w:val="sk-SK"/>
        </w:rPr>
        <w:t>epidermálna</w:t>
      </w:r>
      <w:proofErr w:type="spellEnd"/>
      <w:r w:rsidRPr="00A97442">
        <w:rPr>
          <w:lang w:val="sk-SK"/>
        </w:rPr>
        <w:t xml:space="preserve"> </w:t>
      </w:r>
      <w:proofErr w:type="spellStart"/>
      <w:r w:rsidRPr="00A97442">
        <w:rPr>
          <w:lang w:val="sk-SK"/>
        </w:rPr>
        <w:t>nekrolýza</w:t>
      </w:r>
      <w:proofErr w:type="spellEnd"/>
      <w:r w:rsidRPr="00A97442">
        <w:rPr>
          <w:lang w:val="sk-SK"/>
        </w:rPr>
        <w:t xml:space="preserve">, ťažké akútne </w:t>
      </w:r>
      <w:proofErr w:type="spellStart"/>
      <w:r w:rsidRPr="00A97442">
        <w:rPr>
          <w:lang w:val="sk-SK"/>
        </w:rPr>
        <w:t>dermatózy</w:t>
      </w:r>
      <w:proofErr w:type="spellEnd"/>
      <w:r w:rsidRPr="00A97442">
        <w:rPr>
          <w:lang w:val="sk-SK"/>
        </w:rPr>
        <w:t>.</w:t>
      </w:r>
    </w:p>
    <w:p w14:paraId="3775E2EE" w14:textId="77777777" w:rsidR="008039A5" w:rsidRPr="00A97442" w:rsidRDefault="008039A5" w:rsidP="00DC615D">
      <w:pPr>
        <w:pStyle w:val="Normlndobloku"/>
        <w:rPr>
          <w:lang w:val="sk-SK"/>
        </w:rPr>
      </w:pPr>
      <w:r w:rsidRPr="00A97442">
        <w:rPr>
          <w:lang w:val="sk-SK"/>
        </w:rPr>
        <w:t xml:space="preserve">Šok: hlavne šok </w:t>
      </w:r>
      <w:proofErr w:type="spellStart"/>
      <w:r w:rsidRPr="00A97442">
        <w:rPr>
          <w:lang w:val="sk-SK"/>
        </w:rPr>
        <w:t>anafylaktický</w:t>
      </w:r>
      <w:proofErr w:type="spellEnd"/>
      <w:r w:rsidRPr="00A97442">
        <w:rPr>
          <w:lang w:val="sk-SK"/>
        </w:rPr>
        <w:t>, iniciálna fáza šoku septicko-toxického a traumatického, prídavná liečba, kde sú potrebné vysoké farmakologické dávky.</w:t>
      </w:r>
    </w:p>
    <w:p w14:paraId="408F9456" w14:textId="77777777" w:rsidR="008039A5" w:rsidRPr="00E34F72" w:rsidRDefault="008039A5" w:rsidP="00CA12CF">
      <w:pPr>
        <w:pStyle w:val="Normlndobloku"/>
        <w:rPr>
          <w:lang w:val="sk-SK"/>
        </w:rPr>
      </w:pPr>
      <w:r w:rsidRPr="00E34F72">
        <w:rPr>
          <w:lang w:val="sk-SK"/>
        </w:rPr>
        <w:t>Liečba je prídavná, nie substitučná, sú potrebné špecifické a podporné opatrenia.</w:t>
      </w:r>
    </w:p>
    <w:p w14:paraId="5F3A72D8" w14:textId="77777777" w:rsidR="008039A5" w:rsidRPr="00E34F72" w:rsidRDefault="008039A5" w:rsidP="00CA12CF">
      <w:pPr>
        <w:pStyle w:val="Normlndobloku"/>
        <w:rPr>
          <w:lang w:val="sk-SK"/>
        </w:rPr>
      </w:pPr>
      <w:proofErr w:type="spellStart"/>
      <w:r w:rsidRPr="00E34F72">
        <w:rPr>
          <w:lang w:val="sk-SK"/>
        </w:rPr>
        <w:t>Dexametazón</w:t>
      </w:r>
      <w:proofErr w:type="spellEnd"/>
      <w:r w:rsidRPr="00E34F72">
        <w:rPr>
          <w:lang w:val="sk-SK"/>
        </w:rPr>
        <w:t xml:space="preserve"> sa ukázal byť účinný v skorom štádiu liečby šoku, hoci nemusí mať vplyv na celkové prežívanie.</w:t>
      </w:r>
    </w:p>
    <w:p w14:paraId="6054ACDF" w14:textId="77777777" w:rsidR="008039A5" w:rsidRPr="00E34F72" w:rsidRDefault="008039A5" w:rsidP="00CA12CF">
      <w:pPr>
        <w:pStyle w:val="Normlndobloku"/>
        <w:rPr>
          <w:lang w:val="sk-SK"/>
        </w:rPr>
      </w:pPr>
      <w:r w:rsidRPr="00E34F72">
        <w:rPr>
          <w:lang w:val="sk-SK"/>
        </w:rPr>
        <w:t xml:space="preserve">Pomocná liečba pri </w:t>
      </w:r>
      <w:proofErr w:type="spellStart"/>
      <w:r w:rsidRPr="00E34F72">
        <w:rPr>
          <w:lang w:val="sk-SK"/>
        </w:rPr>
        <w:t>hypoglykemickej</w:t>
      </w:r>
      <w:proofErr w:type="spellEnd"/>
      <w:r w:rsidRPr="00E34F72">
        <w:rPr>
          <w:lang w:val="sk-SK"/>
        </w:rPr>
        <w:t xml:space="preserve"> kóme, akútnej </w:t>
      </w:r>
      <w:proofErr w:type="spellStart"/>
      <w:r w:rsidRPr="00E34F72">
        <w:rPr>
          <w:lang w:val="sk-SK"/>
        </w:rPr>
        <w:t>hyper</w:t>
      </w:r>
      <w:r w:rsidR="00F71F38" w:rsidRPr="00E34F72">
        <w:rPr>
          <w:lang w:val="sk-SK"/>
        </w:rPr>
        <w:t>kalci</w:t>
      </w:r>
      <w:r w:rsidRPr="00E34F72">
        <w:rPr>
          <w:lang w:val="sk-SK"/>
        </w:rPr>
        <w:t>émii</w:t>
      </w:r>
      <w:proofErr w:type="spellEnd"/>
      <w:r w:rsidRPr="00E34F72">
        <w:rPr>
          <w:lang w:val="sk-SK"/>
        </w:rPr>
        <w:t>, syndróme malígnej hypertenzie, uštipnutí jedovatými hadmi, nebezpečnom pichnutí hmyzom.</w:t>
      </w:r>
    </w:p>
    <w:p w14:paraId="2B78D023" w14:textId="77777777" w:rsidR="006718C7" w:rsidRPr="00E34F72" w:rsidRDefault="008039A5" w:rsidP="00A97442">
      <w:pPr>
        <w:pStyle w:val="Styl3"/>
      </w:pPr>
      <w:proofErr w:type="spellStart"/>
      <w:r w:rsidRPr="00E34F72">
        <w:lastRenderedPageBreak/>
        <w:t>Lokálne</w:t>
      </w:r>
      <w:proofErr w:type="spellEnd"/>
      <w:r w:rsidRPr="00E34F72">
        <w:t xml:space="preserve"> </w:t>
      </w:r>
      <w:proofErr w:type="spellStart"/>
      <w:r w:rsidRPr="00E34F72">
        <w:t>podávanie</w:t>
      </w:r>
      <w:proofErr w:type="spellEnd"/>
    </w:p>
    <w:p w14:paraId="54D5A27C" w14:textId="77777777" w:rsidR="008039A5" w:rsidRPr="00E34F72" w:rsidRDefault="006718C7" w:rsidP="00CA12CF">
      <w:pPr>
        <w:pStyle w:val="Normlndobloku"/>
        <w:rPr>
          <w:lang w:val="sk-SK"/>
        </w:rPr>
      </w:pPr>
      <w:r w:rsidRPr="00E34F72">
        <w:rPr>
          <w:lang w:val="sk-SK"/>
        </w:rPr>
        <w:t>J</w:t>
      </w:r>
      <w:r w:rsidR="008039A5" w:rsidRPr="00E34F72">
        <w:rPr>
          <w:lang w:val="sk-SK"/>
        </w:rPr>
        <w:t xml:space="preserve">e vhodné na </w:t>
      </w:r>
      <w:proofErr w:type="spellStart"/>
      <w:r w:rsidR="008039A5" w:rsidRPr="00E34F72">
        <w:rPr>
          <w:lang w:val="sk-SK"/>
        </w:rPr>
        <w:t>intraartikulárne</w:t>
      </w:r>
      <w:proofErr w:type="spellEnd"/>
      <w:r w:rsidR="008039A5" w:rsidRPr="00E34F72">
        <w:rPr>
          <w:lang w:val="sk-SK"/>
        </w:rPr>
        <w:t xml:space="preserve"> podanie alebo podanie do mäkkých tkanív, krátkodobé ako prídavná liečba pri:</w:t>
      </w:r>
    </w:p>
    <w:p w14:paraId="22C74BBC" w14:textId="77777777" w:rsidR="008039A5" w:rsidRPr="00A97442" w:rsidRDefault="008039A5" w:rsidP="00DC615D">
      <w:pPr>
        <w:pStyle w:val="Normlndobloku"/>
        <w:rPr>
          <w:lang w:val="sk-SK"/>
        </w:rPr>
      </w:pPr>
      <w:r w:rsidRPr="00A97442">
        <w:rPr>
          <w:lang w:val="sk-SK"/>
        </w:rPr>
        <w:t xml:space="preserve">Ochorenie mäkkých tkanív: syndróm </w:t>
      </w:r>
      <w:proofErr w:type="spellStart"/>
      <w:r w:rsidRPr="00A97442">
        <w:rPr>
          <w:lang w:val="sk-SK"/>
        </w:rPr>
        <w:t>karpálneho</w:t>
      </w:r>
      <w:proofErr w:type="spellEnd"/>
      <w:r w:rsidRPr="00A97442">
        <w:rPr>
          <w:lang w:val="sk-SK"/>
        </w:rPr>
        <w:t xml:space="preserve"> tunela, </w:t>
      </w:r>
      <w:proofErr w:type="spellStart"/>
      <w:r w:rsidR="00C033B4" w:rsidRPr="00A97442">
        <w:rPr>
          <w:lang w:val="sk-SK"/>
        </w:rPr>
        <w:t>tendosynovitída</w:t>
      </w:r>
      <w:proofErr w:type="spellEnd"/>
      <w:r w:rsidRPr="00A97442">
        <w:rPr>
          <w:lang w:val="sk-SK"/>
        </w:rPr>
        <w:t>.</w:t>
      </w:r>
    </w:p>
    <w:p w14:paraId="52B13939" w14:textId="77777777" w:rsidR="008039A5" w:rsidRPr="00A97442" w:rsidRDefault="008039A5" w:rsidP="00DC615D">
      <w:pPr>
        <w:pStyle w:val="Normlndobloku"/>
        <w:rPr>
          <w:lang w:val="sk-SK"/>
        </w:rPr>
      </w:pPr>
      <w:proofErr w:type="spellStart"/>
      <w:r w:rsidRPr="00A97442">
        <w:rPr>
          <w:lang w:val="sk-SK"/>
        </w:rPr>
        <w:t>Intraartikulárne</w:t>
      </w:r>
      <w:proofErr w:type="spellEnd"/>
      <w:r w:rsidRPr="00A97442">
        <w:rPr>
          <w:lang w:val="sk-SK"/>
        </w:rPr>
        <w:t xml:space="preserve"> ochorenia: </w:t>
      </w:r>
      <w:proofErr w:type="spellStart"/>
      <w:r w:rsidRPr="00A97442">
        <w:rPr>
          <w:lang w:val="sk-SK"/>
        </w:rPr>
        <w:t>reumatoidná</w:t>
      </w:r>
      <w:proofErr w:type="spellEnd"/>
      <w:r w:rsidRPr="00A97442">
        <w:rPr>
          <w:lang w:val="sk-SK"/>
        </w:rPr>
        <w:t xml:space="preserve"> artritída a </w:t>
      </w:r>
      <w:proofErr w:type="spellStart"/>
      <w:r w:rsidRPr="00A97442">
        <w:rPr>
          <w:lang w:val="sk-SK"/>
        </w:rPr>
        <w:t>osteoartritída</w:t>
      </w:r>
      <w:proofErr w:type="spellEnd"/>
      <w:r w:rsidRPr="00A97442">
        <w:rPr>
          <w:lang w:val="sk-SK"/>
        </w:rPr>
        <w:t xml:space="preserve"> so zápalovou zložkou.</w:t>
      </w:r>
    </w:p>
    <w:p w14:paraId="73ED15F2" w14:textId="77777777" w:rsidR="008039A5" w:rsidRPr="00E34F72" w:rsidRDefault="008039A5" w:rsidP="00CA12CF">
      <w:pPr>
        <w:pStyle w:val="Normlndobloku"/>
        <w:rPr>
          <w:lang w:val="sk-SK"/>
        </w:rPr>
      </w:pPr>
      <w:r w:rsidRPr="00E34F72">
        <w:rPr>
          <w:lang w:val="sk-SK"/>
        </w:rPr>
        <w:t xml:space="preserve">Môže byť podaný injekčne do lézií pri kožných ochoreniach, ako sú </w:t>
      </w:r>
      <w:r w:rsidR="0052627F" w:rsidRPr="00E34F72">
        <w:rPr>
          <w:lang w:val="sk-SK"/>
        </w:rPr>
        <w:t xml:space="preserve">cystické </w:t>
      </w:r>
      <w:r w:rsidRPr="00E34F72">
        <w:rPr>
          <w:lang w:val="sk-SK"/>
        </w:rPr>
        <w:t xml:space="preserve">akné </w:t>
      </w:r>
      <w:proofErr w:type="spellStart"/>
      <w:r w:rsidRPr="00E34F72">
        <w:rPr>
          <w:lang w:val="sk-SK"/>
        </w:rPr>
        <w:t>vulgaris</w:t>
      </w:r>
      <w:proofErr w:type="spellEnd"/>
      <w:r w:rsidRPr="00E34F72">
        <w:rPr>
          <w:lang w:val="sk-SK"/>
        </w:rPr>
        <w:t xml:space="preserve">, lokalizovaný </w:t>
      </w:r>
      <w:proofErr w:type="spellStart"/>
      <w:r w:rsidRPr="00E34F72">
        <w:rPr>
          <w:lang w:val="sk-SK"/>
        </w:rPr>
        <w:t>lichen</w:t>
      </w:r>
      <w:proofErr w:type="spellEnd"/>
      <w:r w:rsidRPr="00E34F72">
        <w:rPr>
          <w:lang w:val="sk-SK"/>
        </w:rPr>
        <w:t xml:space="preserve"> </w:t>
      </w:r>
      <w:proofErr w:type="spellStart"/>
      <w:r w:rsidRPr="00E34F72">
        <w:rPr>
          <w:lang w:val="sk-SK"/>
        </w:rPr>
        <w:t>simplex</w:t>
      </w:r>
      <w:proofErr w:type="spellEnd"/>
      <w:r w:rsidRPr="00E34F72">
        <w:rPr>
          <w:lang w:val="sk-SK"/>
        </w:rPr>
        <w:t xml:space="preserve"> a </w:t>
      </w:r>
      <w:proofErr w:type="spellStart"/>
      <w:r w:rsidRPr="00E34F72">
        <w:rPr>
          <w:lang w:val="sk-SK"/>
        </w:rPr>
        <w:t>keloidy</w:t>
      </w:r>
      <w:proofErr w:type="spellEnd"/>
      <w:r w:rsidRPr="00E34F72">
        <w:rPr>
          <w:lang w:val="sk-SK"/>
        </w:rPr>
        <w:t>.</w:t>
      </w:r>
    </w:p>
    <w:p w14:paraId="696FE7BD" w14:textId="77777777" w:rsidR="008039A5" w:rsidRPr="00A97442" w:rsidRDefault="008039A5" w:rsidP="00A81CB3">
      <w:pPr>
        <w:pStyle w:val="Styl2"/>
        <w:rPr>
          <w:lang w:val="sk-SK"/>
        </w:rPr>
      </w:pPr>
      <w:r w:rsidRPr="00A97442">
        <w:rPr>
          <w:lang w:val="sk-SK"/>
        </w:rPr>
        <w:t>Dávkovanie a spôsob podávania</w:t>
      </w:r>
    </w:p>
    <w:p w14:paraId="051A1D33" w14:textId="77777777" w:rsidR="0041475B" w:rsidRPr="00A97442" w:rsidRDefault="0041475B" w:rsidP="0061779E">
      <w:pPr>
        <w:pStyle w:val="Styl2"/>
        <w:numPr>
          <w:ilvl w:val="0"/>
          <w:numId w:val="0"/>
        </w:numPr>
        <w:rPr>
          <w:lang w:val="sk-SK"/>
        </w:rPr>
      </w:pPr>
      <w:proofErr w:type="spellStart"/>
      <w:r w:rsidRPr="00A97442">
        <w:rPr>
          <w:lang w:val="sk-SK"/>
        </w:rPr>
        <w:t>Dexamed</w:t>
      </w:r>
      <w:proofErr w:type="spellEnd"/>
      <w:r w:rsidRPr="00A97442">
        <w:rPr>
          <w:lang w:val="sk-SK"/>
        </w:rPr>
        <w:t xml:space="preserve"> je určený na intravenózne, </w:t>
      </w:r>
      <w:proofErr w:type="spellStart"/>
      <w:r w:rsidRPr="00A97442">
        <w:rPr>
          <w:lang w:val="sk-SK"/>
        </w:rPr>
        <w:t>intramuskulárne</w:t>
      </w:r>
      <w:proofErr w:type="spellEnd"/>
      <w:r w:rsidRPr="00A97442">
        <w:rPr>
          <w:lang w:val="sk-SK"/>
        </w:rPr>
        <w:t xml:space="preserve">, </w:t>
      </w:r>
      <w:proofErr w:type="spellStart"/>
      <w:r w:rsidRPr="00A97442">
        <w:rPr>
          <w:lang w:val="sk-SK"/>
        </w:rPr>
        <w:t>intraartikulárne</w:t>
      </w:r>
      <w:proofErr w:type="spellEnd"/>
      <w:r w:rsidRPr="00A97442">
        <w:rPr>
          <w:lang w:val="sk-SK"/>
        </w:rPr>
        <w:t xml:space="preserve"> alebo </w:t>
      </w:r>
      <w:proofErr w:type="spellStart"/>
      <w:r w:rsidRPr="00A97442">
        <w:rPr>
          <w:lang w:val="sk-SK"/>
        </w:rPr>
        <w:t>intraburzálne</w:t>
      </w:r>
      <w:proofErr w:type="spellEnd"/>
    </w:p>
    <w:p w14:paraId="55DED158" w14:textId="77777777" w:rsidR="0041475B" w:rsidRPr="00A97442" w:rsidRDefault="0041475B" w:rsidP="0061779E">
      <w:pPr>
        <w:pStyle w:val="Styl2"/>
        <w:numPr>
          <w:ilvl w:val="0"/>
          <w:numId w:val="0"/>
        </w:numPr>
        <w:rPr>
          <w:lang w:val="sk-SK"/>
        </w:rPr>
      </w:pPr>
      <w:r w:rsidRPr="00A97442">
        <w:rPr>
          <w:lang w:val="sk-SK"/>
        </w:rPr>
        <w:t>podanie.</w:t>
      </w:r>
    </w:p>
    <w:p w14:paraId="6011F010" w14:textId="77777777" w:rsidR="008039A5" w:rsidRPr="00E34F72" w:rsidRDefault="008039A5" w:rsidP="00CA12CF">
      <w:pPr>
        <w:pStyle w:val="Normlndobloku"/>
        <w:rPr>
          <w:lang w:val="sk-SK"/>
        </w:rPr>
      </w:pPr>
      <w:r w:rsidRPr="00E34F72">
        <w:rPr>
          <w:lang w:val="sk-SK"/>
        </w:rPr>
        <w:t xml:space="preserve">POZOR: Dávky sú vyjadrené v mg </w:t>
      </w:r>
      <w:proofErr w:type="spellStart"/>
      <w:r w:rsidRPr="00E34F72">
        <w:rPr>
          <w:lang w:val="sk-SK"/>
        </w:rPr>
        <w:t>dexametazónfosfátu</w:t>
      </w:r>
      <w:proofErr w:type="spellEnd"/>
      <w:r w:rsidRPr="00E34F72">
        <w:rPr>
          <w:lang w:val="sk-SK"/>
        </w:rPr>
        <w:t xml:space="preserve">. 4 mg </w:t>
      </w:r>
      <w:proofErr w:type="spellStart"/>
      <w:r w:rsidRPr="00E34F72">
        <w:rPr>
          <w:lang w:val="sk-SK"/>
        </w:rPr>
        <w:t>dexametazónfosfátu</w:t>
      </w:r>
      <w:proofErr w:type="spellEnd"/>
      <w:r w:rsidRPr="00E34F72">
        <w:rPr>
          <w:lang w:val="sk-SK"/>
        </w:rPr>
        <w:t xml:space="preserve"> zodpovedá približne 3,33 mg </w:t>
      </w:r>
      <w:proofErr w:type="spellStart"/>
      <w:r w:rsidRPr="00E34F72">
        <w:rPr>
          <w:lang w:val="sk-SK"/>
        </w:rPr>
        <w:t>dexametazónu</w:t>
      </w:r>
      <w:proofErr w:type="spellEnd"/>
      <w:r w:rsidRPr="00E34F72">
        <w:rPr>
          <w:lang w:val="sk-SK"/>
        </w:rPr>
        <w:t>.</w:t>
      </w:r>
    </w:p>
    <w:p w14:paraId="2B338083" w14:textId="77777777" w:rsidR="008039A5" w:rsidRPr="00E34F72" w:rsidRDefault="008039A5" w:rsidP="00CA12CF">
      <w:pPr>
        <w:pStyle w:val="Normlndobloku"/>
        <w:rPr>
          <w:lang w:val="sk-SK"/>
        </w:rPr>
      </w:pPr>
      <w:r w:rsidRPr="00E34F72">
        <w:rPr>
          <w:lang w:val="sk-SK"/>
        </w:rPr>
        <w:t xml:space="preserve">Dávka </w:t>
      </w:r>
      <w:proofErr w:type="spellStart"/>
      <w:r w:rsidRPr="00E34F72">
        <w:rPr>
          <w:lang w:val="sk-SK"/>
        </w:rPr>
        <w:t>glukokortikoidu</w:t>
      </w:r>
      <w:proofErr w:type="spellEnd"/>
      <w:r w:rsidRPr="00E34F72">
        <w:rPr>
          <w:lang w:val="sk-SK"/>
        </w:rPr>
        <w:t xml:space="preserve"> vo všeobecnosti závisí od odpovede pacienta a závažnosti jeho ochorenia. Pri určitých podmienkach, ako je zmena klinickej prognózy alebo pri strese, môže byť potrebný extra dávkovací režim.</w:t>
      </w:r>
    </w:p>
    <w:p w14:paraId="71D5EE3D" w14:textId="77777777" w:rsidR="008039A5" w:rsidRPr="00E34F72" w:rsidRDefault="008039A5" w:rsidP="00CA12CF">
      <w:pPr>
        <w:pStyle w:val="Normlndobloku"/>
        <w:rPr>
          <w:lang w:val="sk-SK"/>
        </w:rPr>
      </w:pPr>
      <w:r w:rsidRPr="00E34F72">
        <w:rPr>
          <w:lang w:val="sk-SK"/>
        </w:rPr>
        <w:t xml:space="preserve">Liečba </w:t>
      </w:r>
      <w:proofErr w:type="spellStart"/>
      <w:r w:rsidRPr="00E34F72">
        <w:rPr>
          <w:lang w:val="sk-SK"/>
        </w:rPr>
        <w:t>glukokortikoidmi</w:t>
      </w:r>
      <w:proofErr w:type="spellEnd"/>
      <w:r w:rsidRPr="00E34F72">
        <w:rPr>
          <w:lang w:val="sk-SK"/>
        </w:rPr>
        <w:t xml:space="preserve"> </w:t>
      </w:r>
      <w:r w:rsidR="0052627F" w:rsidRPr="00E34F72">
        <w:rPr>
          <w:lang w:val="sk-SK"/>
        </w:rPr>
        <w:t>sa má prerušiť</w:t>
      </w:r>
      <w:r w:rsidRPr="00E34F72">
        <w:rPr>
          <w:lang w:val="sk-SK"/>
        </w:rPr>
        <w:t>, ak sa po dvoch dňoch nedosiahne priaznivá terapeutická odpoveď.</w:t>
      </w:r>
    </w:p>
    <w:p w14:paraId="37219365" w14:textId="77777777" w:rsidR="006718C7" w:rsidRPr="00E34F72" w:rsidRDefault="008039A5" w:rsidP="00A97442">
      <w:pPr>
        <w:pStyle w:val="Styl3"/>
      </w:pPr>
      <w:proofErr w:type="spellStart"/>
      <w:r w:rsidRPr="00E34F72">
        <w:t>Dospelí</w:t>
      </w:r>
      <w:proofErr w:type="spellEnd"/>
    </w:p>
    <w:p w14:paraId="1E205FA3" w14:textId="77777777" w:rsidR="008039A5" w:rsidRPr="00E34F72" w:rsidRDefault="008039A5" w:rsidP="00CA12CF">
      <w:pPr>
        <w:pStyle w:val="Normlndobloku"/>
        <w:rPr>
          <w:lang w:val="sk-SK"/>
        </w:rPr>
      </w:pPr>
      <w:r w:rsidRPr="00E34F72">
        <w:rPr>
          <w:lang w:val="sk-SK"/>
        </w:rPr>
        <w:t xml:space="preserve">Dávkovanie sa musí individualizovať podľa pacienta a ochorenia. Na zvládnutie ochorenia musí byť použitá najnižšia možná dávka, aby sme minimalizovali vedľajšie účinky. Zvyčajné </w:t>
      </w:r>
      <w:proofErr w:type="spellStart"/>
      <w:r w:rsidRPr="00E34F72">
        <w:rPr>
          <w:lang w:val="sk-SK"/>
        </w:rPr>
        <w:t>parenterálne</w:t>
      </w:r>
      <w:proofErr w:type="spellEnd"/>
      <w:r w:rsidRPr="00E34F72">
        <w:rPr>
          <w:lang w:val="sk-SK"/>
        </w:rPr>
        <w:t xml:space="preserve"> rozpätie dávky je jedna tretina až polovica perorálnej dávky, podávaná každých dvanásť hodín. Zvyčajná úvodná dávka je 0,5 mg až 20 mg (0,125 ml</w:t>
      </w:r>
      <w:r w:rsidR="00645668">
        <w:rPr>
          <w:lang w:val="sk-SK"/>
        </w:rPr>
        <w:t> </w:t>
      </w:r>
      <w:r w:rsidR="00464147" w:rsidRPr="00E34F72">
        <w:rPr>
          <w:lang w:val="sk-SK"/>
        </w:rPr>
        <w:t>–</w:t>
      </w:r>
      <w:r w:rsidR="00645668">
        <w:rPr>
          <w:lang w:val="sk-SK"/>
        </w:rPr>
        <w:t> </w:t>
      </w:r>
      <w:r w:rsidRPr="00E34F72">
        <w:rPr>
          <w:lang w:val="sk-SK"/>
        </w:rPr>
        <w:t xml:space="preserve">5 ml) denne. Úvodná dávka sa môže ponechať alebo upravovať, pokiaľ sa dosiahne uspokojivá odpoveď. Keď sa dosiahne priaznivá odpoveď, efektívnu udržiavaciu dávku možno získať znižovaním dávky vo vhodných intervaloch a jej malým zvýšením na získanie najnižšej dávky s uspokojivou klinickou odpoveďou. Chronická dávka </w:t>
      </w:r>
      <w:r w:rsidR="0052627F" w:rsidRPr="00E34F72">
        <w:rPr>
          <w:lang w:val="sk-SK"/>
        </w:rPr>
        <w:t xml:space="preserve">nemá </w:t>
      </w:r>
      <w:r w:rsidRPr="00E34F72">
        <w:rPr>
          <w:lang w:val="sk-SK"/>
        </w:rPr>
        <w:t xml:space="preserve">presiahnuť ekvivalent 0,5 mg </w:t>
      </w:r>
      <w:proofErr w:type="spellStart"/>
      <w:r w:rsidRPr="00E34F72">
        <w:rPr>
          <w:lang w:val="sk-SK"/>
        </w:rPr>
        <w:t>dexametazónu</w:t>
      </w:r>
      <w:proofErr w:type="spellEnd"/>
      <w:r w:rsidRPr="00E34F72">
        <w:rPr>
          <w:lang w:val="sk-SK"/>
        </w:rPr>
        <w:t xml:space="preserve"> denne (ekvivalent 0,6 mg </w:t>
      </w:r>
      <w:proofErr w:type="spellStart"/>
      <w:r w:rsidRPr="00E34F72">
        <w:rPr>
          <w:lang w:val="sk-SK"/>
        </w:rPr>
        <w:t>dexametazónfosfátu</w:t>
      </w:r>
      <w:proofErr w:type="spellEnd"/>
      <w:r w:rsidRPr="00E34F72">
        <w:rPr>
          <w:lang w:val="sk-SK"/>
        </w:rPr>
        <w:t>, 0,15 ml injekcie). Ak po dlhšom ako niekoľkodňovom podávaní má byť liečba prerušená, treba dávku znižovať postupne.</w:t>
      </w:r>
    </w:p>
    <w:p w14:paraId="5B01B0CD" w14:textId="77777777" w:rsidR="006718C7" w:rsidRPr="00E34F72" w:rsidRDefault="008039A5" w:rsidP="00A97442">
      <w:pPr>
        <w:pStyle w:val="Styl3"/>
      </w:pPr>
      <w:r w:rsidRPr="00E34F72">
        <w:t>Šok (</w:t>
      </w:r>
      <w:proofErr w:type="spellStart"/>
      <w:r w:rsidRPr="00E34F72">
        <w:t>pôvod</w:t>
      </w:r>
      <w:proofErr w:type="spellEnd"/>
      <w:r w:rsidRPr="00E34F72">
        <w:t xml:space="preserve"> chirurgický,</w:t>
      </w:r>
      <w:r w:rsidR="006718C7" w:rsidRPr="00E34F72">
        <w:t xml:space="preserve"> traumatický </w:t>
      </w:r>
      <w:proofErr w:type="spellStart"/>
      <w:r w:rsidR="006718C7" w:rsidRPr="00E34F72">
        <w:t>alebo</w:t>
      </w:r>
      <w:proofErr w:type="spellEnd"/>
      <w:r w:rsidR="006718C7" w:rsidRPr="00E34F72">
        <w:t xml:space="preserve"> hemoragický)</w:t>
      </w:r>
    </w:p>
    <w:p w14:paraId="6AE89857" w14:textId="77777777" w:rsidR="008039A5" w:rsidRPr="00E34F72" w:rsidRDefault="006718C7" w:rsidP="00CA12CF">
      <w:pPr>
        <w:pStyle w:val="Normlndobloku"/>
        <w:rPr>
          <w:lang w:val="sk-SK"/>
        </w:rPr>
      </w:pPr>
      <w:r w:rsidRPr="00E34F72">
        <w:rPr>
          <w:lang w:val="sk-SK"/>
        </w:rPr>
        <w:t>Z</w:t>
      </w:r>
      <w:r w:rsidR="008039A5" w:rsidRPr="00E34F72">
        <w:rPr>
          <w:lang w:val="sk-SK"/>
        </w:rPr>
        <w:t>vyčajne 2</w:t>
      </w:r>
      <w:r w:rsidR="00464147" w:rsidRPr="00E34F72">
        <w:rPr>
          <w:lang w:val="sk-SK"/>
        </w:rPr>
        <w:t>–</w:t>
      </w:r>
      <w:r w:rsidR="008039A5" w:rsidRPr="00E34F72">
        <w:rPr>
          <w:lang w:val="sk-SK"/>
        </w:rPr>
        <w:t xml:space="preserve">6 mg/kg telesnej hmotnosti ako jednotlivá intravenózna injekcia. Ak šokový stav pretrváva, môže sa dávka zopakovať po dvoch až šiestich hodinách. Vysoké dávky sa </w:t>
      </w:r>
      <w:r w:rsidR="0052627F" w:rsidRPr="00E34F72">
        <w:rPr>
          <w:lang w:val="sk-SK"/>
        </w:rPr>
        <w:t xml:space="preserve">majú </w:t>
      </w:r>
      <w:r w:rsidR="008039A5" w:rsidRPr="00E34F72">
        <w:rPr>
          <w:lang w:val="sk-SK"/>
        </w:rPr>
        <w:t>podávať do stabilizácie pacientovho stavu, zvyčajne nie dlhšie ako 48 až 72 hodín.</w:t>
      </w:r>
    </w:p>
    <w:p w14:paraId="782922B6" w14:textId="77777777" w:rsidR="006718C7" w:rsidRPr="00E34F72" w:rsidRDefault="008039A5" w:rsidP="00A97442">
      <w:pPr>
        <w:pStyle w:val="Styl3"/>
      </w:pPr>
      <w:r w:rsidRPr="00E34F72">
        <w:t>Anafylaktický šok</w:t>
      </w:r>
    </w:p>
    <w:p w14:paraId="5D25898A" w14:textId="77777777" w:rsidR="008039A5" w:rsidRPr="00E34F72" w:rsidRDefault="006718C7" w:rsidP="00CA12CF">
      <w:pPr>
        <w:pStyle w:val="Normlndobloku"/>
        <w:rPr>
          <w:lang w:val="sk-SK"/>
        </w:rPr>
      </w:pPr>
      <w:r w:rsidRPr="00E34F72">
        <w:rPr>
          <w:lang w:val="sk-SK"/>
        </w:rPr>
        <w:t>N</w:t>
      </w:r>
      <w:r w:rsidR="008039A5" w:rsidRPr="00E34F72">
        <w:rPr>
          <w:lang w:val="sk-SK"/>
        </w:rPr>
        <w:t>ajskôr sa aplikuje intravenózne adrenalínová injekcia: dospelí 1 mg, u detí 10 </w:t>
      </w:r>
      <w:proofErr w:type="spellStart"/>
      <w:r w:rsidR="008039A5" w:rsidRPr="00E34F72">
        <w:rPr>
          <w:lang w:val="sk-SK"/>
        </w:rPr>
        <w:t>mikrogramov</w:t>
      </w:r>
      <w:proofErr w:type="spellEnd"/>
      <w:r w:rsidR="008039A5" w:rsidRPr="00E34F72">
        <w:rPr>
          <w:lang w:val="sk-SK"/>
        </w:rPr>
        <w:t xml:space="preserve">/kg telesnej hmotnosti obvykle komerčne pripraveného roztoku adrenalínu 1:1000 zriedeného 10 ml fyziologického roztoku alebo krvou, injikujeme pod lekárskou kontrolou. Dávku injikujeme pomaly - pozor na poruchu srdcového rytmu </w:t>
      </w:r>
      <w:r w:rsidR="00233AA9" w:rsidRPr="00E34F72">
        <w:rPr>
          <w:lang w:val="sk-SK"/>
        </w:rPr>
        <w:t>-</w:t>
      </w:r>
      <w:r w:rsidR="008039A5" w:rsidRPr="00E34F72">
        <w:rPr>
          <w:lang w:val="sk-SK"/>
        </w:rPr>
        <w:t xml:space="preserve"> potom jednorazovou injekciou aplikujeme </w:t>
      </w:r>
      <w:r w:rsidR="00F273D9" w:rsidRPr="00E34F72">
        <w:rPr>
          <w:lang w:val="sk-SK"/>
        </w:rPr>
        <w:t>DEXAMED</w:t>
      </w:r>
      <w:r w:rsidR="008039A5" w:rsidRPr="00E34F72">
        <w:rPr>
          <w:lang w:val="sk-SK"/>
        </w:rPr>
        <w:t xml:space="preserve"> </w:t>
      </w:r>
      <w:proofErr w:type="spellStart"/>
      <w:r w:rsidR="008039A5" w:rsidRPr="00E34F72">
        <w:rPr>
          <w:lang w:val="sk-SK"/>
        </w:rPr>
        <w:t>inj</w:t>
      </w:r>
      <w:proofErr w:type="spellEnd"/>
      <w:r w:rsidR="008039A5" w:rsidRPr="00E34F72">
        <w:rPr>
          <w:lang w:val="sk-SK"/>
        </w:rPr>
        <w:t>. v dávke 100 mg (u detí 32</w:t>
      </w:r>
      <w:r w:rsidR="00464147" w:rsidRPr="00E34F72">
        <w:rPr>
          <w:lang w:val="sk-SK"/>
        </w:rPr>
        <w:t>–</w:t>
      </w:r>
      <w:r w:rsidR="008039A5" w:rsidRPr="00E34F72">
        <w:rPr>
          <w:lang w:val="sk-SK"/>
        </w:rPr>
        <w:t xml:space="preserve">40 mg). Injekcie sa môžu v prípade potreby opakovať (aj znížené dávky). Spoločne s adrenalínom nemôže byť aplikované kalcium, </w:t>
      </w:r>
      <w:proofErr w:type="spellStart"/>
      <w:r w:rsidR="008039A5" w:rsidRPr="00E34F72">
        <w:rPr>
          <w:lang w:val="sk-SK"/>
        </w:rPr>
        <w:t>digitális</w:t>
      </w:r>
      <w:proofErr w:type="spellEnd"/>
      <w:r w:rsidR="008039A5" w:rsidRPr="00E34F72">
        <w:rPr>
          <w:lang w:val="sk-SK"/>
        </w:rPr>
        <w:t xml:space="preserve"> alebo </w:t>
      </w:r>
      <w:proofErr w:type="spellStart"/>
      <w:r w:rsidR="008039A5" w:rsidRPr="00E34F72">
        <w:rPr>
          <w:lang w:val="sk-SK"/>
        </w:rPr>
        <w:t>strofantínové</w:t>
      </w:r>
      <w:proofErr w:type="spellEnd"/>
      <w:r w:rsidR="008039A5" w:rsidRPr="00E34F72">
        <w:rPr>
          <w:lang w:val="sk-SK"/>
        </w:rPr>
        <w:t xml:space="preserve"> lieky! Ďalej pripojíme infúzie náhradných roztokov a podporujeme dýchanie.</w:t>
      </w:r>
    </w:p>
    <w:p w14:paraId="041A62DB" w14:textId="77777777" w:rsidR="006718C7" w:rsidRPr="00E34F72" w:rsidRDefault="008039A5" w:rsidP="00A97442">
      <w:pPr>
        <w:pStyle w:val="Styl3"/>
      </w:pPr>
      <w:r w:rsidRPr="00E34F72">
        <w:t xml:space="preserve">Status </w:t>
      </w:r>
      <w:proofErr w:type="spellStart"/>
      <w:r w:rsidRPr="00E34F72">
        <w:t>asthmaticus</w:t>
      </w:r>
      <w:proofErr w:type="spellEnd"/>
    </w:p>
    <w:p w14:paraId="034F185F" w14:textId="4102EC68" w:rsidR="008039A5" w:rsidRPr="00E34F72" w:rsidRDefault="006718C7" w:rsidP="00CA12CF">
      <w:pPr>
        <w:pStyle w:val="Normlndobloku"/>
        <w:rPr>
          <w:lang w:val="sk-SK"/>
        </w:rPr>
      </w:pPr>
      <w:r w:rsidRPr="00E34F72">
        <w:rPr>
          <w:lang w:val="sk-SK"/>
        </w:rPr>
        <w:t>Č</w:t>
      </w:r>
      <w:r w:rsidR="008039A5" w:rsidRPr="00E34F72">
        <w:rPr>
          <w:lang w:val="sk-SK"/>
        </w:rPr>
        <w:t>o najrýchlejšie 40</w:t>
      </w:r>
      <w:r w:rsidR="003C3BFF">
        <w:rPr>
          <w:lang w:val="sk-SK"/>
        </w:rPr>
        <w:t> – </w:t>
      </w:r>
      <w:r w:rsidR="008039A5" w:rsidRPr="00E34F72">
        <w:rPr>
          <w:lang w:val="sk-SK"/>
        </w:rPr>
        <w:t xml:space="preserve">80 mg </w:t>
      </w:r>
      <w:proofErr w:type="spellStart"/>
      <w:r w:rsidR="008039A5" w:rsidRPr="00E34F72">
        <w:rPr>
          <w:lang w:val="sk-SK"/>
        </w:rPr>
        <w:t>dexametazónu</w:t>
      </w:r>
      <w:proofErr w:type="spellEnd"/>
      <w:r w:rsidR="008039A5" w:rsidRPr="00E34F72">
        <w:rPr>
          <w:lang w:val="sk-SK"/>
        </w:rPr>
        <w:t xml:space="preserve"> </w:t>
      </w:r>
      <w:proofErr w:type="spellStart"/>
      <w:r w:rsidR="008039A5" w:rsidRPr="00E34F72">
        <w:rPr>
          <w:lang w:val="sk-SK"/>
        </w:rPr>
        <w:t>i.v</w:t>
      </w:r>
      <w:proofErr w:type="spellEnd"/>
      <w:r w:rsidR="008039A5" w:rsidRPr="00E34F72">
        <w:rPr>
          <w:lang w:val="sk-SK"/>
        </w:rPr>
        <w:t xml:space="preserve">., podľa potreby sa pokračuje v daných prípadoch vo viachodinových intervaloch v nižších dávkach. Súčasne môžeme pridať </w:t>
      </w:r>
      <w:proofErr w:type="spellStart"/>
      <w:r w:rsidR="008039A5" w:rsidRPr="00E34F72">
        <w:rPr>
          <w:lang w:val="sk-SK"/>
        </w:rPr>
        <w:t>aminofylín</w:t>
      </w:r>
      <w:proofErr w:type="spellEnd"/>
      <w:r w:rsidR="008039A5" w:rsidRPr="00E34F72">
        <w:rPr>
          <w:lang w:val="sk-SK"/>
        </w:rPr>
        <w:t xml:space="preserve"> a </w:t>
      </w:r>
      <w:proofErr w:type="spellStart"/>
      <w:r w:rsidR="008039A5" w:rsidRPr="00E34F72">
        <w:rPr>
          <w:lang w:val="sk-SK"/>
        </w:rPr>
        <w:t>sekretolytiká</w:t>
      </w:r>
      <w:proofErr w:type="spellEnd"/>
      <w:r w:rsidR="008039A5" w:rsidRPr="00E34F72">
        <w:rPr>
          <w:lang w:val="sk-SK"/>
        </w:rPr>
        <w:t xml:space="preserve">, najlepšie </w:t>
      </w:r>
      <w:proofErr w:type="spellStart"/>
      <w:r w:rsidR="008039A5" w:rsidRPr="00E34F72">
        <w:rPr>
          <w:lang w:val="sk-SK"/>
        </w:rPr>
        <w:t>i.v</w:t>
      </w:r>
      <w:proofErr w:type="spellEnd"/>
      <w:r w:rsidR="008039A5" w:rsidRPr="00E34F72">
        <w:rPr>
          <w:lang w:val="sk-SK"/>
        </w:rPr>
        <w:t>. v infúzii.</w:t>
      </w:r>
    </w:p>
    <w:p w14:paraId="0C669974" w14:textId="77777777" w:rsidR="006718C7" w:rsidRPr="00E34F72" w:rsidRDefault="008039A5" w:rsidP="00A97442">
      <w:pPr>
        <w:pStyle w:val="Styl3"/>
      </w:pPr>
      <w:proofErr w:type="spellStart"/>
      <w:r w:rsidRPr="00E34F72">
        <w:lastRenderedPageBreak/>
        <w:t>Akútne</w:t>
      </w:r>
      <w:proofErr w:type="spellEnd"/>
      <w:r w:rsidRPr="00E34F72">
        <w:t xml:space="preserve"> dermatózy</w:t>
      </w:r>
    </w:p>
    <w:p w14:paraId="5719BFAC" w14:textId="28342B2C" w:rsidR="008039A5" w:rsidRPr="00E34F72" w:rsidRDefault="006718C7" w:rsidP="00CA12CF">
      <w:pPr>
        <w:pStyle w:val="Normlndobloku"/>
        <w:rPr>
          <w:lang w:val="sk-SK"/>
        </w:rPr>
      </w:pPr>
      <w:r w:rsidRPr="00E34F72">
        <w:rPr>
          <w:lang w:val="sk-SK"/>
        </w:rPr>
        <w:t>I</w:t>
      </w:r>
      <w:r w:rsidR="008039A5" w:rsidRPr="00E34F72">
        <w:rPr>
          <w:lang w:val="sk-SK"/>
        </w:rPr>
        <w:t>niciálne 16</w:t>
      </w:r>
      <w:r w:rsidR="003C3BFF">
        <w:rPr>
          <w:lang w:val="sk-SK"/>
        </w:rPr>
        <w:t> – </w:t>
      </w:r>
      <w:r w:rsidR="008039A5" w:rsidRPr="00E34F72">
        <w:rPr>
          <w:lang w:val="sk-SK"/>
        </w:rPr>
        <w:t xml:space="preserve">40 mg </w:t>
      </w:r>
      <w:proofErr w:type="spellStart"/>
      <w:r w:rsidR="008039A5" w:rsidRPr="00E34F72">
        <w:rPr>
          <w:lang w:val="sk-SK"/>
        </w:rPr>
        <w:t>dexametazónu</w:t>
      </w:r>
      <w:proofErr w:type="spellEnd"/>
      <w:r w:rsidR="008039A5" w:rsidRPr="00E34F72">
        <w:rPr>
          <w:lang w:val="sk-SK"/>
        </w:rPr>
        <w:t xml:space="preserve">, ďalej pokračujeme orálnou terapiou </w:t>
      </w:r>
      <w:proofErr w:type="spellStart"/>
      <w:r w:rsidR="008039A5" w:rsidRPr="00E34F72">
        <w:rPr>
          <w:lang w:val="sk-SK"/>
        </w:rPr>
        <w:t>kortikoidmi</w:t>
      </w:r>
      <w:proofErr w:type="spellEnd"/>
      <w:r w:rsidR="008039A5" w:rsidRPr="00E34F72">
        <w:rPr>
          <w:lang w:val="sk-SK"/>
        </w:rPr>
        <w:t xml:space="preserve"> v klesajúcich dávkach.</w:t>
      </w:r>
    </w:p>
    <w:p w14:paraId="11DB13BA" w14:textId="77777777" w:rsidR="00081CDB" w:rsidRPr="00E34F72" w:rsidRDefault="008039A5" w:rsidP="00A97442">
      <w:pPr>
        <w:pStyle w:val="Styl3"/>
      </w:pPr>
      <w:proofErr w:type="spellStart"/>
      <w:r w:rsidRPr="00E34F72">
        <w:t>Ťažké</w:t>
      </w:r>
      <w:proofErr w:type="spellEnd"/>
      <w:r w:rsidRPr="00E34F72">
        <w:t xml:space="preserve"> </w:t>
      </w:r>
      <w:proofErr w:type="spellStart"/>
      <w:r w:rsidRPr="00E34F72">
        <w:t>infekčné</w:t>
      </w:r>
      <w:proofErr w:type="spellEnd"/>
      <w:r w:rsidRPr="00E34F72">
        <w:t xml:space="preserve"> choroby</w:t>
      </w:r>
    </w:p>
    <w:p w14:paraId="1C90807E" w14:textId="74690535" w:rsidR="008039A5" w:rsidRPr="00E34F72" w:rsidRDefault="008039A5" w:rsidP="00CA12CF">
      <w:pPr>
        <w:pStyle w:val="Normlndobloku"/>
        <w:rPr>
          <w:lang w:val="sk-SK"/>
        </w:rPr>
      </w:pPr>
      <w:r w:rsidRPr="00E34F72">
        <w:rPr>
          <w:lang w:val="sk-SK"/>
        </w:rPr>
        <w:t>40</w:t>
      </w:r>
      <w:r w:rsidR="003C3BFF">
        <w:rPr>
          <w:lang w:val="sk-SK"/>
        </w:rPr>
        <w:t> – </w:t>
      </w:r>
      <w:r w:rsidRPr="00E34F72">
        <w:rPr>
          <w:lang w:val="sk-SK"/>
        </w:rPr>
        <w:t xml:space="preserve">100 mg </w:t>
      </w:r>
      <w:proofErr w:type="spellStart"/>
      <w:r w:rsidRPr="00E34F72">
        <w:rPr>
          <w:lang w:val="sk-SK"/>
        </w:rPr>
        <w:t>dexametazónu</w:t>
      </w:r>
      <w:proofErr w:type="spellEnd"/>
      <w:r w:rsidRPr="00E34F72">
        <w:rPr>
          <w:lang w:val="sk-SK"/>
        </w:rPr>
        <w:t xml:space="preserve"> (spoločne s antibiotickou terapiou).</w:t>
      </w:r>
    </w:p>
    <w:p w14:paraId="6E9E24E8" w14:textId="77777777" w:rsidR="00081CDB" w:rsidRPr="00E34F72" w:rsidRDefault="008039A5" w:rsidP="00A97442">
      <w:pPr>
        <w:pStyle w:val="Styl3"/>
      </w:pPr>
      <w:proofErr w:type="spellStart"/>
      <w:r w:rsidRPr="00E34F72">
        <w:t>Akútne</w:t>
      </w:r>
      <w:proofErr w:type="spellEnd"/>
      <w:r w:rsidRPr="00E34F72">
        <w:t xml:space="preserve"> </w:t>
      </w:r>
      <w:proofErr w:type="spellStart"/>
      <w:r w:rsidRPr="00E34F72">
        <w:t>ochorenia</w:t>
      </w:r>
      <w:proofErr w:type="spellEnd"/>
      <w:r w:rsidRPr="00E34F72">
        <w:t xml:space="preserve"> v </w:t>
      </w:r>
      <w:proofErr w:type="spellStart"/>
      <w:r w:rsidRPr="00E34F72">
        <w:t>detskom</w:t>
      </w:r>
      <w:proofErr w:type="spellEnd"/>
      <w:r w:rsidRPr="00E34F72">
        <w:t xml:space="preserve"> veku</w:t>
      </w:r>
    </w:p>
    <w:p w14:paraId="43FACEE5" w14:textId="35896C91" w:rsidR="008039A5" w:rsidRPr="00E34F72" w:rsidRDefault="00081CDB" w:rsidP="00CA12CF">
      <w:pPr>
        <w:pStyle w:val="Normlndobloku"/>
        <w:rPr>
          <w:lang w:val="sk-SK"/>
        </w:rPr>
      </w:pPr>
      <w:r w:rsidRPr="00E34F72">
        <w:rPr>
          <w:lang w:val="sk-SK"/>
        </w:rPr>
        <w:t>U</w:t>
      </w:r>
      <w:r w:rsidR="008039A5" w:rsidRPr="00E34F72">
        <w:rPr>
          <w:lang w:val="sk-SK"/>
        </w:rPr>
        <w:t xml:space="preserve"> ťažko prebiehajúcich foriem ihneď 4</w:t>
      </w:r>
      <w:r w:rsidR="003C3BFF">
        <w:rPr>
          <w:lang w:val="sk-SK"/>
        </w:rPr>
        <w:t> – </w:t>
      </w:r>
      <w:r w:rsidR="008039A5" w:rsidRPr="00E34F72">
        <w:rPr>
          <w:lang w:val="sk-SK"/>
        </w:rPr>
        <w:t xml:space="preserve">8 mg </w:t>
      </w:r>
      <w:proofErr w:type="spellStart"/>
      <w:r w:rsidR="008039A5" w:rsidRPr="00E34F72">
        <w:rPr>
          <w:lang w:val="sk-SK"/>
        </w:rPr>
        <w:t>dexametazónu</w:t>
      </w:r>
      <w:proofErr w:type="spellEnd"/>
      <w:r w:rsidR="008039A5" w:rsidRPr="00E34F72">
        <w:rPr>
          <w:lang w:val="sk-SK"/>
        </w:rPr>
        <w:t xml:space="preserve"> </w:t>
      </w:r>
      <w:proofErr w:type="spellStart"/>
      <w:r w:rsidR="008039A5" w:rsidRPr="00E34F72">
        <w:rPr>
          <w:lang w:val="sk-SK"/>
        </w:rPr>
        <w:t>i.v</w:t>
      </w:r>
      <w:proofErr w:type="spellEnd"/>
      <w:r w:rsidR="008039A5" w:rsidRPr="00E34F72">
        <w:rPr>
          <w:lang w:val="sk-SK"/>
        </w:rPr>
        <w:t xml:space="preserve">. alebo </w:t>
      </w:r>
      <w:proofErr w:type="spellStart"/>
      <w:r w:rsidR="008039A5" w:rsidRPr="00E34F72">
        <w:rPr>
          <w:lang w:val="sk-SK"/>
        </w:rPr>
        <w:t>i.m</w:t>
      </w:r>
      <w:proofErr w:type="spellEnd"/>
      <w:r w:rsidR="008039A5" w:rsidRPr="00E34F72">
        <w:rPr>
          <w:lang w:val="sk-SK"/>
        </w:rPr>
        <w:t>. eventuálne sa opakuje po 2</w:t>
      </w:r>
      <w:r w:rsidR="003C3BFF">
        <w:rPr>
          <w:lang w:val="sk-SK"/>
        </w:rPr>
        <w:t> – </w:t>
      </w:r>
      <w:r w:rsidR="008039A5" w:rsidRPr="00E34F72">
        <w:rPr>
          <w:lang w:val="sk-SK"/>
        </w:rPr>
        <w:t>3 hodinách.</w:t>
      </w:r>
    </w:p>
    <w:p w14:paraId="07DFEF5A" w14:textId="77777777" w:rsidR="00081CDB" w:rsidRPr="00E34F72" w:rsidRDefault="008039A5" w:rsidP="00A97442">
      <w:pPr>
        <w:pStyle w:val="Styl3"/>
      </w:pPr>
      <w:r w:rsidRPr="00E34F72">
        <w:t xml:space="preserve">Šok u </w:t>
      </w:r>
      <w:proofErr w:type="spellStart"/>
      <w:r w:rsidRPr="00E34F72">
        <w:t>polytráum</w:t>
      </w:r>
      <w:proofErr w:type="spellEnd"/>
      <w:r w:rsidRPr="00E34F72">
        <w:t xml:space="preserve"> (</w:t>
      </w:r>
      <w:proofErr w:type="spellStart"/>
      <w:r w:rsidRPr="00E34F72">
        <w:t>profylaxia</w:t>
      </w:r>
      <w:proofErr w:type="spellEnd"/>
      <w:r w:rsidRPr="00E34F72">
        <w:t xml:space="preserve"> šokových </w:t>
      </w:r>
      <w:proofErr w:type="spellStart"/>
      <w:r w:rsidRPr="00E34F72">
        <w:t>pľúc</w:t>
      </w:r>
      <w:proofErr w:type="spellEnd"/>
      <w:r w:rsidRPr="00E34F72">
        <w:t>)</w:t>
      </w:r>
    </w:p>
    <w:p w14:paraId="34EE001A" w14:textId="690DB416" w:rsidR="008039A5" w:rsidRPr="00E34F72" w:rsidRDefault="00081CDB" w:rsidP="00CA12CF">
      <w:pPr>
        <w:pStyle w:val="Normlndobloku"/>
        <w:rPr>
          <w:lang w:val="sk-SK"/>
        </w:rPr>
      </w:pPr>
      <w:proofErr w:type="spellStart"/>
      <w:r w:rsidRPr="00E34F72">
        <w:rPr>
          <w:lang w:val="sk-SK"/>
        </w:rPr>
        <w:t>B</w:t>
      </w:r>
      <w:r w:rsidR="008039A5" w:rsidRPr="00E34F72">
        <w:rPr>
          <w:lang w:val="sk-SK"/>
        </w:rPr>
        <w:t>olus</w:t>
      </w:r>
      <w:proofErr w:type="spellEnd"/>
      <w:r w:rsidR="008039A5" w:rsidRPr="00E34F72">
        <w:rPr>
          <w:lang w:val="sk-SK"/>
        </w:rPr>
        <w:t xml:space="preserve"> 40</w:t>
      </w:r>
      <w:r w:rsidR="003C3BFF">
        <w:rPr>
          <w:lang w:val="sk-SK"/>
        </w:rPr>
        <w:t> – </w:t>
      </w:r>
      <w:r w:rsidR="008039A5" w:rsidRPr="00E34F72">
        <w:rPr>
          <w:lang w:val="sk-SK"/>
        </w:rPr>
        <w:t xml:space="preserve">300 mg (deti 40 mg) </w:t>
      </w:r>
      <w:proofErr w:type="spellStart"/>
      <w:r w:rsidR="008039A5" w:rsidRPr="00E34F72">
        <w:rPr>
          <w:lang w:val="sk-SK"/>
        </w:rPr>
        <w:t>dexametazónu</w:t>
      </w:r>
      <w:proofErr w:type="spellEnd"/>
      <w:r w:rsidR="008039A5" w:rsidRPr="00E34F72">
        <w:rPr>
          <w:lang w:val="sk-SK"/>
        </w:rPr>
        <w:t xml:space="preserve"> </w:t>
      </w:r>
      <w:proofErr w:type="spellStart"/>
      <w:r w:rsidR="008039A5" w:rsidRPr="00E34F72">
        <w:rPr>
          <w:lang w:val="sk-SK"/>
        </w:rPr>
        <w:t>i.v</w:t>
      </w:r>
      <w:proofErr w:type="spellEnd"/>
      <w:r w:rsidR="008039A5" w:rsidRPr="00E34F72">
        <w:rPr>
          <w:lang w:val="sk-SK"/>
        </w:rPr>
        <w:t>., opakovanie dávky po 12</w:t>
      </w:r>
      <w:r w:rsidR="003C3BFF">
        <w:rPr>
          <w:lang w:val="sk-SK"/>
        </w:rPr>
        <w:t> – </w:t>
      </w:r>
      <w:r w:rsidR="008039A5" w:rsidRPr="00E34F72">
        <w:rPr>
          <w:lang w:val="sk-SK"/>
        </w:rPr>
        <w:t>16 hodinách alebo 40 mg po 6 hodinách po dobu 2</w:t>
      </w:r>
      <w:r w:rsidR="003C3BFF">
        <w:rPr>
          <w:lang w:val="sk-SK"/>
        </w:rPr>
        <w:t> – </w:t>
      </w:r>
      <w:r w:rsidR="008039A5" w:rsidRPr="00E34F72">
        <w:rPr>
          <w:lang w:val="sk-SK"/>
        </w:rPr>
        <w:t>3 dní.</w:t>
      </w:r>
    </w:p>
    <w:p w14:paraId="2986A5F6" w14:textId="77777777" w:rsidR="00081CDB" w:rsidRPr="00E34F72" w:rsidRDefault="008039A5" w:rsidP="00A97442">
      <w:pPr>
        <w:pStyle w:val="Styl3"/>
      </w:pPr>
      <w:proofErr w:type="spellStart"/>
      <w:r w:rsidRPr="00E34F72">
        <w:t>Mozgový</w:t>
      </w:r>
      <w:proofErr w:type="spellEnd"/>
      <w:r w:rsidRPr="00E34F72">
        <w:t xml:space="preserve"> edém</w:t>
      </w:r>
    </w:p>
    <w:p w14:paraId="2D9990E8" w14:textId="3A7FE1ED" w:rsidR="008039A5" w:rsidRPr="00E34F72" w:rsidRDefault="00081CDB" w:rsidP="00CA12CF">
      <w:pPr>
        <w:pStyle w:val="Normlndobloku"/>
        <w:rPr>
          <w:lang w:val="sk-SK"/>
        </w:rPr>
      </w:pPr>
      <w:proofErr w:type="spellStart"/>
      <w:r w:rsidRPr="00E34F72">
        <w:rPr>
          <w:lang w:val="sk-SK"/>
        </w:rPr>
        <w:t>S</w:t>
      </w:r>
      <w:r w:rsidR="008039A5" w:rsidRPr="00E34F72">
        <w:rPr>
          <w:lang w:val="sk-SK"/>
        </w:rPr>
        <w:t>ubakútne</w:t>
      </w:r>
      <w:proofErr w:type="spellEnd"/>
      <w:r w:rsidR="008039A5" w:rsidRPr="00E34F72">
        <w:rPr>
          <w:lang w:val="sk-SK"/>
        </w:rPr>
        <w:t xml:space="preserve"> a chronické formy: 8</w:t>
      </w:r>
      <w:r w:rsidR="003C3BFF">
        <w:rPr>
          <w:lang w:val="sk-SK"/>
        </w:rPr>
        <w:t> – </w:t>
      </w:r>
      <w:r w:rsidR="008039A5" w:rsidRPr="00E34F72">
        <w:rPr>
          <w:lang w:val="sk-SK"/>
        </w:rPr>
        <w:t xml:space="preserve">12 mg intravenózne s následným podaním 4 mg </w:t>
      </w:r>
      <w:proofErr w:type="spellStart"/>
      <w:r w:rsidR="008039A5" w:rsidRPr="00E34F72">
        <w:rPr>
          <w:lang w:val="sk-SK"/>
        </w:rPr>
        <w:t>intramuskulárne</w:t>
      </w:r>
      <w:proofErr w:type="spellEnd"/>
      <w:r w:rsidR="008039A5" w:rsidRPr="00E34F72">
        <w:rPr>
          <w:lang w:val="sk-SK"/>
        </w:rPr>
        <w:t xml:space="preserve"> každých šesť hodín do ústupu symptómov. Odpoveď sa dosiahne zvyčajne do 12</w:t>
      </w:r>
      <w:r w:rsidR="003C3BFF">
        <w:rPr>
          <w:lang w:val="sk-SK"/>
        </w:rPr>
        <w:t> – </w:t>
      </w:r>
      <w:r w:rsidR="008039A5" w:rsidRPr="00E34F72">
        <w:rPr>
          <w:lang w:val="sk-SK"/>
        </w:rPr>
        <w:t>24 hodín, potom po 2 -4 dňoch môže byť dávka redukovaná a postupne po 5</w:t>
      </w:r>
      <w:r w:rsidR="003C3BFF">
        <w:rPr>
          <w:lang w:val="sk-SK"/>
        </w:rPr>
        <w:t> – </w:t>
      </w:r>
      <w:r w:rsidR="008039A5" w:rsidRPr="00E34F72">
        <w:rPr>
          <w:lang w:val="sk-SK"/>
        </w:rPr>
        <w:t>7 dňoch ukončená.</w:t>
      </w:r>
    </w:p>
    <w:p w14:paraId="7758D325" w14:textId="77777777" w:rsidR="008039A5" w:rsidRPr="00E34F72" w:rsidRDefault="008039A5" w:rsidP="00CA12CF">
      <w:pPr>
        <w:pStyle w:val="Normlndobloku"/>
        <w:rPr>
          <w:lang w:val="sk-SK"/>
        </w:rPr>
      </w:pPr>
      <w:r w:rsidRPr="00E34F72">
        <w:rPr>
          <w:lang w:val="sk-SK"/>
        </w:rPr>
        <w:t>Pri život ohrozujúcom mozgovom edéme sú odporučené na úvod krátkotrvajúcej intenzívnej liečby vysoké injekčné dávky. Dávka sa postupne znižuje, eventuálne redukuje na nulu, počas 7 až 10 dňového obdobia, pozri tabuľku. Ak sa vyžaduje udržiavacia dávka, mala by byť čím skôr nahradená tabletami.</w:t>
      </w:r>
    </w:p>
    <w:p w14:paraId="25A91B7E" w14:textId="77777777" w:rsidR="008039A5" w:rsidRPr="00E34F72" w:rsidRDefault="008039A5" w:rsidP="00A97442">
      <w:pPr>
        <w:pStyle w:val="Styl3"/>
      </w:pPr>
      <w:proofErr w:type="spellStart"/>
      <w:r w:rsidRPr="00E34F72">
        <w:t>Odporúčaná</w:t>
      </w:r>
      <w:proofErr w:type="spellEnd"/>
      <w:r w:rsidRPr="00E34F72">
        <w:t xml:space="preserve"> </w:t>
      </w:r>
      <w:proofErr w:type="spellStart"/>
      <w:r w:rsidRPr="00E34F72">
        <w:t>vysokodávková</w:t>
      </w:r>
      <w:proofErr w:type="spellEnd"/>
      <w:r w:rsidRPr="00E34F72">
        <w:t xml:space="preserve"> </w:t>
      </w:r>
      <w:proofErr w:type="spellStart"/>
      <w:r w:rsidRPr="00E34F72">
        <w:t>terapia</w:t>
      </w:r>
      <w:proofErr w:type="spellEnd"/>
      <w:r w:rsidRPr="00E34F72">
        <w:t xml:space="preserve"> </w:t>
      </w:r>
      <w:proofErr w:type="spellStart"/>
      <w:r w:rsidRPr="00E34F72">
        <w:t>pri</w:t>
      </w:r>
      <w:proofErr w:type="spellEnd"/>
      <w:r w:rsidRPr="00E34F72">
        <w:t xml:space="preserve"> </w:t>
      </w:r>
      <w:proofErr w:type="spellStart"/>
      <w:r w:rsidRPr="00E34F72">
        <w:t>mozgovom</w:t>
      </w:r>
      <w:proofErr w:type="spellEnd"/>
      <w:r w:rsidRPr="00E34F72">
        <w:t xml:space="preserve"> edéme</w:t>
      </w:r>
    </w:p>
    <w:p w14:paraId="63907DB9" w14:textId="77777777" w:rsidR="00FC45D1" w:rsidRPr="00E34F72" w:rsidRDefault="00FC45D1" w:rsidP="00A97442">
      <w:pPr>
        <w:pStyle w:val="Styl3"/>
      </w:pPr>
      <w:proofErr w:type="spellStart"/>
      <w:r w:rsidRPr="00E34F72">
        <w:t>Dospelí</w:t>
      </w:r>
      <w:proofErr w:type="spellEnd"/>
    </w:p>
    <w:tbl>
      <w:tblPr>
        <w:tblpPr w:leftFromText="142" w:rightFromText="142" w:bottom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6662"/>
      </w:tblGrid>
      <w:tr w:rsidR="00FC45D1" w:rsidRPr="00E34F72" w14:paraId="186BB5CB" w14:textId="77777777">
        <w:tc>
          <w:tcPr>
            <w:tcW w:w="2660" w:type="dxa"/>
          </w:tcPr>
          <w:p w14:paraId="393410F4" w14:textId="77777777" w:rsidR="00FC45D1" w:rsidRPr="00E34F72" w:rsidRDefault="00FC45D1" w:rsidP="00101619">
            <w:pPr>
              <w:pStyle w:val="Normlndobloku"/>
              <w:rPr>
                <w:lang w:val="sk-SK"/>
              </w:rPr>
            </w:pPr>
            <w:r w:rsidRPr="00E34F72">
              <w:rPr>
                <w:lang w:val="sk-SK"/>
              </w:rPr>
              <w:t>Úvodná dávka</w:t>
            </w:r>
          </w:p>
        </w:tc>
        <w:tc>
          <w:tcPr>
            <w:tcW w:w="6662" w:type="dxa"/>
          </w:tcPr>
          <w:p w14:paraId="1D7B25F4" w14:textId="570B21D4" w:rsidR="00FC45D1" w:rsidRPr="00E34F72" w:rsidRDefault="00FC45D1" w:rsidP="00101619">
            <w:pPr>
              <w:pStyle w:val="Normlndobloku"/>
              <w:rPr>
                <w:lang w:val="sk-SK"/>
              </w:rPr>
            </w:pPr>
            <w:r w:rsidRPr="00E34F72">
              <w:rPr>
                <w:lang w:val="sk-SK"/>
              </w:rPr>
              <w:t>40</w:t>
            </w:r>
            <w:r w:rsidR="003C3BFF">
              <w:rPr>
                <w:lang w:val="sk-SK"/>
              </w:rPr>
              <w:t> – </w:t>
            </w:r>
            <w:r w:rsidRPr="00E34F72">
              <w:rPr>
                <w:lang w:val="sk-SK"/>
              </w:rPr>
              <w:t xml:space="preserve">100 mg </w:t>
            </w:r>
            <w:r w:rsidR="00C033B4" w:rsidRPr="00E34F72">
              <w:rPr>
                <w:lang w:val="sk-SK"/>
              </w:rPr>
              <w:t>intravenózne</w:t>
            </w:r>
          </w:p>
        </w:tc>
      </w:tr>
      <w:tr w:rsidR="00FC45D1" w:rsidRPr="00E34F72" w14:paraId="43300729" w14:textId="77777777">
        <w:tc>
          <w:tcPr>
            <w:tcW w:w="2660" w:type="dxa"/>
          </w:tcPr>
          <w:p w14:paraId="7729F067" w14:textId="77777777" w:rsidR="00FC45D1" w:rsidRPr="00E34F72" w:rsidRDefault="00FC45D1" w:rsidP="00101619">
            <w:pPr>
              <w:pStyle w:val="Normlndobloku"/>
              <w:rPr>
                <w:lang w:val="sk-SK"/>
              </w:rPr>
            </w:pPr>
            <w:r w:rsidRPr="00E34F72">
              <w:rPr>
                <w:lang w:val="sk-SK"/>
              </w:rPr>
              <w:t>1</w:t>
            </w:r>
            <w:r w:rsidR="00963316" w:rsidRPr="00E34F72">
              <w:rPr>
                <w:lang w:val="sk-SK"/>
              </w:rPr>
              <w:t>. deň</w:t>
            </w:r>
          </w:p>
        </w:tc>
        <w:tc>
          <w:tcPr>
            <w:tcW w:w="6662" w:type="dxa"/>
          </w:tcPr>
          <w:p w14:paraId="1EF8A072" w14:textId="4ACDF141" w:rsidR="00FC45D1" w:rsidRPr="00E34F72" w:rsidRDefault="00A73AE4" w:rsidP="00101619">
            <w:pPr>
              <w:pStyle w:val="Normlndobloku"/>
              <w:rPr>
                <w:lang w:val="sk-SK"/>
              </w:rPr>
            </w:pPr>
            <w:r w:rsidRPr="00E34F72">
              <w:rPr>
                <w:lang w:val="sk-SK"/>
              </w:rPr>
              <w:t>4</w:t>
            </w:r>
            <w:r w:rsidR="003C3BFF">
              <w:rPr>
                <w:lang w:val="sk-SK"/>
              </w:rPr>
              <w:t> – </w:t>
            </w:r>
            <w:r w:rsidR="00FC45D1" w:rsidRPr="00E34F72">
              <w:rPr>
                <w:lang w:val="sk-SK"/>
              </w:rPr>
              <w:t xml:space="preserve">8 mg </w:t>
            </w:r>
            <w:r w:rsidR="00C033B4" w:rsidRPr="00E34F72">
              <w:rPr>
                <w:lang w:val="sk-SK"/>
              </w:rPr>
              <w:t>intravenózne</w:t>
            </w:r>
            <w:r w:rsidR="00FC45D1" w:rsidRPr="00E34F72">
              <w:rPr>
                <w:lang w:val="sk-SK"/>
              </w:rPr>
              <w:t xml:space="preserve"> </w:t>
            </w:r>
            <w:r w:rsidRPr="00E34F72">
              <w:rPr>
                <w:lang w:val="sk-SK"/>
              </w:rPr>
              <w:t xml:space="preserve">pomaly alebo </w:t>
            </w:r>
            <w:proofErr w:type="spellStart"/>
            <w:r w:rsidR="00963316" w:rsidRPr="00E34F72">
              <w:rPr>
                <w:lang w:val="sk-SK"/>
              </w:rPr>
              <w:t>intramuskulárne</w:t>
            </w:r>
            <w:proofErr w:type="spellEnd"/>
            <w:r w:rsidRPr="00E34F72">
              <w:rPr>
                <w:lang w:val="sk-SK"/>
              </w:rPr>
              <w:t xml:space="preserve"> </w:t>
            </w:r>
            <w:r w:rsidR="00FC45D1" w:rsidRPr="00E34F72">
              <w:rPr>
                <w:lang w:val="sk-SK"/>
              </w:rPr>
              <w:t>každé 2</w:t>
            </w:r>
            <w:r w:rsidR="003C3BFF">
              <w:rPr>
                <w:lang w:val="sk-SK"/>
              </w:rPr>
              <w:t> – </w:t>
            </w:r>
            <w:r w:rsidRPr="00E34F72">
              <w:rPr>
                <w:lang w:val="sk-SK"/>
              </w:rPr>
              <w:t xml:space="preserve">4 </w:t>
            </w:r>
            <w:r w:rsidR="00FC45D1" w:rsidRPr="00E34F72">
              <w:rPr>
                <w:lang w:val="sk-SK"/>
              </w:rPr>
              <w:t>hodiny</w:t>
            </w:r>
          </w:p>
        </w:tc>
      </w:tr>
      <w:tr w:rsidR="00FC45D1" w:rsidRPr="00E34F72" w14:paraId="6C6979F8" w14:textId="77777777">
        <w:tc>
          <w:tcPr>
            <w:tcW w:w="2660" w:type="dxa"/>
          </w:tcPr>
          <w:p w14:paraId="248F9041" w14:textId="77777777" w:rsidR="00FC45D1" w:rsidRPr="00E34F72" w:rsidRDefault="00FC45D1" w:rsidP="00101619">
            <w:pPr>
              <w:pStyle w:val="Normlndobloku"/>
              <w:rPr>
                <w:lang w:val="sk-SK"/>
              </w:rPr>
            </w:pPr>
            <w:r w:rsidRPr="00E34F72">
              <w:rPr>
                <w:lang w:val="sk-SK"/>
              </w:rPr>
              <w:t>2</w:t>
            </w:r>
            <w:r w:rsidR="00963316" w:rsidRPr="00E34F72">
              <w:rPr>
                <w:lang w:val="sk-SK"/>
              </w:rPr>
              <w:t>. deň</w:t>
            </w:r>
          </w:p>
        </w:tc>
        <w:tc>
          <w:tcPr>
            <w:tcW w:w="6662" w:type="dxa"/>
          </w:tcPr>
          <w:p w14:paraId="329DD7B8" w14:textId="59AD14F1" w:rsidR="00FC45D1" w:rsidRPr="00E34F72" w:rsidRDefault="00FC45D1" w:rsidP="00101619">
            <w:pPr>
              <w:pStyle w:val="Normlndobloku"/>
              <w:rPr>
                <w:lang w:val="sk-SK"/>
              </w:rPr>
            </w:pPr>
            <w:r w:rsidRPr="00E34F72">
              <w:rPr>
                <w:lang w:val="sk-SK"/>
              </w:rPr>
              <w:t xml:space="preserve">8 mg </w:t>
            </w:r>
            <w:r w:rsidR="00C033B4" w:rsidRPr="00E34F72">
              <w:rPr>
                <w:lang w:val="sk-SK"/>
              </w:rPr>
              <w:t>intravenózne</w:t>
            </w:r>
            <w:r w:rsidR="00A73AE4" w:rsidRPr="00E34F72">
              <w:rPr>
                <w:lang w:val="sk-SK"/>
              </w:rPr>
              <w:t xml:space="preserve"> pomaly alebo </w:t>
            </w:r>
            <w:proofErr w:type="spellStart"/>
            <w:r w:rsidR="00963316" w:rsidRPr="00E34F72">
              <w:rPr>
                <w:lang w:val="sk-SK"/>
              </w:rPr>
              <w:t>intramuskulárne</w:t>
            </w:r>
            <w:proofErr w:type="spellEnd"/>
            <w:r w:rsidR="00A73AE4" w:rsidRPr="00E34F72">
              <w:rPr>
                <w:lang w:val="sk-SK"/>
              </w:rPr>
              <w:t xml:space="preserve"> </w:t>
            </w:r>
            <w:r w:rsidRPr="00E34F72">
              <w:rPr>
                <w:lang w:val="sk-SK"/>
              </w:rPr>
              <w:t>každé 2</w:t>
            </w:r>
            <w:r w:rsidR="003C3BFF">
              <w:rPr>
                <w:lang w:val="sk-SK"/>
              </w:rPr>
              <w:t> – </w:t>
            </w:r>
            <w:r w:rsidR="00A73AE4" w:rsidRPr="00E34F72">
              <w:rPr>
                <w:lang w:val="sk-SK"/>
              </w:rPr>
              <w:t xml:space="preserve">4 </w:t>
            </w:r>
            <w:r w:rsidRPr="00E34F72">
              <w:rPr>
                <w:lang w:val="sk-SK"/>
              </w:rPr>
              <w:t>hodiny</w:t>
            </w:r>
          </w:p>
        </w:tc>
      </w:tr>
      <w:tr w:rsidR="00FC45D1" w:rsidRPr="00E34F72" w14:paraId="13F024C9" w14:textId="77777777">
        <w:tc>
          <w:tcPr>
            <w:tcW w:w="2660" w:type="dxa"/>
          </w:tcPr>
          <w:p w14:paraId="25790DEA" w14:textId="77777777" w:rsidR="00FC45D1" w:rsidRPr="00E34F72" w:rsidRDefault="00FC45D1" w:rsidP="00101619">
            <w:pPr>
              <w:pStyle w:val="Normlndobloku"/>
              <w:rPr>
                <w:lang w:val="sk-SK"/>
              </w:rPr>
            </w:pPr>
            <w:r w:rsidRPr="00E34F72">
              <w:rPr>
                <w:lang w:val="sk-SK"/>
              </w:rPr>
              <w:t>3</w:t>
            </w:r>
            <w:r w:rsidR="00963316" w:rsidRPr="00E34F72">
              <w:rPr>
                <w:lang w:val="sk-SK"/>
              </w:rPr>
              <w:t>. deň</w:t>
            </w:r>
          </w:p>
        </w:tc>
        <w:tc>
          <w:tcPr>
            <w:tcW w:w="6662" w:type="dxa"/>
          </w:tcPr>
          <w:p w14:paraId="3017965C" w14:textId="60094295" w:rsidR="00FC45D1" w:rsidRPr="00E34F72" w:rsidRDefault="00A73AE4" w:rsidP="00101619">
            <w:pPr>
              <w:pStyle w:val="Normlndobloku"/>
              <w:rPr>
                <w:lang w:val="sk-SK"/>
              </w:rPr>
            </w:pPr>
            <w:r w:rsidRPr="00E34F72">
              <w:rPr>
                <w:lang w:val="sk-SK"/>
              </w:rPr>
              <w:t xml:space="preserve">8 mg </w:t>
            </w:r>
            <w:r w:rsidR="00C033B4" w:rsidRPr="00E34F72">
              <w:rPr>
                <w:lang w:val="sk-SK"/>
              </w:rPr>
              <w:t>intravenózne</w:t>
            </w:r>
            <w:r w:rsidRPr="00E34F72">
              <w:rPr>
                <w:lang w:val="sk-SK"/>
              </w:rPr>
              <w:t xml:space="preserve"> pomaly alebo </w:t>
            </w:r>
            <w:proofErr w:type="spellStart"/>
            <w:r w:rsidR="00963316" w:rsidRPr="00E34F72">
              <w:rPr>
                <w:lang w:val="sk-SK"/>
              </w:rPr>
              <w:t>intramuskulárne</w:t>
            </w:r>
            <w:proofErr w:type="spellEnd"/>
            <w:r w:rsidRPr="00E34F72">
              <w:rPr>
                <w:lang w:val="sk-SK"/>
              </w:rPr>
              <w:t xml:space="preserve"> každé 2</w:t>
            </w:r>
            <w:r w:rsidR="003C3BFF">
              <w:rPr>
                <w:lang w:val="sk-SK"/>
              </w:rPr>
              <w:t> – </w:t>
            </w:r>
            <w:r w:rsidRPr="00E34F72">
              <w:rPr>
                <w:lang w:val="sk-SK"/>
              </w:rPr>
              <w:t>4 hodiny</w:t>
            </w:r>
          </w:p>
        </w:tc>
      </w:tr>
      <w:tr w:rsidR="00FC45D1" w:rsidRPr="00E34F72" w14:paraId="7D15F36F" w14:textId="77777777">
        <w:tc>
          <w:tcPr>
            <w:tcW w:w="2660" w:type="dxa"/>
          </w:tcPr>
          <w:p w14:paraId="7EBFF2EE" w14:textId="77777777" w:rsidR="00FC45D1" w:rsidRPr="00E34F72" w:rsidRDefault="00FC45D1" w:rsidP="00101619">
            <w:pPr>
              <w:pStyle w:val="Normlndobloku"/>
              <w:rPr>
                <w:lang w:val="sk-SK"/>
              </w:rPr>
            </w:pPr>
            <w:r w:rsidRPr="00E34F72">
              <w:rPr>
                <w:lang w:val="sk-SK"/>
              </w:rPr>
              <w:t>4</w:t>
            </w:r>
            <w:r w:rsidR="00963316" w:rsidRPr="00E34F72">
              <w:rPr>
                <w:lang w:val="sk-SK"/>
              </w:rPr>
              <w:t>. deň</w:t>
            </w:r>
          </w:p>
        </w:tc>
        <w:tc>
          <w:tcPr>
            <w:tcW w:w="6662" w:type="dxa"/>
          </w:tcPr>
          <w:p w14:paraId="24D79258" w14:textId="5E4C3095" w:rsidR="00FC45D1" w:rsidRPr="00E34F72" w:rsidRDefault="00A73AE4" w:rsidP="00101619">
            <w:pPr>
              <w:pStyle w:val="Normlndobloku"/>
              <w:rPr>
                <w:lang w:val="sk-SK"/>
              </w:rPr>
            </w:pPr>
            <w:r w:rsidRPr="00E34F72">
              <w:rPr>
                <w:lang w:val="sk-SK"/>
              </w:rPr>
              <w:t xml:space="preserve">4 mg </w:t>
            </w:r>
            <w:r w:rsidR="00C033B4" w:rsidRPr="00E34F72">
              <w:rPr>
                <w:lang w:val="sk-SK"/>
              </w:rPr>
              <w:t>intravenózne</w:t>
            </w:r>
            <w:r w:rsidRPr="00E34F72">
              <w:rPr>
                <w:lang w:val="sk-SK"/>
              </w:rPr>
              <w:t xml:space="preserve"> pomaly alebo </w:t>
            </w:r>
            <w:proofErr w:type="spellStart"/>
            <w:r w:rsidR="00963316" w:rsidRPr="00E34F72">
              <w:rPr>
                <w:lang w:val="sk-SK"/>
              </w:rPr>
              <w:t>intramuskulárne</w:t>
            </w:r>
            <w:proofErr w:type="spellEnd"/>
            <w:r w:rsidRPr="00E34F72">
              <w:rPr>
                <w:lang w:val="sk-SK"/>
              </w:rPr>
              <w:t xml:space="preserve"> každé 2</w:t>
            </w:r>
            <w:r w:rsidR="003C3BFF">
              <w:rPr>
                <w:lang w:val="sk-SK"/>
              </w:rPr>
              <w:t> – </w:t>
            </w:r>
            <w:r w:rsidRPr="00E34F72">
              <w:rPr>
                <w:lang w:val="sk-SK"/>
              </w:rPr>
              <w:t>4 hodiny</w:t>
            </w:r>
          </w:p>
        </w:tc>
      </w:tr>
      <w:tr w:rsidR="00FC45D1" w:rsidRPr="00E34F72" w14:paraId="7DF0BEC9" w14:textId="77777777">
        <w:tc>
          <w:tcPr>
            <w:tcW w:w="2660" w:type="dxa"/>
          </w:tcPr>
          <w:p w14:paraId="4E28F5BD" w14:textId="2BF0B7E5" w:rsidR="00FC45D1" w:rsidRPr="00E34F72" w:rsidRDefault="00FC45D1" w:rsidP="00101619">
            <w:pPr>
              <w:pStyle w:val="Normlndobloku"/>
              <w:rPr>
                <w:lang w:val="sk-SK"/>
              </w:rPr>
            </w:pPr>
            <w:r w:rsidRPr="00E34F72">
              <w:rPr>
                <w:lang w:val="sk-SK"/>
              </w:rPr>
              <w:t>5</w:t>
            </w:r>
            <w:r w:rsidR="00963316" w:rsidRPr="00E34F72">
              <w:rPr>
                <w:lang w:val="sk-SK"/>
              </w:rPr>
              <w:t>.</w:t>
            </w:r>
            <w:r w:rsidR="003C3BFF">
              <w:rPr>
                <w:lang w:val="sk-SK"/>
              </w:rPr>
              <w:t> – </w:t>
            </w:r>
            <w:r w:rsidRPr="00E34F72">
              <w:rPr>
                <w:lang w:val="sk-SK"/>
              </w:rPr>
              <w:t>8</w:t>
            </w:r>
            <w:r w:rsidR="00963316" w:rsidRPr="00E34F72">
              <w:rPr>
                <w:lang w:val="sk-SK"/>
              </w:rPr>
              <w:t>. deň</w:t>
            </w:r>
          </w:p>
        </w:tc>
        <w:tc>
          <w:tcPr>
            <w:tcW w:w="6662" w:type="dxa"/>
          </w:tcPr>
          <w:p w14:paraId="14683CCA" w14:textId="4CCB9805" w:rsidR="00FC45D1" w:rsidRPr="00E34F72" w:rsidRDefault="00A73AE4" w:rsidP="00101619">
            <w:pPr>
              <w:pStyle w:val="Normlndobloku"/>
              <w:rPr>
                <w:lang w:val="sk-SK"/>
              </w:rPr>
            </w:pPr>
            <w:r w:rsidRPr="00E34F72">
              <w:rPr>
                <w:lang w:val="sk-SK"/>
              </w:rPr>
              <w:t xml:space="preserve">4 mg </w:t>
            </w:r>
            <w:r w:rsidR="00C033B4" w:rsidRPr="00E34F72">
              <w:rPr>
                <w:lang w:val="sk-SK"/>
              </w:rPr>
              <w:t>intravenózne</w:t>
            </w:r>
            <w:r w:rsidRPr="00E34F72">
              <w:rPr>
                <w:lang w:val="sk-SK"/>
              </w:rPr>
              <w:t xml:space="preserve"> pomaly alebo </w:t>
            </w:r>
            <w:proofErr w:type="spellStart"/>
            <w:r w:rsidR="00963316" w:rsidRPr="00E34F72">
              <w:rPr>
                <w:lang w:val="sk-SK"/>
              </w:rPr>
              <w:t>intramuskulárne</w:t>
            </w:r>
            <w:proofErr w:type="spellEnd"/>
            <w:r w:rsidRPr="00E34F72">
              <w:rPr>
                <w:lang w:val="sk-SK"/>
              </w:rPr>
              <w:t xml:space="preserve"> každé 2</w:t>
            </w:r>
            <w:r w:rsidR="003C3BFF">
              <w:rPr>
                <w:lang w:val="sk-SK"/>
              </w:rPr>
              <w:t> – </w:t>
            </w:r>
            <w:r w:rsidRPr="00E34F72">
              <w:rPr>
                <w:lang w:val="sk-SK"/>
              </w:rPr>
              <w:t>4 hodiny</w:t>
            </w:r>
          </w:p>
        </w:tc>
      </w:tr>
      <w:tr w:rsidR="00FC45D1" w:rsidRPr="00E34F72" w14:paraId="6BDE7357" w14:textId="77777777">
        <w:tc>
          <w:tcPr>
            <w:tcW w:w="2660" w:type="dxa"/>
          </w:tcPr>
          <w:p w14:paraId="17D42812" w14:textId="77777777" w:rsidR="00FC45D1" w:rsidRPr="00E34F72" w:rsidRDefault="00963316" w:rsidP="00101619">
            <w:pPr>
              <w:pStyle w:val="Normlndobloku"/>
              <w:rPr>
                <w:lang w:val="sk-SK"/>
              </w:rPr>
            </w:pPr>
            <w:r w:rsidRPr="00E34F72">
              <w:rPr>
                <w:lang w:val="sk-SK"/>
              </w:rPr>
              <w:t>n</w:t>
            </w:r>
            <w:r w:rsidR="00A73AE4" w:rsidRPr="00E34F72">
              <w:rPr>
                <w:lang w:val="sk-SK"/>
              </w:rPr>
              <w:t>ásledne</w:t>
            </w:r>
          </w:p>
        </w:tc>
        <w:tc>
          <w:tcPr>
            <w:tcW w:w="6662" w:type="dxa"/>
          </w:tcPr>
          <w:p w14:paraId="4112088A" w14:textId="77777777" w:rsidR="00FC45D1" w:rsidRPr="00E34F72" w:rsidRDefault="00A73AE4" w:rsidP="00101619">
            <w:pPr>
              <w:pStyle w:val="Normlndobloku"/>
              <w:rPr>
                <w:lang w:val="sk-SK"/>
              </w:rPr>
            </w:pPr>
            <w:r w:rsidRPr="00E34F72">
              <w:rPr>
                <w:lang w:val="sk-SK"/>
              </w:rPr>
              <w:t>denné zníženie o 4 mg</w:t>
            </w:r>
          </w:p>
        </w:tc>
      </w:tr>
    </w:tbl>
    <w:p w14:paraId="4FFBCF4F" w14:textId="77777777" w:rsidR="00C015A6" w:rsidRPr="00E34F72" w:rsidRDefault="00C015A6" w:rsidP="00C00477">
      <w:pPr>
        <w:pStyle w:val="Styl3"/>
      </w:pPr>
    </w:p>
    <w:p w14:paraId="0A4CE989" w14:textId="77777777" w:rsidR="00963316" w:rsidRPr="00E34F72" w:rsidRDefault="00963316" w:rsidP="00A97442">
      <w:pPr>
        <w:pStyle w:val="Styl3"/>
      </w:pPr>
      <w:proofErr w:type="spellStart"/>
      <w:r w:rsidRPr="00E34F72">
        <w:t>Deti</w:t>
      </w:r>
      <w:proofErr w:type="spellEnd"/>
    </w:p>
    <w:p w14:paraId="43A7EC75" w14:textId="75D67799" w:rsidR="00963316" w:rsidRPr="00E34F72" w:rsidRDefault="00963316" w:rsidP="00963316">
      <w:pPr>
        <w:pStyle w:val="Normlndobloku"/>
        <w:rPr>
          <w:lang w:val="sk-SK"/>
        </w:rPr>
      </w:pPr>
      <w:r w:rsidRPr="00E34F72">
        <w:rPr>
          <w:lang w:val="sk-SK"/>
        </w:rPr>
        <w:t>Úvodná dávka je 16</w:t>
      </w:r>
      <w:r w:rsidR="003C3BFF">
        <w:rPr>
          <w:lang w:val="sk-SK"/>
        </w:rPr>
        <w:t> – </w:t>
      </w:r>
      <w:r w:rsidRPr="00E34F72">
        <w:rPr>
          <w:lang w:val="sk-SK"/>
        </w:rPr>
        <w:t>40 mg intravenózne a ďalej 4</w:t>
      </w:r>
      <w:r w:rsidR="003C3BFF">
        <w:rPr>
          <w:lang w:val="sk-SK"/>
        </w:rPr>
        <w:t> – </w:t>
      </w:r>
      <w:r w:rsidRPr="00E34F72">
        <w:rPr>
          <w:lang w:val="sk-SK"/>
        </w:rPr>
        <w:t>8 mg každých 6 hodín.</w:t>
      </w:r>
    </w:p>
    <w:p w14:paraId="1C272D7B" w14:textId="77777777" w:rsidR="00963316" w:rsidRPr="00E34F72" w:rsidRDefault="00963316" w:rsidP="00A97442">
      <w:pPr>
        <w:pStyle w:val="Styl3"/>
      </w:pPr>
      <w:proofErr w:type="spellStart"/>
      <w:r w:rsidRPr="00E34F72">
        <w:t>Injekcie</w:t>
      </w:r>
      <w:proofErr w:type="spellEnd"/>
      <w:r w:rsidRPr="00E34F72">
        <w:t xml:space="preserve"> </w:t>
      </w:r>
      <w:proofErr w:type="spellStart"/>
      <w:r w:rsidRPr="00E34F72">
        <w:t>intraartikulárne</w:t>
      </w:r>
      <w:proofErr w:type="spellEnd"/>
      <w:r w:rsidRPr="00E34F72">
        <w:t xml:space="preserve">/ </w:t>
      </w:r>
      <w:proofErr w:type="spellStart"/>
      <w:r w:rsidRPr="00E34F72">
        <w:t>intraburzálne</w:t>
      </w:r>
      <w:proofErr w:type="spellEnd"/>
      <w:r w:rsidRPr="00E34F72">
        <w:t xml:space="preserve">/ do </w:t>
      </w:r>
      <w:proofErr w:type="spellStart"/>
      <w:r w:rsidRPr="00E34F72">
        <w:t>mäkkých</w:t>
      </w:r>
      <w:proofErr w:type="spellEnd"/>
      <w:r w:rsidRPr="00E34F72">
        <w:t xml:space="preserve"> </w:t>
      </w:r>
      <w:proofErr w:type="spellStart"/>
      <w:r w:rsidRPr="00E34F72">
        <w:t>tkanív</w:t>
      </w:r>
      <w:proofErr w:type="spellEnd"/>
    </w:p>
    <w:p w14:paraId="26088D85" w14:textId="3FB723D7" w:rsidR="00963316" w:rsidRPr="00E34F72" w:rsidRDefault="00963316" w:rsidP="00963316">
      <w:pPr>
        <w:pStyle w:val="Normlndobloku"/>
        <w:rPr>
          <w:lang w:val="sk-SK"/>
        </w:rPr>
      </w:pPr>
      <w:r w:rsidRPr="00E34F72">
        <w:rPr>
          <w:lang w:val="sk-SK"/>
        </w:rPr>
        <w:t>Používa sa len ak je poškodený jeden alebo dva kĺby. Lokálna a infiltračná liečba väčšinou 4</w:t>
      </w:r>
      <w:r w:rsidR="003C3BFF">
        <w:rPr>
          <w:lang w:val="sk-SK"/>
        </w:rPr>
        <w:t> – </w:t>
      </w:r>
      <w:r w:rsidRPr="00E34F72">
        <w:rPr>
          <w:lang w:val="sk-SK"/>
        </w:rPr>
        <w:t>8 mg, pri aplikácii do malých kĺbov sa podáva 2 mg.</w:t>
      </w:r>
    </w:p>
    <w:p w14:paraId="3129E5E2" w14:textId="77777777" w:rsidR="00963316" w:rsidRPr="00E34F72" w:rsidRDefault="00963316" w:rsidP="00A97442">
      <w:pPr>
        <w:pStyle w:val="Styl3"/>
      </w:pPr>
      <w:r w:rsidRPr="00E34F72">
        <w:t xml:space="preserve">Odporučené </w:t>
      </w:r>
      <w:proofErr w:type="spellStart"/>
      <w:r w:rsidRPr="00E34F72">
        <w:t>dávkovania</w:t>
      </w:r>
      <w:proofErr w:type="spellEnd"/>
      <w:r w:rsidRPr="00E34F72">
        <w:t>:</w:t>
      </w:r>
    </w:p>
    <w:tbl>
      <w:tblPr>
        <w:tblpPr w:leftFromText="142" w:rightFromText="142" w:bottom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6662"/>
      </w:tblGrid>
      <w:tr w:rsidR="00FC45D1" w:rsidRPr="00E34F72" w14:paraId="405C7793" w14:textId="77777777">
        <w:tc>
          <w:tcPr>
            <w:tcW w:w="2660" w:type="dxa"/>
          </w:tcPr>
          <w:p w14:paraId="2F64DC47" w14:textId="77777777" w:rsidR="00FC45D1" w:rsidRPr="00E34F72" w:rsidRDefault="00FC45D1" w:rsidP="00101619">
            <w:pPr>
              <w:pStyle w:val="Normlndobloku"/>
              <w:rPr>
                <w:lang w:val="sk-SK"/>
              </w:rPr>
            </w:pPr>
            <w:r w:rsidRPr="00E34F72">
              <w:rPr>
                <w:lang w:val="sk-SK"/>
              </w:rPr>
              <w:t>M</w:t>
            </w:r>
            <w:r w:rsidR="00963316" w:rsidRPr="00E34F72">
              <w:rPr>
                <w:lang w:val="sk-SK"/>
              </w:rPr>
              <w:t>iesto</w:t>
            </w:r>
            <w:r w:rsidRPr="00E34F72">
              <w:rPr>
                <w:lang w:val="sk-SK"/>
              </w:rPr>
              <w:t xml:space="preserve"> </w:t>
            </w:r>
            <w:r w:rsidR="00C033B4" w:rsidRPr="00E34F72">
              <w:rPr>
                <w:lang w:val="sk-SK"/>
              </w:rPr>
              <w:t>injekcie</w:t>
            </w:r>
          </w:p>
        </w:tc>
        <w:tc>
          <w:tcPr>
            <w:tcW w:w="6662" w:type="dxa"/>
          </w:tcPr>
          <w:p w14:paraId="4B636D14" w14:textId="77777777" w:rsidR="00FC45D1" w:rsidRPr="00E34F72" w:rsidRDefault="00963316" w:rsidP="00101619">
            <w:pPr>
              <w:pStyle w:val="Normlndobloku"/>
              <w:rPr>
                <w:lang w:val="sk-SK"/>
              </w:rPr>
            </w:pPr>
            <w:proofErr w:type="spellStart"/>
            <w:r w:rsidRPr="00E34F72">
              <w:rPr>
                <w:lang w:val="sk-SK"/>
              </w:rPr>
              <w:t>Dexametazónfosfát</w:t>
            </w:r>
            <w:proofErr w:type="spellEnd"/>
          </w:p>
        </w:tc>
      </w:tr>
      <w:tr w:rsidR="00FC45D1" w:rsidRPr="00E34F72" w14:paraId="12246CEF" w14:textId="77777777">
        <w:tc>
          <w:tcPr>
            <w:tcW w:w="2660" w:type="dxa"/>
          </w:tcPr>
          <w:p w14:paraId="36641E0A" w14:textId="77777777" w:rsidR="00FC45D1" w:rsidRPr="00E34F72" w:rsidRDefault="00963316" w:rsidP="00101619">
            <w:pPr>
              <w:pStyle w:val="Normlndobloku"/>
              <w:rPr>
                <w:lang w:val="sk-SK"/>
              </w:rPr>
            </w:pPr>
            <w:r w:rsidRPr="00E34F72">
              <w:rPr>
                <w:lang w:val="sk-SK"/>
              </w:rPr>
              <w:t>Veľký kĺb</w:t>
            </w:r>
          </w:p>
        </w:tc>
        <w:tc>
          <w:tcPr>
            <w:tcW w:w="6662" w:type="dxa"/>
          </w:tcPr>
          <w:p w14:paraId="39E14518" w14:textId="02928AC8" w:rsidR="00FC45D1" w:rsidRPr="00E34F72" w:rsidRDefault="00FC45D1" w:rsidP="00101619">
            <w:pPr>
              <w:pStyle w:val="Normlndobloku"/>
              <w:rPr>
                <w:lang w:val="sk-SK"/>
              </w:rPr>
            </w:pPr>
            <w:r w:rsidRPr="00E34F72">
              <w:rPr>
                <w:lang w:val="sk-SK"/>
              </w:rPr>
              <w:t>2 mg</w:t>
            </w:r>
            <w:r w:rsidR="003C3BFF">
              <w:rPr>
                <w:lang w:val="sk-SK"/>
              </w:rPr>
              <w:t> – </w:t>
            </w:r>
            <w:r w:rsidRPr="00E34F72">
              <w:rPr>
                <w:lang w:val="sk-SK"/>
              </w:rPr>
              <w:t>4 mg (0,5 ml</w:t>
            </w:r>
            <w:r w:rsidR="003C3BFF">
              <w:rPr>
                <w:lang w:val="sk-SK"/>
              </w:rPr>
              <w:t> – </w:t>
            </w:r>
            <w:r w:rsidRPr="00E34F72">
              <w:rPr>
                <w:lang w:val="sk-SK"/>
              </w:rPr>
              <w:t>1 ml)</w:t>
            </w:r>
          </w:p>
        </w:tc>
      </w:tr>
      <w:tr w:rsidR="00FC45D1" w:rsidRPr="00E34F72" w14:paraId="7681E828" w14:textId="77777777">
        <w:tc>
          <w:tcPr>
            <w:tcW w:w="2660" w:type="dxa"/>
          </w:tcPr>
          <w:p w14:paraId="1A73BDAE" w14:textId="77777777" w:rsidR="00FC45D1" w:rsidRPr="00E34F72" w:rsidRDefault="00963316" w:rsidP="00101619">
            <w:pPr>
              <w:pStyle w:val="Normlndobloku"/>
              <w:rPr>
                <w:lang w:val="sk-SK"/>
              </w:rPr>
            </w:pPr>
            <w:r w:rsidRPr="00E34F72">
              <w:rPr>
                <w:lang w:val="sk-SK"/>
              </w:rPr>
              <w:t>Malý kĺb</w:t>
            </w:r>
          </w:p>
        </w:tc>
        <w:tc>
          <w:tcPr>
            <w:tcW w:w="6662" w:type="dxa"/>
          </w:tcPr>
          <w:p w14:paraId="6540802B" w14:textId="79BA43A5" w:rsidR="00FC45D1" w:rsidRPr="00E34F72" w:rsidRDefault="00FC45D1" w:rsidP="00101619">
            <w:pPr>
              <w:pStyle w:val="Normlndobloku"/>
              <w:rPr>
                <w:lang w:val="sk-SK"/>
              </w:rPr>
            </w:pPr>
            <w:r w:rsidRPr="00E34F72">
              <w:rPr>
                <w:lang w:val="sk-SK"/>
              </w:rPr>
              <w:t>0,8 mg</w:t>
            </w:r>
            <w:r w:rsidR="003C3BFF">
              <w:rPr>
                <w:lang w:val="sk-SK"/>
              </w:rPr>
              <w:t> – </w:t>
            </w:r>
            <w:r w:rsidRPr="00E34F72">
              <w:rPr>
                <w:lang w:val="sk-SK"/>
              </w:rPr>
              <w:t>1 mg (0,2 ml</w:t>
            </w:r>
            <w:r w:rsidR="003C3BFF">
              <w:rPr>
                <w:lang w:val="sk-SK"/>
              </w:rPr>
              <w:t> – </w:t>
            </w:r>
            <w:r w:rsidRPr="00E34F72">
              <w:rPr>
                <w:lang w:val="sk-SK"/>
              </w:rPr>
              <w:t>0,25 ml)</w:t>
            </w:r>
          </w:p>
        </w:tc>
      </w:tr>
      <w:tr w:rsidR="00FC45D1" w:rsidRPr="00E34F72" w14:paraId="371B4283" w14:textId="77777777">
        <w:tc>
          <w:tcPr>
            <w:tcW w:w="2660" w:type="dxa"/>
          </w:tcPr>
          <w:p w14:paraId="70B42E01" w14:textId="77777777" w:rsidR="00FC45D1" w:rsidRPr="00E34F72" w:rsidRDefault="00FC45D1" w:rsidP="00101619">
            <w:pPr>
              <w:pStyle w:val="Normlndobloku"/>
              <w:rPr>
                <w:lang w:val="sk-SK"/>
              </w:rPr>
            </w:pPr>
            <w:r w:rsidRPr="00E34F72">
              <w:rPr>
                <w:lang w:val="sk-SK"/>
              </w:rPr>
              <w:t>Burzy</w:t>
            </w:r>
          </w:p>
        </w:tc>
        <w:tc>
          <w:tcPr>
            <w:tcW w:w="6662" w:type="dxa"/>
          </w:tcPr>
          <w:p w14:paraId="4B55D6B9" w14:textId="22C584E3" w:rsidR="00FC45D1" w:rsidRPr="00E34F72" w:rsidRDefault="00FC45D1" w:rsidP="00101619">
            <w:pPr>
              <w:pStyle w:val="Normlndobloku"/>
              <w:rPr>
                <w:lang w:val="sk-SK"/>
              </w:rPr>
            </w:pPr>
            <w:r w:rsidRPr="00E34F72">
              <w:rPr>
                <w:lang w:val="sk-SK"/>
              </w:rPr>
              <w:t>2 mg</w:t>
            </w:r>
            <w:r w:rsidR="003C3BFF">
              <w:rPr>
                <w:lang w:val="sk-SK"/>
              </w:rPr>
              <w:t> – </w:t>
            </w:r>
            <w:r w:rsidRPr="00E34F72">
              <w:rPr>
                <w:lang w:val="sk-SK"/>
              </w:rPr>
              <w:t>3 mg (0,5 ml</w:t>
            </w:r>
            <w:r w:rsidR="003C3BFF">
              <w:rPr>
                <w:lang w:val="sk-SK"/>
              </w:rPr>
              <w:t> – </w:t>
            </w:r>
            <w:r w:rsidRPr="00E34F72">
              <w:rPr>
                <w:lang w:val="sk-SK"/>
              </w:rPr>
              <w:t>0,75 ml)</w:t>
            </w:r>
          </w:p>
        </w:tc>
      </w:tr>
      <w:tr w:rsidR="00FC45D1" w:rsidRPr="00E34F72" w14:paraId="1E166980" w14:textId="77777777">
        <w:tc>
          <w:tcPr>
            <w:tcW w:w="2660" w:type="dxa"/>
          </w:tcPr>
          <w:p w14:paraId="2BD3641F" w14:textId="77777777" w:rsidR="00FC45D1" w:rsidRPr="00E34F72" w:rsidRDefault="00963316" w:rsidP="00101619">
            <w:pPr>
              <w:pStyle w:val="Normlndobloku"/>
              <w:rPr>
                <w:lang w:val="sk-SK"/>
              </w:rPr>
            </w:pPr>
            <w:r w:rsidRPr="00E34F72">
              <w:rPr>
                <w:lang w:val="sk-SK"/>
              </w:rPr>
              <w:t xml:space="preserve">Šľachové </w:t>
            </w:r>
            <w:r w:rsidR="00C033B4" w:rsidRPr="00E34F72">
              <w:rPr>
                <w:lang w:val="sk-SK"/>
              </w:rPr>
              <w:t>puzdro</w:t>
            </w:r>
          </w:p>
        </w:tc>
        <w:tc>
          <w:tcPr>
            <w:tcW w:w="6662" w:type="dxa"/>
          </w:tcPr>
          <w:p w14:paraId="67B4CC81" w14:textId="07297F3A" w:rsidR="00FC45D1" w:rsidRPr="00E34F72" w:rsidRDefault="00FC45D1" w:rsidP="00101619">
            <w:pPr>
              <w:pStyle w:val="Normlndobloku"/>
              <w:rPr>
                <w:lang w:val="sk-SK"/>
              </w:rPr>
            </w:pPr>
            <w:r w:rsidRPr="00E34F72">
              <w:rPr>
                <w:lang w:val="sk-SK"/>
              </w:rPr>
              <w:t>0,4 mg</w:t>
            </w:r>
            <w:r w:rsidR="003C3BFF">
              <w:rPr>
                <w:lang w:val="sk-SK"/>
              </w:rPr>
              <w:t> – </w:t>
            </w:r>
            <w:r w:rsidRPr="00E34F72">
              <w:rPr>
                <w:lang w:val="sk-SK"/>
              </w:rPr>
              <w:t>1 mg (0,1 ml</w:t>
            </w:r>
            <w:r w:rsidR="003C3BFF">
              <w:rPr>
                <w:lang w:val="sk-SK"/>
              </w:rPr>
              <w:t> – </w:t>
            </w:r>
            <w:r w:rsidRPr="00E34F72">
              <w:rPr>
                <w:lang w:val="sk-SK"/>
              </w:rPr>
              <w:t>0,25 ml)</w:t>
            </w:r>
          </w:p>
        </w:tc>
      </w:tr>
      <w:tr w:rsidR="00FC45D1" w:rsidRPr="00E34F72" w14:paraId="24DA1474" w14:textId="77777777">
        <w:tc>
          <w:tcPr>
            <w:tcW w:w="2660" w:type="dxa"/>
          </w:tcPr>
          <w:p w14:paraId="5CDA17E8" w14:textId="77777777" w:rsidR="00FC45D1" w:rsidRPr="00E34F72" w:rsidRDefault="00963316" w:rsidP="00101619">
            <w:pPr>
              <w:pStyle w:val="Normlndobloku"/>
              <w:rPr>
                <w:lang w:val="sk-SK"/>
              </w:rPr>
            </w:pPr>
            <w:r w:rsidRPr="00E34F72">
              <w:rPr>
                <w:lang w:val="sk-SK"/>
              </w:rPr>
              <w:lastRenderedPageBreak/>
              <w:t>Infiltrácia mäkkých tkanív</w:t>
            </w:r>
          </w:p>
        </w:tc>
        <w:tc>
          <w:tcPr>
            <w:tcW w:w="6662" w:type="dxa"/>
          </w:tcPr>
          <w:p w14:paraId="35D41944" w14:textId="1F5F36D5" w:rsidR="00FC45D1" w:rsidRPr="00E34F72" w:rsidRDefault="00FC45D1" w:rsidP="00101619">
            <w:pPr>
              <w:pStyle w:val="Normlndobloku"/>
              <w:rPr>
                <w:lang w:val="sk-SK"/>
              </w:rPr>
            </w:pPr>
            <w:r w:rsidRPr="00E34F72">
              <w:rPr>
                <w:lang w:val="sk-SK"/>
              </w:rPr>
              <w:t>2 mg</w:t>
            </w:r>
            <w:r w:rsidR="003C3BFF">
              <w:rPr>
                <w:lang w:val="sk-SK"/>
              </w:rPr>
              <w:t> – </w:t>
            </w:r>
            <w:r w:rsidRPr="00E34F72">
              <w:rPr>
                <w:lang w:val="sk-SK"/>
              </w:rPr>
              <w:t>6 mg (0,5 ml</w:t>
            </w:r>
            <w:r w:rsidR="003C3BFF">
              <w:rPr>
                <w:lang w:val="sk-SK"/>
              </w:rPr>
              <w:t> – </w:t>
            </w:r>
            <w:r w:rsidRPr="00E34F72">
              <w:rPr>
                <w:lang w:val="sk-SK"/>
              </w:rPr>
              <w:t>1,5 ml)</w:t>
            </w:r>
          </w:p>
        </w:tc>
      </w:tr>
      <w:tr w:rsidR="00FC45D1" w:rsidRPr="00E34F72" w14:paraId="1287134F" w14:textId="77777777">
        <w:tc>
          <w:tcPr>
            <w:tcW w:w="2660" w:type="dxa"/>
          </w:tcPr>
          <w:p w14:paraId="5D4F7C4F" w14:textId="77777777" w:rsidR="00FC45D1" w:rsidRPr="00E34F72" w:rsidRDefault="00FC45D1" w:rsidP="00101619">
            <w:pPr>
              <w:pStyle w:val="Normlndobloku"/>
              <w:rPr>
                <w:lang w:val="sk-SK"/>
              </w:rPr>
            </w:pPr>
            <w:r w:rsidRPr="00E34F72">
              <w:rPr>
                <w:lang w:val="sk-SK"/>
              </w:rPr>
              <w:t>Ganglia</w:t>
            </w:r>
          </w:p>
        </w:tc>
        <w:tc>
          <w:tcPr>
            <w:tcW w:w="6662" w:type="dxa"/>
          </w:tcPr>
          <w:p w14:paraId="4D60B831" w14:textId="505F7044" w:rsidR="00FC45D1" w:rsidRPr="00E34F72" w:rsidRDefault="00FC45D1" w:rsidP="00101619">
            <w:pPr>
              <w:pStyle w:val="Normlndobloku"/>
              <w:rPr>
                <w:lang w:val="sk-SK"/>
              </w:rPr>
            </w:pPr>
            <w:r w:rsidRPr="00E34F72">
              <w:rPr>
                <w:lang w:val="sk-SK"/>
              </w:rPr>
              <w:t>1 mg</w:t>
            </w:r>
            <w:r w:rsidR="003C3BFF">
              <w:rPr>
                <w:lang w:val="sk-SK"/>
              </w:rPr>
              <w:t> – </w:t>
            </w:r>
            <w:r w:rsidRPr="00E34F72">
              <w:rPr>
                <w:lang w:val="sk-SK"/>
              </w:rPr>
              <w:t>2 mg (0,25 ml</w:t>
            </w:r>
            <w:r w:rsidR="003C3BFF">
              <w:rPr>
                <w:lang w:val="sk-SK"/>
              </w:rPr>
              <w:t> – </w:t>
            </w:r>
            <w:r w:rsidRPr="00E34F72">
              <w:rPr>
                <w:lang w:val="sk-SK"/>
              </w:rPr>
              <w:t>0,5 ml)</w:t>
            </w:r>
          </w:p>
        </w:tc>
      </w:tr>
    </w:tbl>
    <w:p w14:paraId="62FC7991" w14:textId="77777777" w:rsidR="009C146F" w:rsidRPr="00E34F72" w:rsidRDefault="009C146F" w:rsidP="00CA12CF">
      <w:pPr>
        <w:pStyle w:val="Normlndobloku"/>
        <w:rPr>
          <w:lang w:val="sk-SK"/>
        </w:rPr>
      </w:pPr>
    </w:p>
    <w:p w14:paraId="0AD08E8A" w14:textId="7862B4B2" w:rsidR="008039A5" w:rsidRPr="00E34F72" w:rsidRDefault="008039A5" w:rsidP="00CA12CF">
      <w:pPr>
        <w:pStyle w:val="Normlndobloku"/>
        <w:rPr>
          <w:lang w:val="sk-SK"/>
        </w:rPr>
      </w:pPr>
      <w:r w:rsidRPr="00E34F72">
        <w:rPr>
          <w:lang w:val="sk-SK"/>
        </w:rPr>
        <w:t>Injekcie sa môžu podávať jedenkrát každých 3</w:t>
      </w:r>
      <w:r w:rsidR="003C3BFF">
        <w:rPr>
          <w:lang w:val="sk-SK"/>
        </w:rPr>
        <w:t> – </w:t>
      </w:r>
      <w:r w:rsidRPr="00E34F72">
        <w:rPr>
          <w:lang w:val="sk-SK"/>
        </w:rPr>
        <w:t>5 dní každé dva až tri týždne, v závislosti od odpovede pacienta.</w:t>
      </w:r>
    </w:p>
    <w:p w14:paraId="7DF8F5F5" w14:textId="77777777" w:rsidR="00081CDB" w:rsidRPr="00E34F72" w:rsidRDefault="008039A5" w:rsidP="00A97442">
      <w:pPr>
        <w:pStyle w:val="Styl3"/>
      </w:pPr>
      <w:proofErr w:type="spellStart"/>
      <w:r w:rsidRPr="00E34F72">
        <w:t>Deti</w:t>
      </w:r>
      <w:proofErr w:type="spellEnd"/>
    </w:p>
    <w:p w14:paraId="5300B030" w14:textId="77777777" w:rsidR="00F72731" w:rsidRPr="00E34F72" w:rsidRDefault="008039A5" w:rsidP="00CA12CF">
      <w:pPr>
        <w:pStyle w:val="Normlndobloku"/>
        <w:rPr>
          <w:lang w:val="sk-SK"/>
        </w:rPr>
      </w:pPr>
      <w:r w:rsidRPr="00E34F72">
        <w:rPr>
          <w:lang w:val="sk-SK"/>
        </w:rPr>
        <w:t xml:space="preserve">Dávka sa </w:t>
      </w:r>
      <w:r w:rsidR="00C015A6" w:rsidRPr="00E34F72">
        <w:rPr>
          <w:lang w:val="sk-SK"/>
        </w:rPr>
        <w:t xml:space="preserve">má </w:t>
      </w:r>
      <w:r w:rsidRPr="00E34F72">
        <w:rPr>
          <w:lang w:val="sk-SK"/>
        </w:rPr>
        <w:t xml:space="preserve">obmedziť na jedno podanie každý druhý deň za účelom minimalizovania </w:t>
      </w:r>
      <w:proofErr w:type="spellStart"/>
      <w:r w:rsidRPr="00E34F72">
        <w:rPr>
          <w:lang w:val="sk-SK"/>
        </w:rPr>
        <w:t>supresie</w:t>
      </w:r>
      <w:proofErr w:type="spellEnd"/>
      <w:r w:rsidRPr="00E34F72">
        <w:rPr>
          <w:lang w:val="sk-SK"/>
        </w:rPr>
        <w:t xml:space="preserve"> </w:t>
      </w:r>
      <w:proofErr w:type="spellStart"/>
      <w:r w:rsidRPr="00E34F72">
        <w:rPr>
          <w:lang w:val="sk-SK"/>
        </w:rPr>
        <w:t>hypotalamo-hypofýzovo-nadobličkovej</w:t>
      </w:r>
      <w:proofErr w:type="spellEnd"/>
      <w:r w:rsidRPr="00E34F72">
        <w:rPr>
          <w:lang w:val="sk-SK"/>
        </w:rPr>
        <w:t xml:space="preserve"> osi.</w:t>
      </w:r>
    </w:p>
    <w:p w14:paraId="5C7408C3" w14:textId="77777777" w:rsidR="008039A5" w:rsidRPr="00E34F72" w:rsidRDefault="00081CDB" w:rsidP="00A97442">
      <w:pPr>
        <w:pStyle w:val="Styl3"/>
      </w:pPr>
      <w:r w:rsidRPr="00E34F72">
        <w:t>Starší pacienti</w:t>
      </w:r>
    </w:p>
    <w:p w14:paraId="6A810D2F" w14:textId="77777777" w:rsidR="001820AC" w:rsidRPr="00E34F72" w:rsidRDefault="008039A5" w:rsidP="00DC615D">
      <w:pPr>
        <w:pStyle w:val="Normlndobloku"/>
        <w:rPr>
          <w:lang w:val="sk-SK"/>
        </w:rPr>
      </w:pPr>
      <w:r w:rsidRPr="00E34F72">
        <w:rPr>
          <w:lang w:val="sk-SK"/>
        </w:rPr>
        <w:t xml:space="preserve">Pri liečbe, najmä dlhodobej, je potrebné zvážiť závažnejšie následky bežných nežiaducich účinkov vo vyššom veku. Zvláštna pozornosť sa musí venovať </w:t>
      </w:r>
      <w:proofErr w:type="spellStart"/>
      <w:r w:rsidRPr="00E34F72">
        <w:rPr>
          <w:lang w:val="sk-SK"/>
        </w:rPr>
        <w:t>osteoporóze</w:t>
      </w:r>
      <w:proofErr w:type="spellEnd"/>
      <w:r w:rsidRPr="00E34F72">
        <w:rPr>
          <w:lang w:val="sk-SK"/>
        </w:rPr>
        <w:t xml:space="preserve">, diabetes </w:t>
      </w:r>
      <w:proofErr w:type="spellStart"/>
      <w:r w:rsidRPr="00E34F72">
        <w:rPr>
          <w:lang w:val="sk-SK"/>
        </w:rPr>
        <w:t>mellitus</w:t>
      </w:r>
      <w:proofErr w:type="spellEnd"/>
      <w:r w:rsidRPr="00E34F72">
        <w:rPr>
          <w:lang w:val="sk-SK"/>
        </w:rPr>
        <w:t xml:space="preserve">, </w:t>
      </w:r>
      <w:proofErr w:type="spellStart"/>
      <w:r w:rsidRPr="00E34F72">
        <w:rPr>
          <w:lang w:val="sk-SK"/>
        </w:rPr>
        <w:t>hypo</w:t>
      </w:r>
      <w:r w:rsidR="00F71F38" w:rsidRPr="00E34F72">
        <w:rPr>
          <w:lang w:val="sk-SK"/>
        </w:rPr>
        <w:t>kali</w:t>
      </w:r>
      <w:r w:rsidRPr="00E34F72">
        <w:rPr>
          <w:lang w:val="sk-SK"/>
        </w:rPr>
        <w:t>émii</w:t>
      </w:r>
      <w:proofErr w:type="spellEnd"/>
      <w:r w:rsidRPr="00E34F72">
        <w:rPr>
          <w:lang w:val="sk-SK"/>
        </w:rPr>
        <w:t>, hypertenzii, vnímavosti na infekcie a atrofii kože. Vyžaduje sa prísny lekársky dohľad.</w:t>
      </w:r>
    </w:p>
    <w:p w14:paraId="73E3B6F0" w14:textId="77777777" w:rsidR="008039A5" w:rsidRPr="00A97442" w:rsidRDefault="008039A5" w:rsidP="00A81CB3">
      <w:pPr>
        <w:pStyle w:val="Styl2"/>
        <w:rPr>
          <w:lang w:val="sk-SK"/>
        </w:rPr>
      </w:pPr>
      <w:r w:rsidRPr="00A97442">
        <w:rPr>
          <w:lang w:val="sk-SK"/>
        </w:rPr>
        <w:t>Kontraindikácie</w:t>
      </w:r>
    </w:p>
    <w:p w14:paraId="01EE007D" w14:textId="77777777" w:rsidR="008039A5" w:rsidRPr="00E34F72" w:rsidRDefault="008039A5" w:rsidP="00CA12CF">
      <w:pPr>
        <w:pStyle w:val="Normlndobloku"/>
        <w:rPr>
          <w:lang w:val="sk-SK"/>
        </w:rPr>
      </w:pPr>
      <w:r w:rsidRPr="00E34F72">
        <w:rPr>
          <w:lang w:val="sk-SK"/>
        </w:rPr>
        <w:t xml:space="preserve">Precitlivenosť na jednotlivé zložky lieku. Systémové infekcie, ak sa zároveň nepodáva špecifická antiinfekčná liečba. Je kontraindikovaný pri </w:t>
      </w:r>
      <w:proofErr w:type="spellStart"/>
      <w:r w:rsidRPr="00E34F72">
        <w:rPr>
          <w:lang w:val="sk-SK"/>
        </w:rPr>
        <w:t>bakterémii</w:t>
      </w:r>
      <w:proofErr w:type="spellEnd"/>
      <w:r w:rsidRPr="00E34F72">
        <w:rPr>
          <w:lang w:val="sk-SK"/>
        </w:rPr>
        <w:t>, systémovej hubovej infekcii, nestabilných kĺboch, infekcii v mieste vpichu (napr. septická ar</w:t>
      </w:r>
      <w:r w:rsidR="00C033B4" w:rsidRPr="00E34F72">
        <w:rPr>
          <w:lang w:val="sk-SK"/>
        </w:rPr>
        <w:t>tri</w:t>
      </w:r>
      <w:r w:rsidRPr="00E34F72">
        <w:rPr>
          <w:lang w:val="sk-SK"/>
        </w:rPr>
        <w:t xml:space="preserve">tída spôsobená kvapavkou alebo tuberkulózou), pri podozrení na náhlu brušnú príhodu, čerstvé črevné </w:t>
      </w:r>
      <w:proofErr w:type="spellStart"/>
      <w:r w:rsidRPr="00E34F72">
        <w:rPr>
          <w:lang w:val="sk-SK"/>
        </w:rPr>
        <w:t>anastomózy</w:t>
      </w:r>
      <w:proofErr w:type="spellEnd"/>
      <w:r w:rsidRPr="00E34F72">
        <w:rPr>
          <w:lang w:val="sk-SK"/>
        </w:rPr>
        <w:t xml:space="preserve">, </w:t>
      </w:r>
      <w:proofErr w:type="spellStart"/>
      <w:r w:rsidRPr="00E34F72">
        <w:rPr>
          <w:lang w:val="sk-SK"/>
        </w:rPr>
        <w:t>amébové</w:t>
      </w:r>
      <w:proofErr w:type="spellEnd"/>
      <w:r w:rsidRPr="00E34F72">
        <w:rPr>
          <w:lang w:val="sk-SK"/>
        </w:rPr>
        <w:t xml:space="preserve"> infekcie, akútny </w:t>
      </w:r>
      <w:proofErr w:type="spellStart"/>
      <w:r w:rsidRPr="00E34F72">
        <w:rPr>
          <w:lang w:val="sk-SK"/>
        </w:rPr>
        <w:t>glaukóm</w:t>
      </w:r>
      <w:proofErr w:type="spellEnd"/>
      <w:r w:rsidRPr="00E34F72">
        <w:rPr>
          <w:lang w:val="sk-SK"/>
        </w:rPr>
        <w:t xml:space="preserve">, herpes </w:t>
      </w:r>
      <w:proofErr w:type="spellStart"/>
      <w:r w:rsidRPr="00E34F72">
        <w:rPr>
          <w:lang w:val="sk-SK"/>
        </w:rPr>
        <w:t>simplex</w:t>
      </w:r>
      <w:proofErr w:type="spellEnd"/>
      <w:r w:rsidRPr="00E34F72">
        <w:rPr>
          <w:lang w:val="sk-SK"/>
        </w:rPr>
        <w:t xml:space="preserve"> </w:t>
      </w:r>
      <w:proofErr w:type="spellStart"/>
      <w:r w:rsidRPr="00E34F72">
        <w:rPr>
          <w:lang w:val="sk-SK"/>
        </w:rPr>
        <w:t>ophtalmicus</w:t>
      </w:r>
      <w:proofErr w:type="spellEnd"/>
      <w:r w:rsidRPr="00E34F72">
        <w:rPr>
          <w:lang w:val="sk-SK"/>
        </w:rPr>
        <w:t xml:space="preserve">, herpes </w:t>
      </w:r>
      <w:proofErr w:type="spellStart"/>
      <w:r w:rsidRPr="00E34F72">
        <w:rPr>
          <w:lang w:val="sk-SK"/>
        </w:rPr>
        <w:t>zoster</w:t>
      </w:r>
      <w:proofErr w:type="spellEnd"/>
      <w:r w:rsidRPr="00E34F72">
        <w:rPr>
          <w:lang w:val="sk-SK"/>
        </w:rPr>
        <w:t xml:space="preserve">, kiahne, akútne štádium vredovej choroby žalúdka alebo </w:t>
      </w:r>
      <w:proofErr w:type="spellStart"/>
      <w:r w:rsidRPr="00E34F72">
        <w:rPr>
          <w:lang w:val="sk-SK"/>
        </w:rPr>
        <w:t>duodena</w:t>
      </w:r>
      <w:proofErr w:type="spellEnd"/>
      <w:r w:rsidRPr="00E34F72">
        <w:rPr>
          <w:lang w:val="sk-SK"/>
        </w:rPr>
        <w:t xml:space="preserve">, metabolicky dekompenzovaný diabetes </w:t>
      </w:r>
      <w:proofErr w:type="spellStart"/>
      <w:r w:rsidRPr="00E34F72">
        <w:rPr>
          <w:lang w:val="sk-SK"/>
        </w:rPr>
        <w:t>mellitus</w:t>
      </w:r>
      <w:proofErr w:type="spellEnd"/>
      <w:r w:rsidRPr="00E34F72">
        <w:rPr>
          <w:lang w:val="sk-SK"/>
        </w:rPr>
        <w:t xml:space="preserve">, všeobecne 2 týždne pred a 1 týždeň po akomkoľvek očkovaní, pri </w:t>
      </w:r>
      <w:proofErr w:type="spellStart"/>
      <w:r w:rsidRPr="00E34F72">
        <w:rPr>
          <w:lang w:val="sk-SK"/>
        </w:rPr>
        <w:t>lymfadenitíde</w:t>
      </w:r>
      <w:proofErr w:type="spellEnd"/>
      <w:r w:rsidRPr="00E34F72">
        <w:rPr>
          <w:lang w:val="sk-SK"/>
        </w:rPr>
        <w:t xml:space="preserve"> po očkovaní po TBC (BCG), pri akútnej psychóze.</w:t>
      </w:r>
    </w:p>
    <w:p w14:paraId="22957316" w14:textId="77777777" w:rsidR="008039A5" w:rsidRPr="00E34F72" w:rsidRDefault="008039A5" w:rsidP="00CA12CF">
      <w:pPr>
        <w:pStyle w:val="Normlndobloku"/>
        <w:rPr>
          <w:lang w:val="sk-SK"/>
        </w:rPr>
      </w:pPr>
      <w:r w:rsidRPr="00E34F72">
        <w:rPr>
          <w:lang w:val="sk-SK"/>
        </w:rPr>
        <w:t xml:space="preserve">Na kontraindikácie sa nemusí brať ohľad, ak použitie </w:t>
      </w:r>
      <w:proofErr w:type="spellStart"/>
      <w:r w:rsidRPr="00E34F72">
        <w:rPr>
          <w:lang w:val="sk-SK"/>
        </w:rPr>
        <w:t>glukokortikoidov</w:t>
      </w:r>
      <w:proofErr w:type="spellEnd"/>
      <w:r w:rsidRPr="00E34F72">
        <w:rPr>
          <w:lang w:val="sk-SK"/>
        </w:rPr>
        <w:t xml:space="preserve"> môže zachrániť život.</w:t>
      </w:r>
    </w:p>
    <w:p w14:paraId="5A6CC4E5" w14:textId="77777777" w:rsidR="00BC64AE" w:rsidRPr="00A97442" w:rsidRDefault="00BC64AE" w:rsidP="00A81CB3">
      <w:pPr>
        <w:pStyle w:val="Styl2"/>
        <w:rPr>
          <w:lang w:val="sk-SK"/>
        </w:rPr>
      </w:pPr>
      <w:bookmarkStart w:id="1" w:name="_Ref157236567"/>
      <w:r w:rsidRPr="00A97442">
        <w:rPr>
          <w:lang w:val="sk-SK"/>
        </w:rPr>
        <w:t>Osobitné upozornenia a opatrenia pri používaní</w:t>
      </w:r>
      <w:bookmarkEnd w:id="1"/>
    </w:p>
    <w:p w14:paraId="19CA74FD" w14:textId="77777777" w:rsidR="008039A5" w:rsidRPr="00E34F72" w:rsidRDefault="008039A5" w:rsidP="00CA12CF">
      <w:pPr>
        <w:pStyle w:val="Normlndobloku"/>
        <w:rPr>
          <w:lang w:val="sk-SK"/>
        </w:rPr>
      </w:pPr>
      <w:r w:rsidRPr="00E34F72">
        <w:rPr>
          <w:lang w:val="sk-SK"/>
        </w:rPr>
        <w:t xml:space="preserve">Nežiaduce účinky možno minimalizovať pri použití minimálneho množstva liečiva počas čo najkratšieho obdobia a pri podaní dennej dávky ráno alebo ak je to možné, rannej dávky </w:t>
      </w:r>
      <w:proofErr w:type="spellStart"/>
      <w:r w:rsidRPr="00E34F72">
        <w:rPr>
          <w:lang w:val="sk-SK"/>
        </w:rPr>
        <w:t>obdeň</w:t>
      </w:r>
      <w:proofErr w:type="spellEnd"/>
      <w:r w:rsidRPr="00E34F72">
        <w:rPr>
          <w:lang w:val="sk-SK"/>
        </w:rPr>
        <w:t>. Pacientov treba pravidelne sledovať a upravovať ich dávku vzhľadom k základnému ochoreniu.</w:t>
      </w:r>
    </w:p>
    <w:p w14:paraId="06F6C1B0" w14:textId="77777777" w:rsidR="008039A5" w:rsidRPr="00E34F72" w:rsidRDefault="008039A5" w:rsidP="00CA12CF">
      <w:pPr>
        <w:pStyle w:val="Normlndobloku"/>
        <w:rPr>
          <w:lang w:val="sk-SK"/>
        </w:rPr>
      </w:pPr>
      <w:r w:rsidRPr="00E34F72">
        <w:rPr>
          <w:lang w:val="sk-SK"/>
        </w:rPr>
        <w:t xml:space="preserve">Počas dlhodobej liečby sa vyvíja atrofia kôry nadobličiek. Môže pretrvávať aj roky po ukončení liečby. Ukončenie liečby </w:t>
      </w:r>
      <w:proofErr w:type="spellStart"/>
      <w:r w:rsidRPr="00E34F72">
        <w:rPr>
          <w:lang w:val="sk-SK"/>
        </w:rPr>
        <w:t>kortikoidmi</w:t>
      </w:r>
      <w:proofErr w:type="spellEnd"/>
      <w:r w:rsidRPr="00E34F72">
        <w:rPr>
          <w:lang w:val="sk-SK"/>
        </w:rPr>
        <w:t xml:space="preserve"> po dlhodobej liečbe musí byť vždy postupné, aby sa predišlo akútnemu zlyhaniu nadobličiek. Dávky sa musia znižovať počas týždňov alebo mesiacov v závislosti od dávky a trvania liečby. Ak je liečba dlhodobá, každé sprievodné ochorenie, chirurgický zákrok alebo úraz si vyžaduje dočasné zvýšenie dávky. Pokiaľ dlhodobá terapia končí, môže byť potrebné dočasné opätovné nasadenie </w:t>
      </w:r>
      <w:proofErr w:type="spellStart"/>
      <w:r w:rsidRPr="00E34F72">
        <w:rPr>
          <w:lang w:val="sk-SK"/>
        </w:rPr>
        <w:t>kortikoidov</w:t>
      </w:r>
      <w:proofErr w:type="spellEnd"/>
      <w:r w:rsidRPr="00E34F72">
        <w:rPr>
          <w:lang w:val="sk-SK"/>
        </w:rPr>
        <w:t>.</w:t>
      </w:r>
    </w:p>
    <w:p w14:paraId="4371441F" w14:textId="77777777" w:rsidR="008039A5" w:rsidRPr="00E34F72" w:rsidRDefault="008039A5" w:rsidP="00CA12CF">
      <w:pPr>
        <w:pStyle w:val="Normlndobloku"/>
        <w:rPr>
          <w:lang w:val="sk-SK"/>
        </w:rPr>
      </w:pPr>
      <w:r w:rsidRPr="00E34F72">
        <w:rPr>
          <w:lang w:val="sk-SK"/>
        </w:rPr>
        <w:t xml:space="preserve">Je potlačená zápalová schopnosť a imunitné funkcie, vzrastá vnímavosť a závažnosť infekcií. Klinické prejavy infekcie môžu byť netypické a závažnosť infekcií (napr. tuberkulózy, </w:t>
      </w:r>
      <w:proofErr w:type="spellStart"/>
      <w:r w:rsidRPr="00E34F72">
        <w:rPr>
          <w:lang w:val="sk-SK"/>
        </w:rPr>
        <w:t>septikémie</w:t>
      </w:r>
      <w:proofErr w:type="spellEnd"/>
      <w:r w:rsidRPr="00E34F72">
        <w:rPr>
          <w:lang w:val="sk-SK"/>
        </w:rPr>
        <w:t xml:space="preserve">) môže byť latentná a tieto ochorenia môžu dosiahnuť pokročilé štádium pred stanovením diagnózy. Zodpovedajúca </w:t>
      </w:r>
      <w:proofErr w:type="spellStart"/>
      <w:r w:rsidRPr="00E34F72">
        <w:rPr>
          <w:lang w:val="sk-SK"/>
        </w:rPr>
        <w:t>antimikrobiálna</w:t>
      </w:r>
      <w:proofErr w:type="spellEnd"/>
      <w:r w:rsidRPr="00E34F72">
        <w:rPr>
          <w:lang w:val="sk-SK"/>
        </w:rPr>
        <w:t xml:space="preserve"> liečba môže byť sprevádzaná liečbou </w:t>
      </w:r>
      <w:proofErr w:type="spellStart"/>
      <w:r w:rsidRPr="00E34F72">
        <w:rPr>
          <w:lang w:val="sk-SK"/>
        </w:rPr>
        <w:t>glukokortikoidmi</w:t>
      </w:r>
      <w:proofErr w:type="spellEnd"/>
      <w:r w:rsidRPr="00E34F72">
        <w:rPr>
          <w:lang w:val="sk-SK"/>
        </w:rPr>
        <w:t xml:space="preserve">, ak je to nevyhnutné. Zvláštna pozornosť sa musí venovať ovčím kiahňam, pretože toto nezávažné ochorenie môže byť u pacientov s potlačenou imunitou smrteľné. Pacientov alebo rodičov detí, ktorí nemajú v anamnéze ovčie kiahne, treba varovať, aby sa vyhli kontaktu s osobami s ovčími kiahňami alebo herpes </w:t>
      </w:r>
      <w:proofErr w:type="spellStart"/>
      <w:r w:rsidRPr="00E34F72">
        <w:rPr>
          <w:lang w:val="sk-SK"/>
        </w:rPr>
        <w:t>zoster</w:t>
      </w:r>
      <w:proofErr w:type="spellEnd"/>
      <w:r w:rsidRPr="00E34F72">
        <w:rPr>
          <w:lang w:val="sk-SK"/>
        </w:rPr>
        <w:t xml:space="preserve">. Ak ku kontaktu príde, musí byť pacientovi venovaná zvýšená lekárska pozornosť. Expozícia neimúnnych pacientov systémovej </w:t>
      </w:r>
      <w:proofErr w:type="spellStart"/>
      <w:r w:rsidRPr="00E34F72">
        <w:rPr>
          <w:lang w:val="sk-SK"/>
        </w:rPr>
        <w:t>kortikoterapii</w:t>
      </w:r>
      <w:proofErr w:type="spellEnd"/>
      <w:r w:rsidRPr="00E34F72">
        <w:rPr>
          <w:lang w:val="sk-SK"/>
        </w:rPr>
        <w:t xml:space="preserve"> alebo tých, ktorí ich užívali predchádzajúce tri mesiace, vyžaduje ich pasívnu </w:t>
      </w:r>
      <w:proofErr w:type="spellStart"/>
      <w:r w:rsidRPr="00E34F72">
        <w:rPr>
          <w:lang w:val="sk-SK"/>
        </w:rPr>
        <w:t>imunizáciu</w:t>
      </w:r>
      <w:proofErr w:type="spellEnd"/>
      <w:r w:rsidRPr="00E34F72">
        <w:rPr>
          <w:lang w:val="sk-SK"/>
        </w:rPr>
        <w:t xml:space="preserve"> </w:t>
      </w:r>
      <w:proofErr w:type="spellStart"/>
      <w:r w:rsidRPr="00E34F72">
        <w:rPr>
          <w:lang w:val="sk-SK"/>
        </w:rPr>
        <w:t>imunoglobulínom</w:t>
      </w:r>
      <w:proofErr w:type="spellEnd"/>
      <w:r w:rsidRPr="00E34F72">
        <w:rPr>
          <w:lang w:val="sk-SK"/>
        </w:rPr>
        <w:t xml:space="preserve"> </w:t>
      </w:r>
      <w:proofErr w:type="spellStart"/>
      <w:r w:rsidRPr="00E34F72">
        <w:rPr>
          <w:lang w:val="sk-SK"/>
        </w:rPr>
        <w:t>varicella</w:t>
      </w:r>
      <w:proofErr w:type="spellEnd"/>
      <w:r w:rsidRPr="00E34F72">
        <w:rPr>
          <w:lang w:val="sk-SK"/>
        </w:rPr>
        <w:t xml:space="preserve"> </w:t>
      </w:r>
      <w:proofErr w:type="spellStart"/>
      <w:r w:rsidRPr="00E34F72">
        <w:rPr>
          <w:lang w:val="sk-SK"/>
        </w:rPr>
        <w:t>zoster</w:t>
      </w:r>
      <w:proofErr w:type="spellEnd"/>
      <w:r w:rsidRPr="00E34F72">
        <w:rPr>
          <w:lang w:val="sk-SK"/>
        </w:rPr>
        <w:t xml:space="preserve">, tento by sa mal podať do 10 dní od expozície. V prípade potvrdenia diagnózy ovčích kiahní je nevyhnutná špeciálna starostlivosť a rýchla liečba. Liečba </w:t>
      </w:r>
      <w:proofErr w:type="spellStart"/>
      <w:r w:rsidRPr="00E34F72">
        <w:rPr>
          <w:lang w:val="sk-SK"/>
        </w:rPr>
        <w:t>kortikosteroidmi</w:t>
      </w:r>
      <w:proofErr w:type="spellEnd"/>
      <w:r w:rsidRPr="00E34F72">
        <w:rPr>
          <w:lang w:val="sk-SK"/>
        </w:rPr>
        <w:t xml:space="preserve"> sa nesmie ukončiť a môže byť nevyhnutné zvýšenie dávky.</w:t>
      </w:r>
    </w:p>
    <w:p w14:paraId="6B4F222A" w14:textId="77777777" w:rsidR="008039A5" w:rsidRPr="00E34F72" w:rsidRDefault="008039A5" w:rsidP="00CA12CF">
      <w:pPr>
        <w:pStyle w:val="Normlndobloku"/>
        <w:rPr>
          <w:lang w:val="sk-SK"/>
        </w:rPr>
      </w:pPr>
      <w:r w:rsidRPr="00E34F72">
        <w:rPr>
          <w:lang w:val="sk-SK"/>
        </w:rPr>
        <w:t>Osobám s poškodenou imunitnou odpoveďou sa nesmú podávať živé vakcíny a protilátková odpoveď na ostatné vakcíny môže byť znížená.</w:t>
      </w:r>
    </w:p>
    <w:p w14:paraId="55DE9B58" w14:textId="77777777" w:rsidR="008039A5" w:rsidRPr="00E34F72" w:rsidRDefault="008039A5" w:rsidP="00CA12CF">
      <w:pPr>
        <w:pStyle w:val="Normlndobloku"/>
        <w:rPr>
          <w:lang w:val="sk-SK"/>
        </w:rPr>
      </w:pPr>
      <w:r w:rsidRPr="00E34F72">
        <w:rPr>
          <w:lang w:val="sk-SK"/>
        </w:rPr>
        <w:lastRenderedPageBreak/>
        <w:t xml:space="preserve">Ak sa uvažuje o systémovej liečbe </w:t>
      </w:r>
      <w:proofErr w:type="spellStart"/>
      <w:r w:rsidRPr="00E34F72">
        <w:rPr>
          <w:lang w:val="sk-SK"/>
        </w:rPr>
        <w:t>kortikosteroidmi</w:t>
      </w:r>
      <w:proofErr w:type="spellEnd"/>
      <w:r w:rsidRPr="00E34F72">
        <w:rPr>
          <w:lang w:val="sk-SK"/>
        </w:rPr>
        <w:t xml:space="preserve"> u pacientov s nasledujúcimi ochoreniami, je potrebné im venovať špeciálnu pozornosť a tiež je nevyhnutné ich časté sledovanie:</w:t>
      </w:r>
    </w:p>
    <w:p w14:paraId="57FA62FF" w14:textId="77777777" w:rsidR="008039A5" w:rsidRPr="00E34F72" w:rsidRDefault="008039A5" w:rsidP="00081CDB">
      <w:pPr>
        <w:pStyle w:val="Normlndoblokusodrkami"/>
        <w:rPr>
          <w:lang w:val="sk-SK"/>
        </w:rPr>
      </w:pPr>
      <w:proofErr w:type="spellStart"/>
      <w:r w:rsidRPr="00E34F72">
        <w:rPr>
          <w:lang w:val="sk-SK"/>
        </w:rPr>
        <w:t>osteoporóza</w:t>
      </w:r>
      <w:proofErr w:type="spellEnd"/>
      <w:r w:rsidRPr="00E34F72">
        <w:rPr>
          <w:lang w:val="sk-SK"/>
        </w:rPr>
        <w:t xml:space="preserve">, treba brať do úvahy, že </w:t>
      </w:r>
      <w:proofErr w:type="spellStart"/>
      <w:r w:rsidRPr="00E34F72">
        <w:rPr>
          <w:lang w:val="sk-SK"/>
        </w:rPr>
        <w:t>menopauzálne</w:t>
      </w:r>
      <w:proofErr w:type="spellEnd"/>
      <w:r w:rsidRPr="00E34F72">
        <w:rPr>
          <w:lang w:val="sk-SK"/>
        </w:rPr>
        <w:t xml:space="preserve"> pacientky sú čiastočne vždy rizikové</w:t>
      </w:r>
    </w:p>
    <w:p w14:paraId="3BB4BD49" w14:textId="77777777" w:rsidR="008039A5" w:rsidRPr="00E34F72" w:rsidRDefault="008039A5" w:rsidP="00081CDB">
      <w:pPr>
        <w:pStyle w:val="Normlndoblokusodrkami"/>
        <w:rPr>
          <w:lang w:val="sk-SK"/>
        </w:rPr>
      </w:pPr>
      <w:r w:rsidRPr="00E34F72">
        <w:rPr>
          <w:lang w:val="sk-SK"/>
        </w:rPr>
        <w:t xml:space="preserve">existujúca alebo predchádzajúca anamnéza afektívnych porúch, najmä </w:t>
      </w:r>
      <w:proofErr w:type="spellStart"/>
      <w:r w:rsidRPr="00E34F72">
        <w:rPr>
          <w:lang w:val="sk-SK"/>
        </w:rPr>
        <w:t>steroidných</w:t>
      </w:r>
      <w:proofErr w:type="spellEnd"/>
      <w:r w:rsidRPr="00E34F72">
        <w:rPr>
          <w:lang w:val="sk-SK"/>
        </w:rPr>
        <w:t xml:space="preserve"> psychóz</w:t>
      </w:r>
    </w:p>
    <w:p w14:paraId="1FCE5B89" w14:textId="77777777" w:rsidR="008039A5" w:rsidRPr="00E34F72" w:rsidRDefault="008039A5" w:rsidP="00081CDB">
      <w:pPr>
        <w:pStyle w:val="Normlndoblokusodrkami"/>
        <w:rPr>
          <w:lang w:val="sk-SK"/>
        </w:rPr>
      </w:pPr>
      <w:proofErr w:type="spellStart"/>
      <w:r w:rsidRPr="00E34F72">
        <w:rPr>
          <w:lang w:val="sk-SK"/>
        </w:rPr>
        <w:t>glaukóm</w:t>
      </w:r>
      <w:proofErr w:type="spellEnd"/>
      <w:r w:rsidRPr="00E34F72">
        <w:rPr>
          <w:lang w:val="sk-SK"/>
        </w:rPr>
        <w:t xml:space="preserve"> alebo rodinná anamnéza </w:t>
      </w:r>
      <w:proofErr w:type="spellStart"/>
      <w:r w:rsidRPr="00E34F72">
        <w:rPr>
          <w:lang w:val="sk-SK"/>
        </w:rPr>
        <w:t>glaukómu</w:t>
      </w:r>
      <w:proofErr w:type="spellEnd"/>
    </w:p>
    <w:p w14:paraId="4A9A4B38" w14:textId="77777777" w:rsidR="008039A5" w:rsidRPr="00E34F72" w:rsidRDefault="008039A5" w:rsidP="00081CDB">
      <w:pPr>
        <w:pStyle w:val="Normlndoblokusodrkami"/>
        <w:rPr>
          <w:lang w:val="sk-SK"/>
        </w:rPr>
      </w:pPr>
      <w:r w:rsidRPr="00E34F72">
        <w:rPr>
          <w:lang w:val="sk-SK"/>
        </w:rPr>
        <w:t>obličková nedostatočnosť</w:t>
      </w:r>
    </w:p>
    <w:p w14:paraId="1C4482E1" w14:textId="77777777" w:rsidR="008039A5" w:rsidRPr="00E34F72" w:rsidRDefault="008039A5" w:rsidP="00081CDB">
      <w:pPr>
        <w:pStyle w:val="Normlndoblokusodrkami"/>
        <w:rPr>
          <w:lang w:val="sk-SK"/>
        </w:rPr>
      </w:pPr>
      <w:proofErr w:type="spellStart"/>
      <w:r w:rsidRPr="00E34F72">
        <w:rPr>
          <w:lang w:val="sk-SK"/>
        </w:rPr>
        <w:t>peptický</w:t>
      </w:r>
      <w:proofErr w:type="spellEnd"/>
      <w:r w:rsidRPr="00E34F72">
        <w:rPr>
          <w:lang w:val="sk-SK"/>
        </w:rPr>
        <w:t xml:space="preserve"> vred</w:t>
      </w:r>
    </w:p>
    <w:p w14:paraId="0B5DBBEC" w14:textId="77777777" w:rsidR="008039A5" w:rsidRPr="00E34F72" w:rsidRDefault="008039A5" w:rsidP="00081CDB">
      <w:pPr>
        <w:pStyle w:val="Normlndoblokusodrkami"/>
        <w:rPr>
          <w:lang w:val="sk-SK"/>
        </w:rPr>
      </w:pPr>
      <w:r w:rsidRPr="00E34F72">
        <w:rPr>
          <w:lang w:val="sk-SK"/>
        </w:rPr>
        <w:t xml:space="preserve">parazitárna infekcia, najmä </w:t>
      </w:r>
      <w:proofErr w:type="spellStart"/>
      <w:r w:rsidRPr="00E34F72">
        <w:rPr>
          <w:lang w:val="sk-SK"/>
        </w:rPr>
        <w:t>amébiáza</w:t>
      </w:r>
      <w:proofErr w:type="spellEnd"/>
    </w:p>
    <w:p w14:paraId="25FEF978" w14:textId="77777777" w:rsidR="008039A5" w:rsidRPr="00E34F72" w:rsidRDefault="008039A5" w:rsidP="00081CDB">
      <w:pPr>
        <w:pStyle w:val="Normlndoblokusodrkami"/>
        <w:rPr>
          <w:lang w:val="sk-SK"/>
        </w:rPr>
      </w:pPr>
      <w:r w:rsidRPr="00E34F72">
        <w:rPr>
          <w:lang w:val="sk-SK"/>
        </w:rPr>
        <w:t>pacienti s </w:t>
      </w:r>
      <w:proofErr w:type="spellStart"/>
      <w:r w:rsidRPr="00E34F72">
        <w:rPr>
          <w:lang w:val="sk-SK"/>
        </w:rPr>
        <w:t>Cushingovým</w:t>
      </w:r>
      <w:proofErr w:type="spellEnd"/>
      <w:r w:rsidRPr="00E34F72">
        <w:rPr>
          <w:lang w:val="sk-SK"/>
        </w:rPr>
        <w:t xml:space="preserve"> syndrómom</w:t>
      </w:r>
    </w:p>
    <w:p w14:paraId="41B534EE" w14:textId="77777777" w:rsidR="008039A5" w:rsidRPr="00E34F72" w:rsidRDefault="008039A5" w:rsidP="00081CDB">
      <w:pPr>
        <w:pStyle w:val="Normlndoblokusodrkami"/>
        <w:rPr>
          <w:lang w:val="sk-SK"/>
        </w:rPr>
      </w:pPr>
      <w:r w:rsidRPr="00E34F72">
        <w:rPr>
          <w:lang w:val="sk-SK"/>
        </w:rPr>
        <w:t xml:space="preserve">hypertenzia a </w:t>
      </w:r>
      <w:proofErr w:type="spellStart"/>
      <w:r w:rsidRPr="00E34F72">
        <w:rPr>
          <w:lang w:val="sk-SK"/>
        </w:rPr>
        <w:t>kongestívne</w:t>
      </w:r>
      <w:proofErr w:type="spellEnd"/>
      <w:r w:rsidRPr="00E34F72">
        <w:rPr>
          <w:lang w:val="sk-SK"/>
        </w:rPr>
        <w:t xml:space="preserve"> zlyhanie srdca</w:t>
      </w:r>
    </w:p>
    <w:p w14:paraId="5FBC5B1C" w14:textId="77777777" w:rsidR="008039A5" w:rsidRPr="00E34F72" w:rsidRDefault="008039A5" w:rsidP="00081CDB">
      <w:pPr>
        <w:pStyle w:val="Normlndoblokusodrkami"/>
        <w:rPr>
          <w:lang w:val="sk-SK"/>
        </w:rPr>
      </w:pPr>
      <w:r w:rsidRPr="00E34F72">
        <w:rPr>
          <w:lang w:val="sk-SK"/>
        </w:rPr>
        <w:t xml:space="preserve">diabetes </w:t>
      </w:r>
      <w:proofErr w:type="spellStart"/>
      <w:r w:rsidRPr="00E34F72">
        <w:rPr>
          <w:lang w:val="sk-SK"/>
        </w:rPr>
        <w:t>mellitus</w:t>
      </w:r>
      <w:proofErr w:type="spellEnd"/>
      <w:r w:rsidRPr="00E34F72">
        <w:rPr>
          <w:lang w:val="sk-SK"/>
        </w:rPr>
        <w:t xml:space="preserve"> alebo rodinná diagnóza diabetu</w:t>
      </w:r>
    </w:p>
    <w:p w14:paraId="58003A68" w14:textId="77777777" w:rsidR="008039A5" w:rsidRPr="00E34F72" w:rsidRDefault="008039A5" w:rsidP="00081CDB">
      <w:pPr>
        <w:pStyle w:val="Normlndoblokusodrkami"/>
        <w:rPr>
          <w:lang w:val="sk-SK"/>
        </w:rPr>
      </w:pPr>
      <w:r w:rsidRPr="00E34F72">
        <w:rPr>
          <w:lang w:val="sk-SK"/>
        </w:rPr>
        <w:t>pečeňové zlyhanie</w:t>
      </w:r>
    </w:p>
    <w:p w14:paraId="1BCD7D94" w14:textId="77777777" w:rsidR="008039A5" w:rsidRPr="00E34F72" w:rsidRDefault="008039A5" w:rsidP="00081CDB">
      <w:pPr>
        <w:pStyle w:val="Normlndoblokusodrkami"/>
        <w:rPr>
          <w:lang w:val="sk-SK"/>
        </w:rPr>
      </w:pPr>
      <w:r w:rsidRPr="00E34F72">
        <w:rPr>
          <w:lang w:val="sk-SK"/>
        </w:rPr>
        <w:t>epilepsia</w:t>
      </w:r>
    </w:p>
    <w:p w14:paraId="3557496B" w14:textId="77777777" w:rsidR="008039A5" w:rsidRPr="00E34F72" w:rsidRDefault="008039A5" w:rsidP="00081CDB">
      <w:pPr>
        <w:pStyle w:val="Normlndoblokusodrkami"/>
        <w:rPr>
          <w:lang w:val="sk-SK"/>
        </w:rPr>
      </w:pPr>
      <w:r w:rsidRPr="00E34F72">
        <w:rPr>
          <w:lang w:val="sk-SK"/>
        </w:rPr>
        <w:t>migréna</w:t>
      </w:r>
    </w:p>
    <w:p w14:paraId="70A85F9D" w14:textId="77777777" w:rsidR="008039A5" w:rsidRPr="00E34F72" w:rsidRDefault="008039A5" w:rsidP="00081CDB">
      <w:pPr>
        <w:pStyle w:val="Normlndoblokusodrkami"/>
        <w:rPr>
          <w:lang w:val="sk-SK"/>
        </w:rPr>
      </w:pPr>
      <w:r w:rsidRPr="00E34F72">
        <w:rPr>
          <w:lang w:val="sk-SK"/>
        </w:rPr>
        <w:t xml:space="preserve">neúplné dokončenie rastu, dlhodobé podávanie </w:t>
      </w:r>
      <w:proofErr w:type="spellStart"/>
      <w:r w:rsidRPr="00E34F72">
        <w:rPr>
          <w:lang w:val="sk-SK"/>
        </w:rPr>
        <w:t>glukokortikoidov</w:t>
      </w:r>
      <w:proofErr w:type="spellEnd"/>
      <w:r w:rsidRPr="00E34F72">
        <w:rPr>
          <w:lang w:val="sk-SK"/>
        </w:rPr>
        <w:t xml:space="preserve"> urýchľuje uzavretie rastových štrbín</w:t>
      </w:r>
    </w:p>
    <w:p w14:paraId="066910C3" w14:textId="77777777" w:rsidR="008039A5" w:rsidRPr="00E34F72" w:rsidRDefault="008039A5" w:rsidP="00081CDB">
      <w:pPr>
        <w:pStyle w:val="Normlndoblokusodrkami"/>
        <w:rPr>
          <w:lang w:val="sk-SK"/>
        </w:rPr>
      </w:pPr>
      <w:r w:rsidRPr="00E34F72">
        <w:rPr>
          <w:lang w:val="sk-SK"/>
        </w:rPr>
        <w:t xml:space="preserve">tuberkulóza v anamnéze, terapia je možná len pri súčasnom podaní </w:t>
      </w:r>
      <w:proofErr w:type="spellStart"/>
      <w:r w:rsidRPr="00E34F72">
        <w:rPr>
          <w:lang w:val="sk-SK"/>
        </w:rPr>
        <w:t>antituberkulotík</w:t>
      </w:r>
      <w:proofErr w:type="spellEnd"/>
      <w:r w:rsidRPr="00E34F72">
        <w:rPr>
          <w:lang w:val="sk-SK"/>
        </w:rPr>
        <w:t>.</w:t>
      </w:r>
    </w:p>
    <w:p w14:paraId="07B4ACBC" w14:textId="77777777" w:rsidR="00A2715A" w:rsidRPr="00A97442" w:rsidRDefault="008039A5" w:rsidP="00DC615D">
      <w:pPr>
        <w:pStyle w:val="Normlndobloku"/>
        <w:rPr>
          <w:lang w:val="sk-SK"/>
        </w:rPr>
      </w:pPr>
      <w:r w:rsidRPr="00E34F72">
        <w:rPr>
          <w:lang w:val="sk-SK"/>
        </w:rPr>
        <w:t xml:space="preserve">U detí </w:t>
      </w:r>
      <w:proofErr w:type="spellStart"/>
      <w:r w:rsidRPr="00E34F72">
        <w:rPr>
          <w:lang w:val="sk-SK"/>
        </w:rPr>
        <w:t>kortikosteroidy</w:t>
      </w:r>
      <w:proofErr w:type="spellEnd"/>
      <w:r w:rsidRPr="00E34F72">
        <w:rPr>
          <w:lang w:val="sk-SK"/>
        </w:rPr>
        <w:t xml:space="preserve"> spôsobujú v závislosti od dávky poruchu rastu v rannom detstve, v detstve a aj v puberte. Môže ísť o ireverzibilné poškodenie. Rast a vývoj v rannom detstve/ u detí počas dlhodobej liečby </w:t>
      </w:r>
      <w:proofErr w:type="spellStart"/>
      <w:r w:rsidRPr="00E34F72">
        <w:rPr>
          <w:lang w:val="sk-SK"/>
        </w:rPr>
        <w:t>kortikosteroidmi</w:t>
      </w:r>
      <w:proofErr w:type="spellEnd"/>
      <w:r w:rsidRPr="00E34F72">
        <w:rPr>
          <w:lang w:val="sk-SK"/>
        </w:rPr>
        <w:t xml:space="preserve"> sa musí starostlivo sledovať.</w:t>
      </w:r>
    </w:p>
    <w:p w14:paraId="39535C00" w14:textId="77777777" w:rsidR="008039A5" w:rsidRPr="00E34F72" w:rsidRDefault="008039A5" w:rsidP="00CA12CF">
      <w:pPr>
        <w:pStyle w:val="Normlndobloku"/>
        <w:rPr>
          <w:lang w:val="sk-SK"/>
        </w:rPr>
      </w:pPr>
      <w:r w:rsidRPr="00E34F72">
        <w:rPr>
          <w:lang w:val="sk-SK"/>
        </w:rPr>
        <w:t xml:space="preserve">U starších pacientov, najčastejšie nežiaduce účinky systémovej </w:t>
      </w:r>
      <w:proofErr w:type="spellStart"/>
      <w:r w:rsidRPr="00E34F72">
        <w:rPr>
          <w:lang w:val="sk-SK"/>
        </w:rPr>
        <w:t>kortikosteroidovej</w:t>
      </w:r>
      <w:proofErr w:type="spellEnd"/>
      <w:r w:rsidRPr="00E34F72">
        <w:rPr>
          <w:lang w:val="sk-SK"/>
        </w:rPr>
        <w:t xml:space="preserve"> liečby môžu byť spojené so závažnejšími následkami, najmä so zreteľom na </w:t>
      </w:r>
      <w:proofErr w:type="spellStart"/>
      <w:r w:rsidRPr="00E34F72">
        <w:rPr>
          <w:lang w:val="sk-SK"/>
        </w:rPr>
        <w:t>osteoporózu</w:t>
      </w:r>
      <w:proofErr w:type="spellEnd"/>
      <w:r w:rsidRPr="00E34F72">
        <w:rPr>
          <w:lang w:val="sk-SK"/>
        </w:rPr>
        <w:t xml:space="preserve">, </w:t>
      </w:r>
      <w:proofErr w:type="spellStart"/>
      <w:r w:rsidRPr="00E34F72">
        <w:rPr>
          <w:lang w:val="sk-SK"/>
        </w:rPr>
        <w:t>hypo</w:t>
      </w:r>
      <w:r w:rsidR="00F71F38" w:rsidRPr="00E34F72">
        <w:rPr>
          <w:lang w:val="sk-SK"/>
        </w:rPr>
        <w:t>kali</w:t>
      </w:r>
      <w:r w:rsidRPr="00E34F72">
        <w:rPr>
          <w:lang w:val="sk-SK"/>
        </w:rPr>
        <w:t>émiu</w:t>
      </w:r>
      <w:proofErr w:type="spellEnd"/>
      <w:r w:rsidRPr="00E34F72">
        <w:rPr>
          <w:lang w:val="sk-SK"/>
        </w:rPr>
        <w:t>, hypertenziu, diabetes, atrofiu kože a vnímavosti na infekcie. U tejto skupiny pacientov je nevyhnutná starostlivá klinická kontrola a pozorovanie.</w:t>
      </w:r>
    </w:p>
    <w:p w14:paraId="4DFD2C37" w14:textId="77777777" w:rsidR="008039A5" w:rsidRPr="00E34F72" w:rsidRDefault="008039A5" w:rsidP="00CA12CF">
      <w:pPr>
        <w:pStyle w:val="Normlndobloku"/>
        <w:rPr>
          <w:lang w:val="sk-SK"/>
        </w:rPr>
      </w:pPr>
      <w:r w:rsidRPr="00E34F72">
        <w:rPr>
          <w:lang w:val="sk-SK"/>
        </w:rPr>
        <w:t xml:space="preserve">Pri lokálnej injekčnej liečbe ochorení, ako </w:t>
      </w:r>
      <w:proofErr w:type="spellStart"/>
      <w:r w:rsidRPr="00E34F72">
        <w:rPr>
          <w:lang w:val="sk-SK"/>
        </w:rPr>
        <w:t>tendinitída</w:t>
      </w:r>
      <w:proofErr w:type="spellEnd"/>
      <w:r w:rsidRPr="00E34F72">
        <w:rPr>
          <w:lang w:val="sk-SK"/>
        </w:rPr>
        <w:t xml:space="preserve"> alebo </w:t>
      </w:r>
      <w:proofErr w:type="spellStart"/>
      <w:r w:rsidR="00C033B4" w:rsidRPr="00E34F72">
        <w:rPr>
          <w:lang w:val="sk-SK"/>
        </w:rPr>
        <w:t>tendosynovitída</w:t>
      </w:r>
      <w:proofErr w:type="spellEnd"/>
      <w:r w:rsidRPr="00E34F72">
        <w:rPr>
          <w:lang w:val="sk-SK"/>
        </w:rPr>
        <w:t>, sa musí venovať zvýšená pozornosť, aby sa injekcia podala do priestoru medzi šľachou a </w:t>
      </w:r>
      <w:r w:rsidR="00C033B4" w:rsidRPr="00E34F72">
        <w:rPr>
          <w:lang w:val="sk-SK"/>
        </w:rPr>
        <w:t>puzdro</w:t>
      </w:r>
      <w:r w:rsidRPr="00E34F72">
        <w:rPr>
          <w:lang w:val="sk-SK"/>
        </w:rPr>
        <w:t xml:space="preserve"> šľachy, pretože sa zaznamenali ruptúry šliach.</w:t>
      </w:r>
    </w:p>
    <w:p w14:paraId="04960703" w14:textId="0A525F8B" w:rsidR="00A2715A" w:rsidRPr="00E34F72" w:rsidRDefault="008039A5" w:rsidP="00CA12CF">
      <w:pPr>
        <w:pStyle w:val="Normlndobloku"/>
        <w:rPr>
          <w:lang w:val="sk-SK"/>
        </w:rPr>
      </w:pPr>
      <w:r w:rsidRPr="00E34F72">
        <w:rPr>
          <w:lang w:val="sk-SK"/>
        </w:rPr>
        <w:t xml:space="preserve">Najmä u pacientov s anamnézou alergie, sa objavili vážne </w:t>
      </w:r>
      <w:proofErr w:type="spellStart"/>
      <w:r w:rsidRPr="00E34F72">
        <w:rPr>
          <w:lang w:val="sk-SK"/>
        </w:rPr>
        <w:t>anafylaktické</w:t>
      </w:r>
      <w:proofErr w:type="spellEnd"/>
      <w:r w:rsidRPr="00E34F72">
        <w:rPr>
          <w:lang w:val="sk-SK"/>
        </w:rPr>
        <w:t xml:space="preserve"> reakcie po podaní </w:t>
      </w:r>
      <w:proofErr w:type="spellStart"/>
      <w:r w:rsidRPr="00E34F72">
        <w:rPr>
          <w:lang w:val="sk-SK"/>
        </w:rPr>
        <w:t>glukokortikoidov</w:t>
      </w:r>
      <w:proofErr w:type="spellEnd"/>
      <w:r w:rsidRPr="00E34F72">
        <w:rPr>
          <w:lang w:val="sk-SK"/>
        </w:rPr>
        <w:t xml:space="preserve">. Sem patrí opuch hlasiviek, </w:t>
      </w:r>
      <w:proofErr w:type="spellStart"/>
      <w:r w:rsidRPr="00E34F72">
        <w:rPr>
          <w:lang w:val="sk-SK"/>
        </w:rPr>
        <w:t>bronchospazmus</w:t>
      </w:r>
      <w:proofErr w:type="spellEnd"/>
      <w:r w:rsidRPr="00E34F72">
        <w:rPr>
          <w:lang w:val="sk-SK"/>
        </w:rPr>
        <w:t xml:space="preserve"> a </w:t>
      </w:r>
      <w:proofErr w:type="spellStart"/>
      <w:r w:rsidRPr="00E34F72">
        <w:rPr>
          <w:lang w:val="sk-SK"/>
        </w:rPr>
        <w:t>urtikária</w:t>
      </w:r>
      <w:proofErr w:type="spellEnd"/>
      <w:r w:rsidRPr="00E34F72">
        <w:rPr>
          <w:lang w:val="sk-SK"/>
        </w:rPr>
        <w:t xml:space="preserve">. Ak sa objaví </w:t>
      </w:r>
      <w:proofErr w:type="spellStart"/>
      <w:r w:rsidRPr="00E34F72">
        <w:rPr>
          <w:lang w:val="sk-SK"/>
        </w:rPr>
        <w:t>anafylaktická</w:t>
      </w:r>
      <w:proofErr w:type="spellEnd"/>
      <w:r w:rsidRPr="00E34F72">
        <w:rPr>
          <w:lang w:val="sk-SK"/>
        </w:rPr>
        <w:t xml:space="preserve"> reakcia, odporúča sa neodkladné podanie pomalej intravenóznej injekcie 0,1</w:t>
      </w:r>
      <w:r w:rsidR="003C3BFF">
        <w:rPr>
          <w:lang w:val="sk-SK"/>
        </w:rPr>
        <w:t> – </w:t>
      </w:r>
      <w:r w:rsidRPr="00E34F72">
        <w:rPr>
          <w:lang w:val="sk-SK"/>
        </w:rPr>
        <w:t>0,5 ml roztoku adrenalínu v pomere 1:1 000 (0,1 mg</w:t>
      </w:r>
      <w:r w:rsidR="003C3BFF">
        <w:rPr>
          <w:lang w:val="sk-SK"/>
        </w:rPr>
        <w:t> – </w:t>
      </w:r>
      <w:r w:rsidRPr="00E34F72">
        <w:rPr>
          <w:lang w:val="sk-SK"/>
        </w:rPr>
        <w:t xml:space="preserve">0,5 mg adrenalínu v závislosti od hmotnosti), </w:t>
      </w:r>
      <w:proofErr w:type="spellStart"/>
      <w:r w:rsidRPr="00E34F72">
        <w:rPr>
          <w:lang w:val="sk-SK"/>
        </w:rPr>
        <w:t>aminofylín</w:t>
      </w:r>
      <w:proofErr w:type="spellEnd"/>
      <w:r w:rsidRPr="00E34F72">
        <w:rPr>
          <w:lang w:val="sk-SK"/>
        </w:rPr>
        <w:t xml:space="preserve"> intravenózne, a ak je to potrebné treba zaistiť aj umelú pľúcnu ventiláciu.</w:t>
      </w:r>
    </w:p>
    <w:p w14:paraId="0A97A714" w14:textId="77777777" w:rsidR="00D84C5B" w:rsidRPr="00E34F72" w:rsidRDefault="00D84C5B" w:rsidP="00CA12CF">
      <w:pPr>
        <w:pStyle w:val="Normlndobloku"/>
        <w:rPr>
          <w:lang w:val="sk-SK"/>
        </w:rPr>
      </w:pPr>
      <w:r w:rsidRPr="00E34F72">
        <w:rPr>
          <w:lang w:val="sk-SK"/>
        </w:rPr>
        <w:t xml:space="preserve">V rámci skúseností po uvedení lieku na trh bol u pacientov s hematologickými malignitami po použití </w:t>
      </w:r>
      <w:proofErr w:type="spellStart"/>
      <w:r w:rsidRPr="00E34F72">
        <w:rPr>
          <w:lang w:val="sk-SK"/>
        </w:rPr>
        <w:t>dexametazónu</w:t>
      </w:r>
      <w:proofErr w:type="spellEnd"/>
      <w:r w:rsidRPr="00E34F72">
        <w:rPr>
          <w:lang w:val="sk-SK"/>
        </w:rPr>
        <w:t xml:space="preserve"> samotného alebo v kombinácii s inými chemoterapeutickými liekmi hlásený syndróm nádorovej </w:t>
      </w:r>
      <w:proofErr w:type="spellStart"/>
      <w:r w:rsidRPr="00E34F72">
        <w:rPr>
          <w:lang w:val="sk-SK"/>
        </w:rPr>
        <w:t>lýzy</w:t>
      </w:r>
      <w:proofErr w:type="spellEnd"/>
      <w:r w:rsidRPr="00E34F72">
        <w:rPr>
          <w:lang w:val="sk-SK"/>
        </w:rPr>
        <w:t xml:space="preserve"> (TLS). Pacienti s vysokým rizikom TLS, napríklad pacienti s vysokou rýchlosťou </w:t>
      </w:r>
      <w:proofErr w:type="spellStart"/>
      <w:r w:rsidRPr="00E34F72">
        <w:rPr>
          <w:lang w:val="sk-SK"/>
        </w:rPr>
        <w:t>proliferácie</w:t>
      </w:r>
      <w:proofErr w:type="spellEnd"/>
      <w:r w:rsidRPr="00E34F72">
        <w:rPr>
          <w:lang w:val="sk-SK"/>
        </w:rPr>
        <w:t xml:space="preserve">, vysokou nádorovou záťažou a vysokou citlivosťou na </w:t>
      </w:r>
      <w:proofErr w:type="spellStart"/>
      <w:r w:rsidRPr="00E34F72">
        <w:rPr>
          <w:lang w:val="sk-SK"/>
        </w:rPr>
        <w:t>cytotoxické</w:t>
      </w:r>
      <w:proofErr w:type="spellEnd"/>
      <w:r w:rsidRPr="00E34F72">
        <w:rPr>
          <w:lang w:val="sk-SK"/>
        </w:rPr>
        <w:t xml:space="preserve"> lieky majú byť pozorne sledovaní a majú sa zaviesť príslušné opatrenia.</w:t>
      </w:r>
    </w:p>
    <w:p w14:paraId="76F16B73" w14:textId="77777777" w:rsidR="00DC40DE" w:rsidRPr="00E34F72" w:rsidRDefault="00DC40DE" w:rsidP="00A97442">
      <w:pPr>
        <w:pStyle w:val="Styl3"/>
      </w:pPr>
      <w:r w:rsidRPr="00E34F72">
        <w:t xml:space="preserve">Poruchy </w:t>
      </w:r>
      <w:proofErr w:type="spellStart"/>
      <w:r w:rsidRPr="00E34F72">
        <w:t>videnia</w:t>
      </w:r>
      <w:proofErr w:type="spellEnd"/>
    </w:p>
    <w:p w14:paraId="26B41C08" w14:textId="77777777" w:rsidR="00DC40DE" w:rsidRPr="00E34F72" w:rsidRDefault="00DC40DE" w:rsidP="00CA12CF">
      <w:pPr>
        <w:pStyle w:val="Normlndobloku"/>
        <w:rPr>
          <w:lang w:val="sk-SK"/>
        </w:rPr>
      </w:pPr>
      <w:r w:rsidRPr="00E34F72">
        <w:rPr>
          <w:lang w:val="sk-SK"/>
        </w:rPr>
        <w:t xml:space="preserve">Poruchy videnia môžu byť hlásené pri systémovom a lokálnom použití </w:t>
      </w:r>
      <w:proofErr w:type="spellStart"/>
      <w:r w:rsidRPr="00E34F72">
        <w:rPr>
          <w:lang w:val="sk-SK"/>
        </w:rPr>
        <w:t>kortikosteroidov</w:t>
      </w:r>
      <w:proofErr w:type="spellEnd"/>
      <w:r w:rsidR="001F7D45" w:rsidRPr="00E34F72">
        <w:rPr>
          <w:lang w:val="sk-SK"/>
        </w:rPr>
        <w:t>. Ak sa u pacienta objavia symptómy, ako je rozmazané videnie alebo iné poruchy videnia, pacient má byť odporučený k </w:t>
      </w:r>
      <w:proofErr w:type="spellStart"/>
      <w:r w:rsidR="001F7D45" w:rsidRPr="00E34F72">
        <w:rPr>
          <w:lang w:val="sk-SK"/>
        </w:rPr>
        <w:t>oftalmológovi</w:t>
      </w:r>
      <w:proofErr w:type="spellEnd"/>
      <w:r w:rsidR="001F7D45" w:rsidRPr="00E34F72">
        <w:rPr>
          <w:lang w:val="sk-SK"/>
        </w:rPr>
        <w:t xml:space="preserve"> na posúdenie možných príčin, medzi ktoré môže patriť sivý zákal, </w:t>
      </w:r>
      <w:proofErr w:type="spellStart"/>
      <w:r w:rsidR="001F7D45" w:rsidRPr="00E34F72">
        <w:rPr>
          <w:lang w:val="sk-SK"/>
        </w:rPr>
        <w:t>glaukóm</w:t>
      </w:r>
      <w:proofErr w:type="spellEnd"/>
      <w:r w:rsidR="001F7D45" w:rsidRPr="00E34F72">
        <w:rPr>
          <w:lang w:val="sk-SK"/>
        </w:rPr>
        <w:t xml:space="preserve"> alebo zriedkavé ochorenia, ako je napríklad centrálna </w:t>
      </w:r>
      <w:proofErr w:type="spellStart"/>
      <w:r w:rsidR="001F7D45" w:rsidRPr="00E34F72">
        <w:rPr>
          <w:lang w:val="sk-SK"/>
        </w:rPr>
        <w:t>serózna</w:t>
      </w:r>
      <w:proofErr w:type="spellEnd"/>
      <w:r w:rsidR="001F7D45" w:rsidRPr="00E34F72">
        <w:rPr>
          <w:lang w:val="sk-SK"/>
        </w:rPr>
        <w:t xml:space="preserve"> </w:t>
      </w:r>
      <w:proofErr w:type="spellStart"/>
      <w:r w:rsidR="001F7D45" w:rsidRPr="00E34F72">
        <w:rPr>
          <w:lang w:val="sk-SK"/>
        </w:rPr>
        <w:t>chorioretinopatia</w:t>
      </w:r>
      <w:proofErr w:type="spellEnd"/>
      <w:r w:rsidR="001F7D45" w:rsidRPr="00E34F72">
        <w:rPr>
          <w:lang w:val="sk-SK"/>
        </w:rPr>
        <w:t xml:space="preserve"> (CSCR), ktoré boli hlásené po použití systémových a lokálnych </w:t>
      </w:r>
      <w:proofErr w:type="spellStart"/>
      <w:r w:rsidR="001F7D45" w:rsidRPr="00E34F72">
        <w:rPr>
          <w:lang w:val="sk-SK"/>
        </w:rPr>
        <w:t>kortikosteroidov</w:t>
      </w:r>
      <w:proofErr w:type="spellEnd"/>
      <w:r w:rsidR="001F7D45" w:rsidRPr="00E34F72">
        <w:rPr>
          <w:lang w:val="sk-SK"/>
        </w:rPr>
        <w:t>.</w:t>
      </w:r>
    </w:p>
    <w:p w14:paraId="66A41F1E" w14:textId="77777777" w:rsidR="008039A5" w:rsidRPr="00A97442" w:rsidRDefault="008039A5" w:rsidP="00A81CB3">
      <w:pPr>
        <w:pStyle w:val="Styl2"/>
        <w:rPr>
          <w:lang w:val="sk-SK"/>
        </w:rPr>
      </w:pPr>
      <w:r w:rsidRPr="00A97442">
        <w:rPr>
          <w:lang w:val="sk-SK"/>
        </w:rPr>
        <w:lastRenderedPageBreak/>
        <w:t>Liekové a iné interakcie</w:t>
      </w:r>
    </w:p>
    <w:p w14:paraId="414AB54A" w14:textId="77777777" w:rsidR="008039A5" w:rsidRPr="00E34F72" w:rsidRDefault="008039A5" w:rsidP="00CA12CF">
      <w:pPr>
        <w:pStyle w:val="Normlndobloku"/>
        <w:rPr>
          <w:lang w:val="sk-SK"/>
        </w:rPr>
      </w:pPr>
      <w:r w:rsidRPr="00E34F72">
        <w:rPr>
          <w:lang w:val="sk-SK"/>
        </w:rPr>
        <w:t xml:space="preserve">Metabolizmus </w:t>
      </w:r>
      <w:proofErr w:type="spellStart"/>
      <w:r w:rsidRPr="00E34F72">
        <w:rPr>
          <w:lang w:val="sk-SK"/>
        </w:rPr>
        <w:t>kortikosteroidov</w:t>
      </w:r>
      <w:proofErr w:type="spellEnd"/>
      <w:r w:rsidRPr="00E34F72">
        <w:rPr>
          <w:lang w:val="sk-SK"/>
        </w:rPr>
        <w:t xml:space="preserve"> je zvýšený </w:t>
      </w:r>
      <w:proofErr w:type="spellStart"/>
      <w:r w:rsidRPr="00E34F72">
        <w:rPr>
          <w:lang w:val="sk-SK"/>
        </w:rPr>
        <w:t>aminoglutetimidom</w:t>
      </w:r>
      <w:proofErr w:type="spellEnd"/>
      <w:r w:rsidRPr="00E34F72">
        <w:rPr>
          <w:lang w:val="sk-SK"/>
        </w:rPr>
        <w:t xml:space="preserve">, </w:t>
      </w:r>
      <w:proofErr w:type="spellStart"/>
      <w:r w:rsidRPr="00E34F72">
        <w:rPr>
          <w:lang w:val="sk-SK"/>
        </w:rPr>
        <w:t>karbamazepínom</w:t>
      </w:r>
      <w:proofErr w:type="spellEnd"/>
      <w:r w:rsidRPr="00E34F72">
        <w:rPr>
          <w:lang w:val="sk-SK"/>
        </w:rPr>
        <w:t xml:space="preserve">, </w:t>
      </w:r>
      <w:proofErr w:type="spellStart"/>
      <w:r w:rsidRPr="00E34F72">
        <w:rPr>
          <w:lang w:val="sk-SK"/>
        </w:rPr>
        <w:t>efedrínom</w:t>
      </w:r>
      <w:proofErr w:type="spellEnd"/>
      <w:r w:rsidRPr="00E34F72">
        <w:rPr>
          <w:lang w:val="sk-SK"/>
        </w:rPr>
        <w:t xml:space="preserve">, </w:t>
      </w:r>
      <w:proofErr w:type="spellStart"/>
      <w:r w:rsidRPr="00E34F72">
        <w:rPr>
          <w:lang w:val="sk-SK"/>
        </w:rPr>
        <w:t>fenobarbitalom</w:t>
      </w:r>
      <w:proofErr w:type="spellEnd"/>
      <w:r w:rsidRPr="00E34F72">
        <w:rPr>
          <w:lang w:val="sk-SK"/>
        </w:rPr>
        <w:t xml:space="preserve">, </w:t>
      </w:r>
      <w:proofErr w:type="spellStart"/>
      <w:r w:rsidRPr="00E34F72">
        <w:rPr>
          <w:lang w:val="sk-SK"/>
        </w:rPr>
        <w:t>fenylbutazónom</w:t>
      </w:r>
      <w:proofErr w:type="spellEnd"/>
      <w:r w:rsidRPr="00E34F72">
        <w:rPr>
          <w:lang w:val="sk-SK"/>
        </w:rPr>
        <w:t xml:space="preserve">, </w:t>
      </w:r>
      <w:proofErr w:type="spellStart"/>
      <w:r w:rsidRPr="00E34F72">
        <w:rPr>
          <w:lang w:val="sk-SK"/>
        </w:rPr>
        <w:t>fenytoínom</w:t>
      </w:r>
      <w:proofErr w:type="spellEnd"/>
      <w:r w:rsidRPr="00E34F72">
        <w:rPr>
          <w:lang w:val="sk-SK"/>
        </w:rPr>
        <w:t xml:space="preserve">, </w:t>
      </w:r>
      <w:proofErr w:type="spellStart"/>
      <w:r w:rsidRPr="00E34F72">
        <w:rPr>
          <w:lang w:val="sk-SK"/>
        </w:rPr>
        <w:t>primidonom</w:t>
      </w:r>
      <w:proofErr w:type="spellEnd"/>
      <w:r w:rsidRPr="00E34F72">
        <w:rPr>
          <w:lang w:val="sk-SK"/>
        </w:rPr>
        <w:t xml:space="preserve">, </w:t>
      </w:r>
      <w:proofErr w:type="spellStart"/>
      <w:r w:rsidRPr="00E34F72">
        <w:rPr>
          <w:lang w:val="sk-SK"/>
        </w:rPr>
        <w:t>rifabutínom</w:t>
      </w:r>
      <w:proofErr w:type="spellEnd"/>
      <w:r w:rsidRPr="00E34F72">
        <w:rPr>
          <w:lang w:val="sk-SK"/>
        </w:rPr>
        <w:t xml:space="preserve"> a </w:t>
      </w:r>
      <w:proofErr w:type="spellStart"/>
      <w:r w:rsidRPr="00E34F72">
        <w:rPr>
          <w:lang w:val="sk-SK"/>
        </w:rPr>
        <w:t>rifampicínom</w:t>
      </w:r>
      <w:proofErr w:type="spellEnd"/>
      <w:r w:rsidRPr="00E34F72">
        <w:rPr>
          <w:lang w:val="sk-SK"/>
        </w:rPr>
        <w:t xml:space="preserve">, preto sa ich terapeutický účinok môže znížiť. </w:t>
      </w:r>
      <w:proofErr w:type="spellStart"/>
      <w:r w:rsidRPr="00E34F72">
        <w:rPr>
          <w:lang w:val="sk-SK"/>
        </w:rPr>
        <w:t>Kortikosteroidy</w:t>
      </w:r>
      <w:proofErr w:type="spellEnd"/>
      <w:r w:rsidRPr="00E34F72">
        <w:rPr>
          <w:lang w:val="sk-SK"/>
        </w:rPr>
        <w:t xml:space="preserve"> znižujú žiaduci účinok </w:t>
      </w:r>
      <w:proofErr w:type="spellStart"/>
      <w:r w:rsidRPr="00E34F72">
        <w:rPr>
          <w:lang w:val="sk-SK"/>
        </w:rPr>
        <w:t>antihypertenzív</w:t>
      </w:r>
      <w:proofErr w:type="spellEnd"/>
      <w:r w:rsidRPr="00E34F72">
        <w:rPr>
          <w:lang w:val="sk-SK"/>
        </w:rPr>
        <w:t>, diuretík a </w:t>
      </w:r>
      <w:proofErr w:type="spellStart"/>
      <w:r w:rsidRPr="00E34F72">
        <w:rPr>
          <w:lang w:val="sk-SK"/>
        </w:rPr>
        <w:t>hypoglykemizujúcich</w:t>
      </w:r>
      <w:proofErr w:type="spellEnd"/>
      <w:r w:rsidRPr="00E34F72">
        <w:rPr>
          <w:lang w:val="sk-SK"/>
        </w:rPr>
        <w:t xml:space="preserve"> liekov (vrátane inzulínu). </w:t>
      </w:r>
      <w:proofErr w:type="spellStart"/>
      <w:r w:rsidRPr="00E34F72">
        <w:rPr>
          <w:lang w:val="sk-SK"/>
        </w:rPr>
        <w:t>Hypokaliemizujúci</w:t>
      </w:r>
      <w:proofErr w:type="spellEnd"/>
      <w:r w:rsidRPr="00E34F72">
        <w:rPr>
          <w:lang w:val="sk-SK"/>
        </w:rPr>
        <w:t xml:space="preserve"> účinok </w:t>
      </w:r>
      <w:proofErr w:type="spellStart"/>
      <w:r w:rsidRPr="00E34F72">
        <w:rPr>
          <w:lang w:val="sk-SK"/>
        </w:rPr>
        <w:t>acetazolamidu</w:t>
      </w:r>
      <w:proofErr w:type="spellEnd"/>
      <w:r w:rsidRPr="00E34F72">
        <w:rPr>
          <w:lang w:val="sk-SK"/>
        </w:rPr>
        <w:t xml:space="preserve">, </w:t>
      </w:r>
      <w:proofErr w:type="spellStart"/>
      <w:r w:rsidRPr="00E34F72">
        <w:rPr>
          <w:lang w:val="sk-SK"/>
        </w:rPr>
        <w:t>karbenoxolónu</w:t>
      </w:r>
      <w:proofErr w:type="spellEnd"/>
      <w:r w:rsidRPr="00E34F72">
        <w:rPr>
          <w:lang w:val="sk-SK"/>
        </w:rPr>
        <w:t xml:space="preserve">, </w:t>
      </w:r>
      <w:proofErr w:type="spellStart"/>
      <w:r w:rsidRPr="00E34F72">
        <w:rPr>
          <w:lang w:val="sk-SK"/>
        </w:rPr>
        <w:t>kľučkových</w:t>
      </w:r>
      <w:proofErr w:type="spellEnd"/>
      <w:r w:rsidRPr="00E34F72">
        <w:rPr>
          <w:lang w:val="sk-SK"/>
        </w:rPr>
        <w:t xml:space="preserve"> diuretík a </w:t>
      </w:r>
      <w:proofErr w:type="spellStart"/>
      <w:r w:rsidRPr="00E34F72">
        <w:rPr>
          <w:lang w:val="sk-SK"/>
        </w:rPr>
        <w:t>tiazidových</w:t>
      </w:r>
      <w:proofErr w:type="spellEnd"/>
      <w:r w:rsidRPr="00E34F72">
        <w:rPr>
          <w:lang w:val="sk-SK"/>
        </w:rPr>
        <w:t xml:space="preserve"> diuretík je zosilnený </w:t>
      </w:r>
      <w:proofErr w:type="spellStart"/>
      <w:r w:rsidRPr="00E34F72">
        <w:rPr>
          <w:lang w:val="sk-SK"/>
        </w:rPr>
        <w:t>kortikosteroidmi</w:t>
      </w:r>
      <w:proofErr w:type="spellEnd"/>
      <w:r w:rsidRPr="00E34F72">
        <w:rPr>
          <w:lang w:val="sk-SK"/>
        </w:rPr>
        <w:t xml:space="preserve">. Súčasná liečba </w:t>
      </w:r>
      <w:proofErr w:type="spellStart"/>
      <w:r w:rsidRPr="00E34F72">
        <w:rPr>
          <w:lang w:val="sk-SK"/>
        </w:rPr>
        <w:t>kortikosteroidmi</w:t>
      </w:r>
      <w:proofErr w:type="spellEnd"/>
      <w:r w:rsidRPr="00E34F72">
        <w:rPr>
          <w:lang w:val="sk-SK"/>
        </w:rPr>
        <w:t xml:space="preserve"> môže zosilniť účinok </w:t>
      </w:r>
      <w:proofErr w:type="spellStart"/>
      <w:r w:rsidRPr="00E34F72">
        <w:rPr>
          <w:lang w:val="sk-SK"/>
        </w:rPr>
        <w:t>kumarínových</w:t>
      </w:r>
      <w:proofErr w:type="spellEnd"/>
      <w:r w:rsidRPr="00E34F72">
        <w:rPr>
          <w:lang w:val="sk-SK"/>
        </w:rPr>
        <w:t xml:space="preserve"> </w:t>
      </w:r>
      <w:proofErr w:type="spellStart"/>
      <w:r w:rsidRPr="00E34F72">
        <w:rPr>
          <w:lang w:val="sk-SK"/>
        </w:rPr>
        <w:t>antikoagulancií</w:t>
      </w:r>
      <w:proofErr w:type="spellEnd"/>
      <w:r w:rsidRPr="00E34F72">
        <w:rPr>
          <w:lang w:val="sk-SK"/>
        </w:rPr>
        <w:t xml:space="preserve">, preto je nevyhnutné starostlivé sledovanie INR a </w:t>
      </w:r>
      <w:proofErr w:type="spellStart"/>
      <w:r w:rsidRPr="00E34F72">
        <w:rPr>
          <w:lang w:val="sk-SK"/>
        </w:rPr>
        <w:t>protrombínového</w:t>
      </w:r>
      <w:proofErr w:type="spellEnd"/>
      <w:r w:rsidRPr="00E34F72">
        <w:rPr>
          <w:lang w:val="sk-SK"/>
        </w:rPr>
        <w:t xml:space="preserve"> času. </w:t>
      </w:r>
      <w:proofErr w:type="spellStart"/>
      <w:r w:rsidRPr="00E34F72">
        <w:rPr>
          <w:lang w:val="sk-SK"/>
        </w:rPr>
        <w:t>Kortikosteroidy</w:t>
      </w:r>
      <w:proofErr w:type="spellEnd"/>
      <w:r w:rsidRPr="00E34F72">
        <w:rPr>
          <w:lang w:val="sk-SK"/>
        </w:rPr>
        <w:t xml:space="preserve"> zvyšujú </w:t>
      </w:r>
      <w:proofErr w:type="spellStart"/>
      <w:r w:rsidRPr="00E34F72">
        <w:rPr>
          <w:lang w:val="sk-SK"/>
        </w:rPr>
        <w:t>renálny</w:t>
      </w:r>
      <w:proofErr w:type="spellEnd"/>
      <w:r w:rsidRPr="00E34F72">
        <w:rPr>
          <w:lang w:val="sk-SK"/>
        </w:rPr>
        <w:t xml:space="preserve"> </w:t>
      </w:r>
      <w:proofErr w:type="spellStart"/>
      <w:r w:rsidRPr="00E34F72">
        <w:rPr>
          <w:lang w:val="sk-SK"/>
        </w:rPr>
        <w:t>klírens</w:t>
      </w:r>
      <w:proofErr w:type="spellEnd"/>
      <w:r w:rsidRPr="00E34F72">
        <w:rPr>
          <w:lang w:val="sk-SK"/>
        </w:rPr>
        <w:t xml:space="preserve"> </w:t>
      </w:r>
      <w:proofErr w:type="spellStart"/>
      <w:r w:rsidRPr="00E34F72">
        <w:rPr>
          <w:lang w:val="sk-SK"/>
        </w:rPr>
        <w:t>salicylátov</w:t>
      </w:r>
      <w:proofErr w:type="spellEnd"/>
      <w:r w:rsidRPr="00E34F72">
        <w:rPr>
          <w:lang w:val="sk-SK"/>
        </w:rPr>
        <w:t xml:space="preserve">, po ukončení liečby </w:t>
      </w:r>
      <w:proofErr w:type="spellStart"/>
      <w:r w:rsidRPr="00E34F72">
        <w:rPr>
          <w:lang w:val="sk-SK"/>
        </w:rPr>
        <w:t>steroidmi</w:t>
      </w:r>
      <w:proofErr w:type="spellEnd"/>
      <w:r w:rsidRPr="00E34F72">
        <w:rPr>
          <w:lang w:val="sk-SK"/>
        </w:rPr>
        <w:t xml:space="preserve"> sa môže objaviť </w:t>
      </w:r>
      <w:proofErr w:type="spellStart"/>
      <w:r w:rsidRPr="00E34F72">
        <w:rPr>
          <w:lang w:val="sk-SK"/>
        </w:rPr>
        <w:t>salicylátová</w:t>
      </w:r>
      <w:proofErr w:type="spellEnd"/>
      <w:r w:rsidRPr="00E34F72">
        <w:rPr>
          <w:lang w:val="sk-SK"/>
        </w:rPr>
        <w:t xml:space="preserve"> toxicita.</w:t>
      </w:r>
    </w:p>
    <w:p w14:paraId="6A19A73B" w14:textId="77777777" w:rsidR="008039A5" w:rsidRPr="00E34F72" w:rsidRDefault="008039A5" w:rsidP="00CA12CF">
      <w:pPr>
        <w:pStyle w:val="Normlndobloku"/>
        <w:rPr>
          <w:lang w:val="sk-SK"/>
        </w:rPr>
      </w:pPr>
      <w:r w:rsidRPr="00E34F72">
        <w:rPr>
          <w:lang w:val="sk-SK"/>
        </w:rPr>
        <w:t xml:space="preserve">Je nevyhnutné starostlivé sledovanie </w:t>
      </w:r>
      <w:proofErr w:type="spellStart"/>
      <w:r w:rsidRPr="00E34F72">
        <w:rPr>
          <w:lang w:val="sk-SK"/>
        </w:rPr>
        <w:t>nesteroidnej</w:t>
      </w:r>
      <w:proofErr w:type="spellEnd"/>
      <w:r w:rsidRPr="00E34F72">
        <w:rPr>
          <w:lang w:val="sk-SK"/>
        </w:rPr>
        <w:t xml:space="preserve"> protizápalovej liečby kvôli výskytu a/alebo závažnosti </w:t>
      </w:r>
      <w:proofErr w:type="spellStart"/>
      <w:r w:rsidRPr="00E34F72">
        <w:rPr>
          <w:lang w:val="sk-SK"/>
        </w:rPr>
        <w:t>gastrointestinálnych</w:t>
      </w:r>
      <w:proofErr w:type="spellEnd"/>
      <w:r w:rsidRPr="00E34F72">
        <w:rPr>
          <w:lang w:val="sk-SK"/>
        </w:rPr>
        <w:t xml:space="preserve"> </w:t>
      </w:r>
      <w:proofErr w:type="spellStart"/>
      <w:r w:rsidRPr="00E34F72">
        <w:rPr>
          <w:lang w:val="sk-SK"/>
        </w:rPr>
        <w:t>ulcerácií</w:t>
      </w:r>
      <w:proofErr w:type="spellEnd"/>
      <w:r w:rsidRPr="00E34F72">
        <w:rPr>
          <w:lang w:val="sk-SK"/>
        </w:rPr>
        <w:t>.</w:t>
      </w:r>
    </w:p>
    <w:p w14:paraId="753169FB" w14:textId="77777777" w:rsidR="008039A5" w:rsidRPr="00E34F72" w:rsidRDefault="008039A5" w:rsidP="00CA12CF">
      <w:pPr>
        <w:pStyle w:val="Normlndobloku"/>
        <w:rPr>
          <w:lang w:val="sk-SK"/>
        </w:rPr>
      </w:pPr>
      <w:r w:rsidRPr="00E34F72">
        <w:rPr>
          <w:lang w:val="sk-SK"/>
        </w:rPr>
        <w:t xml:space="preserve">Súčasné užívanie diuretík (hlavne </w:t>
      </w:r>
      <w:proofErr w:type="spellStart"/>
      <w:r w:rsidRPr="00E34F72">
        <w:rPr>
          <w:lang w:val="sk-SK"/>
        </w:rPr>
        <w:t>saluretík</w:t>
      </w:r>
      <w:proofErr w:type="spellEnd"/>
      <w:r w:rsidRPr="00E34F72">
        <w:rPr>
          <w:lang w:val="sk-SK"/>
        </w:rPr>
        <w:t xml:space="preserve">) zvyšuje exkréciu draslíka a nedostatok draslíka zvyšuje účinok a eventuálnu toxicitu </w:t>
      </w:r>
      <w:proofErr w:type="spellStart"/>
      <w:r w:rsidRPr="00E34F72">
        <w:rPr>
          <w:lang w:val="sk-SK"/>
        </w:rPr>
        <w:t>glykozidových</w:t>
      </w:r>
      <w:proofErr w:type="spellEnd"/>
      <w:r w:rsidRPr="00E34F72">
        <w:rPr>
          <w:lang w:val="sk-SK"/>
        </w:rPr>
        <w:t xml:space="preserve"> </w:t>
      </w:r>
      <w:proofErr w:type="spellStart"/>
      <w:r w:rsidRPr="00E34F72">
        <w:rPr>
          <w:lang w:val="sk-SK"/>
        </w:rPr>
        <w:t>kardiotoník</w:t>
      </w:r>
      <w:proofErr w:type="spellEnd"/>
      <w:r w:rsidRPr="00E34F72">
        <w:rPr>
          <w:lang w:val="sk-SK"/>
        </w:rPr>
        <w:t>.</w:t>
      </w:r>
    </w:p>
    <w:p w14:paraId="03BBC370" w14:textId="77777777" w:rsidR="008039A5" w:rsidRPr="00E34F72" w:rsidRDefault="008039A5" w:rsidP="00CA12CF">
      <w:pPr>
        <w:pStyle w:val="Normlndobloku"/>
        <w:rPr>
          <w:lang w:val="sk-SK"/>
        </w:rPr>
      </w:pPr>
      <w:proofErr w:type="spellStart"/>
      <w:r w:rsidRPr="00E34F72">
        <w:rPr>
          <w:lang w:val="sk-SK"/>
        </w:rPr>
        <w:t>Tuberkulostatiká</w:t>
      </w:r>
      <w:proofErr w:type="spellEnd"/>
      <w:r w:rsidRPr="00E34F72">
        <w:rPr>
          <w:lang w:val="sk-SK"/>
        </w:rPr>
        <w:t xml:space="preserve"> (</w:t>
      </w:r>
      <w:proofErr w:type="spellStart"/>
      <w:r w:rsidRPr="00E34F72">
        <w:rPr>
          <w:lang w:val="sk-SK"/>
        </w:rPr>
        <w:t>rifampicín</w:t>
      </w:r>
      <w:proofErr w:type="spellEnd"/>
      <w:r w:rsidRPr="00E34F72">
        <w:rPr>
          <w:lang w:val="sk-SK"/>
        </w:rPr>
        <w:t xml:space="preserve">), </w:t>
      </w:r>
      <w:proofErr w:type="spellStart"/>
      <w:r w:rsidRPr="00E34F72">
        <w:rPr>
          <w:lang w:val="sk-SK"/>
        </w:rPr>
        <w:t>antiepileptiká</w:t>
      </w:r>
      <w:proofErr w:type="spellEnd"/>
      <w:r w:rsidRPr="00E34F72">
        <w:rPr>
          <w:lang w:val="sk-SK"/>
        </w:rPr>
        <w:t xml:space="preserve"> (</w:t>
      </w:r>
      <w:proofErr w:type="spellStart"/>
      <w:r w:rsidRPr="00E34F72">
        <w:rPr>
          <w:lang w:val="sk-SK"/>
        </w:rPr>
        <w:t>fenytoín</w:t>
      </w:r>
      <w:proofErr w:type="spellEnd"/>
      <w:r w:rsidRPr="00E34F72">
        <w:rPr>
          <w:lang w:val="sk-SK"/>
        </w:rPr>
        <w:t xml:space="preserve">), hypnotiká (barbituráty) znižujú účinok </w:t>
      </w:r>
      <w:proofErr w:type="spellStart"/>
      <w:r w:rsidRPr="00E34F72">
        <w:rPr>
          <w:lang w:val="sk-SK"/>
        </w:rPr>
        <w:t>kortikoidov</w:t>
      </w:r>
      <w:proofErr w:type="spellEnd"/>
      <w:r w:rsidRPr="00E34F72">
        <w:rPr>
          <w:lang w:val="sk-SK"/>
        </w:rPr>
        <w:t>.</w:t>
      </w:r>
    </w:p>
    <w:p w14:paraId="55455FE6" w14:textId="77777777" w:rsidR="008039A5" w:rsidRPr="00E34F72" w:rsidRDefault="008039A5" w:rsidP="00CA12CF">
      <w:pPr>
        <w:pStyle w:val="Normlndobloku"/>
        <w:rPr>
          <w:lang w:val="sk-SK"/>
        </w:rPr>
      </w:pPr>
      <w:proofErr w:type="spellStart"/>
      <w:r w:rsidRPr="00E34F72">
        <w:rPr>
          <w:lang w:val="sk-SK"/>
        </w:rPr>
        <w:t>Kontraceptíva</w:t>
      </w:r>
      <w:proofErr w:type="spellEnd"/>
      <w:r w:rsidRPr="00E34F72">
        <w:rPr>
          <w:lang w:val="sk-SK"/>
        </w:rPr>
        <w:t xml:space="preserve"> obsahujúce estrogény: </w:t>
      </w:r>
      <w:r w:rsidR="00C033B4" w:rsidRPr="00E34F72">
        <w:rPr>
          <w:lang w:val="sk-SK"/>
        </w:rPr>
        <w:t>zosilňujú</w:t>
      </w:r>
      <w:r w:rsidRPr="00E34F72">
        <w:rPr>
          <w:lang w:val="sk-SK"/>
        </w:rPr>
        <w:t xml:space="preserve"> účinok </w:t>
      </w:r>
      <w:proofErr w:type="spellStart"/>
      <w:r w:rsidRPr="00E34F72">
        <w:rPr>
          <w:lang w:val="sk-SK"/>
        </w:rPr>
        <w:t>kortikoidov</w:t>
      </w:r>
      <w:proofErr w:type="spellEnd"/>
      <w:r w:rsidRPr="00E34F72">
        <w:rPr>
          <w:lang w:val="sk-SK"/>
        </w:rPr>
        <w:t>.</w:t>
      </w:r>
    </w:p>
    <w:p w14:paraId="617CEDF1" w14:textId="77777777" w:rsidR="008039A5" w:rsidRPr="00E34F72" w:rsidRDefault="008039A5" w:rsidP="00CA12CF">
      <w:pPr>
        <w:pStyle w:val="Normlndobloku"/>
        <w:rPr>
          <w:lang w:val="sk-SK"/>
        </w:rPr>
      </w:pPr>
      <w:proofErr w:type="spellStart"/>
      <w:r w:rsidRPr="00E34F72">
        <w:rPr>
          <w:lang w:val="sk-SK"/>
        </w:rPr>
        <w:t>Praziquantel</w:t>
      </w:r>
      <w:proofErr w:type="spellEnd"/>
      <w:r w:rsidRPr="00E34F72">
        <w:rPr>
          <w:lang w:val="sk-SK"/>
        </w:rPr>
        <w:t xml:space="preserve">: je možná znížená koncentrácia </w:t>
      </w:r>
      <w:proofErr w:type="spellStart"/>
      <w:r w:rsidRPr="00E34F72">
        <w:rPr>
          <w:lang w:val="sk-SK"/>
        </w:rPr>
        <w:t>praziquantelu</w:t>
      </w:r>
      <w:proofErr w:type="spellEnd"/>
      <w:r w:rsidRPr="00E34F72">
        <w:rPr>
          <w:lang w:val="sk-SK"/>
        </w:rPr>
        <w:t xml:space="preserve"> v krvi.</w:t>
      </w:r>
    </w:p>
    <w:p w14:paraId="10C12C44" w14:textId="5638F3F9" w:rsidR="008039A5" w:rsidRPr="00A97442" w:rsidRDefault="00323419" w:rsidP="00A81CB3">
      <w:pPr>
        <w:pStyle w:val="Styl2"/>
        <w:rPr>
          <w:lang w:val="sk-SK"/>
        </w:rPr>
      </w:pPr>
      <w:proofErr w:type="spellStart"/>
      <w:r w:rsidRPr="00A97442">
        <w:rPr>
          <w:lang w:val="sk-SK"/>
        </w:rPr>
        <w:t>Fertilita</w:t>
      </w:r>
      <w:proofErr w:type="spellEnd"/>
      <w:r w:rsidR="007954D5" w:rsidRPr="00A97442">
        <w:rPr>
          <w:lang w:val="sk-SK"/>
        </w:rPr>
        <w:t xml:space="preserve">, </w:t>
      </w:r>
      <w:r w:rsidRPr="00A97442">
        <w:rPr>
          <w:lang w:val="sk-SK"/>
        </w:rPr>
        <w:t>g</w:t>
      </w:r>
      <w:r w:rsidR="008039A5" w:rsidRPr="00A97442">
        <w:rPr>
          <w:lang w:val="sk-SK"/>
        </w:rPr>
        <w:t>ravidit</w:t>
      </w:r>
      <w:r w:rsidR="00BC64AE" w:rsidRPr="00A97442">
        <w:rPr>
          <w:lang w:val="sk-SK"/>
        </w:rPr>
        <w:t>a</w:t>
      </w:r>
      <w:r w:rsidR="008039A5" w:rsidRPr="00A97442">
        <w:rPr>
          <w:lang w:val="sk-SK"/>
        </w:rPr>
        <w:t xml:space="preserve"> a laktáci</w:t>
      </w:r>
      <w:r w:rsidR="00BC64AE" w:rsidRPr="00A97442">
        <w:rPr>
          <w:lang w:val="sk-SK"/>
        </w:rPr>
        <w:t>a</w:t>
      </w:r>
    </w:p>
    <w:p w14:paraId="5DCBEDE4" w14:textId="77777777" w:rsidR="008039A5" w:rsidRPr="00E34F72" w:rsidRDefault="008039A5" w:rsidP="00CA12CF">
      <w:pPr>
        <w:pStyle w:val="Normlndobloku"/>
        <w:rPr>
          <w:lang w:val="sk-SK"/>
        </w:rPr>
      </w:pPr>
      <w:r w:rsidRPr="00E34F72">
        <w:rPr>
          <w:lang w:val="sk-SK"/>
        </w:rPr>
        <w:t xml:space="preserve">U zvierat je zjavný škodlivý účinok počas tehotenstva, </w:t>
      </w:r>
      <w:proofErr w:type="spellStart"/>
      <w:r w:rsidRPr="00E34F72">
        <w:rPr>
          <w:lang w:val="sk-SK"/>
        </w:rPr>
        <w:t>intrauterinné</w:t>
      </w:r>
      <w:proofErr w:type="spellEnd"/>
      <w:r w:rsidRPr="00E34F72">
        <w:rPr>
          <w:lang w:val="sk-SK"/>
        </w:rPr>
        <w:t xml:space="preserve"> spomalenie rastu, malý nárast vzniku rázštepu podnebia. U novorodencov sa môže objaviť </w:t>
      </w:r>
      <w:proofErr w:type="spellStart"/>
      <w:r w:rsidRPr="00E34F72">
        <w:rPr>
          <w:lang w:val="sk-SK"/>
        </w:rPr>
        <w:t>hypoadrenalizmus</w:t>
      </w:r>
      <w:proofErr w:type="spellEnd"/>
      <w:r w:rsidRPr="00E34F72">
        <w:rPr>
          <w:lang w:val="sk-SK"/>
        </w:rPr>
        <w:t>.</w:t>
      </w:r>
    </w:p>
    <w:p w14:paraId="73721EB7" w14:textId="77777777" w:rsidR="008039A5" w:rsidRPr="00E34F72" w:rsidRDefault="008039A5" w:rsidP="00CA12CF">
      <w:pPr>
        <w:pStyle w:val="Normlndobloku"/>
        <w:rPr>
          <w:lang w:val="sk-SK"/>
        </w:rPr>
      </w:pPr>
      <w:r w:rsidRPr="00E34F72">
        <w:rPr>
          <w:lang w:val="sk-SK"/>
        </w:rPr>
        <w:t>Ak je potrebné tento liek podávať tehotným ženám s normálnym priebehom gravidity, treba ich pravidelne sledovať. Prísne sledovanie je nevyhnutné u pacient</w:t>
      </w:r>
      <w:r w:rsidR="00F71F38" w:rsidRPr="00E34F72">
        <w:rPr>
          <w:lang w:val="sk-SK"/>
        </w:rPr>
        <w:t>o</w:t>
      </w:r>
      <w:r w:rsidRPr="00E34F72">
        <w:rPr>
          <w:lang w:val="sk-SK"/>
        </w:rPr>
        <w:t>k s </w:t>
      </w:r>
      <w:proofErr w:type="spellStart"/>
      <w:r w:rsidRPr="00E34F72">
        <w:rPr>
          <w:lang w:val="sk-SK"/>
        </w:rPr>
        <w:t>preeklampsiou</w:t>
      </w:r>
      <w:proofErr w:type="spellEnd"/>
      <w:r w:rsidRPr="00E34F72">
        <w:rPr>
          <w:lang w:val="sk-SK"/>
        </w:rPr>
        <w:t xml:space="preserve"> alebo </w:t>
      </w:r>
      <w:proofErr w:type="spellStart"/>
      <w:r w:rsidRPr="00E34F72">
        <w:rPr>
          <w:lang w:val="sk-SK"/>
        </w:rPr>
        <w:t>retenciou</w:t>
      </w:r>
      <w:proofErr w:type="spellEnd"/>
      <w:r w:rsidRPr="00E34F72">
        <w:rPr>
          <w:lang w:val="sk-SK"/>
        </w:rPr>
        <w:t xml:space="preserve"> tekutín.</w:t>
      </w:r>
    </w:p>
    <w:p w14:paraId="7C1138FB" w14:textId="77777777" w:rsidR="008039A5" w:rsidRPr="00E34F72" w:rsidRDefault="008039A5" w:rsidP="00CA12CF">
      <w:pPr>
        <w:pStyle w:val="Normlndobloku"/>
        <w:rPr>
          <w:lang w:val="sk-SK"/>
        </w:rPr>
      </w:pPr>
      <w:r w:rsidRPr="00E34F72">
        <w:rPr>
          <w:lang w:val="sk-SK"/>
        </w:rPr>
        <w:t xml:space="preserve">Malé množstvo </w:t>
      </w:r>
      <w:proofErr w:type="spellStart"/>
      <w:r w:rsidRPr="00E34F72">
        <w:rPr>
          <w:lang w:val="sk-SK"/>
        </w:rPr>
        <w:t>kortikosteroidov</w:t>
      </w:r>
      <w:proofErr w:type="spellEnd"/>
      <w:r w:rsidRPr="00E34F72">
        <w:rPr>
          <w:lang w:val="sk-SK"/>
        </w:rPr>
        <w:t xml:space="preserve"> sa vylučuje do materského mlieka. Deti matiek liečených farmakologickými dávkami je nutné starostlivo sledovať pre možnú prítomnosť symptómov </w:t>
      </w:r>
      <w:proofErr w:type="spellStart"/>
      <w:r w:rsidRPr="00E34F72">
        <w:rPr>
          <w:lang w:val="sk-SK"/>
        </w:rPr>
        <w:t>adrenálnej</w:t>
      </w:r>
      <w:proofErr w:type="spellEnd"/>
      <w:r w:rsidRPr="00E34F72">
        <w:rPr>
          <w:lang w:val="sk-SK"/>
        </w:rPr>
        <w:t xml:space="preserve"> </w:t>
      </w:r>
      <w:proofErr w:type="spellStart"/>
      <w:r w:rsidRPr="00E34F72">
        <w:rPr>
          <w:lang w:val="sk-SK"/>
        </w:rPr>
        <w:t>supresie</w:t>
      </w:r>
      <w:proofErr w:type="spellEnd"/>
      <w:r w:rsidRPr="00E34F72">
        <w:rPr>
          <w:lang w:val="sk-SK"/>
        </w:rPr>
        <w:t xml:space="preserve">. Matky, ktoré sú liečené vysokými dávkami </w:t>
      </w:r>
      <w:proofErr w:type="spellStart"/>
      <w:r w:rsidRPr="00E34F72">
        <w:rPr>
          <w:lang w:val="sk-SK"/>
        </w:rPr>
        <w:t>glukokortikoidov</w:t>
      </w:r>
      <w:proofErr w:type="spellEnd"/>
      <w:r w:rsidRPr="00E34F72">
        <w:rPr>
          <w:lang w:val="sk-SK"/>
        </w:rPr>
        <w:t xml:space="preserve">, </w:t>
      </w:r>
      <w:r w:rsidR="0034697C" w:rsidRPr="00E34F72">
        <w:rPr>
          <w:lang w:val="sk-SK"/>
        </w:rPr>
        <w:t xml:space="preserve">nemajú </w:t>
      </w:r>
      <w:r w:rsidRPr="00E34F72">
        <w:rPr>
          <w:lang w:val="sk-SK"/>
        </w:rPr>
        <w:t>dojčiť.</w:t>
      </w:r>
    </w:p>
    <w:p w14:paraId="3BC3E19B" w14:textId="77777777" w:rsidR="008039A5" w:rsidRPr="00A97442" w:rsidRDefault="008039A5" w:rsidP="00A81CB3">
      <w:pPr>
        <w:pStyle w:val="Styl2"/>
        <w:rPr>
          <w:lang w:val="sk-SK"/>
        </w:rPr>
      </w:pPr>
      <w:r w:rsidRPr="00A97442">
        <w:rPr>
          <w:lang w:val="sk-SK"/>
        </w:rPr>
        <w:t>Ovplyvnenie schopnosti viesť vozidlá a obsluhovať stroje</w:t>
      </w:r>
    </w:p>
    <w:p w14:paraId="64B2CADA" w14:textId="77777777" w:rsidR="008039A5" w:rsidRPr="00E34F72" w:rsidRDefault="008039A5" w:rsidP="00CA12CF">
      <w:pPr>
        <w:pStyle w:val="Normlndobloku"/>
        <w:rPr>
          <w:lang w:val="sk-SK"/>
        </w:rPr>
      </w:pPr>
      <w:r w:rsidRPr="00E34F72">
        <w:rPr>
          <w:lang w:val="sk-SK"/>
        </w:rPr>
        <w:t>Neboli popísané žiadne účinky.</w:t>
      </w:r>
    </w:p>
    <w:p w14:paraId="3A1CFB57" w14:textId="77777777" w:rsidR="008039A5" w:rsidRPr="00A97442" w:rsidRDefault="008039A5" w:rsidP="00A81CB3">
      <w:pPr>
        <w:pStyle w:val="Styl2"/>
        <w:rPr>
          <w:lang w:val="sk-SK"/>
        </w:rPr>
      </w:pPr>
      <w:r w:rsidRPr="00A97442">
        <w:rPr>
          <w:lang w:val="sk-SK"/>
        </w:rPr>
        <w:t>Nežiaduce účinky</w:t>
      </w:r>
    </w:p>
    <w:p w14:paraId="04E312E6" w14:textId="77777777" w:rsidR="008039A5" w:rsidRPr="00E34F72" w:rsidRDefault="008039A5" w:rsidP="00CA12CF">
      <w:pPr>
        <w:pStyle w:val="Normlndobloku"/>
        <w:rPr>
          <w:lang w:val="sk-SK"/>
        </w:rPr>
      </w:pPr>
      <w:r w:rsidRPr="00E34F72">
        <w:rPr>
          <w:lang w:val="sk-SK"/>
        </w:rPr>
        <w:t xml:space="preserve">Frekvencia predpokladaných nežiaducich účinkov, vrátane </w:t>
      </w:r>
      <w:proofErr w:type="spellStart"/>
      <w:r w:rsidRPr="00E34F72">
        <w:rPr>
          <w:lang w:val="sk-SK"/>
        </w:rPr>
        <w:t>supresie</w:t>
      </w:r>
      <w:proofErr w:type="spellEnd"/>
      <w:r w:rsidRPr="00E34F72">
        <w:rPr>
          <w:lang w:val="sk-SK"/>
        </w:rPr>
        <w:t xml:space="preserve"> </w:t>
      </w:r>
      <w:proofErr w:type="spellStart"/>
      <w:r w:rsidRPr="00E34F72">
        <w:rPr>
          <w:lang w:val="sk-SK"/>
        </w:rPr>
        <w:t>hypotalamo-hypofýzovo-nadobličkovej</w:t>
      </w:r>
      <w:proofErr w:type="spellEnd"/>
      <w:r w:rsidRPr="00E34F72">
        <w:rPr>
          <w:lang w:val="sk-SK"/>
        </w:rPr>
        <w:t xml:space="preserve"> osi, závisí od dávky, účinnosti lieku, načasovania dávky a trvania liečby (pozri časť </w:t>
      </w:r>
      <w:r w:rsidR="002836B8" w:rsidRPr="00E34F72">
        <w:rPr>
          <w:lang w:val="sk-SK"/>
        </w:rPr>
        <w:fldChar w:fldCharType="begin"/>
      </w:r>
      <w:r w:rsidR="002836B8" w:rsidRPr="00E34F72">
        <w:rPr>
          <w:lang w:val="sk-SK"/>
        </w:rPr>
        <w:instrText xml:space="preserve"> REF _Ref157236567 \r \h </w:instrText>
      </w:r>
      <w:r w:rsidR="00963316" w:rsidRPr="00E34F72">
        <w:rPr>
          <w:lang w:val="sk-SK"/>
        </w:rPr>
        <w:instrText xml:space="preserve"> \* MERGEFORMAT </w:instrText>
      </w:r>
      <w:r w:rsidR="002836B8" w:rsidRPr="00E34F72">
        <w:rPr>
          <w:lang w:val="sk-SK"/>
        </w:rPr>
      </w:r>
      <w:r w:rsidR="002836B8" w:rsidRPr="00E34F72">
        <w:rPr>
          <w:lang w:val="sk-SK"/>
        </w:rPr>
        <w:fldChar w:fldCharType="separate"/>
      </w:r>
      <w:r w:rsidR="0041475B" w:rsidRPr="00E34F72">
        <w:rPr>
          <w:lang w:val="sk-SK"/>
        </w:rPr>
        <w:t>4.4</w:t>
      </w:r>
      <w:r w:rsidR="002836B8" w:rsidRPr="00E34F72">
        <w:rPr>
          <w:lang w:val="sk-SK"/>
        </w:rPr>
        <w:fldChar w:fldCharType="end"/>
      </w:r>
      <w:r w:rsidR="002836B8" w:rsidRPr="00E34F72">
        <w:rPr>
          <w:lang w:val="sk-SK"/>
        </w:rPr>
        <w:t xml:space="preserve"> </w:t>
      </w:r>
      <w:r w:rsidR="002836B8" w:rsidRPr="00E34F72">
        <w:rPr>
          <w:lang w:val="sk-SK"/>
        </w:rPr>
        <w:fldChar w:fldCharType="begin"/>
      </w:r>
      <w:r w:rsidR="002836B8" w:rsidRPr="00E34F72">
        <w:rPr>
          <w:lang w:val="sk-SK"/>
        </w:rPr>
        <w:instrText xml:space="preserve"> REF _Ref157236567 \h </w:instrText>
      </w:r>
      <w:r w:rsidR="00963316" w:rsidRPr="00E34F72">
        <w:rPr>
          <w:lang w:val="sk-SK"/>
        </w:rPr>
        <w:instrText xml:space="preserve"> \* MERGEFORMAT </w:instrText>
      </w:r>
      <w:r w:rsidR="002836B8" w:rsidRPr="00E34F72">
        <w:rPr>
          <w:lang w:val="sk-SK"/>
        </w:rPr>
      </w:r>
      <w:r w:rsidR="002836B8" w:rsidRPr="00E34F72">
        <w:rPr>
          <w:lang w:val="sk-SK"/>
        </w:rPr>
        <w:fldChar w:fldCharType="separate"/>
      </w:r>
      <w:r w:rsidR="0041475B" w:rsidRPr="00E34F72">
        <w:rPr>
          <w:lang w:val="sk-SK"/>
        </w:rPr>
        <w:t>Osobitné upozornenia a opatrenia pri používaní</w:t>
      </w:r>
      <w:r w:rsidR="002836B8" w:rsidRPr="00E34F72">
        <w:rPr>
          <w:lang w:val="sk-SK"/>
        </w:rPr>
        <w:fldChar w:fldCharType="end"/>
      </w:r>
      <w:r w:rsidRPr="00E34F72">
        <w:rPr>
          <w:lang w:val="sk-SK"/>
        </w:rPr>
        <w:t>).</w:t>
      </w:r>
    </w:p>
    <w:p w14:paraId="1658B050" w14:textId="77777777" w:rsidR="008039A5" w:rsidRPr="00E34F72" w:rsidRDefault="008039A5" w:rsidP="00CA12CF">
      <w:pPr>
        <w:pStyle w:val="Normlndobloku"/>
        <w:rPr>
          <w:lang w:val="sk-SK"/>
        </w:rPr>
      </w:pPr>
      <w:r w:rsidRPr="00E34F72">
        <w:rPr>
          <w:lang w:val="sk-SK"/>
        </w:rPr>
        <w:t xml:space="preserve">V súvislosti s podávaním injekcie sa vyskytujú lokálne nežiaduce účinky, ktoré zahŕňajú </w:t>
      </w:r>
      <w:proofErr w:type="spellStart"/>
      <w:r w:rsidRPr="00E34F72">
        <w:rPr>
          <w:lang w:val="sk-SK"/>
        </w:rPr>
        <w:t>postinjekčné</w:t>
      </w:r>
      <w:proofErr w:type="spellEnd"/>
      <w:r w:rsidRPr="00E34F72">
        <w:rPr>
          <w:lang w:val="sk-SK"/>
        </w:rPr>
        <w:t xml:space="preserve"> začervenanie, bezbolestnú deštrukciu kĺbu (podobnú </w:t>
      </w:r>
      <w:proofErr w:type="spellStart"/>
      <w:r w:rsidRPr="00E34F72">
        <w:rPr>
          <w:lang w:val="sk-SK"/>
        </w:rPr>
        <w:t>Charkotovej</w:t>
      </w:r>
      <w:proofErr w:type="spellEnd"/>
      <w:r w:rsidRPr="00E34F72">
        <w:rPr>
          <w:lang w:val="sk-SK"/>
        </w:rPr>
        <w:t xml:space="preserve"> </w:t>
      </w:r>
      <w:proofErr w:type="spellStart"/>
      <w:r w:rsidRPr="00E34F72">
        <w:rPr>
          <w:lang w:val="sk-SK"/>
        </w:rPr>
        <w:t>artropatii</w:t>
      </w:r>
      <w:proofErr w:type="spellEnd"/>
      <w:r w:rsidRPr="00E34F72">
        <w:rPr>
          <w:lang w:val="sk-SK"/>
        </w:rPr>
        <w:t xml:space="preserve">), hlavne pri opakovaných </w:t>
      </w:r>
      <w:proofErr w:type="spellStart"/>
      <w:r w:rsidRPr="00E34F72">
        <w:rPr>
          <w:lang w:val="sk-SK"/>
        </w:rPr>
        <w:t>intraartikulárnych</w:t>
      </w:r>
      <w:proofErr w:type="spellEnd"/>
      <w:r w:rsidRPr="00E34F72">
        <w:rPr>
          <w:lang w:val="sk-SK"/>
        </w:rPr>
        <w:t xml:space="preserve"> podaniach. Lokálne podané injekcie môžu mať systémový efekt.</w:t>
      </w:r>
    </w:p>
    <w:p w14:paraId="6370ADB9" w14:textId="77777777" w:rsidR="004339CE" w:rsidRPr="00E34F72" w:rsidRDefault="00F273D9" w:rsidP="00E93873">
      <w:pPr>
        <w:pStyle w:val="Normlndobloku"/>
        <w:outlineLvl w:val="0"/>
        <w:rPr>
          <w:u w:val="single"/>
          <w:lang w:val="sk-SK"/>
        </w:rPr>
      </w:pPr>
      <w:r w:rsidRPr="00E34F72">
        <w:rPr>
          <w:u w:val="single"/>
          <w:lang w:val="sk-SK"/>
        </w:rPr>
        <w:t>Poruchy metabolizmu a výživy</w:t>
      </w:r>
    </w:p>
    <w:p w14:paraId="74C5890A" w14:textId="77777777" w:rsidR="00C03410" w:rsidRPr="00E34F72" w:rsidRDefault="008039A5" w:rsidP="00C03410">
      <w:pPr>
        <w:pStyle w:val="Normlndobloku"/>
        <w:rPr>
          <w:lang w:val="sk-SK"/>
        </w:rPr>
      </w:pPr>
      <w:proofErr w:type="spellStart"/>
      <w:r w:rsidRPr="00E34F72">
        <w:rPr>
          <w:lang w:val="sk-SK"/>
        </w:rPr>
        <w:t>hirzutizmus</w:t>
      </w:r>
      <w:proofErr w:type="spellEnd"/>
      <w:r w:rsidRPr="00E34F72">
        <w:rPr>
          <w:lang w:val="sk-SK"/>
        </w:rPr>
        <w:t xml:space="preserve">, impotencia, </w:t>
      </w:r>
      <w:proofErr w:type="spellStart"/>
      <w:r w:rsidRPr="00E34F72">
        <w:rPr>
          <w:lang w:val="sk-SK"/>
        </w:rPr>
        <w:t>supresia</w:t>
      </w:r>
      <w:proofErr w:type="spellEnd"/>
      <w:r w:rsidRPr="00E34F72">
        <w:rPr>
          <w:lang w:val="sk-SK"/>
        </w:rPr>
        <w:t xml:space="preserve"> </w:t>
      </w:r>
      <w:proofErr w:type="spellStart"/>
      <w:r w:rsidRPr="00E34F72">
        <w:rPr>
          <w:lang w:val="sk-SK"/>
        </w:rPr>
        <w:t>hypotalamo-hypofýzovo-nadobličkovej</w:t>
      </w:r>
      <w:proofErr w:type="spellEnd"/>
      <w:r w:rsidRPr="00E34F72">
        <w:rPr>
          <w:lang w:val="sk-SK"/>
        </w:rPr>
        <w:t xml:space="preserve"> osi, </w:t>
      </w:r>
      <w:proofErr w:type="spellStart"/>
      <w:r w:rsidRPr="00E34F72">
        <w:rPr>
          <w:lang w:val="sk-SK"/>
        </w:rPr>
        <w:t>supresia</w:t>
      </w:r>
      <w:proofErr w:type="spellEnd"/>
      <w:r w:rsidRPr="00E34F72">
        <w:rPr>
          <w:lang w:val="sk-SK"/>
        </w:rPr>
        <w:t xml:space="preserve"> rastu (ranný detský vek, detstvo, adolescencia), nepravidelná menštruácia a </w:t>
      </w:r>
      <w:proofErr w:type="spellStart"/>
      <w:r w:rsidRPr="00E34F72">
        <w:rPr>
          <w:lang w:val="sk-SK"/>
        </w:rPr>
        <w:t>amenorea</w:t>
      </w:r>
      <w:proofErr w:type="spellEnd"/>
      <w:r w:rsidRPr="00E34F72">
        <w:rPr>
          <w:lang w:val="sk-SK"/>
        </w:rPr>
        <w:t xml:space="preserve">, </w:t>
      </w:r>
      <w:proofErr w:type="spellStart"/>
      <w:r w:rsidRPr="00E34F72">
        <w:rPr>
          <w:lang w:val="sk-SK"/>
        </w:rPr>
        <w:t>Cushingoidná</w:t>
      </w:r>
      <w:proofErr w:type="spellEnd"/>
      <w:r w:rsidRPr="00E34F72">
        <w:rPr>
          <w:lang w:val="sk-SK"/>
        </w:rPr>
        <w:t xml:space="preserve"> tvár, predčasné uzatváranie </w:t>
      </w:r>
      <w:proofErr w:type="spellStart"/>
      <w:r w:rsidRPr="00E34F72">
        <w:rPr>
          <w:lang w:val="sk-SK"/>
        </w:rPr>
        <w:t>epifýzových</w:t>
      </w:r>
      <w:proofErr w:type="spellEnd"/>
      <w:r w:rsidRPr="00E34F72">
        <w:rPr>
          <w:lang w:val="sk-SK"/>
        </w:rPr>
        <w:t xml:space="preserve"> štrbín, zvýšenie hmotnosti, porucha glukózovej tolerancie a zvýšené požiadavky na </w:t>
      </w:r>
      <w:proofErr w:type="spellStart"/>
      <w:r w:rsidRPr="00E34F72">
        <w:rPr>
          <w:lang w:val="sk-SK"/>
        </w:rPr>
        <w:t>antidiabetickú</w:t>
      </w:r>
      <w:proofErr w:type="spellEnd"/>
      <w:r w:rsidRPr="00E34F72">
        <w:rPr>
          <w:lang w:val="sk-SK"/>
        </w:rPr>
        <w:t xml:space="preserve"> terapiu, zvýšená chuť do jedla, negatívna kalciová a dusíková rovnováha</w:t>
      </w:r>
      <w:r w:rsidR="00C03410" w:rsidRPr="00E34F72">
        <w:rPr>
          <w:lang w:val="sk-SK"/>
        </w:rPr>
        <w:t xml:space="preserve">, </w:t>
      </w:r>
      <w:proofErr w:type="spellStart"/>
      <w:r w:rsidR="00C03410" w:rsidRPr="00E34F72">
        <w:rPr>
          <w:lang w:val="sk-SK"/>
        </w:rPr>
        <w:t>retencia</w:t>
      </w:r>
      <w:proofErr w:type="spellEnd"/>
      <w:r w:rsidR="00C03410" w:rsidRPr="00E34F72">
        <w:rPr>
          <w:lang w:val="sk-SK"/>
        </w:rPr>
        <w:t xml:space="preserve"> sodíka, </w:t>
      </w:r>
      <w:proofErr w:type="spellStart"/>
      <w:r w:rsidR="00C03410" w:rsidRPr="00E34F72">
        <w:rPr>
          <w:lang w:val="sk-SK"/>
        </w:rPr>
        <w:t>retencia</w:t>
      </w:r>
      <w:proofErr w:type="spellEnd"/>
      <w:r w:rsidR="00C03410" w:rsidRPr="00E34F72">
        <w:rPr>
          <w:lang w:val="sk-SK"/>
        </w:rPr>
        <w:t xml:space="preserve"> vody, hypertenzia, </w:t>
      </w:r>
      <w:proofErr w:type="spellStart"/>
      <w:r w:rsidR="00C03410" w:rsidRPr="00E34F72">
        <w:rPr>
          <w:lang w:val="sk-SK"/>
        </w:rPr>
        <w:t>hypokaliemická</w:t>
      </w:r>
      <w:proofErr w:type="spellEnd"/>
      <w:r w:rsidR="00C03410" w:rsidRPr="00E34F72">
        <w:rPr>
          <w:lang w:val="sk-SK"/>
        </w:rPr>
        <w:t xml:space="preserve"> </w:t>
      </w:r>
      <w:proofErr w:type="spellStart"/>
      <w:r w:rsidR="00C03410" w:rsidRPr="00E34F72">
        <w:rPr>
          <w:lang w:val="sk-SK"/>
        </w:rPr>
        <w:t>alkalóza</w:t>
      </w:r>
      <w:proofErr w:type="spellEnd"/>
      <w:r w:rsidR="00C03410" w:rsidRPr="00E34F72">
        <w:rPr>
          <w:lang w:val="sk-SK"/>
        </w:rPr>
        <w:t xml:space="preserve"> a straty draslíka.</w:t>
      </w:r>
    </w:p>
    <w:p w14:paraId="592747FB" w14:textId="77777777" w:rsidR="004339CE" w:rsidRPr="00E34F72" w:rsidRDefault="00F273D9" w:rsidP="00E93873">
      <w:pPr>
        <w:pStyle w:val="Normlndobloku"/>
        <w:outlineLvl w:val="0"/>
        <w:rPr>
          <w:lang w:val="sk-SK"/>
        </w:rPr>
      </w:pPr>
      <w:r w:rsidRPr="00E34F72">
        <w:rPr>
          <w:u w:val="single"/>
          <w:lang w:val="sk-SK"/>
        </w:rPr>
        <w:t>Infekcie a nákazy</w:t>
      </w:r>
    </w:p>
    <w:p w14:paraId="5301520E" w14:textId="77777777" w:rsidR="008039A5" w:rsidRPr="00E34F72" w:rsidRDefault="008039A5" w:rsidP="00CA12CF">
      <w:pPr>
        <w:pStyle w:val="Normlndobloku"/>
        <w:rPr>
          <w:lang w:val="sk-SK"/>
        </w:rPr>
      </w:pPr>
      <w:r w:rsidRPr="00E34F72">
        <w:rPr>
          <w:lang w:val="sk-SK"/>
        </w:rPr>
        <w:t xml:space="preserve">zvýšená náchylnosť a závažnosť infekcií s potlačením klinických príznakov, znovuobjavenie latentnej tuberkulózy a oportúnnych infekcií. Zníženie odpovede na vakcináciu a kožné testy (pozri časť </w:t>
      </w:r>
      <w:r w:rsidR="002836B8" w:rsidRPr="00E34F72">
        <w:rPr>
          <w:lang w:val="sk-SK"/>
        </w:rPr>
        <w:fldChar w:fldCharType="begin"/>
      </w:r>
      <w:r w:rsidR="002836B8" w:rsidRPr="00E34F72">
        <w:rPr>
          <w:lang w:val="sk-SK"/>
        </w:rPr>
        <w:instrText xml:space="preserve"> REF _Ref157236567 \r \h </w:instrText>
      </w:r>
      <w:r w:rsidR="00963316" w:rsidRPr="00E34F72">
        <w:rPr>
          <w:lang w:val="sk-SK"/>
        </w:rPr>
        <w:instrText xml:space="preserve"> \* MERGEFORMAT </w:instrText>
      </w:r>
      <w:r w:rsidR="002836B8" w:rsidRPr="00E34F72">
        <w:rPr>
          <w:lang w:val="sk-SK"/>
        </w:rPr>
      </w:r>
      <w:r w:rsidR="002836B8" w:rsidRPr="00E34F72">
        <w:rPr>
          <w:lang w:val="sk-SK"/>
        </w:rPr>
        <w:fldChar w:fldCharType="separate"/>
      </w:r>
      <w:r w:rsidR="0041475B" w:rsidRPr="00E34F72">
        <w:rPr>
          <w:lang w:val="sk-SK"/>
        </w:rPr>
        <w:t>4.4</w:t>
      </w:r>
      <w:r w:rsidR="002836B8" w:rsidRPr="00E34F72">
        <w:rPr>
          <w:lang w:val="sk-SK"/>
        </w:rPr>
        <w:fldChar w:fldCharType="end"/>
      </w:r>
      <w:r w:rsidR="002836B8" w:rsidRPr="00E34F72">
        <w:rPr>
          <w:lang w:val="sk-SK"/>
        </w:rPr>
        <w:t xml:space="preserve"> </w:t>
      </w:r>
      <w:r w:rsidR="002836B8" w:rsidRPr="00E34F72">
        <w:rPr>
          <w:lang w:val="sk-SK"/>
        </w:rPr>
        <w:fldChar w:fldCharType="begin"/>
      </w:r>
      <w:r w:rsidR="002836B8" w:rsidRPr="00E34F72">
        <w:rPr>
          <w:lang w:val="sk-SK"/>
        </w:rPr>
        <w:instrText xml:space="preserve"> REF _Ref157236567 \h </w:instrText>
      </w:r>
      <w:r w:rsidR="00963316" w:rsidRPr="00E34F72">
        <w:rPr>
          <w:lang w:val="sk-SK"/>
        </w:rPr>
        <w:instrText xml:space="preserve"> \* MERGEFORMAT </w:instrText>
      </w:r>
      <w:r w:rsidR="002836B8" w:rsidRPr="00E34F72">
        <w:rPr>
          <w:lang w:val="sk-SK"/>
        </w:rPr>
      </w:r>
      <w:r w:rsidR="002836B8" w:rsidRPr="00E34F72">
        <w:rPr>
          <w:lang w:val="sk-SK"/>
        </w:rPr>
        <w:fldChar w:fldCharType="separate"/>
      </w:r>
      <w:r w:rsidR="0041475B" w:rsidRPr="00E34F72">
        <w:rPr>
          <w:lang w:val="sk-SK"/>
        </w:rPr>
        <w:t>Osobitné upozornenia a opatrenia pri používaní</w:t>
      </w:r>
      <w:r w:rsidR="002836B8" w:rsidRPr="00E34F72">
        <w:rPr>
          <w:lang w:val="sk-SK"/>
        </w:rPr>
        <w:fldChar w:fldCharType="end"/>
      </w:r>
      <w:r w:rsidRPr="00E34F72">
        <w:rPr>
          <w:lang w:val="sk-SK"/>
        </w:rPr>
        <w:t>).</w:t>
      </w:r>
    </w:p>
    <w:p w14:paraId="74B5D62C" w14:textId="77777777" w:rsidR="004339CE" w:rsidRPr="00E34F72" w:rsidRDefault="00F273D9" w:rsidP="00E93873">
      <w:pPr>
        <w:pStyle w:val="Normlndobloku"/>
        <w:outlineLvl w:val="0"/>
        <w:rPr>
          <w:lang w:val="sk-SK"/>
        </w:rPr>
      </w:pPr>
      <w:r w:rsidRPr="00E34F72">
        <w:rPr>
          <w:u w:val="single"/>
          <w:lang w:val="sk-SK"/>
        </w:rPr>
        <w:lastRenderedPageBreak/>
        <w:t>Poruchy kostrovej a svalovej sústavy a spojivového tkaniva</w:t>
      </w:r>
    </w:p>
    <w:p w14:paraId="7EE6562F" w14:textId="77777777" w:rsidR="008039A5" w:rsidRPr="00E34F72" w:rsidRDefault="008039A5" w:rsidP="00CA12CF">
      <w:pPr>
        <w:pStyle w:val="Normlndobloku"/>
        <w:rPr>
          <w:lang w:val="sk-SK"/>
        </w:rPr>
      </w:pPr>
      <w:proofErr w:type="spellStart"/>
      <w:r w:rsidRPr="00E34F72">
        <w:rPr>
          <w:lang w:val="sk-SK"/>
        </w:rPr>
        <w:t>osteoporóza</w:t>
      </w:r>
      <w:proofErr w:type="spellEnd"/>
      <w:r w:rsidRPr="00E34F72">
        <w:rPr>
          <w:lang w:val="sk-SK"/>
        </w:rPr>
        <w:t xml:space="preserve">, fraktúry dlhých kostí a stavcov, </w:t>
      </w:r>
      <w:proofErr w:type="spellStart"/>
      <w:r w:rsidRPr="00E34F72">
        <w:rPr>
          <w:lang w:val="sk-SK"/>
        </w:rPr>
        <w:t>avaskulárna</w:t>
      </w:r>
      <w:proofErr w:type="spellEnd"/>
      <w:r w:rsidRPr="00E34F72">
        <w:rPr>
          <w:lang w:val="sk-SK"/>
        </w:rPr>
        <w:t xml:space="preserve"> </w:t>
      </w:r>
      <w:proofErr w:type="spellStart"/>
      <w:r w:rsidRPr="00E34F72">
        <w:rPr>
          <w:lang w:val="sk-SK"/>
        </w:rPr>
        <w:t>osteonekróza</w:t>
      </w:r>
      <w:proofErr w:type="spellEnd"/>
      <w:r w:rsidRPr="00E34F72">
        <w:rPr>
          <w:lang w:val="sk-SK"/>
        </w:rPr>
        <w:t>, ruptúra šliach a </w:t>
      </w:r>
      <w:proofErr w:type="spellStart"/>
      <w:r w:rsidRPr="00E34F72">
        <w:rPr>
          <w:lang w:val="sk-SK"/>
        </w:rPr>
        <w:t>proximálna</w:t>
      </w:r>
      <w:proofErr w:type="spellEnd"/>
      <w:r w:rsidRPr="00E34F72">
        <w:rPr>
          <w:lang w:val="sk-SK"/>
        </w:rPr>
        <w:t xml:space="preserve"> </w:t>
      </w:r>
      <w:proofErr w:type="spellStart"/>
      <w:r w:rsidRPr="00E34F72">
        <w:rPr>
          <w:lang w:val="sk-SK"/>
        </w:rPr>
        <w:t>myopatia</w:t>
      </w:r>
      <w:proofErr w:type="spellEnd"/>
      <w:r w:rsidRPr="00E34F72">
        <w:rPr>
          <w:lang w:val="sk-SK"/>
        </w:rPr>
        <w:t>.</w:t>
      </w:r>
    </w:p>
    <w:p w14:paraId="6585412F" w14:textId="77777777" w:rsidR="004339CE" w:rsidRPr="00E34F72" w:rsidRDefault="00C03410" w:rsidP="00CA12CF">
      <w:pPr>
        <w:pStyle w:val="Normlndobloku"/>
        <w:rPr>
          <w:lang w:val="sk-SK"/>
        </w:rPr>
      </w:pPr>
      <w:r w:rsidRPr="00E34F72">
        <w:rPr>
          <w:u w:val="single"/>
          <w:lang w:val="sk-SK"/>
        </w:rPr>
        <w:t>Poruchy nervového systému</w:t>
      </w:r>
    </w:p>
    <w:p w14:paraId="44228882" w14:textId="77777777" w:rsidR="008039A5" w:rsidRPr="00E34F72" w:rsidRDefault="00AB583A" w:rsidP="00CA12CF">
      <w:pPr>
        <w:pStyle w:val="Normlndobloku"/>
        <w:rPr>
          <w:lang w:val="sk-SK"/>
        </w:rPr>
      </w:pPr>
      <w:r w:rsidRPr="00E34F72">
        <w:rPr>
          <w:lang w:val="sk-SK"/>
        </w:rPr>
        <w:t>z</w:t>
      </w:r>
      <w:r w:rsidR="008039A5" w:rsidRPr="00E34F72">
        <w:rPr>
          <w:lang w:val="sk-SK"/>
        </w:rPr>
        <w:t xml:space="preserve">horšenie schizofrénie, depresia, </w:t>
      </w:r>
      <w:proofErr w:type="spellStart"/>
      <w:r w:rsidR="008039A5" w:rsidRPr="00E34F72">
        <w:rPr>
          <w:lang w:val="sk-SK"/>
        </w:rPr>
        <w:t>insomnia</w:t>
      </w:r>
      <w:proofErr w:type="spellEnd"/>
      <w:r w:rsidR="008039A5" w:rsidRPr="00E34F72">
        <w:rPr>
          <w:lang w:val="sk-SK"/>
        </w:rPr>
        <w:t xml:space="preserve"> a psychická závislosť. U detí, zvyčajne po ukončení liečby, zvýšený </w:t>
      </w:r>
      <w:proofErr w:type="spellStart"/>
      <w:r w:rsidR="008039A5" w:rsidRPr="00E34F72">
        <w:rPr>
          <w:lang w:val="sk-SK"/>
        </w:rPr>
        <w:t>intrakraniálny</w:t>
      </w:r>
      <w:proofErr w:type="spellEnd"/>
      <w:r w:rsidR="008039A5" w:rsidRPr="00E34F72">
        <w:rPr>
          <w:lang w:val="sk-SK"/>
        </w:rPr>
        <w:t xml:space="preserve"> tlak s edémom papily (</w:t>
      </w:r>
      <w:proofErr w:type="spellStart"/>
      <w:r w:rsidR="008039A5" w:rsidRPr="00E34F72">
        <w:rPr>
          <w:lang w:val="sk-SK"/>
        </w:rPr>
        <w:t>pseudotumor</w:t>
      </w:r>
      <w:proofErr w:type="spellEnd"/>
      <w:r w:rsidR="008039A5" w:rsidRPr="00E34F72">
        <w:rPr>
          <w:lang w:val="sk-SK"/>
        </w:rPr>
        <w:t xml:space="preserve"> </w:t>
      </w:r>
      <w:proofErr w:type="spellStart"/>
      <w:r w:rsidR="008039A5" w:rsidRPr="00E34F72">
        <w:rPr>
          <w:lang w:val="sk-SK"/>
        </w:rPr>
        <w:t>cerebri</w:t>
      </w:r>
      <w:proofErr w:type="spellEnd"/>
      <w:r w:rsidR="008039A5" w:rsidRPr="00E34F72">
        <w:rPr>
          <w:lang w:val="sk-SK"/>
        </w:rPr>
        <w:t>). Zhoršenie epilepsie. Psychické poruchy môžu kolísať od eufórie až po otvorenú psychotickú manifestáciu.</w:t>
      </w:r>
    </w:p>
    <w:p w14:paraId="7BDBB44C" w14:textId="77777777" w:rsidR="004005B3" w:rsidRPr="00E34F72" w:rsidRDefault="00C03410" w:rsidP="00A97442">
      <w:pPr>
        <w:pStyle w:val="Styl3"/>
      </w:pPr>
      <w:r w:rsidRPr="00E34F72">
        <w:t>Poruchy oka</w:t>
      </w:r>
    </w:p>
    <w:p w14:paraId="36A0B5FB" w14:textId="77777777" w:rsidR="00AC56B6" w:rsidRPr="00E34F72" w:rsidRDefault="008039A5" w:rsidP="00CA12CF">
      <w:pPr>
        <w:pStyle w:val="Normlndobloku"/>
        <w:rPr>
          <w:lang w:val="sk-SK"/>
        </w:rPr>
      </w:pPr>
      <w:r w:rsidRPr="00E34F72">
        <w:rPr>
          <w:lang w:val="sk-SK"/>
        </w:rPr>
        <w:t xml:space="preserve">zvýšenie </w:t>
      </w:r>
      <w:proofErr w:type="spellStart"/>
      <w:r w:rsidRPr="00E34F72">
        <w:rPr>
          <w:lang w:val="sk-SK"/>
        </w:rPr>
        <w:t>vnútroočného</w:t>
      </w:r>
      <w:proofErr w:type="spellEnd"/>
      <w:r w:rsidRPr="00E34F72">
        <w:rPr>
          <w:lang w:val="sk-SK"/>
        </w:rPr>
        <w:t xml:space="preserve"> tlaku, </w:t>
      </w:r>
      <w:proofErr w:type="spellStart"/>
      <w:r w:rsidRPr="00E34F72">
        <w:rPr>
          <w:lang w:val="sk-SK"/>
        </w:rPr>
        <w:t>glaukóm</w:t>
      </w:r>
      <w:proofErr w:type="spellEnd"/>
      <w:r w:rsidRPr="00E34F72">
        <w:rPr>
          <w:lang w:val="sk-SK"/>
        </w:rPr>
        <w:t xml:space="preserve">, edém papily, stenčenie </w:t>
      </w:r>
      <w:proofErr w:type="spellStart"/>
      <w:r w:rsidRPr="00E34F72">
        <w:rPr>
          <w:lang w:val="sk-SK"/>
        </w:rPr>
        <w:t>korney</w:t>
      </w:r>
      <w:proofErr w:type="spellEnd"/>
      <w:r w:rsidRPr="00E34F72">
        <w:rPr>
          <w:lang w:val="sk-SK"/>
        </w:rPr>
        <w:t xml:space="preserve"> a </w:t>
      </w:r>
      <w:proofErr w:type="spellStart"/>
      <w:r w:rsidRPr="00E34F72">
        <w:rPr>
          <w:lang w:val="sk-SK"/>
        </w:rPr>
        <w:t>skléry</w:t>
      </w:r>
      <w:proofErr w:type="spellEnd"/>
      <w:r w:rsidRPr="00E34F72">
        <w:rPr>
          <w:lang w:val="sk-SK"/>
        </w:rPr>
        <w:t xml:space="preserve">, zadná </w:t>
      </w:r>
      <w:proofErr w:type="spellStart"/>
      <w:r w:rsidRPr="00E34F72">
        <w:rPr>
          <w:lang w:val="sk-SK"/>
        </w:rPr>
        <w:t>subkapsulárna</w:t>
      </w:r>
      <w:proofErr w:type="spellEnd"/>
      <w:r w:rsidRPr="00E34F72">
        <w:rPr>
          <w:lang w:val="sk-SK"/>
        </w:rPr>
        <w:t xml:space="preserve"> katarakta, zhoršenie očných vírusových a hubových infekcií.</w:t>
      </w:r>
    </w:p>
    <w:p w14:paraId="4E722717" w14:textId="77777777" w:rsidR="00AC56B6" w:rsidRPr="00E34F72" w:rsidRDefault="001F7D45" w:rsidP="00CA12CF">
      <w:pPr>
        <w:pStyle w:val="Normlndobloku"/>
        <w:rPr>
          <w:lang w:val="sk-SK"/>
        </w:rPr>
      </w:pPr>
      <w:r w:rsidRPr="00E34F72">
        <w:rPr>
          <w:lang w:val="sk-SK"/>
        </w:rPr>
        <w:t>Rozmazané videnie</w:t>
      </w:r>
      <w:r w:rsidR="008D74E9" w:rsidRPr="00E34F72">
        <w:rPr>
          <w:lang w:val="sk-SK"/>
        </w:rPr>
        <w:t xml:space="preserve"> (</w:t>
      </w:r>
      <w:r w:rsidR="00AC56B6" w:rsidRPr="00E34F72">
        <w:rPr>
          <w:lang w:val="sk-SK"/>
        </w:rPr>
        <w:t xml:space="preserve">neznáma </w:t>
      </w:r>
      <w:r w:rsidR="008D74E9" w:rsidRPr="00E34F72">
        <w:rPr>
          <w:lang w:val="sk-SK"/>
        </w:rPr>
        <w:t>frekvencia</w:t>
      </w:r>
      <w:r w:rsidR="00AC56B6" w:rsidRPr="00E34F72">
        <w:rPr>
          <w:lang w:val="sk-SK"/>
        </w:rPr>
        <w:t>, pozri časť 4.4)</w:t>
      </w:r>
    </w:p>
    <w:p w14:paraId="0C526D15" w14:textId="026B65A0" w:rsidR="008039A5" w:rsidRPr="00E34F72" w:rsidRDefault="00AC56B6" w:rsidP="00CA12CF">
      <w:pPr>
        <w:pStyle w:val="Normlndobloku"/>
        <w:rPr>
          <w:lang w:val="sk-SK"/>
        </w:rPr>
      </w:pPr>
      <w:proofErr w:type="spellStart"/>
      <w:r w:rsidRPr="00E34F72">
        <w:rPr>
          <w:lang w:val="sk-SK"/>
        </w:rPr>
        <w:t>C</w:t>
      </w:r>
      <w:r w:rsidR="00D84C5B" w:rsidRPr="00E34F72">
        <w:rPr>
          <w:lang w:val="sk-SK"/>
        </w:rPr>
        <w:t>horioretinopatia</w:t>
      </w:r>
      <w:proofErr w:type="spellEnd"/>
      <w:r w:rsidR="00D84C5B" w:rsidRPr="00E34F72">
        <w:rPr>
          <w:lang w:val="sk-SK"/>
        </w:rPr>
        <w:t xml:space="preserve"> (neznáma frekvencia)</w:t>
      </w:r>
    </w:p>
    <w:p w14:paraId="512F7C4B" w14:textId="77777777" w:rsidR="004005B3" w:rsidRPr="00E34F72" w:rsidRDefault="00C03410" w:rsidP="00A97442">
      <w:pPr>
        <w:pStyle w:val="Styl3"/>
      </w:pPr>
      <w:r w:rsidRPr="00E34F72">
        <w:t xml:space="preserve">Poruchy </w:t>
      </w:r>
      <w:proofErr w:type="spellStart"/>
      <w:r w:rsidRPr="00E34F72">
        <w:t>gastrointestinálneho</w:t>
      </w:r>
      <w:proofErr w:type="spellEnd"/>
      <w:r w:rsidRPr="00E34F72">
        <w:t xml:space="preserve"> traktu</w:t>
      </w:r>
    </w:p>
    <w:p w14:paraId="25C035E5" w14:textId="77777777" w:rsidR="008039A5" w:rsidRPr="00E34F72" w:rsidRDefault="008039A5" w:rsidP="00CA12CF">
      <w:pPr>
        <w:pStyle w:val="Normlndobloku"/>
        <w:rPr>
          <w:lang w:val="sk-SK"/>
        </w:rPr>
      </w:pPr>
      <w:proofErr w:type="spellStart"/>
      <w:r w:rsidRPr="00E34F72">
        <w:rPr>
          <w:lang w:val="sk-SK"/>
        </w:rPr>
        <w:t>dyspepsia</w:t>
      </w:r>
      <w:proofErr w:type="spellEnd"/>
      <w:r w:rsidRPr="00E34F72">
        <w:rPr>
          <w:lang w:val="sk-SK"/>
        </w:rPr>
        <w:t xml:space="preserve">, </w:t>
      </w:r>
      <w:proofErr w:type="spellStart"/>
      <w:r w:rsidRPr="00E34F72">
        <w:rPr>
          <w:lang w:val="sk-SK"/>
        </w:rPr>
        <w:t>peptické</w:t>
      </w:r>
      <w:proofErr w:type="spellEnd"/>
      <w:r w:rsidRPr="00E34F72">
        <w:rPr>
          <w:lang w:val="sk-SK"/>
        </w:rPr>
        <w:t xml:space="preserve"> </w:t>
      </w:r>
      <w:proofErr w:type="spellStart"/>
      <w:r w:rsidRPr="00E34F72">
        <w:rPr>
          <w:lang w:val="sk-SK"/>
        </w:rPr>
        <w:t>ulcerácie</w:t>
      </w:r>
      <w:proofErr w:type="spellEnd"/>
      <w:r w:rsidRPr="00E34F72">
        <w:rPr>
          <w:lang w:val="sk-SK"/>
        </w:rPr>
        <w:t xml:space="preserve"> (s perforáciou a </w:t>
      </w:r>
      <w:proofErr w:type="spellStart"/>
      <w:r w:rsidRPr="00E34F72">
        <w:rPr>
          <w:lang w:val="sk-SK"/>
        </w:rPr>
        <w:t>hemorágiou</w:t>
      </w:r>
      <w:proofErr w:type="spellEnd"/>
      <w:r w:rsidRPr="00E34F72">
        <w:rPr>
          <w:lang w:val="sk-SK"/>
        </w:rPr>
        <w:t xml:space="preserve">), akútna </w:t>
      </w:r>
      <w:proofErr w:type="spellStart"/>
      <w:r w:rsidRPr="00E34F72">
        <w:rPr>
          <w:lang w:val="sk-SK"/>
        </w:rPr>
        <w:t>pankreatitída</w:t>
      </w:r>
      <w:proofErr w:type="spellEnd"/>
      <w:r w:rsidRPr="00E34F72">
        <w:rPr>
          <w:lang w:val="sk-SK"/>
        </w:rPr>
        <w:t xml:space="preserve">, </w:t>
      </w:r>
      <w:proofErr w:type="spellStart"/>
      <w:r w:rsidRPr="00E34F72">
        <w:rPr>
          <w:lang w:val="sk-SK"/>
        </w:rPr>
        <w:t>kandidóza</w:t>
      </w:r>
      <w:proofErr w:type="spellEnd"/>
      <w:r w:rsidRPr="00E34F72">
        <w:rPr>
          <w:lang w:val="sk-SK"/>
        </w:rPr>
        <w:t>, nafúknutie a </w:t>
      </w:r>
      <w:proofErr w:type="spellStart"/>
      <w:r w:rsidRPr="00E34F72">
        <w:rPr>
          <w:lang w:val="sk-SK"/>
        </w:rPr>
        <w:t>vomitus</w:t>
      </w:r>
      <w:proofErr w:type="spellEnd"/>
      <w:r w:rsidRPr="00E34F72">
        <w:rPr>
          <w:lang w:val="sk-SK"/>
        </w:rPr>
        <w:t>.</w:t>
      </w:r>
    </w:p>
    <w:p w14:paraId="59E05434" w14:textId="77777777" w:rsidR="008039A5" w:rsidRPr="00E34F72" w:rsidRDefault="00C03410" w:rsidP="00CA12CF">
      <w:pPr>
        <w:pStyle w:val="Normlndobloku"/>
        <w:rPr>
          <w:lang w:val="sk-SK"/>
        </w:rPr>
      </w:pPr>
      <w:r w:rsidRPr="00A97442">
        <w:rPr>
          <w:lang w:val="sk-SK"/>
        </w:rPr>
        <w:t xml:space="preserve">Poruchy kože a podkožného tkaniva </w:t>
      </w:r>
      <w:r w:rsidR="008039A5" w:rsidRPr="00E34F72">
        <w:rPr>
          <w:lang w:val="sk-SK"/>
        </w:rPr>
        <w:t xml:space="preserve">akné, tvorba modrín, zhoršené hojenie, atrofia kože, strie, </w:t>
      </w:r>
      <w:proofErr w:type="spellStart"/>
      <w:r w:rsidR="008039A5" w:rsidRPr="00E34F72">
        <w:rPr>
          <w:lang w:val="sk-SK"/>
        </w:rPr>
        <w:t>teleangiektázie</w:t>
      </w:r>
      <w:proofErr w:type="spellEnd"/>
      <w:r w:rsidR="008039A5" w:rsidRPr="00E34F72">
        <w:rPr>
          <w:lang w:val="sk-SK"/>
        </w:rPr>
        <w:t>.</w:t>
      </w:r>
    </w:p>
    <w:p w14:paraId="0E0B29B5" w14:textId="77777777" w:rsidR="004005B3" w:rsidRPr="00E34F72" w:rsidRDefault="00C03410" w:rsidP="00A97442">
      <w:pPr>
        <w:pStyle w:val="Styl3"/>
      </w:pPr>
      <w:r w:rsidRPr="00E34F72">
        <w:t xml:space="preserve">Celkové poruchy a </w:t>
      </w:r>
      <w:proofErr w:type="spellStart"/>
      <w:r w:rsidRPr="00E34F72">
        <w:t>reakcie</w:t>
      </w:r>
      <w:proofErr w:type="spellEnd"/>
      <w:r w:rsidRPr="00E34F72">
        <w:t xml:space="preserve"> v </w:t>
      </w:r>
      <w:proofErr w:type="spellStart"/>
      <w:r w:rsidRPr="00E34F72">
        <w:t>mieste</w:t>
      </w:r>
      <w:proofErr w:type="spellEnd"/>
      <w:r w:rsidRPr="00E34F72">
        <w:t xml:space="preserve"> </w:t>
      </w:r>
      <w:proofErr w:type="spellStart"/>
      <w:r w:rsidRPr="00E34F72">
        <w:t>podania</w:t>
      </w:r>
      <w:proofErr w:type="spellEnd"/>
    </w:p>
    <w:p w14:paraId="5D4BBDEC" w14:textId="77777777" w:rsidR="008039A5" w:rsidRPr="00E34F72" w:rsidRDefault="008039A5" w:rsidP="00CA12CF">
      <w:pPr>
        <w:pStyle w:val="Normlndobloku"/>
        <w:rPr>
          <w:lang w:val="sk-SK"/>
        </w:rPr>
      </w:pPr>
      <w:r w:rsidRPr="00E34F72">
        <w:rPr>
          <w:lang w:val="sk-SK"/>
        </w:rPr>
        <w:t xml:space="preserve">precitlivenosť </w:t>
      </w:r>
      <w:r w:rsidR="00233AA9" w:rsidRPr="00E34F72">
        <w:rPr>
          <w:lang w:val="sk-SK"/>
        </w:rPr>
        <w:t>-</w:t>
      </w:r>
      <w:r w:rsidRPr="00E34F72">
        <w:rPr>
          <w:lang w:val="sk-SK"/>
        </w:rPr>
        <w:t xml:space="preserve"> vrátane </w:t>
      </w:r>
      <w:proofErr w:type="spellStart"/>
      <w:r w:rsidRPr="00E34F72">
        <w:rPr>
          <w:lang w:val="sk-SK"/>
        </w:rPr>
        <w:t>anafylaxie</w:t>
      </w:r>
      <w:proofErr w:type="spellEnd"/>
      <w:r w:rsidRPr="00E34F72">
        <w:rPr>
          <w:lang w:val="sk-SK"/>
        </w:rPr>
        <w:t>, leukocytóza a </w:t>
      </w:r>
      <w:proofErr w:type="spellStart"/>
      <w:r w:rsidRPr="00E34F72">
        <w:rPr>
          <w:lang w:val="sk-SK"/>
        </w:rPr>
        <w:t>tromboembolizmus</w:t>
      </w:r>
      <w:proofErr w:type="spellEnd"/>
      <w:r w:rsidRPr="00E34F72">
        <w:rPr>
          <w:lang w:val="sk-SK"/>
        </w:rPr>
        <w:t xml:space="preserve">, </w:t>
      </w:r>
      <w:proofErr w:type="spellStart"/>
      <w:r w:rsidRPr="00E34F72">
        <w:rPr>
          <w:lang w:val="sk-SK"/>
        </w:rPr>
        <w:t>vaskulitídy</w:t>
      </w:r>
      <w:proofErr w:type="spellEnd"/>
      <w:r w:rsidRPr="00E34F72">
        <w:rPr>
          <w:lang w:val="sk-SK"/>
        </w:rPr>
        <w:t xml:space="preserve"> (aj po ukončení liečby).</w:t>
      </w:r>
    </w:p>
    <w:p w14:paraId="3DC1F747" w14:textId="77777777" w:rsidR="00D62879" w:rsidRPr="00E34F72" w:rsidRDefault="008039A5" w:rsidP="00CA12CF">
      <w:pPr>
        <w:pStyle w:val="Normlndobloku"/>
        <w:rPr>
          <w:lang w:val="sk-SK"/>
        </w:rPr>
      </w:pPr>
      <w:r w:rsidRPr="00E34F72">
        <w:rPr>
          <w:lang w:val="sk-SK"/>
        </w:rPr>
        <w:t xml:space="preserve">Príznaky a prejavy z prerušenia sa môžu objaviť po dlhotrvajúcej liečbe. Príliš rýchla redukcia dávky </w:t>
      </w:r>
      <w:proofErr w:type="spellStart"/>
      <w:r w:rsidRPr="00E34F72">
        <w:rPr>
          <w:lang w:val="sk-SK"/>
        </w:rPr>
        <w:t>kortikosteroidov</w:t>
      </w:r>
      <w:proofErr w:type="spellEnd"/>
      <w:r w:rsidRPr="00E34F72">
        <w:rPr>
          <w:lang w:val="sk-SK"/>
        </w:rPr>
        <w:t xml:space="preserve"> môže spôsobiť akútnu nadobličkovú </w:t>
      </w:r>
      <w:proofErr w:type="spellStart"/>
      <w:r w:rsidRPr="00E34F72">
        <w:rPr>
          <w:lang w:val="sk-SK"/>
        </w:rPr>
        <w:t>insuficienciu</w:t>
      </w:r>
      <w:proofErr w:type="spellEnd"/>
      <w:r w:rsidRPr="00E34F72">
        <w:rPr>
          <w:lang w:val="sk-SK"/>
        </w:rPr>
        <w:t xml:space="preserve">, hypotenziu a smrť. Príznaky z prerušenia terapie zahŕňajú: </w:t>
      </w:r>
      <w:proofErr w:type="spellStart"/>
      <w:r w:rsidRPr="00E34F72">
        <w:rPr>
          <w:lang w:val="sk-SK"/>
        </w:rPr>
        <w:t>artralgie</w:t>
      </w:r>
      <w:proofErr w:type="spellEnd"/>
      <w:r w:rsidRPr="00E34F72">
        <w:rPr>
          <w:lang w:val="sk-SK"/>
        </w:rPr>
        <w:t xml:space="preserve">, </w:t>
      </w:r>
      <w:proofErr w:type="spellStart"/>
      <w:r w:rsidRPr="00E34F72">
        <w:rPr>
          <w:lang w:val="sk-SK"/>
        </w:rPr>
        <w:t>konjunktivitídu</w:t>
      </w:r>
      <w:proofErr w:type="spellEnd"/>
      <w:r w:rsidRPr="00E34F72">
        <w:rPr>
          <w:lang w:val="sk-SK"/>
        </w:rPr>
        <w:t xml:space="preserve">, horúčku, bolesti svalov, bolestivé a svrbiace kožné </w:t>
      </w:r>
      <w:proofErr w:type="spellStart"/>
      <w:r w:rsidRPr="00E34F72">
        <w:rPr>
          <w:lang w:val="sk-SK"/>
        </w:rPr>
        <w:t>noduly</w:t>
      </w:r>
      <w:proofErr w:type="spellEnd"/>
      <w:r w:rsidRPr="00E34F72">
        <w:rPr>
          <w:lang w:val="sk-SK"/>
        </w:rPr>
        <w:t xml:space="preserve">, </w:t>
      </w:r>
      <w:proofErr w:type="spellStart"/>
      <w:r w:rsidRPr="00E34F72">
        <w:rPr>
          <w:lang w:val="sk-SK"/>
        </w:rPr>
        <w:t>rinitídu</w:t>
      </w:r>
      <w:proofErr w:type="spellEnd"/>
      <w:r w:rsidRPr="00E34F72">
        <w:rPr>
          <w:lang w:val="sk-SK"/>
        </w:rPr>
        <w:t xml:space="preserve"> a stratu hmotnosti.</w:t>
      </w:r>
    </w:p>
    <w:p w14:paraId="553831E3" w14:textId="77777777" w:rsidR="00D84C5B" w:rsidRPr="00C00477" w:rsidRDefault="00D84C5B" w:rsidP="00C00477">
      <w:pPr>
        <w:pStyle w:val="tlStyl3VavoZa0b"/>
      </w:pPr>
      <w:proofErr w:type="spellStart"/>
      <w:r w:rsidRPr="00C00477">
        <w:t>Hlásenie</w:t>
      </w:r>
      <w:proofErr w:type="spellEnd"/>
      <w:r w:rsidRPr="00C00477">
        <w:t xml:space="preserve"> </w:t>
      </w:r>
      <w:proofErr w:type="spellStart"/>
      <w:r w:rsidRPr="00C00477">
        <w:t>podozrení</w:t>
      </w:r>
      <w:proofErr w:type="spellEnd"/>
      <w:r w:rsidRPr="00C00477">
        <w:t xml:space="preserve"> na </w:t>
      </w:r>
      <w:proofErr w:type="spellStart"/>
      <w:r w:rsidRPr="00C00477">
        <w:t>nežiaduce</w:t>
      </w:r>
      <w:proofErr w:type="spellEnd"/>
      <w:r w:rsidRPr="00C00477">
        <w:t xml:space="preserve"> </w:t>
      </w:r>
      <w:proofErr w:type="spellStart"/>
      <w:r w:rsidRPr="00C00477">
        <w:t>reakcie</w:t>
      </w:r>
      <w:proofErr w:type="spellEnd"/>
    </w:p>
    <w:p w14:paraId="66E563E8" w14:textId="7172E95D" w:rsidR="00D84C5B" w:rsidRPr="00E34F72" w:rsidRDefault="00D84C5B" w:rsidP="00CA12CF">
      <w:pPr>
        <w:pStyle w:val="Normlndobloku"/>
        <w:rPr>
          <w:lang w:val="sk-SK"/>
        </w:rPr>
      </w:pPr>
      <w:r w:rsidRPr="00A97442">
        <w:rPr>
          <w:szCs w:val="22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na </w:t>
      </w:r>
      <w:r w:rsidRPr="00A97442">
        <w:rPr>
          <w:szCs w:val="22"/>
          <w:highlight w:val="lightGray"/>
          <w:lang w:val="sk-SK"/>
        </w:rPr>
        <w:t>národné centrum hlásenia uvedené v </w:t>
      </w:r>
      <w:hyperlink r:id="rId8" w:history="1">
        <w:r w:rsidRPr="00A97442">
          <w:rPr>
            <w:rStyle w:val="Hypertextovprepojenie"/>
            <w:szCs w:val="22"/>
            <w:highlight w:val="lightGray"/>
            <w:lang w:val="sk-SK"/>
          </w:rPr>
          <w:t>Prílohe V</w:t>
        </w:r>
      </w:hyperlink>
      <w:r w:rsidRPr="00A97442">
        <w:rPr>
          <w:szCs w:val="22"/>
          <w:lang w:val="sk-SK"/>
        </w:rPr>
        <w:t>.</w:t>
      </w:r>
    </w:p>
    <w:p w14:paraId="0936B485" w14:textId="77777777" w:rsidR="008039A5" w:rsidRPr="00A97442" w:rsidRDefault="008039A5" w:rsidP="00A81CB3">
      <w:pPr>
        <w:pStyle w:val="Styl2"/>
        <w:rPr>
          <w:lang w:val="sk-SK"/>
        </w:rPr>
      </w:pPr>
      <w:r w:rsidRPr="00A97442">
        <w:rPr>
          <w:lang w:val="sk-SK"/>
        </w:rPr>
        <w:t>Predávkovanie</w:t>
      </w:r>
    </w:p>
    <w:p w14:paraId="3827D567" w14:textId="606F7A03" w:rsidR="00D84C5B" w:rsidRPr="00E34F72" w:rsidRDefault="008039A5" w:rsidP="00CA12CF">
      <w:pPr>
        <w:pStyle w:val="Normlndobloku"/>
        <w:rPr>
          <w:lang w:val="sk-SK"/>
        </w:rPr>
      </w:pPr>
      <w:r w:rsidRPr="00E34F72">
        <w:rPr>
          <w:lang w:val="sk-SK"/>
        </w:rPr>
        <w:t xml:space="preserve">Definícia predávkovania je ťažká, pretože terapeutická dávka široko kolíše podľa indikácie a odpovede pacienta. Pri predávkovaní sa predpokladá, že nežiaduce účinky </w:t>
      </w:r>
      <w:proofErr w:type="spellStart"/>
      <w:r w:rsidRPr="00E34F72">
        <w:rPr>
          <w:lang w:val="sk-SK"/>
        </w:rPr>
        <w:t>kortikoidov</w:t>
      </w:r>
      <w:proofErr w:type="spellEnd"/>
      <w:r w:rsidRPr="00E34F72">
        <w:rPr>
          <w:lang w:val="sk-SK"/>
        </w:rPr>
        <w:t xml:space="preserve"> budú závažnejšie a rozsiahlejšie. Odporúča sa symptomatická a podporná liečba.</w:t>
      </w:r>
    </w:p>
    <w:p w14:paraId="6B32A22A" w14:textId="77777777" w:rsidR="008039A5" w:rsidRPr="00E34F72" w:rsidRDefault="008039A5" w:rsidP="00645668">
      <w:pPr>
        <w:pStyle w:val="Styl1"/>
      </w:pPr>
      <w:r w:rsidRPr="00E34F72">
        <w:t>FARMAKOLOGICKÉ VLASTNOSTI</w:t>
      </w:r>
    </w:p>
    <w:p w14:paraId="1084059E" w14:textId="77777777" w:rsidR="008039A5" w:rsidRPr="00A97442" w:rsidRDefault="008039A5" w:rsidP="00A81CB3">
      <w:pPr>
        <w:pStyle w:val="Styl2"/>
        <w:rPr>
          <w:lang w:val="sk-SK"/>
        </w:rPr>
      </w:pPr>
      <w:proofErr w:type="spellStart"/>
      <w:r w:rsidRPr="00A97442">
        <w:rPr>
          <w:lang w:val="sk-SK"/>
        </w:rPr>
        <w:t>Farmakodynamické</w:t>
      </w:r>
      <w:proofErr w:type="spellEnd"/>
      <w:r w:rsidRPr="00A97442">
        <w:rPr>
          <w:lang w:val="sk-SK"/>
        </w:rPr>
        <w:t xml:space="preserve"> vlastnosti</w:t>
      </w:r>
    </w:p>
    <w:p w14:paraId="33D848A7" w14:textId="77777777" w:rsidR="004339CE" w:rsidRPr="00E34F72" w:rsidRDefault="008039A5" w:rsidP="00CA12CF">
      <w:pPr>
        <w:pStyle w:val="Normlndobloku"/>
        <w:rPr>
          <w:lang w:val="sk-SK"/>
        </w:rPr>
      </w:pPr>
      <w:proofErr w:type="spellStart"/>
      <w:r w:rsidRPr="00E34F72">
        <w:rPr>
          <w:lang w:val="sk-SK"/>
        </w:rPr>
        <w:t>Farmakoterapeutická</w:t>
      </w:r>
      <w:proofErr w:type="spellEnd"/>
      <w:r w:rsidRPr="00E34F72">
        <w:rPr>
          <w:lang w:val="sk-SK"/>
        </w:rPr>
        <w:t xml:space="preserve"> skupina: hormóny, </w:t>
      </w:r>
      <w:proofErr w:type="spellStart"/>
      <w:r w:rsidRPr="00E34F72">
        <w:rPr>
          <w:lang w:val="sk-SK"/>
        </w:rPr>
        <w:t>glukokortikoidy</w:t>
      </w:r>
      <w:proofErr w:type="spellEnd"/>
      <w:r w:rsidRPr="00E34F72">
        <w:rPr>
          <w:lang w:val="sk-SK"/>
        </w:rPr>
        <w:t>,</w:t>
      </w:r>
    </w:p>
    <w:p w14:paraId="0B6808BC" w14:textId="77777777" w:rsidR="008039A5" w:rsidRPr="00E34F72" w:rsidRDefault="008039A5" w:rsidP="00CA12CF">
      <w:pPr>
        <w:pStyle w:val="Normlndobloku"/>
        <w:rPr>
          <w:lang w:val="sk-SK"/>
        </w:rPr>
      </w:pPr>
      <w:r w:rsidRPr="00E34F72">
        <w:rPr>
          <w:lang w:val="sk-SK"/>
        </w:rPr>
        <w:t>ATC kód: H02AB02</w:t>
      </w:r>
    </w:p>
    <w:p w14:paraId="3123D483" w14:textId="77777777" w:rsidR="008039A5" w:rsidRPr="00E34F72" w:rsidRDefault="008039A5" w:rsidP="00CA12CF">
      <w:pPr>
        <w:pStyle w:val="Normlndobloku"/>
        <w:rPr>
          <w:lang w:val="sk-SK"/>
        </w:rPr>
      </w:pPr>
      <w:proofErr w:type="spellStart"/>
      <w:r w:rsidRPr="00E34F72">
        <w:rPr>
          <w:lang w:val="sk-SK"/>
        </w:rPr>
        <w:t>Dexametazón</w:t>
      </w:r>
      <w:proofErr w:type="spellEnd"/>
      <w:r w:rsidRPr="00E34F72">
        <w:rPr>
          <w:lang w:val="sk-SK"/>
        </w:rPr>
        <w:t xml:space="preserve"> je syntetický </w:t>
      </w:r>
      <w:proofErr w:type="spellStart"/>
      <w:r w:rsidRPr="00E34F72">
        <w:rPr>
          <w:lang w:val="sk-SK"/>
        </w:rPr>
        <w:t>glukokortikoid</w:t>
      </w:r>
      <w:proofErr w:type="spellEnd"/>
      <w:r w:rsidRPr="00E34F72">
        <w:rPr>
          <w:lang w:val="sk-SK"/>
        </w:rPr>
        <w:t xml:space="preserve"> s protizápalovou účinnosťou sedemnásobne vyššou ako </w:t>
      </w:r>
      <w:proofErr w:type="spellStart"/>
      <w:r w:rsidRPr="00E34F72">
        <w:rPr>
          <w:lang w:val="sk-SK"/>
        </w:rPr>
        <w:t>prednizolón</w:t>
      </w:r>
      <w:proofErr w:type="spellEnd"/>
      <w:r w:rsidRPr="00E34F72">
        <w:rPr>
          <w:lang w:val="sk-SK"/>
        </w:rPr>
        <w:t xml:space="preserve">. Ako iné </w:t>
      </w:r>
      <w:proofErr w:type="spellStart"/>
      <w:r w:rsidRPr="00E34F72">
        <w:rPr>
          <w:lang w:val="sk-SK"/>
        </w:rPr>
        <w:t>glukokortikoidy</w:t>
      </w:r>
      <w:proofErr w:type="spellEnd"/>
      <w:r w:rsidRPr="00E34F72">
        <w:rPr>
          <w:lang w:val="sk-SK"/>
        </w:rPr>
        <w:t xml:space="preserve">, </w:t>
      </w:r>
      <w:proofErr w:type="spellStart"/>
      <w:r w:rsidRPr="00E34F72">
        <w:rPr>
          <w:lang w:val="sk-SK"/>
        </w:rPr>
        <w:t>dexametazón</w:t>
      </w:r>
      <w:proofErr w:type="spellEnd"/>
      <w:r w:rsidRPr="00E34F72">
        <w:rPr>
          <w:lang w:val="sk-SK"/>
        </w:rPr>
        <w:t xml:space="preserve"> má tiež antialergické, </w:t>
      </w:r>
      <w:proofErr w:type="spellStart"/>
      <w:r w:rsidRPr="00E34F72">
        <w:rPr>
          <w:lang w:val="sk-SK"/>
        </w:rPr>
        <w:t>antipyretické</w:t>
      </w:r>
      <w:proofErr w:type="spellEnd"/>
      <w:r w:rsidRPr="00E34F72">
        <w:rPr>
          <w:lang w:val="sk-SK"/>
        </w:rPr>
        <w:t xml:space="preserve">, </w:t>
      </w:r>
      <w:proofErr w:type="spellStart"/>
      <w:r w:rsidRPr="00E34F72">
        <w:rPr>
          <w:lang w:val="sk-SK"/>
        </w:rPr>
        <w:t>antiedematózne</w:t>
      </w:r>
      <w:proofErr w:type="spellEnd"/>
      <w:r w:rsidRPr="00E34F72">
        <w:rPr>
          <w:lang w:val="sk-SK"/>
        </w:rPr>
        <w:t>, protizápalové a </w:t>
      </w:r>
      <w:proofErr w:type="spellStart"/>
      <w:r w:rsidRPr="00E34F72">
        <w:rPr>
          <w:lang w:val="sk-SK"/>
        </w:rPr>
        <w:t>imunosupresívne</w:t>
      </w:r>
      <w:proofErr w:type="spellEnd"/>
      <w:r w:rsidRPr="00E34F72">
        <w:rPr>
          <w:lang w:val="sk-SK"/>
        </w:rPr>
        <w:t xml:space="preserve"> vlastnosti, nemá účinky </w:t>
      </w:r>
      <w:proofErr w:type="spellStart"/>
      <w:r w:rsidRPr="00E34F72">
        <w:rPr>
          <w:lang w:val="sk-SK"/>
        </w:rPr>
        <w:t>mineralokortikoidné</w:t>
      </w:r>
      <w:proofErr w:type="spellEnd"/>
      <w:r w:rsidRPr="00E34F72">
        <w:rPr>
          <w:lang w:val="sk-SK"/>
        </w:rPr>
        <w:t>.</w:t>
      </w:r>
    </w:p>
    <w:p w14:paraId="469C729E" w14:textId="77777777" w:rsidR="008039A5" w:rsidRPr="00E34F72" w:rsidRDefault="008039A5" w:rsidP="00CA12CF">
      <w:pPr>
        <w:pStyle w:val="Normlndobloku"/>
        <w:rPr>
          <w:lang w:val="sk-SK"/>
        </w:rPr>
      </w:pPr>
      <w:r w:rsidRPr="00E34F72">
        <w:rPr>
          <w:lang w:val="sk-SK"/>
        </w:rPr>
        <w:t xml:space="preserve">Účinkuje na HPA cez špecifické receptory na plazmatickej membráne. </w:t>
      </w:r>
      <w:proofErr w:type="spellStart"/>
      <w:r w:rsidRPr="00E34F72">
        <w:rPr>
          <w:lang w:val="sk-SK"/>
        </w:rPr>
        <w:t>Difunduje</w:t>
      </w:r>
      <w:proofErr w:type="spellEnd"/>
      <w:r w:rsidRPr="00E34F72">
        <w:rPr>
          <w:lang w:val="sk-SK"/>
        </w:rPr>
        <w:t xml:space="preserve"> cez celulárnu membránu a viaže sa na špecifický cytoplazmatický receptor, vstupuje do bunkového jadra a stimuluje syntézu proteínov.</w:t>
      </w:r>
    </w:p>
    <w:p w14:paraId="7AE5E6BF" w14:textId="2FA8AE37" w:rsidR="008039A5" w:rsidRPr="00E34F72" w:rsidRDefault="008039A5" w:rsidP="00CA12CF">
      <w:pPr>
        <w:pStyle w:val="Normlndobloku"/>
        <w:rPr>
          <w:lang w:val="sk-SK"/>
        </w:rPr>
      </w:pPr>
      <w:r w:rsidRPr="00E34F72">
        <w:rPr>
          <w:lang w:val="sk-SK"/>
        </w:rPr>
        <w:lastRenderedPageBreak/>
        <w:t xml:space="preserve">Prakticky </w:t>
      </w:r>
      <w:proofErr w:type="spellStart"/>
      <w:r w:rsidRPr="00E34F72">
        <w:rPr>
          <w:lang w:val="sk-SK"/>
        </w:rPr>
        <w:t>neretinuje</w:t>
      </w:r>
      <w:proofErr w:type="spellEnd"/>
      <w:r w:rsidRPr="00E34F72">
        <w:rPr>
          <w:lang w:val="sk-SK"/>
        </w:rPr>
        <w:t xml:space="preserve"> vodu a soli, preto sa môže používať u pacientov s kardiálnym zlyhávaním a hypertenziou. Dlhý biologický polčas (36</w:t>
      </w:r>
      <w:r w:rsidR="003C3BFF">
        <w:rPr>
          <w:lang w:val="sk-SK"/>
        </w:rPr>
        <w:t> – </w:t>
      </w:r>
      <w:r w:rsidRPr="00E34F72">
        <w:rPr>
          <w:lang w:val="sk-SK"/>
        </w:rPr>
        <w:t xml:space="preserve">54 hodín) umožňuje použiť ho v podmienkach vyžadujúcich kontinuálny </w:t>
      </w:r>
      <w:proofErr w:type="spellStart"/>
      <w:r w:rsidRPr="00E34F72">
        <w:rPr>
          <w:lang w:val="sk-SK"/>
        </w:rPr>
        <w:t>glukokortikoidný</w:t>
      </w:r>
      <w:proofErr w:type="spellEnd"/>
      <w:r w:rsidRPr="00E34F72">
        <w:rPr>
          <w:lang w:val="sk-SK"/>
        </w:rPr>
        <w:t xml:space="preserve"> účinok.</w:t>
      </w:r>
    </w:p>
    <w:p w14:paraId="60D214F0" w14:textId="77777777" w:rsidR="008039A5" w:rsidRPr="00A97442" w:rsidRDefault="008039A5" w:rsidP="00A81CB3">
      <w:pPr>
        <w:pStyle w:val="Styl2"/>
        <w:rPr>
          <w:lang w:val="sk-SK"/>
        </w:rPr>
      </w:pPr>
      <w:proofErr w:type="spellStart"/>
      <w:r w:rsidRPr="00A97442">
        <w:rPr>
          <w:lang w:val="sk-SK"/>
        </w:rPr>
        <w:t>Farmakokinetické</w:t>
      </w:r>
      <w:proofErr w:type="spellEnd"/>
      <w:r w:rsidRPr="00A97442">
        <w:rPr>
          <w:lang w:val="sk-SK"/>
        </w:rPr>
        <w:t xml:space="preserve"> vlastnosti</w:t>
      </w:r>
    </w:p>
    <w:p w14:paraId="767A1639" w14:textId="77777777" w:rsidR="008039A5" w:rsidRPr="00E34F72" w:rsidRDefault="008039A5" w:rsidP="00CA12CF">
      <w:pPr>
        <w:pStyle w:val="Normlndobloku"/>
        <w:rPr>
          <w:lang w:val="sk-SK"/>
        </w:rPr>
      </w:pPr>
      <w:r w:rsidRPr="00E34F72">
        <w:rPr>
          <w:lang w:val="sk-SK"/>
        </w:rPr>
        <w:t xml:space="preserve">Vo všeobecnosti sa </w:t>
      </w:r>
      <w:proofErr w:type="spellStart"/>
      <w:r w:rsidRPr="00E34F72">
        <w:rPr>
          <w:lang w:val="sk-SK"/>
        </w:rPr>
        <w:t>kortikoidy</w:t>
      </w:r>
      <w:proofErr w:type="spellEnd"/>
      <w:r w:rsidRPr="00E34F72">
        <w:rPr>
          <w:lang w:val="sk-SK"/>
        </w:rPr>
        <w:t xml:space="preserve"> dobre absorbujú z </w:t>
      </w:r>
      <w:proofErr w:type="spellStart"/>
      <w:r w:rsidRPr="00E34F72">
        <w:rPr>
          <w:lang w:val="sk-SK"/>
        </w:rPr>
        <w:t>gastrointestinálneho</w:t>
      </w:r>
      <w:proofErr w:type="spellEnd"/>
      <w:r w:rsidRPr="00E34F72">
        <w:rPr>
          <w:lang w:val="sk-SK"/>
        </w:rPr>
        <w:t xml:space="preserve"> traktu. Po podaní sa </w:t>
      </w:r>
      <w:proofErr w:type="spellStart"/>
      <w:r w:rsidRPr="00E34F72">
        <w:rPr>
          <w:lang w:val="sk-SK"/>
        </w:rPr>
        <w:t>dinátrium-dexametazónfosfát</w:t>
      </w:r>
      <w:proofErr w:type="spellEnd"/>
      <w:r w:rsidRPr="00E34F72">
        <w:rPr>
          <w:lang w:val="sk-SK"/>
        </w:rPr>
        <w:t xml:space="preserve"> rýchlo hydrolyzuje na </w:t>
      </w:r>
      <w:proofErr w:type="spellStart"/>
      <w:r w:rsidRPr="00E34F72">
        <w:rPr>
          <w:lang w:val="sk-SK"/>
        </w:rPr>
        <w:t>dexametazón</w:t>
      </w:r>
      <w:proofErr w:type="spellEnd"/>
      <w:r w:rsidRPr="00E34F72">
        <w:rPr>
          <w:lang w:val="sk-SK"/>
        </w:rPr>
        <w:t xml:space="preserve">. U dospelých má plazmatický polčas 190 minút. Po intravenóznom podaní sa dosahuje rýchly nástup účinku, ale s krátkym trvaním. Pri </w:t>
      </w:r>
      <w:proofErr w:type="spellStart"/>
      <w:r w:rsidRPr="00E34F72">
        <w:rPr>
          <w:lang w:val="sk-SK"/>
        </w:rPr>
        <w:t>intramuskulárnom</w:t>
      </w:r>
      <w:proofErr w:type="spellEnd"/>
      <w:r w:rsidRPr="00E34F72">
        <w:rPr>
          <w:lang w:val="sk-SK"/>
        </w:rPr>
        <w:t xml:space="preserve"> podaní je účinok pomalší s dlhším trvaním. Preto je intravenózne podanie metódou voľby pri úvodných dávkach pri život ohrozujúcich situáciách, ako udržiavacia liečba je vhodnejšie </w:t>
      </w:r>
      <w:proofErr w:type="spellStart"/>
      <w:r w:rsidRPr="00E34F72">
        <w:rPr>
          <w:lang w:val="sk-SK"/>
        </w:rPr>
        <w:t>intramuskulárne</w:t>
      </w:r>
      <w:proofErr w:type="spellEnd"/>
      <w:r w:rsidRPr="00E34F72">
        <w:rPr>
          <w:lang w:val="sk-SK"/>
        </w:rPr>
        <w:t xml:space="preserve"> podanie.</w:t>
      </w:r>
    </w:p>
    <w:p w14:paraId="44B37D25" w14:textId="77777777" w:rsidR="008039A5" w:rsidRPr="00E34F72" w:rsidRDefault="008039A5" w:rsidP="00CA12CF">
      <w:pPr>
        <w:pStyle w:val="Normlndobloku"/>
        <w:rPr>
          <w:lang w:val="sk-SK"/>
        </w:rPr>
      </w:pPr>
      <w:proofErr w:type="spellStart"/>
      <w:r w:rsidRPr="00E34F72">
        <w:rPr>
          <w:lang w:val="sk-SK"/>
        </w:rPr>
        <w:t>Kortikosteroidy</w:t>
      </w:r>
      <w:proofErr w:type="spellEnd"/>
      <w:r w:rsidRPr="00E34F72">
        <w:rPr>
          <w:lang w:val="sk-SK"/>
        </w:rPr>
        <w:t xml:space="preserve"> sa rýchle distribuujú do všetkých telových tkanív, prechádzajú placentárnou membránou a v malom množstve sa vylučujú do materského mlieka. V cirkulácii sa silne viažu na plazmatické bielkoviny, hlavne na globulín (vysoká afinita, nízka kapacita) a menej na albumín (nízka afinita, vysoká kapacita). </w:t>
      </w:r>
      <w:proofErr w:type="spellStart"/>
      <w:r w:rsidRPr="00E34F72">
        <w:rPr>
          <w:lang w:val="sk-SK"/>
        </w:rPr>
        <w:t>Väzbovosť</w:t>
      </w:r>
      <w:proofErr w:type="spellEnd"/>
      <w:r w:rsidRPr="00E34F72">
        <w:rPr>
          <w:lang w:val="sk-SK"/>
        </w:rPr>
        <w:t xml:space="preserve"> závisí na dávke, vo veľmi vysokých dávkach je väčšina nenaviazaná. Pri </w:t>
      </w:r>
      <w:proofErr w:type="spellStart"/>
      <w:r w:rsidRPr="00E34F72">
        <w:rPr>
          <w:lang w:val="sk-SK"/>
        </w:rPr>
        <w:t>hypoalbuminémii</w:t>
      </w:r>
      <w:proofErr w:type="spellEnd"/>
      <w:r w:rsidRPr="00E34F72">
        <w:rPr>
          <w:lang w:val="sk-SK"/>
        </w:rPr>
        <w:t xml:space="preserve"> je množstvo neviazaného </w:t>
      </w:r>
      <w:proofErr w:type="spellStart"/>
      <w:r w:rsidRPr="00E34F72">
        <w:rPr>
          <w:lang w:val="sk-SK"/>
        </w:rPr>
        <w:t>dexametazónu</w:t>
      </w:r>
      <w:proofErr w:type="spellEnd"/>
      <w:r w:rsidRPr="00E34F72">
        <w:rPr>
          <w:lang w:val="sk-SK"/>
        </w:rPr>
        <w:t xml:space="preserve"> zvýšené.</w:t>
      </w:r>
    </w:p>
    <w:p w14:paraId="34D4D8C5" w14:textId="77777777" w:rsidR="008039A5" w:rsidRPr="00E34F72" w:rsidRDefault="008039A5" w:rsidP="00CA12CF">
      <w:pPr>
        <w:pStyle w:val="Normlndobloku"/>
        <w:rPr>
          <w:lang w:val="sk-SK"/>
        </w:rPr>
      </w:pPr>
      <w:r w:rsidRPr="00E34F72">
        <w:rPr>
          <w:lang w:val="sk-SK"/>
        </w:rPr>
        <w:t xml:space="preserve">Metabolizuje sa hlavne pečeňou, ale tiež obličkami, vylučuje sa hlavne močom ako </w:t>
      </w:r>
      <w:proofErr w:type="spellStart"/>
      <w:r w:rsidRPr="00E34F72">
        <w:rPr>
          <w:lang w:val="sk-SK"/>
        </w:rPr>
        <w:t>nekonjugovaný</w:t>
      </w:r>
      <w:proofErr w:type="spellEnd"/>
      <w:r w:rsidRPr="00E34F72">
        <w:rPr>
          <w:lang w:val="sk-SK"/>
        </w:rPr>
        <w:t xml:space="preserve"> </w:t>
      </w:r>
      <w:proofErr w:type="spellStart"/>
      <w:r w:rsidRPr="00E34F72">
        <w:rPr>
          <w:lang w:val="sk-SK"/>
        </w:rPr>
        <w:t>steroid</w:t>
      </w:r>
      <w:proofErr w:type="spellEnd"/>
      <w:r w:rsidRPr="00E34F72">
        <w:rPr>
          <w:lang w:val="sk-SK"/>
        </w:rPr>
        <w:t xml:space="preserve">. Poškodené obličkové funkcie nevplývajú </w:t>
      </w:r>
      <w:proofErr w:type="spellStart"/>
      <w:r w:rsidRPr="00E34F72">
        <w:rPr>
          <w:lang w:val="sk-SK"/>
        </w:rPr>
        <w:t>signifikantne</w:t>
      </w:r>
      <w:proofErr w:type="spellEnd"/>
      <w:r w:rsidRPr="00E34F72">
        <w:rPr>
          <w:lang w:val="sk-SK"/>
        </w:rPr>
        <w:t xml:space="preserve"> na vylučovanie </w:t>
      </w:r>
      <w:proofErr w:type="spellStart"/>
      <w:r w:rsidRPr="00E34F72">
        <w:rPr>
          <w:lang w:val="sk-SK"/>
        </w:rPr>
        <w:t>dexametazónu</w:t>
      </w:r>
      <w:proofErr w:type="spellEnd"/>
      <w:r w:rsidRPr="00E34F72">
        <w:rPr>
          <w:lang w:val="sk-SK"/>
        </w:rPr>
        <w:t>, ale pri výraznom zhoršení pečeňových funkcií sa predĺži eliminačný polčas.</w:t>
      </w:r>
    </w:p>
    <w:p w14:paraId="648CDFB8" w14:textId="77777777" w:rsidR="008039A5" w:rsidRPr="00A97442" w:rsidRDefault="008039A5" w:rsidP="00A81CB3">
      <w:pPr>
        <w:pStyle w:val="Styl2"/>
        <w:rPr>
          <w:lang w:val="sk-SK"/>
        </w:rPr>
      </w:pPr>
      <w:r w:rsidRPr="00A97442">
        <w:rPr>
          <w:lang w:val="sk-SK"/>
        </w:rPr>
        <w:t>Predklinické údaje o bezpečnosti</w:t>
      </w:r>
    </w:p>
    <w:p w14:paraId="0B6F941A" w14:textId="77777777" w:rsidR="008039A5" w:rsidRPr="00E34F72" w:rsidRDefault="008039A5" w:rsidP="00CA12CF">
      <w:pPr>
        <w:pStyle w:val="Normlndobloku"/>
        <w:rPr>
          <w:lang w:val="sk-SK"/>
        </w:rPr>
      </w:pPr>
      <w:r w:rsidRPr="00E34F72">
        <w:rPr>
          <w:lang w:val="sk-SK"/>
        </w:rPr>
        <w:t>Neuvádzajú sa.</w:t>
      </w:r>
    </w:p>
    <w:p w14:paraId="52915F65" w14:textId="77777777" w:rsidR="008039A5" w:rsidRPr="00E34F72" w:rsidRDefault="008039A5" w:rsidP="00645668">
      <w:pPr>
        <w:pStyle w:val="Styl1"/>
      </w:pPr>
      <w:r w:rsidRPr="00E34F72">
        <w:t>FARMACEUTICKÉ INFORMÁCIE</w:t>
      </w:r>
    </w:p>
    <w:p w14:paraId="2E057724" w14:textId="77777777" w:rsidR="008039A5" w:rsidRPr="00A97442" w:rsidRDefault="008039A5" w:rsidP="00A81CB3">
      <w:pPr>
        <w:pStyle w:val="Styl2"/>
        <w:rPr>
          <w:lang w:val="sk-SK"/>
        </w:rPr>
      </w:pPr>
      <w:r w:rsidRPr="00A97442">
        <w:rPr>
          <w:lang w:val="sk-SK"/>
        </w:rPr>
        <w:t>Zoznam pomocných látok</w:t>
      </w:r>
    </w:p>
    <w:p w14:paraId="22B86491" w14:textId="77777777" w:rsidR="008039A5" w:rsidRPr="00E34F72" w:rsidRDefault="008039A5" w:rsidP="00CA12CF">
      <w:pPr>
        <w:pStyle w:val="Normlndobloku"/>
        <w:rPr>
          <w:lang w:val="sk-SK"/>
        </w:rPr>
      </w:pPr>
      <w:proofErr w:type="spellStart"/>
      <w:r w:rsidRPr="00E34F72">
        <w:rPr>
          <w:lang w:val="sk-SK"/>
        </w:rPr>
        <w:t>Methylparabenum</w:t>
      </w:r>
      <w:proofErr w:type="spellEnd"/>
      <w:r w:rsidRPr="00E34F72">
        <w:rPr>
          <w:lang w:val="sk-SK"/>
        </w:rPr>
        <w:t xml:space="preserve">, </w:t>
      </w:r>
      <w:proofErr w:type="spellStart"/>
      <w:r w:rsidRPr="00E34F72">
        <w:rPr>
          <w:lang w:val="sk-SK"/>
        </w:rPr>
        <w:t>propylparabenum</w:t>
      </w:r>
      <w:proofErr w:type="spellEnd"/>
      <w:r w:rsidRPr="00E34F72">
        <w:rPr>
          <w:lang w:val="sk-SK"/>
        </w:rPr>
        <w:t xml:space="preserve">, </w:t>
      </w:r>
      <w:proofErr w:type="spellStart"/>
      <w:r w:rsidRPr="00E34F72">
        <w:rPr>
          <w:lang w:val="sk-SK"/>
        </w:rPr>
        <w:t>natrii</w:t>
      </w:r>
      <w:proofErr w:type="spellEnd"/>
      <w:r w:rsidRPr="00E34F72">
        <w:rPr>
          <w:lang w:val="sk-SK"/>
        </w:rPr>
        <w:t xml:space="preserve"> </w:t>
      </w:r>
      <w:proofErr w:type="spellStart"/>
      <w:r w:rsidRPr="00E34F72">
        <w:rPr>
          <w:lang w:val="sk-SK"/>
        </w:rPr>
        <w:t>chloridum</w:t>
      </w:r>
      <w:proofErr w:type="spellEnd"/>
      <w:r w:rsidRPr="00E34F72">
        <w:rPr>
          <w:lang w:val="sk-SK"/>
        </w:rPr>
        <w:t xml:space="preserve">, </w:t>
      </w:r>
      <w:proofErr w:type="spellStart"/>
      <w:r w:rsidRPr="00E34F72">
        <w:rPr>
          <w:lang w:val="sk-SK"/>
        </w:rPr>
        <w:t>natrii</w:t>
      </w:r>
      <w:proofErr w:type="spellEnd"/>
      <w:r w:rsidRPr="00E34F72">
        <w:rPr>
          <w:lang w:val="sk-SK"/>
        </w:rPr>
        <w:t xml:space="preserve"> </w:t>
      </w:r>
      <w:proofErr w:type="spellStart"/>
      <w:r w:rsidRPr="00E34F72">
        <w:rPr>
          <w:lang w:val="sk-SK"/>
        </w:rPr>
        <w:t>hydrogenophosphas</w:t>
      </w:r>
      <w:proofErr w:type="spellEnd"/>
      <w:r w:rsidRPr="00E34F72">
        <w:rPr>
          <w:lang w:val="sk-SK"/>
        </w:rPr>
        <w:t xml:space="preserve">, </w:t>
      </w:r>
      <w:proofErr w:type="spellStart"/>
      <w:r w:rsidRPr="00E34F72">
        <w:rPr>
          <w:lang w:val="sk-SK"/>
        </w:rPr>
        <w:t>natrii</w:t>
      </w:r>
      <w:proofErr w:type="spellEnd"/>
      <w:r w:rsidRPr="00E34F72">
        <w:rPr>
          <w:lang w:val="sk-SK"/>
        </w:rPr>
        <w:t xml:space="preserve"> </w:t>
      </w:r>
      <w:proofErr w:type="spellStart"/>
      <w:r w:rsidRPr="00E34F72">
        <w:rPr>
          <w:lang w:val="sk-SK"/>
        </w:rPr>
        <w:t>citras</w:t>
      </w:r>
      <w:proofErr w:type="spellEnd"/>
      <w:r w:rsidRPr="00E34F72">
        <w:rPr>
          <w:lang w:val="sk-SK"/>
        </w:rPr>
        <w:t xml:space="preserve"> </w:t>
      </w:r>
      <w:proofErr w:type="spellStart"/>
      <w:r w:rsidRPr="00E34F72">
        <w:rPr>
          <w:lang w:val="sk-SK"/>
        </w:rPr>
        <w:t>dihydricus</w:t>
      </w:r>
      <w:proofErr w:type="spellEnd"/>
      <w:r w:rsidRPr="00E34F72">
        <w:rPr>
          <w:lang w:val="sk-SK"/>
        </w:rPr>
        <w:t xml:space="preserve">, </w:t>
      </w:r>
      <w:proofErr w:type="spellStart"/>
      <w:r w:rsidR="00566DA1" w:rsidRPr="00E34F72">
        <w:rPr>
          <w:lang w:val="sk-SK"/>
        </w:rPr>
        <w:t>alcohol</w:t>
      </w:r>
      <w:proofErr w:type="spellEnd"/>
      <w:r w:rsidR="00566DA1" w:rsidRPr="00E34F72">
        <w:rPr>
          <w:lang w:val="sk-SK"/>
        </w:rPr>
        <w:t xml:space="preserve"> </w:t>
      </w:r>
      <w:proofErr w:type="spellStart"/>
      <w:r w:rsidR="00566DA1" w:rsidRPr="00E34F72">
        <w:rPr>
          <w:lang w:val="sk-SK"/>
        </w:rPr>
        <w:t>benzylicus</w:t>
      </w:r>
      <w:proofErr w:type="spellEnd"/>
      <w:r w:rsidRPr="00E34F72">
        <w:rPr>
          <w:lang w:val="sk-SK"/>
        </w:rPr>
        <w:t xml:space="preserve">, </w:t>
      </w:r>
      <w:proofErr w:type="spellStart"/>
      <w:r w:rsidRPr="00E34F72">
        <w:rPr>
          <w:lang w:val="sk-SK"/>
        </w:rPr>
        <w:t>dinatrii</w:t>
      </w:r>
      <w:proofErr w:type="spellEnd"/>
      <w:r w:rsidRPr="00E34F72">
        <w:rPr>
          <w:lang w:val="sk-SK"/>
        </w:rPr>
        <w:t xml:space="preserve"> </w:t>
      </w:r>
      <w:proofErr w:type="spellStart"/>
      <w:r w:rsidRPr="00E34F72">
        <w:rPr>
          <w:lang w:val="sk-SK"/>
        </w:rPr>
        <w:t>edetas</w:t>
      </w:r>
      <w:proofErr w:type="spellEnd"/>
      <w:r w:rsidRPr="00E34F72">
        <w:rPr>
          <w:lang w:val="sk-SK"/>
        </w:rPr>
        <w:t xml:space="preserve">, </w:t>
      </w:r>
      <w:proofErr w:type="spellStart"/>
      <w:r w:rsidRPr="00E34F72">
        <w:rPr>
          <w:lang w:val="sk-SK"/>
        </w:rPr>
        <w:t>aqua</w:t>
      </w:r>
      <w:proofErr w:type="spellEnd"/>
      <w:r w:rsidRPr="00E34F72">
        <w:rPr>
          <w:lang w:val="sk-SK"/>
        </w:rPr>
        <w:t xml:space="preserve"> ad </w:t>
      </w:r>
      <w:proofErr w:type="spellStart"/>
      <w:r w:rsidRPr="00E34F72">
        <w:rPr>
          <w:lang w:val="sk-SK"/>
        </w:rPr>
        <w:t>iniectabilia</w:t>
      </w:r>
      <w:proofErr w:type="spellEnd"/>
      <w:r w:rsidRPr="00E34F72">
        <w:rPr>
          <w:lang w:val="sk-SK"/>
        </w:rPr>
        <w:t>.</w:t>
      </w:r>
    </w:p>
    <w:p w14:paraId="16F6C2E7" w14:textId="77777777" w:rsidR="008039A5" w:rsidRPr="00A97442" w:rsidRDefault="008039A5" w:rsidP="00A81CB3">
      <w:pPr>
        <w:pStyle w:val="Styl2"/>
        <w:rPr>
          <w:lang w:val="sk-SK"/>
        </w:rPr>
      </w:pPr>
      <w:r w:rsidRPr="00A97442">
        <w:rPr>
          <w:lang w:val="sk-SK"/>
        </w:rPr>
        <w:t>Inkompatibility</w:t>
      </w:r>
    </w:p>
    <w:p w14:paraId="139FE28D" w14:textId="77777777" w:rsidR="008039A5" w:rsidRPr="00E34F72" w:rsidRDefault="008039A5" w:rsidP="00CA12CF">
      <w:pPr>
        <w:pStyle w:val="Normlndobloku"/>
        <w:rPr>
          <w:lang w:val="sk-SK"/>
        </w:rPr>
      </w:pPr>
      <w:r w:rsidRPr="00E34F72">
        <w:rPr>
          <w:lang w:val="sk-SK"/>
        </w:rPr>
        <w:t>Nie sú známe.</w:t>
      </w:r>
    </w:p>
    <w:p w14:paraId="77C2EB66" w14:textId="77777777" w:rsidR="008039A5" w:rsidRPr="00A97442" w:rsidRDefault="008039A5" w:rsidP="00A81CB3">
      <w:pPr>
        <w:pStyle w:val="Styl2"/>
        <w:rPr>
          <w:lang w:val="sk-SK"/>
        </w:rPr>
      </w:pPr>
      <w:r w:rsidRPr="00A97442">
        <w:rPr>
          <w:lang w:val="sk-SK"/>
        </w:rPr>
        <w:t>Čas použiteľnosti</w:t>
      </w:r>
    </w:p>
    <w:p w14:paraId="0BCDA065" w14:textId="77777777" w:rsidR="008039A5" w:rsidRPr="00E34F72" w:rsidRDefault="00FD747F" w:rsidP="00CA12CF">
      <w:pPr>
        <w:pStyle w:val="Normlndobloku"/>
        <w:rPr>
          <w:lang w:val="sk-SK"/>
        </w:rPr>
      </w:pPr>
      <w:r w:rsidRPr="00E34F72">
        <w:rPr>
          <w:lang w:val="sk-SK"/>
        </w:rPr>
        <w:t xml:space="preserve">3 </w:t>
      </w:r>
      <w:r w:rsidR="008039A5" w:rsidRPr="00E34F72">
        <w:rPr>
          <w:lang w:val="sk-SK"/>
        </w:rPr>
        <w:t>roky</w:t>
      </w:r>
    </w:p>
    <w:p w14:paraId="6A8EEB60" w14:textId="77777777" w:rsidR="004339CE" w:rsidRPr="00A97442" w:rsidRDefault="00BC64AE" w:rsidP="00A81CB3">
      <w:pPr>
        <w:pStyle w:val="Styl2"/>
        <w:rPr>
          <w:lang w:val="sk-SK"/>
        </w:rPr>
      </w:pPr>
      <w:r w:rsidRPr="00A97442">
        <w:rPr>
          <w:lang w:val="sk-SK"/>
        </w:rPr>
        <w:t>Špeciálne upozornenia na uchovávanie</w:t>
      </w:r>
    </w:p>
    <w:p w14:paraId="07E8B3EB" w14:textId="77777777" w:rsidR="009A7444" w:rsidRPr="00E34F72" w:rsidRDefault="009A7444" w:rsidP="009A7444">
      <w:pPr>
        <w:pStyle w:val="Normlndobloku"/>
        <w:rPr>
          <w:lang w:val="sk-SK"/>
        </w:rPr>
      </w:pPr>
      <w:r w:rsidRPr="00E34F72">
        <w:rPr>
          <w:lang w:val="sk-SK"/>
        </w:rPr>
        <w:t>Uchováva</w:t>
      </w:r>
      <w:r w:rsidR="00FD747F" w:rsidRPr="00E34F72">
        <w:rPr>
          <w:lang w:val="sk-SK"/>
        </w:rPr>
        <w:t>jte</w:t>
      </w:r>
      <w:r w:rsidRPr="00E34F72">
        <w:rPr>
          <w:lang w:val="sk-SK"/>
        </w:rPr>
        <w:t xml:space="preserve"> pri teplote </w:t>
      </w:r>
      <w:r w:rsidR="00960A05" w:rsidRPr="00E34F72">
        <w:rPr>
          <w:lang w:val="sk-SK"/>
        </w:rPr>
        <w:t>do 30</w:t>
      </w:r>
      <w:r w:rsidR="00645668">
        <w:rPr>
          <w:lang w:val="sk-SK"/>
        </w:rPr>
        <w:t> </w:t>
      </w:r>
      <w:r w:rsidRPr="00E34F72">
        <w:rPr>
          <w:lang w:val="sk-SK"/>
        </w:rPr>
        <w:t>°C</w:t>
      </w:r>
      <w:r w:rsidR="00133AB1" w:rsidRPr="00E34F72">
        <w:rPr>
          <w:lang w:val="sk-SK"/>
        </w:rPr>
        <w:t xml:space="preserve"> v pôvodnom obale</w:t>
      </w:r>
      <w:r w:rsidR="00960A05" w:rsidRPr="00E34F72">
        <w:rPr>
          <w:lang w:val="sk-SK"/>
        </w:rPr>
        <w:t>. Neuchovávajte v chladničke alebo mrazničke.</w:t>
      </w:r>
    </w:p>
    <w:p w14:paraId="054B0362" w14:textId="77777777" w:rsidR="008039A5" w:rsidRPr="00A97442" w:rsidRDefault="00BC64AE" w:rsidP="00A81CB3">
      <w:pPr>
        <w:pStyle w:val="Styl2"/>
        <w:rPr>
          <w:lang w:val="sk-SK"/>
        </w:rPr>
      </w:pPr>
      <w:r w:rsidRPr="00A97442">
        <w:rPr>
          <w:lang w:val="sk-SK"/>
        </w:rPr>
        <w:t xml:space="preserve">Druh </w:t>
      </w:r>
      <w:r w:rsidR="008039A5" w:rsidRPr="00A97442">
        <w:rPr>
          <w:lang w:val="sk-SK"/>
        </w:rPr>
        <w:t>obalu</w:t>
      </w:r>
      <w:r w:rsidRPr="00A97442">
        <w:rPr>
          <w:lang w:val="sk-SK"/>
        </w:rPr>
        <w:t xml:space="preserve"> a obsah </w:t>
      </w:r>
      <w:r w:rsidR="008039A5" w:rsidRPr="00A97442">
        <w:rPr>
          <w:lang w:val="sk-SK"/>
        </w:rPr>
        <w:t>balenia</w:t>
      </w:r>
    </w:p>
    <w:p w14:paraId="29CD853E" w14:textId="77777777" w:rsidR="0017197F" w:rsidRPr="00E34F72" w:rsidRDefault="0017197F" w:rsidP="00CA12CF">
      <w:pPr>
        <w:pStyle w:val="Normlndobloku"/>
        <w:rPr>
          <w:lang w:val="sk-SK"/>
        </w:rPr>
      </w:pPr>
      <w:r w:rsidRPr="00E34F72">
        <w:rPr>
          <w:lang w:val="sk-SK"/>
        </w:rPr>
        <w:t>Ampulka z hnedého skla</w:t>
      </w:r>
      <w:r w:rsidR="007D63A7" w:rsidRPr="00E34F72">
        <w:rPr>
          <w:lang w:val="sk-SK"/>
        </w:rPr>
        <w:t xml:space="preserve"> </w:t>
      </w:r>
      <w:r w:rsidRPr="00E34F72">
        <w:rPr>
          <w:lang w:val="sk-SK"/>
        </w:rPr>
        <w:t xml:space="preserve">, PVC zásobník uzavretý PE fóliou, </w:t>
      </w:r>
      <w:r w:rsidR="007D63A7" w:rsidRPr="00E34F72">
        <w:rPr>
          <w:lang w:val="sk-SK"/>
        </w:rPr>
        <w:t xml:space="preserve">papierová </w:t>
      </w:r>
      <w:r w:rsidRPr="00E34F72">
        <w:rPr>
          <w:lang w:val="sk-SK"/>
        </w:rPr>
        <w:t>škatuľka</w:t>
      </w:r>
      <w:r w:rsidR="000353F4" w:rsidRPr="00E34F72">
        <w:rPr>
          <w:lang w:val="sk-SK"/>
        </w:rPr>
        <w:t>.</w:t>
      </w:r>
    </w:p>
    <w:p w14:paraId="4C7D6FAB" w14:textId="753047BF" w:rsidR="000353F4" w:rsidRPr="00A97442" w:rsidRDefault="000353F4" w:rsidP="00A81CB3">
      <w:pPr>
        <w:pStyle w:val="Styl2"/>
        <w:numPr>
          <w:ilvl w:val="0"/>
          <w:numId w:val="0"/>
        </w:numPr>
        <w:rPr>
          <w:b w:val="0"/>
          <w:bCs w:val="0"/>
          <w:szCs w:val="24"/>
          <w:lang w:val="sk-SK" w:eastAsia="cs-CZ"/>
        </w:rPr>
      </w:pPr>
      <w:r w:rsidRPr="00A97442">
        <w:rPr>
          <w:b w:val="0"/>
          <w:bCs w:val="0"/>
          <w:szCs w:val="24"/>
          <w:u w:val="single"/>
          <w:lang w:val="sk-SK" w:eastAsia="cs-CZ"/>
        </w:rPr>
        <w:t>Veľkosť balenia</w:t>
      </w:r>
      <w:r w:rsidRPr="00A97442">
        <w:rPr>
          <w:b w:val="0"/>
          <w:bCs w:val="0"/>
          <w:szCs w:val="24"/>
          <w:lang w:val="sk-SK" w:eastAsia="cs-CZ"/>
        </w:rPr>
        <w:t>: 10 x 2 ml, 100 x 2 ml</w:t>
      </w:r>
    </w:p>
    <w:p w14:paraId="0331CC4A" w14:textId="77777777" w:rsidR="005B5ECB" w:rsidRPr="00E34F72" w:rsidRDefault="005B5ECB" w:rsidP="00CA12CF">
      <w:pPr>
        <w:pStyle w:val="Normlndobloku"/>
        <w:rPr>
          <w:lang w:val="sk-SK"/>
        </w:rPr>
      </w:pPr>
      <w:r w:rsidRPr="00E34F72">
        <w:rPr>
          <w:lang w:val="sk-SK"/>
        </w:rPr>
        <w:t>Nie všetky veľkosti balenia musia byť uvedené na trh.</w:t>
      </w:r>
    </w:p>
    <w:p w14:paraId="2876EC34" w14:textId="77777777" w:rsidR="00BC64AE" w:rsidRPr="00A97442" w:rsidRDefault="00BC64AE" w:rsidP="00A81CB3">
      <w:pPr>
        <w:pStyle w:val="Styl2"/>
        <w:rPr>
          <w:lang w:val="sk-SK"/>
        </w:rPr>
      </w:pPr>
      <w:r w:rsidRPr="00A97442">
        <w:rPr>
          <w:lang w:val="sk-SK"/>
        </w:rPr>
        <w:t>Špeciálne opatrenia na likvidáciu a iné zaobchádzanie s liekom</w:t>
      </w:r>
    </w:p>
    <w:p w14:paraId="75505F01" w14:textId="77777777" w:rsidR="008039A5" w:rsidRPr="00E34F72" w:rsidRDefault="008039A5" w:rsidP="00BC64AE">
      <w:pPr>
        <w:pStyle w:val="Normlndobloku"/>
        <w:rPr>
          <w:lang w:val="sk-SK"/>
        </w:rPr>
      </w:pPr>
      <w:r w:rsidRPr="00E34F72">
        <w:rPr>
          <w:lang w:val="sk-SK"/>
        </w:rPr>
        <w:t xml:space="preserve">Ako rozpúšťadlo používajte len chlorid sodný alebo glukózu. </w:t>
      </w:r>
      <w:proofErr w:type="spellStart"/>
      <w:r w:rsidRPr="00E34F72">
        <w:rPr>
          <w:lang w:val="sk-SK"/>
        </w:rPr>
        <w:t>Infúzny</w:t>
      </w:r>
      <w:proofErr w:type="spellEnd"/>
      <w:r w:rsidRPr="00E34F72">
        <w:rPr>
          <w:lang w:val="sk-SK"/>
        </w:rPr>
        <w:t xml:space="preserve"> roztok musí byť podaný do 24 hodín.</w:t>
      </w:r>
    </w:p>
    <w:p w14:paraId="2759B196" w14:textId="77777777" w:rsidR="00E10752" w:rsidRPr="00E34F72" w:rsidRDefault="008039A5" w:rsidP="00A97442">
      <w:pPr>
        <w:pStyle w:val="Styl1"/>
      </w:pPr>
      <w:r w:rsidRPr="00E34F72">
        <w:t>DRŽITEĽ ROZHODNUTIA O REGISTRÁCII</w:t>
      </w:r>
    </w:p>
    <w:p w14:paraId="057211F9" w14:textId="7EF2FEB3" w:rsidR="00A81CB3" w:rsidRPr="00E34F72" w:rsidRDefault="00A81CB3" w:rsidP="00960A05">
      <w:pPr>
        <w:pStyle w:val="Normlndobloku"/>
        <w:rPr>
          <w:lang w:val="sk-SK"/>
        </w:rPr>
      </w:pPr>
      <w:r w:rsidRPr="00A97442">
        <w:rPr>
          <w:lang w:val="sk-SK"/>
        </w:rPr>
        <w:t xml:space="preserve">MEDOCHEMIE </w:t>
      </w:r>
      <w:proofErr w:type="spellStart"/>
      <w:r w:rsidRPr="00A97442">
        <w:rPr>
          <w:lang w:val="sk-SK"/>
        </w:rPr>
        <w:t>Ltd</w:t>
      </w:r>
      <w:proofErr w:type="spellEnd"/>
      <w:r w:rsidRPr="00A97442">
        <w:rPr>
          <w:lang w:val="sk-SK"/>
        </w:rPr>
        <w:t>.</w:t>
      </w:r>
      <w:r w:rsidR="00DC3B58">
        <w:rPr>
          <w:lang w:val="sk-SK"/>
        </w:rPr>
        <w:t xml:space="preserve">, </w:t>
      </w:r>
      <w:r w:rsidRPr="00A97442">
        <w:rPr>
          <w:lang w:val="sk-SK"/>
        </w:rPr>
        <w:t xml:space="preserve">1-10 </w:t>
      </w:r>
      <w:proofErr w:type="spellStart"/>
      <w:r w:rsidRPr="00A97442">
        <w:rPr>
          <w:lang w:val="sk-SK"/>
        </w:rPr>
        <w:t>Constantinoupoleos</w:t>
      </w:r>
      <w:proofErr w:type="spellEnd"/>
      <w:r w:rsidRPr="00A97442">
        <w:rPr>
          <w:lang w:val="sk-SK"/>
        </w:rPr>
        <w:t xml:space="preserve"> </w:t>
      </w:r>
      <w:proofErr w:type="spellStart"/>
      <w:r w:rsidRPr="00A97442">
        <w:rPr>
          <w:lang w:val="sk-SK"/>
        </w:rPr>
        <w:t>Street</w:t>
      </w:r>
      <w:proofErr w:type="spellEnd"/>
      <w:r w:rsidR="00DC3B58">
        <w:rPr>
          <w:lang w:val="sk-SK"/>
        </w:rPr>
        <w:t xml:space="preserve">, </w:t>
      </w:r>
      <w:r w:rsidRPr="00A97442">
        <w:rPr>
          <w:lang w:val="sk-SK"/>
        </w:rPr>
        <w:t xml:space="preserve">3011 </w:t>
      </w:r>
      <w:proofErr w:type="spellStart"/>
      <w:r w:rsidRPr="00A97442">
        <w:rPr>
          <w:lang w:val="sk-SK"/>
        </w:rPr>
        <w:t>Limassol</w:t>
      </w:r>
      <w:proofErr w:type="spellEnd"/>
      <w:r w:rsidR="00DC3B58">
        <w:rPr>
          <w:lang w:val="sk-SK"/>
        </w:rPr>
        <w:t xml:space="preserve">, </w:t>
      </w:r>
      <w:r w:rsidRPr="00A97442">
        <w:rPr>
          <w:lang w:val="sk-SK"/>
        </w:rPr>
        <w:t>Cyprus</w:t>
      </w:r>
    </w:p>
    <w:p w14:paraId="04283DC0" w14:textId="77777777" w:rsidR="008039A5" w:rsidRPr="00E34F72" w:rsidRDefault="008039A5" w:rsidP="00645668">
      <w:pPr>
        <w:pStyle w:val="Styl1"/>
      </w:pPr>
      <w:r w:rsidRPr="00E34F72">
        <w:t>REGISTRAČNÉ ČÍSLO</w:t>
      </w:r>
    </w:p>
    <w:p w14:paraId="16D59C62" w14:textId="77777777" w:rsidR="00FD747F" w:rsidRPr="00E34F72" w:rsidRDefault="00FD747F" w:rsidP="00FD747F">
      <w:pPr>
        <w:pStyle w:val="Normlndobloku"/>
        <w:rPr>
          <w:lang w:val="sk-SK"/>
        </w:rPr>
      </w:pPr>
      <w:r w:rsidRPr="00E34F72">
        <w:rPr>
          <w:lang w:val="sk-SK"/>
        </w:rPr>
        <w:t>56/0199/02-S</w:t>
      </w:r>
    </w:p>
    <w:p w14:paraId="1BDD26D5" w14:textId="786AC484" w:rsidR="008039A5" w:rsidRPr="00E34F72" w:rsidRDefault="008039A5" w:rsidP="00645668">
      <w:pPr>
        <w:pStyle w:val="Styl1"/>
      </w:pPr>
      <w:r w:rsidRPr="00E34F72">
        <w:lastRenderedPageBreak/>
        <w:t xml:space="preserve">DÁTUM </w:t>
      </w:r>
      <w:r w:rsidR="00BC64AE" w:rsidRPr="00E34F72">
        <w:t xml:space="preserve">PRVEJ </w:t>
      </w:r>
      <w:r w:rsidRPr="00E34F72">
        <w:t>REGISTRÁCIE / PREDĹŽENIA REGISTRÁCIE</w:t>
      </w:r>
    </w:p>
    <w:p w14:paraId="0E277AF2" w14:textId="77777777" w:rsidR="0082272E" w:rsidRDefault="008F3134" w:rsidP="00CA12CF">
      <w:pPr>
        <w:pStyle w:val="Normlndobloku"/>
        <w:rPr>
          <w:lang w:val="sk-SK"/>
        </w:rPr>
      </w:pPr>
      <w:r>
        <w:rPr>
          <w:lang w:val="sk-SK"/>
        </w:rPr>
        <w:t>Dátum</w:t>
      </w:r>
      <w:r w:rsidR="0082272E">
        <w:rPr>
          <w:lang w:val="sk-SK"/>
        </w:rPr>
        <w:t xml:space="preserve"> prv</w:t>
      </w:r>
      <w:r>
        <w:rPr>
          <w:lang w:val="sk-SK"/>
        </w:rPr>
        <w:t>ej registrácie</w:t>
      </w:r>
      <w:r w:rsidR="0082272E">
        <w:rPr>
          <w:lang w:val="sk-SK"/>
        </w:rPr>
        <w:t xml:space="preserve">: </w:t>
      </w:r>
      <w:r w:rsidR="008039A5" w:rsidRPr="00E34F72">
        <w:rPr>
          <w:lang w:val="sk-SK"/>
        </w:rPr>
        <w:t>1.10.2002</w:t>
      </w:r>
    </w:p>
    <w:p w14:paraId="1BA446EB" w14:textId="3301FB2F" w:rsidR="008039A5" w:rsidRPr="00E34F72" w:rsidRDefault="008F3134" w:rsidP="00CA12CF">
      <w:pPr>
        <w:pStyle w:val="Normlndobloku"/>
        <w:rPr>
          <w:lang w:val="sk-SK"/>
        </w:rPr>
      </w:pPr>
      <w:r>
        <w:rPr>
          <w:lang w:val="sk-SK"/>
        </w:rPr>
        <w:t>Dátum posledné</w:t>
      </w:r>
      <w:r w:rsidR="0082272E">
        <w:rPr>
          <w:lang w:val="sk-SK"/>
        </w:rPr>
        <w:t xml:space="preserve">ho </w:t>
      </w:r>
      <w:r>
        <w:rPr>
          <w:lang w:val="sk-SK"/>
        </w:rPr>
        <w:t>predĺženia registrácie</w:t>
      </w:r>
      <w:r w:rsidR="0082272E">
        <w:rPr>
          <w:lang w:val="sk-SK"/>
        </w:rPr>
        <w:t>:</w:t>
      </w:r>
      <w:r w:rsidR="00AB583A" w:rsidRPr="00E34F72">
        <w:rPr>
          <w:lang w:val="sk-SK"/>
        </w:rPr>
        <w:t xml:space="preserve"> </w:t>
      </w:r>
      <w:r w:rsidR="00E93873" w:rsidRPr="00E34F72">
        <w:rPr>
          <w:lang w:val="sk-SK"/>
        </w:rPr>
        <w:t>bez časového obmedzenia</w:t>
      </w:r>
    </w:p>
    <w:p w14:paraId="08417745" w14:textId="77777777" w:rsidR="008039A5" w:rsidRPr="00E34F72" w:rsidRDefault="008039A5" w:rsidP="00645668">
      <w:pPr>
        <w:pStyle w:val="Styl1"/>
        <w:numPr>
          <w:ilvl w:val="0"/>
          <w:numId w:val="28"/>
        </w:numPr>
      </w:pPr>
      <w:r w:rsidRPr="00E34F72">
        <w:t>DÁTUM REVÍZIE TEXTU</w:t>
      </w:r>
    </w:p>
    <w:p w14:paraId="528959FF" w14:textId="48DB29AD" w:rsidR="008039A5" w:rsidRPr="00E34F72" w:rsidRDefault="00987870" w:rsidP="00E93873">
      <w:pPr>
        <w:pStyle w:val="Normlndobloku"/>
        <w:outlineLvl w:val="0"/>
        <w:rPr>
          <w:lang w:val="sk-SK"/>
        </w:rPr>
      </w:pPr>
      <w:r>
        <w:rPr>
          <w:lang w:val="sk-SK"/>
        </w:rPr>
        <w:t>01</w:t>
      </w:r>
      <w:r w:rsidR="003B7689" w:rsidRPr="00E34F72">
        <w:rPr>
          <w:lang w:val="sk-SK"/>
        </w:rPr>
        <w:t>/</w:t>
      </w:r>
      <w:r w:rsidR="00F325F1" w:rsidRPr="00E34F72">
        <w:rPr>
          <w:lang w:val="sk-SK"/>
        </w:rPr>
        <w:t>201</w:t>
      </w:r>
      <w:r>
        <w:rPr>
          <w:lang w:val="sk-SK"/>
        </w:rPr>
        <w:t>8</w:t>
      </w:r>
    </w:p>
    <w:sectPr w:rsidR="008039A5" w:rsidRPr="00E34F72" w:rsidSect="000E5DAC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8" w:right="1134" w:bottom="1418" w:left="1418" w:header="709" w:footer="709" w:gutter="0"/>
      <w:cols w:space="708"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69797EE" w15:done="0"/>
  <w15:commentEx w15:paraId="70AC4D6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69797EE" w16cid:durableId="1DE377D0"/>
  <w16cid:commentId w16cid:paraId="70AC4D64" w16cid:durableId="1DE377D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595938" w14:textId="77777777" w:rsidR="009E2471" w:rsidRDefault="009E2471">
      <w:r>
        <w:separator/>
      </w:r>
    </w:p>
  </w:endnote>
  <w:endnote w:type="continuationSeparator" w:id="0">
    <w:p w14:paraId="6BFAF953" w14:textId="77777777" w:rsidR="009E2471" w:rsidRDefault="009E2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24243" w14:textId="77777777" w:rsidR="006077C0" w:rsidRPr="00464147" w:rsidRDefault="006077C0" w:rsidP="007C36F8">
    <w:pPr>
      <w:pStyle w:val="Pta"/>
      <w:jc w:val="center"/>
      <w:rPr>
        <w:rFonts w:ascii="Times New Roman" w:hAnsi="Times New Roman" w:cs="Times New Roman"/>
        <w:sz w:val="22"/>
        <w:szCs w:val="22"/>
        <w:lang w:val="sk-SK"/>
      </w:rPr>
    </w:pPr>
    <w:r w:rsidRPr="00464147">
      <w:rPr>
        <w:rStyle w:val="slostrany"/>
        <w:rFonts w:ascii="Times New Roman" w:hAnsi="Times New Roman" w:cs="Times New Roman"/>
        <w:sz w:val="22"/>
        <w:szCs w:val="22"/>
      </w:rPr>
      <w:fldChar w:fldCharType="begin"/>
    </w:r>
    <w:r w:rsidRPr="00464147">
      <w:rPr>
        <w:rStyle w:val="slostrany"/>
        <w:rFonts w:ascii="Times New Roman" w:hAnsi="Times New Roman" w:cs="Times New Roman"/>
        <w:sz w:val="22"/>
        <w:szCs w:val="22"/>
      </w:rPr>
      <w:instrText xml:space="preserve"> PAGE </w:instrText>
    </w:r>
    <w:r w:rsidRPr="00464147">
      <w:rPr>
        <w:rStyle w:val="slostrany"/>
        <w:rFonts w:ascii="Times New Roman" w:hAnsi="Times New Roman" w:cs="Times New Roman"/>
        <w:sz w:val="22"/>
        <w:szCs w:val="22"/>
      </w:rPr>
      <w:fldChar w:fldCharType="separate"/>
    </w:r>
    <w:r w:rsidR="000E5DAC">
      <w:rPr>
        <w:rStyle w:val="slostrany"/>
        <w:rFonts w:ascii="Times New Roman" w:hAnsi="Times New Roman" w:cs="Times New Roman"/>
        <w:noProof/>
        <w:sz w:val="22"/>
        <w:szCs w:val="22"/>
      </w:rPr>
      <w:t>1</w:t>
    </w:r>
    <w:r w:rsidRPr="00464147">
      <w:rPr>
        <w:rStyle w:val="slostrany"/>
        <w:rFonts w:ascii="Times New Roman" w:hAnsi="Times New Roman" w:cs="Times New Roman"/>
        <w:sz w:val="22"/>
        <w:szCs w:val="22"/>
      </w:rPr>
      <w:fldChar w:fldCharType="end"/>
    </w:r>
    <w:r w:rsidRPr="00464147">
      <w:rPr>
        <w:rStyle w:val="slostrany"/>
        <w:rFonts w:ascii="Times New Roman" w:hAnsi="Times New Roman" w:cs="Times New Roman"/>
        <w:sz w:val="22"/>
        <w:szCs w:val="22"/>
      </w:rPr>
      <w:t>/</w:t>
    </w:r>
    <w:r w:rsidRPr="00464147">
      <w:rPr>
        <w:rStyle w:val="slostrany"/>
        <w:rFonts w:ascii="Times New Roman" w:hAnsi="Times New Roman" w:cs="Times New Roman"/>
        <w:sz w:val="22"/>
        <w:szCs w:val="22"/>
      </w:rPr>
      <w:fldChar w:fldCharType="begin"/>
    </w:r>
    <w:r w:rsidRPr="00464147">
      <w:rPr>
        <w:rStyle w:val="slostrany"/>
        <w:rFonts w:ascii="Times New Roman" w:hAnsi="Times New Roman" w:cs="Times New Roman"/>
        <w:sz w:val="22"/>
        <w:szCs w:val="22"/>
      </w:rPr>
      <w:instrText xml:space="preserve"> NUMPAGES </w:instrText>
    </w:r>
    <w:r w:rsidRPr="00464147">
      <w:rPr>
        <w:rStyle w:val="slostrany"/>
        <w:rFonts w:ascii="Times New Roman" w:hAnsi="Times New Roman" w:cs="Times New Roman"/>
        <w:sz w:val="22"/>
        <w:szCs w:val="22"/>
      </w:rPr>
      <w:fldChar w:fldCharType="separate"/>
    </w:r>
    <w:r w:rsidR="000E5DAC">
      <w:rPr>
        <w:rStyle w:val="slostrany"/>
        <w:rFonts w:ascii="Times New Roman" w:hAnsi="Times New Roman" w:cs="Times New Roman"/>
        <w:noProof/>
        <w:sz w:val="22"/>
        <w:szCs w:val="22"/>
      </w:rPr>
      <w:t>9</w:t>
    </w:r>
    <w:r w:rsidRPr="00464147">
      <w:rPr>
        <w:rStyle w:val="slostrany"/>
        <w:rFonts w:ascii="Times New Roman" w:hAnsi="Times New Roman" w:cs="Times New Roman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AD0D4A" w14:textId="77777777" w:rsidR="006077C0" w:rsidRPr="00464147" w:rsidRDefault="006077C0" w:rsidP="006718C7">
    <w:pPr>
      <w:pStyle w:val="Pta"/>
      <w:jc w:val="center"/>
      <w:rPr>
        <w:rFonts w:ascii="Times New Roman" w:hAnsi="Times New Roman" w:cs="Times New Roman"/>
        <w:sz w:val="22"/>
        <w:szCs w:val="22"/>
      </w:rPr>
    </w:pPr>
    <w:r w:rsidRPr="00464147">
      <w:rPr>
        <w:rStyle w:val="slostrany"/>
        <w:rFonts w:ascii="Times New Roman" w:hAnsi="Times New Roman" w:cs="Times New Roman"/>
        <w:sz w:val="22"/>
        <w:szCs w:val="22"/>
      </w:rPr>
      <w:fldChar w:fldCharType="begin"/>
    </w:r>
    <w:r w:rsidRPr="00464147">
      <w:rPr>
        <w:rStyle w:val="slostrany"/>
        <w:rFonts w:ascii="Times New Roman" w:hAnsi="Times New Roman" w:cs="Times New Roman"/>
        <w:sz w:val="22"/>
        <w:szCs w:val="22"/>
      </w:rPr>
      <w:instrText xml:space="preserve"> PAGE </w:instrText>
    </w:r>
    <w:r w:rsidRPr="00464147">
      <w:rPr>
        <w:rStyle w:val="slostrany"/>
        <w:rFonts w:ascii="Times New Roman" w:hAnsi="Times New Roman" w:cs="Times New Roman"/>
        <w:sz w:val="22"/>
        <w:szCs w:val="22"/>
      </w:rPr>
      <w:fldChar w:fldCharType="separate"/>
    </w:r>
    <w:r w:rsidR="000E5DAC">
      <w:rPr>
        <w:rStyle w:val="slostrany"/>
        <w:rFonts w:ascii="Times New Roman" w:hAnsi="Times New Roman" w:cs="Times New Roman"/>
        <w:noProof/>
        <w:sz w:val="22"/>
        <w:szCs w:val="22"/>
      </w:rPr>
      <w:t>1</w:t>
    </w:r>
    <w:r w:rsidRPr="00464147">
      <w:rPr>
        <w:rStyle w:val="slostrany"/>
        <w:rFonts w:ascii="Times New Roman" w:hAnsi="Times New Roman" w:cs="Times New Roman"/>
        <w:sz w:val="22"/>
        <w:szCs w:val="22"/>
      </w:rPr>
      <w:fldChar w:fldCharType="end"/>
    </w:r>
    <w:r w:rsidRPr="00464147">
      <w:rPr>
        <w:rStyle w:val="slostrany"/>
        <w:rFonts w:ascii="Times New Roman" w:hAnsi="Times New Roman" w:cs="Times New Roman"/>
        <w:sz w:val="22"/>
        <w:szCs w:val="22"/>
      </w:rPr>
      <w:t>/</w:t>
    </w:r>
    <w:r w:rsidRPr="00464147">
      <w:rPr>
        <w:rStyle w:val="slostrany"/>
        <w:rFonts w:ascii="Times New Roman" w:hAnsi="Times New Roman" w:cs="Times New Roman"/>
        <w:sz w:val="22"/>
        <w:szCs w:val="22"/>
      </w:rPr>
      <w:fldChar w:fldCharType="begin"/>
    </w:r>
    <w:r w:rsidRPr="00464147">
      <w:rPr>
        <w:rStyle w:val="slostrany"/>
        <w:rFonts w:ascii="Times New Roman" w:hAnsi="Times New Roman" w:cs="Times New Roman"/>
        <w:sz w:val="22"/>
        <w:szCs w:val="22"/>
      </w:rPr>
      <w:instrText xml:space="preserve"> NUMPAGES </w:instrText>
    </w:r>
    <w:r w:rsidRPr="00464147">
      <w:rPr>
        <w:rStyle w:val="slostrany"/>
        <w:rFonts w:ascii="Times New Roman" w:hAnsi="Times New Roman" w:cs="Times New Roman"/>
        <w:sz w:val="22"/>
        <w:szCs w:val="22"/>
      </w:rPr>
      <w:fldChar w:fldCharType="separate"/>
    </w:r>
    <w:r w:rsidR="000E5DAC">
      <w:rPr>
        <w:rStyle w:val="slostrany"/>
        <w:rFonts w:ascii="Times New Roman" w:hAnsi="Times New Roman" w:cs="Times New Roman"/>
        <w:noProof/>
        <w:sz w:val="22"/>
        <w:szCs w:val="22"/>
      </w:rPr>
      <w:t>9</w:t>
    </w:r>
    <w:r w:rsidRPr="00464147">
      <w:rPr>
        <w:rStyle w:val="slostrany"/>
        <w:rFonts w:ascii="Times New Roman" w:hAnsi="Times New Roman" w:cs="Times New Roman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3D5D8A" w14:textId="77777777" w:rsidR="009E2471" w:rsidRDefault="009E2471">
      <w:r>
        <w:separator/>
      </w:r>
    </w:p>
  </w:footnote>
  <w:footnote w:type="continuationSeparator" w:id="0">
    <w:p w14:paraId="7DA37042" w14:textId="77777777" w:rsidR="009E2471" w:rsidRDefault="009E24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ADC1E3" w14:textId="77777777" w:rsidR="000E5DAC" w:rsidRDefault="000E5DAC" w:rsidP="000E5DAC">
    <w:pPr>
      <w:ind w:right="-108"/>
      <w:outlineLvl w:val="0"/>
      <w:rPr>
        <w:sz w:val="18"/>
        <w:szCs w:val="18"/>
        <w:lang w:val="sk-SK"/>
      </w:rPr>
    </w:pPr>
    <w:r w:rsidRPr="00BD3CD7">
      <w:rPr>
        <w:sz w:val="18"/>
        <w:szCs w:val="18"/>
        <w:lang w:val="sk-SK"/>
      </w:rPr>
      <w:t xml:space="preserve">Schválený text k rozhodnutiu o </w:t>
    </w:r>
    <w:r>
      <w:rPr>
        <w:sz w:val="18"/>
        <w:szCs w:val="18"/>
        <w:lang w:val="sk-SK"/>
      </w:rPr>
      <w:t>prevode</w:t>
    </w:r>
    <w:r w:rsidRPr="00BD3CD7">
      <w:rPr>
        <w:sz w:val="18"/>
        <w:szCs w:val="18"/>
        <w:lang w:val="sk-SK"/>
      </w:rPr>
      <w:t>, ev. č.:</w:t>
    </w:r>
    <w:r>
      <w:rPr>
        <w:sz w:val="18"/>
        <w:szCs w:val="18"/>
        <w:lang w:val="sk-SK"/>
      </w:rPr>
      <w:t xml:space="preserve"> 2017/06493-TR</w:t>
    </w:r>
  </w:p>
  <w:p w14:paraId="45F3E44D" w14:textId="77777777" w:rsidR="000E5DAC" w:rsidRDefault="000E5DAC" w:rsidP="000E5DAC">
    <w:pPr>
      <w:ind w:right="-108"/>
      <w:outlineLvl w:val="0"/>
      <w:rPr>
        <w:sz w:val="18"/>
        <w:szCs w:val="18"/>
        <w:lang w:val="sk-SK"/>
      </w:rPr>
    </w:pPr>
    <w:r w:rsidRPr="00413F9B">
      <w:rPr>
        <w:sz w:val="18"/>
        <w:szCs w:val="18"/>
        <w:lang w:val="sk-SK"/>
      </w:rPr>
      <w:t>Príloha č.</w:t>
    </w:r>
    <w:r>
      <w:rPr>
        <w:sz w:val="18"/>
        <w:szCs w:val="18"/>
        <w:lang w:val="sk-SK"/>
      </w:rPr>
      <w:t xml:space="preserve"> 1 k notifikácii o zmene ev. č.: 2017/05519-ZIA</w:t>
    </w:r>
  </w:p>
  <w:p w14:paraId="02497E5A" w14:textId="77777777" w:rsidR="000E5DAC" w:rsidRDefault="000E5DAC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17FC0F" w14:textId="77777777" w:rsidR="006077C0" w:rsidRPr="00DC615D" w:rsidRDefault="006077C0" w:rsidP="00566DA1">
    <w:pPr>
      <w:ind w:right="-108"/>
      <w:outlineLvl w:val="0"/>
      <w:rPr>
        <w:rFonts w:ascii="Arial" w:hAnsi="Arial" w:cs="Arial"/>
        <w:sz w:val="16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F082C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F5854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53E5F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27C8556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E7E10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1665B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E0810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61C2B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3022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ED8BD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7D006A"/>
    <w:multiLevelType w:val="singleLevel"/>
    <w:tmpl w:val="0E540EAE"/>
    <w:lvl w:ilvl="0">
      <w:start w:val="1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>
    <w:nsid w:val="23FD4B0C"/>
    <w:multiLevelType w:val="hybridMultilevel"/>
    <w:tmpl w:val="8EC6AE8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96B1817"/>
    <w:multiLevelType w:val="singleLevel"/>
    <w:tmpl w:val="B3764E70"/>
    <w:lvl w:ilvl="0">
      <w:start w:val="1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3">
    <w:nsid w:val="2C8C2EA6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4">
    <w:nsid w:val="33BC7113"/>
    <w:multiLevelType w:val="singleLevel"/>
    <w:tmpl w:val="79A67A52"/>
    <w:lvl w:ilvl="0">
      <w:start w:val="1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>
    <w:nsid w:val="400009B8"/>
    <w:multiLevelType w:val="multilevel"/>
    <w:tmpl w:val="8EC6A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8DA1B39"/>
    <w:multiLevelType w:val="singleLevel"/>
    <w:tmpl w:val="102A8B88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>
    <w:nsid w:val="4D6B42A1"/>
    <w:multiLevelType w:val="hybridMultilevel"/>
    <w:tmpl w:val="D040D92C"/>
    <w:lvl w:ilvl="0" w:tplc="FA065668">
      <w:start w:val="1"/>
      <w:numFmt w:val="bullet"/>
      <w:pStyle w:val="Normlndoblokusodrkami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224082E"/>
    <w:multiLevelType w:val="singleLevel"/>
    <w:tmpl w:val="E64CA2A0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9">
    <w:nsid w:val="5AF10EE3"/>
    <w:multiLevelType w:val="multilevel"/>
    <w:tmpl w:val="862CE4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>
    <w:nsid w:val="6AAD4AA7"/>
    <w:multiLevelType w:val="multilevel"/>
    <w:tmpl w:val="40845936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2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79E35910"/>
    <w:multiLevelType w:val="hybridMultilevel"/>
    <w:tmpl w:val="0BF655AC"/>
    <w:lvl w:ilvl="0" w:tplc="19BC8A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  <w:lvl w:ilvl="1" w:tplc="F094EFAC">
      <w:numFmt w:val="none"/>
      <w:lvlText w:val=""/>
      <w:lvlJc w:val="left"/>
      <w:pPr>
        <w:tabs>
          <w:tab w:val="num" w:pos="360"/>
        </w:tabs>
      </w:pPr>
    </w:lvl>
    <w:lvl w:ilvl="2" w:tplc="1F5A0122">
      <w:numFmt w:val="none"/>
      <w:lvlText w:val=""/>
      <w:lvlJc w:val="left"/>
      <w:pPr>
        <w:tabs>
          <w:tab w:val="num" w:pos="360"/>
        </w:tabs>
      </w:pPr>
    </w:lvl>
    <w:lvl w:ilvl="3" w:tplc="F404C4F8">
      <w:numFmt w:val="none"/>
      <w:lvlText w:val=""/>
      <w:lvlJc w:val="left"/>
      <w:pPr>
        <w:tabs>
          <w:tab w:val="num" w:pos="360"/>
        </w:tabs>
      </w:pPr>
    </w:lvl>
    <w:lvl w:ilvl="4" w:tplc="D64E305A">
      <w:numFmt w:val="none"/>
      <w:lvlText w:val=""/>
      <w:lvlJc w:val="left"/>
      <w:pPr>
        <w:tabs>
          <w:tab w:val="num" w:pos="360"/>
        </w:tabs>
      </w:pPr>
    </w:lvl>
    <w:lvl w:ilvl="5" w:tplc="504A9F56">
      <w:numFmt w:val="none"/>
      <w:lvlText w:val=""/>
      <w:lvlJc w:val="left"/>
      <w:pPr>
        <w:tabs>
          <w:tab w:val="num" w:pos="360"/>
        </w:tabs>
      </w:pPr>
    </w:lvl>
    <w:lvl w:ilvl="6" w:tplc="0E2CF664">
      <w:numFmt w:val="none"/>
      <w:lvlText w:val=""/>
      <w:lvlJc w:val="left"/>
      <w:pPr>
        <w:tabs>
          <w:tab w:val="num" w:pos="360"/>
        </w:tabs>
      </w:pPr>
    </w:lvl>
    <w:lvl w:ilvl="7" w:tplc="07906C7E">
      <w:numFmt w:val="none"/>
      <w:lvlText w:val=""/>
      <w:lvlJc w:val="left"/>
      <w:pPr>
        <w:tabs>
          <w:tab w:val="num" w:pos="360"/>
        </w:tabs>
      </w:pPr>
    </w:lvl>
    <w:lvl w:ilvl="8" w:tplc="9840773C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7D923103"/>
    <w:multiLevelType w:val="singleLevel"/>
    <w:tmpl w:val="F4EE0B7E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3">
    <w:nsid w:val="7E55478D"/>
    <w:multiLevelType w:val="singleLevel"/>
    <w:tmpl w:val="70061E0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19"/>
  </w:num>
  <w:num w:numId="2">
    <w:abstractNumId w:val="23"/>
  </w:num>
  <w:num w:numId="3">
    <w:abstractNumId w:val="10"/>
  </w:num>
  <w:num w:numId="4">
    <w:abstractNumId w:val="18"/>
  </w:num>
  <w:num w:numId="5">
    <w:abstractNumId w:val="12"/>
  </w:num>
  <w:num w:numId="6">
    <w:abstractNumId w:val="16"/>
  </w:num>
  <w:num w:numId="7">
    <w:abstractNumId w:val="14"/>
  </w:num>
  <w:num w:numId="8">
    <w:abstractNumId w:val="22"/>
  </w:num>
  <w:num w:numId="9">
    <w:abstractNumId w:val="22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10">
    <w:abstractNumId w:val="13"/>
  </w:num>
  <w:num w:numId="11">
    <w:abstractNumId w:val="21"/>
  </w:num>
  <w:num w:numId="12">
    <w:abstractNumId w:val="3"/>
  </w:num>
  <w:num w:numId="13">
    <w:abstractNumId w:val="3"/>
  </w:num>
  <w:num w:numId="14">
    <w:abstractNumId w:val="20"/>
  </w:num>
  <w:num w:numId="15">
    <w:abstractNumId w:val="20"/>
  </w:num>
  <w:num w:numId="16">
    <w:abstractNumId w:val="8"/>
  </w:num>
  <w:num w:numId="17">
    <w:abstractNumId w:val="2"/>
  </w:num>
  <w:num w:numId="18">
    <w:abstractNumId w:val="1"/>
  </w:num>
  <w:num w:numId="19">
    <w:abstractNumId w:val="0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11"/>
  </w:num>
  <w:num w:numId="26">
    <w:abstractNumId w:val="15"/>
  </w:num>
  <w:num w:numId="27">
    <w:abstractNumId w:val="17"/>
  </w:num>
  <w:num w:numId="28">
    <w:abstractNumId w:val="20"/>
    <w:lvlOverride w:ilvl="0">
      <w:startOverride w:val="10"/>
    </w:lvlOverride>
  </w:num>
  <w:num w:numId="29">
    <w:abstractNumId w:val="20"/>
  </w:num>
  <w:num w:numId="30">
    <w:abstractNumId w:val="20"/>
  </w:num>
  <w:num w:numId="31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lanka Kváčová">
    <w15:presenceInfo w15:providerId="AD" w15:userId="S-1-5-21-2883121066-1603970394-1633130217-1116"/>
  </w15:person>
  <w15:person w15:author="matuskova">
    <w15:presenceInfo w15:providerId="None" w15:userId="matusk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2CF"/>
    <w:rsid w:val="00013D3A"/>
    <w:rsid w:val="00021324"/>
    <w:rsid w:val="000353F4"/>
    <w:rsid w:val="000736D6"/>
    <w:rsid w:val="00077569"/>
    <w:rsid w:val="00081CDB"/>
    <w:rsid w:val="000912AC"/>
    <w:rsid w:val="000D3B97"/>
    <w:rsid w:val="000E5DAC"/>
    <w:rsid w:val="00101619"/>
    <w:rsid w:val="00121E10"/>
    <w:rsid w:val="00133AB1"/>
    <w:rsid w:val="00153A58"/>
    <w:rsid w:val="00153FF9"/>
    <w:rsid w:val="00157F4C"/>
    <w:rsid w:val="0017197F"/>
    <w:rsid w:val="001820AC"/>
    <w:rsid w:val="001C28D4"/>
    <w:rsid w:val="001C5FCE"/>
    <w:rsid w:val="001F48D0"/>
    <w:rsid w:val="001F7D45"/>
    <w:rsid w:val="00221E72"/>
    <w:rsid w:val="00233AA9"/>
    <w:rsid w:val="00240E97"/>
    <w:rsid w:val="002467F6"/>
    <w:rsid w:val="0026664D"/>
    <w:rsid w:val="0027742C"/>
    <w:rsid w:val="002836B8"/>
    <w:rsid w:val="002A5D8E"/>
    <w:rsid w:val="002B06CF"/>
    <w:rsid w:val="002C7F31"/>
    <w:rsid w:val="00302A69"/>
    <w:rsid w:val="00307E34"/>
    <w:rsid w:val="00323419"/>
    <w:rsid w:val="0033322A"/>
    <w:rsid w:val="0034697C"/>
    <w:rsid w:val="003638C4"/>
    <w:rsid w:val="0037055D"/>
    <w:rsid w:val="00373FAE"/>
    <w:rsid w:val="00384DE3"/>
    <w:rsid w:val="0038792C"/>
    <w:rsid w:val="003901D9"/>
    <w:rsid w:val="00395EC0"/>
    <w:rsid w:val="003B7689"/>
    <w:rsid w:val="003C3BFF"/>
    <w:rsid w:val="003D312E"/>
    <w:rsid w:val="004005B3"/>
    <w:rsid w:val="00412791"/>
    <w:rsid w:val="0041475B"/>
    <w:rsid w:val="00425DE6"/>
    <w:rsid w:val="004339CE"/>
    <w:rsid w:val="00464147"/>
    <w:rsid w:val="00472E7F"/>
    <w:rsid w:val="005112ED"/>
    <w:rsid w:val="0052627F"/>
    <w:rsid w:val="00543538"/>
    <w:rsid w:val="00566DA1"/>
    <w:rsid w:val="0057112A"/>
    <w:rsid w:val="00572011"/>
    <w:rsid w:val="00597B6E"/>
    <w:rsid w:val="005B5ECB"/>
    <w:rsid w:val="005D717F"/>
    <w:rsid w:val="006077C0"/>
    <w:rsid w:val="0061779E"/>
    <w:rsid w:val="00645668"/>
    <w:rsid w:val="006563DD"/>
    <w:rsid w:val="00662469"/>
    <w:rsid w:val="0066493E"/>
    <w:rsid w:val="006718C7"/>
    <w:rsid w:val="00680873"/>
    <w:rsid w:val="00692F33"/>
    <w:rsid w:val="006A178A"/>
    <w:rsid w:val="006B3981"/>
    <w:rsid w:val="006C0500"/>
    <w:rsid w:val="00782F60"/>
    <w:rsid w:val="007954D5"/>
    <w:rsid w:val="007B4451"/>
    <w:rsid w:val="007C36F8"/>
    <w:rsid w:val="007C43BA"/>
    <w:rsid w:val="007D63A7"/>
    <w:rsid w:val="007F0F79"/>
    <w:rsid w:val="008039A5"/>
    <w:rsid w:val="00816DA5"/>
    <w:rsid w:val="00817E73"/>
    <w:rsid w:val="0082272E"/>
    <w:rsid w:val="008607E8"/>
    <w:rsid w:val="00862113"/>
    <w:rsid w:val="008763C0"/>
    <w:rsid w:val="00895327"/>
    <w:rsid w:val="008B5737"/>
    <w:rsid w:val="008C26A2"/>
    <w:rsid w:val="008D74E9"/>
    <w:rsid w:val="008D78DE"/>
    <w:rsid w:val="008E157F"/>
    <w:rsid w:val="008F3134"/>
    <w:rsid w:val="0090343C"/>
    <w:rsid w:val="00903CB1"/>
    <w:rsid w:val="00916695"/>
    <w:rsid w:val="009204F7"/>
    <w:rsid w:val="00922683"/>
    <w:rsid w:val="00947E70"/>
    <w:rsid w:val="00960A05"/>
    <w:rsid w:val="009625B8"/>
    <w:rsid w:val="00963316"/>
    <w:rsid w:val="00977E3F"/>
    <w:rsid w:val="00987870"/>
    <w:rsid w:val="00987BCE"/>
    <w:rsid w:val="009A7444"/>
    <w:rsid w:val="009A7657"/>
    <w:rsid w:val="009B1289"/>
    <w:rsid w:val="009B5507"/>
    <w:rsid w:val="009B61CD"/>
    <w:rsid w:val="009C146F"/>
    <w:rsid w:val="009E2471"/>
    <w:rsid w:val="00A2715A"/>
    <w:rsid w:val="00A27B60"/>
    <w:rsid w:val="00A306C0"/>
    <w:rsid w:val="00A73AE4"/>
    <w:rsid w:val="00A81CB3"/>
    <w:rsid w:val="00A97442"/>
    <w:rsid w:val="00AB583A"/>
    <w:rsid w:val="00AC56B6"/>
    <w:rsid w:val="00B14183"/>
    <w:rsid w:val="00B55BC1"/>
    <w:rsid w:val="00B87A01"/>
    <w:rsid w:val="00BC20A5"/>
    <w:rsid w:val="00BC4B14"/>
    <w:rsid w:val="00BC64AE"/>
    <w:rsid w:val="00BC795D"/>
    <w:rsid w:val="00BD3CD7"/>
    <w:rsid w:val="00BE63D0"/>
    <w:rsid w:val="00BE7617"/>
    <w:rsid w:val="00C00477"/>
    <w:rsid w:val="00C015A6"/>
    <w:rsid w:val="00C033B4"/>
    <w:rsid w:val="00C03410"/>
    <w:rsid w:val="00C949D9"/>
    <w:rsid w:val="00CA12CF"/>
    <w:rsid w:val="00CC598E"/>
    <w:rsid w:val="00CD0514"/>
    <w:rsid w:val="00CF3A3F"/>
    <w:rsid w:val="00D224A3"/>
    <w:rsid w:val="00D42552"/>
    <w:rsid w:val="00D52E02"/>
    <w:rsid w:val="00D62879"/>
    <w:rsid w:val="00D675D1"/>
    <w:rsid w:val="00D84C5B"/>
    <w:rsid w:val="00DA112A"/>
    <w:rsid w:val="00DB3979"/>
    <w:rsid w:val="00DC3B58"/>
    <w:rsid w:val="00DC40DE"/>
    <w:rsid w:val="00DC615D"/>
    <w:rsid w:val="00DD38A5"/>
    <w:rsid w:val="00E039F6"/>
    <w:rsid w:val="00E10752"/>
    <w:rsid w:val="00E1532C"/>
    <w:rsid w:val="00E2591C"/>
    <w:rsid w:val="00E34F72"/>
    <w:rsid w:val="00E93873"/>
    <w:rsid w:val="00E951D9"/>
    <w:rsid w:val="00E97813"/>
    <w:rsid w:val="00EA03DC"/>
    <w:rsid w:val="00EA23DC"/>
    <w:rsid w:val="00EE1C8C"/>
    <w:rsid w:val="00F07C69"/>
    <w:rsid w:val="00F21880"/>
    <w:rsid w:val="00F273D9"/>
    <w:rsid w:val="00F325F1"/>
    <w:rsid w:val="00F67829"/>
    <w:rsid w:val="00F71F38"/>
    <w:rsid w:val="00F72731"/>
    <w:rsid w:val="00F7361E"/>
    <w:rsid w:val="00FA644E"/>
    <w:rsid w:val="00FC45D1"/>
    <w:rsid w:val="00FD747F"/>
    <w:rsid w:val="00FE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2DC3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55BC1"/>
    <w:pPr>
      <w:tabs>
        <w:tab w:val="left" w:pos="567"/>
      </w:tabs>
      <w:spacing w:line="260" w:lineRule="exact"/>
    </w:pPr>
    <w:rPr>
      <w:sz w:val="22"/>
      <w:szCs w:val="22"/>
      <w:lang w:val="en-GB" w:eastAsia="en-US"/>
    </w:rPr>
  </w:style>
  <w:style w:type="paragraph" w:styleId="Nadpis1">
    <w:name w:val="heading 1"/>
    <w:basedOn w:val="Normlny"/>
    <w:next w:val="Normlny"/>
    <w:qFormat/>
    <w:rsid w:val="00CA12CF"/>
    <w:pPr>
      <w:spacing w:before="240" w:after="120"/>
      <w:ind w:left="357" w:hanging="357"/>
      <w:outlineLvl w:val="0"/>
    </w:pPr>
    <w:rPr>
      <w:b/>
      <w:bCs/>
      <w:caps/>
      <w:sz w:val="26"/>
      <w:szCs w:val="26"/>
      <w:lang w:val="en-US"/>
    </w:rPr>
  </w:style>
  <w:style w:type="paragraph" w:styleId="Nadpis2">
    <w:name w:val="heading 2"/>
    <w:basedOn w:val="Normlny"/>
    <w:next w:val="Normlny"/>
    <w:qFormat/>
    <w:rsid w:val="00CA12CF"/>
    <w:pPr>
      <w:keepNext/>
      <w:spacing w:before="240" w:after="60"/>
      <w:outlineLvl w:val="1"/>
    </w:pPr>
    <w:rPr>
      <w:rFonts w:ascii="Helvetica" w:hAnsi="Helvetica" w:cs="Helvetica"/>
      <w:b/>
      <w:bCs/>
      <w:i/>
      <w:iCs/>
      <w:sz w:val="24"/>
      <w:szCs w:val="24"/>
    </w:rPr>
  </w:style>
  <w:style w:type="paragraph" w:styleId="Nadpis3">
    <w:name w:val="heading 3"/>
    <w:basedOn w:val="Normlny"/>
    <w:next w:val="Normlny"/>
    <w:qFormat/>
    <w:rsid w:val="00CA12CF"/>
    <w:pPr>
      <w:keepNext/>
      <w:keepLines/>
      <w:spacing w:before="120" w:after="80"/>
      <w:outlineLvl w:val="2"/>
    </w:pPr>
    <w:rPr>
      <w:b/>
      <w:bCs/>
      <w:kern w:val="28"/>
      <w:sz w:val="24"/>
      <w:szCs w:val="24"/>
      <w:lang w:val="en-US"/>
    </w:rPr>
  </w:style>
  <w:style w:type="paragraph" w:styleId="Nadpis4">
    <w:name w:val="heading 4"/>
    <w:basedOn w:val="Normlny"/>
    <w:next w:val="Normlny"/>
    <w:qFormat/>
    <w:rsid w:val="00CA12CF"/>
    <w:pPr>
      <w:keepNext/>
      <w:jc w:val="both"/>
      <w:outlineLvl w:val="3"/>
    </w:pPr>
    <w:rPr>
      <w:b/>
      <w:bCs/>
      <w:noProof/>
    </w:rPr>
  </w:style>
  <w:style w:type="paragraph" w:styleId="Nadpis5">
    <w:name w:val="heading 5"/>
    <w:basedOn w:val="Normlny"/>
    <w:next w:val="Normlny"/>
    <w:qFormat/>
    <w:rsid w:val="00CA12CF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rsid w:val="00CA12CF"/>
    <w:pPr>
      <w:keepNext/>
      <w:tabs>
        <w:tab w:val="left" w:pos="-720"/>
        <w:tab w:val="left" w:pos="4536"/>
      </w:tabs>
      <w:suppressAutoHyphens/>
      <w:outlineLvl w:val="5"/>
    </w:pPr>
    <w:rPr>
      <w:i/>
      <w:iCs/>
    </w:rPr>
  </w:style>
  <w:style w:type="paragraph" w:styleId="Nadpis7">
    <w:name w:val="heading 7"/>
    <w:basedOn w:val="Normlny"/>
    <w:next w:val="Normlny"/>
    <w:qFormat/>
    <w:rsid w:val="00CA12CF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  <w:iCs/>
    </w:rPr>
  </w:style>
  <w:style w:type="paragraph" w:styleId="Nadpis8">
    <w:name w:val="heading 8"/>
    <w:basedOn w:val="Normlny"/>
    <w:next w:val="Normlny"/>
    <w:qFormat/>
    <w:rsid w:val="00CA12CF"/>
    <w:pPr>
      <w:keepNext/>
      <w:ind w:left="567" w:hanging="567"/>
      <w:jc w:val="both"/>
      <w:outlineLvl w:val="7"/>
    </w:pPr>
    <w:rPr>
      <w:b/>
      <w:bCs/>
      <w:i/>
      <w:iCs/>
    </w:rPr>
  </w:style>
  <w:style w:type="paragraph" w:styleId="Nadpis9">
    <w:name w:val="heading 9"/>
    <w:basedOn w:val="Normlny"/>
    <w:next w:val="Normlny"/>
    <w:qFormat/>
    <w:rsid w:val="00CA12CF"/>
    <w:pPr>
      <w:keepNext/>
      <w:jc w:val="both"/>
      <w:outlineLvl w:val="8"/>
    </w:pPr>
    <w:rPr>
      <w:b/>
      <w:bCs/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CA12CF"/>
    <w:pPr>
      <w:tabs>
        <w:tab w:val="center" w:pos="4153"/>
        <w:tab w:val="right" w:pos="8306"/>
      </w:tabs>
      <w:spacing w:line="240" w:lineRule="auto"/>
    </w:pPr>
    <w:rPr>
      <w:rFonts w:ascii="Helvetica" w:hAnsi="Helvetica" w:cs="Helvetica"/>
      <w:sz w:val="20"/>
      <w:szCs w:val="20"/>
    </w:rPr>
  </w:style>
  <w:style w:type="paragraph" w:styleId="Pta">
    <w:name w:val="footer"/>
    <w:basedOn w:val="Normlny"/>
    <w:rsid w:val="00CA12CF"/>
    <w:pPr>
      <w:tabs>
        <w:tab w:val="center" w:pos="4536"/>
        <w:tab w:val="center" w:pos="8930"/>
      </w:tabs>
      <w:spacing w:line="240" w:lineRule="auto"/>
    </w:pPr>
    <w:rPr>
      <w:rFonts w:ascii="Helvetica" w:hAnsi="Helvetica" w:cs="Helvetica"/>
      <w:sz w:val="16"/>
      <w:szCs w:val="16"/>
    </w:rPr>
  </w:style>
  <w:style w:type="character" w:styleId="slostrany">
    <w:name w:val="page number"/>
    <w:basedOn w:val="Predvolenpsmoodseku"/>
    <w:rsid w:val="00CA12CF"/>
  </w:style>
  <w:style w:type="paragraph" w:styleId="Zkladntext">
    <w:name w:val="Body Text"/>
    <w:basedOn w:val="Normlny"/>
    <w:rsid w:val="00CA12CF"/>
    <w:rPr>
      <w:b/>
      <w:bCs/>
      <w:i/>
      <w:iCs/>
    </w:rPr>
  </w:style>
  <w:style w:type="paragraph" w:styleId="Zkladntext2">
    <w:name w:val="Body Text 2"/>
    <w:basedOn w:val="Normlny"/>
    <w:rPr>
      <w:sz w:val="24"/>
    </w:rPr>
  </w:style>
  <w:style w:type="paragraph" w:styleId="Zkladntext3">
    <w:name w:val="Body Text 3"/>
    <w:basedOn w:val="Normlny"/>
    <w:rsid w:val="00CA12CF"/>
    <w:pPr>
      <w:jc w:val="both"/>
    </w:pPr>
    <w:rPr>
      <w:b/>
      <w:bCs/>
      <w:i/>
      <w:iCs/>
    </w:rPr>
  </w:style>
  <w:style w:type="character" w:styleId="sloriadka">
    <w:name w:val="line number"/>
    <w:basedOn w:val="Predvolenpsmoodseku"/>
    <w:rsid w:val="00CA12CF"/>
  </w:style>
  <w:style w:type="paragraph" w:styleId="slovanzoznam2">
    <w:name w:val="List Number 2"/>
    <w:basedOn w:val="Normlny"/>
    <w:rsid w:val="00CA12CF"/>
    <w:pPr>
      <w:numPr>
        <w:numId w:val="13"/>
      </w:numPr>
    </w:pPr>
  </w:style>
  <w:style w:type="paragraph" w:customStyle="1" w:styleId="EMEABodyText">
    <w:name w:val="EMEA Body Text"/>
    <w:basedOn w:val="Normlny"/>
    <w:rsid w:val="00CA12CF"/>
    <w:pPr>
      <w:tabs>
        <w:tab w:val="clear" w:pos="567"/>
      </w:tabs>
      <w:spacing w:line="240" w:lineRule="auto"/>
    </w:pPr>
    <w:rPr>
      <w:szCs w:val="20"/>
      <w:lang w:eastAsia="sv-SE"/>
    </w:rPr>
  </w:style>
  <w:style w:type="character" w:styleId="Hypertextovprepojenie">
    <w:name w:val="Hyperlink"/>
    <w:rsid w:val="00CA12CF"/>
    <w:rPr>
      <w:color w:val="0000FF"/>
      <w:u w:val="single"/>
    </w:rPr>
  </w:style>
  <w:style w:type="paragraph" w:customStyle="1" w:styleId="Normlndobloku">
    <w:name w:val="Normální do bloku"/>
    <w:basedOn w:val="Normlny"/>
    <w:autoRedefine/>
    <w:qFormat/>
    <w:rsid w:val="00D52E02"/>
    <w:pPr>
      <w:tabs>
        <w:tab w:val="clear" w:pos="567"/>
        <w:tab w:val="left" w:pos="6946"/>
      </w:tabs>
      <w:spacing w:after="120" w:line="240" w:lineRule="auto"/>
      <w:jc w:val="both"/>
    </w:pPr>
    <w:rPr>
      <w:szCs w:val="24"/>
      <w:lang w:val="cs-CZ" w:eastAsia="cs-CZ"/>
    </w:rPr>
  </w:style>
  <w:style w:type="character" w:customStyle="1" w:styleId="NormlndoblokuChar">
    <w:name w:val="Normální do bloku Char"/>
    <w:rsid w:val="00CA12CF"/>
    <w:rPr>
      <w:noProof w:val="0"/>
      <w:sz w:val="24"/>
      <w:szCs w:val="24"/>
      <w:lang w:val="cs-CZ" w:eastAsia="cs-CZ" w:bidi="ar-SA"/>
    </w:rPr>
  </w:style>
  <w:style w:type="paragraph" w:styleId="Obsah1">
    <w:name w:val="toc 1"/>
    <w:basedOn w:val="Normlny"/>
    <w:next w:val="Normlny"/>
    <w:autoRedefine/>
    <w:semiHidden/>
    <w:rsid w:val="00CA12CF"/>
    <w:pPr>
      <w:tabs>
        <w:tab w:val="clear" w:pos="567"/>
      </w:tabs>
    </w:pPr>
  </w:style>
  <w:style w:type="paragraph" w:styleId="Obsah2">
    <w:name w:val="toc 2"/>
    <w:basedOn w:val="Normlny"/>
    <w:next w:val="Normlny"/>
    <w:autoRedefine/>
    <w:semiHidden/>
    <w:rsid w:val="00CA12CF"/>
    <w:pPr>
      <w:tabs>
        <w:tab w:val="clear" w:pos="567"/>
      </w:tabs>
      <w:ind w:left="220"/>
    </w:pPr>
  </w:style>
  <w:style w:type="character" w:styleId="Odkaznakomentr">
    <w:name w:val="annotation reference"/>
    <w:semiHidden/>
    <w:rsid w:val="00CA12CF"/>
    <w:rPr>
      <w:sz w:val="16"/>
      <w:szCs w:val="16"/>
    </w:rPr>
  </w:style>
  <w:style w:type="character" w:styleId="Odkaznavysvetlivku">
    <w:name w:val="endnote reference"/>
    <w:semiHidden/>
    <w:rsid w:val="00CA12CF"/>
    <w:rPr>
      <w:vertAlign w:val="superscript"/>
    </w:rPr>
  </w:style>
  <w:style w:type="paragraph" w:styleId="Obyajntext">
    <w:name w:val="Plain Text"/>
    <w:basedOn w:val="Normlny"/>
    <w:rsid w:val="00CA12CF"/>
    <w:pPr>
      <w:tabs>
        <w:tab w:val="clear" w:pos="567"/>
      </w:tabs>
      <w:spacing w:line="240" w:lineRule="auto"/>
    </w:pPr>
    <w:rPr>
      <w:rFonts w:ascii="Courier" w:eastAsia="Times" w:hAnsi="Courier"/>
      <w:sz w:val="24"/>
      <w:szCs w:val="20"/>
      <w:lang w:val="en-US" w:eastAsia="en-GB"/>
    </w:rPr>
  </w:style>
  <w:style w:type="paragraph" w:styleId="Textkomentra">
    <w:name w:val="annotation text"/>
    <w:basedOn w:val="Normlny"/>
    <w:semiHidden/>
    <w:rsid w:val="00CA12CF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CA12CF"/>
    <w:rPr>
      <w:b/>
      <w:bCs/>
    </w:rPr>
  </w:style>
  <w:style w:type="paragraph" w:styleId="truktradokumentu">
    <w:name w:val="Document Map"/>
    <w:basedOn w:val="Normlny"/>
    <w:semiHidden/>
    <w:rsid w:val="00CA12CF"/>
    <w:pPr>
      <w:shd w:val="clear" w:color="auto" w:fill="000080"/>
    </w:pPr>
    <w:rPr>
      <w:rFonts w:ascii="Tahoma" w:hAnsi="Tahoma" w:cs="Tahoma"/>
    </w:rPr>
  </w:style>
  <w:style w:type="character" w:styleId="PouitHypertextovPrepojenie">
    <w:name w:val="FollowedHyperlink"/>
    <w:rsid w:val="00CA12CF"/>
    <w:rPr>
      <w:color w:val="800080"/>
      <w:u w:val="single"/>
    </w:rPr>
  </w:style>
  <w:style w:type="character" w:customStyle="1" w:styleId="StylTun">
    <w:name w:val="Styl Tučné"/>
    <w:rsid w:val="00CA12CF"/>
    <w:rPr>
      <w:b/>
      <w:bCs/>
      <w:sz w:val="24"/>
    </w:rPr>
  </w:style>
  <w:style w:type="paragraph" w:customStyle="1" w:styleId="Styl1">
    <w:name w:val="Styl1"/>
    <w:basedOn w:val="Normlny"/>
    <w:autoRedefine/>
    <w:rsid w:val="0057112A"/>
    <w:pPr>
      <w:keepNext/>
      <w:numPr>
        <w:numId w:val="14"/>
      </w:numPr>
      <w:tabs>
        <w:tab w:val="clear" w:pos="567"/>
      </w:tabs>
      <w:spacing w:before="160" w:after="120" w:line="240" w:lineRule="auto"/>
    </w:pPr>
    <w:rPr>
      <w:b/>
      <w:bCs/>
      <w:caps/>
      <w:szCs w:val="24"/>
      <w:lang w:val="cs-CZ"/>
    </w:rPr>
  </w:style>
  <w:style w:type="character" w:customStyle="1" w:styleId="Styl1Char">
    <w:name w:val="Styl1 Char"/>
    <w:rsid w:val="00CA12CF"/>
    <w:rPr>
      <w:b/>
      <w:bCs/>
      <w:caps/>
      <w:noProof w:val="0"/>
      <w:sz w:val="24"/>
      <w:szCs w:val="24"/>
      <w:lang w:val="cs-CZ" w:eastAsia="en-US" w:bidi="ar-SA"/>
    </w:rPr>
  </w:style>
  <w:style w:type="paragraph" w:customStyle="1" w:styleId="Styl2">
    <w:name w:val="Styl2"/>
    <w:basedOn w:val="Normlny"/>
    <w:autoRedefine/>
    <w:rsid w:val="00A81CB3"/>
    <w:pPr>
      <w:keepNext/>
      <w:numPr>
        <w:ilvl w:val="1"/>
        <w:numId w:val="15"/>
      </w:numPr>
      <w:tabs>
        <w:tab w:val="clear" w:pos="567"/>
      </w:tabs>
      <w:spacing w:after="120" w:line="240" w:lineRule="auto"/>
      <w:ind w:left="357" w:hanging="357"/>
    </w:pPr>
    <w:rPr>
      <w:b/>
      <w:bCs/>
      <w:lang w:val="cs-CZ"/>
    </w:rPr>
  </w:style>
  <w:style w:type="character" w:customStyle="1" w:styleId="Styl2Char">
    <w:name w:val="Styl2 Char"/>
    <w:rsid w:val="00CA12CF"/>
    <w:rPr>
      <w:b/>
      <w:bCs/>
      <w:noProof w:val="0"/>
      <w:sz w:val="24"/>
      <w:szCs w:val="22"/>
      <w:lang w:val="cs-CZ" w:eastAsia="en-US" w:bidi="ar-SA"/>
    </w:rPr>
  </w:style>
  <w:style w:type="paragraph" w:customStyle="1" w:styleId="Styl3">
    <w:name w:val="Styl3"/>
    <w:basedOn w:val="Normlndobloku"/>
    <w:autoRedefine/>
    <w:rsid w:val="007C43BA"/>
    <w:pPr>
      <w:keepNext/>
      <w:outlineLvl w:val="0"/>
    </w:pPr>
    <w:rPr>
      <w:u w:val="single"/>
    </w:rPr>
  </w:style>
  <w:style w:type="character" w:customStyle="1" w:styleId="Styl3Char">
    <w:name w:val="Styl3 Char"/>
    <w:rsid w:val="00CA12CF"/>
    <w:rPr>
      <w:noProof w:val="0"/>
      <w:sz w:val="24"/>
      <w:szCs w:val="24"/>
      <w:u w:val="single"/>
      <w:lang w:val="cs-CZ" w:eastAsia="cs-CZ" w:bidi="ar-SA"/>
    </w:rPr>
  </w:style>
  <w:style w:type="paragraph" w:styleId="Textbubliny">
    <w:name w:val="Balloon Text"/>
    <w:basedOn w:val="Normlny"/>
    <w:semiHidden/>
    <w:rsid w:val="00CA12CF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semiHidden/>
    <w:rsid w:val="00CA12CF"/>
    <w:rPr>
      <w:sz w:val="20"/>
      <w:szCs w:val="20"/>
    </w:rPr>
  </w:style>
  <w:style w:type="paragraph" w:styleId="Oznaitext">
    <w:name w:val="Block Text"/>
    <w:basedOn w:val="Normlny"/>
    <w:rsid w:val="00CA12CF"/>
    <w:pPr>
      <w:tabs>
        <w:tab w:val="clear" w:pos="567"/>
        <w:tab w:val="left" w:pos="2657"/>
      </w:tabs>
      <w:spacing w:before="120" w:line="240" w:lineRule="auto"/>
      <w:ind w:left="-37" w:right="-28"/>
    </w:pPr>
  </w:style>
  <w:style w:type="paragraph" w:styleId="Textvysvetlivky">
    <w:name w:val="endnote text"/>
    <w:basedOn w:val="Normlny"/>
    <w:next w:val="Normlny"/>
    <w:semiHidden/>
    <w:rsid w:val="00CA12CF"/>
    <w:pPr>
      <w:spacing w:line="240" w:lineRule="auto"/>
    </w:pPr>
  </w:style>
  <w:style w:type="paragraph" w:styleId="Zarkazkladnhotextu">
    <w:name w:val="Body Text Indent"/>
    <w:basedOn w:val="Normlny"/>
    <w:rsid w:val="00CA12CF"/>
    <w:pPr>
      <w:tabs>
        <w:tab w:val="clear" w:pos="567"/>
      </w:tabs>
      <w:spacing w:line="240" w:lineRule="auto"/>
      <w:ind w:left="567" w:hanging="567"/>
    </w:pPr>
    <w:rPr>
      <w:b/>
      <w:bCs/>
      <w:color w:val="808080"/>
    </w:rPr>
  </w:style>
  <w:style w:type="paragraph" w:styleId="Zarkazkladnhotextu2">
    <w:name w:val="Body Text Indent 2"/>
    <w:basedOn w:val="Normlny"/>
    <w:rsid w:val="00CA12CF"/>
    <w:pPr>
      <w:ind w:left="567" w:hanging="567"/>
      <w:jc w:val="both"/>
    </w:pPr>
    <w:rPr>
      <w:b/>
      <w:bCs/>
    </w:rPr>
  </w:style>
  <w:style w:type="paragraph" w:styleId="Zarkazkladnhotextu3">
    <w:name w:val="Body Text Indent 3"/>
    <w:basedOn w:val="Normlny"/>
    <w:rsid w:val="00CA12CF"/>
    <w:pPr>
      <w:ind w:left="567" w:hanging="567"/>
    </w:pPr>
    <w:rPr>
      <w:i/>
      <w:iCs/>
      <w:color w:val="008000"/>
    </w:rPr>
  </w:style>
  <w:style w:type="character" w:styleId="Odkaznapoznmkupodiarou">
    <w:name w:val="footnote reference"/>
    <w:semiHidden/>
    <w:rsid w:val="00CA12CF"/>
    <w:rPr>
      <w:vertAlign w:val="superscript"/>
    </w:rPr>
  </w:style>
  <w:style w:type="table" w:styleId="Mriekatabuky">
    <w:name w:val="Table Grid"/>
    <w:basedOn w:val="Normlnatabuka"/>
    <w:rsid w:val="00FC4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doblokusodrkami">
    <w:name w:val="Normální do bloku s odrážkami"/>
    <w:basedOn w:val="Normlndobloku"/>
    <w:autoRedefine/>
    <w:rsid w:val="00081CDB"/>
    <w:pPr>
      <w:numPr>
        <w:numId w:val="27"/>
      </w:numPr>
    </w:pPr>
  </w:style>
  <w:style w:type="paragraph" w:customStyle="1" w:styleId="Styl2-2">
    <w:name w:val="Styl2-2"/>
    <w:basedOn w:val="Styl2"/>
    <w:next w:val="Normlndobloku"/>
    <w:autoRedefine/>
    <w:qFormat/>
    <w:rsid w:val="003D312E"/>
    <w:pPr>
      <w:numPr>
        <w:numId w:val="0"/>
      </w:numPr>
      <w:spacing w:before="120"/>
    </w:pPr>
    <w:rPr>
      <w:lang w:val="en-GB"/>
    </w:rPr>
  </w:style>
  <w:style w:type="paragraph" w:customStyle="1" w:styleId="tlStyl3VavoZa0b">
    <w:name w:val="Štýl Styl3 + Vľavo Za:  0 b"/>
    <w:basedOn w:val="Styl3"/>
    <w:rsid w:val="00D52E02"/>
    <w:pPr>
      <w:spacing w:after="0"/>
      <w:jc w:val="left"/>
    </w:pPr>
    <w:rPr>
      <w:szCs w:val="20"/>
    </w:rPr>
  </w:style>
  <w:style w:type="paragraph" w:customStyle="1" w:styleId="tltlStyl3VavoZa0bTun">
    <w:name w:val="Štýl Štýl Styl3 + Vľavo Za:  0 b + Tučné"/>
    <w:basedOn w:val="tlStyl3VavoZa0b"/>
    <w:rsid w:val="00D52E02"/>
    <w:pPr>
      <w:spacing w:after="120"/>
      <w:jc w:val="both"/>
    </w:pPr>
    <w:rPr>
      <w:b/>
      <w:bCs/>
      <w:i/>
      <w:iCs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55BC1"/>
    <w:pPr>
      <w:tabs>
        <w:tab w:val="left" w:pos="567"/>
      </w:tabs>
      <w:spacing w:line="260" w:lineRule="exact"/>
    </w:pPr>
    <w:rPr>
      <w:sz w:val="22"/>
      <w:szCs w:val="22"/>
      <w:lang w:val="en-GB" w:eastAsia="en-US"/>
    </w:rPr>
  </w:style>
  <w:style w:type="paragraph" w:styleId="Nadpis1">
    <w:name w:val="heading 1"/>
    <w:basedOn w:val="Normlny"/>
    <w:next w:val="Normlny"/>
    <w:qFormat/>
    <w:rsid w:val="00CA12CF"/>
    <w:pPr>
      <w:spacing w:before="240" w:after="120"/>
      <w:ind w:left="357" w:hanging="357"/>
      <w:outlineLvl w:val="0"/>
    </w:pPr>
    <w:rPr>
      <w:b/>
      <w:bCs/>
      <w:caps/>
      <w:sz w:val="26"/>
      <w:szCs w:val="26"/>
      <w:lang w:val="en-US"/>
    </w:rPr>
  </w:style>
  <w:style w:type="paragraph" w:styleId="Nadpis2">
    <w:name w:val="heading 2"/>
    <w:basedOn w:val="Normlny"/>
    <w:next w:val="Normlny"/>
    <w:qFormat/>
    <w:rsid w:val="00CA12CF"/>
    <w:pPr>
      <w:keepNext/>
      <w:spacing w:before="240" w:after="60"/>
      <w:outlineLvl w:val="1"/>
    </w:pPr>
    <w:rPr>
      <w:rFonts w:ascii="Helvetica" w:hAnsi="Helvetica" w:cs="Helvetica"/>
      <w:b/>
      <w:bCs/>
      <w:i/>
      <w:iCs/>
      <w:sz w:val="24"/>
      <w:szCs w:val="24"/>
    </w:rPr>
  </w:style>
  <w:style w:type="paragraph" w:styleId="Nadpis3">
    <w:name w:val="heading 3"/>
    <w:basedOn w:val="Normlny"/>
    <w:next w:val="Normlny"/>
    <w:qFormat/>
    <w:rsid w:val="00CA12CF"/>
    <w:pPr>
      <w:keepNext/>
      <w:keepLines/>
      <w:spacing w:before="120" w:after="80"/>
      <w:outlineLvl w:val="2"/>
    </w:pPr>
    <w:rPr>
      <w:b/>
      <w:bCs/>
      <w:kern w:val="28"/>
      <w:sz w:val="24"/>
      <w:szCs w:val="24"/>
      <w:lang w:val="en-US"/>
    </w:rPr>
  </w:style>
  <w:style w:type="paragraph" w:styleId="Nadpis4">
    <w:name w:val="heading 4"/>
    <w:basedOn w:val="Normlny"/>
    <w:next w:val="Normlny"/>
    <w:qFormat/>
    <w:rsid w:val="00CA12CF"/>
    <w:pPr>
      <w:keepNext/>
      <w:jc w:val="both"/>
      <w:outlineLvl w:val="3"/>
    </w:pPr>
    <w:rPr>
      <w:b/>
      <w:bCs/>
      <w:noProof/>
    </w:rPr>
  </w:style>
  <w:style w:type="paragraph" w:styleId="Nadpis5">
    <w:name w:val="heading 5"/>
    <w:basedOn w:val="Normlny"/>
    <w:next w:val="Normlny"/>
    <w:qFormat/>
    <w:rsid w:val="00CA12CF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rsid w:val="00CA12CF"/>
    <w:pPr>
      <w:keepNext/>
      <w:tabs>
        <w:tab w:val="left" w:pos="-720"/>
        <w:tab w:val="left" w:pos="4536"/>
      </w:tabs>
      <w:suppressAutoHyphens/>
      <w:outlineLvl w:val="5"/>
    </w:pPr>
    <w:rPr>
      <w:i/>
      <w:iCs/>
    </w:rPr>
  </w:style>
  <w:style w:type="paragraph" w:styleId="Nadpis7">
    <w:name w:val="heading 7"/>
    <w:basedOn w:val="Normlny"/>
    <w:next w:val="Normlny"/>
    <w:qFormat/>
    <w:rsid w:val="00CA12CF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  <w:iCs/>
    </w:rPr>
  </w:style>
  <w:style w:type="paragraph" w:styleId="Nadpis8">
    <w:name w:val="heading 8"/>
    <w:basedOn w:val="Normlny"/>
    <w:next w:val="Normlny"/>
    <w:qFormat/>
    <w:rsid w:val="00CA12CF"/>
    <w:pPr>
      <w:keepNext/>
      <w:ind w:left="567" w:hanging="567"/>
      <w:jc w:val="both"/>
      <w:outlineLvl w:val="7"/>
    </w:pPr>
    <w:rPr>
      <w:b/>
      <w:bCs/>
      <w:i/>
      <w:iCs/>
    </w:rPr>
  </w:style>
  <w:style w:type="paragraph" w:styleId="Nadpis9">
    <w:name w:val="heading 9"/>
    <w:basedOn w:val="Normlny"/>
    <w:next w:val="Normlny"/>
    <w:qFormat/>
    <w:rsid w:val="00CA12CF"/>
    <w:pPr>
      <w:keepNext/>
      <w:jc w:val="both"/>
      <w:outlineLvl w:val="8"/>
    </w:pPr>
    <w:rPr>
      <w:b/>
      <w:bCs/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CA12CF"/>
    <w:pPr>
      <w:tabs>
        <w:tab w:val="center" w:pos="4153"/>
        <w:tab w:val="right" w:pos="8306"/>
      </w:tabs>
      <w:spacing w:line="240" w:lineRule="auto"/>
    </w:pPr>
    <w:rPr>
      <w:rFonts w:ascii="Helvetica" w:hAnsi="Helvetica" w:cs="Helvetica"/>
      <w:sz w:val="20"/>
      <w:szCs w:val="20"/>
    </w:rPr>
  </w:style>
  <w:style w:type="paragraph" w:styleId="Pta">
    <w:name w:val="footer"/>
    <w:basedOn w:val="Normlny"/>
    <w:rsid w:val="00CA12CF"/>
    <w:pPr>
      <w:tabs>
        <w:tab w:val="center" w:pos="4536"/>
        <w:tab w:val="center" w:pos="8930"/>
      </w:tabs>
      <w:spacing w:line="240" w:lineRule="auto"/>
    </w:pPr>
    <w:rPr>
      <w:rFonts w:ascii="Helvetica" w:hAnsi="Helvetica" w:cs="Helvetica"/>
      <w:sz w:val="16"/>
      <w:szCs w:val="16"/>
    </w:rPr>
  </w:style>
  <w:style w:type="character" w:styleId="slostrany">
    <w:name w:val="page number"/>
    <w:basedOn w:val="Predvolenpsmoodseku"/>
    <w:rsid w:val="00CA12CF"/>
  </w:style>
  <w:style w:type="paragraph" w:styleId="Zkladntext">
    <w:name w:val="Body Text"/>
    <w:basedOn w:val="Normlny"/>
    <w:rsid w:val="00CA12CF"/>
    <w:rPr>
      <w:b/>
      <w:bCs/>
      <w:i/>
      <w:iCs/>
    </w:rPr>
  </w:style>
  <w:style w:type="paragraph" w:styleId="Zkladntext2">
    <w:name w:val="Body Text 2"/>
    <w:basedOn w:val="Normlny"/>
    <w:rPr>
      <w:sz w:val="24"/>
    </w:rPr>
  </w:style>
  <w:style w:type="paragraph" w:styleId="Zkladntext3">
    <w:name w:val="Body Text 3"/>
    <w:basedOn w:val="Normlny"/>
    <w:rsid w:val="00CA12CF"/>
    <w:pPr>
      <w:jc w:val="both"/>
    </w:pPr>
    <w:rPr>
      <w:b/>
      <w:bCs/>
      <w:i/>
      <w:iCs/>
    </w:rPr>
  </w:style>
  <w:style w:type="character" w:styleId="sloriadka">
    <w:name w:val="line number"/>
    <w:basedOn w:val="Predvolenpsmoodseku"/>
    <w:rsid w:val="00CA12CF"/>
  </w:style>
  <w:style w:type="paragraph" w:styleId="slovanzoznam2">
    <w:name w:val="List Number 2"/>
    <w:basedOn w:val="Normlny"/>
    <w:rsid w:val="00CA12CF"/>
    <w:pPr>
      <w:numPr>
        <w:numId w:val="13"/>
      </w:numPr>
    </w:pPr>
  </w:style>
  <w:style w:type="paragraph" w:customStyle="1" w:styleId="EMEABodyText">
    <w:name w:val="EMEA Body Text"/>
    <w:basedOn w:val="Normlny"/>
    <w:rsid w:val="00CA12CF"/>
    <w:pPr>
      <w:tabs>
        <w:tab w:val="clear" w:pos="567"/>
      </w:tabs>
      <w:spacing w:line="240" w:lineRule="auto"/>
    </w:pPr>
    <w:rPr>
      <w:szCs w:val="20"/>
      <w:lang w:eastAsia="sv-SE"/>
    </w:rPr>
  </w:style>
  <w:style w:type="character" w:styleId="Hypertextovprepojenie">
    <w:name w:val="Hyperlink"/>
    <w:rsid w:val="00CA12CF"/>
    <w:rPr>
      <w:color w:val="0000FF"/>
      <w:u w:val="single"/>
    </w:rPr>
  </w:style>
  <w:style w:type="paragraph" w:customStyle="1" w:styleId="Normlndobloku">
    <w:name w:val="Normální do bloku"/>
    <w:basedOn w:val="Normlny"/>
    <w:autoRedefine/>
    <w:qFormat/>
    <w:rsid w:val="00D52E02"/>
    <w:pPr>
      <w:tabs>
        <w:tab w:val="clear" w:pos="567"/>
        <w:tab w:val="left" w:pos="6946"/>
      </w:tabs>
      <w:spacing w:after="120" w:line="240" w:lineRule="auto"/>
      <w:jc w:val="both"/>
    </w:pPr>
    <w:rPr>
      <w:szCs w:val="24"/>
      <w:lang w:val="cs-CZ" w:eastAsia="cs-CZ"/>
    </w:rPr>
  </w:style>
  <w:style w:type="character" w:customStyle="1" w:styleId="NormlndoblokuChar">
    <w:name w:val="Normální do bloku Char"/>
    <w:rsid w:val="00CA12CF"/>
    <w:rPr>
      <w:noProof w:val="0"/>
      <w:sz w:val="24"/>
      <w:szCs w:val="24"/>
      <w:lang w:val="cs-CZ" w:eastAsia="cs-CZ" w:bidi="ar-SA"/>
    </w:rPr>
  </w:style>
  <w:style w:type="paragraph" w:styleId="Obsah1">
    <w:name w:val="toc 1"/>
    <w:basedOn w:val="Normlny"/>
    <w:next w:val="Normlny"/>
    <w:autoRedefine/>
    <w:semiHidden/>
    <w:rsid w:val="00CA12CF"/>
    <w:pPr>
      <w:tabs>
        <w:tab w:val="clear" w:pos="567"/>
      </w:tabs>
    </w:pPr>
  </w:style>
  <w:style w:type="paragraph" w:styleId="Obsah2">
    <w:name w:val="toc 2"/>
    <w:basedOn w:val="Normlny"/>
    <w:next w:val="Normlny"/>
    <w:autoRedefine/>
    <w:semiHidden/>
    <w:rsid w:val="00CA12CF"/>
    <w:pPr>
      <w:tabs>
        <w:tab w:val="clear" w:pos="567"/>
      </w:tabs>
      <w:ind w:left="220"/>
    </w:pPr>
  </w:style>
  <w:style w:type="character" w:styleId="Odkaznakomentr">
    <w:name w:val="annotation reference"/>
    <w:semiHidden/>
    <w:rsid w:val="00CA12CF"/>
    <w:rPr>
      <w:sz w:val="16"/>
      <w:szCs w:val="16"/>
    </w:rPr>
  </w:style>
  <w:style w:type="character" w:styleId="Odkaznavysvetlivku">
    <w:name w:val="endnote reference"/>
    <w:semiHidden/>
    <w:rsid w:val="00CA12CF"/>
    <w:rPr>
      <w:vertAlign w:val="superscript"/>
    </w:rPr>
  </w:style>
  <w:style w:type="paragraph" w:styleId="Obyajntext">
    <w:name w:val="Plain Text"/>
    <w:basedOn w:val="Normlny"/>
    <w:rsid w:val="00CA12CF"/>
    <w:pPr>
      <w:tabs>
        <w:tab w:val="clear" w:pos="567"/>
      </w:tabs>
      <w:spacing w:line="240" w:lineRule="auto"/>
    </w:pPr>
    <w:rPr>
      <w:rFonts w:ascii="Courier" w:eastAsia="Times" w:hAnsi="Courier"/>
      <w:sz w:val="24"/>
      <w:szCs w:val="20"/>
      <w:lang w:val="en-US" w:eastAsia="en-GB"/>
    </w:rPr>
  </w:style>
  <w:style w:type="paragraph" w:styleId="Textkomentra">
    <w:name w:val="annotation text"/>
    <w:basedOn w:val="Normlny"/>
    <w:semiHidden/>
    <w:rsid w:val="00CA12CF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CA12CF"/>
    <w:rPr>
      <w:b/>
      <w:bCs/>
    </w:rPr>
  </w:style>
  <w:style w:type="paragraph" w:styleId="truktradokumentu">
    <w:name w:val="Document Map"/>
    <w:basedOn w:val="Normlny"/>
    <w:semiHidden/>
    <w:rsid w:val="00CA12CF"/>
    <w:pPr>
      <w:shd w:val="clear" w:color="auto" w:fill="000080"/>
    </w:pPr>
    <w:rPr>
      <w:rFonts w:ascii="Tahoma" w:hAnsi="Tahoma" w:cs="Tahoma"/>
    </w:rPr>
  </w:style>
  <w:style w:type="character" w:styleId="PouitHypertextovPrepojenie">
    <w:name w:val="FollowedHyperlink"/>
    <w:rsid w:val="00CA12CF"/>
    <w:rPr>
      <w:color w:val="800080"/>
      <w:u w:val="single"/>
    </w:rPr>
  </w:style>
  <w:style w:type="character" w:customStyle="1" w:styleId="StylTun">
    <w:name w:val="Styl Tučné"/>
    <w:rsid w:val="00CA12CF"/>
    <w:rPr>
      <w:b/>
      <w:bCs/>
      <w:sz w:val="24"/>
    </w:rPr>
  </w:style>
  <w:style w:type="paragraph" w:customStyle="1" w:styleId="Styl1">
    <w:name w:val="Styl1"/>
    <w:basedOn w:val="Normlny"/>
    <w:autoRedefine/>
    <w:rsid w:val="0057112A"/>
    <w:pPr>
      <w:keepNext/>
      <w:numPr>
        <w:numId w:val="14"/>
      </w:numPr>
      <w:tabs>
        <w:tab w:val="clear" w:pos="567"/>
      </w:tabs>
      <w:spacing w:before="160" w:after="120" w:line="240" w:lineRule="auto"/>
    </w:pPr>
    <w:rPr>
      <w:b/>
      <w:bCs/>
      <w:caps/>
      <w:szCs w:val="24"/>
      <w:lang w:val="cs-CZ"/>
    </w:rPr>
  </w:style>
  <w:style w:type="character" w:customStyle="1" w:styleId="Styl1Char">
    <w:name w:val="Styl1 Char"/>
    <w:rsid w:val="00CA12CF"/>
    <w:rPr>
      <w:b/>
      <w:bCs/>
      <w:caps/>
      <w:noProof w:val="0"/>
      <w:sz w:val="24"/>
      <w:szCs w:val="24"/>
      <w:lang w:val="cs-CZ" w:eastAsia="en-US" w:bidi="ar-SA"/>
    </w:rPr>
  </w:style>
  <w:style w:type="paragraph" w:customStyle="1" w:styleId="Styl2">
    <w:name w:val="Styl2"/>
    <w:basedOn w:val="Normlny"/>
    <w:autoRedefine/>
    <w:rsid w:val="00A81CB3"/>
    <w:pPr>
      <w:keepNext/>
      <w:numPr>
        <w:ilvl w:val="1"/>
        <w:numId w:val="15"/>
      </w:numPr>
      <w:tabs>
        <w:tab w:val="clear" w:pos="567"/>
      </w:tabs>
      <w:spacing w:after="120" w:line="240" w:lineRule="auto"/>
      <w:ind w:left="357" w:hanging="357"/>
    </w:pPr>
    <w:rPr>
      <w:b/>
      <w:bCs/>
      <w:lang w:val="cs-CZ"/>
    </w:rPr>
  </w:style>
  <w:style w:type="character" w:customStyle="1" w:styleId="Styl2Char">
    <w:name w:val="Styl2 Char"/>
    <w:rsid w:val="00CA12CF"/>
    <w:rPr>
      <w:b/>
      <w:bCs/>
      <w:noProof w:val="0"/>
      <w:sz w:val="24"/>
      <w:szCs w:val="22"/>
      <w:lang w:val="cs-CZ" w:eastAsia="en-US" w:bidi="ar-SA"/>
    </w:rPr>
  </w:style>
  <w:style w:type="paragraph" w:customStyle="1" w:styleId="Styl3">
    <w:name w:val="Styl3"/>
    <w:basedOn w:val="Normlndobloku"/>
    <w:autoRedefine/>
    <w:rsid w:val="007C43BA"/>
    <w:pPr>
      <w:keepNext/>
      <w:outlineLvl w:val="0"/>
    </w:pPr>
    <w:rPr>
      <w:u w:val="single"/>
    </w:rPr>
  </w:style>
  <w:style w:type="character" w:customStyle="1" w:styleId="Styl3Char">
    <w:name w:val="Styl3 Char"/>
    <w:rsid w:val="00CA12CF"/>
    <w:rPr>
      <w:noProof w:val="0"/>
      <w:sz w:val="24"/>
      <w:szCs w:val="24"/>
      <w:u w:val="single"/>
      <w:lang w:val="cs-CZ" w:eastAsia="cs-CZ" w:bidi="ar-SA"/>
    </w:rPr>
  </w:style>
  <w:style w:type="paragraph" w:styleId="Textbubliny">
    <w:name w:val="Balloon Text"/>
    <w:basedOn w:val="Normlny"/>
    <w:semiHidden/>
    <w:rsid w:val="00CA12CF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semiHidden/>
    <w:rsid w:val="00CA12CF"/>
    <w:rPr>
      <w:sz w:val="20"/>
      <w:szCs w:val="20"/>
    </w:rPr>
  </w:style>
  <w:style w:type="paragraph" w:styleId="Oznaitext">
    <w:name w:val="Block Text"/>
    <w:basedOn w:val="Normlny"/>
    <w:rsid w:val="00CA12CF"/>
    <w:pPr>
      <w:tabs>
        <w:tab w:val="clear" w:pos="567"/>
        <w:tab w:val="left" w:pos="2657"/>
      </w:tabs>
      <w:spacing w:before="120" w:line="240" w:lineRule="auto"/>
      <w:ind w:left="-37" w:right="-28"/>
    </w:pPr>
  </w:style>
  <w:style w:type="paragraph" w:styleId="Textvysvetlivky">
    <w:name w:val="endnote text"/>
    <w:basedOn w:val="Normlny"/>
    <w:next w:val="Normlny"/>
    <w:semiHidden/>
    <w:rsid w:val="00CA12CF"/>
    <w:pPr>
      <w:spacing w:line="240" w:lineRule="auto"/>
    </w:pPr>
  </w:style>
  <w:style w:type="paragraph" w:styleId="Zarkazkladnhotextu">
    <w:name w:val="Body Text Indent"/>
    <w:basedOn w:val="Normlny"/>
    <w:rsid w:val="00CA12CF"/>
    <w:pPr>
      <w:tabs>
        <w:tab w:val="clear" w:pos="567"/>
      </w:tabs>
      <w:spacing w:line="240" w:lineRule="auto"/>
      <w:ind w:left="567" w:hanging="567"/>
    </w:pPr>
    <w:rPr>
      <w:b/>
      <w:bCs/>
      <w:color w:val="808080"/>
    </w:rPr>
  </w:style>
  <w:style w:type="paragraph" w:styleId="Zarkazkladnhotextu2">
    <w:name w:val="Body Text Indent 2"/>
    <w:basedOn w:val="Normlny"/>
    <w:rsid w:val="00CA12CF"/>
    <w:pPr>
      <w:ind w:left="567" w:hanging="567"/>
      <w:jc w:val="both"/>
    </w:pPr>
    <w:rPr>
      <w:b/>
      <w:bCs/>
    </w:rPr>
  </w:style>
  <w:style w:type="paragraph" w:styleId="Zarkazkladnhotextu3">
    <w:name w:val="Body Text Indent 3"/>
    <w:basedOn w:val="Normlny"/>
    <w:rsid w:val="00CA12CF"/>
    <w:pPr>
      <w:ind w:left="567" w:hanging="567"/>
    </w:pPr>
    <w:rPr>
      <w:i/>
      <w:iCs/>
      <w:color w:val="008000"/>
    </w:rPr>
  </w:style>
  <w:style w:type="character" w:styleId="Odkaznapoznmkupodiarou">
    <w:name w:val="footnote reference"/>
    <w:semiHidden/>
    <w:rsid w:val="00CA12CF"/>
    <w:rPr>
      <w:vertAlign w:val="superscript"/>
    </w:rPr>
  </w:style>
  <w:style w:type="table" w:styleId="Mriekatabuky">
    <w:name w:val="Table Grid"/>
    <w:basedOn w:val="Normlnatabuka"/>
    <w:rsid w:val="00FC4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doblokusodrkami">
    <w:name w:val="Normální do bloku s odrážkami"/>
    <w:basedOn w:val="Normlndobloku"/>
    <w:autoRedefine/>
    <w:rsid w:val="00081CDB"/>
    <w:pPr>
      <w:numPr>
        <w:numId w:val="27"/>
      </w:numPr>
    </w:pPr>
  </w:style>
  <w:style w:type="paragraph" w:customStyle="1" w:styleId="Styl2-2">
    <w:name w:val="Styl2-2"/>
    <w:basedOn w:val="Styl2"/>
    <w:next w:val="Normlndobloku"/>
    <w:autoRedefine/>
    <w:qFormat/>
    <w:rsid w:val="003D312E"/>
    <w:pPr>
      <w:numPr>
        <w:numId w:val="0"/>
      </w:numPr>
      <w:spacing w:before="120"/>
    </w:pPr>
    <w:rPr>
      <w:lang w:val="en-GB"/>
    </w:rPr>
  </w:style>
  <w:style w:type="paragraph" w:customStyle="1" w:styleId="tlStyl3VavoZa0b">
    <w:name w:val="Štýl Styl3 + Vľavo Za:  0 b"/>
    <w:basedOn w:val="Styl3"/>
    <w:rsid w:val="00D52E02"/>
    <w:pPr>
      <w:spacing w:after="0"/>
      <w:jc w:val="left"/>
    </w:pPr>
    <w:rPr>
      <w:szCs w:val="20"/>
    </w:rPr>
  </w:style>
  <w:style w:type="paragraph" w:customStyle="1" w:styleId="tltlStyl3VavoZa0bTun">
    <w:name w:val="Štýl Štýl Styl3 + Vľavo Za:  0 b + Tučné"/>
    <w:basedOn w:val="tlStyl3VavoZa0b"/>
    <w:rsid w:val="00D52E02"/>
    <w:pPr>
      <w:spacing w:after="120"/>
      <w:jc w:val="both"/>
    </w:pPr>
    <w:rPr>
      <w:b/>
      <w:bCs/>
      <w:i/>
      <w:iCs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6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2955</Words>
  <Characters>19773</Characters>
  <Application>Microsoft Office Word</Application>
  <DocSecurity>0</DocSecurity>
  <Lines>164</Lines>
  <Paragraphs>45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SÚHRN CHARAKTERISTICKÝCH VLASTNOSTÍ LIEKU</vt:lpstr>
      <vt:lpstr>SÚHRN CHARAKTERISTICKÝCH VLASTNOSTÍ LIEKU</vt:lpstr>
    </vt:vector>
  </TitlesOfParts>
  <Company>Medochemie, Ltd.</Company>
  <LinksUpToDate>false</LinksUpToDate>
  <CharactersWithSpaces>22683</CharactersWithSpaces>
  <SharedDoc>false</SharedDoc>
  <HLinks>
    <vt:vector size="6" baseType="variant">
      <vt:variant>
        <vt:i4>2359399</vt:i4>
      </vt:variant>
      <vt:variant>
        <vt:i4>12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Jaroslav Litera</dc:creator>
  <cp:lastModifiedBy>Miroslava Slahúčková</cp:lastModifiedBy>
  <cp:revision>4</cp:revision>
  <cp:lastPrinted>2012-10-17T09:59:00Z</cp:lastPrinted>
  <dcterms:created xsi:type="dcterms:W3CDTF">2017-12-20T10:35:00Z</dcterms:created>
  <dcterms:modified xsi:type="dcterms:W3CDTF">2018-01-02T09:41:00Z</dcterms:modified>
</cp:coreProperties>
</file>