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8E" w:rsidRPr="00CB65C6" w:rsidRDefault="00496C8E" w:rsidP="00FE14F2">
      <w:pPr>
        <w:pStyle w:val="Nadpis5"/>
        <w:rPr>
          <w:caps/>
          <w:sz w:val="22"/>
          <w:szCs w:val="22"/>
        </w:rPr>
      </w:pPr>
      <w:r w:rsidRPr="00CB65C6">
        <w:rPr>
          <w:caps/>
          <w:sz w:val="22"/>
          <w:szCs w:val="22"/>
        </w:rPr>
        <w:t>Súhrn charakteristických vlastností lieku</w:t>
      </w:r>
    </w:p>
    <w:p w:rsidR="00496C8E" w:rsidRPr="00CB65C6" w:rsidRDefault="00496C8E" w:rsidP="00FE14F2">
      <w:pPr>
        <w:pStyle w:val="Nadpis5"/>
        <w:jc w:val="both"/>
        <w:rPr>
          <w:caps/>
          <w:sz w:val="22"/>
          <w:szCs w:val="22"/>
        </w:rPr>
      </w:pPr>
    </w:p>
    <w:p w:rsidR="00496C8E" w:rsidRPr="00CB65C6" w:rsidRDefault="00496C8E" w:rsidP="00FE14F2">
      <w:pPr>
        <w:rPr>
          <w:b/>
          <w:bCs/>
          <w:caps/>
          <w:sz w:val="22"/>
          <w:szCs w:val="22"/>
        </w:rPr>
      </w:pPr>
    </w:p>
    <w:p w:rsidR="00496C8E" w:rsidRPr="00CB65C6" w:rsidRDefault="00496C8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NÁZOV</w:t>
      </w:r>
      <w:r w:rsidR="007261F2" w:rsidRPr="00CB65C6">
        <w:rPr>
          <w:b/>
          <w:bCs/>
          <w:sz w:val="22"/>
          <w:szCs w:val="22"/>
        </w:rPr>
        <w:t xml:space="preserve"> </w:t>
      </w:r>
      <w:r w:rsidRPr="00CB65C6">
        <w:rPr>
          <w:b/>
          <w:bCs/>
          <w:sz w:val="22"/>
          <w:szCs w:val="22"/>
        </w:rPr>
        <w:t>LIEKU</w:t>
      </w:r>
    </w:p>
    <w:p w:rsidR="00D4529C" w:rsidRPr="00CB65C6" w:rsidRDefault="00D4529C" w:rsidP="00FE14F2">
      <w:pPr>
        <w:pStyle w:val="Nadpis9"/>
        <w:ind w:left="0"/>
        <w:rPr>
          <w:sz w:val="22"/>
          <w:szCs w:val="22"/>
        </w:rPr>
      </w:pPr>
    </w:p>
    <w:p w:rsidR="00496C8E" w:rsidRPr="00CB65C6" w:rsidRDefault="006D50C0" w:rsidP="00FE14F2">
      <w:pPr>
        <w:pStyle w:val="Nadpis9"/>
        <w:keepNext w:val="0"/>
        <w:ind w:left="0"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N</w:t>
      </w:r>
      <w:r w:rsidR="00FE14F2" w:rsidRPr="00CB65C6">
        <w:rPr>
          <w:b/>
          <w:sz w:val="22"/>
          <w:szCs w:val="22"/>
        </w:rPr>
        <w:t>urofen</w:t>
      </w:r>
      <w:r w:rsidR="00496C8E" w:rsidRPr="00CB65C6">
        <w:rPr>
          <w:b/>
          <w:sz w:val="22"/>
          <w:szCs w:val="22"/>
        </w:rPr>
        <w:t xml:space="preserve"> pre deti</w:t>
      </w:r>
      <w:r w:rsidR="00627D56" w:rsidRPr="00CB65C6">
        <w:rPr>
          <w:b/>
          <w:sz w:val="22"/>
          <w:szCs w:val="22"/>
        </w:rPr>
        <w:t xml:space="preserve"> </w:t>
      </w:r>
    </w:p>
    <w:p w:rsidR="00FB177C" w:rsidRPr="00CB65C6" w:rsidRDefault="00FB177C" w:rsidP="00FB177C">
      <w:pPr>
        <w:rPr>
          <w:sz w:val="22"/>
          <w:szCs w:val="22"/>
        </w:rPr>
      </w:pPr>
      <w:r w:rsidRPr="00CB65C6">
        <w:rPr>
          <w:sz w:val="22"/>
          <w:szCs w:val="22"/>
        </w:rPr>
        <w:t>perorálna suspenzia</w:t>
      </w:r>
      <w:bookmarkStart w:id="0" w:name="_GoBack"/>
      <w:bookmarkEnd w:id="0"/>
    </w:p>
    <w:p w:rsidR="00496C8E" w:rsidRPr="00CB65C6" w:rsidRDefault="00E10F8A" w:rsidP="00FE14F2">
      <w:pPr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20 mg/ml</w:t>
      </w:r>
    </w:p>
    <w:p w:rsidR="00D4529C" w:rsidRPr="00CB65C6" w:rsidRDefault="00D4529C" w:rsidP="00FE14F2">
      <w:pPr>
        <w:rPr>
          <w:b/>
          <w:bCs/>
          <w:sz w:val="22"/>
          <w:szCs w:val="22"/>
        </w:rPr>
      </w:pPr>
    </w:p>
    <w:p w:rsidR="00496C8E" w:rsidRPr="00CB65C6" w:rsidRDefault="0028567F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KVALITATÍVNE A KVANTITATÍVNE ZLOŽENIE</w:t>
      </w:r>
    </w:p>
    <w:p w:rsidR="00D4529C" w:rsidRPr="00CB65C6" w:rsidRDefault="00D4529C" w:rsidP="00FE14F2">
      <w:pPr>
        <w:keepNext/>
        <w:rPr>
          <w:sz w:val="22"/>
          <w:szCs w:val="22"/>
        </w:rPr>
      </w:pP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Liečivo: ibuprofén (ibuprofenum) 100 mg / 5 ml</w:t>
      </w:r>
      <w:r w:rsidR="00175AEB" w:rsidRPr="00CB65C6">
        <w:rPr>
          <w:sz w:val="22"/>
          <w:szCs w:val="22"/>
        </w:rPr>
        <w:t>.</w:t>
      </w:r>
    </w:p>
    <w:p w:rsidR="00D4529C" w:rsidRPr="00CB65C6" w:rsidRDefault="00D4529C" w:rsidP="00FE14F2">
      <w:pPr>
        <w:rPr>
          <w:bCs/>
          <w:sz w:val="22"/>
          <w:szCs w:val="22"/>
        </w:rPr>
      </w:pPr>
    </w:p>
    <w:p w:rsidR="00E10F8A" w:rsidRPr="00CB65C6" w:rsidRDefault="0028567F" w:rsidP="00FE14F2">
      <w:pPr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Pomocné látky so známym účinkom: 5 ml perorálnej suspenzie obsahuje roztok maltitolu a 7,96 mg sodíka, čo zodpovedá približne 0,346 mmol sodíka.</w:t>
      </w:r>
    </w:p>
    <w:p w:rsidR="00281F06" w:rsidRPr="00CB65C6" w:rsidRDefault="00281F06" w:rsidP="00FE14F2">
      <w:pPr>
        <w:rPr>
          <w:bCs/>
          <w:sz w:val="22"/>
          <w:szCs w:val="22"/>
        </w:rPr>
      </w:pPr>
    </w:p>
    <w:p w:rsidR="00D4529C" w:rsidRPr="00CB65C6" w:rsidRDefault="0028567F" w:rsidP="00FE14F2">
      <w:pPr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Úplný zoznam pomocných látok, pozri časť 6.1.</w:t>
      </w:r>
    </w:p>
    <w:p w:rsidR="00D4529C" w:rsidRPr="00CB65C6" w:rsidRDefault="00D4529C" w:rsidP="00FE14F2">
      <w:pPr>
        <w:rPr>
          <w:sz w:val="22"/>
          <w:szCs w:val="22"/>
        </w:rPr>
      </w:pPr>
    </w:p>
    <w:p w:rsidR="00496C8E" w:rsidRPr="00CB65C6" w:rsidRDefault="00496C8E" w:rsidP="00FE14F2">
      <w:pPr>
        <w:rPr>
          <w:b/>
          <w:bCs/>
          <w:sz w:val="22"/>
          <w:szCs w:val="22"/>
        </w:rPr>
      </w:pPr>
    </w:p>
    <w:p w:rsidR="00496C8E" w:rsidRPr="00CB65C6" w:rsidRDefault="0028567F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LIEKOVÁ FORMA</w:t>
      </w:r>
    </w:p>
    <w:p w:rsidR="00D4529C" w:rsidRPr="00CB65C6" w:rsidRDefault="00D4529C" w:rsidP="00FE14F2">
      <w:pPr>
        <w:keepNext/>
        <w:rPr>
          <w:sz w:val="22"/>
          <w:szCs w:val="22"/>
        </w:rPr>
      </w:pPr>
    </w:p>
    <w:p w:rsidR="00FE14F2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Perorálna suspenzia.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Takmer biela sirupovitá suspenzia s pomarančovou príchuťou.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D4529C" w:rsidRPr="00CB65C6" w:rsidRDefault="00D4529C" w:rsidP="00FE14F2">
      <w:pPr>
        <w:rPr>
          <w:sz w:val="22"/>
          <w:szCs w:val="22"/>
        </w:rPr>
      </w:pPr>
    </w:p>
    <w:p w:rsidR="00496C8E" w:rsidRPr="00CB65C6" w:rsidRDefault="0028567F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KLINICKÉ ÚDAJE</w:t>
      </w:r>
    </w:p>
    <w:p w:rsidR="00D4529C" w:rsidRPr="00CB65C6" w:rsidRDefault="00D4529C" w:rsidP="00FE14F2">
      <w:pPr>
        <w:keepNext/>
        <w:rPr>
          <w:b/>
          <w:bCs/>
          <w:sz w:val="22"/>
          <w:szCs w:val="22"/>
        </w:rPr>
      </w:pPr>
    </w:p>
    <w:p w:rsidR="00496C8E" w:rsidRPr="00CB65C6" w:rsidRDefault="0028567F" w:rsidP="00E81A20">
      <w:pPr>
        <w:keepNext/>
        <w:numPr>
          <w:ilvl w:val="1"/>
          <w:numId w:val="33"/>
        </w:numPr>
        <w:ind w:left="0" w:firstLine="0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Terapeutické indikácie</w:t>
      </w:r>
    </w:p>
    <w:p w:rsidR="007261F2" w:rsidRPr="00CB65C6" w:rsidRDefault="007261F2" w:rsidP="0051602D">
      <w:pPr>
        <w:keepNext/>
        <w:rPr>
          <w:sz w:val="22"/>
          <w:szCs w:val="22"/>
        </w:rPr>
      </w:pPr>
    </w:p>
    <w:p w:rsidR="007261F2" w:rsidRPr="00CB65C6" w:rsidRDefault="0028567F" w:rsidP="007261F2">
      <w:pPr>
        <w:keepNext/>
        <w:rPr>
          <w:sz w:val="22"/>
          <w:szCs w:val="22"/>
        </w:rPr>
      </w:pPr>
      <w:r w:rsidRPr="00CB65C6">
        <w:rPr>
          <w:sz w:val="22"/>
          <w:szCs w:val="22"/>
        </w:rPr>
        <w:t>Liek Nurofen pre deti sa používa:</w:t>
      </w:r>
    </w:p>
    <w:p w:rsidR="00496C8E" w:rsidRPr="00CB65C6" w:rsidRDefault="0028567F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 w:rsidRPr="00CB65C6">
        <w:rPr>
          <w:sz w:val="22"/>
          <w:szCs w:val="22"/>
        </w:rPr>
        <w:t>ako antipyretikum na zníženie horúčky (vrátane postvakcinačnej horúčky);</w:t>
      </w:r>
    </w:p>
    <w:p w:rsidR="00496C8E" w:rsidRPr="00CB65C6" w:rsidRDefault="0028567F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 w:rsidRPr="00CB65C6">
        <w:rPr>
          <w:sz w:val="22"/>
          <w:szCs w:val="22"/>
        </w:rPr>
        <w:t>ako analgetikum na tlmenie miernych až stredne silných bolestí (bolesť hlavy, bolesť hrdla, bolesť uší alebo zubov a bolesti pri poraneniach a pomliaždeninách).</w:t>
      </w:r>
    </w:p>
    <w:p w:rsidR="007261F2" w:rsidRPr="00CB65C6" w:rsidRDefault="007261F2" w:rsidP="007261F2">
      <w:pPr>
        <w:rPr>
          <w:sz w:val="22"/>
          <w:szCs w:val="22"/>
        </w:rPr>
      </w:pPr>
    </w:p>
    <w:p w:rsidR="00496C8E" w:rsidRPr="00CB65C6" w:rsidRDefault="0028567F" w:rsidP="007261F2">
      <w:pPr>
        <w:rPr>
          <w:sz w:val="22"/>
          <w:szCs w:val="22"/>
        </w:rPr>
      </w:pPr>
      <w:r w:rsidRPr="00CB65C6">
        <w:rPr>
          <w:sz w:val="22"/>
          <w:szCs w:val="22"/>
        </w:rPr>
        <w:t>Vzhľadom na liekovú formu je liek určený predovšetkým na liečbu detí a dojčiat od 3 mesiacov.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FE14F2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4.2</w:t>
      </w:r>
      <w:r w:rsidRPr="00CB65C6">
        <w:rPr>
          <w:b/>
          <w:bCs/>
          <w:sz w:val="22"/>
          <w:szCs w:val="22"/>
        </w:rPr>
        <w:tab/>
        <w:t>Dávkovanie a spôsob podávania</w:t>
      </w:r>
    </w:p>
    <w:p w:rsidR="00175AEB" w:rsidRPr="00CB65C6" w:rsidRDefault="00175AEB" w:rsidP="00FE14F2">
      <w:pPr>
        <w:keepNext/>
        <w:rPr>
          <w:b/>
          <w:bCs/>
          <w:sz w:val="22"/>
          <w:szCs w:val="22"/>
        </w:rPr>
      </w:pPr>
    </w:p>
    <w:p w:rsidR="00591ABB" w:rsidRPr="00CB65C6" w:rsidRDefault="0028567F" w:rsidP="00591ABB">
      <w:pPr>
        <w:tabs>
          <w:tab w:val="left" w:pos="7560"/>
        </w:tabs>
        <w:jc w:val="both"/>
        <w:rPr>
          <w:sz w:val="22"/>
          <w:szCs w:val="22"/>
        </w:rPr>
      </w:pPr>
      <w:r w:rsidRPr="00CB65C6">
        <w:rPr>
          <w:sz w:val="22"/>
          <w:szCs w:val="22"/>
        </w:rPr>
        <w:t>Nežiaduce účinky možno minimalizovať podávaním najnižšej účinnej dávky počas najkratšej potrebnej doby na liečbu príznakov (pozri časť 4.4).</w:t>
      </w:r>
    </w:p>
    <w:p w:rsidR="00591ABB" w:rsidRPr="00CB65C6" w:rsidRDefault="00591ABB" w:rsidP="00FE14F2">
      <w:pPr>
        <w:keepNext/>
        <w:rPr>
          <w:b/>
          <w:bCs/>
          <w:sz w:val="22"/>
          <w:szCs w:val="22"/>
        </w:rPr>
      </w:pPr>
    </w:p>
    <w:p w:rsidR="0012335B" w:rsidRPr="00CB65C6" w:rsidRDefault="0028567F" w:rsidP="00FE14F2">
      <w:pPr>
        <w:tabs>
          <w:tab w:val="left" w:pos="7560"/>
        </w:tabs>
        <w:jc w:val="both"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Dávkovanie</w:t>
      </w:r>
    </w:p>
    <w:p w:rsidR="0012335B" w:rsidRPr="00CB65C6" w:rsidRDefault="0012335B" w:rsidP="00FE14F2">
      <w:pPr>
        <w:tabs>
          <w:tab w:val="left" w:pos="7560"/>
        </w:tabs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 </w:t>
      </w:r>
    </w:p>
    <w:p w:rsidR="00F80ED2" w:rsidRPr="00CB65C6" w:rsidRDefault="0028567F" w:rsidP="00FE14F2">
      <w:pPr>
        <w:rPr>
          <w:sz w:val="22"/>
          <w:szCs w:val="22"/>
          <w:u w:val="single"/>
        </w:rPr>
      </w:pPr>
      <w:r w:rsidRPr="00CB65C6">
        <w:rPr>
          <w:sz w:val="22"/>
          <w:szCs w:val="22"/>
        </w:rPr>
        <w:t>Na krátkodobé použitie.</w:t>
      </w:r>
    </w:p>
    <w:p w:rsidR="00C06983" w:rsidRPr="00CB65C6" w:rsidRDefault="00C06983" w:rsidP="00175AEB">
      <w:pPr>
        <w:keepNext/>
        <w:rPr>
          <w:b/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Horúčkovité a bolestivé stavy:</w:t>
      </w:r>
    </w:p>
    <w:p w:rsidR="006F3A78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Dávkovanie závisí od veku a hmotnosti dieťaťa. U dojčiat a detí od 3 mesiacov do 12 rokov je obvyklá denná dávka 20 – 30 mg/kg, ktorá sa podáva oddelene v 3 – 4 jednotlivých dávkach, s intervalom dávkovania 6 - 8 hodín. 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sz w:val="22"/>
          <w:szCs w:val="22"/>
        </w:rPr>
      </w:pPr>
      <w:r w:rsidRPr="00CB65C6">
        <w:rPr>
          <w:sz w:val="22"/>
          <w:szCs w:val="22"/>
          <w:u w:val="single"/>
        </w:rPr>
        <w:t>Odporúčané dávkovanie podľa veku dieťaťa</w:t>
      </w:r>
      <w:r w:rsidRPr="00CB65C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2"/>
        <w:gridCol w:w="2831"/>
      </w:tblGrid>
      <w:tr w:rsidR="0012335B" w:rsidRPr="00CB65C6" w:rsidTr="00751796">
        <w:tc>
          <w:tcPr>
            <w:tcW w:w="2127" w:type="dxa"/>
            <w:shd w:val="clear" w:color="auto" w:fill="auto"/>
          </w:tcPr>
          <w:p w:rsidR="0012335B" w:rsidRPr="00CB65C6" w:rsidRDefault="00523A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V</w:t>
            </w:r>
            <w:r w:rsidR="00B62F26" w:rsidRPr="00CB65C6">
              <w:rPr>
                <w:b/>
                <w:sz w:val="22"/>
                <w:szCs w:val="22"/>
              </w:rPr>
              <w:t>e</w:t>
            </w:r>
            <w:r w:rsidRPr="00CB65C6">
              <w:rPr>
                <w:b/>
                <w:sz w:val="22"/>
                <w:szCs w:val="22"/>
              </w:rPr>
              <w:t xml:space="preserve">k </w:t>
            </w:r>
          </w:p>
        </w:tc>
        <w:tc>
          <w:tcPr>
            <w:tcW w:w="4252" w:type="dxa"/>
            <w:shd w:val="clear" w:color="auto" w:fill="auto"/>
          </w:tcPr>
          <w:p w:rsidR="0012335B" w:rsidRPr="00CB65C6" w:rsidRDefault="00523A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Jednorazová dávka</w:t>
            </w:r>
          </w:p>
        </w:tc>
        <w:tc>
          <w:tcPr>
            <w:tcW w:w="2831" w:type="dxa"/>
            <w:shd w:val="clear" w:color="auto" w:fill="auto"/>
          </w:tcPr>
          <w:p w:rsidR="0012335B" w:rsidRPr="00CB65C6" w:rsidRDefault="00523A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Frekvencia podania</w:t>
            </w:r>
          </w:p>
        </w:tc>
      </w:tr>
      <w:tr w:rsidR="0012335B" w:rsidRPr="00CB65C6" w:rsidTr="00751796">
        <w:tc>
          <w:tcPr>
            <w:tcW w:w="2127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 – 12 mesiacov</w:t>
            </w:r>
          </w:p>
        </w:tc>
        <w:tc>
          <w:tcPr>
            <w:tcW w:w="4252" w:type="dxa"/>
            <w:shd w:val="clear" w:color="auto" w:fill="auto"/>
          </w:tcPr>
          <w:p w:rsidR="0012335B" w:rsidRPr="00CB65C6" w:rsidRDefault="0028567F" w:rsidP="000A2622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2,5 ml suspenzie (50 mg ibuprof</w:t>
            </w:r>
            <w:r w:rsidR="000A2622" w:rsidRPr="00CB65C6">
              <w:rPr>
                <w:sz w:val="22"/>
                <w:szCs w:val="22"/>
              </w:rPr>
              <w:t>é</w:t>
            </w:r>
            <w:r w:rsidRPr="00CB65C6">
              <w:rPr>
                <w:sz w:val="22"/>
                <w:szCs w:val="22"/>
              </w:rPr>
              <w:t>nu)</w:t>
            </w:r>
          </w:p>
        </w:tc>
        <w:tc>
          <w:tcPr>
            <w:tcW w:w="2831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3 -krát za 24 hodín</w:t>
            </w:r>
          </w:p>
        </w:tc>
      </w:tr>
      <w:tr w:rsidR="0012335B" w:rsidRPr="00CB65C6" w:rsidTr="00751796">
        <w:tc>
          <w:tcPr>
            <w:tcW w:w="2127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 – 2 roky</w:t>
            </w:r>
          </w:p>
        </w:tc>
        <w:tc>
          <w:tcPr>
            <w:tcW w:w="4252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2,5 ml suspenzie (50 mg ibuprof</w:t>
            </w:r>
            <w:r w:rsidR="000A2622" w:rsidRPr="00CB65C6">
              <w:rPr>
                <w:sz w:val="22"/>
                <w:szCs w:val="22"/>
              </w:rPr>
              <w:t>é</w:t>
            </w:r>
            <w:r w:rsidRPr="00CB65C6">
              <w:rPr>
                <w:sz w:val="22"/>
                <w:szCs w:val="22"/>
              </w:rPr>
              <w:t>nu)</w:t>
            </w:r>
          </w:p>
        </w:tc>
        <w:tc>
          <w:tcPr>
            <w:tcW w:w="2831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3 - 4 -krát za 24 hodín</w:t>
            </w:r>
          </w:p>
        </w:tc>
      </w:tr>
      <w:tr w:rsidR="0012335B" w:rsidRPr="00CB65C6" w:rsidTr="00751796">
        <w:tc>
          <w:tcPr>
            <w:tcW w:w="2127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lastRenderedPageBreak/>
              <w:t>3 – 7 rokov</w:t>
            </w:r>
          </w:p>
        </w:tc>
        <w:tc>
          <w:tcPr>
            <w:tcW w:w="4252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5 ml suspenzie (100 mg ibuprof</w:t>
            </w:r>
            <w:r w:rsidR="000A2622" w:rsidRPr="00CB65C6">
              <w:rPr>
                <w:sz w:val="22"/>
                <w:szCs w:val="22"/>
              </w:rPr>
              <w:t>é</w:t>
            </w:r>
            <w:r w:rsidRPr="00CB65C6">
              <w:rPr>
                <w:sz w:val="22"/>
                <w:szCs w:val="22"/>
              </w:rPr>
              <w:t>nu)</w:t>
            </w:r>
          </w:p>
        </w:tc>
        <w:tc>
          <w:tcPr>
            <w:tcW w:w="2831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3 - 4 -krát za 24 hodín</w:t>
            </w:r>
          </w:p>
        </w:tc>
      </w:tr>
      <w:tr w:rsidR="0012335B" w:rsidRPr="00CB65C6" w:rsidTr="00751796">
        <w:tc>
          <w:tcPr>
            <w:tcW w:w="2127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8 – 12 rokov</w:t>
            </w:r>
          </w:p>
        </w:tc>
        <w:tc>
          <w:tcPr>
            <w:tcW w:w="4252" w:type="dxa"/>
            <w:shd w:val="clear" w:color="auto" w:fill="auto"/>
          </w:tcPr>
          <w:p w:rsidR="0012335B" w:rsidRPr="00CB65C6" w:rsidRDefault="0028567F" w:rsidP="000A2622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5 – 10 ml suspenzie (100 – 200 mg ibuprof</w:t>
            </w:r>
            <w:r w:rsidR="000A2622" w:rsidRPr="00CB65C6">
              <w:rPr>
                <w:sz w:val="22"/>
                <w:szCs w:val="22"/>
              </w:rPr>
              <w:t>é</w:t>
            </w:r>
            <w:r w:rsidRPr="00CB65C6">
              <w:rPr>
                <w:sz w:val="22"/>
                <w:szCs w:val="22"/>
              </w:rPr>
              <w:t>nu)</w:t>
            </w:r>
          </w:p>
        </w:tc>
        <w:tc>
          <w:tcPr>
            <w:tcW w:w="2831" w:type="dxa"/>
            <w:shd w:val="clear" w:color="auto" w:fill="auto"/>
          </w:tcPr>
          <w:p w:rsidR="0012335B" w:rsidRPr="00CB65C6" w:rsidRDefault="0028567F" w:rsidP="00751796">
            <w:pPr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3 - 4 -krát za 24 hodín</w:t>
            </w:r>
          </w:p>
        </w:tc>
      </w:tr>
    </w:tbl>
    <w:p w:rsidR="00B61978" w:rsidRPr="00CB65C6" w:rsidRDefault="00B61978" w:rsidP="002C2624">
      <w:pPr>
        <w:keepNext/>
        <w:rPr>
          <w:sz w:val="22"/>
          <w:szCs w:val="22"/>
        </w:rPr>
      </w:pPr>
      <w:bookmarkStart w:id="1" w:name="OLE_LINK9"/>
      <w:bookmarkStart w:id="2" w:name="OLE_LINK10"/>
    </w:p>
    <w:p w:rsidR="007261F2" w:rsidRPr="00CB65C6" w:rsidRDefault="0028567F" w:rsidP="002C2624">
      <w:pPr>
        <w:keepNext/>
        <w:rPr>
          <w:sz w:val="22"/>
          <w:szCs w:val="22"/>
        </w:rPr>
      </w:pPr>
      <w:r w:rsidRPr="00CB65C6">
        <w:rPr>
          <w:sz w:val="22"/>
          <w:szCs w:val="22"/>
          <w:u w:val="single"/>
        </w:rPr>
        <w:t>Orientačný príklad dávkovania podľa hmotnosti dieťaťa</w:t>
      </w:r>
      <w:r w:rsidRPr="00CB65C6">
        <w:rPr>
          <w:sz w:val="22"/>
          <w:szCs w:val="22"/>
        </w:rPr>
        <w:t>:</w:t>
      </w:r>
    </w:p>
    <w:p w:rsidR="006F3A78" w:rsidRPr="00CB65C6" w:rsidRDefault="0028567F" w:rsidP="0051602D">
      <w:pPr>
        <w:keepNext/>
        <w:rPr>
          <w:sz w:val="22"/>
          <w:szCs w:val="22"/>
        </w:rPr>
      </w:pPr>
      <w:r w:rsidRPr="00CB65C6">
        <w:rPr>
          <w:sz w:val="22"/>
          <w:szCs w:val="22"/>
        </w:rPr>
        <w:t>(v tabuľke sú vypočítané denné dávky s použitím dolnej hranice odporúčaného množstva ibuprofénu 20 mg/kg/deň):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835"/>
        <w:gridCol w:w="3096"/>
      </w:tblGrid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Hmotnosť (kg)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Dávka ibuprofénu/deň (mg)</w:t>
            </w:r>
          </w:p>
        </w:tc>
        <w:tc>
          <w:tcPr>
            <w:tcW w:w="3096" w:type="dxa"/>
          </w:tcPr>
          <w:p w:rsidR="006F3A78" w:rsidRPr="00CB65C6" w:rsidRDefault="0028567F" w:rsidP="00827855">
            <w:pPr>
              <w:jc w:val="center"/>
              <w:rPr>
                <w:b/>
                <w:sz w:val="22"/>
                <w:szCs w:val="22"/>
              </w:rPr>
            </w:pPr>
            <w:r w:rsidRPr="00CB65C6">
              <w:rPr>
                <w:b/>
                <w:sz w:val="22"/>
                <w:szCs w:val="22"/>
              </w:rPr>
              <w:t>Množstvo suspenzie/deň (ml)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120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6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160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8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200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10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240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12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280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14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320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16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360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18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400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20</w:t>
            </w:r>
          </w:p>
        </w:tc>
      </w:tr>
      <w:tr w:rsidR="006F3A78" w:rsidRPr="00CB65C6" w:rsidTr="00827855">
        <w:tc>
          <w:tcPr>
            <w:tcW w:w="1701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30</w:t>
            </w:r>
          </w:p>
        </w:tc>
        <w:tc>
          <w:tcPr>
            <w:tcW w:w="2835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max 500</w:t>
            </w:r>
          </w:p>
        </w:tc>
        <w:tc>
          <w:tcPr>
            <w:tcW w:w="3096" w:type="dxa"/>
          </w:tcPr>
          <w:p w:rsidR="006F3A78" w:rsidRPr="00CB65C6" w:rsidRDefault="0028567F" w:rsidP="007261F2">
            <w:pPr>
              <w:jc w:val="center"/>
              <w:rPr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max 25 ml</w:t>
            </w:r>
          </w:p>
        </w:tc>
      </w:tr>
      <w:bookmarkEnd w:id="1"/>
      <w:bookmarkEnd w:id="2"/>
    </w:tbl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 xml:space="preserve">U detí s hmotnosťou do </w:t>
      </w:r>
      <w:smartTag w:uri="urn:schemas-microsoft-com:office:smarttags" w:element="metricconverter">
        <w:smartTagPr>
          <w:attr w:name="ProductID" w:val="30 kg"/>
        </w:smartTagPr>
        <w:r w:rsidRPr="00CB65C6">
          <w:rPr>
            <w:sz w:val="22"/>
            <w:szCs w:val="22"/>
          </w:rPr>
          <w:t>30 kg</w:t>
        </w:r>
      </w:smartTag>
      <w:r w:rsidRPr="00CB65C6">
        <w:rPr>
          <w:sz w:val="22"/>
          <w:szCs w:val="22"/>
        </w:rPr>
        <w:t xml:space="preserve"> sa neodporúča prekročiť dávku 25 ml (500 mg ibuprofénu) denne.</w:t>
      </w:r>
    </w:p>
    <w:p w:rsidR="00BB2BAA" w:rsidRPr="00CB65C6" w:rsidRDefault="00BB2BAA" w:rsidP="00BB2BAA">
      <w:pPr>
        <w:rPr>
          <w:sz w:val="22"/>
          <w:szCs w:val="22"/>
          <w:u w:val="single"/>
        </w:rPr>
      </w:pPr>
    </w:p>
    <w:p w:rsidR="0012335B" w:rsidRPr="00CB65C6" w:rsidRDefault="0028567F" w:rsidP="0012335B">
      <w:pPr>
        <w:rPr>
          <w:sz w:val="22"/>
          <w:szCs w:val="22"/>
          <w:u w:val="single"/>
        </w:rPr>
      </w:pPr>
      <w:r w:rsidRPr="00CB65C6">
        <w:rPr>
          <w:sz w:val="22"/>
          <w:szCs w:val="22"/>
          <w:u w:val="single"/>
        </w:rPr>
        <w:t>Liek nie je určený pre deti mladšie ako 3 mesiace, ak nie je inak odporúčané lekárom.</w:t>
      </w:r>
    </w:p>
    <w:p w:rsidR="0012335B" w:rsidRPr="00CB65C6" w:rsidRDefault="0012335B" w:rsidP="0012335B">
      <w:pPr>
        <w:rPr>
          <w:sz w:val="22"/>
          <w:szCs w:val="22"/>
          <w:u w:val="single"/>
        </w:rPr>
      </w:pPr>
    </w:p>
    <w:p w:rsidR="0012335B" w:rsidRPr="00CB65C6" w:rsidRDefault="0028567F" w:rsidP="0012335B">
      <w:pPr>
        <w:rPr>
          <w:sz w:val="22"/>
          <w:szCs w:val="22"/>
          <w:u w:val="single"/>
        </w:rPr>
      </w:pPr>
      <w:r w:rsidRPr="00CB65C6">
        <w:rPr>
          <w:sz w:val="22"/>
          <w:szCs w:val="22"/>
          <w:u w:val="single"/>
        </w:rPr>
        <w:t>Prípravok nie je určený pre deti s hmotnosťou nižšou ako 5 kg.</w:t>
      </w:r>
    </w:p>
    <w:p w:rsidR="0012335B" w:rsidRPr="00CB65C6" w:rsidRDefault="0012335B" w:rsidP="0012335B">
      <w:pPr>
        <w:rPr>
          <w:sz w:val="22"/>
          <w:szCs w:val="22"/>
          <w:u w:val="single"/>
        </w:rPr>
      </w:pPr>
    </w:p>
    <w:p w:rsidR="00A0415F" w:rsidRPr="00CB65C6" w:rsidRDefault="0028567F" w:rsidP="00A0415F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U dojčiat vo veku 3 – 5 mesiacov je potrebné vyhľadať lekára okamžite pri zhoršení príznakov ochorenia alebo, ak príznaky pretrvávajú, do 24 hodín. </w:t>
      </w:r>
    </w:p>
    <w:p w:rsidR="00A0415F" w:rsidRPr="00CB65C6" w:rsidRDefault="00A0415F" w:rsidP="00A0415F">
      <w:pPr>
        <w:jc w:val="both"/>
        <w:rPr>
          <w:sz w:val="22"/>
          <w:szCs w:val="22"/>
        </w:rPr>
      </w:pPr>
    </w:p>
    <w:p w:rsidR="00A0415F" w:rsidRPr="00CB65C6" w:rsidRDefault="0028567F" w:rsidP="00A0415F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Ak je u detí od 6 mesiacov a u dospievajúcich potrebné podávať tento liek dlhšie ako 3 dni alebo ak sa zhoršia príznaky ochorenia, musíte vyhľadať lekára. </w:t>
      </w:r>
    </w:p>
    <w:p w:rsidR="00A0415F" w:rsidRPr="00CB65C6" w:rsidRDefault="00A0415F" w:rsidP="00BB2BAA">
      <w:pPr>
        <w:rPr>
          <w:sz w:val="22"/>
          <w:szCs w:val="22"/>
          <w:u w:val="single"/>
        </w:rPr>
      </w:pPr>
    </w:p>
    <w:p w:rsidR="00496C8E" w:rsidRPr="00CB65C6" w:rsidRDefault="0028567F" w:rsidP="00175AEB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Postvakcinačná horúčka (3 - 6 mesiacov):</w:t>
      </w:r>
    </w:p>
    <w:p w:rsidR="00496C8E" w:rsidRPr="00CB65C6" w:rsidRDefault="0028567F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Liek sa podáva v dávke 2,5 ml suspenzie (50 mg ibuprofénu). V prípade potreby sa dávka môže zopakovať po 6-tich hodinách. Nemá sa podať viac ako 2 -krát 50 mg ibuprofénu za deň.</w:t>
      </w: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Ak sa horúčka neznižuje, je potrebné vyhľadať lekára.</w:t>
      </w:r>
    </w:p>
    <w:p w:rsidR="0012335B" w:rsidRPr="00CB65C6" w:rsidRDefault="0012335B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iCs/>
          <w:sz w:val="22"/>
          <w:szCs w:val="22"/>
        </w:rPr>
      </w:pPr>
      <w:r w:rsidRPr="00CB65C6">
        <w:rPr>
          <w:b/>
          <w:iCs/>
          <w:sz w:val="22"/>
          <w:szCs w:val="22"/>
        </w:rPr>
        <w:t>Spôsob podávania</w:t>
      </w:r>
    </w:p>
    <w:p w:rsidR="0012335B" w:rsidRPr="00CB65C6" w:rsidRDefault="0012335B" w:rsidP="00175AEB">
      <w:pPr>
        <w:keepNext/>
        <w:rPr>
          <w:b/>
          <w:iCs/>
          <w:sz w:val="22"/>
          <w:szCs w:val="22"/>
        </w:rPr>
      </w:pPr>
    </w:p>
    <w:p w:rsidR="0012335B" w:rsidRPr="00CB65C6" w:rsidRDefault="0028567F" w:rsidP="00175AEB">
      <w:pPr>
        <w:keepNext/>
        <w:rPr>
          <w:sz w:val="22"/>
          <w:szCs w:val="22"/>
        </w:rPr>
      </w:pPr>
      <w:r w:rsidRPr="00CB65C6">
        <w:rPr>
          <w:sz w:val="22"/>
          <w:szCs w:val="22"/>
        </w:rPr>
        <w:t>Perorálne podanie.</w:t>
      </w:r>
    </w:p>
    <w:p w:rsidR="0012335B" w:rsidRPr="00CB65C6" w:rsidRDefault="0012335B" w:rsidP="00175AEB">
      <w:pPr>
        <w:keepNext/>
        <w:rPr>
          <w:b/>
          <w:iCs/>
          <w:sz w:val="22"/>
          <w:szCs w:val="22"/>
        </w:rPr>
      </w:pPr>
    </w:p>
    <w:p w:rsidR="00496C8E" w:rsidRPr="00CB65C6" w:rsidRDefault="0028567F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Liek sa užíva nezávisle od príjmu potravy. Ak sa počas liečby vyskytnú zažívacie ťažkosti, vhodné je liek užívať počas jedla.</w:t>
      </w:r>
    </w:p>
    <w:p w:rsidR="00827855" w:rsidRPr="00CB65C6" w:rsidRDefault="00827855" w:rsidP="00FE14F2">
      <w:pPr>
        <w:jc w:val="both"/>
        <w:rPr>
          <w:sz w:val="22"/>
          <w:szCs w:val="22"/>
        </w:rPr>
      </w:pPr>
    </w:p>
    <w:p w:rsidR="006F3A78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Liek sa dodáva s odmernou lyžičkou alebo dávkovacou trubičkou. Návod na použitie, pozri časť 6.6.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4.3</w:t>
      </w:r>
      <w:r w:rsidRPr="00CB65C6">
        <w:rPr>
          <w:b/>
          <w:bCs/>
          <w:sz w:val="22"/>
          <w:szCs w:val="22"/>
        </w:rPr>
        <w:tab/>
        <w:t>Kontraindikácie</w:t>
      </w:r>
    </w:p>
    <w:p w:rsidR="00D4529C" w:rsidRPr="00CB65C6" w:rsidRDefault="00D4529C" w:rsidP="00175AEB">
      <w:pPr>
        <w:keepNext/>
        <w:rPr>
          <w:sz w:val="22"/>
          <w:szCs w:val="22"/>
        </w:rPr>
      </w:pPr>
    </w:p>
    <w:p w:rsidR="0017486D" w:rsidRPr="00CB65C6" w:rsidRDefault="0028567F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 w:rsidRPr="00CB65C6">
        <w:rPr>
          <w:sz w:val="22"/>
          <w:szCs w:val="22"/>
        </w:rPr>
        <w:t>precitlivenosť na liečivo alebo na ktorúkoľvek z pomocných látok</w:t>
      </w:r>
      <w:r w:rsidRPr="00CB65C6">
        <w:rPr>
          <w:sz w:val="22"/>
          <w:szCs w:val="22"/>
          <w:lang w:eastAsia="en-US"/>
        </w:rPr>
        <w:t xml:space="preserve"> uvedených v časti 6.1</w:t>
      </w:r>
      <w:r w:rsidRPr="00CB65C6">
        <w:rPr>
          <w:sz w:val="22"/>
          <w:szCs w:val="22"/>
        </w:rPr>
        <w:t>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 w:rsidRPr="00CB65C6">
        <w:rPr>
          <w:sz w:val="22"/>
          <w:szCs w:val="22"/>
        </w:rPr>
        <w:t>precitlivenosť na kyselinu acetylsalicylovú alebo iné nesteroidové protizápalové lieky (NSAID - non-steroid anti-inflammatory drugs) prejavujúca sa ako priedušková astma, žihľavka alebo rinitída;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súbežné podávanie s inými NSAID vrátanie selektívnych inhibítorov cyklooxygenázy-2;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aktívny alebo anamnesticky rekurentný peptický vred / krvácanie (dva alebo viac prípadov potvrdeného vredu alebo krvácania);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pacienti s anamnézou gastrointestinálne krvácanie alebo perforácia vo vzťahu k predchádzajúcej terapii NSAID v anamnéze; 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lastRenderedPageBreak/>
        <w:t>závažné srdcové zlyhanie;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ťažká porucha funkcie pečene alebo obličiek;</w:t>
      </w:r>
    </w:p>
    <w:p w:rsidR="0017486D" w:rsidRPr="00CB65C6" w:rsidRDefault="0028567F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tretí trimester gravidity (pozri tiež časť 4.6).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4.4</w:t>
      </w:r>
      <w:r w:rsidRPr="00CB65C6">
        <w:rPr>
          <w:b/>
          <w:bCs/>
          <w:sz w:val="22"/>
          <w:szCs w:val="22"/>
        </w:rPr>
        <w:tab/>
        <w:t>Osobitné upozornenia a opatrenia pri používaní</w:t>
      </w:r>
    </w:p>
    <w:p w:rsidR="00833338" w:rsidRPr="00CB65C6" w:rsidRDefault="00833338" w:rsidP="00175AEB">
      <w:pPr>
        <w:keepNext/>
        <w:jc w:val="both"/>
        <w:rPr>
          <w:bCs/>
          <w:sz w:val="22"/>
          <w:szCs w:val="22"/>
        </w:rPr>
      </w:pPr>
    </w:p>
    <w:p w:rsidR="00BB2BAA" w:rsidRPr="00CB65C6" w:rsidRDefault="0028567F" w:rsidP="00827855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Nežiaduce účinky možno minimalizovať použitím najmenšej účinnej dávky počas najkratšieho obdobia, ktoré je potrebné na kontrolu symptómov (pozri Kardiovaskulárne a Gastrointestinálne reakcie nižšie).</w:t>
      </w:r>
    </w:p>
    <w:p w:rsidR="00CE79D4" w:rsidRPr="00CB65C6" w:rsidRDefault="00CE79D4" w:rsidP="00CE79D4">
      <w:pPr>
        <w:jc w:val="both"/>
        <w:rPr>
          <w:b/>
          <w:bCs/>
          <w:sz w:val="22"/>
          <w:szCs w:val="22"/>
          <w:u w:val="single"/>
        </w:rPr>
      </w:pPr>
    </w:p>
    <w:p w:rsidR="00FB0579" w:rsidRPr="00CB65C6" w:rsidRDefault="0028567F" w:rsidP="00827855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Kardiovaskulárne a cerebrovaskulárne reakcie</w:t>
      </w:r>
    </w:p>
    <w:p w:rsidR="00992DCE" w:rsidRPr="00CB65C6" w:rsidRDefault="0028567F" w:rsidP="00992DCE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Pred začatím liečby u pacientov s hypertenziou a/alebo zlyhávaním srdca je potrebná opatrnosť (konzultácia s lekárom alebo lekárnikom), pretože v súvislosti s liečbou NSAID boli hlásené retencia tekutín, hypertenzia a edémy.</w:t>
      </w:r>
    </w:p>
    <w:p w:rsidR="00992DCE" w:rsidRPr="00CB65C6" w:rsidRDefault="00992DCE" w:rsidP="00992DCE">
      <w:pPr>
        <w:rPr>
          <w:sz w:val="22"/>
          <w:szCs w:val="22"/>
        </w:rPr>
      </w:pPr>
    </w:p>
    <w:p w:rsidR="00FB0579" w:rsidRPr="00CB65C6" w:rsidRDefault="0028567F" w:rsidP="00FE14F2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Údaje z klinických a epidemiologických štúdií poukazujú na možnosť, že užívanie ibuprofénu, obzvlášť liečba vysokými dávkami (2 400 mg/deň) a dlhodobá liečba, môže byť spojené s malým zvýšením rizika arteriálnej trombotickej príhody (napr. infarkt myokardu alebo mozgová príhoda). Vo všeobecnosti, dostupné epidemiologické údaje nenasvedčujú zvýšenému riziku infarktu myokardu pri nízkych dávkach ibuprofénu (</w:t>
      </w:r>
      <w:r w:rsidR="00FB0579" w:rsidRPr="00CB65C6">
        <w:rPr>
          <w:bCs/>
          <w:sz w:val="22"/>
          <w:szCs w:val="22"/>
        </w:rPr>
        <w:sym w:font="Symbol" w:char="F0A3"/>
      </w:r>
      <w:r w:rsidR="00E31D31" w:rsidRPr="00CB65C6">
        <w:rPr>
          <w:bCs/>
          <w:sz w:val="22"/>
          <w:szCs w:val="22"/>
        </w:rPr>
        <w:t> </w:t>
      </w:r>
      <w:r w:rsidR="00FB0579" w:rsidRPr="00CB65C6">
        <w:rPr>
          <w:bCs/>
          <w:sz w:val="22"/>
          <w:szCs w:val="22"/>
        </w:rPr>
        <w:t>1</w:t>
      </w:r>
      <w:r w:rsidR="00E31D31" w:rsidRPr="00CB65C6">
        <w:rPr>
          <w:bCs/>
          <w:sz w:val="22"/>
          <w:szCs w:val="22"/>
        </w:rPr>
        <w:t> </w:t>
      </w:r>
      <w:r w:rsidR="00FB0579" w:rsidRPr="00CB65C6">
        <w:rPr>
          <w:bCs/>
          <w:sz w:val="22"/>
          <w:szCs w:val="22"/>
        </w:rPr>
        <w:t>200</w:t>
      </w:r>
      <w:r w:rsidRPr="00CB65C6">
        <w:rPr>
          <w:bCs/>
          <w:sz w:val="22"/>
          <w:szCs w:val="22"/>
        </w:rPr>
        <w:t> mg denne).</w:t>
      </w:r>
    </w:p>
    <w:p w:rsidR="002D6726" w:rsidRPr="00CB65C6" w:rsidRDefault="002D6726" w:rsidP="00FE14F2">
      <w:pPr>
        <w:jc w:val="both"/>
        <w:rPr>
          <w:bCs/>
          <w:sz w:val="22"/>
          <w:szCs w:val="22"/>
        </w:rPr>
      </w:pPr>
    </w:p>
    <w:p w:rsidR="002D6726" w:rsidRPr="00CB65C6" w:rsidRDefault="00523A3E" w:rsidP="002D6726">
      <w:pPr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Renálne reakcie</w:t>
      </w:r>
    </w:p>
    <w:p w:rsidR="002D6726" w:rsidRPr="00CB65C6" w:rsidRDefault="002D6726" w:rsidP="002D6726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U dehydratovaných detí a dospievajúcich existuje riziko poruchy funkcie obličiek (pozri 4.3. a 4.8.).</w:t>
      </w:r>
    </w:p>
    <w:p w:rsidR="00E31D31" w:rsidRPr="00CB65C6" w:rsidRDefault="00E31D31" w:rsidP="00FE14F2">
      <w:pPr>
        <w:jc w:val="both"/>
        <w:rPr>
          <w:bCs/>
          <w:sz w:val="22"/>
          <w:szCs w:val="22"/>
        </w:rPr>
      </w:pPr>
    </w:p>
    <w:p w:rsidR="00396721" w:rsidRPr="00CB65C6" w:rsidRDefault="0028567F" w:rsidP="00396721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Gastrointestinálne (GI) reakcie</w:t>
      </w:r>
    </w:p>
    <w:p w:rsidR="0017486D" w:rsidRPr="00CB65C6" w:rsidRDefault="0028567F" w:rsidP="00396721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Gastrointestinálne krvácanie, ulcerácia a perforácia, ktoré môžu byť smrteľné, sú popísané u všetkých NSAID a môžu sa vyskytnúť kedykoľvek počas liečby, a to s alebo bez varovných príznakov alebo predchádzajúcej anamnézy závažných gastrointestinálnych príhod.</w:t>
      </w:r>
    </w:p>
    <w:p w:rsidR="00396721" w:rsidRPr="00CB65C6" w:rsidRDefault="00396721" w:rsidP="00396721">
      <w:pPr>
        <w:jc w:val="both"/>
        <w:rPr>
          <w:sz w:val="22"/>
          <w:szCs w:val="22"/>
        </w:rPr>
      </w:pPr>
    </w:p>
    <w:p w:rsidR="00AA0928" w:rsidRPr="00CB65C6" w:rsidRDefault="0028567F" w:rsidP="00396721">
      <w:pPr>
        <w:pStyle w:val="Zkladntext3"/>
        <w:spacing w:after="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Riziko gastrointestinálneho krvácania, ulcerácie či perforácie sa zvyšuje so zvyšujúcou sa dávkou, u pacientov s anamnézou vredovej choroby, obzvlášť ak bola komplikovaná krvácaním alebo perforáciou (pozri časť 4.3) a u starších pacientov.</w:t>
      </w:r>
    </w:p>
    <w:p w:rsidR="00396721" w:rsidRPr="00CB65C6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0500A5" w:rsidRPr="00CB65C6" w:rsidRDefault="0028567F" w:rsidP="00396721">
      <w:pPr>
        <w:pStyle w:val="Zkladntext3"/>
        <w:spacing w:after="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Zvýšená opatrnosť je potrebná u pacientov liečených súbežne liekmi, ktoré môžu zvyšovať riziko ulcerácie alebo krvácania, ako sú perorálne kortikosteroidy, antikoagulanciá ako warfarín, SSRI alebo antiagregačné lieky ako je kyselina acetylsalicylová (pozri časť 4.5). </w:t>
      </w:r>
    </w:p>
    <w:p w:rsidR="00396721" w:rsidRPr="00CB65C6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17486D" w:rsidRPr="00CB65C6" w:rsidRDefault="0028567F" w:rsidP="00396721">
      <w:pPr>
        <w:pStyle w:val="Zkladntext3"/>
        <w:spacing w:after="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U takýchto pacientov treba začať liečbu s najnižšou možnou dávkou. U týchto pacientov a tiež u pacientov vyžadujúcich súčasnú liečbu nízkymi dávkami kyseliny acetylsalicylovej alebo iných látok zvyšujúcich gastrointestinálne riziko by sa malo zvážiť súčasné podávanie protektívnej liečby (napr. misoprostol alebo inhibítory protónovej pumpy).</w:t>
      </w:r>
    </w:p>
    <w:p w:rsidR="00396721" w:rsidRPr="00CB65C6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AA0928" w:rsidRPr="00CB65C6" w:rsidRDefault="0028567F" w:rsidP="00396721">
      <w:pPr>
        <w:jc w:val="both"/>
        <w:rPr>
          <w:bCs/>
          <w:sz w:val="22"/>
          <w:szCs w:val="22"/>
        </w:rPr>
      </w:pPr>
      <w:r w:rsidRPr="00CB65C6">
        <w:rPr>
          <w:sz w:val="22"/>
          <w:szCs w:val="22"/>
        </w:rPr>
        <w:t>Pacienti s </w:t>
      </w:r>
      <w:r w:rsidRPr="00CB65C6">
        <w:rPr>
          <w:bCs/>
          <w:sz w:val="22"/>
          <w:szCs w:val="22"/>
        </w:rPr>
        <w:t>anamnézou gastrointestinálnej toxicity, najmä starší pacienti, majú informovať lekára o akýchkoľvek nezvyčajných abdominálnych príznakoch (najmä o gastrointestinálnom krvácaní) obzvlášť na začiatku liečby.</w:t>
      </w:r>
    </w:p>
    <w:p w:rsidR="0017486D" w:rsidRPr="00CB65C6" w:rsidRDefault="0017486D" w:rsidP="00396721">
      <w:pPr>
        <w:jc w:val="both"/>
        <w:rPr>
          <w:sz w:val="22"/>
          <w:szCs w:val="22"/>
        </w:rPr>
      </w:pPr>
    </w:p>
    <w:p w:rsidR="003A1FF7" w:rsidRPr="00CB65C6" w:rsidRDefault="0028567F" w:rsidP="00396721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Ak sa u pacienta liečeného liekom Nurofen pre deti objaví </w:t>
      </w:r>
      <w:r w:rsidRPr="00CB65C6">
        <w:rPr>
          <w:bCs/>
          <w:sz w:val="22"/>
          <w:szCs w:val="22"/>
        </w:rPr>
        <w:t xml:space="preserve">gastrointestinálne </w:t>
      </w:r>
      <w:r w:rsidRPr="00CB65C6">
        <w:rPr>
          <w:sz w:val="22"/>
          <w:szCs w:val="22"/>
        </w:rPr>
        <w:t>krvácanie alebo ulcerácia, liek musí byť vysadený.</w:t>
      </w:r>
    </w:p>
    <w:p w:rsidR="0017486D" w:rsidRPr="00CB65C6" w:rsidRDefault="0017486D" w:rsidP="00FE14F2">
      <w:pPr>
        <w:jc w:val="both"/>
        <w:rPr>
          <w:sz w:val="22"/>
          <w:szCs w:val="22"/>
        </w:rPr>
      </w:pPr>
    </w:p>
    <w:p w:rsidR="0017486D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NSAID sa majú podávať s opatrnosťou u pacientov s anamnézou gastrointestinálnych ochorení (ulcerózna kolitída, Crohnova choroba), pretože by mohlo dôjsť k exacerbácii týchto ochorení.</w:t>
      </w:r>
    </w:p>
    <w:p w:rsidR="0017486D" w:rsidRPr="00CB65C6" w:rsidRDefault="0017486D" w:rsidP="00FE14F2">
      <w:pPr>
        <w:jc w:val="both"/>
        <w:rPr>
          <w:sz w:val="22"/>
          <w:szCs w:val="22"/>
        </w:rPr>
      </w:pPr>
    </w:p>
    <w:p w:rsidR="00396721" w:rsidRPr="00CB65C6" w:rsidRDefault="0028567F" w:rsidP="00396721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lastRenderedPageBreak/>
        <w:t>Kožné reakcie</w:t>
      </w:r>
    </w:p>
    <w:p w:rsidR="00B22630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V súvislosti s liečbou NSAID boli veľmi zriedkavo hlásené závažné kožné reakcie, a to exfoliatívna dermatitída, Stevensov-Johnsonov syndróm a toxická epidermálna nekrolýza, niektoré z nich fatálne. Zdá sa, že najvyššie riziko je na začiatku liečby; väčšina z nich sa objavila v prvom mesiaci liečby. </w:t>
      </w:r>
    </w:p>
    <w:p w:rsidR="00B22630" w:rsidRPr="00CB65C6" w:rsidRDefault="00B22630" w:rsidP="00FE14F2">
      <w:pPr>
        <w:jc w:val="both"/>
        <w:rPr>
          <w:sz w:val="22"/>
          <w:szCs w:val="22"/>
        </w:rPr>
      </w:pPr>
    </w:p>
    <w:p w:rsidR="003A1FF7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Nurofen pre deti by mal byť vysadený pri prvom výskyte kožných vyrážok, mukóznych lézií alebo iných prejavoch hypersenzitivity.</w:t>
      </w:r>
    </w:p>
    <w:p w:rsidR="0017486D" w:rsidRPr="00CB65C6" w:rsidRDefault="0017486D" w:rsidP="00FE14F2">
      <w:pPr>
        <w:jc w:val="both"/>
        <w:rPr>
          <w:sz w:val="22"/>
          <w:szCs w:val="22"/>
        </w:rPr>
      </w:pPr>
    </w:p>
    <w:p w:rsidR="00BB6050" w:rsidRPr="00CB65C6" w:rsidRDefault="00523A3E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Výnimočne môžu byť ovčie kiahne</w:t>
      </w:r>
      <w:r w:rsidR="00BB6050" w:rsidRPr="00CB65C6">
        <w:rPr>
          <w:sz w:val="22"/>
          <w:szCs w:val="22"/>
        </w:rPr>
        <w:t xml:space="preserve"> prítomné</w:t>
      </w:r>
      <w:r w:rsidRPr="00CB65C6">
        <w:rPr>
          <w:sz w:val="22"/>
          <w:szCs w:val="22"/>
        </w:rPr>
        <w:t xml:space="preserve"> na počiatku závažných infekčných komplikácií kože a mäkkých tkanív. Dosiaľ nemožno vylúčiť, že NSAID prispievajú k zhoršeniu týchto infekcií. Preto sa odpor</w:t>
      </w:r>
      <w:r w:rsidR="00981C91" w:rsidRPr="00CB65C6">
        <w:rPr>
          <w:sz w:val="22"/>
          <w:szCs w:val="22"/>
        </w:rPr>
        <w:t>úča vyhýbať sa užívaniu ibuprofé</w:t>
      </w:r>
      <w:r w:rsidRPr="00CB65C6">
        <w:rPr>
          <w:sz w:val="22"/>
          <w:szCs w:val="22"/>
        </w:rPr>
        <w:t>nu v prípade ovčích kiahní</w:t>
      </w:r>
      <w:r w:rsidR="0075709F" w:rsidRPr="00CB65C6">
        <w:rPr>
          <w:sz w:val="22"/>
          <w:szCs w:val="22"/>
        </w:rPr>
        <w:t>.</w:t>
      </w:r>
    </w:p>
    <w:p w:rsidR="0075709F" w:rsidRPr="00CB65C6" w:rsidRDefault="0075709F" w:rsidP="00FE14F2">
      <w:pPr>
        <w:jc w:val="both"/>
        <w:rPr>
          <w:sz w:val="22"/>
          <w:szCs w:val="22"/>
        </w:rPr>
      </w:pPr>
    </w:p>
    <w:p w:rsidR="00396721" w:rsidRPr="00CB65C6" w:rsidRDefault="00396721" w:rsidP="00396721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Zvláštna opatrnosť je potrebná u pacientov</w:t>
      </w:r>
      <w:r w:rsidR="0028567F" w:rsidRPr="00CB65C6">
        <w:rPr>
          <w:b/>
          <w:sz w:val="22"/>
          <w:szCs w:val="22"/>
        </w:rPr>
        <w:t>:</w:t>
      </w:r>
    </w:p>
    <w:p w:rsidR="00396721" w:rsidRPr="00CB65C6" w:rsidRDefault="0028567F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so systémovým ochorením lupus erythemathosus a so zmiešaným ochorením spojivových tkanív, vzhľadom na zvýšené riziko aseptickej meningitídy (pozri časť 4.8);</w:t>
      </w:r>
    </w:p>
    <w:p w:rsidR="00396721" w:rsidRPr="00CB65C6" w:rsidRDefault="0028567F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s gastrointestinálnym ochorením a chronickými zápalovými črevnými ochoreniami (ulcerózna kolitída, Crohnova choroba);</w:t>
      </w:r>
      <w:r w:rsidR="00523A3E" w:rsidRPr="00CB65C6">
        <w:rPr>
          <w:sz w:val="22"/>
          <w:szCs w:val="22"/>
        </w:rPr>
        <w:t xml:space="preserve"> </w:t>
      </w:r>
      <w:r w:rsidR="002D6726" w:rsidRPr="00CB65C6">
        <w:rPr>
          <w:sz w:val="22"/>
          <w:szCs w:val="22"/>
        </w:rPr>
        <w:t xml:space="preserve">pretože by mohlo dôjsť k exacerbácii týchto chorôb; </w:t>
      </w:r>
    </w:p>
    <w:p w:rsidR="00396721" w:rsidRPr="00CB65C6" w:rsidRDefault="00E90685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s </w:t>
      </w:r>
      <w:r w:rsidR="0028567F" w:rsidRPr="00CB65C6">
        <w:rPr>
          <w:sz w:val="22"/>
          <w:szCs w:val="22"/>
        </w:rPr>
        <w:t>prieduškovou astmou;</w:t>
      </w:r>
      <w:r w:rsidR="00523A3E" w:rsidRPr="00CB65C6">
        <w:rPr>
          <w:sz w:val="22"/>
          <w:szCs w:val="22"/>
        </w:rPr>
        <w:t xml:space="preserve"> </w:t>
      </w:r>
      <w:r w:rsidR="00342BBB" w:rsidRPr="00CB65C6">
        <w:rPr>
          <w:sz w:val="22"/>
          <w:szCs w:val="22"/>
        </w:rPr>
        <w:t>u pacientov s bronchiálnou astmou alebo alergickým ochorením alebo u pacientov s anamnézou týchto ochorení, pretože liek môže vyvolať bronchospazmus</w:t>
      </w:r>
      <w:r w:rsidR="0028567F" w:rsidRPr="00CB65C6">
        <w:rPr>
          <w:sz w:val="22"/>
          <w:szCs w:val="22"/>
        </w:rPr>
        <w:t>;</w:t>
      </w:r>
    </w:p>
    <w:p w:rsidR="00396721" w:rsidRPr="00CB65C6" w:rsidRDefault="0028567F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s poruchou krvnej zrážanlivosti;</w:t>
      </w:r>
    </w:p>
    <w:p w:rsidR="00396721" w:rsidRPr="00CB65C6" w:rsidRDefault="0028567F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s poruchou funkcie pečene.</w:t>
      </w:r>
    </w:p>
    <w:p w:rsidR="00396721" w:rsidRPr="00CB65C6" w:rsidRDefault="00396721" w:rsidP="00396721">
      <w:pPr>
        <w:jc w:val="both"/>
        <w:rPr>
          <w:sz w:val="22"/>
          <w:szCs w:val="22"/>
        </w:rPr>
      </w:pPr>
    </w:p>
    <w:p w:rsidR="00496C8E" w:rsidRPr="00CB65C6" w:rsidRDefault="0028567F" w:rsidP="00396721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Rodičov detí, ktoré užívajú ibuprofén, treba informovať o nasledovných skutočnostiach:</w:t>
      </w:r>
    </w:p>
    <w:p w:rsidR="00496C8E" w:rsidRPr="00CB65C6" w:rsidRDefault="0028567F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pokiaľ príznaky ochorenia pretrvávajú dlhšie ako 24 hodín u dojčiat vo veku 3 – 5 mesiacov a dlhšie ako 3 dni u detí od 6 mesiacov, treba vyhľadať lekára, ak sa podáva liek dojčatám, treba vyhľadať lekára čo najskôr;</w:t>
      </w:r>
    </w:p>
    <w:p w:rsidR="00496C8E" w:rsidRPr="00CB65C6" w:rsidRDefault="0028567F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odporúčané denné dávky sa nesmú prekračovať;</w:t>
      </w:r>
    </w:p>
    <w:p w:rsidR="00496C8E" w:rsidRPr="00CB65C6" w:rsidRDefault="0028567F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liek sa nemá podávať deťom mladším ako 3 mesiace.</w:t>
      </w:r>
    </w:p>
    <w:p w:rsidR="00396721" w:rsidRPr="00CB65C6" w:rsidRDefault="00396721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DE14DD" w:rsidRPr="00CB65C6" w:rsidRDefault="0028567F" w:rsidP="00FE14F2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CB65C6">
        <w:rPr>
          <w:rFonts w:ascii="Times New Roman" w:hAnsi="Times New Roman" w:cs="Times New Roman"/>
          <w:sz w:val="22"/>
          <w:szCs w:val="22"/>
          <w:u w:val="single"/>
        </w:rPr>
        <w:t>Pomocné látky so známym účinkom</w:t>
      </w:r>
    </w:p>
    <w:p w:rsidR="00D9458B" w:rsidRPr="00CB65C6" w:rsidRDefault="00342BBB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 xml:space="preserve">Liek obsahuje </w:t>
      </w:r>
      <w:r w:rsidR="0028567F" w:rsidRPr="00CB65C6">
        <w:rPr>
          <w:rFonts w:ascii="Times New Roman" w:hAnsi="Times New Roman" w:cs="Times New Roman"/>
          <w:sz w:val="22"/>
          <w:szCs w:val="22"/>
        </w:rPr>
        <w:t>maltitolový sirup. Pacienti so zriedkavými dedičnými problémami intoleranci</w:t>
      </w:r>
      <w:r w:rsidR="00E73ADB" w:rsidRPr="00CB65C6">
        <w:rPr>
          <w:rFonts w:ascii="Times New Roman" w:hAnsi="Times New Roman" w:cs="Times New Roman"/>
          <w:sz w:val="22"/>
          <w:szCs w:val="22"/>
        </w:rPr>
        <w:t>e</w:t>
      </w:r>
      <w:r w:rsidR="0028567F" w:rsidRPr="00CB65C6">
        <w:rPr>
          <w:rFonts w:ascii="Times New Roman" w:hAnsi="Times New Roman" w:cs="Times New Roman"/>
          <w:sz w:val="22"/>
          <w:szCs w:val="22"/>
        </w:rPr>
        <w:t xml:space="preserve"> fruktózy ne</w:t>
      </w:r>
      <w:r w:rsidR="00E73ADB" w:rsidRPr="00CB65C6">
        <w:rPr>
          <w:rFonts w:ascii="Times New Roman" w:hAnsi="Times New Roman" w:cs="Times New Roman"/>
          <w:sz w:val="22"/>
          <w:szCs w:val="22"/>
        </w:rPr>
        <w:t>s</w:t>
      </w:r>
      <w:r w:rsidR="0028567F" w:rsidRPr="00CB65C6">
        <w:rPr>
          <w:rFonts w:ascii="Times New Roman" w:hAnsi="Times New Roman" w:cs="Times New Roman"/>
          <w:sz w:val="22"/>
          <w:szCs w:val="22"/>
        </w:rPr>
        <w:t xml:space="preserve">mú </w:t>
      </w:r>
      <w:r w:rsidR="00E73ADB" w:rsidRPr="00CB65C6">
        <w:rPr>
          <w:rFonts w:ascii="Times New Roman" w:hAnsi="Times New Roman" w:cs="Times New Roman"/>
          <w:sz w:val="22"/>
          <w:szCs w:val="22"/>
        </w:rPr>
        <w:t xml:space="preserve">užívať </w:t>
      </w:r>
      <w:r w:rsidR="0028567F" w:rsidRPr="00CB65C6">
        <w:rPr>
          <w:rFonts w:ascii="Times New Roman" w:hAnsi="Times New Roman" w:cs="Times New Roman"/>
          <w:sz w:val="22"/>
          <w:szCs w:val="22"/>
        </w:rPr>
        <w:t>tento liek.</w:t>
      </w:r>
    </w:p>
    <w:p w:rsidR="00EE6A8F" w:rsidRPr="00CB65C6" w:rsidRDefault="00EE6A8F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91366" w:rsidRPr="00CB65C6" w:rsidRDefault="0028567F" w:rsidP="00C9136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Tento liek obsahuje 0,346 mmol (7,96 mg) sodíka v 5 ml suspenzie. Má sa vziať do úvahy u pacientov so zníženou funkciou obličiek alebo u pacientov na diéte s kontrolovaným obsahom sodíka.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396721" w:rsidRPr="00CB65C6" w:rsidRDefault="0028567F" w:rsidP="00396721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Starší pacienti</w:t>
      </w:r>
    </w:p>
    <w:p w:rsidR="00396721" w:rsidRPr="00CB65C6" w:rsidRDefault="0028567F" w:rsidP="00396721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U starších pacientov sa nežiaduce účinky, zvlášť gastrointestinálne krvácanie a perforácia, vyskytujú častejšie. Následky týchto nežiaducich účinkov môžu byť fatálne.</w:t>
      </w:r>
    </w:p>
    <w:p w:rsidR="008D526D" w:rsidRPr="00CB65C6" w:rsidRDefault="008D526D" w:rsidP="00175AEB">
      <w:pPr>
        <w:keepNext/>
        <w:rPr>
          <w:b/>
          <w:bCs/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4.5</w:t>
      </w:r>
      <w:r w:rsidRPr="00CB65C6">
        <w:rPr>
          <w:b/>
          <w:bCs/>
          <w:sz w:val="22"/>
          <w:szCs w:val="22"/>
        </w:rPr>
        <w:tab/>
        <w:t>Liekové a iné interakcie</w:t>
      </w:r>
    </w:p>
    <w:p w:rsidR="00833338" w:rsidRPr="00CB65C6" w:rsidRDefault="0083333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550D95" w:rsidRPr="00CB65C6" w:rsidRDefault="00523A3E" w:rsidP="00550D95">
      <w:pPr>
        <w:pStyle w:val="MoRPNormal"/>
        <w:spacing w:before="0" w:after="0" w:line="240" w:lineRule="auto"/>
        <w:rPr>
          <w:rFonts w:ascii="Times New Roman" w:hAnsi="Times New Roman"/>
          <w:b/>
          <w:szCs w:val="22"/>
          <w:lang w:val="sk-SK"/>
        </w:rPr>
      </w:pPr>
      <w:r w:rsidRPr="00CB65C6">
        <w:rPr>
          <w:rFonts w:ascii="Times New Roman" w:hAnsi="Times New Roman"/>
          <w:b/>
          <w:szCs w:val="22"/>
          <w:lang w:val="sk-SK"/>
        </w:rPr>
        <w:t>Ibuprofén sa nemá podávať v kombinácii s:</w:t>
      </w:r>
    </w:p>
    <w:p w:rsidR="00523A3E" w:rsidRPr="00CB65C6" w:rsidRDefault="00523A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</w:rPr>
      </w:pPr>
      <w:r w:rsidRPr="00CB65C6">
        <w:rPr>
          <w:b/>
          <w:sz w:val="22"/>
          <w:szCs w:val="22"/>
        </w:rPr>
        <w:t>kyselin</w:t>
      </w:r>
      <w:r w:rsidR="00003316" w:rsidRPr="00CB65C6">
        <w:rPr>
          <w:b/>
          <w:sz w:val="22"/>
          <w:szCs w:val="22"/>
        </w:rPr>
        <w:t>ou</w:t>
      </w:r>
      <w:r w:rsidRPr="00CB65C6">
        <w:rPr>
          <w:b/>
          <w:sz w:val="22"/>
          <w:szCs w:val="22"/>
        </w:rPr>
        <w:t xml:space="preserve"> acetylsalicylov</w:t>
      </w:r>
      <w:r w:rsidR="00003316" w:rsidRPr="00CB65C6">
        <w:rPr>
          <w:b/>
          <w:sz w:val="22"/>
          <w:szCs w:val="22"/>
        </w:rPr>
        <w:t>ou</w:t>
      </w:r>
      <w:r w:rsidRPr="00CB65C6">
        <w:rPr>
          <w:b/>
          <w:sz w:val="22"/>
          <w:szCs w:val="22"/>
        </w:rPr>
        <w:t>:</w:t>
      </w:r>
      <w:r w:rsidR="00550D95" w:rsidRPr="00CB65C6">
        <w:rPr>
          <w:sz w:val="22"/>
          <w:szCs w:val="22"/>
        </w:rPr>
        <w:t xml:space="preserve"> existuje zvýšené riziko výskytu nežiaducich účinkov v oblasti gastrointestinálneho traktu (pozri časť 4.3); výnimkou sú situácie, k</w:t>
      </w:r>
      <w:r w:rsidR="00540B60" w:rsidRPr="00CB65C6">
        <w:rPr>
          <w:sz w:val="22"/>
          <w:szCs w:val="22"/>
        </w:rPr>
        <w:t>de</w:t>
      </w:r>
      <w:r w:rsidR="0028567F" w:rsidRPr="00CB65C6">
        <w:rPr>
          <w:sz w:val="22"/>
          <w:szCs w:val="22"/>
        </w:rPr>
        <w:t xml:space="preserve"> nízke dávky kyseliny acetylsalicylovej neprevyšujúce 75 mg denne predpíše lekár;</w:t>
      </w:r>
    </w:p>
    <w:p w:rsidR="00523A3E" w:rsidRPr="00CB65C6" w:rsidRDefault="0028567F" w:rsidP="008225D3">
      <w:pPr>
        <w:numPr>
          <w:ilvl w:val="0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CB65C6">
        <w:rPr>
          <w:bCs/>
          <w:sz w:val="22"/>
          <w:szCs w:val="22"/>
        </w:rPr>
        <w:t>experimentálne údaje naznačujú, že ibuprofén môže pri súčasnom dávkovaní kompetitívne inhibovať účinok nízkej dávky kyseliny acetylsalicylovej na agregáciu trombocytov. Hoci existujú nejasnosti s ohľadom na extrapoláciu týchto údajov na klinickú situáciu, nedá sa vylúčiť možnosť, že pravidelné, dlhodobé používanie ibuprofénu môže znížiť kardioprotektívny účinok nízkej dávky kyseliny acetylsalicylovej. V prípade príležitostného používania ibuprofénu sa žiaden klinicky relevantný účinok nepovažuje za pravdepodobný (pozri časť 5.1);</w:t>
      </w:r>
    </w:p>
    <w:p w:rsidR="00523A3E" w:rsidRPr="00CB65C6" w:rsidRDefault="00523A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  <w:lang w:eastAsia="en-US"/>
        </w:rPr>
      </w:pPr>
      <w:r w:rsidRPr="00CB65C6">
        <w:rPr>
          <w:b/>
          <w:sz w:val="22"/>
          <w:szCs w:val="22"/>
          <w:lang w:eastAsia="en-US"/>
        </w:rPr>
        <w:t>inými NSAID vrátane selektívnych inhibítorov cyklooxygenázy</w:t>
      </w:r>
      <w:r w:rsidRPr="00CB65C6">
        <w:rPr>
          <w:b/>
          <w:sz w:val="22"/>
          <w:szCs w:val="22"/>
          <w:u w:val="single"/>
          <w:lang w:eastAsia="en-US"/>
        </w:rPr>
        <w:t xml:space="preserve"> 2</w:t>
      </w:r>
      <w:r w:rsidRPr="00CB65C6">
        <w:rPr>
          <w:b/>
          <w:sz w:val="22"/>
          <w:szCs w:val="22"/>
          <w:lang w:eastAsia="en-US"/>
        </w:rPr>
        <w:t>:</w:t>
      </w:r>
      <w:r w:rsidR="00550D95" w:rsidRPr="00CB65C6">
        <w:rPr>
          <w:sz w:val="22"/>
          <w:szCs w:val="22"/>
          <w:lang w:eastAsia="en-US"/>
        </w:rPr>
        <w:t xml:space="preserve"> užívanie dvoch alebo viac NSAID môže zvýšiť riziko výskytu nežiaducich účinkov</w:t>
      </w:r>
      <w:r w:rsidR="00283899" w:rsidRPr="00CB65C6">
        <w:rPr>
          <w:sz w:val="22"/>
          <w:szCs w:val="22"/>
          <w:lang w:eastAsia="en-US"/>
        </w:rPr>
        <w:t xml:space="preserve">, vrátane tvorby peptického </w:t>
      </w:r>
      <w:r w:rsidR="00283899" w:rsidRPr="00CB65C6">
        <w:rPr>
          <w:sz w:val="22"/>
          <w:szCs w:val="22"/>
          <w:lang w:eastAsia="en-US"/>
        </w:rPr>
        <w:lastRenderedPageBreak/>
        <w:t>vredu a/alebo gastrointestinálneho krvácania</w:t>
      </w:r>
      <w:r w:rsidR="0028567F" w:rsidRPr="00CB65C6">
        <w:rPr>
          <w:sz w:val="22"/>
          <w:szCs w:val="22"/>
          <w:lang w:eastAsia="en-US"/>
        </w:rPr>
        <w:t xml:space="preserve"> a preto je treba sa vyvarovať spoločného podávania (viď časť 4.3 a 4.4).</w:t>
      </w:r>
    </w:p>
    <w:p w:rsidR="00550D95" w:rsidRPr="00CB65C6" w:rsidRDefault="00550D95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550D95" w:rsidRPr="00CB65C6" w:rsidRDefault="0028567F" w:rsidP="00550D95">
      <w:pPr>
        <w:pStyle w:val="Zkladntext"/>
        <w:keepNext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65C6">
        <w:rPr>
          <w:rFonts w:ascii="Times New Roman" w:hAnsi="Times New Roman" w:cs="Times New Roman"/>
          <w:b/>
          <w:bCs/>
          <w:sz w:val="22"/>
          <w:szCs w:val="22"/>
        </w:rPr>
        <w:t>Ibuprofén sa musí podávať s opatrnosťou v kombinácii s:</w:t>
      </w:r>
    </w:p>
    <w:p w:rsidR="00550D95" w:rsidRPr="00CB65C6" w:rsidRDefault="0028567F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 xml:space="preserve">antikoagulanciami: </w:t>
      </w:r>
      <w:r w:rsidRPr="00CB65C6">
        <w:rPr>
          <w:sz w:val="22"/>
          <w:szCs w:val="22"/>
        </w:rPr>
        <w:t>pri súbežnom užívaní ibuprofénu s perorálnymi antikoagulanciami (warfarín) sa zvyšuje ich účinnosť a dochádza k zvýšenému riziku krvácania (pozri časť 4.4);</w:t>
      </w:r>
    </w:p>
    <w:p w:rsidR="00550D95" w:rsidRPr="00CB65C6" w:rsidRDefault="00523A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 xml:space="preserve">antihypertenzívami </w:t>
      </w:r>
      <w:r w:rsidRPr="00CB65C6">
        <w:rPr>
          <w:b/>
          <w:sz w:val="22"/>
          <w:szCs w:val="22"/>
        </w:rPr>
        <w:t>(ACE inhibítory a antagonisty angioten</w:t>
      </w:r>
      <w:r w:rsidR="00283899" w:rsidRPr="00CB65C6">
        <w:rPr>
          <w:b/>
          <w:sz w:val="22"/>
          <w:szCs w:val="22"/>
        </w:rPr>
        <w:t>zí</w:t>
      </w:r>
      <w:r w:rsidRPr="00CB65C6">
        <w:rPr>
          <w:b/>
          <w:sz w:val="22"/>
          <w:szCs w:val="22"/>
        </w:rPr>
        <w:t>nu II)</w:t>
      </w:r>
      <w:r w:rsidRPr="00CB65C6">
        <w:rPr>
          <w:b/>
          <w:bCs/>
          <w:sz w:val="22"/>
          <w:szCs w:val="22"/>
        </w:rPr>
        <w:t xml:space="preserve"> a diuretikami:</w:t>
      </w:r>
      <w:r w:rsidR="00550D95" w:rsidRPr="00CB65C6">
        <w:rPr>
          <w:b/>
          <w:bCs/>
          <w:sz w:val="22"/>
          <w:szCs w:val="22"/>
        </w:rPr>
        <w:t xml:space="preserve"> </w:t>
      </w:r>
      <w:r w:rsidR="00550D95" w:rsidRPr="00CB65C6">
        <w:rPr>
          <w:sz w:val="22"/>
          <w:szCs w:val="22"/>
        </w:rPr>
        <w:t xml:space="preserve">NSAID </w:t>
      </w:r>
      <w:r w:rsidR="0028567F" w:rsidRPr="00CB65C6">
        <w:rPr>
          <w:sz w:val="22"/>
          <w:szCs w:val="22"/>
        </w:rPr>
        <w:t>znižujú účinok týchto liekov; diuretiká môžu zvyšovať nefrotoxicitu NSAID; súbežné podávanie diuretík šetriacich draslík môže viesť k hyperkaliémii; rodičom je preto potrebné odporučiť, aby dbali na dostatočný prísun tekutín;</w:t>
      </w:r>
    </w:p>
    <w:p w:rsidR="00550D95" w:rsidRPr="00CB65C6" w:rsidRDefault="00523A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>kortikosteroidmi</w:t>
      </w:r>
      <w:r w:rsidR="00550D95" w:rsidRPr="00CB65C6">
        <w:rPr>
          <w:b/>
          <w:bCs/>
          <w:sz w:val="22"/>
          <w:szCs w:val="22"/>
        </w:rPr>
        <w:t>/</w:t>
      </w:r>
      <w:r w:rsidRPr="00CB65C6">
        <w:rPr>
          <w:b/>
          <w:bCs/>
          <w:sz w:val="22"/>
          <w:szCs w:val="22"/>
        </w:rPr>
        <w:t>glukokortikoidmi:</w:t>
      </w:r>
      <w:r w:rsidR="00550D95" w:rsidRPr="00CB65C6">
        <w:rPr>
          <w:sz w:val="22"/>
          <w:szCs w:val="22"/>
        </w:rPr>
        <w:t xml:space="preserve"> pri súbežnom podávaní existuje zvýšené riziko gastrointestinálnych vredov alebo krvácania (pozri časť 4.4);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>antiagregačnými liekmi a SSRI:</w:t>
      </w:r>
      <w:r w:rsidR="00550D95" w:rsidRPr="00CB65C6">
        <w:rPr>
          <w:b/>
          <w:bCs/>
          <w:sz w:val="22"/>
          <w:szCs w:val="22"/>
        </w:rPr>
        <w:t xml:space="preserve"> </w:t>
      </w:r>
      <w:r w:rsidR="00550D95" w:rsidRPr="00CB65C6">
        <w:rPr>
          <w:sz w:val="22"/>
          <w:szCs w:val="22"/>
        </w:rPr>
        <w:t>pri súbežnom podávaní</w:t>
      </w:r>
      <w:r w:rsidR="0028567F" w:rsidRPr="00CB65C6">
        <w:rPr>
          <w:sz w:val="22"/>
          <w:szCs w:val="22"/>
        </w:rPr>
        <w:t xml:space="preserve"> existuje zvýšené riziko výskytu gastrointestinálneho krvácania (pozri časť 4.4);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CB65C6">
        <w:rPr>
          <w:b/>
          <w:sz w:val="22"/>
          <w:szCs w:val="22"/>
        </w:rPr>
        <w:t>kardioglykozidmi</w:t>
      </w:r>
      <w:r w:rsidR="00283899" w:rsidRPr="00CB65C6">
        <w:rPr>
          <w:b/>
          <w:sz w:val="22"/>
          <w:szCs w:val="22"/>
        </w:rPr>
        <w:t xml:space="preserve"> (vrátane digoxínu)</w:t>
      </w:r>
      <w:r w:rsidRPr="00CB65C6">
        <w:rPr>
          <w:b/>
          <w:sz w:val="22"/>
          <w:szCs w:val="22"/>
        </w:rPr>
        <w:t>:</w:t>
      </w:r>
      <w:r w:rsidR="00550D95" w:rsidRPr="00CB65C6">
        <w:rPr>
          <w:sz w:val="22"/>
          <w:szCs w:val="22"/>
        </w:rPr>
        <w:t xml:space="preserve"> NSAID môžu exacerbovať zlyhanie srdca, redukovať glomerulárnu filtráciu a zvyšovať hladiny glykozidov v plazme;</w:t>
      </w:r>
    </w:p>
    <w:p w:rsidR="00550D95" w:rsidRPr="00CB65C6" w:rsidRDefault="00523A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>lítiom:</w:t>
      </w:r>
      <w:r w:rsidR="00550D95" w:rsidRPr="00CB65C6">
        <w:rPr>
          <w:sz w:val="22"/>
          <w:szCs w:val="22"/>
        </w:rPr>
        <w:t xml:space="preserve"> ib</w:t>
      </w:r>
      <w:r w:rsidR="00981C91" w:rsidRPr="00CB65C6">
        <w:rPr>
          <w:sz w:val="22"/>
          <w:szCs w:val="22"/>
        </w:rPr>
        <w:t>uprofé</w:t>
      </w:r>
      <w:r w:rsidR="0028567F" w:rsidRPr="00CB65C6">
        <w:rPr>
          <w:sz w:val="22"/>
          <w:szCs w:val="22"/>
        </w:rPr>
        <w:t>n zvyšuje plazmatickú hladinu lítia;</w:t>
      </w:r>
    </w:p>
    <w:p w:rsidR="008D526D" w:rsidRPr="00CB65C6" w:rsidRDefault="00523A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 w:rsidRPr="00CB65C6">
        <w:rPr>
          <w:b/>
          <w:sz w:val="22"/>
          <w:szCs w:val="22"/>
        </w:rPr>
        <w:t>fenytoínom:</w:t>
      </w:r>
      <w:r w:rsidR="00981C91" w:rsidRPr="00CB65C6">
        <w:rPr>
          <w:sz w:val="22"/>
          <w:szCs w:val="22"/>
        </w:rPr>
        <w:t xml:space="preserve"> ibuprofé</w:t>
      </w:r>
      <w:r w:rsidR="008D526D" w:rsidRPr="00CB65C6">
        <w:rPr>
          <w:sz w:val="22"/>
          <w:szCs w:val="22"/>
        </w:rPr>
        <w:t>n zvyšuje plazmatickú hladinu fenytoínu;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>metotrexátom:</w:t>
      </w:r>
      <w:r w:rsidR="00550D95" w:rsidRPr="00CB65C6">
        <w:rPr>
          <w:sz w:val="22"/>
          <w:szCs w:val="22"/>
        </w:rPr>
        <w:t xml:space="preserve"> </w:t>
      </w:r>
      <w:r w:rsidR="00981C91" w:rsidRPr="00CB65C6">
        <w:rPr>
          <w:sz w:val="22"/>
          <w:szCs w:val="22"/>
        </w:rPr>
        <w:t>ibuprofé</w:t>
      </w:r>
      <w:r w:rsidR="008D526D" w:rsidRPr="00CB65C6">
        <w:rPr>
          <w:sz w:val="22"/>
          <w:szCs w:val="22"/>
        </w:rPr>
        <w:t xml:space="preserve">n znižuje </w:t>
      </w:r>
      <w:r w:rsidR="0028567F" w:rsidRPr="00CB65C6">
        <w:rPr>
          <w:sz w:val="22"/>
          <w:szCs w:val="22"/>
        </w:rPr>
        <w:t>klírens metotrexátu;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CB65C6">
        <w:rPr>
          <w:b/>
          <w:sz w:val="22"/>
          <w:szCs w:val="22"/>
        </w:rPr>
        <w:t>cykloklosporínom:</w:t>
      </w:r>
      <w:r w:rsidR="00550D95" w:rsidRPr="00CB65C6">
        <w:rPr>
          <w:sz w:val="22"/>
          <w:szCs w:val="22"/>
        </w:rPr>
        <w:t xml:space="preserve"> zvýšené riziko nefrotoxicity;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CB65C6">
        <w:rPr>
          <w:b/>
          <w:sz w:val="22"/>
          <w:szCs w:val="22"/>
        </w:rPr>
        <w:t>mifeprist</w:t>
      </w:r>
      <w:r w:rsidR="00283899" w:rsidRPr="00CB65C6">
        <w:rPr>
          <w:b/>
          <w:sz w:val="22"/>
          <w:szCs w:val="22"/>
        </w:rPr>
        <w:t>ó</w:t>
      </w:r>
      <w:r w:rsidRPr="00CB65C6">
        <w:rPr>
          <w:b/>
          <w:sz w:val="22"/>
          <w:szCs w:val="22"/>
        </w:rPr>
        <w:t>nom:</w:t>
      </w:r>
      <w:r w:rsidR="00550D95" w:rsidRPr="00CB65C6">
        <w:rPr>
          <w:sz w:val="22"/>
          <w:szCs w:val="22"/>
        </w:rPr>
        <w:t xml:space="preserve"> NSAID sa nemajú podávať 8 – 12 dní po podaní mifeprist</w:t>
      </w:r>
      <w:r w:rsidR="00283899" w:rsidRPr="00CB65C6">
        <w:rPr>
          <w:sz w:val="22"/>
          <w:szCs w:val="22"/>
        </w:rPr>
        <w:t>ó</w:t>
      </w:r>
      <w:r w:rsidR="0028567F" w:rsidRPr="00CB65C6">
        <w:rPr>
          <w:sz w:val="22"/>
          <w:szCs w:val="22"/>
        </w:rPr>
        <w:t>nu, pretože môžu znížiť jeho účinok;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CB65C6">
        <w:rPr>
          <w:b/>
          <w:sz w:val="22"/>
          <w:szCs w:val="22"/>
        </w:rPr>
        <w:t>takrolimusom:</w:t>
      </w:r>
      <w:r w:rsidR="00550D95" w:rsidRPr="00CB65C6">
        <w:rPr>
          <w:sz w:val="22"/>
          <w:szCs w:val="22"/>
        </w:rPr>
        <w:t xml:space="preserve"> </w:t>
      </w:r>
      <w:r w:rsidR="008D526D" w:rsidRPr="00CB65C6">
        <w:rPr>
          <w:sz w:val="22"/>
          <w:szCs w:val="22"/>
        </w:rPr>
        <w:t>môže dôjsť k zvýšeniu rizika nefrotoxicity pri súčasnom podávaní s NSAID;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CB65C6">
        <w:rPr>
          <w:b/>
          <w:bCs/>
          <w:sz w:val="22"/>
          <w:szCs w:val="22"/>
        </w:rPr>
        <w:t>zidovudínom:</w:t>
      </w:r>
      <w:r w:rsidR="00550D95" w:rsidRPr="00CB65C6">
        <w:rPr>
          <w:sz w:val="22"/>
          <w:szCs w:val="22"/>
        </w:rPr>
        <w:t xml:space="preserve"> pri súbežnom podávaní je zvýšené riziko hematologickej toxicity; existujú dôkazy o zvýšenom vzniku hemartróz a hematómov u HIV pozitívnych hemofilikov užívajúcic</w:t>
      </w:r>
      <w:r w:rsidR="00981C91" w:rsidRPr="00CB65C6">
        <w:rPr>
          <w:sz w:val="22"/>
          <w:szCs w:val="22"/>
        </w:rPr>
        <w:t>h kombinovanú terapiu s ibuprofé</w:t>
      </w:r>
      <w:r w:rsidR="0028567F" w:rsidRPr="00CB65C6">
        <w:rPr>
          <w:sz w:val="22"/>
          <w:szCs w:val="22"/>
        </w:rPr>
        <w:t>nom a zidovudínom;</w:t>
      </w:r>
    </w:p>
    <w:p w:rsidR="00523A3E" w:rsidRPr="00CB65C6" w:rsidRDefault="00523A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CB65C6">
        <w:rPr>
          <w:b/>
          <w:sz w:val="22"/>
          <w:szCs w:val="22"/>
        </w:rPr>
        <w:t>chinolónovými antibiotikami:</w:t>
      </w:r>
      <w:r w:rsidRPr="00CB65C6">
        <w:rPr>
          <w:sz w:val="22"/>
          <w:szCs w:val="22"/>
        </w:rPr>
        <w:t xml:space="preserve"> </w:t>
      </w:r>
      <w:r w:rsidR="008D526D" w:rsidRPr="00CB65C6">
        <w:rPr>
          <w:sz w:val="22"/>
          <w:szCs w:val="22"/>
        </w:rPr>
        <w:t>štúdie na zvieratách indikujú, že NSAID môžu v súvislosti s chinolónovými antibiotikami zvyšovať riziko kŕčov; u pacientov užívajúcich NSAID a chinolóny môže byť zvýšené riziko vzniku kŕčov.</w:t>
      </w:r>
    </w:p>
    <w:p w:rsidR="002610C9" w:rsidRPr="00CB65C6" w:rsidRDefault="002610C9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4.6</w:t>
      </w:r>
      <w:r w:rsidRPr="00CB65C6">
        <w:rPr>
          <w:b/>
          <w:bCs/>
          <w:sz w:val="22"/>
          <w:szCs w:val="22"/>
        </w:rPr>
        <w:tab/>
        <w:t>Fertilita, gravidita a laktácia</w:t>
      </w:r>
    </w:p>
    <w:p w:rsidR="00717A0A" w:rsidRPr="00CB65C6" w:rsidRDefault="00717A0A" w:rsidP="00175AEB">
      <w:pPr>
        <w:keepNext/>
        <w:rPr>
          <w:sz w:val="22"/>
          <w:szCs w:val="22"/>
          <w:u w:val="single"/>
        </w:rPr>
      </w:pPr>
    </w:p>
    <w:p w:rsidR="00D47AE1" w:rsidRPr="00CB65C6" w:rsidRDefault="0028567F" w:rsidP="0051602D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Gravidita</w:t>
      </w:r>
    </w:p>
    <w:p w:rsidR="00D47AE1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Inhibícia syntézy prostaglandínov môže mať nežiaduci vplyv na graviditu a fetálny / embryonálny vývoj. Dáta z epidemiologických štúdií naznačujú zvýšené riziko potratov a kardiálnych malformácií po užívaní inhibítorov syntézy prostaglandínov na počiatku gravidity. Predpokladá sa, že sa riziko zvyšuje s dávkou a dĺžkou terapie. Štúdie na zvieratách preukázali reprodukčnú toxicitu (pozri 5.3). </w:t>
      </w:r>
    </w:p>
    <w:p w:rsidR="00D47AE1" w:rsidRPr="00CB65C6" w:rsidRDefault="00D47AE1" w:rsidP="00B212B6">
      <w:pPr>
        <w:jc w:val="both"/>
        <w:rPr>
          <w:sz w:val="22"/>
          <w:szCs w:val="22"/>
        </w:rPr>
      </w:pPr>
    </w:p>
    <w:p w:rsidR="00D47AE1" w:rsidRPr="00CB65C6" w:rsidRDefault="0028567F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Počas prvého a druhého trimestra sa nesmie ibuprofén podávať, pokiaľ to nie je nevyhnutné.</w:t>
      </w:r>
    </w:p>
    <w:p w:rsidR="00B212B6" w:rsidRPr="00CB65C6" w:rsidRDefault="00B212B6" w:rsidP="00B212B6">
      <w:pPr>
        <w:jc w:val="both"/>
        <w:rPr>
          <w:sz w:val="22"/>
          <w:szCs w:val="22"/>
        </w:rPr>
      </w:pPr>
    </w:p>
    <w:p w:rsidR="00D47AE1" w:rsidRPr="00CB65C6" w:rsidRDefault="0028567F" w:rsidP="00B212B6">
      <w:pPr>
        <w:keepNext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Počas tretieho trimestra gravidity všetky inhibítory syntézy prostaglandínov môžu vystavovať</w:t>
      </w:r>
      <w:r w:rsidR="00A97811" w:rsidRPr="00CB65C6">
        <w:rPr>
          <w:sz w:val="22"/>
          <w:szCs w:val="22"/>
        </w:rPr>
        <w:t>:</w:t>
      </w:r>
    </w:p>
    <w:p w:rsidR="00D47AE1" w:rsidRPr="00CB65C6" w:rsidRDefault="0028567F" w:rsidP="008225D3">
      <w:pPr>
        <w:pStyle w:val="Odsekzoznamu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plod</w:t>
      </w:r>
    </w:p>
    <w:p w:rsidR="00D47AE1" w:rsidRPr="00CB65C6" w:rsidRDefault="0028567F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kardiopulmonálnej toxicite (predčasný uzáver ductus arteriosus a pulmonálna hypertenzia);</w:t>
      </w:r>
    </w:p>
    <w:p w:rsidR="00D47AE1" w:rsidRPr="00CB65C6" w:rsidRDefault="0028567F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riziku renálnej dysfunkcie, ktorá môže progredovať do renálneho zlyhania s oligohydramniónom,</w:t>
      </w:r>
    </w:p>
    <w:p w:rsidR="00D47AE1" w:rsidRPr="00CB65C6" w:rsidRDefault="0028567F" w:rsidP="008225D3">
      <w:pPr>
        <w:pStyle w:val="Odsekzoznamu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matku a novorodenca na konci gravidity</w:t>
      </w:r>
    </w:p>
    <w:p w:rsidR="00D47AE1" w:rsidRPr="00CB65C6" w:rsidRDefault="00D47AE1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potenciálnemu predĺženiu krvácania, antikoagula</w:t>
      </w:r>
      <w:r w:rsidR="0028567F" w:rsidRPr="00CB65C6">
        <w:rPr>
          <w:sz w:val="22"/>
          <w:szCs w:val="22"/>
        </w:rPr>
        <w:t>čný efekt sa môže prejaviť i pri užívaní veľmi malých dávok;</w:t>
      </w:r>
    </w:p>
    <w:p w:rsidR="00D47AE1" w:rsidRPr="00CB65C6" w:rsidRDefault="0028567F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riziku inhibície kontrakcií maternice vedúcimi k oneskoreniu alebo predĺženiu pôrodu.</w:t>
      </w:r>
    </w:p>
    <w:p w:rsidR="00B212B6" w:rsidRPr="00CB65C6" w:rsidRDefault="00B212B6" w:rsidP="00B212B6">
      <w:pPr>
        <w:jc w:val="both"/>
        <w:rPr>
          <w:sz w:val="22"/>
          <w:szCs w:val="22"/>
        </w:rPr>
      </w:pPr>
    </w:p>
    <w:p w:rsidR="00D47AE1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V dôsledku toho je ibuprofén kontraindikovaný počas tretieho trimestra gravidity.</w:t>
      </w:r>
    </w:p>
    <w:p w:rsidR="006D50C0" w:rsidRPr="00CB65C6" w:rsidRDefault="006D50C0" w:rsidP="00B212B6">
      <w:pPr>
        <w:jc w:val="both"/>
        <w:rPr>
          <w:sz w:val="22"/>
          <w:szCs w:val="22"/>
        </w:rPr>
      </w:pPr>
    </w:p>
    <w:p w:rsidR="00D47AE1" w:rsidRPr="00CB65C6" w:rsidRDefault="0028567F" w:rsidP="00B212B6">
      <w:pPr>
        <w:keepNext/>
        <w:jc w:val="both"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Dojčenie</w:t>
      </w:r>
    </w:p>
    <w:p w:rsidR="00D47AE1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Ibuprofén a jeho metabolity prechádzajú v malých koncentráciách do materského mlieka. Keďže sa škodlivé účinky na dojčatá doposiaľ nepotvrdili, prerušenie dojčenia vo všeobecnosti nie je potrebné </w:t>
      </w:r>
      <w:r w:rsidRPr="00CB65C6">
        <w:rPr>
          <w:sz w:val="22"/>
          <w:szCs w:val="22"/>
        </w:rPr>
        <w:lastRenderedPageBreak/>
        <w:t>počas krátkodobej liečby dávkami odporúčanými na liečbu bolesti a teploty.</w:t>
      </w:r>
      <w:r w:rsidRPr="00CB65C6">
        <w:rPr>
          <w:color w:val="000000"/>
          <w:sz w:val="22"/>
          <w:szCs w:val="22"/>
        </w:rPr>
        <w:t xml:space="preserve"> Bezpečnosť pri opakovanom užívaní nebola stanovená.</w:t>
      </w:r>
    </w:p>
    <w:p w:rsidR="00496C8E" w:rsidRPr="00CB65C6" w:rsidRDefault="00496C8E" w:rsidP="00B212B6">
      <w:pPr>
        <w:jc w:val="both"/>
        <w:rPr>
          <w:sz w:val="22"/>
          <w:szCs w:val="22"/>
        </w:rPr>
      </w:pPr>
    </w:p>
    <w:p w:rsidR="002C2624" w:rsidRPr="00CB65C6" w:rsidRDefault="0028567F" w:rsidP="002C2624">
      <w:pPr>
        <w:keepNext/>
        <w:jc w:val="both"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t>Fertilita</w:t>
      </w:r>
    </w:p>
    <w:p w:rsidR="00735701" w:rsidRPr="00CB65C6" w:rsidRDefault="0028567F" w:rsidP="002C2624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Existujú dôkazy o tom, že inhibítory cyklooxygenázy / syntézy prostaglandínov môžu ovplyvniť ovuláciu, a tým znížiť plodnosť žien. Tieto účinky po ukončení liečby vymiznú. </w:t>
      </w:r>
    </w:p>
    <w:p w:rsidR="00591ABB" w:rsidRPr="00CB65C6" w:rsidRDefault="00591ABB" w:rsidP="002C2624">
      <w:pPr>
        <w:jc w:val="both"/>
        <w:rPr>
          <w:sz w:val="22"/>
          <w:szCs w:val="22"/>
        </w:rPr>
      </w:pPr>
    </w:p>
    <w:p w:rsidR="002C2624" w:rsidRPr="00CB65C6" w:rsidRDefault="0028567F" w:rsidP="002C2624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Pokiaľ sa ibuprofén podáva ženám, ktoré chcú otehotnieť alebo v prvom a druhom trimestri tehotenstva, musí byť dávka čo najnižšia a dĺžka liečby čo najkratšia.</w:t>
      </w:r>
    </w:p>
    <w:p w:rsidR="002C2624" w:rsidRPr="00CB65C6" w:rsidRDefault="002C2624" w:rsidP="002C2624">
      <w:pPr>
        <w:jc w:val="both"/>
        <w:rPr>
          <w:sz w:val="22"/>
          <w:szCs w:val="22"/>
        </w:rPr>
      </w:pPr>
    </w:p>
    <w:p w:rsidR="00496C8E" w:rsidRPr="00CB65C6" w:rsidRDefault="0028567F" w:rsidP="00B212B6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4.7</w:t>
      </w:r>
      <w:r w:rsidRPr="00CB65C6">
        <w:rPr>
          <w:b/>
          <w:bCs/>
          <w:sz w:val="22"/>
          <w:szCs w:val="22"/>
        </w:rPr>
        <w:tab/>
        <w:t>Ovplyvnenie schopnosti viesť vozidlá a obsluhovať stroje</w:t>
      </w:r>
    </w:p>
    <w:p w:rsidR="00175AEB" w:rsidRPr="00CB65C6" w:rsidRDefault="00175AEB" w:rsidP="00B212B6">
      <w:pPr>
        <w:keepNext/>
        <w:jc w:val="both"/>
        <w:rPr>
          <w:b/>
          <w:bCs/>
          <w:sz w:val="22"/>
          <w:szCs w:val="22"/>
        </w:rPr>
      </w:pPr>
    </w:p>
    <w:p w:rsidR="003E2FD9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Pri krátkodobom užívaní a odporučenom dávkovaní nemá liek žiadny alebo má zanedbateľný vplyv na schopnosť viesť vozidlo a obsluhovať stroje.</w:t>
      </w:r>
    </w:p>
    <w:p w:rsidR="00496C8E" w:rsidRPr="00CB65C6" w:rsidRDefault="00496C8E" w:rsidP="00B212B6">
      <w:pPr>
        <w:jc w:val="both"/>
        <w:rPr>
          <w:sz w:val="22"/>
          <w:szCs w:val="22"/>
        </w:rPr>
      </w:pPr>
    </w:p>
    <w:p w:rsidR="00496C8E" w:rsidRPr="00CB65C6" w:rsidRDefault="0028567F" w:rsidP="00B212B6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4.8</w:t>
      </w:r>
      <w:r w:rsidRPr="00CB65C6">
        <w:rPr>
          <w:b/>
          <w:bCs/>
          <w:sz w:val="22"/>
          <w:szCs w:val="22"/>
        </w:rPr>
        <w:tab/>
        <w:t>Nežiaduce účinky</w:t>
      </w:r>
    </w:p>
    <w:p w:rsidR="005D100D" w:rsidRPr="00CB65C6" w:rsidRDefault="005D100D" w:rsidP="00B212B6">
      <w:pPr>
        <w:keepNext/>
        <w:jc w:val="both"/>
        <w:rPr>
          <w:bCs/>
          <w:sz w:val="22"/>
          <w:szCs w:val="22"/>
        </w:rPr>
      </w:pPr>
    </w:p>
    <w:p w:rsidR="00735701" w:rsidRPr="00CB65C6" w:rsidRDefault="0028567F" w:rsidP="00B212B6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 xml:space="preserve">Najčastejšie pozorované nežiaduce účinky sú gastrointestinálne. Môžu sa objaviť peptické vredy, perforácia alebo gastrointestinálne krvácanie, niekedy fatálne, najmä u starších osôb (pozri časť 4.4). Po liečbe sa </w:t>
      </w:r>
      <w:r w:rsidR="008B62F0" w:rsidRPr="00CB65C6">
        <w:rPr>
          <w:bCs/>
          <w:sz w:val="22"/>
          <w:szCs w:val="22"/>
        </w:rPr>
        <w:t xml:space="preserve">tiež </w:t>
      </w:r>
      <w:r w:rsidRPr="00CB65C6">
        <w:rPr>
          <w:bCs/>
          <w:sz w:val="22"/>
          <w:szCs w:val="22"/>
        </w:rPr>
        <w:t>pozoroval</w:t>
      </w:r>
      <w:r w:rsidR="008B62F0" w:rsidRPr="00CB65C6">
        <w:rPr>
          <w:bCs/>
          <w:sz w:val="22"/>
          <w:szCs w:val="22"/>
        </w:rPr>
        <w:t>a</w:t>
      </w:r>
      <w:r w:rsidRPr="00CB65C6">
        <w:rPr>
          <w:bCs/>
          <w:sz w:val="22"/>
          <w:szCs w:val="22"/>
        </w:rPr>
        <w:t xml:space="preserve"> nauzea, zvracanie, hnačka, plynatosť, zápcha, dyspepsia, bolesti brucha, meléna, hemateméza, ulcerózna stomatitída, exacerbácia kolitídy a Crohnovej choroby (pozri časť 4.4). Menej často bola pozorovaná gastritída.</w:t>
      </w:r>
    </w:p>
    <w:p w:rsidR="00735701" w:rsidRPr="00CB65C6" w:rsidRDefault="00735701" w:rsidP="00B212B6">
      <w:pPr>
        <w:jc w:val="both"/>
        <w:rPr>
          <w:bCs/>
          <w:sz w:val="22"/>
          <w:szCs w:val="22"/>
        </w:rPr>
      </w:pPr>
    </w:p>
    <w:p w:rsidR="00735701" w:rsidRPr="00CB65C6" w:rsidRDefault="0028567F" w:rsidP="00B212B6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V súvislosti s terapiou NSAIDs boli hlásené edémy, hypertenzia a zlyhávanie srdca.</w:t>
      </w:r>
    </w:p>
    <w:p w:rsidR="00735701" w:rsidRPr="00CB65C6" w:rsidRDefault="00735701" w:rsidP="00735701">
      <w:pPr>
        <w:jc w:val="both"/>
        <w:rPr>
          <w:bCs/>
          <w:sz w:val="22"/>
          <w:szCs w:val="22"/>
        </w:rPr>
      </w:pPr>
    </w:p>
    <w:p w:rsidR="00735701" w:rsidRPr="00CB65C6" w:rsidRDefault="0028567F" w:rsidP="00735701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Hypersenzitívne reakcie, ktoré môžu pozostávať z:</w:t>
      </w:r>
    </w:p>
    <w:p w:rsidR="00735701" w:rsidRPr="00CB65C6" w:rsidRDefault="0028567F" w:rsidP="00735701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a) nešpecifických alergických reakcií a anafylaxie;</w:t>
      </w:r>
    </w:p>
    <w:p w:rsidR="00735701" w:rsidRPr="00CB65C6" w:rsidRDefault="0028567F" w:rsidP="00735701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b) reaktivity zo strany respiračného traktu, napr. astma, zhoršenie astmy, bronchospazmus, dyspnoe;</w:t>
      </w:r>
    </w:p>
    <w:p w:rsidR="00735701" w:rsidRPr="00CB65C6" w:rsidRDefault="0028567F" w:rsidP="00735701">
      <w:pPr>
        <w:jc w:val="both"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c) rôznych kožných reakcií, napr. pruritus, urtikária, purpura, angioedém a zriedkavejšie exfoliatívna a bulózna dermatitída (vrátane toxickej epidermálnej nekrolýzy, Stevensovho-Johnsonovho syndrómu a multiformného erytému).</w:t>
      </w:r>
    </w:p>
    <w:p w:rsidR="00735701" w:rsidRPr="00CB65C6" w:rsidRDefault="00735701" w:rsidP="00B212B6">
      <w:pPr>
        <w:jc w:val="both"/>
        <w:rPr>
          <w:bCs/>
          <w:sz w:val="22"/>
          <w:szCs w:val="22"/>
        </w:rPr>
      </w:pPr>
    </w:p>
    <w:p w:rsidR="00FB0579" w:rsidRPr="00CB65C6" w:rsidRDefault="0028567F" w:rsidP="00B212B6">
      <w:pPr>
        <w:jc w:val="both"/>
        <w:rPr>
          <w:sz w:val="22"/>
          <w:szCs w:val="22"/>
          <w:u w:val="single"/>
        </w:rPr>
      </w:pPr>
      <w:r w:rsidRPr="00CB65C6">
        <w:rPr>
          <w:bCs/>
          <w:sz w:val="22"/>
          <w:szCs w:val="22"/>
        </w:rPr>
        <w:t>Klinické štúdie naznačili, že používanie ibuprofénu, najmä vo vysokých dávkach (2 400 mg denne) môže byť spojené s malým zvýšeným rizikom arteriálnych trombotických udalostí (napríklad infarkt myokardu alebo mozgov</w:t>
      </w:r>
      <w:r w:rsidR="001053FD" w:rsidRPr="00CB65C6">
        <w:rPr>
          <w:bCs/>
          <w:sz w:val="22"/>
          <w:szCs w:val="22"/>
        </w:rPr>
        <w:t>ej</w:t>
      </w:r>
      <w:r w:rsidRPr="00CB65C6">
        <w:rPr>
          <w:bCs/>
          <w:sz w:val="22"/>
          <w:szCs w:val="22"/>
        </w:rPr>
        <w:t xml:space="preserve"> príhod</w:t>
      </w:r>
      <w:r w:rsidR="001053FD" w:rsidRPr="00CB65C6">
        <w:rPr>
          <w:bCs/>
          <w:sz w:val="22"/>
          <w:szCs w:val="22"/>
        </w:rPr>
        <w:t>y</w:t>
      </w:r>
      <w:r w:rsidRPr="00CB65C6">
        <w:rPr>
          <w:bCs/>
          <w:sz w:val="22"/>
          <w:szCs w:val="22"/>
        </w:rPr>
        <w:t>) (pozri časť 4.4).</w:t>
      </w:r>
    </w:p>
    <w:p w:rsidR="00FB0579" w:rsidRPr="00CB65C6" w:rsidRDefault="00FB0579" w:rsidP="00B212B6">
      <w:pPr>
        <w:jc w:val="both"/>
        <w:rPr>
          <w:bCs/>
          <w:sz w:val="22"/>
          <w:szCs w:val="22"/>
        </w:rPr>
      </w:pPr>
    </w:p>
    <w:p w:rsidR="00FB0579" w:rsidRPr="00CB65C6" w:rsidRDefault="00FB0579" w:rsidP="00B212B6">
      <w:pPr>
        <w:jc w:val="both"/>
        <w:rPr>
          <w:sz w:val="22"/>
          <w:szCs w:val="22"/>
        </w:rPr>
      </w:pPr>
    </w:p>
    <w:p w:rsidR="003E2FD9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Zoznam nasledovných nežiaducich účinkov sa týka tých, ktoré sa vyskytli pri používaní ibuprofénu pri krátkodobej liečbe miernej až stredne silnej bolesti a horúčky. Pri liečbe iných indikácií alebo počas dlhodobej liečby sa môžu vyskytnúť aj iné nežiaduce účinky.</w:t>
      </w:r>
    </w:p>
    <w:p w:rsidR="00106AAD" w:rsidRPr="00CB65C6" w:rsidRDefault="00106AAD" w:rsidP="00106AAD">
      <w:pPr>
        <w:jc w:val="both"/>
        <w:rPr>
          <w:sz w:val="22"/>
          <w:szCs w:val="22"/>
        </w:rPr>
      </w:pPr>
    </w:p>
    <w:p w:rsidR="0014071E" w:rsidRPr="00CB65C6" w:rsidRDefault="0028567F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Nežiaduce účinky, ktoré môžu súvisieť s ibuprofénom, sú uvedené nižšie podľa tried orgánových systémov a frekvencie. </w:t>
      </w:r>
    </w:p>
    <w:p w:rsidR="007961B2" w:rsidRPr="00CB65C6" w:rsidRDefault="007961B2" w:rsidP="00106AAD">
      <w:pPr>
        <w:jc w:val="both"/>
        <w:rPr>
          <w:sz w:val="22"/>
          <w:szCs w:val="22"/>
        </w:rPr>
      </w:pPr>
    </w:p>
    <w:p w:rsidR="007961B2" w:rsidRPr="00CB65C6" w:rsidRDefault="0028567F" w:rsidP="007961B2">
      <w:pPr>
        <w:keepNext/>
        <w:rPr>
          <w:sz w:val="22"/>
          <w:szCs w:val="22"/>
        </w:rPr>
      </w:pPr>
      <w:r w:rsidRPr="00CB65C6">
        <w:rPr>
          <w:sz w:val="22"/>
          <w:szCs w:val="22"/>
        </w:rPr>
        <w:t>Frekvencia je definovaná nasledovne:</w:t>
      </w:r>
    </w:p>
    <w:p w:rsidR="007961B2" w:rsidRPr="00CB65C6" w:rsidRDefault="0028567F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>veľmi časté:</w:t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</w:r>
      <w:r w:rsidR="007961B2" w:rsidRPr="00CB65C6">
        <w:rPr>
          <w:b/>
          <w:sz w:val="22"/>
          <w:szCs w:val="22"/>
        </w:rPr>
        <w:sym w:font="Symbol" w:char="F0B3"/>
      </w:r>
      <w:r w:rsidR="007961B2" w:rsidRPr="00CB65C6">
        <w:rPr>
          <w:b/>
          <w:sz w:val="22"/>
          <w:szCs w:val="22"/>
        </w:rPr>
        <w:t> </w:t>
      </w:r>
      <w:r w:rsidR="007961B2" w:rsidRPr="00CB65C6">
        <w:rPr>
          <w:sz w:val="22"/>
          <w:szCs w:val="22"/>
        </w:rPr>
        <w:t>1/10</w:t>
      </w:r>
    </w:p>
    <w:p w:rsidR="007961B2" w:rsidRPr="00CB65C6" w:rsidRDefault="007961B2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>časté:</w:t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</w:r>
      <w:r w:rsidRPr="00CB65C6">
        <w:rPr>
          <w:b/>
          <w:sz w:val="22"/>
          <w:szCs w:val="22"/>
        </w:rPr>
        <w:sym w:font="Symbol" w:char="F0B3"/>
      </w:r>
      <w:r w:rsidRPr="00CB65C6">
        <w:rPr>
          <w:b/>
          <w:sz w:val="22"/>
          <w:szCs w:val="22"/>
        </w:rPr>
        <w:t> </w:t>
      </w:r>
      <w:r w:rsidRPr="00CB65C6">
        <w:rPr>
          <w:sz w:val="22"/>
          <w:szCs w:val="22"/>
        </w:rPr>
        <w:t>1/100 až &lt; 1/10</w:t>
      </w:r>
    </w:p>
    <w:p w:rsidR="007961B2" w:rsidRPr="00CB65C6" w:rsidRDefault="007961B2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>menej časté:</w:t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</w:r>
      <w:r w:rsidRPr="00CB65C6">
        <w:rPr>
          <w:b/>
          <w:sz w:val="22"/>
          <w:szCs w:val="22"/>
        </w:rPr>
        <w:sym w:font="Symbol" w:char="F0B3"/>
      </w:r>
      <w:r w:rsidRPr="00CB65C6">
        <w:rPr>
          <w:b/>
          <w:sz w:val="22"/>
          <w:szCs w:val="22"/>
        </w:rPr>
        <w:t> </w:t>
      </w:r>
      <w:r w:rsidRPr="00CB65C6">
        <w:rPr>
          <w:sz w:val="22"/>
          <w:szCs w:val="22"/>
        </w:rPr>
        <w:t>1/1 000 až &lt; 1/100</w:t>
      </w:r>
    </w:p>
    <w:p w:rsidR="007961B2" w:rsidRPr="00CB65C6" w:rsidRDefault="007961B2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>zriedkavé:</w:t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</w:r>
      <w:r w:rsidRPr="00CB65C6">
        <w:rPr>
          <w:b/>
          <w:sz w:val="22"/>
          <w:szCs w:val="22"/>
        </w:rPr>
        <w:sym w:font="Symbol" w:char="F0B3"/>
      </w:r>
      <w:r w:rsidRPr="00CB65C6">
        <w:rPr>
          <w:b/>
          <w:sz w:val="22"/>
          <w:szCs w:val="22"/>
        </w:rPr>
        <w:t> </w:t>
      </w:r>
      <w:r w:rsidRPr="00CB65C6">
        <w:rPr>
          <w:sz w:val="22"/>
          <w:szCs w:val="22"/>
        </w:rPr>
        <w:t>1/10 000 až &lt; 1/1 000</w:t>
      </w:r>
    </w:p>
    <w:p w:rsidR="007961B2" w:rsidRPr="00CB65C6" w:rsidRDefault="007961B2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>veľmi zriedkavé:</w:t>
      </w:r>
      <w:r w:rsidRPr="00CB65C6">
        <w:rPr>
          <w:sz w:val="22"/>
          <w:szCs w:val="22"/>
        </w:rPr>
        <w:tab/>
        <w:t>&lt; 1/10 000</w:t>
      </w:r>
    </w:p>
    <w:p w:rsidR="007961B2" w:rsidRPr="00CB65C6" w:rsidRDefault="0028567F" w:rsidP="007961B2">
      <w:pPr>
        <w:rPr>
          <w:sz w:val="22"/>
          <w:szCs w:val="22"/>
        </w:rPr>
      </w:pPr>
      <w:r w:rsidRPr="00CB65C6">
        <w:rPr>
          <w:sz w:val="22"/>
          <w:szCs w:val="22"/>
        </w:rPr>
        <w:t xml:space="preserve">neznáme </w:t>
      </w:r>
      <w:r w:rsidRPr="00CB65C6">
        <w:rPr>
          <w:sz w:val="22"/>
          <w:szCs w:val="22"/>
        </w:rPr>
        <w:tab/>
      </w:r>
      <w:r w:rsidRPr="00CB65C6">
        <w:rPr>
          <w:sz w:val="22"/>
          <w:szCs w:val="22"/>
        </w:rPr>
        <w:tab/>
        <w:t>(z dostupných údajov).</w:t>
      </w:r>
    </w:p>
    <w:p w:rsidR="007961B2" w:rsidRPr="00CB65C6" w:rsidRDefault="007961B2" w:rsidP="00106AAD">
      <w:pPr>
        <w:jc w:val="both"/>
        <w:rPr>
          <w:sz w:val="22"/>
          <w:szCs w:val="22"/>
        </w:rPr>
      </w:pPr>
    </w:p>
    <w:p w:rsidR="00735701" w:rsidRPr="00CB65C6" w:rsidRDefault="0028567F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V rámci každej skupiny frekvencie sú nežiaduce účinky </w:t>
      </w:r>
      <w:r w:rsidR="001053FD" w:rsidRPr="00CB65C6">
        <w:rPr>
          <w:sz w:val="22"/>
          <w:szCs w:val="22"/>
        </w:rPr>
        <w:t xml:space="preserve">uvedené </w:t>
      </w:r>
      <w:r w:rsidRPr="00CB65C6">
        <w:rPr>
          <w:sz w:val="22"/>
          <w:szCs w:val="22"/>
        </w:rPr>
        <w:t>v klesajúcom poradí závažnosti.</w:t>
      </w:r>
    </w:p>
    <w:p w:rsidR="00735701" w:rsidRPr="00CB65C6" w:rsidRDefault="00735701" w:rsidP="007357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4"/>
        <w:gridCol w:w="1412"/>
        <w:gridCol w:w="5170"/>
      </w:tblGrid>
      <w:tr w:rsidR="00735701" w:rsidRPr="00CB65C6" w:rsidTr="005C346C">
        <w:trPr>
          <w:cantSplit/>
          <w:trHeight w:val="160"/>
        </w:trPr>
        <w:tc>
          <w:tcPr>
            <w:tcW w:w="2704" w:type="dxa"/>
          </w:tcPr>
          <w:p w:rsidR="00735701" w:rsidRPr="00CB65C6" w:rsidRDefault="00523A3E" w:rsidP="005C346C">
            <w:pPr>
              <w:keepNext/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lastRenderedPageBreak/>
              <w:t>Trieda orgánových systémov</w:t>
            </w:r>
          </w:p>
        </w:tc>
        <w:tc>
          <w:tcPr>
            <w:tcW w:w="1412" w:type="dxa"/>
            <w:shd w:val="clear" w:color="auto" w:fill="auto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5170" w:type="dxa"/>
            <w:shd w:val="clear" w:color="auto" w:fill="auto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Nežiaduce účinky</w:t>
            </w:r>
          </w:p>
        </w:tc>
      </w:tr>
      <w:tr w:rsidR="0075709F" w:rsidRPr="00CB65C6" w:rsidTr="005C346C">
        <w:trPr>
          <w:cantSplit/>
          <w:trHeight w:val="160"/>
        </w:trPr>
        <w:tc>
          <w:tcPr>
            <w:tcW w:w="2704" w:type="dxa"/>
          </w:tcPr>
          <w:p w:rsidR="00523A3E" w:rsidRPr="00CB65C6" w:rsidRDefault="0028567F" w:rsidP="008225D3">
            <w:pPr>
              <w:keepNext/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Infekcie a nákazy</w:t>
            </w:r>
          </w:p>
        </w:tc>
        <w:tc>
          <w:tcPr>
            <w:tcW w:w="1412" w:type="dxa"/>
            <w:shd w:val="clear" w:color="auto" w:fill="auto"/>
          </w:tcPr>
          <w:p w:rsidR="00523A3E" w:rsidRPr="00CB65C6" w:rsidRDefault="0075709F" w:rsidP="008225D3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 (&lt;1/10 000)</w:t>
            </w:r>
          </w:p>
        </w:tc>
        <w:tc>
          <w:tcPr>
            <w:tcW w:w="5170" w:type="dxa"/>
            <w:shd w:val="clear" w:color="auto" w:fill="auto"/>
          </w:tcPr>
          <w:p w:rsidR="00523A3E" w:rsidRPr="00CB65C6" w:rsidRDefault="00523A3E" w:rsidP="008225D3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 xml:space="preserve">exacerbácia zápalov súvisiacich s infekciou (napr. rozvoj nekrotizujúcej fasciitídy); vo výnimočných prípadoch sa závažné kožné infekcie a komplikácie v oblasti mäkkých tkanív </w:t>
            </w:r>
            <w:r w:rsidR="004645CE" w:rsidRPr="00CB65C6">
              <w:rPr>
                <w:color w:val="000000"/>
                <w:sz w:val="22"/>
                <w:szCs w:val="22"/>
              </w:rPr>
              <w:t>môžu</w:t>
            </w:r>
            <w:r w:rsidRPr="00CB65C6">
              <w:rPr>
                <w:color w:val="000000"/>
                <w:sz w:val="22"/>
                <w:szCs w:val="22"/>
              </w:rPr>
              <w:t xml:space="preserve"> objaviť počas ovčích kiahní</w:t>
            </w:r>
          </w:p>
        </w:tc>
      </w:tr>
      <w:tr w:rsidR="00735701" w:rsidRPr="00CB65C6" w:rsidTr="005C346C">
        <w:trPr>
          <w:cantSplit/>
          <w:trHeight w:val="834"/>
        </w:trPr>
        <w:tc>
          <w:tcPr>
            <w:tcW w:w="2704" w:type="dxa"/>
            <w:shd w:val="clear" w:color="auto" w:fill="auto"/>
          </w:tcPr>
          <w:p w:rsidR="00735701" w:rsidRPr="00CB65C6" w:rsidRDefault="00523A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krvi a lymfatického systému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735701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  <w:shd w:val="clear" w:color="auto" w:fill="auto"/>
          </w:tcPr>
          <w:p w:rsidR="00735701" w:rsidRPr="00CB65C6" w:rsidRDefault="00523A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poruchy krvotvorb</w:t>
            </w:r>
            <w:r w:rsidR="00735701" w:rsidRPr="00CB65C6">
              <w:rPr>
                <w:color w:val="000000"/>
                <w:sz w:val="22"/>
                <w:szCs w:val="22"/>
              </w:rPr>
              <w:t>y (anémia, leukopénia, trombocytopénia, pancytopénia, agranulocytóza</w:t>
            </w:r>
            <w:r w:rsidRPr="00CB65C6">
              <w:rPr>
                <w:color w:val="000000"/>
                <w:sz w:val="22"/>
                <w:szCs w:val="22"/>
              </w:rPr>
              <w:t>)</w:t>
            </w:r>
            <w:r w:rsidRPr="00CB65C6"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735701" w:rsidRPr="00CB65C6" w:rsidTr="005C346C">
        <w:trPr>
          <w:cantSplit/>
          <w:trHeight w:val="653"/>
        </w:trPr>
        <w:tc>
          <w:tcPr>
            <w:tcW w:w="2704" w:type="dxa"/>
            <w:vMerge w:val="restart"/>
          </w:tcPr>
          <w:p w:rsidR="00735701" w:rsidRPr="00CB65C6" w:rsidRDefault="00523A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imunitného systému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keepNext/>
              <w:spacing w:before="40" w:after="40"/>
              <w:ind w:hanging="10"/>
              <w:outlineLvl w:val="1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menej časté</w:t>
            </w:r>
            <w:r w:rsidR="00735701" w:rsidRPr="00CB65C6">
              <w:rPr>
                <w:rFonts w:eastAsia="SimSun"/>
                <w:color w:val="000000"/>
                <w:sz w:val="22"/>
                <w:szCs w:val="22"/>
              </w:rPr>
              <w:t xml:space="preserve"> (&gt;1/1 000; &lt;1/100)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reakcie z precitlivenosti prejavujúce sa ako žihľavka a pruritus</w:t>
            </w:r>
          </w:p>
        </w:tc>
      </w:tr>
      <w:tr w:rsidR="00735701" w:rsidRPr="00CB65C6" w:rsidTr="005C346C">
        <w:trPr>
          <w:cantSplit/>
          <w:trHeight w:val="884"/>
        </w:trPr>
        <w:tc>
          <w:tcPr>
            <w:tcW w:w="2704" w:type="dxa"/>
            <w:vMerge/>
          </w:tcPr>
          <w:p w:rsidR="00735701" w:rsidRPr="00CB65C6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735701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</w:tcPr>
          <w:p w:rsidR="00735701" w:rsidRPr="00CB65C6" w:rsidRDefault="00523A3E" w:rsidP="002838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závažné reakcie z precitlivenosti prejavujúce sa</w:t>
            </w:r>
            <w:r w:rsidR="00283899" w:rsidRPr="00CB65C6">
              <w:rPr>
                <w:color w:val="000000"/>
                <w:sz w:val="22"/>
                <w:szCs w:val="22"/>
              </w:rPr>
              <w:t xml:space="preserve"> nasledovne:</w:t>
            </w:r>
            <w:r w:rsidRPr="00CB65C6">
              <w:rPr>
                <w:color w:val="000000"/>
                <w:sz w:val="22"/>
                <w:szCs w:val="22"/>
              </w:rPr>
              <w:t xml:space="preserve"> opuch tváre, jazyk</w:t>
            </w:r>
            <w:r w:rsidR="00283899" w:rsidRPr="00CB65C6">
              <w:rPr>
                <w:color w:val="000000"/>
                <w:sz w:val="22"/>
                <w:szCs w:val="22"/>
              </w:rPr>
              <w:t>a</w:t>
            </w:r>
            <w:r w:rsidRPr="00CB65C6">
              <w:rPr>
                <w:color w:val="000000"/>
                <w:sz w:val="22"/>
                <w:szCs w:val="22"/>
              </w:rPr>
              <w:t xml:space="preserve">, </w:t>
            </w:r>
            <w:r w:rsidR="00735701" w:rsidRPr="00CB65C6">
              <w:rPr>
                <w:color w:val="000000"/>
                <w:sz w:val="22"/>
                <w:szCs w:val="22"/>
              </w:rPr>
              <w:t>hrtanu a hltanu</w:t>
            </w:r>
            <w:r w:rsidRPr="00CB65C6">
              <w:rPr>
                <w:color w:val="000000"/>
                <w:sz w:val="22"/>
                <w:szCs w:val="22"/>
              </w:rPr>
              <w:t>, tachykardia, hypotenzia, anafylaxia, angioedém alebo závažný šok</w:t>
            </w:r>
          </w:p>
        </w:tc>
      </w:tr>
      <w:tr w:rsidR="00735701" w:rsidRPr="00CB65C6" w:rsidTr="005C346C">
        <w:trPr>
          <w:cantSplit/>
        </w:trPr>
        <w:tc>
          <w:tcPr>
            <w:tcW w:w="2704" w:type="dxa"/>
            <w:vMerge w:val="restart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menej časté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(&gt;1/1 000; &lt;1/100)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 xml:space="preserve">bolesť hlavy </w:t>
            </w:r>
          </w:p>
        </w:tc>
      </w:tr>
      <w:tr w:rsidR="00735701" w:rsidRPr="00CB65C6" w:rsidTr="005C346C">
        <w:trPr>
          <w:cantSplit/>
          <w:trHeight w:val="240"/>
        </w:trPr>
        <w:tc>
          <w:tcPr>
            <w:tcW w:w="2704" w:type="dxa"/>
            <w:vMerge/>
            <w:shd w:val="clear" w:color="auto" w:fill="auto"/>
          </w:tcPr>
          <w:p w:rsidR="00735701" w:rsidRPr="00CB65C6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aseptická meningitída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2</w:t>
            </w:r>
            <w:r w:rsidRPr="00CB65C6"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35701" w:rsidRPr="00CB65C6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srdca a srdcovej činnosti</w:t>
            </w:r>
          </w:p>
        </w:tc>
        <w:tc>
          <w:tcPr>
            <w:tcW w:w="1412" w:type="dxa"/>
            <w:shd w:val="clear" w:color="auto" w:fill="auto"/>
          </w:tcPr>
          <w:p w:rsidR="00735701" w:rsidRPr="00CB65C6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neznáme</w:t>
            </w:r>
            <w:r w:rsidR="00523A3E" w:rsidRPr="00CB65C6">
              <w:rPr>
                <w:rFonts w:eastAsia="SimSun"/>
                <w:color w:val="000000"/>
                <w:sz w:val="22"/>
                <w:szCs w:val="22"/>
              </w:rPr>
              <w:t>*</w:t>
            </w:r>
          </w:p>
        </w:tc>
        <w:tc>
          <w:tcPr>
            <w:tcW w:w="5170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srdcové zlyhanie a edém</w:t>
            </w:r>
          </w:p>
        </w:tc>
      </w:tr>
      <w:tr w:rsidR="00735701" w:rsidRPr="00CB65C6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Cievne poruchy</w:t>
            </w:r>
          </w:p>
        </w:tc>
        <w:tc>
          <w:tcPr>
            <w:tcW w:w="1412" w:type="dxa"/>
            <w:shd w:val="clear" w:color="auto" w:fill="auto"/>
          </w:tcPr>
          <w:p w:rsidR="00735701" w:rsidRPr="00CB65C6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neznáme</w:t>
            </w:r>
            <w:r w:rsidR="00523A3E" w:rsidRPr="00CB65C6">
              <w:rPr>
                <w:rFonts w:eastAsia="SimSun"/>
                <w:color w:val="000000"/>
                <w:sz w:val="22"/>
                <w:szCs w:val="22"/>
              </w:rPr>
              <w:t>*</w:t>
            </w:r>
          </w:p>
        </w:tc>
        <w:tc>
          <w:tcPr>
            <w:tcW w:w="5170" w:type="dxa"/>
            <w:shd w:val="clear" w:color="auto" w:fill="auto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hypertenzia</w:t>
            </w:r>
          </w:p>
        </w:tc>
      </w:tr>
      <w:tr w:rsidR="00246E99" w:rsidRPr="00CB65C6" w:rsidTr="00246E99">
        <w:trPr>
          <w:cantSplit/>
          <w:trHeight w:val="548"/>
        </w:trPr>
        <w:tc>
          <w:tcPr>
            <w:tcW w:w="2704" w:type="dxa"/>
            <w:vMerge w:val="restart"/>
            <w:shd w:val="clear" w:color="auto" w:fill="auto"/>
          </w:tcPr>
          <w:p w:rsidR="00246E99" w:rsidRPr="00CB65C6" w:rsidRDefault="00523A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412" w:type="dxa"/>
          </w:tcPr>
          <w:p w:rsidR="00246E99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(&gt;1/1 000; &lt;1/100)</w:t>
            </w:r>
          </w:p>
        </w:tc>
        <w:tc>
          <w:tcPr>
            <w:tcW w:w="5170" w:type="dxa"/>
          </w:tcPr>
          <w:p w:rsidR="00246E99" w:rsidRPr="00CB65C6" w:rsidRDefault="00246E99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a</w:t>
            </w:r>
            <w:r w:rsidR="00523A3E" w:rsidRPr="00CB65C6">
              <w:rPr>
                <w:color w:val="000000"/>
                <w:sz w:val="22"/>
                <w:szCs w:val="22"/>
              </w:rPr>
              <w:t>stma, dyspnoe</w:t>
            </w:r>
          </w:p>
        </w:tc>
      </w:tr>
      <w:tr w:rsidR="00246E99" w:rsidRPr="00CB65C6" w:rsidTr="005C346C">
        <w:trPr>
          <w:cantSplit/>
          <w:trHeight w:val="547"/>
        </w:trPr>
        <w:tc>
          <w:tcPr>
            <w:tcW w:w="2704" w:type="dxa"/>
            <w:vMerge/>
            <w:shd w:val="clear" w:color="auto" w:fill="auto"/>
          </w:tcPr>
          <w:p w:rsidR="00246E99" w:rsidRPr="00CB65C6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CB65C6" w:rsidRDefault="0028567F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neznáme*</w:t>
            </w:r>
          </w:p>
        </w:tc>
        <w:tc>
          <w:tcPr>
            <w:tcW w:w="5170" w:type="dxa"/>
          </w:tcPr>
          <w:p w:rsidR="00246E99" w:rsidRPr="00CB65C6" w:rsidRDefault="0028567F" w:rsidP="00B2263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bronchospazmus</w:t>
            </w:r>
          </w:p>
        </w:tc>
      </w:tr>
      <w:tr w:rsidR="00246E99" w:rsidRPr="00CB65C6" w:rsidTr="005C346C">
        <w:trPr>
          <w:cantSplit/>
        </w:trPr>
        <w:tc>
          <w:tcPr>
            <w:tcW w:w="2704" w:type="dxa"/>
            <w:vMerge w:val="restart"/>
          </w:tcPr>
          <w:p w:rsidR="00246E99" w:rsidRPr="00CB65C6" w:rsidRDefault="00523A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gastrointestinálneho traktu</w:t>
            </w:r>
          </w:p>
        </w:tc>
        <w:tc>
          <w:tcPr>
            <w:tcW w:w="1412" w:type="dxa"/>
          </w:tcPr>
          <w:p w:rsidR="00246E99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menej časté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(&gt;1/1 000; &lt;1/100)</w:t>
            </w:r>
          </w:p>
        </w:tc>
        <w:tc>
          <w:tcPr>
            <w:tcW w:w="5170" w:type="dxa"/>
          </w:tcPr>
          <w:p w:rsidR="00246E99" w:rsidRPr="00CB65C6" w:rsidRDefault="00246E99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boles</w:t>
            </w:r>
            <w:r w:rsidR="00283899" w:rsidRPr="00CB65C6">
              <w:rPr>
                <w:color w:val="000000"/>
                <w:sz w:val="22"/>
                <w:szCs w:val="22"/>
              </w:rPr>
              <w:t>ť</w:t>
            </w:r>
            <w:r w:rsidR="0028567F" w:rsidRPr="00CB65C6">
              <w:rPr>
                <w:color w:val="000000"/>
                <w:sz w:val="22"/>
                <w:szCs w:val="22"/>
              </w:rPr>
              <w:t xml:space="preserve"> brucha</w:t>
            </w:r>
            <w:r w:rsidR="00523A3E" w:rsidRPr="00CB65C6">
              <w:rPr>
                <w:color w:val="000000"/>
                <w:sz w:val="22"/>
                <w:szCs w:val="22"/>
              </w:rPr>
              <w:t>, nauzea</w:t>
            </w:r>
            <w:r w:rsidRPr="00CB65C6">
              <w:rPr>
                <w:color w:val="000000"/>
                <w:sz w:val="22"/>
                <w:szCs w:val="22"/>
              </w:rPr>
              <w:t xml:space="preserve"> a dyspepsia</w:t>
            </w:r>
          </w:p>
        </w:tc>
      </w:tr>
      <w:tr w:rsidR="00246E99" w:rsidRPr="00CB65C6" w:rsidTr="005C346C">
        <w:trPr>
          <w:cantSplit/>
        </w:trPr>
        <w:tc>
          <w:tcPr>
            <w:tcW w:w="2704" w:type="dxa"/>
            <w:vMerge/>
          </w:tcPr>
          <w:p w:rsidR="00246E99" w:rsidRPr="00CB65C6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CB65C6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z</w:t>
            </w:r>
            <w:r w:rsidR="00523A3E" w:rsidRPr="00CB65C6">
              <w:rPr>
                <w:rFonts w:eastAsia="SimSun"/>
                <w:color w:val="000000"/>
                <w:sz w:val="22"/>
                <w:szCs w:val="22"/>
              </w:rPr>
              <w:t>riedkavé</w:t>
            </w:r>
            <w:r w:rsidRPr="00CB65C6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="00523A3E" w:rsidRPr="00CB65C6">
              <w:rPr>
                <w:rFonts w:eastAsia="SimSun"/>
                <w:color w:val="000000"/>
                <w:sz w:val="22"/>
                <w:szCs w:val="22"/>
              </w:rPr>
              <w:t>(&gt;1/10 000; &lt;1/1 000)</w:t>
            </w:r>
          </w:p>
        </w:tc>
        <w:tc>
          <w:tcPr>
            <w:tcW w:w="5170" w:type="dxa"/>
          </w:tcPr>
          <w:p w:rsidR="00246E99" w:rsidRPr="00CB65C6" w:rsidRDefault="00523A3E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 xml:space="preserve">hnačka, flatulencia, </w:t>
            </w:r>
            <w:r w:rsidR="00246E99" w:rsidRPr="00CB65C6">
              <w:rPr>
                <w:color w:val="000000"/>
                <w:sz w:val="22"/>
                <w:szCs w:val="22"/>
              </w:rPr>
              <w:t>zápcha</w:t>
            </w:r>
            <w:r w:rsidRPr="00CB65C6">
              <w:rPr>
                <w:color w:val="000000"/>
                <w:sz w:val="22"/>
                <w:szCs w:val="22"/>
              </w:rPr>
              <w:t>, vracanie</w:t>
            </w:r>
          </w:p>
        </w:tc>
      </w:tr>
      <w:tr w:rsidR="00246E99" w:rsidRPr="00CB65C6" w:rsidTr="00246E99">
        <w:trPr>
          <w:cantSplit/>
          <w:trHeight w:val="593"/>
        </w:trPr>
        <w:tc>
          <w:tcPr>
            <w:tcW w:w="2704" w:type="dxa"/>
            <w:vMerge/>
          </w:tcPr>
          <w:p w:rsidR="00246E99" w:rsidRPr="00CB65C6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CB65C6">
              <w:rPr>
                <w:rFonts w:eastAsia="SimSun"/>
                <w:color w:val="000000"/>
                <w:sz w:val="22"/>
                <w:szCs w:val="22"/>
              </w:rPr>
              <w:t>(&lt;1/10 000)</w:t>
            </w:r>
          </w:p>
        </w:tc>
        <w:tc>
          <w:tcPr>
            <w:tcW w:w="5170" w:type="dxa"/>
          </w:tcPr>
          <w:p w:rsidR="00246E99" w:rsidRPr="00CB65C6" w:rsidRDefault="00523A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 xml:space="preserve">gastrointestinálny vred, perforácia, </w:t>
            </w:r>
            <w:r w:rsidR="00246E99" w:rsidRPr="00CB65C6">
              <w:rPr>
                <w:color w:val="000000"/>
                <w:sz w:val="22"/>
                <w:szCs w:val="22"/>
              </w:rPr>
              <w:t>krvácanie</w:t>
            </w:r>
            <w:r w:rsidRPr="00CB65C6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246E99" w:rsidRPr="00CB65C6">
              <w:rPr>
                <w:color w:val="000000"/>
                <w:sz w:val="22"/>
                <w:szCs w:val="22"/>
              </w:rPr>
              <w:t>;</w:t>
            </w:r>
            <w:r w:rsidRPr="00CB65C6">
              <w:rPr>
                <w:color w:val="000000"/>
                <w:sz w:val="22"/>
                <w:szCs w:val="22"/>
              </w:rPr>
              <w:t xml:space="preserve"> meléna, hemateméza, </w:t>
            </w:r>
            <w:r w:rsidR="00246E99" w:rsidRPr="00CB65C6">
              <w:rPr>
                <w:color w:val="000000"/>
                <w:sz w:val="22"/>
                <w:szCs w:val="22"/>
              </w:rPr>
              <w:t xml:space="preserve">ulcerózna stomatitída, </w:t>
            </w:r>
            <w:r w:rsidR="00CB65C6" w:rsidRPr="00CB65C6">
              <w:rPr>
                <w:color w:val="000000"/>
                <w:sz w:val="22"/>
                <w:szCs w:val="22"/>
              </w:rPr>
              <w:t>gastritída</w:t>
            </w:r>
            <w:r w:rsidRPr="00CB65C6">
              <w:rPr>
                <w:color w:val="000000"/>
                <w:sz w:val="22"/>
                <w:szCs w:val="22"/>
              </w:rPr>
              <w:t xml:space="preserve">, </w:t>
            </w:r>
          </w:p>
        </w:tc>
      </w:tr>
      <w:tr w:rsidR="00246E99" w:rsidRPr="00CB65C6" w:rsidTr="005C346C">
        <w:trPr>
          <w:cantSplit/>
          <w:trHeight w:val="592"/>
        </w:trPr>
        <w:tc>
          <w:tcPr>
            <w:tcW w:w="2704" w:type="dxa"/>
            <w:vMerge/>
          </w:tcPr>
          <w:p w:rsidR="00246E99" w:rsidRPr="00CB65C6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CB65C6" w:rsidRDefault="0028567F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neznáme*</w:t>
            </w:r>
          </w:p>
        </w:tc>
        <w:tc>
          <w:tcPr>
            <w:tcW w:w="5170" w:type="dxa"/>
          </w:tcPr>
          <w:p w:rsidR="00246E99" w:rsidRPr="00CB65C6" w:rsidRDefault="0028567F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exacerbácia ulceróznej kolitídy a Crohnovej choroby (</w:t>
            </w:r>
            <w:r w:rsidRPr="00CB65C6">
              <w:rPr>
                <w:bCs/>
                <w:sz w:val="22"/>
                <w:szCs w:val="22"/>
              </w:rPr>
              <w:t>pozri časť 4.4)</w:t>
            </w:r>
          </w:p>
        </w:tc>
      </w:tr>
      <w:tr w:rsidR="00735701" w:rsidRPr="00CB65C6" w:rsidTr="005C346C">
        <w:trPr>
          <w:cantSplit/>
        </w:trPr>
        <w:tc>
          <w:tcPr>
            <w:tcW w:w="2704" w:type="dxa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lastRenderedPageBreak/>
              <w:t>Poruchy pečene a žlčových ciest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color w:val="000000"/>
                <w:sz w:val="22"/>
                <w:szCs w:val="22"/>
              </w:rPr>
              <w:t>poruchy funkcie pečene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735701" w:rsidRPr="00CB65C6" w:rsidTr="005C346C">
        <w:trPr>
          <w:cantSplit/>
          <w:trHeight w:val="458"/>
        </w:trPr>
        <w:tc>
          <w:tcPr>
            <w:tcW w:w="2704" w:type="dxa"/>
            <w:vMerge w:val="restart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kože a podkožného tkaniva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menej časté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(&gt;1/1 000; &lt;1/100)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kožná vyrážky</w:t>
            </w:r>
          </w:p>
        </w:tc>
      </w:tr>
      <w:tr w:rsidR="00735701" w:rsidRPr="00CB65C6" w:rsidTr="005C346C">
        <w:trPr>
          <w:cantSplit/>
          <w:trHeight w:val="457"/>
        </w:trPr>
        <w:tc>
          <w:tcPr>
            <w:tcW w:w="2704" w:type="dxa"/>
            <w:vMerge/>
          </w:tcPr>
          <w:p w:rsidR="00735701" w:rsidRPr="00CB65C6" w:rsidRDefault="00735701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246E99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</w:tcPr>
          <w:p w:rsidR="00735701" w:rsidRPr="00CB65C6" w:rsidRDefault="00523A3E" w:rsidP="008E5AEB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 xml:space="preserve">závažné formy kožných reakcií ako </w:t>
            </w:r>
            <w:r w:rsidR="007A4525" w:rsidRPr="00CB65C6">
              <w:rPr>
                <w:rFonts w:eastAsia="SimSun"/>
                <w:color w:val="000000"/>
                <w:sz w:val="22"/>
                <w:szCs w:val="22"/>
              </w:rPr>
              <w:t xml:space="preserve">sú </w:t>
            </w:r>
            <w:r w:rsidR="008E5AEB" w:rsidRPr="00CB65C6">
              <w:rPr>
                <w:rFonts w:eastAsia="SimSun"/>
                <w:color w:val="000000"/>
                <w:sz w:val="22"/>
                <w:szCs w:val="22"/>
              </w:rPr>
              <w:t xml:space="preserve">erythema multiforme a </w:t>
            </w:r>
            <w:r w:rsidR="0028567F" w:rsidRPr="00CB65C6">
              <w:rPr>
                <w:rFonts w:eastAsia="SimSun"/>
                <w:color w:val="000000"/>
                <w:sz w:val="22"/>
                <w:szCs w:val="22"/>
              </w:rPr>
              <w:t xml:space="preserve">bulózne reakcie vrátane Stevens-Johnsonovho syndrómu </w:t>
            </w:r>
            <w:r w:rsidRPr="00CB65C6">
              <w:rPr>
                <w:rFonts w:eastAsia="SimSun"/>
                <w:color w:val="000000"/>
                <w:sz w:val="22"/>
                <w:szCs w:val="22"/>
              </w:rPr>
              <w:t>a toxick</w:t>
            </w:r>
            <w:r w:rsidR="00283899" w:rsidRPr="00CB65C6">
              <w:rPr>
                <w:rFonts w:eastAsia="SimSun"/>
                <w:color w:val="000000"/>
                <w:sz w:val="22"/>
                <w:szCs w:val="22"/>
              </w:rPr>
              <w:t>á</w:t>
            </w:r>
            <w:r w:rsidRPr="00CB65C6">
              <w:rPr>
                <w:rFonts w:eastAsia="SimSun"/>
                <w:color w:val="000000"/>
                <w:sz w:val="22"/>
                <w:szCs w:val="22"/>
              </w:rPr>
              <w:t xml:space="preserve"> epidermálna nekrolýza</w:t>
            </w:r>
            <w:r w:rsidR="007A4525" w:rsidRPr="00CB65C6">
              <w:rPr>
                <w:rFonts w:eastAsia="SimSun"/>
                <w:color w:val="000000"/>
                <w:sz w:val="22"/>
                <w:szCs w:val="22"/>
              </w:rPr>
              <w:t>;</w:t>
            </w:r>
          </w:p>
        </w:tc>
      </w:tr>
      <w:tr w:rsidR="00735701" w:rsidRPr="00CB65C6" w:rsidTr="005C346C">
        <w:trPr>
          <w:cantSplit/>
          <w:trHeight w:val="585"/>
        </w:trPr>
        <w:tc>
          <w:tcPr>
            <w:tcW w:w="2704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>Poruchy obličiek a močových ciest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7A4525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sz w:val="22"/>
                <w:szCs w:val="22"/>
              </w:rPr>
              <w:t>akútne zlyhanie obličiek</w:t>
            </w:r>
            <w:r w:rsidR="007A4525" w:rsidRPr="00CB65C6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735701" w:rsidRPr="00CB65C6" w:rsidTr="005C346C">
        <w:trPr>
          <w:cantSplit/>
        </w:trPr>
        <w:tc>
          <w:tcPr>
            <w:tcW w:w="2704" w:type="dxa"/>
          </w:tcPr>
          <w:p w:rsidR="00735701" w:rsidRPr="00CB65C6" w:rsidRDefault="00523A3E" w:rsidP="005C346C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b/>
                <w:color w:val="000000"/>
                <w:sz w:val="22"/>
                <w:szCs w:val="22"/>
              </w:rPr>
              <w:t xml:space="preserve">Laboratórne a funkčné vyšetrenia </w:t>
            </w:r>
          </w:p>
        </w:tc>
        <w:tc>
          <w:tcPr>
            <w:tcW w:w="1412" w:type="dxa"/>
          </w:tcPr>
          <w:p w:rsidR="00735701" w:rsidRPr="00CB65C6" w:rsidRDefault="00523A3E" w:rsidP="005C346C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veľmi zriedkavé</w:t>
            </w:r>
            <w:r w:rsidR="007A4525" w:rsidRPr="00CB65C6">
              <w:rPr>
                <w:rFonts w:eastAsia="SimSun"/>
                <w:color w:val="000000"/>
                <w:sz w:val="22"/>
                <w:szCs w:val="22"/>
              </w:rPr>
              <w:t xml:space="preserve"> (&lt;1/10 000)</w:t>
            </w:r>
          </w:p>
        </w:tc>
        <w:tc>
          <w:tcPr>
            <w:tcW w:w="5170" w:type="dxa"/>
          </w:tcPr>
          <w:p w:rsidR="00735701" w:rsidRPr="00CB65C6" w:rsidRDefault="00523A3E" w:rsidP="005C346C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CB65C6">
              <w:rPr>
                <w:rFonts w:eastAsia="SimSun"/>
                <w:color w:val="000000"/>
                <w:sz w:val="22"/>
                <w:szCs w:val="22"/>
              </w:rPr>
              <w:t>znížená koncentrácia hemoglobínu</w:t>
            </w:r>
          </w:p>
        </w:tc>
      </w:tr>
    </w:tbl>
    <w:p w:rsidR="00735701" w:rsidRPr="00CB65C6" w:rsidRDefault="0028567F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* z dostupných údajov</w:t>
      </w:r>
    </w:p>
    <w:p w:rsidR="007A4525" w:rsidRPr="00CB65C6" w:rsidRDefault="007A4525" w:rsidP="00106AAD">
      <w:pPr>
        <w:jc w:val="both"/>
        <w:rPr>
          <w:sz w:val="22"/>
          <w:szCs w:val="22"/>
        </w:rPr>
      </w:pPr>
    </w:p>
    <w:p w:rsidR="007A4525" w:rsidRPr="00CB65C6" w:rsidRDefault="00523A3E" w:rsidP="007A4525">
      <w:pPr>
        <w:widowControl w:val="0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Popis vybraných nežiaducich reakcií:</w:t>
      </w:r>
    </w:p>
    <w:p w:rsidR="007A4525" w:rsidRPr="00CB65C6" w:rsidRDefault="00523A3E" w:rsidP="007A4525">
      <w:pPr>
        <w:widowControl w:val="0"/>
        <w:rPr>
          <w:bCs/>
          <w:sz w:val="22"/>
          <w:szCs w:val="22"/>
        </w:rPr>
      </w:pPr>
      <w:r w:rsidRPr="00CB65C6">
        <w:rPr>
          <w:rFonts w:eastAsia="SimSun"/>
          <w:color w:val="000000"/>
          <w:sz w:val="22"/>
          <w:szCs w:val="22"/>
          <w:vertAlign w:val="superscript"/>
        </w:rPr>
        <w:t xml:space="preserve">1  </w:t>
      </w:r>
      <w:r w:rsidRPr="00CB65C6">
        <w:rPr>
          <w:bCs/>
          <w:sz w:val="22"/>
          <w:szCs w:val="22"/>
        </w:rPr>
        <w:t>Prvými príznakmi sú: horúčka, bolesť hrdla, povrchové vriedky v ústach, príznaky podobné chrípke, ťažká únava, krvácanie z nosa a do kože a podliatiny.</w:t>
      </w:r>
    </w:p>
    <w:p w:rsidR="007A4525" w:rsidRPr="00CB65C6" w:rsidRDefault="007A4525" w:rsidP="007A4525">
      <w:pPr>
        <w:widowControl w:val="0"/>
        <w:rPr>
          <w:bCs/>
          <w:sz w:val="22"/>
          <w:szCs w:val="22"/>
        </w:rPr>
      </w:pPr>
    </w:p>
    <w:p w:rsidR="007A4525" w:rsidRPr="00CB65C6" w:rsidRDefault="00523A3E" w:rsidP="007A4525">
      <w:pPr>
        <w:widowControl w:val="0"/>
        <w:rPr>
          <w:bCs/>
          <w:sz w:val="22"/>
          <w:szCs w:val="22"/>
        </w:rPr>
      </w:pPr>
      <w:r w:rsidRPr="00CB65C6">
        <w:rPr>
          <w:rFonts w:eastAsia="SimSun"/>
          <w:color w:val="000000"/>
          <w:sz w:val="22"/>
          <w:szCs w:val="22"/>
          <w:vertAlign w:val="superscript"/>
        </w:rPr>
        <w:t xml:space="preserve">2 </w:t>
      </w:r>
      <w:r w:rsidRPr="00CB65C6">
        <w:rPr>
          <w:bCs/>
          <w:sz w:val="22"/>
          <w:szCs w:val="22"/>
        </w:rPr>
        <w:t>Mechanizmus patogenézy liek</w:t>
      </w:r>
      <w:r w:rsidR="00283899" w:rsidRPr="00CB65C6">
        <w:rPr>
          <w:bCs/>
          <w:sz w:val="22"/>
          <w:szCs w:val="22"/>
        </w:rPr>
        <w:t>mi</w:t>
      </w:r>
      <w:r w:rsidRPr="00CB65C6">
        <w:rPr>
          <w:bCs/>
          <w:sz w:val="22"/>
          <w:szCs w:val="22"/>
        </w:rPr>
        <w:t xml:space="preserve"> vyvolan</w:t>
      </w:r>
      <w:r w:rsidR="00283899" w:rsidRPr="00CB65C6">
        <w:rPr>
          <w:bCs/>
          <w:sz w:val="22"/>
          <w:szCs w:val="22"/>
        </w:rPr>
        <w:t>ej</w:t>
      </w:r>
      <w:r w:rsidRPr="00CB65C6">
        <w:rPr>
          <w:bCs/>
          <w:sz w:val="22"/>
          <w:szCs w:val="22"/>
        </w:rPr>
        <w:t xml:space="preserve"> aseptickej meningitídy nie je úplne známy. Avšak dostupné dáta ohľadom aseptickej meningitídy súvisiace s NSAID poukazujú na imunitnú reakciu (z dôvodu časového vzťahu s užívaním liečivá a vymiznutím príznakov po jeho vysadení). Jednotlivé prípady príznakov aseptickej meningitídy (ako je stuhnutá šija, bolesť hlavy, nevoľnosť, vracanie, horúčka alebo porucha orientácie) boli </w:t>
      </w:r>
      <w:r w:rsidR="00981C91" w:rsidRPr="00CB65C6">
        <w:rPr>
          <w:bCs/>
          <w:sz w:val="22"/>
          <w:szCs w:val="22"/>
        </w:rPr>
        <w:t>pozorované počas liečby ibuprofé</w:t>
      </w:r>
      <w:r w:rsidRPr="00CB65C6">
        <w:rPr>
          <w:bCs/>
          <w:sz w:val="22"/>
          <w:szCs w:val="22"/>
        </w:rPr>
        <w:t xml:space="preserve">nom u pacientov s existujúcimi autoimunitnými poruchami (ako napr. </w:t>
      </w:r>
      <w:r w:rsidR="00283899" w:rsidRPr="00CB65C6">
        <w:rPr>
          <w:bCs/>
          <w:sz w:val="22"/>
          <w:szCs w:val="22"/>
        </w:rPr>
        <w:t>s</w:t>
      </w:r>
      <w:r w:rsidRPr="00CB65C6">
        <w:rPr>
          <w:bCs/>
          <w:sz w:val="22"/>
          <w:szCs w:val="22"/>
        </w:rPr>
        <w:t>ystémový lupus erythematosus alebo zmiešané ochorenia spojivového tkaniva).</w:t>
      </w:r>
    </w:p>
    <w:p w:rsidR="007A4525" w:rsidRPr="00CB65C6" w:rsidRDefault="007A4525" w:rsidP="007A4525">
      <w:pPr>
        <w:widowControl w:val="0"/>
        <w:rPr>
          <w:rFonts w:eastAsia="SimSun"/>
          <w:color w:val="000000"/>
          <w:sz w:val="22"/>
          <w:szCs w:val="22"/>
          <w:vertAlign w:val="superscript"/>
        </w:rPr>
      </w:pPr>
    </w:p>
    <w:p w:rsidR="007A4525" w:rsidRPr="00CB65C6" w:rsidRDefault="00523A3E" w:rsidP="007A4525">
      <w:pPr>
        <w:widowControl w:val="0"/>
        <w:rPr>
          <w:bCs/>
          <w:sz w:val="22"/>
          <w:szCs w:val="22"/>
        </w:rPr>
      </w:pPr>
      <w:r w:rsidRPr="00CB65C6">
        <w:rPr>
          <w:rFonts w:eastAsia="SimSun"/>
          <w:color w:val="000000"/>
          <w:sz w:val="22"/>
          <w:szCs w:val="22"/>
          <w:vertAlign w:val="superscript"/>
        </w:rPr>
        <w:t>3</w:t>
      </w:r>
      <w:r w:rsidRPr="00CB65C6">
        <w:rPr>
          <w:sz w:val="22"/>
          <w:szCs w:val="22"/>
        </w:rPr>
        <w:t xml:space="preserve"> </w:t>
      </w:r>
      <w:r w:rsidRPr="00CB65C6">
        <w:rPr>
          <w:bCs/>
          <w:sz w:val="22"/>
          <w:szCs w:val="22"/>
        </w:rPr>
        <w:t>Najmä pri dlhodobej liečbe.</w:t>
      </w:r>
    </w:p>
    <w:p w:rsidR="007A4525" w:rsidRPr="00CB65C6" w:rsidRDefault="007A4525" w:rsidP="007A4525">
      <w:pPr>
        <w:widowControl w:val="0"/>
        <w:rPr>
          <w:bCs/>
          <w:sz w:val="22"/>
          <w:szCs w:val="22"/>
        </w:rPr>
      </w:pPr>
    </w:p>
    <w:p w:rsidR="007A4525" w:rsidRPr="00CB65C6" w:rsidRDefault="00523A3E" w:rsidP="007A4525">
      <w:pPr>
        <w:pStyle w:val="MoRPNormal"/>
        <w:spacing w:before="0" w:after="0" w:line="240" w:lineRule="auto"/>
        <w:rPr>
          <w:rFonts w:ascii="Times New Roman" w:hAnsi="Times New Roman"/>
          <w:szCs w:val="22"/>
          <w:lang w:val="sk-SK"/>
        </w:rPr>
      </w:pPr>
      <w:r w:rsidRPr="00CB65C6">
        <w:rPr>
          <w:rFonts w:ascii="Times New Roman" w:eastAsia="SimSun" w:hAnsi="Times New Roman"/>
          <w:color w:val="000000"/>
          <w:szCs w:val="22"/>
          <w:vertAlign w:val="superscript"/>
          <w:lang w:val="sk-SK"/>
        </w:rPr>
        <w:t xml:space="preserve">4 </w:t>
      </w:r>
      <w:r w:rsidRPr="00CB65C6">
        <w:rPr>
          <w:rFonts w:ascii="Times New Roman" w:hAnsi="Times New Roman"/>
          <w:bCs/>
          <w:szCs w:val="22"/>
          <w:lang w:val="sk-SK"/>
        </w:rPr>
        <w:t>Najmä pri dlhodobej liečbe sa pozorovali znížen</w:t>
      </w:r>
      <w:r w:rsidR="00E804F0" w:rsidRPr="00CB65C6">
        <w:rPr>
          <w:rFonts w:ascii="Times New Roman" w:hAnsi="Times New Roman"/>
          <w:bCs/>
          <w:szCs w:val="22"/>
          <w:lang w:val="sk-SK"/>
        </w:rPr>
        <w:t>é</w:t>
      </w:r>
      <w:r w:rsidRPr="00CB65C6">
        <w:rPr>
          <w:rFonts w:ascii="Times New Roman" w:hAnsi="Times New Roman"/>
          <w:bCs/>
          <w:szCs w:val="22"/>
          <w:lang w:val="sk-SK"/>
        </w:rPr>
        <w:t xml:space="preserve"> vylučovanie moču, zvýšená koncentrácia močoviny v</w:t>
      </w:r>
      <w:r w:rsidR="008E5AEB" w:rsidRPr="00CB65C6">
        <w:rPr>
          <w:rFonts w:ascii="Times New Roman" w:hAnsi="Times New Roman"/>
          <w:bCs/>
          <w:szCs w:val="22"/>
          <w:lang w:val="sk-SK"/>
        </w:rPr>
        <w:t> </w:t>
      </w:r>
      <w:r w:rsidRPr="00CB65C6">
        <w:rPr>
          <w:rFonts w:ascii="Times New Roman" w:hAnsi="Times New Roman"/>
          <w:bCs/>
          <w:szCs w:val="22"/>
          <w:lang w:val="sk-SK"/>
        </w:rPr>
        <w:t>plazme</w:t>
      </w:r>
      <w:r w:rsidR="008E5AEB" w:rsidRPr="00CB65C6">
        <w:rPr>
          <w:rFonts w:ascii="Times New Roman" w:hAnsi="Times New Roman"/>
          <w:bCs/>
          <w:szCs w:val="22"/>
          <w:lang w:val="sk-SK"/>
        </w:rPr>
        <w:t>,</w:t>
      </w:r>
      <w:r w:rsidRPr="00CB65C6">
        <w:rPr>
          <w:rFonts w:ascii="Times New Roman" w:hAnsi="Times New Roman"/>
          <w:bCs/>
          <w:szCs w:val="22"/>
          <w:lang w:val="sk-SK"/>
        </w:rPr>
        <w:t xml:space="preserve"> opuchy </w:t>
      </w:r>
      <w:r w:rsidR="008E5AEB" w:rsidRPr="00CB65C6">
        <w:rPr>
          <w:rFonts w:ascii="Times New Roman" w:hAnsi="Times New Roman"/>
          <w:bCs/>
          <w:szCs w:val="22"/>
          <w:lang w:val="sk-SK"/>
        </w:rPr>
        <w:t>a</w:t>
      </w:r>
      <w:r w:rsidRPr="00CB65C6">
        <w:rPr>
          <w:rFonts w:ascii="Times New Roman" w:hAnsi="Times New Roman"/>
          <w:bCs/>
          <w:szCs w:val="22"/>
          <w:lang w:val="sk-SK"/>
        </w:rPr>
        <w:t xml:space="preserve"> papilá</w:t>
      </w:r>
      <w:r w:rsidR="00D33D6D" w:rsidRPr="00CB65C6">
        <w:rPr>
          <w:rFonts w:ascii="Times New Roman" w:hAnsi="Times New Roman"/>
          <w:bCs/>
          <w:szCs w:val="22"/>
          <w:lang w:val="sk-SK"/>
        </w:rPr>
        <w:t>rne</w:t>
      </w:r>
      <w:r w:rsidRPr="00CB65C6">
        <w:rPr>
          <w:rFonts w:ascii="Times New Roman" w:hAnsi="Times New Roman"/>
          <w:bCs/>
          <w:szCs w:val="22"/>
          <w:lang w:val="sk-SK"/>
        </w:rPr>
        <w:t xml:space="preserve"> nekrózy.</w:t>
      </w:r>
    </w:p>
    <w:p w:rsidR="007A4525" w:rsidRPr="00CB65C6" w:rsidRDefault="007A4525" w:rsidP="00106AAD">
      <w:pPr>
        <w:jc w:val="both"/>
        <w:rPr>
          <w:sz w:val="22"/>
          <w:szCs w:val="22"/>
        </w:rPr>
      </w:pPr>
    </w:p>
    <w:p w:rsidR="0067433A" w:rsidRPr="00CB65C6" w:rsidRDefault="0028567F" w:rsidP="00522F2A">
      <w:pPr>
        <w:pStyle w:val="Nadpis4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Hlásenie podozrení na nežiaduce reakcie</w:t>
      </w:r>
    </w:p>
    <w:p w:rsidR="0067433A" w:rsidRPr="00CB65C6" w:rsidRDefault="0028567F" w:rsidP="0067433A">
      <w:pPr>
        <w:autoSpaceDE w:val="0"/>
        <w:autoSpaceDN w:val="0"/>
        <w:adjustRightInd w:val="0"/>
        <w:rPr>
          <w:sz w:val="22"/>
          <w:szCs w:val="22"/>
        </w:rPr>
      </w:pPr>
      <w:r w:rsidRPr="00CB65C6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CB65C6">
        <w:rPr>
          <w:sz w:val="22"/>
          <w:szCs w:val="22"/>
          <w:highlight w:val="lightGray"/>
        </w:rPr>
        <w:t>národné centrum hlásenia uvedené v </w:t>
      </w:r>
      <w:hyperlink r:id="rId8" w:history="1">
        <w:r w:rsidR="0067433A" w:rsidRPr="00CB65C6">
          <w:rPr>
            <w:sz w:val="22"/>
            <w:szCs w:val="22"/>
            <w:highlight w:val="lightGray"/>
            <w:u w:val="single"/>
          </w:rPr>
          <w:t>Prílohe V</w:t>
        </w:r>
      </w:hyperlink>
      <w:r w:rsidR="0067433A" w:rsidRPr="00CB65C6">
        <w:rPr>
          <w:sz w:val="22"/>
          <w:szCs w:val="22"/>
          <w:highlight w:val="lightGray"/>
        </w:rPr>
        <w:t>.</w:t>
      </w:r>
    </w:p>
    <w:p w:rsidR="0067433A" w:rsidRPr="00CB65C6" w:rsidRDefault="0067433A" w:rsidP="00B212B6">
      <w:pPr>
        <w:jc w:val="both"/>
        <w:rPr>
          <w:sz w:val="22"/>
          <w:szCs w:val="22"/>
        </w:rPr>
      </w:pPr>
    </w:p>
    <w:p w:rsidR="00496C8E" w:rsidRPr="00CB65C6" w:rsidRDefault="0028567F" w:rsidP="00B212B6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4.9</w:t>
      </w:r>
      <w:r w:rsidRPr="00CB65C6">
        <w:rPr>
          <w:b/>
          <w:bCs/>
          <w:sz w:val="22"/>
          <w:szCs w:val="22"/>
        </w:rPr>
        <w:tab/>
        <w:t>Predávkovanie</w:t>
      </w:r>
    </w:p>
    <w:p w:rsidR="00902E28" w:rsidRPr="00CB65C6" w:rsidRDefault="00902E28" w:rsidP="00B212B6">
      <w:pPr>
        <w:keepNext/>
        <w:jc w:val="both"/>
        <w:rPr>
          <w:sz w:val="22"/>
          <w:szCs w:val="22"/>
        </w:rPr>
      </w:pPr>
    </w:p>
    <w:p w:rsidR="007A4525" w:rsidRPr="00CB65C6" w:rsidRDefault="0028567F" w:rsidP="007A4525">
      <w:pPr>
        <w:keepNext/>
        <w:jc w:val="both"/>
        <w:rPr>
          <w:sz w:val="22"/>
          <w:szCs w:val="22"/>
        </w:rPr>
      </w:pPr>
      <w:r w:rsidRPr="00CB65C6">
        <w:rPr>
          <w:sz w:val="22"/>
          <w:szCs w:val="22"/>
        </w:rPr>
        <w:t>U detí môže požitie dávky väčšej ako 400 mg / kg vyvolať príznaky. U dospelých je od dávky závislá odpoveď menej zreteľná.</w:t>
      </w:r>
    </w:p>
    <w:p w:rsidR="007A4525" w:rsidRPr="00CB65C6" w:rsidRDefault="007A4525" w:rsidP="007A4525">
      <w:pPr>
        <w:keepNext/>
        <w:jc w:val="both"/>
        <w:rPr>
          <w:sz w:val="22"/>
          <w:szCs w:val="22"/>
        </w:rPr>
      </w:pPr>
    </w:p>
    <w:p w:rsidR="007A4525" w:rsidRPr="00CB65C6" w:rsidRDefault="0028567F" w:rsidP="007A4525">
      <w:pPr>
        <w:keepNext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Polčas pri predávkovaní je 1,5 - 3 hodiny.</w:t>
      </w:r>
    </w:p>
    <w:p w:rsidR="007A4525" w:rsidRPr="00CB65C6" w:rsidRDefault="007A4525" w:rsidP="00106AAD">
      <w:pPr>
        <w:pStyle w:val="Nadpis4"/>
        <w:jc w:val="both"/>
        <w:rPr>
          <w:sz w:val="22"/>
          <w:szCs w:val="22"/>
        </w:rPr>
      </w:pPr>
    </w:p>
    <w:p w:rsidR="00496C8E" w:rsidRPr="00CB65C6" w:rsidRDefault="0028567F" w:rsidP="00106AAD">
      <w:pPr>
        <w:pStyle w:val="Nadpis4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Príznaky predávkovania</w:t>
      </w:r>
    </w:p>
    <w:p w:rsidR="007A4525" w:rsidRPr="00CB65C6" w:rsidRDefault="00523A3E" w:rsidP="007A4525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U väčšiny pacientov, ktorí požili klinicky významné množstvo NSAID, sa zaznamenala nauzea, zvracanie, bolesti brucha alebo zriedkavejšie hnačka. Môže sa objaviť aj tinitus a </w:t>
      </w:r>
      <w:r w:rsidR="00283899" w:rsidRPr="00CB65C6">
        <w:rPr>
          <w:sz w:val="22"/>
          <w:szCs w:val="22"/>
        </w:rPr>
        <w:t>bolesť hlavy</w:t>
      </w:r>
      <w:r w:rsidRPr="00CB65C6">
        <w:rPr>
          <w:sz w:val="22"/>
          <w:szCs w:val="22"/>
        </w:rPr>
        <w:t>. V závažnejších prípadoch predávkovania sa toxicita prejavuje poruchami CNS prejavujúce sa ako bolesť hlavy, závraty, ospalosť, hypotenzia, ojedinele excitácia, dezorientácia, kóma</w:t>
      </w:r>
      <w:r w:rsidR="00283899" w:rsidRPr="00CB65C6">
        <w:rPr>
          <w:sz w:val="22"/>
          <w:szCs w:val="22"/>
        </w:rPr>
        <w:t>,</w:t>
      </w:r>
      <w:r w:rsidRPr="00CB65C6">
        <w:rPr>
          <w:sz w:val="22"/>
          <w:szCs w:val="22"/>
        </w:rPr>
        <w:t xml:space="preserve"> či kŕče.</w:t>
      </w:r>
    </w:p>
    <w:p w:rsidR="00496C8E" w:rsidRPr="00CB65C6" w:rsidRDefault="00523A3E" w:rsidP="007A4525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lastRenderedPageBreak/>
        <w:t>Pri ťažkom predávkovaní sa môže objaviť metabolická acidóza a predĺženie protrombínového času pravdepodobne kvôli interferencii s účinkami cirkulujúcich faktorov zrážania krvi. Môže sa vyskytnúť tiež akútne zlyhanie obličiek a poškodenie pečene. U astmatikov môže dôjsť k exacerbácii astmy.</w:t>
      </w:r>
    </w:p>
    <w:p w:rsidR="00496C8E" w:rsidRPr="00CB65C6" w:rsidRDefault="00496C8E" w:rsidP="00B212B6">
      <w:pPr>
        <w:jc w:val="both"/>
        <w:rPr>
          <w:sz w:val="22"/>
          <w:szCs w:val="22"/>
        </w:rPr>
      </w:pPr>
    </w:p>
    <w:p w:rsidR="00496C8E" w:rsidRPr="00CB65C6" w:rsidRDefault="0028567F" w:rsidP="00106AAD">
      <w:pPr>
        <w:pStyle w:val="Nadpis4"/>
        <w:jc w:val="both"/>
        <w:rPr>
          <w:sz w:val="22"/>
          <w:szCs w:val="22"/>
        </w:rPr>
      </w:pPr>
      <w:r w:rsidRPr="00CB65C6">
        <w:rPr>
          <w:sz w:val="22"/>
          <w:szCs w:val="22"/>
        </w:rPr>
        <w:t>Liečba predávkovania</w:t>
      </w:r>
    </w:p>
    <w:p w:rsidR="00496C8E" w:rsidRPr="00CB65C6" w:rsidRDefault="00342BBB" w:rsidP="007A4525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Žiadne špeciálne antidotum neexistuje. Pacientov je nutné liečiť symptomaticky. Zahájte podpornú liečbu podľa potreby a zaistite priechodnosť dýchacích ciest a monitorovanie srdcovej činnosti a životných funkcií,</w:t>
      </w:r>
      <w:r w:rsidR="0028567F" w:rsidRPr="00CB65C6">
        <w:rPr>
          <w:sz w:val="22"/>
          <w:szCs w:val="22"/>
        </w:rPr>
        <w:t xml:space="preserve"> kým stav pacienta nebude stabilizovaný. Do 1 hodiny po požití potenciálne toxického množstva, podať aktívne uhlie alebo vykonať výplach žalúdka. Ďalšia liečba sa orientuje na udržanie vitálnych funkcií, k úprave rovnováhy vody a elektrolytov. V prípade častých alebo dlhších kŕčov je potreba tieto liečiť intravenózne podávaným diazepamom alebo lorazepamom. V prípade astmy poskytnite bronchodilatanciá.</w:t>
      </w:r>
    </w:p>
    <w:p w:rsidR="00496C8E" w:rsidRPr="00CB65C6" w:rsidRDefault="00496C8E" w:rsidP="00B212B6">
      <w:pPr>
        <w:jc w:val="both"/>
        <w:rPr>
          <w:sz w:val="22"/>
          <w:szCs w:val="22"/>
        </w:rPr>
      </w:pPr>
    </w:p>
    <w:p w:rsidR="00902E28" w:rsidRPr="00CB65C6" w:rsidRDefault="00902E28" w:rsidP="00B212B6">
      <w:pPr>
        <w:jc w:val="both"/>
        <w:rPr>
          <w:sz w:val="22"/>
          <w:szCs w:val="22"/>
        </w:rPr>
      </w:pPr>
    </w:p>
    <w:p w:rsidR="00496C8E" w:rsidRPr="00CB65C6" w:rsidRDefault="0028567F" w:rsidP="00B212B6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FARMAKOLOGICKÉ VLASTNOSTI</w:t>
      </w:r>
    </w:p>
    <w:p w:rsidR="00902E28" w:rsidRPr="00CB65C6" w:rsidRDefault="00902E28" w:rsidP="00B212B6">
      <w:pPr>
        <w:keepNext/>
        <w:jc w:val="both"/>
        <w:rPr>
          <w:b/>
          <w:bCs/>
          <w:sz w:val="22"/>
          <w:szCs w:val="22"/>
        </w:rPr>
      </w:pPr>
    </w:p>
    <w:p w:rsidR="00496C8E" w:rsidRPr="00CB65C6" w:rsidRDefault="0028567F" w:rsidP="00B212B6">
      <w:pPr>
        <w:keepNext/>
        <w:jc w:val="both"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5.1</w:t>
      </w:r>
      <w:r w:rsidRPr="00CB65C6">
        <w:rPr>
          <w:b/>
          <w:bCs/>
          <w:sz w:val="22"/>
          <w:szCs w:val="22"/>
        </w:rPr>
        <w:tab/>
        <w:t>Farmakodynamické vlastnosti</w:t>
      </w:r>
    </w:p>
    <w:p w:rsidR="00902E28" w:rsidRPr="00CB65C6" w:rsidRDefault="00902E28" w:rsidP="00B212B6">
      <w:pPr>
        <w:keepNext/>
        <w:jc w:val="both"/>
        <w:rPr>
          <w:sz w:val="22"/>
          <w:szCs w:val="22"/>
        </w:rPr>
      </w:pPr>
    </w:p>
    <w:p w:rsidR="00496C8E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b/>
          <w:sz w:val="22"/>
          <w:szCs w:val="22"/>
        </w:rPr>
        <w:t>Farmakoterapeutická skupina:</w:t>
      </w:r>
      <w:r w:rsidRPr="00CB65C6">
        <w:rPr>
          <w:sz w:val="22"/>
          <w:szCs w:val="22"/>
        </w:rPr>
        <w:t xml:space="preserve"> antiflogistiká a antireumatiká, deriváty kyseliny propiónovej</w:t>
      </w:r>
    </w:p>
    <w:p w:rsidR="00496C8E" w:rsidRPr="00CB65C6" w:rsidRDefault="0028567F" w:rsidP="00B212B6">
      <w:pPr>
        <w:jc w:val="both"/>
        <w:rPr>
          <w:sz w:val="22"/>
          <w:szCs w:val="22"/>
        </w:rPr>
      </w:pPr>
      <w:r w:rsidRPr="00CB65C6">
        <w:rPr>
          <w:b/>
          <w:sz w:val="22"/>
          <w:szCs w:val="22"/>
        </w:rPr>
        <w:t>ATC kód:</w:t>
      </w:r>
      <w:r w:rsidRPr="00CB65C6">
        <w:rPr>
          <w:sz w:val="22"/>
          <w:szCs w:val="22"/>
        </w:rPr>
        <w:t xml:space="preserve"> M01AE01</w:t>
      </w:r>
    </w:p>
    <w:p w:rsidR="00496C8E" w:rsidRPr="00CB65C6" w:rsidRDefault="00496C8E" w:rsidP="00B212B6">
      <w:pPr>
        <w:jc w:val="both"/>
        <w:rPr>
          <w:sz w:val="22"/>
          <w:szCs w:val="22"/>
        </w:rPr>
      </w:pPr>
    </w:p>
    <w:p w:rsidR="00496C8E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Ibuprofén je derivát kyseliny </w:t>
      </w:r>
      <w:r w:rsidR="00CB65C6" w:rsidRPr="00CB65C6">
        <w:rPr>
          <w:sz w:val="22"/>
          <w:szCs w:val="22"/>
        </w:rPr>
        <w:t>propiónovej</w:t>
      </w:r>
      <w:r w:rsidRPr="00CB65C6">
        <w:rPr>
          <w:sz w:val="22"/>
          <w:szCs w:val="22"/>
        </w:rPr>
        <w:t xml:space="preserve">. Je to nesteroidové antireumatikum s analgetickým, antipyretickým a antiflogistickým účinkom. </w:t>
      </w:r>
    </w:p>
    <w:p w:rsidR="00106AAD" w:rsidRPr="00CB65C6" w:rsidRDefault="00106AAD" w:rsidP="00FE14F2">
      <w:pPr>
        <w:jc w:val="both"/>
        <w:rPr>
          <w:sz w:val="22"/>
          <w:szCs w:val="22"/>
        </w:rPr>
      </w:pPr>
    </w:p>
    <w:p w:rsidR="00496C8E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Podobne, ako pri ostatných NSAID, účinok je daný inhibíciou cyklooxygenázy s následnou inhibíciou syntézy prostaglandínov.</w:t>
      </w:r>
    </w:p>
    <w:p w:rsidR="00106AAD" w:rsidRPr="00CB65C6" w:rsidRDefault="00106AAD" w:rsidP="00FE14F2">
      <w:pPr>
        <w:jc w:val="both"/>
        <w:rPr>
          <w:sz w:val="22"/>
          <w:szCs w:val="22"/>
        </w:rPr>
      </w:pPr>
    </w:p>
    <w:p w:rsidR="00496C8E" w:rsidRPr="00CB65C6" w:rsidRDefault="0028567F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Ibuprofén znižuje uvoľňovanie mediátorov zápalu zo žírnych buniek, granulocytov a bazofilov, a tým zmierňuje zápal. Znižuje tiež citlivosť ciev voči bradykinínu a histamínu, potláča vazodilatáciu a znižuje agregáciu trombocytov.</w:t>
      </w:r>
    </w:p>
    <w:p w:rsidR="00106AAD" w:rsidRPr="00CB65C6" w:rsidRDefault="00106AAD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44950" w:rsidRPr="00CB65C6" w:rsidRDefault="00523A3E" w:rsidP="00FE14F2">
      <w:pPr>
        <w:pStyle w:val="SmPCText"/>
        <w:spacing w:before="0" w:after="0" w:line="240" w:lineRule="auto"/>
        <w:ind w:left="0"/>
        <w:rPr>
          <w:lang w:val="sk-SK"/>
        </w:rPr>
      </w:pPr>
      <w:r w:rsidRPr="00CB65C6">
        <w:rPr>
          <w:lang w:val="sk-SK"/>
        </w:rPr>
        <w:t>Klinická účinnosť ibuprof</w:t>
      </w:r>
      <w:r w:rsidR="00981C91" w:rsidRPr="00CB65C6">
        <w:rPr>
          <w:lang w:val="sk-SK"/>
        </w:rPr>
        <w:t>é</w:t>
      </w:r>
      <w:r w:rsidRPr="00CB65C6">
        <w:rPr>
          <w:lang w:val="sk-SK"/>
        </w:rPr>
        <w:t>nu bola dokázaná pri liečbe miernych až stredne silných bolestí, napríklad bolestí pri raste zubov, bolestí zubov, hlavy, uší, bolestí hrdla, pooperačných bolestí, bolestí pri poraneniach mäkkých tkanív a tiež horúčky, vrátane pyrexie po imunizácii, a pri liečbe bolestí a horúčky pri nádche a chrípke.</w:t>
      </w:r>
    </w:p>
    <w:p w:rsidR="00642881" w:rsidRPr="00CB65C6" w:rsidRDefault="00642881" w:rsidP="00FE14F2">
      <w:pPr>
        <w:pStyle w:val="SmPCText"/>
        <w:spacing w:before="0" w:after="0" w:line="240" w:lineRule="auto"/>
        <w:ind w:left="0"/>
        <w:rPr>
          <w:lang w:val="sk-SK"/>
        </w:rPr>
      </w:pPr>
    </w:p>
    <w:p w:rsidR="002610C9" w:rsidRPr="00CB65C6" w:rsidRDefault="0028567F" w:rsidP="00106AAD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CB65C6">
        <w:rPr>
          <w:color w:val="000000"/>
          <w:sz w:val="22"/>
          <w:szCs w:val="22"/>
          <w:lang w:eastAsia="sk-SK"/>
        </w:rPr>
        <w:t xml:space="preserve">Experimentálne údaje naznačujú, že ibuprofén môže inhibovať účinok nízkej dávky kyseliny acetylsalicylovej na agregáciu doštičiek, keď sa podávajú súčasne. V jednej štúdii, keď sa jednotlivá dávka 400 mg ibuprofénu podala buď 8 hodín pred podaním kyseliny acetylsalicylovej na okamžité uvoľnenie (81 mg), alebo do 30 minút po jeho podávaní, došlo k zníženému účinku ASA na tvorbu tromboxanu alebo k agregácii trombocytov. Avšak limitácie týchto údajov a neistoty extrapolácie údajov </w:t>
      </w:r>
      <w:r w:rsidRPr="00CB65C6">
        <w:rPr>
          <w:i/>
          <w:color w:val="000000"/>
          <w:sz w:val="22"/>
          <w:szCs w:val="22"/>
          <w:lang w:eastAsia="sk-SK"/>
        </w:rPr>
        <w:t>ex vivo</w:t>
      </w:r>
      <w:r w:rsidRPr="00CB65C6">
        <w:rPr>
          <w:color w:val="000000"/>
          <w:sz w:val="22"/>
          <w:szCs w:val="22"/>
          <w:lang w:eastAsia="sk-SK"/>
        </w:rPr>
        <w:t xml:space="preserve"> na klinickú situáciu znamenajú, že žiadne jednoznačné závery nie je možné urobiť pre pravidelné užívanie ibuprofénu, a žiadny klinicky významný účinok sa nepovažuje za pravdepodobný pre príležitostné použitie ibuprofénu.</w:t>
      </w:r>
    </w:p>
    <w:p w:rsidR="00D83C4B" w:rsidRPr="00CB65C6" w:rsidRDefault="00D83C4B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5.2</w:t>
      </w:r>
      <w:r w:rsidRPr="00CB65C6">
        <w:rPr>
          <w:b/>
          <w:bCs/>
          <w:sz w:val="22"/>
          <w:szCs w:val="22"/>
        </w:rPr>
        <w:tab/>
        <w:t>Farmakokinetické vlastnosti</w:t>
      </w:r>
    </w:p>
    <w:p w:rsidR="00902E28" w:rsidRPr="00CB65C6" w:rsidRDefault="00902E2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CB65C6" w:rsidRDefault="0028567F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Ibuprofén sa po perorálnom podaní rýchlo absorbuje z gastrointestinálneho traktu. Maximálne plazmatické koncentrácie sa dosahujú za 1 – 2 hodiny po podaní. Ibuprofén sa reverzibilne viaže na plazmatické proteíny. Biologický polčas eliminácie je približne 2 hod.</w:t>
      </w:r>
    </w:p>
    <w:p w:rsidR="00106AAD" w:rsidRPr="00CB65C6" w:rsidRDefault="00106AAD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496C8E" w:rsidRPr="00CB65C6" w:rsidRDefault="0028567F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Ibuprofén sa rýchlo metabolizuje v pečeni na dva inaktívne metabolity. Vylučuje sa obličkami predovšetkým vo forme metabolitov alebo ich konjugátov.</w:t>
      </w:r>
    </w:p>
    <w:p w:rsidR="00496C8E" w:rsidRPr="00CB65C6" w:rsidRDefault="00496C8E" w:rsidP="00175AEB">
      <w:pPr>
        <w:keepNext/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5.3</w:t>
      </w:r>
      <w:r w:rsidRPr="00CB65C6">
        <w:rPr>
          <w:b/>
          <w:bCs/>
          <w:sz w:val="22"/>
          <w:szCs w:val="22"/>
        </w:rPr>
        <w:tab/>
        <w:t>Predklinické údaje o bezpečnosti</w:t>
      </w:r>
    </w:p>
    <w:p w:rsidR="00106AAD" w:rsidRPr="00CB65C6" w:rsidRDefault="00106AAD" w:rsidP="00175AEB">
      <w:pPr>
        <w:keepNext/>
        <w:rPr>
          <w:b/>
          <w:bCs/>
          <w:sz w:val="22"/>
          <w:szCs w:val="22"/>
        </w:rPr>
      </w:pPr>
    </w:p>
    <w:p w:rsidR="00C44950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Toxicita ibuprofénu v experimentoch na zvieracích modeloch sa prejavovala léziami a ulceráciou gastrointestinálneho traktu. Ibuprofén nevykázal mutagénny potenciál </w:t>
      </w:r>
      <w:r w:rsidRPr="00CB65C6">
        <w:rPr>
          <w:i/>
          <w:sz w:val="22"/>
          <w:szCs w:val="22"/>
        </w:rPr>
        <w:t>in vitro</w:t>
      </w:r>
      <w:r w:rsidRPr="00CB65C6">
        <w:rPr>
          <w:sz w:val="22"/>
          <w:szCs w:val="22"/>
        </w:rPr>
        <w:t xml:space="preserve"> a nebol karcinogénny pre potkany a myši. V experimentálnych štúdiách sa dokázalo, že ibuprofén prechádza placentárnou bariérou, neexistujú však žiadne dôkazy o jeho teratogénnom pôsobení.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902E28" w:rsidRPr="00CB65C6" w:rsidRDefault="00902E28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</w:t>
      </w:r>
      <w:r w:rsidRPr="00CB65C6">
        <w:rPr>
          <w:b/>
          <w:bCs/>
          <w:sz w:val="22"/>
          <w:szCs w:val="22"/>
        </w:rPr>
        <w:tab/>
        <w:t>FARMACEUTICKÉ INFORMÁCIE</w:t>
      </w:r>
    </w:p>
    <w:p w:rsidR="00902E28" w:rsidRPr="00CB65C6" w:rsidRDefault="00902E28" w:rsidP="00175AEB">
      <w:pPr>
        <w:keepNext/>
        <w:rPr>
          <w:b/>
          <w:bCs/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6.1</w:t>
      </w:r>
      <w:r w:rsidRPr="00CB65C6">
        <w:rPr>
          <w:b/>
          <w:bCs/>
          <w:sz w:val="22"/>
          <w:szCs w:val="22"/>
        </w:rPr>
        <w:tab/>
        <w:t>Zoznam pomocných látok</w:t>
      </w:r>
    </w:p>
    <w:p w:rsidR="00902E28" w:rsidRPr="00CB65C6" w:rsidRDefault="00902E28" w:rsidP="00175AEB">
      <w:pPr>
        <w:keepNext/>
        <w:rPr>
          <w:sz w:val="22"/>
          <w:szCs w:val="22"/>
        </w:rPr>
      </w:pPr>
    </w:p>
    <w:p w:rsidR="00A41EE0" w:rsidRPr="00CB65C6" w:rsidRDefault="00B948F9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kyselin</w:t>
      </w:r>
      <w:r w:rsidR="00A41EE0" w:rsidRPr="00CB65C6">
        <w:rPr>
          <w:sz w:val="22"/>
          <w:szCs w:val="22"/>
        </w:rPr>
        <w:t>a</w:t>
      </w:r>
      <w:r w:rsidRPr="00CB65C6">
        <w:rPr>
          <w:sz w:val="22"/>
          <w:szCs w:val="22"/>
        </w:rPr>
        <w:t xml:space="preserve"> citrónov</w:t>
      </w:r>
      <w:r w:rsidR="00A41EE0" w:rsidRPr="00CB65C6">
        <w:rPr>
          <w:sz w:val="22"/>
          <w:szCs w:val="22"/>
        </w:rPr>
        <w:t>á</w:t>
      </w:r>
      <w:r w:rsidR="00342BBB" w:rsidRPr="00CB65C6">
        <w:rPr>
          <w:sz w:val="22"/>
          <w:szCs w:val="22"/>
        </w:rPr>
        <w:t xml:space="preserve">, </w:t>
      </w:r>
      <w:r w:rsidR="00A41EE0" w:rsidRPr="00CB65C6">
        <w:rPr>
          <w:sz w:val="22"/>
          <w:szCs w:val="22"/>
        </w:rPr>
        <w:t>monohydrát</w:t>
      </w:r>
    </w:p>
    <w:p w:rsidR="00A41EE0" w:rsidRPr="00CB65C6" w:rsidRDefault="00B948F9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citronan sodn</w:t>
      </w:r>
      <w:r w:rsidR="00A41EE0" w:rsidRPr="00CB65C6">
        <w:rPr>
          <w:sz w:val="22"/>
          <w:szCs w:val="22"/>
        </w:rPr>
        <w:t>ý</w:t>
      </w:r>
      <w:r w:rsidR="00342BBB" w:rsidRPr="00CB65C6">
        <w:rPr>
          <w:sz w:val="22"/>
          <w:szCs w:val="22"/>
        </w:rPr>
        <w:t xml:space="preserve">, </w:t>
      </w:r>
      <w:r w:rsidR="00A41EE0" w:rsidRPr="00CB65C6">
        <w:rPr>
          <w:sz w:val="22"/>
          <w:szCs w:val="22"/>
        </w:rPr>
        <w:t>dihydrát</w:t>
      </w:r>
    </w:p>
    <w:p w:rsidR="00A41EE0" w:rsidRPr="00CB65C6" w:rsidRDefault="00B948F9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chlorid sodný</w:t>
      </w:r>
    </w:p>
    <w:p w:rsidR="00CF77B0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sacharín</w:t>
      </w:r>
      <w:r w:rsidR="00A41EE0" w:rsidRPr="00CB65C6">
        <w:rPr>
          <w:sz w:val="22"/>
          <w:szCs w:val="22"/>
        </w:rPr>
        <w:t>, sodná soľ, dihydrát</w:t>
      </w:r>
    </w:p>
    <w:p w:rsidR="00A41EE0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domiféniumbromid</w:t>
      </w:r>
    </w:p>
    <w:p w:rsidR="00A41EE0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 xml:space="preserve">polysorbát </w:t>
      </w:r>
      <w:r w:rsidR="00342BBB" w:rsidRPr="00CB65C6">
        <w:rPr>
          <w:sz w:val="22"/>
          <w:szCs w:val="22"/>
        </w:rPr>
        <w:t>80</w:t>
      </w:r>
    </w:p>
    <w:p w:rsidR="00A41EE0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maltitolový sirup</w:t>
      </w:r>
    </w:p>
    <w:p w:rsidR="00A41EE0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xantánová guma</w:t>
      </w:r>
    </w:p>
    <w:p w:rsidR="00A41EE0" w:rsidRPr="00CB65C6" w:rsidRDefault="00F82DAE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pomarančová</w:t>
      </w:r>
      <w:r w:rsidR="00873A13" w:rsidRPr="00CB65C6">
        <w:rPr>
          <w:sz w:val="22"/>
          <w:szCs w:val="22"/>
        </w:rPr>
        <w:t xml:space="preserve"> aróma</w:t>
      </w:r>
    </w:p>
    <w:p w:rsidR="00A41EE0" w:rsidRPr="00CB65C6" w:rsidRDefault="00342BBB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glycerol</w:t>
      </w:r>
    </w:p>
    <w:p w:rsidR="00496C8E" w:rsidRPr="00CB65C6" w:rsidRDefault="00873A13" w:rsidP="00106AAD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čistená voda</w:t>
      </w:r>
    </w:p>
    <w:p w:rsidR="00496C8E" w:rsidRPr="00CB65C6" w:rsidRDefault="00496C8E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6.2</w:t>
      </w:r>
      <w:r w:rsidRPr="00CB65C6">
        <w:rPr>
          <w:b/>
          <w:bCs/>
          <w:sz w:val="22"/>
          <w:szCs w:val="22"/>
        </w:rPr>
        <w:tab/>
      </w:r>
      <w:r w:rsidRPr="00CB65C6">
        <w:rPr>
          <w:b/>
          <w:bCs/>
          <w:sz w:val="22"/>
          <w:szCs w:val="22"/>
        </w:rPr>
        <w:tab/>
        <w:t>Inkompatibility</w:t>
      </w:r>
    </w:p>
    <w:p w:rsidR="00E90EDA" w:rsidRPr="00CB65C6" w:rsidRDefault="00E90EDA" w:rsidP="00175AEB">
      <w:pPr>
        <w:pStyle w:val="Zarkazkladnhotextu"/>
        <w:keepNext/>
        <w:ind w:left="0"/>
        <w:rPr>
          <w:sz w:val="22"/>
          <w:szCs w:val="22"/>
        </w:rPr>
      </w:pPr>
    </w:p>
    <w:p w:rsidR="00496C8E" w:rsidRPr="00CB65C6" w:rsidRDefault="0028567F" w:rsidP="00FE14F2">
      <w:pPr>
        <w:pStyle w:val="Zarkazkladnhotextu"/>
        <w:ind w:left="0"/>
        <w:rPr>
          <w:sz w:val="22"/>
          <w:szCs w:val="22"/>
        </w:rPr>
      </w:pPr>
      <w:r w:rsidRPr="00CB65C6">
        <w:rPr>
          <w:sz w:val="22"/>
          <w:szCs w:val="22"/>
        </w:rPr>
        <w:t>Neaplikovateľné.</w:t>
      </w:r>
    </w:p>
    <w:p w:rsidR="00B17DC8" w:rsidRPr="00CB65C6" w:rsidRDefault="00B17DC8" w:rsidP="00FE14F2">
      <w:pPr>
        <w:pStyle w:val="Nadpis7"/>
        <w:ind w:left="0"/>
        <w:rPr>
          <w:sz w:val="22"/>
          <w:szCs w:val="22"/>
        </w:rPr>
      </w:pPr>
    </w:p>
    <w:p w:rsidR="00496C8E" w:rsidRPr="00CB65C6" w:rsidRDefault="0028567F" w:rsidP="00175AEB">
      <w:pPr>
        <w:pStyle w:val="Nadpis7"/>
        <w:ind w:left="0"/>
        <w:rPr>
          <w:sz w:val="22"/>
          <w:szCs w:val="22"/>
        </w:rPr>
      </w:pPr>
      <w:r w:rsidRPr="00CB65C6">
        <w:rPr>
          <w:sz w:val="22"/>
          <w:szCs w:val="22"/>
        </w:rPr>
        <w:t>6.3</w:t>
      </w:r>
      <w:r w:rsidRPr="00CB65C6">
        <w:rPr>
          <w:sz w:val="22"/>
          <w:szCs w:val="22"/>
        </w:rPr>
        <w:tab/>
        <w:t>Čas použiteľnosti</w:t>
      </w:r>
    </w:p>
    <w:p w:rsidR="00E90EDA" w:rsidRPr="00CB65C6" w:rsidRDefault="00E90EDA" w:rsidP="00175AEB">
      <w:pPr>
        <w:keepNext/>
        <w:rPr>
          <w:sz w:val="22"/>
          <w:szCs w:val="22"/>
        </w:rPr>
      </w:pP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3 roky</w:t>
      </w:r>
    </w:p>
    <w:p w:rsidR="00106AAD" w:rsidRPr="00CB65C6" w:rsidRDefault="00106AAD" w:rsidP="00FE14F2">
      <w:pPr>
        <w:rPr>
          <w:sz w:val="22"/>
          <w:szCs w:val="22"/>
        </w:rPr>
      </w:pPr>
    </w:p>
    <w:p w:rsidR="00C44950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Po prvom otvorení 6 mesiacov.</w:t>
      </w:r>
    </w:p>
    <w:p w:rsidR="00496C8E" w:rsidRPr="00CB65C6" w:rsidRDefault="00496C8E" w:rsidP="00FE14F2">
      <w:pPr>
        <w:rPr>
          <w:b/>
          <w:bCs/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6.4</w:t>
      </w:r>
      <w:r w:rsidRPr="00CB65C6">
        <w:rPr>
          <w:b/>
          <w:bCs/>
          <w:sz w:val="22"/>
          <w:szCs w:val="22"/>
        </w:rPr>
        <w:tab/>
        <w:t xml:space="preserve">Špeciálne upozornenia na uchovávanie </w:t>
      </w:r>
    </w:p>
    <w:p w:rsidR="00106AAD" w:rsidRPr="00CB65C6" w:rsidRDefault="00106AAD" w:rsidP="00175AEB">
      <w:pPr>
        <w:keepNext/>
        <w:rPr>
          <w:b/>
          <w:bCs/>
          <w:sz w:val="22"/>
          <w:szCs w:val="22"/>
        </w:rPr>
      </w:pPr>
    </w:p>
    <w:p w:rsidR="00C44950" w:rsidRPr="00CB65C6" w:rsidRDefault="0028567F" w:rsidP="00FE14F2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Tento liek nevyžaduje zvláštne podmienky uchovávania.</w:t>
      </w:r>
    </w:p>
    <w:p w:rsidR="00496C8E" w:rsidRPr="00CB65C6" w:rsidRDefault="00496C8E" w:rsidP="00FE14F2">
      <w:pPr>
        <w:rPr>
          <w:b/>
          <w:bCs/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6.5</w:t>
      </w:r>
      <w:r w:rsidRPr="00CB65C6">
        <w:rPr>
          <w:b/>
          <w:bCs/>
          <w:sz w:val="22"/>
          <w:szCs w:val="22"/>
        </w:rPr>
        <w:tab/>
        <w:t>Druh obalu a obsah balenia</w:t>
      </w:r>
    </w:p>
    <w:p w:rsidR="00E90EDA" w:rsidRPr="00CB65C6" w:rsidRDefault="00E90EDA" w:rsidP="00175AEB">
      <w:pPr>
        <w:keepNext/>
        <w:rPr>
          <w:sz w:val="22"/>
          <w:szCs w:val="22"/>
        </w:rPr>
      </w:pPr>
    </w:p>
    <w:p w:rsidR="00496C8E" w:rsidRPr="00CB65C6" w:rsidRDefault="0028567F" w:rsidP="008E5AEB">
      <w:pPr>
        <w:tabs>
          <w:tab w:val="left" w:pos="0"/>
          <w:tab w:val="left" w:pos="426"/>
        </w:tabs>
        <w:ind w:left="284" w:hanging="284"/>
        <w:rPr>
          <w:sz w:val="22"/>
          <w:szCs w:val="22"/>
        </w:rPr>
      </w:pPr>
      <w:r w:rsidRPr="00CB65C6">
        <w:rPr>
          <w:sz w:val="22"/>
          <w:szCs w:val="22"/>
        </w:rPr>
        <w:t>1)</w:t>
      </w:r>
      <w:r w:rsidRPr="00CB65C6">
        <w:rPr>
          <w:sz w:val="22"/>
          <w:szCs w:val="22"/>
        </w:rPr>
        <w:tab/>
        <w:t>hnedá PET fľaštička so skrutkovacím uzáverom opatrená detskou poistkou a PE vložkou, odmerná lyžička na 2,5 a 5 ml, písomná informácia pre používateľa, papierová škatuľka</w:t>
      </w:r>
    </w:p>
    <w:p w:rsidR="00496C8E" w:rsidRPr="00CB65C6" w:rsidRDefault="0028567F" w:rsidP="002C2624">
      <w:pPr>
        <w:tabs>
          <w:tab w:val="left" w:pos="-142"/>
        </w:tabs>
        <w:ind w:left="284" w:hanging="284"/>
        <w:rPr>
          <w:sz w:val="22"/>
          <w:szCs w:val="22"/>
        </w:rPr>
      </w:pPr>
      <w:r w:rsidRPr="00CB65C6">
        <w:rPr>
          <w:sz w:val="22"/>
          <w:szCs w:val="22"/>
        </w:rPr>
        <w:t>2)</w:t>
      </w:r>
      <w:r w:rsidRPr="00CB65C6">
        <w:rPr>
          <w:sz w:val="22"/>
          <w:szCs w:val="22"/>
        </w:rPr>
        <w:tab/>
        <w:t>hnedá PET fľaštička so skrutkovacím uzáverom opatrená detskou poistkou a PE vložkou, dávkovacia trubička, písomná informácia pre používateľa, papierová škatuľka.</w:t>
      </w:r>
    </w:p>
    <w:p w:rsidR="0067433A" w:rsidRPr="00CB65C6" w:rsidRDefault="0067433A" w:rsidP="00FE14F2">
      <w:pPr>
        <w:rPr>
          <w:sz w:val="22"/>
          <w:szCs w:val="22"/>
        </w:rPr>
      </w:pP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Balenie: 50 ml, 100 ml, 150 ml alebo 200 ml.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67433A" w:rsidRPr="00CB65C6" w:rsidRDefault="0028567F" w:rsidP="0067433A">
      <w:pPr>
        <w:jc w:val="both"/>
        <w:rPr>
          <w:sz w:val="22"/>
          <w:szCs w:val="22"/>
        </w:rPr>
      </w:pPr>
      <w:r w:rsidRPr="00CB65C6">
        <w:rPr>
          <w:sz w:val="22"/>
          <w:szCs w:val="22"/>
        </w:rPr>
        <w:t>Na trh nemusia byť uvedené všetky veľkosti balenia.</w:t>
      </w:r>
    </w:p>
    <w:p w:rsidR="0067433A" w:rsidRPr="00CB65C6" w:rsidRDefault="0067433A" w:rsidP="00FE14F2">
      <w:pPr>
        <w:rPr>
          <w:sz w:val="22"/>
          <w:szCs w:val="22"/>
        </w:rPr>
      </w:pPr>
    </w:p>
    <w:p w:rsidR="00496C8E" w:rsidRPr="00CB65C6" w:rsidRDefault="0028567F" w:rsidP="00175AEB">
      <w:pPr>
        <w:keepNext/>
        <w:rPr>
          <w:b/>
          <w:bCs/>
          <w:sz w:val="22"/>
          <w:szCs w:val="22"/>
        </w:rPr>
      </w:pPr>
      <w:r w:rsidRPr="00CB65C6">
        <w:rPr>
          <w:b/>
          <w:bCs/>
          <w:sz w:val="22"/>
          <w:szCs w:val="22"/>
        </w:rPr>
        <w:t>6.6</w:t>
      </w:r>
      <w:r w:rsidRPr="00CB65C6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E90EDA" w:rsidRPr="00CB65C6" w:rsidRDefault="00E90EDA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CB65C6" w:rsidRDefault="0028567F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CB65C6">
        <w:rPr>
          <w:rFonts w:ascii="Times New Roman" w:hAnsi="Times New Roman" w:cs="Times New Roman"/>
          <w:sz w:val="22"/>
          <w:szCs w:val="22"/>
        </w:rPr>
        <w:t>Na perorálne užívanie. Pred použitím zatrepať.</w:t>
      </w:r>
    </w:p>
    <w:p w:rsidR="00106AAD" w:rsidRPr="00CB65C6" w:rsidRDefault="00106AAD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96C8E" w:rsidRPr="00CB65C6" w:rsidRDefault="0028567F" w:rsidP="00106AAD">
      <w:pPr>
        <w:keepNext/>
        <w:rPr>
          <w:b/>
          <w:sz w:val="22"/>
          <w:szCs w:val="22"/>
        </w:rPr>
      </w:pPr>
      <w:r w:rsidRPr="00CB65C6">
        <w:rPr>
          <w:b/>
          <w:sz w:val="22"/>
          <w:szCs w:val="22"/>
        </w:rPr>
        <w:lastRenderedPageBreak/>
        <w:t>Použitie dávkovacej trubičky:</w:t>
      </w:r>
    </w:p>
    <w:p w:rsidR="00496C8E" w:rsidRPr="00CB65C6" w:rsidRDefault="0028567F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CB65C6">
        <w:rPr>
          <w:sz w:val="22"/>
          <w:szCs w:val="22"/>
        </w:rPr>
        <w:t>Zatlačte trubičku pevne do hrdla fľaštičky.</w:t>
      </w:r>
    </w:p>
    <w:p w:rsidR="00496C8E" w:rsidRPr="00CB65C6" w:rsidRDefault="0028567F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CB65C6">
        <w:rPr>
          <w:sz w:val="22"/>
          <w:szCs w:val="22"/>
        </w:rPr>
        <w:t>Obsah fľaštičky dobre zatrepte.</w:t>
      </w:r>
    </w:p>
    <w:p w:rsidR="00496C8E" w:rsidRPr="00CB65C6" w:rsidRDefault="0028567F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CB65C6">
        <w:rPr>
          <w:sz w:val="22"/>
          <w:szCs w:val="22"/>
        </w:rPr>
        <w:t>K naplneniu dávkovacej trubičky otočte fľaštičku hore dnom a vyťahovaním piestu natiahnite do trubičky požadované množstvo suspenzie podľa značenia na trubičke.</w:t>
      </w:r>
    </w:p>
    <w:p w:rsidR="00496C8E" w:rsidRPr="00CB65C6" w:rsidRDefault="0028567F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CB65C6">
        <w:rPr>
          <w:sz w:val="22"/>
          <w:szCs w:val="22"/>
        </w:rPr>
        <w:t>Otočte fľaštičku opäť hrdlom nahor a vytiahnite trubičku z hrdla fľaštičky.</w:t>
      </w:r>
    </w:p>
    <w:p w:rsidR="00496C8E" w:rsidRPr="00CB65C6" w:rsidRDefault="0028567F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CB65C6">
        <w:rPr>
          <w:sz w:val="22"/>
          <w:szCs w:val="22"/>
        </w:rPr>
        <w:t>Koniec dávkovacej trubičky vložte do úst dieťaťa a jemným tlakom na piest vložte suspenziu do úst dieťaťa.</w:t>
      </w:r>
    </w:p>
    <w:p w:rsidR="00496C8E" w:rsidRPr="00CB65C6" w:rsidRDefault="00496C8E" w:rsidP="00FE14F2">
      <w:pPr>
        <w:rPr>
          <w:sz w:val="22"/>
          <w:szCs w:val="22"/>
        </w:rPr>
      </w:pPr>
    </w:p>
    <w:p w:rsidR="00E90EDA" w:rsidRPr="00CB65C6" w:rsidRDefault="00E90EDA" w:rsidP="00FE14F2">
      <w:pPr>
        <w:rPr>
          <w:sz w:val="22"/>
          <w:szCs w:val="22"/>
        </w:rPr>
      </w:pPr>
    </w:p>
    <w:p w:rsidR="00E90EDA" w:rsidRPr="00CB65C6" w:rsidRDefault="0028567F" w:rsidP="00175AEB">
      <w:pPr>
        <w:keepNext/>
        <w:rPr>
          <w:b/>
          <w:bCs/>
          <w:caps/>
          <w:sz w:val="22"/>
          <w:szCs w:val="22"/>
        </w:rPr>
      </w:pPr>
      <w:r w:rsidRPr="00CB65C6">
        <w:rPr>
          <w:b/>
          <w:bCs/>
          <w:sz w:val="22"/>
          <w:szCs w:val="22"/>
        </w:rPr>
        <w:t>7.</w:t>
      </w:r>
      <w:r w:rsidRPr="00CB65C6">
        <w:rPr>
          <w:b/>
          <w:bCs/>
          <w:sz w:val="22"/>
          <w:szCs w:val="22"/>
        </w:rPr>
        <w:tab/>
      </w:r>
      <w:r w:rsidRPr="00CB65C6">
        <w:rPr>
          <w:b/>
          <w:bCs/>
          <w:caps/>
          <w:sz w:val="22"/>
          <w:szCs w:val="22"/>
        </w:rPr>
        <w:t>Držiteľ rozhodnutia o registrácii</w:t>
      </w:r>
    </w:p>
    <w:p w:rsidR="00E46C4D" w:rsidRPr="00CB65C6" w:rsidRDefault="00E46C4D" w:rsidP="00175AEB">
      <w:pPr>
        <w:keepNext/>
        <w:rPr>
          <w:b/>
          <w:bCs/>
          <w:sz w:val="22"/>
          <w:szCs w:val="22"/>
        </w:rPr>
      </w:pPr>
    </w:p>
    <w:p w:rsidR="00621544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Reckitt Benckiser Healthcare International Ltd.</w:t>
      </w:r>
    </w:p>
    <w:p w:rsidR="00621544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 xml:space="preserve">103-105 Bath Road </w:t>
      </w:r>
    </w:p>
    <w:p w:rsidR="00621544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SL1 3UH Slough</w:t>
      </w:r>
    </w:p>
    <w:p w:rsidR="00496C8E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Veľká Británia</w:t>
      </w:r>
    </w:p>
    <w:p w:rsidR="00496C8E" w:rsidRPr="00CB65C6" w:rsidRDefault="00496C8E" w:rsidP="00FE14F2">
      <w:pPr>
        <w:rPr>
          <w:sz w:val="22"/>
          <w:szCs w:val="22"/>
        </w:rPr>
      </w:pPr>
    </w:p>
    <w:p w:rsidR="00E90EDA" w:rsidRPr="00CB65C6" w:rsidRDefault="00E90EDA" w:rsidP="00FE14F2">
      <w:pPr>
        <w:rPr>
          <w:sz w:val="22"/>
          <w:szCs w:val="22"/>
        </w:rPr>
      </w:pPr>
    </w:p>
    <w:p w:rsidR="00E90EDA" w:rsidRPr="00CB65C6" w:rsidRDefault="0028567F" w:rsidP="00175AEB">
      <w:pPr>
        <w:keepNext/>
        <w:rPr>
          <w:b/>
          <w:bCs/>
          <w:caps/>
          <w:sz w:val="22"/>
          <w:szCs w:val="22"/>
        </w:rPr>
      </w:pPr>
      <w:r w:rsidRPr="00CB65C6">
        <w:rPr>
          <w:b/>
          <w:bCs/>
          <w:sz w:val="22"/>
          <w:szCs w:val="22"/>
        </w:rPr>
        <w:t>8</w:t>
      </w:r>
      <w:r w:rsidRPr="00CB65C6">
        <w:rPr>
          <w:b/>
          <w:bCs/>
          <w:caps/>
          <w:sz w:val="22"/>
          <w:szCs w:val="22"/>
        </w:rPr>
        <w:t>.</w:t>
      </w:r>
      <w:r w:rsidRPr="00CB65C6">
        <w:rPr>
          <w:b/>
          <w:bCs/>
          <w:caps/>
          <w:sz w:val="22"/>
          <w:szCs w:val="22"/>
        </w:rPr>
        <w:tab/>
        <w:t>Registračné číslo</w:t>
      </w:r>
    </w:p>
    <w:p w:rsidR="00E90EDA" w:rsidRPr="00CB65C6" w:rsidRDefault="00E90EDA" w:rsidP="00175AEB">
      <w:pPr>
        <w:keepNext/>
        <w:rPr>
          <w:b/>
          <w:bCs/>
          <w:sz w:val="22"/>
          <w:szCs w:val="22"/>
        </w:rPr>
      </w:pPr>
    </w:p>
    <w:p w:rsidR="00A25B99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29/0179/00-S</w:t>
      </w:r>
    </w:p>
    <w:p w:rsidR="00496C8E" w:rsidRPr="00CB65C6" w:rsidRDefault="00496C8E" w:rsidP="00FE14F2">
      <w:pPr>
        <w:rPr>
          <w:b/>
          <w:bCs/>
          <w:sz w:val="22"/>
          <w:szCs w:val="22"/>
        </w:rPr>
      </w:pPr>
    </w:p>
    <w:p w:rsidR="002E76E5" w:rsidRPr="00CB65C6" w:rsidRDefault="002E76E5" w:rsidP="00FE14F2">
      <w:pPr>
        <w:rPr>
          <w:b/>
          <w:bCs/>
          <w:sz w:val="22"/>
          <w:szCs w:val="22"/>
        </w:rPr>
      </w:pPr>
    </w:p>
    <w:p w:rsidR="00E90EDA" w:rsidRPr="00CB65C6" w:rsidRDefault="0028567F" w:rsidP="00175AEB">
      <w:pPr>
        <w:keepNext/>
        <w:rPr>
          <w:b/>
          <w:bCs/>
          <w:caps/>
          <w:sz w:val="22"/>
          <w:szCs w:val="22"/>
        </w:rPr>
      </w:pPr>
      <w:r w:rsidRPr="00CB65C6">
        <w:rPr>
          <w:b/>
          <w:bCs/>
          <w:sz w:val="22"/>
          <w:szCs w:val="22"/>
        </w:rPr>
        <w:t>9.</w:t>
      </w:r>
      <w:r w:rsidRPr="00CB65C6">
        <w:rPr>
          <w:b/>
          <w:bCs/>
          <w:sz w:val="22"/>
          <w:szCs w:val="22"/>
        </w:rPr>
        <w:tab/>
      </w:r>
      <w:r w:rsidRPr="00CB65C6">
        <w:rPr>
          <w:b/>
          <w:bCs/>
          <w:caps/>
          <w:sz w:val="22"/>
          <w:szCs w:val="22"/>
        </w:rPr>
        <w:t>Dátum prvej registrácie/Predĺženie registrácie</w:t>
      </w:r>
    </w:p>
    <w:p w:rsidR="00E90EDA" w:rsidRPr="00CB65C6" w:rsidRDefault="00E90EDA" w:rsidP="00175AEB">
      <w:pPr>
        <w:keepNext/>
        <w:rPr>
          <w:b/>
          <w:bCs/>
          <w:caps/>
          <w:sz w:val="22"/>
          <w:szCs w:val="22"/>
        </w:rPr>
      </w:pPr>
    </w:p>
    <w:p w:rsidR="007A4525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 xml:space="preserve">Dátum prvej registrácie: 4. mája  2000 </w:t>
      </w:r>
    </w:p>
    <w:p w:rsidR="00A25B99" w:rsidRPr="00CB65C6" w:rsidRDefault="0028567F" w:rsidP="00FE14F2">
      <w:pPr>
        <w:rPr>
          <w:sz w:val="22"/>
          <w:szCs w:val="22"/>
        </w:rPr>
      </w:pPr>
      <w:r w:rsidRPr="00CB65C6">
        <w:rPr>
          <w:sz w:val="22"/>
          <w:szCs w:val="22"/>
        </w:rPr>
        <w:t>Dátum posledného predĺženia registrácie: 4.</w:t>
      </w:r>
      <w:r w:rsidR="00CB65C6">
        <w:rPr>
          <w:sz w:val="22"/>
          <w:szCs w:val="22"/>
        </w:rPr>
        <w:t xml:space="preserve"> </w:t>
      </w:r>
      <w:r w:rsidRPr="00CB65C6">
        <w:rPr>
          <w:sz w:val="22"/>
          <w:szCs w:val="22"/>
        </w:rPr>
        <w:t>februára 2010</w:t>
      </w:r>
    </w:p>
    <w:p w:rsidR="00A25B99" w:rsidRPr="00CB65C6" w:rsidRDefault="00A25B99" w:rsidP="00FE14F2">
      <w:pPr>
        <w:rPr>
          <w:b/>
          <w:bCs/>
          <w:sz w:val="22"/>
          <w:szCs w:val="22"/>
        </w:rPr>
      </w:pPr>
    </w:p>
    <w:p w:rsidR="002E76E5" w:rsidRPr="00CB65C6" w:rsidRDefault="002E76E5" w:rsidP="00FE14F2">
      <w:pPr>
        <w:rPr>
          <w:b/>
          <w:bCs/>
          <w:sz w:val="22"/>
          <w:szCs w:val="22"/>
        </w:rPr>
      </w:pPr>
    </w:p>
    <w:p w:rsidR="002E76E5" w:rsidRPr="00CB65C6" w:rsidRDefault="0028567F" w:rsidP="00175AEB">
      <w:pPr>
        <w:keepNext/>
        <w:numPr>
          <w:ilvl w:val="0"/>
          <w:numId w:val="29"/>
        </w:numPr>
        <w:tabs>
          <w:tab w:val="clear" w:pos="1308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B65C6">
        <w:rPr>
          <w:b/>
          <w:bCs/>
          <w:caps/>
          <w:sz w:val="22"/>
          <w:szCs w:val="22"/>
        </w:rPr>
        <w:t>Dátum revízie textu</w:t>
      </w:r>
    </w:p>
    <w:p w:rsidR="00175AEB" w:rsidRPr="00CB65C6" w:rsidRDefault="00175AEB">
      <w:pPr>
        <w:keepNext/>
        <w:rPr>
          <w:bCs/>
          <w:sz w:val="22"/>
          <w:szCs w:val="22"/>
        </w:rPr>
      </w:pPr>
    </w:p>
    <w:p w:rsidR="00237AC0" w:rsidRPr="00CB65C6" w:rsidRDefault="00A41EE0" w:rsidP="007A4525">
      <w:pPr>
        <w:keepNext/>
        <w:rPr>
          <w:bCs/>
          <w:sz w:val="22"/>
          <w:szCs w:val="22"/>
        </w:rPr>
      </w:pPr>
      <w:r w:rsidRPr="00CB65C6">
        <w:rPr>
          <w:bCs/>
          <w:sz w:val="22"/>
          <w:szCs w:val="22"/>
        </w:rPr>
        <w:t>01/2018</w:t>
      </w:r>
    </w:p>
    <w:sectPr w:rsidR="00237AC0" w:rsidRPr="00CB65C6" w:rsidSect="00CB65C6">
      <w:headerReference w:type="default" r:id="rId9"/>
      <w:footerReference w:type="default" r:id="rId10"/>
      <w:footerReference w:type="first" r:id="rId11"/>
      <w:pgSz w:w="11906" w:h="16838"/>
      <w:pgMar w:top="1418" w:right="1418" w:bottom="1276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E84D3D" w15:done="0"/>
  <w15:commentEx w15:paraId="3BE7C0FA" w15:done="0"/>
  <w15:commentEx w15:paraId="44E309EA" w15:done="0"/>
  <w15:commentEx w15:paraId="550040B4" w15:done="0"/>
  <w15:commentEx w15:paraId="05BF2C69" w15:done="0"/>
  <w15:commentEx w15:paraId="121764A8" w15:done="0"/>
  <w15:commentEx w15:paraId="267D3076" w15:done="0"/>
  <w15:commentEx w15:paraId="2BB8F7E2" w15:done="0"/>
  <w15:commentEx w15:paraId="14B1E731" w15:done="0"/>
  <w15:commentEx w15:paraId="07FF0D0F" w15:done="0"/>
  <w15:commentEx w15:paraId="2FF1AFD7" w15:done="0"/>
  <w15:commentEx w15:paraId="65F38C4B" w15:done="0"/>
  <w15:commentEx w15:paraId="4B59F422" w15:done="0"/>
  <w15:commentEx w15:paraId="54F7A2DA" w15:done="0"/>
  <w15:commentEx w15:paraId="3B2F719E" w15:done="0"/>
  <w15:commentEx w15:paraId="26268DDF" w15:done="0"/>
  <w15:commentEx w15:paraId="301D64D3" w15:done="0"/>
  <w15:commentEx w15:paraId="72B1D10F" w15:done="0"/>
  <w15:commentEx w15:paraId="76305D35" w15:done="0"/>
  <w15:commentEx w15:paraId="3874A64D" w15:done="0"/>
  <w15:commentEx w15:paraId="6E1CAF1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16" w:rsidRDefault="00003316">
      <w:r>
        <w:separator/>
      </w:r>
    </w:p>
  </w:endnote>
  <w:endnote w:type="continuationSeparator" w:id="0">
    <w:p w:rsidR="00003316" w:rsidRDefault="0000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16" w:rsidRDefault="00003316">
    <w:pPr>
      <w:pStyle w:val="Pta"/>
      <w:rPr>
        <w:rFonts w:ascii="Arial" w:hAnsi="Arial" w:cs="Arial"/>
        <w:sz w:val="16"/>
      </w:rPr>
    </w:pPr>
    <w:r>
      <w:tab/>
    </w:r>
    <w:r>
      <w:rPr>
        <w:rFonts w:ascii="Arial" w:hAnsi="Arial" w:cs="Arial"/>
        <w:sz w:val="16"/>
      </w:rPr>
      <w:t xml:space="preserve">- </w:t>
    </w:r>
    <w:r w:rsidR="00FB4F65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 w:rsidR="00FB4F65">
      <w:rPr>
        <w:rFonts w:ascii="Arial" w:hAnsi="Arial" w:cs="Arial"/>
        <w:sz w:val="16"/>
      </w:rPr>
      <w:fldChar w:fldCharType="separate"/>
    </w:r>
    <w:r w:rsidR="00CB65C6">
      <w:rPr>
        <w:rFonts w:ascii="Arial" w:hAnsi="Arial" w:cs="Arial"/>
        <w:noProof/>
        <w:sz w:val="16"/>
      </w:rPr>
      <w:t>8</w:t>
    </w:r>
    <w:r w:rsidR="00FB4F65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16" w:rsidRDefault="00003316">
    <w:pPr>
      <w:pStyle w:val="Pta"/>
    </w:pPr>
    <w:r>
      <w:tab/>
    </w:r>
    <w:r>
      <w:rPr>
        <w:rFonts w:ascii="Arial" w:hAnsi="Arial" w:cs="Arial"/>
        <w:sz w:val="16"/>
      </w:rPr>
      <w:t xml:space="preserve">- </w:t>
    </w:r>
    <w:r w:rsidR="00FB4F65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 w:rsidR="00FB4F65">
      <w:rPr>
        <w:rFonts w:ascii="Arial" w:hAnsi="Arial" w:cs="Arial"/>
        <w:sz w:val="16"/>
      </w:rPr>
      <w:fldChar w:fldCharType="separate"/>
    </w:r>
    <w:r w:rsidR="00CB65C6">
      <w:rPr>
        <w:rFonts w:ascii="Arial" w:hAnsi="Arial" w:cs="Arial"/>
        <w:noProof/>
        <w:sz w:val="16"/>
      </w:rPr>
      <w:t>1</w:t>
    </w:r>
    <w:r w:rsidR="00FB4F65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16" w:rsidRDefault="00003316">
      <w:r>
        <w:separator/>
      </w:r>
    </w:p>
  </w:footnote>
  <w:footnote w:type="continuationSeparator" w:id="0">
    <w:p w:rsidR="00003316" w:rsidRDefault="00003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C6" w:rsidRDefault="00CB65C6">
    <w:pPr>
      <w:pStyle w:val="Hlavika"/>
    </w:pPr>
    <w:r>
      <w:rPr>
        <w:sz w:val="18"/>
        <w:szCs w:val="18"/>
      </w:rPr>
      <w:t>Schválený text k zmene, ev. č.: 2016/02534-ZME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D61"/>
    <w:multiLevelType w:val="hybridMultilevel"/>
    <w:tmpl w:val="1E7828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B16EC"/>
    <w:multiLevelType w:val="hybridMultilevel"/>
    <w:tmpl w:val="0A688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B7292A"/>
    <w:multiLevelType w:val="hybridMultilevel"/>
    <w:tmpl w:val="C0843164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010E7A"/>
    <w:multiLevelType w:val="hybridMultilevel"/>
    <w:tmpl w:val="000050AE"/>
    <w:lvl w:ilvl="0" w:tplc="B26EB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47562">
      <w:numFmt w:val="none"/>
      <w:lvlText w:val=""/>
      <w:lvlJc w:val="left"/>
      <w:pPr>
        <w:tabs>
          <w:tab w:val="num" w:pos="360"/>
        </w:tabs>
      </w:pPr>
    </w:lvl>
    <w:lvl w:ilvl="2" w:tplc="9D3A50FA">
      <w:numFmt w:val="none"/>
      <w:lvlText w:val=""/>
      <w:lvlJc w:val="left"/>
      <w:pPr>
        <w:tabs>
          <w:tab w:val="num" w:pos="360"/>
        </w:tabs>
      </w:pPr>
    </w:lvl>
    <w:lvl w:ilvl="3" w:tplc="E0802E6E">
      <w:numFmt w:val="none"/>
      <w:lvlText w:val=""/>
      <w:lvlJc w:val="left"/>
      <w:pPr>
        <w:tabs>
          <w:tab w:val="num" w:pos="360"/>
        </w:tabs>
      </w:pPr>
    </w:lvl>
    <w:lvl w:ilvl="4" w:tplc="9236C78A">
      <w:numFmt w:val="none"/>
      <w:lvlText w:val=""/>
      <w:lvlJc w:val="left"/>
      <w:pPr>
        <w:tabs>
          <w:tab w:val="num" w:pos="360"/>
        </w:tabs>
      </w:pPr>
    </w:lvl>
    <w:lvl w:ilvl="5" w:tplc="9700494E">
      <w:numFmt w:val="none"/>
      <w:lvlText w:val=""/>
      <w:lvlJc w:val="left"/>
      <w:pPr>
        <w:tabs>
          <w:tab w:val="num" w:pos="360"/>
        </w:tabs>
      </w:pPr>
    </w:lvl>
    <w:lvl w:ilvl="6" w:tplc="8C52CA30">
      <w:numFmt w:val="none"/>
      <w:lvlText w:val=""/>
      <w:lvlJc w:val="left"/>
      <w:pPr>
        <w:tabs>
          <w:tab w:val="num" w:pos="360"/>
        </w:tabs>
      </w:pPr>
    </w:lvl>
    <w:lvl w:ilvl="7" w:tplc="0FEAE484">
      <w:numFmt w:val="none"/>
      <w:lvlText w:val=""/>
      <w:lvlJc w:val="left"/>
      <w:pPr>
        <w:tabs>
          <w:tab w:val="num" w:pos="360"/>
        </w:tabs>
      </w:pPr>
    </w:lvl>
    <w:lvl w:ilvl="8" w:tplc="29BED27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9EC430D"/>
    <w:multiLevelType w:val="hybridMultilevel"/>
    <w:tmpl w:val="F2AAFD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0090E"/>
    <w:multiLevelType w:val="hybridMultilevel"/>
    <w:tmpl w:val="1524892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703C4B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25F0668"/>
    <w:multiLevelType w:val="hybridMultilevel"/>
    <w:tmpl w:val="F58ED658"/>
    <w:lvl w:ilvl="0" w:tplc="FED60BF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5E44860">
      <w:start w:val="4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82910A5"/>
    <w:multiLevelType w:val="multilevel"/>
    <w:tmpl w:val="91003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2674DE"/>
    <w:multiLevelType w:val="hybridMultilevel"/>
    <w:tmpl w:val="6DD607B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A77732"/>
    <w:multiLevelType w:val="hybridMultilevel"/>
    <w:tmpl w:val="0598F8A2"/>
    <w:lvl w:ilvl="0" w:tplc="AE52F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EC2B53"/>
    <w:multiLevelType w:val="hybridMultilevel"/>
    <w:tmpl w:val="94EA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287672"/>
    <w:multiLevelType w:val="hybridMultilevel"/>
    <w:tmpl w:val="6A76C352"/>
    <w:lvl w:ilvl="0" w:tplc="63FE89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D4F2F34"/>
    <w:multiLevelType w:val="hybridMultilevel"/>
    <w:tmpl w:val="5574D44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14128D7"/>
    <w:multiLevelType w:val="hybridMultilevel"/>
    <w:tmpl w:val="C7966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1A635AB"/>
    <w:multiLevelType w:val="hybridMultilevel"/>
    <w:tmpl w:val="36CEF3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CE7AF7"/>
    <w:multiLevelType w:val="hybridMultilevel"/>
    <w:tmpl w:val="577EF910"/>
    <w:lvl w:ilvl="0" w:tplc="17E04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54DCF"/>
    <w:multiLevelType w:val="hybridMultilevel"/>
    <w:tmpl w:val="A106E05C"/>
    <w:lvl w:ilvl="0" w:tplc="AE52F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4B65AD"/>
    <w:multiLevelType w:val="hybridMultilevel"/>
    <w:tmpl w:val="CE2ABE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D8657C"/>
    <w:multiLevelType w:val="hybridMultilevel"/>
    <w:tmpl w:val="0AB65D18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BC6C36"/>
    <w:multiLevelType w:val="hybridMultilevel"/>
    <w:tmpl w:val="211A3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0401E"/>
    <w:multiLevelType w:val="hybridMultilevel"/>
    <w:tmpl w:val="E7A0639E"/>
    <w:lvl w:ilvl="0" w:tplc="15E448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46D1E"/>
    <w:multiLevelType w:val="hybridMultilevel"/>
    <w:tmpl w:val="D6BEC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212512"/>
    <w:multiLevelType w:val="hybridMultilevel"/>
    <w:tmpl w:val="09DE0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B17B8B"/>
    <w:multiLevelType w:val="hybridMultilevel"/>
    <w:tmpl w:val="D34CB2E2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61204A5"/>
    <w:multiLevelType w:val="hybridMultilevel"/>
    <w:tmpl w:val="5358AD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E52F1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89D267B"/>
    <w:multiLevelType w:val="hybridMultilevel"/>
    <w:tmpl w:val="0EE01EEA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D216B2F"/>
    <w:multiLevelType w:val="hybridMultilevel"/>
    <w:tmpl w:val="A5287EA4"/>
    <w:lvl w:ilvl="0" w:tplc="5564323C">
      <w:start w:val="10"/>
      <w:numFmt w:val="decimal"/>
      <w:lvlText w:val="%1."/>
      <w:lvlJc w:val="left"/>
      <w:pPr>
        <w:tabs>
          <w:tab w:val="num" w:pos="1308"/>
        </w:tabs>
        <w:ind w:left="1308" w:hanging="768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A294EF4"/>
    <w:multiLevelType w:val="hybridMultilevel"/>
    <w:tmpl w:val="4E5EF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C4B55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0"/>
  </w:num>
  <w:num w:numId="5">
    <w:abstractNumId w:val="39"/>
  </w:num>
  <w:num w:numId="6">
    <w:abstractNumId w:val="31"/>
  </w:num>
  <w:num w:numId="7">
    <w:abstractNumId w:val="10"/>
  </w:num>
  <w:num w:numId="8">
    <w:abstractNumId w:val="16"/>
  </w:num>
  <w:num w:numId="9">
    <w:abstractNumId w:val="13"/>
  </w:num>
  <w:num w:numId="10">
    <w:abstractNumId w:val="22"/>
  </w:num>
  <w:num w:numId="11">
    <w:abstractNumId w:val="18"/>
  </w:num>
  <w:num w:numId="12">
    <w:abstractNumId w:val="21"/>
  </w:num>
  <w:num w:numId="13">
    <w:abstractNumId w:val="33"/>
  </w:num>
  <w:num w:numId="14">
    <w:abstractNumId w:val="37"/>
  </w:num>
  <w:num w:numId="15">
    <w:abstractNumId w:val="23"/>
  </w:num>
  <w:num w:numId="16">
    <w:abstractNumId w:val="3"/>
  </w:num>
  <w:num w:numId="17">
    <w:abstractNumId w:val="25"/>
  </w:num>
  <w:num w:numId="18">
    <w:abstractNumId w:val="17"/>
  </w:num>
  <w:num w:numId="19">
    <w:abstractNumId w:val="27"/>
  </w:num>
  <w:num w:numId="20">
    <w:abstractNumId w:val="2"/>
  </w:num>
  <w:num w:numId="21">
    <w:abstractNumId w:val="40"/>
  </w:num>
  <w:num w:numId="22">
    <w:abstractNumId w:val="38"/>
  </w:num>
  <w:num w:numId="23">
    <w:abstractNumId w:val="4"/>
  </w:num>
  <w:num w:numId="24">
    <w:abstractNumId w:val="32"/>
  </w:num>
  <w:num w:numId="25">
    <w:abstractNumId w:val="43"/>
  </w:num>
  <w:num w:numId="26">
    <w:abstractNumId w:val="8"/>
  </w:num>
  <w:num w:numId="27">
    <w:abstractNumId w:val="11"/>
  </w:num>
  <w:num w:numId="28">
    <w:abstractNumId w:val="35"/>
  </w:num>
  <w:num w:numId="29">
    <w:abstractNumId w:val="41"/>
  </w:num>
  <w:num w:numId="30">
    <w:abstractNumId w:val="42"/>
  </w:num>
  <w:num w:numId="31">
    <w:abstractNumId w:val="28"/>
  </w:num>
  <w:num w:numId="32">
    <w:abstractNumId w:val="15"/>
  </w:num>
  <w:num w:numId="33">
    <w:abstractNumId w:val="12"/>
  </w:num>
  <w:num w:numId="34">
    <w:abstractNumId w:val="29"/>
  </w:num>
  <w:num w:numId="35">
    <w:abstractNumId w:val="26"/>
  </w:num>
  <w:num w:numId="36">
    <w:abstractNumId w:val="24"/>
  </w:num>
  <w:num w:numId="37">
    <w:abstractNumId w:val="1"/>
  </w:num>
  <w:num w:numId="38">
    <w:abstractNumId w:val="7"/>
  </w:num>
  <w:num w:numId="39">
    <w:abstractNumId w:val="6"/>
  </w:num>
  <w:num w:numId="40">
    <w:abstractNumId w:val="14"/>
  </w:num>
  <w:num w:numId="41">
    <w:abstractNumId w:val="30"/>
  </w:num>
  <w:num w:numId="42">
    <w:abstractNumId w:val="0"/>
  </w:num>
  <w:num w:numId="43">
    <w:abstractNumId w:val="36"/>
  </w:num>
  <w:num w:numId="44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">
    <w15:presenceInfo w15:providerId="None" w15:userId="Kulhavy, Luka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FA15EF"/>
    <w:rsid w:val="00003316"/>
    <w:rsid w:val="0001091B"/>
    <w:rsid w:val="00025FC0"/>
    <w:rsid w:val="000355EC"/>
    <w:rsid w:val="00041EB2"/>
    <w:rsid w:val="000500A5"/>
    <w:rsid w:val="000506C6"/>
    <w:rsid w:val="0005248F"/>
    <w:rsid w:val="000A2622"/>
    <w:rsid w:val="000C032C"/>
    <w:rsid w:val="000D6C69"/>
    <w:rsid w:val="000E375D"/>
    <w:rsid w:val="000E4372"/>
    <w:rsid w:val="000F195B"/>
    <w:rsid w:val="000F470E"/>
    <w:rsid w:val="001053FD"/>
    <w:rsid w:val="00106AAD"/>
    <w:rsid w:val="0012335B"/>
    <w:rsid w:val="0014071E"/>
    <w:rsid w:val="001629BB"/>
    <w:rsid w:val="00172681"/>
    <w:rsid w:val="0017486D"/>
    <w:rsid w:val="00175AEB"/>
    <w:rsid w:val="00182E76"/>
    <w:rsid w:val="00183A2F"/>
    <w:rsid w:val="001A2719"/>
    <w:rsid w:val="001B4DB9"/>
    <w:rsid w:val="001B5B77"/>
    <w:rsid w:val="001D6A8A"/>
    <w:rsid w:val="001E25DE"/>
    <w:rsid w:val="001F0B87"/>
    <w:rsid w:val="00202FB9"/>
    <w:rsid w:val="00203EA0"/>
    <w:rsid w:val="00216E5E"/>
    <w:rsid w:val="002309DD"/>
    <w:rsid w:val="00234B98"/>
    <w:rsid w:val="00237AC0"/>
    <w:rsid w:val="00243D9C"/>
    <w:rsid w:val="00246E99"/>
    <w:rsid w:val="002578A8"/>
    <w:rsid w:val="002610C9"/>
    <w:rsid w:val="00281232"/>
    <w:rsid w:val="00281F06"/>
    <w:rsid w:val="00283899"/>
    <w:rsid w:val="0028567F"/>
    <w:rsid w:val="0029246A"/>
    <w:rsid w:val="002952EB"/>
    <w:rsid w:val="002A3F68"/>
    <w:rsid w:val="002A73A4"/>
    <w:rsid w:val="002B156C"/>
    <w:rsid w:val="002B4C17"/>
    <w:rsid w:val="002C2624"/>
    <w:rsid w:val="002C732E"/>
    <w:rsid w:val="002D6726"/>
    <w:rsid w:val="002E76E5"/>
    <w:rsid w:val="002F4F81"/>
    <w:rsid w:val="00307F5F"/>
    <w:rsid w:val="003148FA"/>
    <w:rsid w:val="0033272C"/>
    <w:rsid w:val="00336D4E"/>
    <w:rsid w:val="00342BBB"/>
    <w:rsid w:val="003668F2"/>
    <w:rsid w:val="00396721"/>
    <w:rsid w:val="003A1FF7"/>
    <w:rsid w:val="003B0885"/>
    <w:rsid w:val="003B5D3D"/>
    <w:rsid w:val="003C7D0E"/>
    <w:rsid w:val="003E1F6E"/>
    <w:rsid w:val="003E2FD9"/>
    <w:rsid w:val="004454E6"/>
    <w:rsid w:val="0045448D"/>
    <w:rsid w:val="004645CE"/>
    <w:rsid w:val="00477E5E"/>
    <w:rsid w:val="00482A1B"/>
    <w:rsid w:val="00496C8E"/>
    <w:rsid w:val="004A57CB"/>
    <w:rsid w:val="004A6A68"/>
    <w:rsid w:val="004C05D2"/>
    <w:rsid w:val="004C3312"/>
    <w:rsid w:val="004D38D9"/>
    <w:rsid w:val="004E2ABA"/>
    <w:rsid w:val="0051602D"/>
    <w:rsid w:val="00522F2A"/>
    <w:rsid w:val="00523A3E"/>
    <w:rsid w:val="005254EB"/>
    <w:rsid w:val="0052690D"/>
    <w:rsid w:val="005372F2"/>
    <w:rsid w:val="00540B60"/>
    <w:rsid w:val="00543DB9"/>
    <w:rsid w:val="00550D95"/>
    <w:rsid w:val="005523B7"/>
    <w:rsid w:val="00555175"/>
    <w:rsid w:val="00560CE6"/>
    <w:rsid w:val="0056358B"/>
    <w:rsid w:val="00563911"/>
    <w:rsid w:val="00571EA5"/>
    <w:rsid w:val="00574F9F"/>
    <w:rsid w:val="00582A9C"/>
    <w:rsid w:val="00591ABB"/>
    <w:rsid w:val="005C2233"/>
    <w:rsid w:val="005C346C"/>
    <w:rsid w:val="005D04F3"/>
    <w:rsid w:val="005D100D"/>
    <w:rsid w:val="005E51CB"/>
    <w:rsid w:val="005F4BCB"/>
    <w:rsid w:val="0061023E"/>
    <w:rsid w:val="00621544"/>
    <w:rsid w:val="006228BB"/>
    <w:rsid w:val="00622AA0"/>
    <w:rsid w:val="00623035"/>
    <w:rsid w:val="00625846"/>
    <w:rsid w:val="00627D56"/>
    <w:rsid w:val="00627E92"/>
    <w:rsid w:val="00637735"/>
    <w:rsid w:val="00642881"/>
    <w:rsid w:val="0064446A"/>
    <w:rsid w:val="00647B66"/>
    <w:rsid w:val="00670604"/>
    <w:rsid w:val="0067433A"/>
    <w:rsid w:val="00674401"/>
    <w:rsid w:val="00682609"/>
    <w:rsid w:val="00693D16"/>
    <w:rsid w:val="006A568A"/>
    <w:rsid w:val="006B093F"/>
    <w:rsid w:val="006B1768"/>
    <w:rsid w:val="006C7C2D"/>
    <w:rsid w:val="006D50C0"/>
    <w:rsid w:val="006E3E9A"/>
    <w:rsid w:val="006F3A78"/>
    <w:rsid w:val="00712E3C"/>
    <w:rsid w:val="00717A0A"/>
    <w:rsid w:val="00722E69"/>
    <w:rsid w:val="007247CE"/>
    <w:rsid w:val="007261F2"/>
    <w:rsid w:val="007324B3"/>
    <w:rsid w:val="007333E0"/>
    <w:rsid w:val="00735701"/>
    <w:rsid w:val="00747E70"/>
    <w:rsid w:val="00751796"/>
    <w:rsid w:val="007550D8"/>
    <w:rsid w:val="0075709F"/>
    <w:rsid w:val="007669B2"/>
    <w:rsid w:val="007961B2"/>
    <w:rsid w:val="0079649A"/>
    <w:rsid w:val="007A07AE"/>
    <w:rsid w:val="007A4525"/>
    <w:rsid w:val="007D4B7B"/>
    <w:rsid w:val="008056FD"/>
    <w:rsid w:val="00810B3E"/>
    <w:rsid w:val="00817CE3"/>
    <w:rsid w:val="008225D3"/>
    <w:rsid w:val="00827855"/>
    <w:rsid w:val="00833338"/>
    <w:rsid w:val="0085654A"/>
    <w:rsid w:val="00870F46"/>
    <w:rsid w:val="00873A13"/>
    <w:rsid w:val="00874999"/>
    <w:rsid w:val="008A5843"/>
    <w:rsid w:val="008B62F0"/>
    <w:rsid w:val="008B68EC"/>
    <w:rsid w:val="008C70F1"/>
    <w:rsid w:val="008D526D"/>
    <w:rsid w:val="008E5AEB"/>
    <w:rsid w:val="00901033"/>
    <w:rsid w:val="00902E28"/>
    <w:rsid w:val="009125A2"/>
    <w:rsid w:val="00952A63"/>
    <w:rsid w:val="00963DB5"/>
    <w:rsid w:val="00981C91"/>
    <w:rsid w:val="00992DCE"/>
    <w:rsid w:val="009A117A"/>
    <w:rsid w:val="009B79EB"/>
    <w:rsid w:val="009C7E99"/>
    <w:rsid w:val="009E277E"/>
    <w:rsid w:val="00A0415F"/>
    <w:rsid w:val="00A13FC4"/>
    <w:rsid w:val="00A25B99"/>
    <w:rsid w:val="00A3406B"/>
    <w:rsid w:val="00A41308"/>
    <w:rsid w:val="00A41D27"/>
    <w:rsid w:val="00A41EE0"/>
    <w:rsid w:val="00A4272C"/>
    <w:rsid w:val="00A45347"/>
    <w:rsid w:val="00A55C59"/>
    <w:rsid w:val="00A55CE7"/>
    <w:rsid w:val="00A72D9C"/>
    <w:rsid w:val="00A758D7"/>
    <w:rsid w:val="00A97811"/>
    <w:rsid w:val="00AA0928"/>
    <w:rsid w:val="00AA6CA9"/>
    <w:rsid w:val="00AC6263"/>
    <w:rsid w:val="00AD05D3"/>
    <w:rsid w:val="00AD270C"/>
    <w:rsid w:val="00AE2EF0"/>
    <w:rsid w:val="00AF586B"/>
    <w:rsid w:val="00AF7F7D"/>
    <w:rsid w:val="00B17DC8"/>
    <w:rsid w:val="00B212B6"/>
    <w:rsid w:val="00B22630"/>
    <w:rsid w:val="00B4002A"/>
    <w:rsid w:val="00B5297B"/>
    <w:rsid w:val="00B61978"/>
    <w:rsid w:val="00B62C02"/>
    <w:rsid w:val="00B62F26"/>
    <w:rsid w:val="00B70C51"/>
    <w:rsid w:val="00B747F1"/>
    <w:rsid w:val="00B948F9"/>
    <w:rsid w:val="00BA4A11"/>
    <w:rsid w:val="00BB2BAA"/>
    <w:rsid w:val="00BB6050"/>
    <w:rsid w:val="00BC2B07"/>
    <w:rsid w:val="00BC311F"/>
    <w:rsid w:val="00BC4047"/>
    <w:rsid w:val="00BC47E3"/>
    <w:rsid w:val="00C06983"/>
    <w:rsid w:val="00C1048A"/>
    <w:rsid w:val="00C30916"/>
    <w:rsid w:val="00C35A5C"/>
    <w:rsid w:val="00C4417A"/>
    <w:rsid w:val="00C44950"/>
    <w:rsid w:val="00C654D0"/>
    <w:rsid w:val="00C742F6"/>
    <w:rsid w:val="00C76E2A"/>
    <w:rsid w:val="00C8468C"/>
    <w:rsid w:val="00C91366"/>
    <w:rsid w:val="00CB1C41"/>
    <w:rsid w:val="00CB65C6"/>
    <w:rsid w:val="00CC7A53"/>
    <w:rsid w:val="00CE79D4"/>
    <w:rsid w:val="00CF25E2"/>
    <w:rsid w:val="00CF77B0"/>
    <w:rsid w:val="00D07EE5"/>
    <w:rsid w:val="00D10AA3"/>
    <w:rsid w:val="00D33D6D"/>
    <w:rsid w:val="00D36E58"/>
    <w:rsid w:val="00D42CBD"/>
    <w:rsid w:val="00D4529C"/>
    <w:rsid w:val="00D47AE1"/>
    <w:rsid w:val="00D56813"/>
    <w:rsid w:val="00D64310"/>
    <w:rsid w:val="00D71745"/>
    <w:rsid w:val="00D735FB"/>
    <w:rsid w:val="00D74997"/>
    <w:rsid w:val="00D83C4B"/>
    <w:rsid w:val="00D9458B"/>
    <w:rsid w:val="00DA0F8B"/>
    <w:rsid w:val="00DA3F37"/>
    <w:rsid w:val="00DA5527"/>
    <w:rsid w:val="00DC01F5"/>
    <w:rsid w:val="00DD0614"/>
    <w:rsid w:val="00DD3F35"/>
    <w:rsid w:val="00DE14DD"/>
    <w:rsid w:val="00DE5827"/>
    <w:rsid w:val="00E10F8A"/>
    <w:rsid w:val="00E31D31"/>
    <w:rsid w:val="00E35684"/>
    <w:rsid w:val="00E46C4D"/>
    <w:rsid w:val="00E702D4"/>
    <w:rsid w:val="00E73ADB"/>
    <w:rsid w:val="00E804F0"/>
    <w:rsid w:val="00E81A20"/>
    <w:rsid w:val="00E90685"/>
    <w:rsid w:val="00E90EDA"/>
    <w:rsid w:val="00EB2087"/>
    <w:rsid w:val="00EE1105"/>
    <w:rsid w:val="00EE6A8F"/>
    <w:rsid w:val="00F23445"/>
    <w:rsid w:val="00F67A7B"/>
    <w:rsid w:val="00F80ED2"/>
    <w:rsid w:val="00F82DAE"/>
    <w:rsid w:val="00FA15EF"/>
    <w:rsid w:val="00FB0579"/>
    <w:rsid w:val="00FB09FF"/>
    <w:rsid w:val="00FB177C"/>
    <w:rsid w:val="00FB4F65"/>
    <w:rsid w:val="00FC374E"/>
    <w:rsid w:val="00FD6466"/>
    <w:rsid w:val="00FE14F2"/>
    <w:rsid w:val="00FE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BB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42BBB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342BBB"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342BBB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342BBB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rsid w:val="00342BBB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342BBB"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rsid w:val="00342BBB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342BBB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342BBB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42BBB"/>
    <w:pPr>
      <w:ind w:left="360"/>
    </w:pPr>
  </w:style>
  <w:style w:type="paragraph" w:styleId="Zkladntext">
    <w:name w:val="Body Text"/>
    <w:basedOn w:val="Normlny"/>
    <w:rsid w:val="00342BBB"/>
    <w:rPr>
      <w:rFonts w:ascii="Arial" w:hAnsi="Arial" w:cs="Arial"/>
      <w:sz w:val="20"/>
    </w:rPr>
  </w:style>
  <w:style w:type="paragraph" w:styleId="Hlavika">
    <w:name w:val="header"/>
    <w:basedOn w:val="Normlny"/>
    <w:rsid w:val="00342B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42B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6F3A78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sid w:val="0017486D"/>
    <w:pPr>
      <w:spacing w:after="120"/>
    </w:pPr>
    <w:rPr>
      <w:sz w:val="16"/>
      <w:szCs w:val="16"/>
    </w:rPr>
  </w:style>
  <w:style w:type="paragraph" w:customStyle="1" w:styleId="SmPCText">
    <w:name w:val="SmPCText"/>
    <w:basedOn w:val="Normlny"/>
    <w:rsid w:val="00C44950"/>
    <w:pPr>
      <w:spacing w:before="120" w:after="120" w:line="320" w:lineRule="atLeast"/>
      <w:ind w:left="567"/>
      <w:jc w:val="both"/>
    </w:pPr>
    <w:rPr>
      <w:sz w:val="22"/>
      <w:szCs w:val="22"/>
      <w:lang w:val="en-GB" w:eastAsia="de-DE"/>
    </w:rPr>
  </w:style>
  <w:style w:type="character" w:styleId="Hypertextovprepojenie">
    <w:name w:val="Hyperlink"/>
    <w:rsid w:val="0067433A"/>
    <w:rPr>
      <w:color w:val="0000FF"/>
      <w:u w:val="single"/>
    </w:rPr>
  </w:style>
  <w:style w:type="character" w:styleId="Odkaznakomentr">
    <w:name w:val="annotation reference"/>
    <w:semiHidden/>
    <w:rsid w:val="007247CE"/>
    <w:rPr>
      <w:sz w:val="16"/>
      <w:szCs w:val="16"/>
    </w:rPr>
  </w:style>
  <w:style w:type="paragraph" w:styleId="Textkomentra">
    <w:name w:val="annotation text"/>
    <w:basedOn w:val="Normlny"/>
    <w:semiHidden/>
    <w:rsid w:val="007247C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247CE"/>
    <w:rPr>
      <w:b/>
      <w:bCs/>
    </w:rPr>
  </w:style>
  <w:style w:type="paragraph" w:styleId="Revzia">
    <w:name w:val="Revision"/>
    <w:hidden/>
    <w:uiPriority w:val="99"/>
    <w:semiHidden/>
    <w:rsid w:val="001D6A8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123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RPNormal">
    <w:name w:val="MoRP Normal"/>
    <w:rsid w:val="00550D95"/>
    <w:pPr>
      <w:spacing w:before="60" w:after="180" w:line="288" w:lineRule="auto"/>
      <w:jc w:val="both"/>
    </w:pPr>
    <w:rPr>
      <w:rFonts w:ascii="Arial" w:hAnsi="Arial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A97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B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342BBB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342BBB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342BB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342BBB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342BBB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342BBB"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342BBB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342BBB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rsid w:val="00342BBB"/>
    <w:pPr>
      <w:keepNext/>
      <w:ind w:left="360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42BBB"/>
    <w:pPr>
      <w:ind w:left="360"/>
    </w:pPr>
  </w:style>
  <w:style w:type="paragraph" w:styleId="Zkladntext">
    <w:name w:val="Body Text"/>
    <w:basedOn w:val="Normln"/>
    <w:rsid w:val="00342BBB"/>
    <w:rPr>
      <w:rFonts w:ascii="Arial" w:hAnsi="Arial" w:cs="Arial"/>
      <w:sz w:val="20"/>
    </w:rPr>
  </w:style>
  <w:style w:type="paragraph" w:styleId="Zhlav">
    <w:name w:val="header"/>
    <w:basedOn w:val="Normln"/>
    <w:rsid w:val="00342B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2B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F3A7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17486D"/>
    <w:pPr>
      <w:spacing w:after="120"/>
    </w:pPr>
    <w:rPr>
      <w:sz w:val="16"/>
      <w:szCs w:val="16"/>
    </w:rPr>
  </w:style>
  <w:style w:type="paragraph" w:customStyle="1" w:styleId="SmPCText">
    <w:name w:val="SmPCText"/>
    <w:basedOn w:val="Normln"/>
    <w:rsid w:val="00C44950"/>
    <w:pPr>
      <w:spacing w:before="120" w:after="120" w:line="320" w:lineRule="atLeast"/>
      <w:ind w:left="567"/>
      <w:jc w:val="both"/>
    </w:pPr>
    <w:rPr>
      <w:sz w:val="22"/>
      <w:szCs w:val="22"/>
      <w:lang w:val="en-GB" w:eastAsia="de-DE"/>
    </w:rPr>
  </w:style>
  <w:style w:type="character" w:styleId="Hypertextovodkaz">
    <w:name w:val="Hyperlink"/>
    <w:rsid w:val="0067433A"/>
    <w:rPr>
      <w:color w:val="0000FF"/>
      <w:u w:val="single"/>
    </w:rPr>
  </w:style>
  <w:style w:type="character" w:styleId="Odkaznakoment">
    <w:name w:val="annotation reference"/>
    <w:semiHidden/>
    <w:rsid w:val="007247CE"/>
    <w:rPr>
      <w:sz w:val="16"/>
      <w:szCs w:val="16"/>
    </w:rPr>
  </w:style>
  <w:style w:type="paragraph" w:styleId="Textkomente">
    <w:name w:val="annotation text"/>
    <w:basedOn w:val="Normln"/>
    <w:semiHidden/>
    <w:rsid w:val="007247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7CE"/>
    <w:rPr>
      <w:b/>
      <w:bCs/>
    </w:rPr>
  </w:style>
  <w:style w:type="paragraph" w:styleId="Revize">
    <w:name w:val="Revision"/>
    <w:hidden/>
    <w:uiPriority w:val="99"/>
    <w:semiHidden/>
    <w:rsid w:val="001D6A8A"/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PNormal">
    <w:name w:val="MoRP Normal"/>
    <w:rsid w:val="00550D95"/>
    <w:pPr>
      <w:spacing w:before="60" w:after="180" w:line="288" w:lineRule="auto"/>
      <w:jc w:val="both"/>
    </w:pPr>
    <w:rPr>
      <w:rFonts w:ascii="Arial" w:hAnsi="Arial"/>
      <w:sz w:val="2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A97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A511-EFCE-4082-B2D6-1E896A12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3415</Words>
  <Characters>21814</Characters>
  <Application>Microsoft Office Word</Application>
  <DocSecurity>0</DocSecurity>
  <Lines>181</Lines>
  <Paragraphs>50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SPC</vt:lpstr>
      <vt:lpstr>SPC</vt:lpstr>
      <vt:lpstr>SPC</vt:lpstr>
    </vt:vector>
  </TitlesOfParts>
  <Company>escho</Company>
  <LinksUpToDate>false</LinksUpToDate>
  <CharactersWithSpaces>25179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BOOTS</dc:creator>
  <cp:lastModifiedBy>Andrea Krajčí</cp:lastModifiedBy>
  <cp:revision>3</cp:revision>
  <cp:lastPrinted>2009-03-27T08:26:00Z</cp:lastPrinted>
  <dcterms:created xsi:type="dcterms:W3CDTF">2018-01-08T10:21:00Z</dcterms:created>
  <dcterms:modified xsi:type="dcterms:W3CDTF">2018-01-08T13:14:00Z</dcterms:modified>
</cp:coreProperties>
</file>