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70A20" w14:textId="77777777" w:rsidR="008746EE" w:rsidRPr="000F6264" w:rsidRDefault="008746EE" w:rsidP="008746EE">
      <w:pPr>
        <w:jc w:val="center"/>
        <w:outlineLvl w:val="0"/>
        <w:rPr>
          <w:b/>
          <w:szCs w:val="22"/>
        </w:rPr>
      </w:pPr>
      <w:bookmarkStart w:id="0" w:name="_GoBack"/>
      <w:bookmarkEnd w:id="0"/>
    </w:p>
    <w:p w14:paraId="33E9146C" w14:textId="77777777" w:rsidR="008746EE" w:rsidRPr="000F6264" w:rsidRDefault="008746EE" w:rsidP="008746EE">
      <w:pPr>
        <w:outlineLvl w:val="0"/>
        <w:rPr>
          <w:b/>
          <w:caps/>
          <w:szCs w:val="22"/>
        </w:rPr>
      </w:pPr>
    </w:p>
    <w:p w14:paraId="0FC144FC" w14:textId="77777777" w:rsidR="008746EE" w:rsidRPr="000F6264" w:rsidRDefault="008746EE" w:rsidP="008746EE">
      <w:pPr>
        <w:jc w:val="center"/>
        <w:outlineLvl w:val="0"/>
        <w:rPr>
          <w:b/>
          <w:caps/>
          <w:szCs w:val="22"/>
        </w:rPr>
      </w:pPr>
      <w:r w:rsidRPr="000F6264">
        <w:rPr>
          <w:b/>
          <w:caps/>
          <w:szCs w:val="22"/>
        </w:rPr>
        <w:t>Súhrn charakteristických vlastností lieku</w:t>
      </w:r>
    </w:p>
    <w:p w14:paraId="0480318C" w14:textId="77777777" w:rsidR="008746EE" w:rsidRPr="000F6264" w:rsidRDefault="008746EE" w:rsidP="008746EE">
      <w:pPr>
        <w:rPr>
          <w:b/>
          <w:szCs w:val="22"/>
        </w:rPr>
      </w:pPr>
    </w:p>
    <w:p w14:paraId="44F96B9A" w14:textId="77777777" w:rsidR="008746EE" w:rsidRPr="000F6264" w:rsidRDefault="008746EE" w:rsidP="008746EE">
      <w:pPr>
        <w:rPr>
          <w:b/>
          <w:szCs w:val="22"/>
        </w:rPr>
      </w:pPr>
    </w:p>
    <w:p w14:paraId="2FA1BF13" w14:textId="77777777" w:rsidR="008746EE" w:rsidRPr="000F6264" w:rsidRDefault="008746EE" w:rsidP="008746EE">
      <w:pPr>
        <w:rPr>
          <w:szCs w:val="22"/>
        </w:rPr>
      </w:pPr>
      <w:r w:rsidRPr="000F6264">
        <w:rPr>
          <w:b/>
          <w:szCs w:val="22"/>
        </w:rPr>
        <w:t>1.</w:t>
      </w:r>
      <w:r w:rsidRPr="000F6264">
        <w:rPr>
          <w:b/>
          <w:szCs w:val="22"/>
        </w:rPr>
        <w:tab/>
        <w:t>NÁZOV LIEKU</w:t>
      </w:r>
    </w:p>
    <w:p w14:paraId="6B2C045B" w14:textId="77777777" w:rsidR="008746EE" w:rsidRPr="000F6264" w:rsidRDefault="008746EE" w:rsidP="008746EE">
      <w:pPr>
        <w:rPr>
          <w:szCs w:val="22"/>
        </w:rPr>
      </w:pPr>
    </w:p>
    <w:p w14:paraId="12B009B4" w14:textId="77777777" w:rsidR="008746EE" w:rsidRPr="00A7758F" w:rsidRDefault="008746EE" w:rsidP="008746EE">
      <w:pPr>
        <w:pStyle w:val="Norml11"/>
        <w:rPr>
          <w:szCs w:val="22"/>
          <w:lang w:val="sk-SK"/>
        </w:rPr>
      </w:pPr>
      <w:r w:rsidRPr="00A7758F">
        <w:rPr>
          <w:szCs w:val="22"/>
          <w:lang w:val="sk-SK"/>
        </w:rPr>
        <w:t>Perineva 4 mg tablety</w:t>
      </w:r>
    </w:p>
    <w:p w14:paraId="0670EE6C" w14:textId="77777777" w:rsidR="008746EE" w:rsidRPr="000F6264" w:rsidRDefault="008746EE" w:rsidP="008746EE">
      <w:pPr>
        <w:rPr>
          <w:szCs w:val="22"/>
        </w:rPr>
      </w:pPr>
    </w:p>
    <w:p w14:paraId="35776945" w14:textId="77777777" w:rsidR="008746EE" w:rsidRPr="000F6264" w:rsidRDefault="008746EE" w:rsidP="008746EE">
      <w:pPr>
        <w:rPr>
          <w:szCs w:val="22"/>
        </w:rPr>
      </w:pPr>
    </w:p>
    <w:p w14:paraId="410E5335" w14:textId="77777777" w:rsidR="008746EE" w:rsidRPr="000F6264" w:rsidRDefault="008746EE" w:rsidP="008746EE">
      <w:pPr>
        <w:rPr>
          <w:szCs w:val="22"/>
        </w:rPr>
      </w:pPr>
      <w:r w:rsidRPr="000F6264">
        <w:rPr>
          <w:b/>
          <w:szCs w:val="22"/>
        </w:rPr>
        <w:t>2.</w:t>
      </w:r>
      <w:r w:rsidRPr="000F6264">
        <w:rPr>
          <w:b/>
          <w:szCs w:val="22"/>
        </w:rPr>
        <w:tab/>
        <w:t>KVALITATÍVNE A KVANTITATÍVNE ZLOŽENIE</w:t>
      </w:r>
    </w:p>
    <w:p w14:paraId="5D9AFB9B" w14:textId="77777777" w:rsidR="008746EE" w:rsidRPr="000F6264" w:rsidRDefault="008746EE" w:rsidP="008746EE">
      <w:pPr>
        <w:rPr>
          <w:b/>
          <w:bCs/>
          <w:szCs w:val="22"/>
        </w:rPr>
      </w:pPr>
    </w:p>
    <w:p w14:paraId="1DB363F8" w14:textId="24C1E09B" w:rsidR="008746EE" w:rsidRPr="000F6264" w:rsidRDefault="008746EE" w:rsidP="008746EE">
      <w:pPr>
        <w:pStyle w:val="Zkladntext"/>
      </w:pPr>
      <w:r>
        <w:t>Každá tableta obsahuje 4 </w:t>
      </w:r>
      <w:r w:rsidRPr="000F6264">
        <w:t xml:space="preserve">mg </w:t>
      </w:r>
      <w:r>
        <w:t>perindopril</w:t>
      </w:r>
      <w:r w:rsidR="002B6404">
        <w:t>erbumín</w:t>
      </w:r>
      <w:r>
        <w:t>u</w:t>
      </w:r>
      <w:r w:rsidRPr="000F6264">
        <w:t>,</w:t>
      </w:r>
      <w:r>
        <w:t xml:space="preserve"> čo</w:t>
      </w:r>
      <w:r w:rsidRPr="000F6264">
        <w:t xml:space="preserve"> zodpovedá </w:t>
      </w:r>
      <w:r>
        <w:t>3,338 </w:t>
      </w:r>
      <w:r w:rsidRPr="000F6264">
        <w:t xml:space="preserve">mg perindoprilu. </w:t>
      </w:r>
    </w:p>
    <w:p w14:paraId="060EE1D6" w14:textId="77777777" w:rsidR="008746EE" w:rsidRPr="000F6264" w:rsidRDefault="008746EE" w:rsidP="008746EE">
      <w:pPr>
        <w:widowControl w:val="0"/>
        <w:rPr>
          <w:position w:val="6"/>
          <w:szCs w:val="22"/>
        </w:rPr>
      </w:pPr>
    </w:p>
    <w:p w14:paraId="03FA7FD3" w14:textId="3CD26277" w:rsidR="008746EE" w:rsidRDefault="008746EE" w:rsidP="008746EE">
      <w:pPr>
        <w:outlineLvl w:val="0"/>
        <w:rPr>
          <w:szCs w:val="22"/>
        </w:rPr>
      </w:pPr>
      <w:r w:rsidRPr="00006E6C">
        <w:rPr>
          <w:szCs w:val="22"/>
          <w:u w:val="single"/>
        </w:rPr>
        <w:t>Pomocné látky so známym účinkom</w:t>
      </w:r>
      <w:r w:rsidRPr="00490B21">
        <w:rPr>
          <w:szCs w:val="22"/>
        </w:rPr>
        <w:t>:</w:t>
      </w:r>
      <w:r>
        <w:rPr>
          <w:szCs w:val="22"/>
        </w:rPr>
        <w:t xml:space="preserve"> </w:t>
      </w:r>
    </w:p>
    <w:p w14:paraId="3C067428" w14:textId="6E1845FF" w:rsidR="008746EE" w:rsidRPr="00490B21" w:rsidRDefault="008746EE" w:rsidP="008746EE">
      <w:pPr>
        <w:outlineLvl w:val="0"/>
        <w:rPr>
          <w:szCs w:val="22"/>
        </w:rPr>
      </w:pPr>
      <w:r>
        <w:rPr>
          <w:szCs w:val="22"/>
        </w:rPr>
        <w:t>Každá tableta obsahuje 60,4 mg laktózy (ako monohydrát laktózy).</w:t>
      </w:r>
    </w:p>
    <w:p w14:paraId="5EA2E657" w14:textId="77777777" w:rsidR="008746EE" w:rsidRDefault="008746EE" w:rsidP="008746EE">
      <w:pPr>
        <w:outlineLvl w:val="0"/>
        <w:rPr>
          <w:szCs w:val="22"/>
        </w:rPr>
      </w:pPr>
    </w:p>
    <w:p w14:paraId="2A6B8035" w14:textId="77777777" w:rsidR="008746EE" w:rsidRDefault="008746EE" w:rsidP="008746EE">
      <w:pPr>
        <w:outlineLvl w:val="0"/>
        <w:rPr>
          <w:szCs w:val="22"/>
        </w:rPr>
      </w:pPr>
      <w:r>
        <w:rPr>
          <w:szCs w:val="22"/>
        </w:rPr>
        <w:t>Úplný zoznam pomocných látok, pozri časť 6.1.</w:t>
      </w:r>
    </w:p>
    <w:p w14:paraId="79223A9B" w14:textId="77777777" w:rsidR="008746EE" w:rsidRDefault="008746EE" w:rsidP="008746EE">
      <w:pPr>
        <w:outlineLvl w:val="0"/>
        <w:rPr>
          <w:szCs w:val="22"/>
        </w:rPr>
      </w:pPr>
    </w:p>
    <w:p w14:paraId="312F45D8" w14:textId="77777777" w:rsidR="008746EE" w:rsidRPr="000F6264" w:rsidRDefault="008746EE" w:rsidP="008746EE">
      <w:pPr>
        <w:rPr>
          <w:szCs w:val="22"/>
        </w:rPr>
      </w:pPr>
    </w:p>
    <w:p w14:paraId="7D973AC5" w14:textId="77777777" w:rsidR="008746EE" w:rsidRPr="000F6264" w:rsidRDefault="008746EE" w:rsidP="008746EE">
      <w:pPr>
        <w:rPr>
          <w:caps/>
          <w:szCs w:val="22"/>
        </w:rPr>
      </w:pPr>
      <w:r w:rsidRPr="000F6264">
        <w:rPr>
          <w:b/>
          <w:szCs w:val="22"/>
        </w:rPr>
        <w:t>3.</w:t>
      </w:r>
      <w:r w:rsidRPr="000F6264">
        <w:rPr>
          <w:b/>
          <w:szCs w:val="22"/>
        </w:rPr>
        <w:tab/>
        <w:t>LIEKOVÁ FORMA</w:t>
      </w:r>
    </w:p>
    <w:p w14:paraId="2DB68676" w14:textId="77777777" w:rsidR="008746EE" w:rsidRPr="000F6264" w:rsidRDefault="008746EE" w:rsidP="008746EE">
      <w:pPr>
        <w:rPr>
          <w:szCs w:val="22"/>
        </w:rPr>
      </w:pPr>
    </w:p>
    <w:p w14:paraId="4E51301D" w14:textId="77777777" w:rsidR="008746EE" w:rsidRDefault="008746EE" w:rsidP="008746EE">
      <w:pPr>
        <w:rPr>
          <w:szCs w:val="22"/>
        </w:rPr>
      </w:pPr>
      <w:r w:rsidRPr="00B33722">
        <w:rPr>
          <w:szCs w:val="22"/>
        </w:rPr>
        <w:t>Tableta.</w:t>
      </w:r>
    </w:p>
    <w:p w14:paraId="1BAF9ACF" w14:textId="77777777" w:rsidR="008746EE" w:rsidRPr="00B33722" w:rsidRDefault="008746EE" w:rsidP="008746EE">
      <w:pPr>
        <w:rPr>
          <w:szCs w:val="22"/>
        </w:rPr>
      </w:pPr>
    </w:p>
    <w:p w14:paraId="3AD2BB9C" w14:textId="45E1FD8F" w:rsidR="008746EE" w:rsidRDefault="008746EE" w:rsidP="008746EE">
      <w:pPr>
        <w:ind w:left="0" w:firstLine="0"/>
        <w:rPr>
          <w:szCs w:val="22"/>
        </w:rPr>
      </w:pPr>
      <w:r>
        <w:rPr>
          <w:szCs w:val="22"/>
        </w:rPr>
        <w:t>Tablety sú biele až takmer biele</w:t>
      </w:r>
      <w:r w:rsidRPr="00B33722">
        <w:rPr>
          <w:szCs w:val="22"/>
        </w:rPr>
        <w:t xml:space="preserve">, </w:t>
      </w:r>
      <w:r>
        <w:rPr>
          <w:szCs w:val="22"/>
        </w:rPr>
        <w:t>oválne (dĺžka 8,5 mm, hrúbka 2,8 – 3,9 mm)</w:t>
      </w:r>
      <w:r w:rsidRPr="00B33722">
        <w:rPr>
          <w:szCs w:val="22"/>
        </w:rPr>
        <w:t xml:space="preserve">, </w:t>
      </w:r>
      <w:r>
        <w:rPr>
          <w:szCs w:val="22"/>
        </w:rPr>
        <w:t xml:space="preserve">mierne </w:t>
      </w:r>
      <w:r w:rsidRPr="00B33722">
        <w:rPr>
          <w:szCs w:val="22"/>
        </w:rPr>
        <w:t>bikonvexn</w:t>
      </w:r>
      <w:r>
        <w:rPr>
          <w:szCs w:val="22"/>
        </w:rPr>
        <w:t>é s deliacou ryhou na jednej strane</w:t>
      </w:r>
      <w:r w:rsidRPr="00B33722">
        <w:rPr>
          <w:szCs w:val="22"/>
        </w:rPr>
        <w:t xml:space="preserve"> so skosenými hranam</w:t>
      </w:r>
      <w:r>
        <w:rPr>
          <w:szCs w:val="22"/>
        </w:rPr>
        <w:t>i.</w:t>
      </w:r>
    </w:p>
    <w:p w14:paraId="4174234B" w14:textId="07A65872" w:rsidR="008746EE" w:rsidRPr="00B33722" w:rsidRDefault="008746EE" w:rsidP="008746EE">
      <w:pPr>
        <w:rPr>
          <w:szCs w:val="22"/>
        </w:rPr>
      </w:pPr>
      <w:r>
        <w:rPr>
          <w:szCs w:val="22"/>
        </w:rPr>
        <w:t>Tableta sa môže rozdeliť na rovnaké dávky.</w:t>
      </w:r>
    </w:p>
    <w:p w14:paraId="1F7AC2FF" w14:textId="77777777" w:rsidR="008746EE" w:rsidRPr="00B33722" w:rsidRDefault="008746EE" w:rsidP="008746EE">
      <w:pPr>
        <w:rPr>
          <w:b/>
          <w:bCs/>
          <w:szCs w:val="22"/>
        </w:rPr>
      </w:pPr>
    </w:p>
    <w:p w14:paraId="439786CE" w14:textId="77777777" w:rsidR="008746EE" w:rsidRPr="000F6264" w:rsidRDefault="008746EE" w:rsidP="008746EE">
      <w:pPr>
        <w:rPr>
          <w:b/>
          <w:bCs/>
          <w:szCs w:val="22"/>
        </w:rPr>
      </w:pPr>
    </w:p>
    <w:p w14:paraId="271B6255" w14:textId="77777777" w:rsidR="008746EE" w:rsidRPr="000F6264" w:rsidRDefault="008746EE" w:rsidP="008746EE">
      <w:pPr>
        <w:rPr>
          <w:caps/>
          <w:szCs w:val="22"/>
        </w:rPr>
      </w:pPr>
      <w:r w:rsidRPr="000F6264">
        <w:rPr>
          <w:b/>
          <w:caps/>
          <w:szCs w:val="22"/>
        </w:rPr>
        <w:t>4.</w:t>
      </w:r>
      <w:r w:rsidRPr="000F6264">
        <w:rPr>
          <w:b/>
          <w:caps/>
          <w:szCs w:val="22"/>
        </w:rPr>
        <w:tab/>
        <w:t>KLINICKÉ ÚDAJE</w:t>
      </w:r>
    </w:p>
    <w:p w14:paraId="60981405" w14:textId="77777777" w:rsidR="008746EE" w:rsidRPr="000F6264" w:rsidRDefault="008746EE" w:rsidP="008746EE">
      <w:pPr>
        <w:rPr>
          <w:szCs w:val="22"/>
        </w:rPr>
      </w:pPr>
    </w:p>
    <w:p w14:paraId="4544E60C" w14:textId="77777777" w:rsidR="008746EE" w:rsidRPr="000F6264" w:rsidRDefault="008746EE" w:rsidP="008746EE">
      <w:pPr>
        <w:rPr>
          <w:szCs w:val="22"/>
        </w:rPr>
      </w:pPr>
      <w:r w:rsidRPr="000F6264">
        <w:rPr>
          <w:b/>
          <w:szCs w:val="22"/>
        </w:rPr>
        <w:t>4.1</w:t>
      </w:r>
      <w:r w:rsidRPr="000F6264">
        <w:rPr>
          <w:b/>
          <w:szCs w:val="22"/>
        </w:rPr>
        <w:tab/>
        <w:t>Terapeutické indikácie</w:t>
      </w:r>
    </w:p>
    <w:p w14:paraId="7F3A3937" w14:textId="77777777" w:rsidR="008746EE" w:rsidRPr="000F6264" w:rsidRDefault="008746EE" w:rsidP="008746EE">
      <w:pPr>
        <w:rPr>
          <w:szCs w:val="22"/>
        </w:rPr>
      </w:pPr>
    </w:p>
    <w:p w14:paraId="77B1F188" w14:textId="77777777" w:rsidR="008746EE" w:rsidRPr="005278E8" w:rsidRDefault="008746EE" w:rsidP="008746EE">
      <w:pPr>
        <w:rPr>
          <w:szCs w:val="22"/>
          <w:u w:val="single"/>
        </w:rPr>
      </w:pPr>
      <w:r w:rsidRPr="005278E8">
        <w:rPr>
          <w:szCs w:val="22"/>
          <w:u w:val="single"/>
        </w:rPr>
        <w:t>Hypertenzia</w:t>
      </w:r>
    </w:p>
    <w:p w14:paraId="008BE6AC" w14:textId="77777777" w:rsidR="008746EE" w:rsidRDefault="008746EE" w:rsidP="008746EE">
      <w:pPr>
        <w:rPr>
          <w:szCs w:val="22"/>
        </w:rPr>
      </w:pPr>
      <w:r w:rsidRPr="000F6264">
        <w:rPr>
          <w:szCs w:val="22"/>
        </w:rPr>
        <w:t>Liečba hypertenzie.</w:t>
      </w:r>
    </w:p>
    <w:p w14:paraId="121CF621" w14:textId="77777777" w:rsidR="008746EE" w:rsidRDefault="008746EE" w:rsidP="008746EE">
      <w:pPr>
        <w:rPr>
          <w:szCs w:val="22"/>
        </w:rPr>
      </w:pPr>
    </w:p>
    <w:p w14:paraId="7C1B18D1" w14:textId="77777777" w:rsidR="008746EE" w:rsidRDefault="008746EE" w:rsidP="008746EE">
      <w:pPr>
        <w:rPr>
          <w:szCs w:val="22"/>
          <w:u w:val="single"/>
        </w:rPr>
      </w:pPr>
      <w:r w:rsidRPr="005278E8">
        <w:rPr>
          <w:szCs w:val="22"/>
          <w:u w:val="single"/>
        </w:rPr>
        <w:t>Srdcové zlyhanie</w:t>
      </w:r>
    </w:p>
    <w:p w14:paraId="3694048C" w14:textId="77777777" w:rsidR="008746EE" w:rsidRDefault="008746EE" w:rsidP="008746EE">
      <w:pPr>
        <w:rPr>
          <w:szCs w:val="22"/>
        </w:rPr>
      </w:pPr>
      <w:r w:rsidRPr="005278E8">
        <w:rPr>
          <w:szCs w:val="22"/>
        </w:rPr>
        <w:t>Liečba symptomatického srdcového zlyhania</w:t>
      </w:r>
      <w:r>
        <w:rPr>
          <w:szCs w:val="22"/>
        </w:rPr>
        <w:t>.</w:t>
      </w:r>
    </w:p>
    <w:p w14:paraId="677F3F41" w14:textId="77777777" w:rsidR="008746EE" w:rsidRPr="005278E8" w:rsidRDefault="008746EE" w:rsidP="008746EE">
      <w:pPr>
        <w:rPr>
          <w:szCs w:val="22"/>
        </w:rPr>
      </w:pPr>
    </w:p>
    <w:p w14:paraId="17AA9CFF" w14:textId="77777777" w:rsidR="008746EE" w:rsidRPr="005278E8" w:rsidRDefault="008746EE" w:rsidP="008746EE">
      <w:pPr>
        <w:rPr>
          <w:szCs w:val="22"/>
          <w:u w:val="single"/>
        </w:rPr>
      </w:pPr>
      <w:r w:rsidRPr="005278E8">
        <w:rPr>
          <w:szCs w:val="22"/>
          <w:u w:val="single"/>
        </w:rPr>
        <w:t>Stabilné formy ischemickej choroby srdca</w:t>
      </w:r>
    </w:p>
    <w:p w14:paraId="0755AA32" w14:textId="139BBB20" w:rsidR="008746EE" w:rsidRPr="00490B21" w:rsidRDefault="008746EE" w:rsidP="008746EE">
      <w:pPr>
        <w:ind w:left="0" w:firstLine="0"/>
        <w:rPr>
          <w:szCs w:val="22"/>
        </w:rPr>
      </w:pPr>
      <w:r w:rsidRPr="00490B21">
        <w:rPr>
          <w:szCs w:val="22"/>
        </w:rPr>
        <w:t xml:space="preserve">Zníženie rizika </w:t>
      </w:r>
      <w:r>
        <w:rPr>
          <w:szCs w:val="22"/>
        </w:rPr>
        <w:t>srdcových</w:t>
      </w:r>
      <w:r w:rsidRPr="00490B21">
        <w:rPr>
          <w:szCs w:val="22"/>
        </w:rPr>
        <w:t xml:space="preserve"> príhod u pacientov </w:t>
      </w:r>
      <w:r>
        <w:rPr>
          <w:szCs w:val="22"/>
        </w:rPr>
        <w:t>s infarktom myokardu a/alebo revaskularizáciou v anamnéze.</w:t>
      </w:r>
    </w:p>
    <w:p w14:paraId="7C6F058B" w14:textId="77777777" w:rsidR="008746EE" w:rsidRPr="000F6264" w:rsidRDefault="008746EE" w:rsidP="008746EE">
      <w:pPr>
        <w:rPr>
          <w:szCs w:val="22"/>
        </w:rPr>
      </w:pPr>
    </w:p>
    <w:p w14:paraId="4A34AD57" w14:textId="77777777" w:rsidR="008746EE" w:rsidRPr="000F6264" w:rsidRDefault="008746EE" w:rsidP="008746EE">
      <w:pPr>
        <w:rPr>
          <w:szCs w:val="22"/>
        </w:rPr>
      </w:pPr>
      <w:r w:rsidRPr="000F6264">
        <w:rPr>
          <w:b/>
          <w:szCs w:val="22"/>
        </w:rPr>
        <w:t>4.2</w:t>
      </w:r>
      <w:r w:rsidRPr="000F6264">
        <w:rPr>
          <w:b/>
          <w:szCs w:val="22"/>
        </w:rPr>
        <w:tab/>
        <w:t>Dávkovanie a spôsob podávania</w:t>
      </w:r>
    </w:p>
    <w:p w14:paraId="61EAC895" w14:textId="77777777" w:rsidR="008746EE" w:rsidRDefault="008746EE" w:rsidP="008746EE">
      <w:pPr>
        <w:pStyle w:val="Zarkazkladnhotextu"/>
      </w:pPr>
    </w:p>
    <w:p w14:paraId="071DDE24" w14:textId="77777777" w:rsidR="008746EE" w:rsidRPr="00006E6C" w:rsidRDefault="008746EE" w:rsidP="008746EE">
      <w:pPr>
        <w:pStyle w:val="Zarkazkladnhotextu"/>
        <w:rPr>
          <w:u w:val="single"/>
        </w:rPr>
      </w:pPr>
      <w:r w:rsidRPr="00006E6C">
        <w:rPr>
          <w:u w:val="single"/>
        </w:rPr>
        <w:t>Dávkovanie</w:t>
      </w:r>
    </w:p>
    <w:p w14:paraId="1FDFAEAC" w14:textId="14E20071" w:rsidR="008746EE" w:rsidRPr="00947583" w:rsidRDefault="008746EE" w:rsidP="008746EE">
      <w:pPr>
        <w:ind w:left="0" w:firstLine="0"/>
        <w:rPr>
          <w:szCs w:val="22"/>
        </w:rPr>
      </w:pPr>
      <w:r w:rsidRPr="00947583">
        <w:rPr>
          <w:szCs w:val="22"/>
        </w:rPr>
        <w:t xml:space="preserve">Dávku je potrebné určiť individuálne podľa </w:t>
      </w:r>
      <w:r>
        <w:rPr>
          <w:szCs w:val="22"/>
        </w:rPr>
        <w:t>klinického stavu jednotlivého pacienta</w:t>
      </w:r>
      <w:r w:rsidRPr="00947583">
        <w:rPr>
          <w:szCs w:val="22"/>
        </w:rPr>
        <w:t xml:space="preserve"> (pozri časť 4.4) a</w:t>
      </w:r>
      <w:r>
        <w:rPr>
          <w:szCs w:val="22"/>
        </w:rPr>
        <w:t> </w:t>
      </w:r>
      <w:r w:rsidRPr="00A87E48">
        <w:rPr>
          <w:szCs w:val="22"/>
        </w:rPr>
        <w:t>odpovede krvného tlaku</w:t>
      </w:r>
      <w:r w:rsidRPr="00947583">
        <w:rPr>
          <w:szCs w:val="22"/>
        </w:rPr>
        <w:t>.</w:t>
      </w:r>
    </w:p>
    <w:p w14:paraId="633CBAAC" w14:textId="77777777" w:rsidR="008746EE" w:rsidRPr="00947583" w:rsidRDefault="008746EE" w:rsidP="008746EE">
      <w:pPr>
        <w:rPr>
          <w:szCs w:val="22"/>
        </w:rPr>
      </w:pPr>
    </w:p>
    <w:p w14:paraId="2BD24F8C" w14:textId="77777777" w:rsidR="008746EE" w:rsidRPr="005278E8" w:rsidRDefault="008746EE" w:rsidP="008746EE">
      <w:pPr>
        <w:ind w:left="0" w:firstLine="0"/>
        <w:rPr>
          <w:szCs w:val="22"/>
          <w:u w:val="single"/>
        </w:rPr>
      </w:pPr>
      <w:r w:rsidRPr="005278E8">
        <w:rPr>
          <w:szCs w:val="22"/>
          <w:u w:val="single"/>
        </w:rPr>
        <w:t>Hypertenzia</w:t>
      </w:r>
      <w:r>
        <w:rPr>
          <w:szCs w:val="22"/>
          <w:u w:val="single"/>
        </w:rPr>
        <w:t>:</w:t>
      </w:r>
    </w:p>
    <w:p w14:paraId="3E427963" w14:textId="3D37BD80" w:rsidR="008746EE" w:rsidRDefault="008746EE" w:rsidP="008746EE">
      <w:pPr>
        <w:rPr>
          <w:szCs w:val="22"/>
        </w:rPr>
      </w:pPr>
      <w:r w:rsidRPr="00623548">
        <w:rPr>
          <w:szCs w:val="22"/>
          <w:lang w:eastAsia="fr-FR"/>
        </w:rPr>
        <w:t>Perindopril</w:t>
      </w:r>
      <w:r w:rsidRPr="00623548">
        <w:rPr>
          <w:szCs w:val="22"/>
        </w:rPr>
        <w:t xml:space="preserve"> môže byť používaný v monoterapii alebo v kombinácii s inými triedami antihypertenzív</w:t>
      </w:r>
    </w:p>
    <w:p w14:paraId="1737A867" w14:textId="1E6DB829" w:rsidR="008746EE" w:rsidRPr="00623548" w:rsidRDefault="008746EE" w:rsidP="008746EE">
      <w:pPr>
        <w:rPr>
          <w:szCs w:val="22"/>
        </w:rPr>
      </w:pPr>
      <w:r>
        <w:rPr>
          <w:szCs w:val="22"/>
        </w:rPr>
        <w:t>(pozri časti 4.3, 4.4, 4.5 a 5.1)</w:t>
      </w:r>
      <w:r w:rsidRPr="00623548">
        <w:rPr>
          <w:szCs w:val="22"/>
        </w:rPr>
        <w:t>.</w:t>
      </w:r>
    </w:p>
    <w:p w14:paraId="4D443E4D" w14:textId="77777777" w:rsidR="008746EE" w:rsidRPr="00623548" w:rsidRDefault="008746EE" w:rsidP="008746EE">
      <w:pPr>
        <w:rPr>
          <w:b/>
          <w:i/>
          <w:szCs w:val="22"/>
        </w:rPr>
      </w:pPr>
      <w:r w:rsidRPr="00623548">
        <w:rPr>
          <w:szCs w:val="22"/>
        </w:rPr>
        <w:t xml:space="preserve">Odporúčaná </w:t>
      </w:r>
      <w:r>
        <w:rPr>
          <w:szCs w:val="22"/>
        </w:rPr>
        <w:t xml:space="preserve">úvodná </w:t>
      </w:r>
      <w:r w:rsidRPr="00623548">
        <w:rPr>
          <w:szCs w:val="22"/>
        </w:rPr>
        <w:t>dávka je 4</w:t>
      </w:r>
      <w:r>
        <w:rPr>
          <w:szCs w:val="22"/>
        </w:rPr>
        <w:t> </w:t>
      </w:r>
      <w:r w:rsidRPr="00623548">
        <w:rPr>
          <w:szCs w:val="22"/>
        </w:rPr>
        <w:t xml:space="preserve">mg </w:t>
      </w:r>
      <w:r>
        <w:rPr>
          <w:szCs w:val="22"/>
        </w:rPr>
        <w:t xml:space="preserve">podaná </w:t>
      </w:r>
      <w:r w:rsidRPr="00623548">
        <w:rPr>
          <w:szCs w:val="22"/>
        </w:rPr>
        <w:t>raz denne ráno.</w:t>
      </w:r>
    </w:p>
    <w:p w14:paraId="4E16E35E" w14:textId="723EBC82" w:rsidR="008746EE" w:rsidRPr="00623548" w:rsidRDefault="008746EE" w:rsidP="008746EE">
      <w:pPr>
        <w:ind w:left="0" w:firstLine="0"/>
        <w:rPr>
          <w:szCs w:val="22"/>
        </w:rPr>
      </w:pPr>
      <w:r w:rsidRPr="00623548">
        <w:rPr>
          <w:szCs w:val="22"/>
        </w:rPr>
        <w:t>U pacientov so </w:t>
      </w:r>
      <w:r>
        <w:rPr>
          <w:szCs w:val="22"/>
        </w:rPr>
        <w:t xml:space="preserve">zvýšenou aktiváciou </w:t>
      </w:r>
      <w:r w:rsidRPr="00623548">
        <w:rPr>
          <w:szCs w:val="22"/>
        </w:rPr>
        <w:t>systém</w:t>
      </w:r>
      <w:r>
        <w:rPr>
          <w:szCs w:val="22"/>
        </w:rPr>
        <w:t>u</w:t>
      </w:r>
      <w:r w:rsidRPr="00623548">
        <w:rPr>
          <w:szCs w:val="22"/>
        </w:rPr>
        <w:t xml:space="preserve"> renín-angiotenzín-aldosterón (najmä s renovaskulárnou hypertenziou, depléciou solí a/alebo objemu, srdcovou dekompenzáciou alebo závažnou hypertenziou) </w:t>
      </w:r>
      <w:r w:rsidRPr="00623548">
        <w:rPr>
          <w:szCs w:val="22"/>
        </w:rPr>
        <w:lastRenderedPageBreak/>
        <w:t xml:space="preserve">môže dôjsť k nadmernému poklesu tlaku krvi po úvodnej dávke. U takýchto pacientov </w:t>
      </w:r>
      <w:r>
        <w:rPr>
          <w:szCs w:val="22"/>
        </w:rPr>
        <w:t>je</w:t>
      </w:r>
      <w:r w:rsidRPr="00623548">
        <w:rPr>
          <w:szCs w:val="22"/>
        </w:rPr>
        <w:t xml:space="preserve"> odporúča</w:t>
      </w:r>
      <w:r>
        <w:rPr>
          <w:szCs w:val="22"/>
        </w:rPr>
        <w:t>ná</w:t>
      </w:r>
      <w:r w:rsidRPr="00623548">
        <w:rPr>
          <w:szCs w:val="22"/>
        </w:rPr>
        <w:t xml:space="preserve"> úvodná dávka 2</w:t>
      </w:r>
      <w:r>
        <w:rPr>
          <w:szCs w:val="22"/>
        </w:rPr>
        <w:t> </w:t>
      </w:r>
      <w:r w:rsidRPr="00623548">
        <w:rPr>
          <w:szCs w:val="22"/>
        </w:rPr>
        <w:t>mg a s liečbou treba začínať pod lekárskym dohľadom.</w:t>
      </w:r>
    </w:p>
    <w:p w14:paraId="5F1D6D5B" w14:textId="77777777" w:rsidR="008746EE" w:rsidRPr="00623548" w:rsidRDefault="008746EE" w:rsidP="008746EE">
      <w:pPr>
        <w:rPr>
          <w:szCs w:val="22"/>
        </w:rPr>
      </w:pPr>
      <w:r w:rsidRPr="00623548">
        <w:rPr>
          <w:szCs w:val="22"/>
        </w:rPr>
        <w:t>Po jednom mesiaci liečby môže byť dávka zvýšená na 8</w:t>
      </w:r>
      <w:r>
        <w:rPr>
          <w:szCs w:val="22"/>
        </w:rPr>
        <w:t> </w:t>
      </w:r>
      <w:r w:rsidRPr="00623548">
        <w:rPr>
          <w:szCs w:val="22"/>
        </w:rPr>
        <w:t>mg raz denne.</w:t>
      </w:r>
    </w:p>
    <w:p w14:paraId="06F91E98" w14:textId="6BD2A93B" w:rsidR="008746EE" w:rsidRDefault="008746EE" w:rsidP="008746EE">
      <w:pPr>
        <w:ind w:left="0" w:firstLine="0"/>
        <w:rPr>
          <w:szCs w:val="22"/>
        </w:rPr>
      </w:pPr>
      <w:r w:rsidRPr="00623548">
        <w:rPr>
          <w:szCs w:val="22"/>
        </w:rPr>
        <w:t xml:space="preserve">Po začatí liečby perindoprilom môže dôjsť k symptomatickej hypotenzii; </w:t>
      </w:r>
      <w:r>
        <w:rPr>
          <w:szCs w:val="22"/>
        </w:rPr>
        <w:t>najmä</w:t>
      </w:r>
      <w:r w:rsidRPr="00623548">
        <w:rPr>
          <w:szCs w:val="22"/>
        </w:rPr>
        <w:t xml:space="preserve"> u pacientov sú</w:t>
      </w:r>
      <w:r>
        <w:rPr>
          <w:szCs w:val="22"/>
        </w:rPr>
        <w:t>bežne</w:t>
      </w:r>
      <w:r w:rsidRPr="00623548">
        <w:rPr>
          <w:szCs w:val="22"/>
        </w:rPr>
        <w:t xml:space="preserve"> liečených diuretikami. </w:t>
      </w:r>
    </w:p>
    <w:p w14:paraId="1E175B3A" w14:textId="77777777" w:rsidR="008746EE" w:rsidRPr="00623548" w:rsidRDefault="008746EE" w:rsidP="008746EE">
      <w:pPr>
        <w:ind w:left="0" w:firstLine="0"/>
        <w:rPr>
          <w:szCs w:val="22"/>
        </w:rPr>
      </w:pPr>
      <w:r>
        <w:rPr>
          <w:szCs w:val="22"/>
        </w:rPr>
        <w:t>O</w:t>
      </w:r>
      <w:r w:rsidRPr="00623548">
        <w:rPr>
          <w:szCs w:val="22"/>
        </w:rPr>
        <w:t xml:space="preserve">dporúča </w:t>
      </w:r>
      <w:r>
        <w:rPr>
          <w:szCs w:val="22"/>
        </w:rPr>
        <w:t xml:space="preserve">sa </w:t>
      </w:r>
      <w:r w:rsidRPr="00623548">
        <w:rPr>
          <w:szCs w:val="22"/>
        </w:rPr>
        <w:t xml:space="preserve">zvýšená opatrnosť, </w:t>
      </w:r>
      <w:r>
        <w:rPr>
          <w:szCs w:val="22"/>
        </w:rPr>
        <w:t xml:space="preserve">pretože </w:t>
      </w:r>
      <w:r w:rsidRPr="00623548">
        <w:rPr>
          <w:szCs w:val="22"/>
        </w:rPr>
        <w:t>títo pacienti môžu mať depléciu solí a/alebo objemu.</w:t>
      </w:r>
    </w:p>
    <w:p w14:paraId="011387C8" w14:textId="77777777" w:rsidR="008746EE" w:rsidRPr="00623548" w:rsidRDefault="008746EE" w:rsidP="008746EE">
      <w:pPr>
        <w:ind w:left="0" w:firstLine="0"/>
        <w:rPr>
          <w:szCs w:val="22"/>
        </w:rPr>
      </w:pPr>
      <w:r w:rsidRPr="00623548">
        <w:rPr>
          <w:szCs w:val="22"/>
        </w:rPr>
        <w:t>Ak je to možné, diuretikum by malo byť vysadené 2</w:t>
      </w:r>
      <w:r>
        <w:rPr>
          <w:szCs w:val="22"/>
        </w:rPr>
        <w:noBreakHyphen/>
      </w:r>
      <w:r w:rsidRPr="00623548">
        <w:rPr>
          <w:szCs w:val="22"/>
        </w:rPr>
        <w:t>3</w:t>
      </w:r>
      <w:r>
        <w:rPr>
          <w:szCs w:val="22"/>
        </w:rPr>
        <w:t> </w:t>
      </w:r>
      <w:r w:rsidRPr="00623548">
        <w:rPr>
          <w:szCs w:val="22"/>
        </w:rPr>
        <w:t>dni pred začatím liečby perindoprilom (pozri časť 4.4).</w:t>
      </w:r>
    </w:p>
    <w:p w14:paraId="654CB09C" w14:textId="77777777" w:rsidR="008746EE" w:rsidRDefault="008746EE" w:rsidP="008746EE">
      <w:pPr>
        <w:ind w:left="0" w:firstLine="0"/>
        <w:rPr>
          <w:szCs w:val="22"/>
        </w:rPr>
      </w:pPr>
      <w:r w:rsidRPr="00623548">
        <w:rPr>
          <w:szCs w:val="22"/>
        </w:rPr>
        <w:t xml:space="preserve">U hypertenzných pacientov, u ktorých nie je možné diuretikum vysadiť, </w:t>
      </w:r>
      <w:r>
        <w:rPr>
          <w:szCs w:val="22"/>
        </w:rPr>
        <w:t xml:space="preserve">sa má </w:t>
      </w:r>
      <w:r w:rsidRPr="00623548">
        <w:rPr>
          <w:szCs w:val="22"/>
        </w:rPr>
        <w:t>liečba</w:t>
      </w:r>
      <w:r>
        <w:rPr>
          <w:rFonts w:ascii="Arial" w:hAnsi="Arial" w:cs="Arial"/>
          <w:sz w:val="20"/>
        </w:rPr>
        <w:t xml:space="preserve"> </w:t>
      </w:r>
      <w:r w:rsidRPr="00623548">
        <w:rPr>
          <w:szCs w:val="22"/>
        </w:rPr>
        <w:t>perindoprilom začínať dávkou 2</w:t>
      </w:r>
      <w:r>
        <w:rPr>
          <w:szCs w:val="22"/>
        </w:rPr>
        <w:t> </w:t>
      </w:r>
      <w:r w:rsidRPr="00623548">
        <w:rPr>
          <w:szCs w:val="22"/>
        </w:rPr>
        <w:t xml:space="preserve">mg. Renálne funkcie a hladina draslíka v sére </w:t>
      </w:r>
      <w:r>
        <w:rPr>
          <w:szCs w:val="22"/>
        </w:rPr>
        <w:t>sa majú</w:t>
      </w:r>
      <w:r w:rsidRPr="00623548">
        <w:rPr>
          <w:szCs w:val="22"/>
        </w:rPr>
        <w:t xml:space="preserve"> monitorova</w:t>
      </w:r>
      <w:r>
        <w:rPr>
          <w:szCs w:val="22"/>
        </w:rPr>
        <w:t>ť</w:t>
      </w:r>
      <w:r w:rsidRPr="00623548">
        <w:rPr>
          <w:szCs w:val="22"/>
        </w:rPr>
        <w:t xml:space="preserve">. Ďalšie dávkovanie </w:t>
      </w:r>
      <w:r>
        <w:rPr>
          <w:szCs w:val="22"/>
        </w:rPr>
        <w:t>perindoprilu</w:t>
      </w:r>
      <w:r w:rsidRPr="00623548">
        <w:rPr>
          <w:szCs w:val="22"/>
        </w:rPr>
        <w:t xml:space="preserve"> </w:t>
      </w:r>
      <w:r>
        <w:rPr>
          <w:szCs w:val="22"/>
        </w:rPr>
        <w:t>sa má</w:t>
      </w:r>
      <w:r w:rsidRPr="00623548">
        <w:rPr>
          <w:szCs w:val="22"/>
        </w:rPr>
        <w:t xml:space="preserve"> prispôsob</w:t>
      </w:r>
      <w:r>
        <w:rPr>
          <w:szCs w:val="22"/>
        </w:rPr>
        <w:t>iť</w:t>
      </w:r>
      <w:r w:rsidRPr="00623548">
        <w:rPr>
          <w:szCs w:val="22"/>
        </w:rPr>
        <w:t xml:space="preserve"> miere poklesu tlaku krvi. Ak je to potrebné, môže sa znovu začať s diuretickou liečbou.</w:t>
      </w:r>
    </w:p>
    <w:p w14:paraId="4A205047" w14:textId="77777777" w:rsidR="008746EE" w:rsidRPr="00623548" w:rsidRDefault="008746EE" w:rsidP="008746EE">
      <w:pPr>
        <w:ind w:left="0" w:firstLine="0"/>
        <w:rPr>
          <w:szCs w:val="22"/>
        </w:rPr>
      </w:pPr>
      <w:r w:rsidRPr="00623548">
        <w:rPr>
          <w:szCs w:val="22"/>
        </w:rPr>
        <w:t>U starších pacientov sa liečba m</w:t>
      </w:r>
      <w:r>
        <w:rPr>
          <w:szCs w:val="22"/>
        </w:rPr>
        <w:t>á</w:t>
      </w:r>
      <w:r w:rsidRPr="00623548">
        <w:rPr>
          <w:szCs w:val="22"/>
        </w:rPr>
        <w:t xml:space="preserve"> začínať dávkou 2</w:t>
      </w:r>
      <w:r>
        <w:rPr>
          <w:szCs w:val="22"/>
        </w:rPr>
        <w:t> </w:t>
      </w:r>
      <w:r w:rsidRPr="00623548">
        <w:rPr>
          <w:szCs w:val="22"/>
        </w:rPr>
        <w:t>mg, ktorú je možné postupne zvýšiť na 4</w:t>
      </w:r>
      <w:r>
        <w:rPr>
          <w:szCs w:val="22"/>
        </w:rPr>
        <w:t> </w:t>
      </w:r>
      <w:r w:rsidRPr="00623548">
        <w:rPr>
          <w:szCs w:val="22"/>
        </w:rPr>
        <w:t>mg po jednom mesiaci, v prípade potreby až na 8</w:t>
      </w:r>
      <w:r>
        <w:rPr>
          <w:szCs w:val="22"/>
        </w:rPr>
        <w:t> </w:t>
      </w:r>
      <w:r w:rsidRPr="00623548">
        <w:rPr>
          <w:szCs w:val="22"/>
        </w:rPr>
        <w:t>mg v závislosti od renálnych funkcií (pozri tabuľku uvedenú nižšie).</w:t>
      </w:r>
    </w:p>
    <w:p w14:paraId="54B47F8B" w14:textId="77777777" w:rsidR="008746EE" w:rsidRDefault="008746EE" w:rsidP="008746EE">
      <w:pPr>
        <w:ind w:left="0" w:firstLine="0"/>
        <w:rPr>
          <w:szCs w:val="22"/>
          <w:highlight w:val="green"/>
        </w:rPr>
      </w:pPr>
    </w:p>
    <w:p w14:paraId="2B8DE9D7" w14:textId="77777777" w:rsidR="008746EE" w:rsidRDefault="008746EE" w:rsidP="008746EE">
      <w:pPr>
        <w:ind w:left="0" w:firstLine="0"/>
        <w:rPr>
          <w:szCs w:val="22"/>
          <w:u w:val="single"/>
        </w:rPr>
      </w:pPr>
      <w:r w:rsidRPr="00BC6ABF">
        <w:rPr>
          <w:szCs w:val="22"/>
          <w:u w:val="single"/>
        </w:rPr>
        <w:t>Symptomatické srdcové zlyhanie</w:t>
      </w:r>
      <w:r>
        <w:rPr>
          <w:szCs w:val="22"/>
          <w:u w:val="single"/>
        </w:rPr>
        <w:t>:</w:t>
      </w:r>
    </w:p>
    <w:p w14:paraId="7E50979F" w14:textId="73C8A660" w:rsidR="008746EE" w:rsidRDefault="008746EE" w:rsidP="008746EE">
      <w:pPr>
        <w:ind w:left="0" w:firstLine="0"/>
        <w:rPr>
          <w:szCs w:val="22"/>
        </w:rPr>
      </w:pPr>
      <w:r w:rsidRPr="00FA7F4C">
        <w:rPr>
          <w:szCs w:val="22"/>
        </w:rPr>
        <w:t>Odporúča sa</w:t>
      </w:r>
      <w:r>
        <w:rPr>
          <w:szCs w:val="22"/>
        </w:rPr>
        <w:t xml:space="preserve"> začať liečbu perindoprilom</w:t>
      </w:r>
      <w:r w:rsidRPr="00FA7F4C">
        <w:rPr>
          <w:szCs w:val="22"/>
        </w:rPr>
        <w:t xml:space="preserve">, </w:t>
      </w:r>
      <w:r>
        <w:rPr>
          <w:szCs w:val="22"/>
        </w:rPr>
        <w:t xml:space="preserve">ktorá sa </w:t>
      </w:r>
      <w:r w:rsidRPr="00FA7F4C">
        <w:rPr>
          <w:szCs w:val="22"/>
        </w:rPr>
        <w:t>zvyčajne</w:t>
      </w:r>
      <w:r>
        <w:rPr>
          <w:szCs w:val="22"/>
        </w:rPr>
        <w:t xml:space="preserve"> podáva</w:t>
      </w:r>
      <w:r w:rsidRPr="00FA7F4C">
        <w:rPr>
          <w:szCs w:val="22"/>
        </w:rPr>
        <w:t xml:space="preserve"> v kombinácii s diuretikom nešetriacim draslík a/alebo digoxínom a/alebo betablokátorom, pod prísnym lekárskym dohľadom</w:t>
      </w:r>
      <w:r w:rsidRPr="00214B1B">
        <w:rPr>
          <w:szCs w:val="22"/>
        </w:rPr>
        <w:t xml:space="preserve"> </w:t>
      </w:r>
      <w:r w:rsidRPr="00F83EB2">
        <w:rPr>
          <w:szCs w:val="22"/>
        </w:rPr>
        <w:t xml:space="preserve">odporúčanou </w:t>
      </w:r>
      <w:r>
        <w:rPr>
          <w:szCs w:val="22"/>
        </w:rPr>
        <w:t>za</w:t>
      </w:r>
      <w:r w:rsidRPr="00F83EB2">
        <w:rPr>
          <w:szCs w:val="22"/>
        </w:rPr>
        <w:t>čiatočnou dávkou 2 mg</w:t>
      </w:r>
      <w:r w:rsidRPr="00FA7F4C">
        <w:rPr>
          <w:szCs w:val="22"/>
        </w:rPr>
        <w:t xml:space="preserve"> užívanou ráno. </w:t>
      </w:r>
      <w:r>
        <w:rPr>
          <w:szCs w:val="22"/>
        </w:rPr>
        <w:t xml:space="preserve">Táto dávka sa môže zvýšiť o 2 mg </w:t>
      </w:r>
      <w:r w:rsidRPr="00FA7F4C">
        <w:rPr>
          <w:szCs w:val="22"/>
        </w:rPr>
        <w:t>najskôr po 2 týždňoch na dávku 4 mg jedenkrát denne</w:t>
      </w:r>
      <w:r>
        <w:rPr>
          <w:szCs w:val="22"/>
        </w:rPr>
        <w:t>, pokiaľ je táto dávka tolerovaná</w:t>
      </w:r>
      <w:r w:rsidRPr="00FA7F4C">
        <w:rPr>
          <w:szCs w:val="22"/>
        </w:rPr>
        <w:t xml:space="preserve">. </w:t>
      </w:r>
    </w:p>
    <w:p w14:paraId="74D5A9A4" w14:textId="77777777" w:rsidR="008746EE" w:rsidRPr="00FA7F4C" w:rsidRDefault="008746EE" w:rsidP="008746EE">
      <w:pPr>
        <w:ind w:left="0" w:firstLine="0"/>
        <w:rPr>
          <w:szCs w:val="22"/>
        </w:rPr>
      </w:pPr>
      <w:r w:rsidRPr="00FA7F4C">
        <w:rPr>
          <w:szCs w:val="22"/>
        </w:rPr>
        <w:t>Dávka sa má upravovať podľa klinickej odpovede jednotlivého pacienta.</w:t>
      </w:r>
    </w:p>
    <w:p w14:paraId="43D9F496" w14:textId="77777777" w:rsidR="008746EE" w:rsidRPr="00FA7F4C" w:rsidRDefault="008746EE" w:rsidP="008746EE">
      <w:pPr>
        <w:ind w:left="0" w:firstLine="0"/>
        <w:rPr>
          <w:szCs w:val="22"/>
        </w:rPr>
      </w:pPr>
      <w:r w:rsidRPr="00FA7F4C">
        <w:rPr>
          <w:szCs w:val="22"/>
        </w:rPr>
        <w:t>U pacientov s ťažkým srdcovým zlyhaním a u ďalších pacientov považovaných za vysokorizikových (pacienti s poruchou funkcie obličiek a náchylní k vzniku porúch elektrolytov, pacienti súbežne liečení diuretikami a/alebo vazodilatanciami) sa má liečba začať pod starostlivým dohľadom (pozri časť 4.4)</w:t>
      </w:r>
      <w:r>
        <w:rPr>
          <w:szCs w:val="22"/>
        </w:rPr>
        <w:t>.</w:t>
      </w:r>
    </w:p>
    <w:p w14:paraId="1B88E9A6" w14:textId="77777777" w:rsidR="008746EE" w:rsidRPr="00FA7F4C" w:rsidRDefault="008746EE" w:rsidP="008746EE">
      <w:pPr>
        <w:ind w:left="0" w:firstLine="0"/>
        <w:rPr>
          <w:szCs w:val="22"/>
        </w:rPr>
      </w:pPr>
      <w:r w:rsidRPr="00FA7F4C">
        <w:rPr>
          <w:szCs w:val="22"/>
        </w:rPr>
        <w:t>Pacienti vystavení vysokému riziku vzniku symptomatickej hypotenzie, napr. pacienti s depléciou solí s hyponatriémiou alebo bez nej, pacienti s hypovolémiou alebo pacienti, ktorí dostáv</w:t>
      </w:r>
      <w:r>
        <w:rPr>
          <w:szCs w:val="22"/>
        </w:rPr>
        <w:t>ajú</w:t>
      </w:r>
      <w:r w:rsidRPr="00FA7F4C">
        <w:rPr>
          <w:szCs w:val="22"/>
        </w:rPr>
        <w:t xml:space="preserve"> intenzívnu liečbu diuretikami, majú byť</w:t>
      </w:r>
      <w:r>
        <w:rPr>
          <w:szCs w:val="22"/>
        </w:rPr>
        <w:t xml:space="preserve"> korigovaní</w:t>
      </w:r>
      <w:r w:rsidRPr="00FA7F4C">
        <w:rPr>
          <w:szCs w:val="22"/>
        </w:rPr>
        <w:t>, ak je to možné, ešte pred začiatkom liečby</w:t>
      </w:r>
      <w:r>
        <w:rPr>
          <w:szCs w:val="22"/>
        </w:rPr>
        <w:t xml:space="preserve"> perindoprilom</w:t>
      </w:r>
      <w:r w:rsidRPr="00FA7F4C">
        <w:rPr>
          <w:szCs w:val="22"/>
        </w:rPr>
        <w:t xml:space="preserve">. Pred začiatkom </w:t>
      </w:r>
      <w:r>
        <w:rPr>
          <w:szCs w:val="22"/>
        </w:rPr>
        <w:t>a počas l</w:t>
      </w:r>
      <w:r w:rsidRPr="00FA7F4C">
        <w:rPr>
          <w:szCs w:val="22"/>
        </w:rPr>
        <w:t xml:space="preserve">iečby </w:t>
      </w:r>
      <w:r>
        <w:rPr>
          <w:szCs w:val="22"/>
        </w:rPr>
        <w:t>perindoprilom</w:t>
      </w:r>
      <w:r w:rsidRPr="00FA7F4C">
        <w:rPr>
          <w:szCs w:val="22"/>
        </w:rPr>
        <w:t xml:space="preserve"> je potrebné pozorne monitorovať krvný tlak, funkciu obličiek a hladiny draslíka v sére (pozri časť 4.4).</w:t>
      </w:r>
    </w:p>
    <w:p w14:paraId="6E783FE5" w14:textId="77777777" w:rsidR="008746EE" w:rsidRPr="00BC6ABF" w:rsidRDefault="008746EE" w:rsidP="008746EE">
      <w:pPr>
        <w:ind w:left="0" w:firstLine="0"/>
        <w:rPr>
          <w:szCs w:val="22"/>
        </w:rPr>
      </w:pPr>
    </w:p>
    <w:p w14:paraId="1638360C" w14:textId="77777777" w:rsidR="008746EE" w:rsidRPr="00525358" w:rsidRDefault="008746EE" w:rsidP="008746EE">
      <w:pPr>
        <w:rPr>
          <w:szCs w:val="22"/>
          <w:u w:val="single"/>
        </w:rPr>
      </w:pPr>
      <w:r w:rsidRPr="00525358">
        <w:rPr>
          <w:szCs w:val="22"/>
          <w:u w:val="single"/>
        </w:rPr>
        <w:t>Stabilné formy ischemickej choroby srdca</w:t>
      </w:r>
      <w:r>
        <w:rPr>
          <w:szCs w:val="22"/>
          <w:u w:val="single"/>
        </w:rPr>
        <w:t>:</w:t>
      </w:r>
    </w:p>
    <w:p w14:paraId="057E1599" w14:textId="77777777" w:rsidR="008746EE" w:rsidRPr="00FC1BB0" w:rsidRDefault="008746EE" w:rsidP="008746EE">
      <w:pPr>
        <w:tabs>
          <w:tab w:val="left" w:pos="3828"/>
        </w:tabs>
        <w:ind w:left="0" w:firstLine="0"/>
        <w:rPr>
          <w:szCs w:val="22"/>
        </w:rPr>
      </w:pPr>
      <w:r w:rsidRPr="00FC1BB0">
        <w:rPr>
          <w:szCs w:val="22"/>
        </w:rPr>
        <w:t xml:space="preserve">Perindopril </w:t>
      </w:r>
      <w:r>
        <w:rPr>
          <w:szCs w:val="22"/>
        </w:rPr>
        <w:t xml:space="preserve">sa </w:t>
      </w:r>
      <w:r w:rsidRPr="00FC1BB0">
        <w:rPr>
          <w:szCs w:val="22"/>
        </w:rPr>
        <w:t>má začať podávať v dávke 4</w:t>
      </w:r>
      <w:r>
        <w:rPr>
          <w:szCs w:val="22"/>
        </w:rPr>
        <w:t> </w:t>
      </w:r>
      <w:r w:rsidRPr="00FC1BB0">
        <w:rPr>
          <w:szCs w:val="22"/>
        </w:rPr>
        <w:t xml:space="preserve">mg raz denne počas dvoch týždňov, potom </w:t>
      </w:r>
      <w:r>
        <w:rPr>
          <w:szCs w:val="22"/>
        </w:rPr>
        <w:t xml:space="preserve">sa má </w:t>
      </w:r>
      <w:r w:rsidRPr="00FC1BB0">
        <w:rPr>
          <w:szCs w:val="22"/>
        </w:rPr>
        <w:t>zvýšiť na 8</w:t>
      </w:r>
      <w:r>
        <w:rPr>
          <w:szCs w:val="22"/>
        </w:rPr>
        <w:t> </w:t>
      </w:r>
      <w:r w:rsidRPr="00FC1BB0">
        <w:rPr>
          <w:szCs w:val="22"/>
        </w:rPr>
        <w:t>mg raz denne v závislosti od stavu renálnych funkcií</w:t>
      </w:r>
      <w:r>
        <w:rPr>
          <w:szCs w:val="22"/>
        </w:rPr>
        <w:t xml:space="preserve"> a za predpokladu, že 4 mg dávka je dobre tolerovaná</w:t>
      </w:r>
      <w:r w:rsidRPr="00FC1BB0">
        <w:rPr>
          <w:szCs w:val="22"/>
        </w:rPr>
        <w:t>.</w:t>
      </w:r>
    </w:p>
    <w:p w14:paraId="510F3AA4" w14:textId="2001E9E1" w:rsidR="008746EE" w:rsidRPr="00EC511D" w:rsidRDefault="008746EE" w:rsidP="008746EE">
      <w:pPr>
        <w:tabs>
          <w:tab w:val="left" w:pos="3828"/>
        </w:tabs>
        <w:ind w:left="0" w:firstLine="0"/>
        <w:rPr>
          <w:szCs w:val="22"/>
        </w:rPr>
      </w:pPr>
      <w:r w:rsidRPr="00EC511D">
        <w:rPr>
          <w:szCs w:val="22"/>
        </w:rPr>
        <w:t xml:space="preserve">Starší pacienti </w:t>
      </w:r>
      <w:r>
        <w:rPr>
          <w:szCs w:val="22"/>
        </w:rPr>
        <w:t>majú</w:t>
      </w:r>
      <w:r w:rsidRPr="00EC511D">
        <w:rPr>
          <w:szCs w:val="22"/>
        </w:rPr>
        <w:t xml:space="preserve"> dostať 2 mg raz denne počas jedného týždňa, potom 4</w:t>
      </w:r>
      <w:r>
        <w:rPr>
          <w:szCs w:val="22"/>
        </w:rPr>
        <w:t> </w:t>
      </w:r>
      <w:r w:rsidRPr="00EC511D">
        <w:rPr>
          <w:szCs w:val="22"/>
        </w:rPr>
        <w:t>mg raz denne ďalší týždeň, pred zvýšením dávky až na 8</w:t>
      </w:r>
      <w:r>
        <w:rPr>
          <w:szCs w:val="22"/>
        </w:rPr>
        <w:t> </w:t>
      </w:r>
      <w:r w:rsidRPr="00EC511D">
        <w:rPr>
          <w:szCs w:val="22"/>
        </w:rPr>
        <w:t>mg raz denne v závislosti od renálnych funkcií (pozri Tabuľka č. 1 “</w:t>
      </w:r>
      <w:r w:rsidRPr="00DA7A95">
        <w:rPr>
          <w:szCs w:val="22"/>
        </w:rPr>
        <w:t>Odpor</w:t>
      </w:r>
      <w:r>
        <w:rPr>
          <w:szCs w:val="22"/>
        </w:rPr>
        <w:t>ú</w:t>
      </w:r>
      <w:r w:rsidRPr="00DA7A95">
        <w:rPr>
          <w:szCs w:val="22"/>
        </w:rPr>
        <w:t>č</w:t>
      </w:r>
      <w:r>
        <w:rPr>
          <w:szCs w:val="22"/>
        </w:rPr>
        <w:t>a</w:t>
      </w:r>
      <w:r w:rsidRPr="00DA7A95">
        <w:rPr>
          <w:szCs w:val="22"/>
        </w:rPr>
        <w:t xml:space="preserve">né dávkovanie pri </w:t>
      </w:r>
      <w:r>
        <w:rPr>
          <w:szCs w:val="22"/>
        </w:rPr>
        <w:t>poruche</w:t>
      </w:r>
      <w:r w:rsidRPr="00DA7A95">
        <w:rPr>
          <w:szCs w:val="22"/>
        </w:rPr>
        <w:t xml:space="preserve"> funkcie obličiek</w:t>
      </w:r>
      <w:r w:rsidRPr="00EC511D">
        <w:rPr>
          <w:szCs w:val="22"/>
        </w:rPr>
        <w:t>“).</w:t>
      </w:r>
      <w:r>
        <w:rPr>
          <w:szCs w:val="22"/>
        </w:rPr>
        <w:t xml:space="preserve"> Dávka sa má zvyšovať iba v prípade, ak je predchádzajúca nižšia dávka dobre tolerovaná.</w:t>
      </w:r>
    </w:p>
    <w:p w14:paraId="504977EC" w14:textId="77777777" w:rsidR="008746EE" w:rsidRDefault="008746EE" w:rsidP="008746EE">
      <w:pPr>
        <w:ind w:left="0" w:firstLine="0"/>
        <w:rPr>
          <w:szCs w:val="22"/>
          <w:highlight w:val="green"/>
        </w:rPr>
      </w:pPr>
    </w:p>
    <w:p w14:paraId="2D8A8A7A" w14:textId="04762220" w:rsidR="008746EE" w:rsidRPr="00C10A44" w:rsidRDefault="008746EE" w:rsidP="008746EE">
      <w:pPr>
        <w:rPr>
          <w:i/>
          <w:szCs w:val="22"/>
        </w:rPr>
      </w:pPr>
      <w:r w:rsidRPr="00C10A44">
        <w:rPr>
          <w:i/>
          <w:szCs w:val="22"/>
        </w:rPr>
        <w:t>Pacienti s poruchou funkcie obličiek</w:t>
      </w:r>
    </w:p>
    <w:p w14:paraId="36EF39D2" w14:textId="3FC6BDCA" w:rsidR="008746EE" w:rsidRPr="00EC511D" w:rsidRDefault="008746EE" w:rsidP="008746EE">
      <w:pPr>
        <w:tabs>
          <w:tab w:val="left" w:pos="3828"/>
        </w:tabs>
        <w:ind w:left="0" w:firstLine="0"/>
        <w:rPr>
          <w:szCs w:val="22"/>
        </w:rPr>
      </w:pPr>
      <w:r w:rsidRPr="00EC511D">
        <w:rPr>
          <w:szCs w:val="22"/>
        </w:rPr>
        <w:t>U pacientov s po</w:t>
      </w:r>
      <w:r>
        <w:rPr>
          <w:szCs w:val="22"/>
        </w:rPr>
        <w:t>ruchou</w:t>
      </w:r>
      <w:r w:rsidRPr="00EC511D">
        <w:rPr>
          <w:szCs w:val="22"/>
        </w:rPr>
        <w:t xml:space="preserve"> funkcie obličiek </w:t>
      </w:r>
      <w:r>
        <w:rPr>
          <w:szCs w:val="22"/>
        </w:rPr>
        <w:t xml:space="preserve">sa má </w:t>
      </w:r>
      <w:r w:rsidRPr="00EC511D">
        <w:rPr>
          <w:szCs w:val="22"/>
        </w:rPr>
        <w:t>dávk</w:t>
      </w:r>
      <w:r>
        <w:rPr>
          <w:szCs w:val="22"/>
        </w:rPr>
        <w:t>ov</w:t>
      </w:r>
      <w:r w:rsidRPr="00EC511D">
        <w:rPr>
          <w:szCs w:val="22"/>
        </w:rPr>
        <w:t>a</w:t>
      </w:r>
      <w:r>
        <w:rPr>
          <w:szCs w:val="22"/>
        </w:rPr>
        <w:t>nie</w:t>
      </w:r>
      <w:r w:rsidRPr="00EC511D">
        <w:rPr>
          <w:szCs w:val="22"/>
        </w:rPr>
        <w:t xml:space="preserve"> uprav</w:t>
      </w:r>
      <w:r>
        <w:rPr>
          <w:szCs w:val="22"/>
        </w:rPr>
        <w:t>iť</w:t>
      </w:r>
      <w:r w:rsidRPr="00EC511D">
        <w:rPr>
          <w:szCs w:val="22"/>
        </w:rPr>
        <w:t xml:space="preserve"> </w:t>
      </w:r>
      <w:r>
        <w:rPr>
          <w:szCs w:val="22"/>
        </w:rPr>
        <w:t>podľa klírensu kr</w:t>
      </w:r>
      <w:r w:rsidRPr="00EC511D">
        <w:rPr>
          <w:szCs w:val="22"/>
        </w:rPr>
        <w:t>eatinínu</w:t>
      </w:r>
      <w:r>
        <w:rPr>
          <w:szCs w:val="22"/>
        </w:rPr>
        <w:t xml:space="preserve"> </w:t>
      </w:r>
      <w:r w:rsidRPr="00DA7A95">
        <w:rPr>
          <w:szCs w:val="22"/>
        </w:rPr>
        <w:t>(Cl</w:t>
      </w:r>
      <w:r w:rsidRPr="00DA7A95">
        <w:rPr>
          <w:szCs w:val="22"/>
          <w:vertAlign w:val="subscript"/>
        </w:rPr>
        <w:t>CR</w:t>
      </w:r>
      <w:r w:rsidRPr="00DA7A95">
        <w:rPr>
          <w:szCs w:val="22"/>
        </w:rPr>
        <w:t>)</w:t>
      </w:r>
      <w:r>
        <w:rPr>
          <w:szCs w:val="22"/>
        </w:rPr>
        <w:t>, ako je uvedené v</w:t>
      </w:r>
      <w:r w:rsidRPr="00DA7A95">
        <w:rPr>
          <w:szCs w:val="22"/>
        </w:rPr>
        <w:t xml:space="preserve"> </w:t>
      </w:r>
      <w:r>
        <w:rPr>
          <w:szCs w:val="22"/>
        </w:rPr>
        <w:t xml:space="preserve">nasledujúcej </w:t>
      </w:r>
      <w:r w:rsidRPr="00DA7A95">
        <w:rPr>
          <w:szCs w:val="22"/>
        </w:rPr>
        <w:t>Tabuľk</w:t>
      </w:r>
      <w:r>
        <w:rPr>
          <w:szCs w:val="22"/>
        </w:rPr>
        <w:t>e</w:t>
      </w:r>
      <w:r w:rsidRPr="00DA7A95">
        <w:rPr>
          <w:szCs w:val="22"/>
        </w:rPr>
        <w:t xml:space="preserve"> č. 1.</w:t>
      </w:r>
    </w:p>
    <w:p w14:paraId="1289FC6B" w14:textId="77777777" w:rsidR="008746EE" w:rsidRPr="00EC511D" w:rsidRDefault="008746EE" w:rsidP="008746EE">
      <w:pPr>
        <w:ind w:left="0" w:firstLine="0"/>
        <w:rPr>
          <w:color w:val="000000"/>
          <w:szCs w:val="22"/>
          <w:highlight w:val="green"/>
          <w:lang w:eastAsia="fr-FR"/>
        </w:rPr>
      </w:pPr>
    </w:p>
    <w:p w14:paraId="52A54127" w14:textId="3179B288" w:rsidR="008746EE" w:rsidRPr="00EC511D" w:rsidRDefault="008746EE" w:rsidP="008746EE">
      <w:pPr>
        <w:rPr>
          <w:b/>
          <w:color w:val="000000"/>
          <w:szCs w:val="22"/>
          <w:lang w:eastAsia="fr-FR"/>
        </w:rPr>
      </w:pPr>
      <w:r w:rsidRPr="00EC511D">
        <w:rPr>
          <w:b/>
          <w:color w:val="000000"/>
          <w:szCs w:val="22"/>
          <w:lang w:eastAsia="fr-FR"/>
        </w:rPr>
        <w:t xml:space="preserve">Tabuľka č.1: </w:t>
      </w:r>
      <w:r w:rsidRPr="00DA7A95">
        <w:rPr>
          <w:bCs/>
          <w:color w:val="000000"/>
          <w:szCs w:val="22"/>
          <w:lang w:eastAsia="fr-FR"/>
        </w:rPr>
        <w:t>Odpor</w:t>
      </w:r>
      <w:r>
        <w:rPr>
          <w:bCs/>
          <w:color w:val="000000"/>
          <w:szCs w:val="22"/>
          <w:lang w:eastAsia="fr-FR"/>
        </w:rPr>
        <w:t>ú</w:t>
      </w:r>
      <w:r w:rsidRPr="00DA7A95">
        <w:rPr>
          <w:bCs/>
          <w:color w:val="000000"/>
          <w:szCs w:val="22"/>
          <w:lang w:eastAsia="fr-FR"/>
        </w:rPr>
        <w:t>č</w:t>
      </w:r>
      <w:r>
        <w:rPr>
          <w:bCs/>
          <w:color w:val="000000"/>
          <w:szCs w:val="22"/>
          <w:lang w:eastAsia="fr-FR"/>
        </w:rPr>
        <w:t>a</w:t>
      </w:r>
      <w:r w:rsidRPr="00DA7A95">
        <w:rPr>
          <w:bCs/>
          <w:color w:val="000000"/>
          <w:szCs w:val="22"/>
          <w:lang w:eastAsia="fr-FR"/>
        </w:rPr>
        <w:t xml:space="preserve">né dávkovanie pri </w:t>
      </w:r>
      <w:r>
        <w:rPr>
          <w:bCs/>
          <w:color w:val="000000"/>
          <w:szCs w:val="22"/>
          <w:lang w:eastAsia="fr-FR"/>
        </w:rPr>
        <w:t>poruche</w:t>
      </w:r>
      <w:r w:rsidRPr="00DA7A95">
        <w:rPr>
          <w:bCs/>
          <w:color w:val="000000"/>
          <w:szCs w:val="22"/>
          <w:lang w:eastAsia="fr-FR"/>
        </w:rPr>
        <w:t xml:space="preserve"> funkcie obličiek</w:t>
      </w:r>
      <w:r>
        <w:rPr>
          <w:bCs/>
          <w:color w:val="000000"/>
          <w:szCs w:val="22"/>
          <w:lang w:eastAsia="fr-FR"/>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570"/>
        <w:gridCol w:w="4641"/>
      </w:tblGrid>
      <w:tr w:rsidR="008746EE" w:rsidRPr="00EC511D" w14:paraId="24AA19E0" w14:textId="77777777" w:rsidTr="003A5475">
        <w:tc>
          <w:tcPr>
            <w:tcW w:w="4570" w:type="dxa"/>
          </w:tcPr>
          <w:p w14:paraId="28C15C6C" w14:textId="24C2EB8B" w:rsidR="008746EE" w:rsidRPr="00EC511D" w:rsidRDefault="008746EE" w:rsidP="003A5475">
            <w:pPr>
              <w:rPr>
                <w:b/>
                <w:szCs w:val="22"/>
              </w:rPr>
            </w:pPr>
            <w:r w:rsidRPr="00EC511D">
              <w:rPr>
                <w:b/>
                <w:szCs w:val="22"/>
              </w:rPr>
              <w:t xml:space="preserve">Klírens kreatinínu </w:t>
            </w:r>
            <w:r w:rsidRPr="00006E6C">
              <w:rPr>
                <w:szCs w:val="22"/>
              </w:rPr>
              <w:t>(ml/min)</w:t>
            </w:r>
          </w:p>
        </w:tc>
        <w:tc>
          <w:tcPr>
            <w:tcW w:w="4641" w:type="dxa"/>
          </w:tcPr>
          <w:p w14:paraId="1D035A40" w14:textId="64D2E8B1" w:rsidR="008746EE" w:rsidRPr="00EC511D" w:rsidRDefault="008746EE" w:rsidP="003A5475">
            <w:pPr>
              <w:rPr>
                <w:b/>
                <w:szCs w:val="22"/>
              </w:rPr>
            </w:pPr>
            <w:r w:rsidRPr="00EC511D">
              <w:rPr>
                <w:b/>
                <w:szCs w:val="22"/>
              </w:rPr>
              <w:t>Odpor</w:t>
            </w:r>
            <w:r>
              <w:rPr>
                <w:b/>
                <w:szCs w:val="22"/>
              </w:rPr>
              <w:t>ú</w:t>
            </w:r>
            <w:r w:rsidRPr="00EC511D">
              <w:rPr>
                <w:b/>
                <w:szCs w:val="22"/>
              </w:rPr>
              <w:t>č</w:t>
            </w:r>
            <w:r>
              <w:rPr>
                <w:b/>
                <w:szCs w:val="22"/>
              </w:rPr>
              <w:t>a</w:t>
            </w:r>
            <w:r w:rsidRPr="00EC511D">
              <w:rPr>
                <w:b/>
                <w:szCs w:val="22"/>
              </w:rPr>
              <w:t>ná dávka</w:t>
            </w:r>
          </w:p>
        </w:tc>
      </w:tr>
      <w:tr w:rsidR="008746EE" w:rsidRPr="00EC511D" w14:paraId="63345A1B" w14:textId="77777777" w:rsidTr="003A5475">
        <w:tc>
          <w:tcPr>
            <w:tcW w:w="4570" w:type="dxa"/>
          </w:tcPr>
          <w:p w14:paraId="2CAF6AF0" w14:textId="77777777" w:rsidR="008746EE" w:rsidRPr="00EC511D" w:rsidRDefault="008746EE" w:rsidP="003A5475">
            <w:pPr>
              <w:rPr>
                <w:szCs w:val="22"/>
              </w:rPr>
            </w:pPr>
            <w:r w:rsidRPr="00EC511D">
              <w:rPr>
                <w:szCs w:val="22"/>
              </w:rPr>
              <w:t>Cl</w:t>
            </w:r>
            <w:r w:rsidRPr="00EC511D">
              <w:rPr>
                <w:szCs w:val="22"/>
                <w:vertAlign w:val="subscript"/>
              </w:rPr>
              <w:t>CR</w:t>
            </w:r>
            <w:r>
              <w:rPr>
                <w:szCs w:val="22"/>
                <w:vertAlign w:val="subscript"/>
              </w:rPr>
              <w:t> </w:t>
            </w:r>
            <w:r w:rsidRPr="00EC511D">
              <w:rPr>
                <w:szCs w:val="22"/>
              </w:rPr>
              <w:t>≥</w:t>
            </w:r>
            <w:r>
              <w:rPr>
                <w:szCs w:val="22"/>
              </w:rPr>
              <w:t>60</w:t>
            </w:r>
          </w:p>
        </w:tc>
        <w:tc>
          <w:tcPr>
            <w:tcW w:w="4641" w:type="dxa"/>
          </w:tcPr>
          <w:p w14:paraId="60A63461" w14:textId="77777777" w:rsidR="008746EE" w:rsidRPr="00EC511D" w:rsidRDefault="008746EE" w:rsidP="003A5475">
            <w:pPr>
              <w:rPr>
                <w:szCs w:val="22"/>
              </w:rPr>
            </w:pPr>
            <w:r w:rsidRPr="00EC511D">
              <w:rPr>
                <w:szCs w:val="22"/>
              </w:rPr>
              <w:t>4</w:t>
            </w:r>
            <w:r>
              <w:rPr>
                <w:szCs w:val="22"/>
              </w:rPr>
              <w:t> </w:t>
            </w:r>
            <w:r w:rsidRPr="00EC511D">
              <w:rPr>
                <w:szCs w:val="22"/>
              </w:rPr>
              <w:t>mg denne</w:t>
            </w:r>
          </w:p>
        </w:tc>
      </w:tr>
      <w:tr w:rsidR="008746EE" w:rsidRPr="00EC511D" w14:paraId="68EDD27E" w14:textId="77777777" w:rsidTr="003A5475">
        <w:tc>
          <w:tcPr>
            <w:tcW w:w="4570" w:type="dxa"/>
          </w:tcPr>
          <w:p w14:paraId="6A71BB16" w14:textId="77777777" w:rsidR="008746EE" w:rsidRPr="00EC511D" w:rsidRDefault="008746EE" w:rsidP="003A5475">
            <w:pPr>
              <w:rPr>
                <w:szCs w:val="22"/>
              </w:rPr>
            </w:pPr>
            <w:r>
              <w:rPr>
                <w:szCs w:val="22"/>
              </w:rPr>
              <w:t>30</w:t>
            </w:r>
            <w:r w:rsidRPr="00EC511D">
              <w:rPr>
                <w:szCs w:val="22"/>
              </w:rPr>
              <w:t>&lt;</w:t>
            </w:r>
            <w:r>
              <w:rPr>
                <w:szCs w:val="22"/>
              </w:rPr>
              <w:t> </w:t>
            </w:r>
            <w:r w:rsidRPr="00EC511D">
              <w:rPr>
                <w:szCs w:val="22"/>
              </w:rPr>
              <w:t>Cl</w:t>
            </w:r>
            <w:r w:rsidRPr="00EC511D">
              <w:rPr>
                <w:szCs w:val="22"/>
                <w:vertAlign w:val="subscript"/>
              </w:rPr>
              <w:t>CR</w:t>
            </w:r>
            <w:r>
              <w:rPr>
                <w:szCs w:val="22"/>
                <w:vertAlign w:val="subscript"/>
              </w:rPr>
              <w:t> </w:t>
            </w:r>
            <w:r w:rsidRPr="00EC511D">
              <w:rPr>
                <w:szCs w:val="22"/>
              </w:rPr>
              <w:t>&lt;</w:t>
            </w:r>
            <w:r>
              <w:rPr>
                <w:szCs w:val="22"/>
              </w:rPr>
              <w:t>60</w:t>
            </w:r>
            <w:r w:rsidRPr="00EC511D">
              <w:rPr>
                <w:szCs w:val="22"/>
              </w:rPr>
              <w:t xml:space="preserve"> </w:t>
            </w:r>
          </w:p>
        </w:tc>
        <w:tc>
          <w:tcPr>
            <w:tcW w:w="4641" w:type="dxa"/>
          </w:tcPr>
          <w:p w14:paraId="28232FCF" w14:textId="77777777" w:rsidR="008746EE" w:rsidRPr="00EC511D" w:rsidRDefault="008746EE" w:rsidP="003A5475">
            <w:pPr>
              <w:rPr>
                <w:szCs w:val="22"/>
              </w:rPr>
            </w:pPr>
            <w:r w:rsidRPr="00EC511D">
              <w:rPr>
                <w:szCs w:val="22"/>
              </w:rPr>
              <w:t>2</w:t>
            </w:r>
            <w:r>
              <w:rPr>
                <w:szCs w:val="22"/>
              </w:rPr>
              <w:t> </w:t>
            </w:r>
            <w:r w:rsidRPr="00EC511D">
              <w:rPr>
                <w:szCs w:val="22"/>
              </w:rPr>
              <w:t>mg denne</w:t>
            </w:r>
          </w:p>
        </w:tc>
      </w:tr>
      <w:tr w:rsidR="008746EE" w:rsidRPr="00EC511D" w14:paraId="51A8E06E" w14:textId="77777777" w:rsidTr="003A5475">
        <w:tc>
          <w:tcPr>
            <w:tcW w:w="4570" w:type="dxa"/>
          </w:tcPr>
          <w:p w14:paraId="06B111C1" w14:textId="77777777" w:rsidR="008746EE" w:rsidRPr="00EC511D" w:rsidRDefault="008746EE" w:rsidP="003A5475">
            <w:pPr>
              <w:rPr>
                <w:szCs w:val="22"/>
              </w:rPr>
            </w:pPr>
            <w:r>
              <w:rPr>
                <w:szCs w:val="22"/>
              </w:rPr>
              <w:t>15</w:t>
            </w:r>
            <w:r w:rsidRPr="00EC511D">
              <w:rPr>
                <w:szCs w:val="22"/>
              </w:rPr>
              <w:t>&lt;</w:t>
            </w:r>
            <w:r>
              <w:rPr>
                <w:szCs w:val="22"/>
              </w:rPr>
              <w:t> </w:t>
            </w:r>
            <w:r w:rsidRPr="00EC511D">
              <w:rPr>
                <w:szCs w:val="22"/>
              </w:rPr>
              <w:t>Cl</w:t>
            </w:r>
            <w:r w:rsidRPr="00EC511D">
              <w:rPr>
                <w:szCs w:val="22"/>
                <w:vertAlign w:val="subscript"/>
              </w:rPr>
              <w:t>CR</w:t>
            </w:r>
            <w:r>
              <w:rPr>
                <w:szCs w:val="22"/>
                <w:vertAlign w:val="subscript"/>
              </w:rPr>
              <w:t> </w:t>
            </w:r>
            <w:r w:rsidRPr="00EC511D">
              <w:rPr>
                <w:szCs w:val="22"/>
              </w:rPr>
              <w:t>&lt;</w:t>
            </w:r>
            <w:r>
              <w:rPr>
                <w:szCs w:val="22"/>
              </w:rPr>
              <w:t>30</w:t>
            </w:r>
          </w:p>
        </w:tc>
        <w:tc>
          <w:tcPr>
            <w:tcW w:w="4641" w:type="dxa"/>
          </w:tcPr>
          <w:p w14:paraId="5202D4C1" w14:textId="77777777" w:rsidR="008746EE" w:rsidRPr="00EC511D" w:rsidRDefault="008746EE" w:rsidP="003A5475">
            <w:pPr>
              <w:rPr>
                <w:szCs w:val="22"/>
              </w:rPr>
            </w:pPr>
            <w:r w:rsidRPr="00EC511D">
              <w:rPr>
                <w:szCs w:val="22"/>
              </w:rPr>
              <w:t>2</w:t>
            </w:r>
            <w:r>
              <w:rPr>
                <w:szCs w:val="22"/>
              </w:rPr>
              <w:t> </w:t>
            </w:r>
            <w:r w:rsidRPr="00EC511D">
              <w:rPr>
                <w:szCs w:val="22"/>
              </w:rPr>
              <w:t xml:space="preserve">mg </w:t>
            </w:r>
            <w:r>
              <w:rPr>
                <w:szCs w:val="22"/>
              </w:rPr>
              <w:t>každý druhý deň</w:t>
            </w:r>
          </w:p>
        </w:tc>
      </w:tr>
      <w:tr w:rsidR="008746EE" w:rsidRPr="00EC511D" w14:paraId="0DC9CA33" w14:textId="77777777" w:rsidTr="003A5475">
        <w:tc>
          <w:tcPr>
            <w:tcW w:w="4570" w:type="dxa"/>
          </w:tcPr>
          <w:p w14:paraId="56B6C083" w14:textId="77777777" w:rsidR="008746EE" w:rsidRPr="00EC511D" w:rsidRDefault="008746EE" w:rsidP="003A5475">
            <w:pPr>
              <w:rPr>
                <w:szCs w:val="22"/>
              </w:rPr>
            </w:pPr>
            <w:r w:rsidRPr="00EC511D">
              <w:rPr>
                <w:szCs w:val="22"/>
              </w:rPr>
              <w:t>hemodialyzovaní pacienti *</w:t>
            </w:r>
            <w:r>
              <w:rPr>
                <w:szCs w:val="22"/>
              </w:rPr>
              <w:t xml:space="preserve">, </w:t>
            </w:r>
            <w:r w:rsidRPr="00EC511D">
              <w:rPr>
                <w:szCs w:val="22"/>
              </w:rPr>
              <w:t>Cl</w:t>
            </w:r>
            <w:r w:rsidRPr="00EC511D">
              <w:rPr>
                <w:szCs w:val="22"/>
                <w:vertAlign w:val="subscript"/>
              </w:rPr>
              <w:t>CR</w:t>
            </w:r>
            <w:r>
              <w:rPr>
                <w:szCs w:val="22"/>
                <w:vertAlign w:val="subscript"/>
              </w:rPr>
              <w:t> </w:t>
            </w:r>
            <w:r w:rsidRPr="00EC511D">
              <w:rPr>
                <w:szCs w:val="22"/>
              </w:rPr>
              <w:t>&lt;</w:t>
            </w:r>
            <w:r>
              <w:rPr>
                <w:szCs w:val="22"/>
              </w:rPr>
              <w:t>15</w:t>
            </w:r>
          </w:p>
        </w:tc>
        <w:tc>
          <w:tcPr>
            <w:tcW w:w="4641" w:type="dxa"/>
          </w:tcPr>
          <w:p w14:paraId="3C0458A7" w14:textId="77777777" w:rsidR="008746EE" w:rsidRPr="00EC511D" w:rsidRDefault="008746EE" w:rsidP="003A5475">
            <w:pPr>
              <w:rPr>
                <w:szCs w:val="22"/>
              </w:rPr>
            </w:pPr>
            <w:r w:rsidRPr="00EC511D">
              <w:rPr>
                <w:szCs w:val="22"/>
              </w:rPr>
              <w:t>2</w:t>
            </w:r>
            <w:r>
              <w:rPr>
                <w:szCs w:val="22"/>
              </w:rPr>
              <w:t> </w:t>
            </w:r>
            <w:r w:rsidRPr="00EC511D">
              <w:rPr>
                <w:szCs w:val="22"/>
              </w:rPr>
              <w:t>mg v deň dialýzy</w:t>
            </w:r>
          </w:p>
        </w:tc>
      </w:tr>
    </w:tbl>
    <w:p w14:paraId="115EBD9A" w14:textId="77777777" w:rsidR="008746EE" w:rsidRPr="00DC79CA" w:rsidRDefault="008746EE" w:rsidP="008746EE">
      <w:pPr>
        <w:tabs>
          <w:tab w:val="left" w:pos="3828"/>
        </w:tabs>
        <w:ind w:left="0" w:firstLine="0"/>
        <w:rPr>
          <w:szCs w:val="22"/>
        </w:rPr>
      </w:pPr>
      <w:r w:rsidRPr="00DC79CA">
        <w:rPr>
          <w:szCs w:val="22"/>
        </w:rPr>
        <w:t>* Dialyzačný klírens perindoprilátu je 70</w:t>
      </w:r>
      <w:r>
        <w:rPr>
          <w:szCs w:val="22"/>
        </w:rPr>
        <w:t> </w:t>
      </w:r>
      <w:r w:rsidRPr="00DC79CA">
        <w:rPr>
          <w:szCs w:val="22"/>
        </w:rPr>
        <w:t xml:space="preserve">ml/min. Hemodialyzovaným pacientom </w:t>
      </w:r>
      <w:r>
        <w:rPr>
          <w:szCs w:val="22"/>
        </w:rPr>
        <w:t xml:space="preserve">sa má </w:t>
      </w:r>
      <w:r w:rsidRPr="00DC79CA">
        <w:rPr>
          <w:szCs w:val="22"/>
        </w:rPr>
        <w:t xml:space="preserve">dávka </w:t>
      </w:r>
      <w:r>
        <w:rPr>
          <w:szCs w:val="22"/>
        </w:rPr>
        <w:t>podávať</w:t>
      </w:r>
      <w:r w:rsidRPr="00DC79CA">
        <w:rPr>
          <w:szCs w:val="22"/>
        </w:rPr>
        <w:t xml:space="preserve"> po dialýze.</w:t>
      </w:r>
    </w:p>
    <w:p w14:paraId="7A9C83D3" w14:textId="77777777" w:rsidR="008746EE" w:rsidRDefault="008746EE" w:rsidP="008746EE">
      <w:pPr>
        <w:ind w:left="0" w:firstLine="0"/>
        <w:rPr>
          <w:szCs w:val="22"/>
          <w:highlight w:val="green"/>
        </w:rPr>
      </w:pPr>
    </w:p>
    <w:p w14:paraId="617A2F69" w14:textId="4D0C3EDD" w:rsidR="008746EE" w:rsidRPr="00C10A44" w:rsidRDefault="008746EE" w:rsidP="008746EE">
      <w:pPr>
        <w:rPr>
          <w:i/>
          <w:szCs w:val="22"/>
        </w:rPr>
      </w:pPr>
      <w:r w:rsidRPr="00C10A44">
        <w:rPr>
          <w:i/>
          <w:szCs w:val="22"/>
        </w:rPr>
        <w:t>Pacienti s poruchou funkcie pečene</w:t>
      </w:r>
    </w:p>
    <w:p w14:paraId="2779AF6E" w14:textId="17846879" w:rsidR="008746EE" w:rsidRPr="00EC511D" w:rsidRDefault="008746EE" w:rsidP="008746EE">
      <w:pPr>
        <w:tabs>
          <w:tab w:val="left" w:pos="3828"/>
        </w:tabs>
        <w:ind w:left="0" w:firstLine="0"/>
        <w:rPr>
          <w:szCs w:val="22"/>
        </w:rPr>
      </w:pPr>
      <w:r w:rsidRPr="00EC511D">
        <w:rPr>
          <w:szCs w:val="22"/>
        </w:rPr>
        <w:t>U pacientov s </w:t>
      </w:r>
      <w:r>
        <w:rPr>
          <w:szCs w:val="22"/>
        </w:rPr>
        <w:t>poruchou</w:t>
      </w:r>
      <w:r w:rsidRPr="00EC511D">
        <w:rPr>
          <w:szCs w:val="22"/>
        </w:rPr>
        <w:t xml:space="preserve"> funkcie pečene nie je potrebná úprava dávkovania (pozri čas</w:t>
      </w:r>
      <w:r w:rsidR="008637A2">
        <w:rPr>
          <w:szCs w:val="22"/>
        </w:rPr>
        <w:t>ti</w:t>
      </w:r>
      <w:r w:rsidRPr="00EC511D">
        <w:rPr>
          <w:szCs w:val="22"/>
        </w:rPr>
        <w:t xml:space="preserve"> </w:t>
      </w:r>
      <w:smartTag w:uri="urn:schemas-microsoft-com:office:smarttags" w:element="metricconverter">
        <w:smartTagPr>
          <w:attr w:name="ProductID" w:val="4.4 a"/>
        </w:smartTagPr>
        <w:r w:rsidRPr="00EC511D">
          <w:rPr>
            <w:szCs w:val="22"/>
          </w:rPr>
          <w:t>4.4 a</w:t>
        </w:r>
      </w:smartTag>
      <w:r w:rsidRPr="00EC511D">
        <w:rPr>
          <w:szCs w:val="22"/>
        </w:rPr>
        <w:t xml:space="preserve"> 5.2). </w:t>
      </w:r>
    </w:p>
    <w:p w14:paraId="024BD21A" w14:textId="77777777" w:rsidR="008746EE" w:rsidRDefault="008746EE" w:rsidP="008746EE">
      <w:pPr>
        <w:rPr>
          <w:rFonts w:ascii="Arial" w:hAnsi="Arial" w:cs="Arial"/>
          <w:sz w:val="20"/>
        </w:rPr>
      </w:pPr>
    </w:p>
    <w:p w14:paraId="31C7D955" w14:textId="4DA8A85F" w:rsidR="008746EE" w:rsidRPr="00C10A44" w:rsidRDefault="008746EE" w:rsidP="008746EE">
      <w:pPr>
        <w:rPr>
          <w:i/>
          <w:szCs w:val="22"/>
        </w:rPr>
      </w:pPr>
      <w:r w:rsidRPr="00C10A44">
        <w:rPr>
          <w:i/>
          <w:szCs w:val="22"/>
        </w:rPr>
        <w:lastRenderedPageBreak/>
        <w:t>Pediatrická populácia</w:t>
      </w:r>
    </w:p>
    <w:p w14:paraId="5AE959F6" w14:textId="10D7612F" w:rsidR="008746EE" w:rsidRPr="000A0148" w:rsidRDefault="008746EE" w:rsidP="008746EE">
      <w:pPr>
        <w:tabs>
          <w:tab w:val="decimal" w:pos="0"/>
          <w:tab w:val="decimal" w:pos="709"/>
        </w:tabs>
        <w:ind w:left="0" w:firstLine="0"/>
        <w:rPr>
          <w:bCs/>
          <w:iCs/>
          <w:szCs w:val="22"/>
        </w:rPr>
      </w:pPr>
      <w:r w:rsidRPr="00BB6CBB">
        <w:rPr>
          <w:szCs w:val="22"/>
        </w:rPr>
        <w:t xml:space="preserve">Bezpečnosť </w:t>
      </w:r>
      <w:r>
        <w:rPr>
          <w:szCs w:val="22"/>
        </w:rPr>
        <w:t>a ú</w:t>
      </w:r>
      <w:r w:rsidRPr="00BB6CBB">
        <w:rPr>
          <w:szCs w:val="22"/>
        </w:rPr>
        <w:t xml:space="preserve">činnosť </w:t>
      </w:r>
      <w:r>
        <w:rPr>
          <w:szCs w:val="22"/>
        </w:rPr>
        <w:t xml:space="preserve">Perinevy </w:t>
      </w:r>
      <w:r w:rsidRPr="00BB6CBB">
        <w:rPr>
          <w:szCs w:val="22"/>
        </w:rPr>
        <w:t>u detí a </w:t>
      </w:r>
      <w:r>
        <w:rPr>
          <w:szCs w:val="22"/>
        </w:rPr>
        <w:t>dospievajúcich</w:t>
      </w:r>
      <w:r w:rsidRPr="00BB6CBB">
        <w:rPr>
          <w:szCs w:val="22"/>
        </w:rPr>
        <w:t xml:space="preserve"> nebola </w:t>
      </w:r>
      <w:r>
        <w:rPr>
          <w:szCs w:val="22"/>
        </w:rPr>
        <w:t xml:space="preserve">doteraz </w:t>
      </w:r>
      <w:r w:rsidRPr="00BB6CBB">
        <w:rPr>
          <w:szCs w:val="22"/>
        </w:rPr>
        <w:t>stanovená.</w:t>
      </w:r>
      <w:r>
        <w:rPr>
          <w:szCs w:val="22"/>
        </w:rPr>
        <w:t xml:space="preserve"> </w:t>
      </w:r>
      <w:r w:rsidRPr="00050D03">
        <w:rPr>
          <w:szCs w:val="22"/>
        </w:rPr>
        <w:t>V</w:t>
      </w:r>
      <w:r>
        <w:rPr>
          <w:szCs w:val="22"/>
        </w:rPr>
        <w:t> </w:t>
      </w:r>
      <w:r w:rsidRPr="00050D03">
        <w:rPr>
          <w:szCs w:val="22"/>
        </w:rPr>
        <w:t>súčasnosti dostupné údaje sú opísané v časti 5.1, ale neu</w:t>
      </w:r>
      <w:r>
        <w:rPr>
          <w:szCs w:val="22"/>
        </w:rPr>
        <w:t>možňujú</w:t>
      </w:r>
      <w:r w:rsidRPr="00050D03">
        <w:rPr>
          <w:szCs w:val="22"/>
        </w:rPr>
        <w:t xml:space="preserve"> </w:t>
      </w:r>
      <w:r>
        <w:rPr>
          <w:szCs w:val="22"/>
        </w:rPr>
        <w:t>uviesť</w:t>
      </w:r>
      <w:r w:rsidRPr="00050D03">
        <w:rPr>
          <w:szCs w:val="22"/>
        </w:rPr>
        <w:t xml:space="preserve"> odporúčania </w:t>
      </w:r>
      <w:r>
        <w:rPr>
          <w:szCs w:val="22"/>
        </w:rPr>
        <w:t>na</w:t>
      </w:r>
      <w:r w:rsidRPr="00050D03">
        <w:rPr>
          <w:szCs w:val="22"/>
        </w:rPr>
        <w:t xml:space="preserve"> dávkovanie</w:t>
      </w:r>
      <w:r w:rsidRPr="000A0148">
        <w:rPr>
          <w:bCs/>
          <w:iCs/>
          <w:szCs w:val="22"/>
        </w:rPr>
        <w:t>.</w:t>
      </w:r>
    </w:p>
    <w:p w14:paraId="452D192B" w14:textId="4176F768" w:rsidR="008746EE" w:rsidRPr="00EC511D" w:rsidRDefault="008746EE" w:rsidP="008746EE">
      <w:pPr>
        <w:tabs>
          <w:tab w:val="left" w:pos="3828"/>
        </w:tabs>
        <w:ind w:left="0" w:firstLine="0"/>
        <w:rPr>
          <w:szCs w:val="22"/>
        </w:rPr>
      </w:pPr>
      <w:r w:rsidRPr="000A0148">
        <w:rPr>
          <w:bCs/>
          <w:iCs/>
          <w:szCs w:val="22"/>
        </w:rPr>
        <w:t>Použitie u detí a dospievajúcich sa preto neodporúča.</w:t>
      </w:r>
    </w:p>
    <w:p w14:paraId="6E2B688D" w14:textId="77777777" w:rsidR="008746EE" w:rsidRDefault="008746EE" w:rsidP="008746EE">
      <w:pPr>
        <w:pStyle w:val="Zarkazkladnhotextu"/>
      </w:pPr>
    </w:p>
    <w:p w14:paraId="1256D293" w14:textId="77777777" w:rsidR="008746EE" w:rsidRPr="0041708E" w:rsidRDefault="008746EE" w:rsidP="008746EE">
      <w:pPr>
        <w:pStyle w:val="Zarkazkladnhotextu"/>
        <w:rPr>
          <w:u w:val="single"/>
        </w:rPr>
      </w:pPr>
      <w:r w:rsidRPr="0041708E">
        <w:rPr>
          <w:u w:val="single"/>
        </w:rPr>
        <w:t>Spôsob podávania</w:t>
      </w:r>
    </w:p>
    <w:p w14:paraId="27D913B7" w14:textId="77777777" w:rsidR="008746EE" w:rsidRPr="004C3C1D" w:rsidRDefault="008746EE" w:rsidP="008746EE">
      <w:pPr>
        <w:pStyle w:val="Zarkazkladnhotextu"/>
      </w:pPr>
    </w:p>
    <w:p w14:paraId="4DD623CE" w14:textId="77777777" w:rsidR="008746EE" w:rsidRPr="005278E8" w:rsidRDefault="008746EE" w:rsidP="008746EE">
      <w:pPr>
        <w:pStyle w:val="Zarkazkladnhotextu"/>
        <w:rPr>
          <w:i/>
        </w:rPr>
      </w:pPr>
      <w:r w:rsidRPr="005278E8">
        <w:rPr>
          <w:i/>
        </w:rPr>
        <w:t>Na vnútorné použitie</w:t>
      </w:r>
    </w:p>
    <w:p w14:paraId="2B2864E3" w14:textId="77777777" w:rsidR="008746EE" w:rsidRPr="00947583" w:rsidRDefault="008746EE" w:rsidP="008746EE">
      <w:pPr>
        <w:rPr>
          <w:szCs w:val="22"/>
        </w:rPr>
      </w:pPr>
      <w:r w:rsidRPr="00947583">
        <w:rPr>
          <w:szCs w:val="22"/>
        </w:rPr>
        <w:t xml:space="preserve">Odporúča sa užívať </w:t>
      </w:r>
      <w:r>
        <w:rPr>
          <w:szCs w:val="22"/>
        </w:rPr>
        <w:t>perindopril</w:t>
      </w:r>
      <w:r w:rsidRPr="00947583">
        <w:rPr>
          <w:szCs w:val="22"/>
        </w:rPr>
        <w:t xml:space="preserve"> raz denne ráno pred jedlom.</w:t>
      </w:r>
    </w:p>
    <w:p w14:paraId="47B32424" w14:textId="77777777" w:rsidR="008746EE" w:rsidRPr="003A0A37" w:rsidRDefault="008746EE" w:rsidP="008746EE">
      <w:pPr>
        <w:pStyle w:val="Zarkazkladnhotextu"/>
      </w:pPr>
    </w:p>
    <w:p w14:paraId="3E7E6473" w14:textId="77777777" w:rsidR="008746EE" w:rsidRPr="003A0A37" w:rsidRDefault="008746EE" w:rsidP="008746EE">
      <w:pPr>
        <w:rPr>
          <w:szCs w:val="22"/>
        </w:rPr>
      </w:pPr>
      <w:r w:rsidRPr="003A0A37">
        <w:rPr>
          <w:b/>
          <w:szCs w:val="22"/>
        </w:rPr>
        <w:t>4.3</w:t>
      </w:r>
      <w:r w:rsidRPr="003A0A37">
        <w:rPr>
          <w:b/>
          <w:szCs w:val="22"/>
        </w:rPr>
        <w:tab/>
        <w:t xml:space="preserve">Kontraindikácie </w:t>
      </w:r>
    </w:p>
    <w:p w14:paraId="11E074C9" w14:textId="77777777" w:rsidR="008746EE" w:rsidRPr="003A0A37" w:rsidRDefault="008746EE" w:rsidP="008746EE">
      <w:pPr>
        <w:tabs>
          <w:tab w:val="left" w:pos="360"/>
        </w:tabs>
        <w:ind w:left="0" w:firstLine="0"/>
        <w:rPr>
          <w:szCs w:val="22"/>
        </w:rPr>
      </w:pPr>
    </w:p>
    <w:p w14:paraId="6AECF0CC" w14:textId="31512074" w:rsidR="008746EE" w:rsidRPr="003A0A37" w:rsidRDefault="008746EE" w:rsidP="008746EE">
      <w:pPr>
        <w:numPr>
          <w:ilvl w:val="0"/>
          <w:numId w:val="20"/>
        </w:numPr>
        <w:ind w:left="426" w:hanging="426"/>
        <w:rPr>
          <w:szCs w:val="22"/>
        </w:rPr>
      </w:pPr>
      <w:r>
        <w:rPr>
          <w:szCs w:val="22"/>
        </w:rPr>
        <w:t>P</w:t>
      </w:r>
      <w:r w:rsidRPr="003A0A37">
        <w:rPr>
          <w:szCs w:val="22"/>
        </w:rPr>
        <w:t xml:space="preserve">recitlivenosť na </w:t>
      </w:r>
      <w:r>
        <w:rPr>
          <w:szCs w:val="22"/>
        </w:rPr>
        <w:t>liečivo</w:t>
      </w:r>
      <w:r w:rsidRPr="003A0A37">
        <w:rPr>
          <w:szCs w:val="22"/>
        </w:rPr>
        <w:t>, na k</w:t>
      </w:r>
      <w:r>
        <w:rPr>
          <w:szCs w:val="22"/>
        </w:rPr>
        <w:t>tor</w:t>
      </w:r>
      <w:r w:rsidRPr="003A0A37">
        <w:rPr>
          <w:szCs w:val="22"/>
        </w:rPr>
        <w:t>ýkoľvek iný ACE inhibítor</w:t>
      </w:r>
      <w:r>
        <w:rPr>
          <w:szCs w:val="22"/>
        </w:rPr>
        <w:t xml:space="preserve"> alebo na ktorúkoľvek z pomocných látok uvedených v časti 6.1</w:t>
      </w:r>
      <w:r w:rsidRPr="003A0A37">
        <w:rPr>
          <w:szCs w:val="22"/>
        </w:rPr>
        <w:t>;</w:t>
      </w:r>
    </w:p>
    <w:p w14:paraId="1EDEC1A4" w14:textId="1F48816F" w:rsidR="008746EE" w:rsidRPr="003A0A37" w:rsidRDefault="008746EE" w:rsidP="008746EE">
      <w:pPr>
        <w:numPr>
          <w:ilvl w:val="0"/>
          <w:numId w:val="13"/>
        </w:numPr>
        <w:tabs>
          <w:tab w:val="clear" w:pos="871"/>
          <w:tab w:val="num" w:pos="0"/>
        </w:tabs>
        <w:ind w:left="426" w:hanging="426"/>
        <w:rPr>
          <w:szCs w:val="22"/>
        </w:rPr>
      </w:pPr>
      <w:r>
        <w:rPr>
          <w:szCs w:val="22"/>
        </w:rPr>
        <w:t>A</w:t>
      </w:r>
      <w:r w:rsidRPr="00414424">
        <w:rPr>
          <w:szCs w:val="22"/>
        </w:rPr>
        <w:t>ngioedém</w:t>
      </w:r>
      <w:r>
        <w:rPr>
          <w:szCs w:val="22"/>
        </w:rPr>
        <w:t xml:space="preserve"> </w:t>
      </w:r>
      <w:r w:rsidRPr="003A0A37">
        <w:rPr>
          <w:szCs w:val="22"/>
        </w:rPr>
        <w:t>v súvislosti s predchádzajúcou liečbou inhibítorom ACE v anamnéze;</w:t>
      </w:r>
    </w:p>
    <w:p w14:paraId="62B769E5" w14:textId="3B9A4B27" w:rsidR="008746EE" w:rsidRPr="003A0A37" w:rsidRDefault="008746EE" w:rsidP="008746EE">
      <w:pPr>
        <w:numPr>
          <w:ilvl w:val="0"/>
          <w:numId w:val="12"/>
        </w:numPr>
        <w:tabs>
          <w:tab w:val="clear" w:pos="871"/>
          <w:tab w:val="num" w:pos="0"/>
        </w:tabs>
        <w:ind w:left="426" w:hanging="426"/>
        <w:rPr>
          <w:szCs w:val="22"/>
        </w:rPr>
      </w:pPr>
      <w:r w:rsidRPr="003A0A37">
        <w:rPr>
          <w:szCs w:val="22"/>
        </w:rPr>
        <w:t xml:space="preserve">Dedičný alebo idiopatický </w:t>
      </w:r>
      <w:r>
        <w:rPr>
          <w:szCs w:val="22"/>
        </w:rPr>
        <w:t>a</w:t>
      </w:r>
      <w:r w:rsidRPr="00414424">
        <w:rPr>
          <w:szCs w:val="22"/>
        </w:rPr>
        <w:t>ngioedém</w:t>
      </w:r>
      <w:r w:rsidRPr="00B174C1">
        <w:rPr>
          <w:szCs w:val="22"/>
        </w:rPr>
        <w:t>;</w:t>
      </w:r>
    </w:p>
    <w:p w14:paraId="316674AC" w14:textId="60BF374B" w:rsidR="008746EE" w:rsidRDefault="008746EE" w:rsidP="008746EE">
      <w:pPr>
        <w:numPr>
          <w:ilvl w:val="0"/>
          <w:numId w:val="12"/>
        </w:numPr>
        <w:tabs>
          <w:tab w:val="clear" w:pos="871"/>
          <w:tab w:val="num" w:pos="0"/>
        </w:tabs>
        <w:ind w:left="426" w:hanging="426"/>
        <w:rPr>
          <w:szCs w:val="22"/>
        </w:rPr>
      </w:pPr>
      <w:r w:rsidRPr="003A0A37">
        <w:rPr>
          <w:szCs w:val="22"/>
        </w:rPr>
        <w:t xml:space="preserve">Druhý a tretí trimester </w:t>
      </w:r>
      <w:r>
        <w:rPr>
          <w:szCs w:val="22"/>
        </w:rPr>
        <w:t>gravidity</w:t>
      </w:r>
      <w:r w:rsidRPr="003A0A37">
        <w:rPr>
          <w:szCs w:val="22"/>
        </w:rPr>
        <w:t xml:space="preserve"> (pozri čas</w:t>
      </w:r>
      <w:r>
        <w:rPr>
          <w:szCs w:val="22"/>
        </w:rPr>
        <w:t>ti</w:t>
      </w:r>
      <w:r w:rsidRPr="003A0A37">
        <w:rPr>
          <w:szCs w:val="22"/>
        </w:rPr>
        <w:t xml:space="preserve"> </w:t>
      </w:r>
      <w:smartTag w:uri="urn:schemas-microsoft-com:office:smarttags" w:element="metricconverter">
        <w:smartTagPr>
          <w:attr w:name="ProductID" w:val="4.4 a"/>
        </w:smartTagPr>
        <w:r>
          <w:rPr>
            <w:szCs w:val="22"/>
          </w:rPr>
          <w:t>4.4 a</w:t>
        </w:r>
      </w:smartTag>
      <w:r>
        <w:rPr>
          <w:szCs w:val="22"/>
        </w:rPr>
        <w:t xml:space="preserve"> </w:t>
      </w:r>
      <w:r w:rsidRPr="003A0A37">
        <w:rPr>
          <w:szCs w:val="22"/>
        </w:rPr>
        <w:t>4.6)</w:t>
      </w:r>
      <w:r>
        <w:rPr>
          <w:szCs w:val="22"/>
        </w:rPr>
        <w:t>;</w:t>
      </w:r>
    </w:p>
    <w:p w14:paraId="4296B557" w14:textId="77777777" w:rsidR="008746EE" w:rsidRPr="00D85F4F" w:rsidRDefault="008746EE" w:rsidP="008746EE">
      <w:pPr>
        <w:numPr>
          <w:ilvl w:val="0"/>
          <w:numId w:val="12"/>
        </w:numPr>
        <w:tabs>
          <w:tab w:val="clear" w:pos="871"/>
          <w:tab w:val="num" w:pos="0"/>
        </w:tabs>
        <w:ind w:left="426" w:hanging="426"/>
        <w:rPr>
          <w:szCs w:val="22"/>
        </w:rPr>
      </w:pPr>
      <w:r>
        <w:rPr>
          <w:bCs/>
          <w:szCs w:val="22"/>
        </w:rPr>
        <w:t>S</w:t>
      </w:r>
      <w:r w:rsidRPr="00D85F4F">
        <w:rPr>
          <w:bCs/>
          <w:szCs w:val="22"/>
        </w:rPr>
        <w:t>úbežné po</w:t>
      </w:r>
      <w:r>
        <w:rPr>
          <w:bCs/>
          <w:szCs w:val="22"/>
        </w:rPr>
        <w:t>dávanie</w:t>
      </w:r>
      <w:r w:rsidRPr="00D85F4F">
        <w:rPr>
          <w:bCs/>
          <w:szCs w:val="22"/>
        </w:rPr>
        <w:t xml:space="preserve"> </w:t>
      </w:r>
      <w:r>
        <w:rPr>
          <w:bCs/>
          <w:szCs w:val="22"/>
        </w:rPr>
        <w:t>Perinevy</w:t>
      </w:r>
      <w:r w:rsidRPr="00D85F4F">
        <w:rPr>
          <w:szCs w:val="22"/>
        </w:rPr>
        <w:t xml:space="preserve"> </w:t>
      </w:r>
      <w:r w:rsidRPr="00D85F4F">
        <w:rPr>
          <w:bCs/>
          <w:szCs w:val="22"/>
        </w:rPr>
        <w:t xml:space="preserve">s liekmi obsahujúcimi aliskirén je kontraindikované u </w:t>
      </w:r>
    </w:p>
    <w:p w14:paraId="2AB78FB1" w14:textId="77777777" w:rsidR="008746EE" w:rsidRDefault="008746EE" w:rsidP="008746EE">
      <w:pPr>
        <w:tabs>
          <w:tab w:val="num" w:pos="0"/>
        </w:tabs>
        <w:ind w:left="426" w:hanging="426"/>
        <w:rPr>
          <w:bCs/>
          <w:szCs w:val="22"/>
        </w:rPr>
      </w:pPr>
      <w:r>
        <w:rPr>
          <w:bCs/>
          <w:szCs w:val="22"/>
        </w:rPr>
        <w:tab/>
      </w:r>
      <w:r w:rsidRPr="00D85F4F">
        <w:rPr>
          <w:bCs/>
          <w:szCs w:val="22"/>
        </w:rPr>
        <w:t>pacientov s diabet</w:t>
      </w:r>
      <w:r>
        <w:rPr>
          <w:bCs/>
          <w:szCs w:val="22"/>
        </w:rPr>
        <w:t>om</w:t>
      </w:r>
      <w:r w:rsidRPr="00D85F4F">
        <w:rPr>
          <w:bCs/>
          <w:szCs w:val="22"/>
        </w:rPr>
        <w:t xml:space="preserve"> mellitus alebo poruchou funkcie obličiek (GFR &lt; 60 ml/min/1,73 m</w:t>
      </w:r>
      <w:r w:rsidRPr="00D85F4F">
        <w:rPr>
          <w:bCs/>
          <w:szCs w:val="22"/>
          <w:vertAlign w:val="superscript"/>
        </w:rPr>
        <w:t>2</w:t>
      </w:r>
      <w:r w:rsidRPr="00D85F4F">
        <w:rPr>
          <w:bCs/>
          <w:szCs w:val="22"/>
        </w:rPr>
        <w:t xml:space="preserve">) (pozri </w:t>
      </w:r>
    </w:p>
    <w:p w14:paraId="5F103EE8" w14:textId="77777777" w:rsidR="008746EE" w:rsidRPr="003A0A37" w:rsidRDefault="008746EE" w:rsidP="008746EE">
      <w:pPr>
        <w:tabs>
          <w:tab w:val="num" w:pos="0"/>
        </w:tabs>
        <w:ind w:left="426" w:hanging="426"/>
        <w:rPr>
          <w:szCs w:val="22"/>
        </w:rPr>
      </w:pPr>
      <w:r>
        <w:rPr>
          <w:bCs/>
          <w:szCs w:val="22"/>
        </w:rPr>
        <w:tab/>
      </w:r>
      <w:r w:rsidRPr="00D85F4F">
        <w:rPr>
          <w:bCs/>
          <w:szCs w:val="22"/>
        </w:rPr>
        <w:t>časti 4.5 a 5.1).</w:t>
      </w:r>
    </w:p>
    <w:p w14:paraId="0D4A40AC" w14:textId="77777777" w:rsidR="008746EE" w:rsidRDefault="008746EE" w:rsidP="008746EE">
      <w:pPr>
        <w:ind w:left="0" w:firstLine="0"/>
        <w:rPr>
          <w:szCs w:val="22"/>
          <w:highlight w:val="green"/>
        </w:rPr>
      </w:pPr>
    </w:p>
    <w:p w14:paraId="749FB9A8" w14:textId="77777777" w:rsidR="008746EE" w:rsidRPr="003A0A37" w:rsidRDefault="008746EE" w:rsidP="008746EE">
      <w:pPr>
        <w:ind w:left="0" w:firstLine="0"/>
        <w:rPr>
          <w:b/>
          <w:szCs w:val="22"/>
        </w:rPr>
      </w:pPr>
      <w:r w:rsidRPr="003A0A37">
        <w:rPr>
          <w:b/>
          <w:szCs w:val="22"/>
        </w:rPr>
        <w:t>4.4</w:t>
      </w:r>
      <w:r w:rsidRPr="003A0A37">
        <w:rPr>
          <w:b/>
          <w:szCs w:val="22"/>
        </w:rPr>
        <w:tab/>
        <w:t>Osobitné upozornenia a opatrenia pri používaní</w:t>
      </w:r>
    </w:p>
    <w:p w14:paraId="2EA2648F" w14:textId="77777777" w:rsidR="008746EE" w:rsidRDefault="008746EE" w:rsidP="008746EE">
      <w:pPr>
        <w:pStyle w:val="Zkladntext"/>
        <w:rPr>
          <w:highlight w:val="green"/>
        </w:rPr>
      </w:pPr>
    </w:p>
    <w:p w14:paraId="26F88576" w14:textId="77777777" w:rsidR="008746EE" w:rsidRPr="00D36C26" w:rsidRDefault="008746EE" w:rsidP="008746EE">
      <w:pPr>
        <w:rPr>
          <w:szCs w:val="22"/>
          <w:u w:val="single"/>
        </w:rPr>
      </w:pPr>
      <w:r w:rsidRPr="00D36C26">
        <w:rPr>
          <w:szCs w:val="22"/>
          <w:u w:val="single"/>
        </w:rPr>
        <w:t>Stabilné formy ischemickej choroby srdca</w:t>
      </w:r>
      <w:r>
        <w:rPr>
          <w:szCs w:val="22"/>
          <w:u w:val="single"/>
        </w:rPr>
        <w:t>:</w:t>
      </w:r>
    </w:p>
    <w:p w14:paraId="2724CC98" w14:textId="49018077" w:rsidR="008746EE" w:rsidRPr="0045672C" w:rsidRDefault="008746EE" w:rsidP="008746EE">
      <w:pPr>
        <w:tabs>
          <w:tab w:val="left" w:pos="3828"/>
        </w:tabs>
        <w:ind w:left="0" w:firstLine="0"/>
        <w:rPr>
          <w:szCs w:val="22"/>
        </w:rPr>
      </w:pPr>
      <w:r w:rsidRPr="0045672C">
        <w:rPr>
          <w:szCs w:val="22"/>
        </w:rPr>
        <w:t>Ak sa v priebehu prvého mesiaca liečby perindoprilom objaví epizóda nestabilnej ang</w:t>
      </w:r>
      <w:r>
        <w:rPr>
          <w:szCs w:val="22"/>
        </w:rPr>
        <w:t>í</w:t>
      </w:r>
      <w:r w:rsidRPr="0045672C">
        <w:rPr>
          <w:szCs w:val="22"/>
        </w:rPr>
        <w:t>ny pe</w:t>
      </w:r>
      <w:r>
        <w:rPr>
          <w:szCs w:val="22"/>
        </w:rPr>
        <w:t>k</w:t>
      </w:r>
      <w:r w:rsidRPr="0045672C">
        <w:rPr>
          <w:szCs w:val="22"/>
        </w:rPr>
        <w:t xml:space="preserve">toris (závažnejšia alebo aj menej závažná), </w:t>
      </w:r>
      <w:r>
        <w:rPr>
          <w:szCs w:val="22"/>
        </w:rPr>
        <w:t xml:space="preserve">má sa </w:t>
      </w:r>
      <w:r w:rsidRPr="0045672C">
        <w:rPr>
          <w:szCs w:val="22"/>
        </w:rPr>
        <w:t>pred pokračovaní</w:t>
      </w:r>
      <w:r>
        <w:rPr>
          <w:szCs w:val="22"/>
        </w:rPr>
        <w:t>m</w:t>
      </w:r>
      <w:r w:rsidRPr="0045672C">
        <w:rPr>
          <w:szCs w:val="22"/>
        </w:rPr>
        <w:t xml:space="preserve"> </w:t>
      </w:r>
      <w:r>
        <w:rPr>
          <w:szCs w:val="22"/>
        </w:rPr>
        <w:t xml:space="preserve">v </w:t>
      </w:r>
      <w:r w:rsidRPr="0045672C">
        <w:rPr>
          <w:szCs w:val="22"/>
        </w:rPr>
        <w:t>liečb</w:t>
      </w:r>
      <w:r>
        <w:rPr>
          <w:szCs w:val="22"/>
        </w:rPr>
        <w:t>e</w:t>
      </w:r>
      <w:r w:rsidRPr="0045672C">
        <w:rPr>
          <w:szCs w:val="22"/>
        </w:rPr>
        <w:t xml:space="preserve"> starostlivo zvážiť miera </w:t>
      </w:r>
      <w:r>
        <w:rPr>
          <w:szCs w:val="22"/>
        </w:rPr>
        <w:t>prínosu/</w:t>
      </w:r>
      <w:r w:rsidRPr="0045672C">
        <w:rPr>
          <w:szCs w:val="22"/>
        </w:rPr>
        <w:t>rizik</w:t>
      </w:r>
      <w:r>
        <w:rPr>
          <w:szCs w:val="22"/>
        </w:rPr>
        <w:t>a</w:t>
      </w:r>
      <w:r w:rsidRPr="0045672C">
        <w:rPr>
          <w:szCs w:val="22"/>
        </w:rPr>
        <w:t>.</w:t>
      </w:r>
    </w:p>
    <w:p w14:paraId="49C9BD0F" w14:textId="77777777" w:rsidR="008746EE" w:rsidRDefault="008746EE" w:rsidP="008746EE">
      <w:pPr>
        <w:pStyle w:val="Zkladntext"/>
        <w:rPr>
          <w:highlight w:val="green"/>
        </w:rPr>
      </w:pPr>
    </w:p>
    <w:p w14:paraId="5B66BA1F" w14:textId="77777777" w:rsidR="008746EE" w:rsidRPr="00D36C26" w:rsidRDefault="008746EE" w:rsidP="008746EE">
      <w:pPr>
        <w:ind w:left="0" w:firstLine="0"/>
        <w:rPr>
          <w:szCs w:val="22"/>
          <w:u w:val="single"/>
        </w:rPr>
      </w:pPr>
      <w:r w:rsidRPr="00D36C26">
        <w:rPr>
          <w:szCs w:val="22"/>
          <w:u w:val="single"/>
        </w:rPr>
        <w:t>Hypotenzia</w:t>
      </w:r>
      <w:r>
        <w:rPr>
          <w:szCs w:val="22"/>
          <w:u w:val="single"/>
        </w:rPr>
        <w:t>:</w:t>
      </w:r>
    </w:p>
    <w:p w14:paraId="0EFF10A8" w14:textId="367CCE97" w:rsidR="008746EE" w:rsidRDefault="008746EE" w:rsidP="008746EE">
      <w:pPr>
        <w:ind w:left="0" w:firstLine="0"/>
        <w:rPr>
          <w:szCs w:val="22"/>
        </w:rPr>
      </w:pPr>
      <w:r w:rsidRPr="0045672C">
        <w:rPr>
          <w:szCs w:val="22"/>
        </w:rPr>
        <w:t xml:space="preserve">ACE inhibítory môžu spôsobiť náhly pokles tlaku krvi. Symptomatická hypotenzia je </w:t>
      </w:r>
      <w:r w:rsidRPr="00A87E48">
        <w:rPr>
          <w:szCs w:val="22"/>
        </w:rPr>
        <w:t>pozorovaná zriedkavo</w:t>
      </w:r>
      <w:r w:rsidRPr="0045672C">
        <w:rPr>
          <w:szCs w:val="22"/>
        </w:rPr>
        <w:t xml:space="preserve"> u pacientov s hypertenziou bez komplikácií a s väčšou pravdepodobnosťou </w:t>
      </w:r>
      <w:r>
        <w:rPr>
          <w:szCs w:val="22"/>
        </w:rPr>
        <w:t xml:space="preserve">sa </w:t>
      </w:r>
      <w:r w:rsidRPr="00B016F1">
        <w:rPr>
          <w:szCs w:val="22"/>
        </w:rPr>
        <w:t>môže objaviť</w:t>
      </w:r>
      <w:r>
        <w:rPr>
          <w:szCs w:val="22"/>
        </w:rPr>
        <w:t xml:space="preserve"> u </w:t>
      </w:r>
      <w:r w:rsidRPr="0045672C">
        <w:rPr>
          <w:szCs w:val="22"/>
        </w:rPr>
        <w:t>pacientov s</w:t>
      </w:r>
      <w:r>
        <w:rPr>
          <w:szCs w:val="22"/>
        </w:rPr>
        <w:t xml:space="preserve"> hypovolémiou</w:t>
      </w:r>
      <w:r w:rsidRPr="0045672C">
        <w:rPr>
          <w:szCs w:val="22"/>
        </w:rPr>
        <w:t xml:space="preserve">, napr. </w:t>
      </w:r>
      <w:r>
        <w:rPr>
          <w:szCs w:val="22"/>
        </w:rPr>
        <w:t>s</w:t>
      </w:r>
      <w:r w:rsidRPr="0045672C">
        <w:rPr>
          <w:szCs w:val="22"/>
        </w:rPr>
        <w:t>p</w:t>
      </w:r>
      <w:r>
        <w:rPr>
          <w:szCs w:val="22"/>
        </w:rPr>
        <w:t>ôs</w:t>
      </w:r>
      <w:r w:rsidRPr="0045672C">
        <w:rPr>
          <w:szCs w:val="22"/>
        </w:rPr>
        <w:t>o</w:t>
      </w:r>
      <w:r>
        <w:rPr>
          <w:szCs w:val="22"/>
        </w:rPr>
        <w:t>benou</w:t>
      </w:r>
      <w:r w:rsidRPr="0045672C">
        <w:rPr>
          <w:szCs w:val="22"/>
        </w:rPr>
        <w:t xml:space="preserve"> liečb</w:t>
      </w:r>
      <w:r>
        <w:rPr>
          <w:szCs w:val="22"/>
        </w:rPr>
        <w:t>ou</w:t>
      </w:r>
      <w:r w:rsidRPr="0045672C">
        <w:rPr>
          <w:szCs w:val="22"/>
        </w:rPr>
        <w:t xml:space="preserve"> diuretikami, obmedzením príjmu soli v </w:t>
      </w:r>
      <w:r>
        <w:rPr>
          <w:szCs w:val="22"/>
        </w:rPr>
        <w:t>s</w:t>
      </w:r>
      <w:r w:rsidRPr="0045672C">
        <w:rPr>
          <w:szCs w:val="22"/>
        </w:rPr>
        <w:t>trave, dialýzou, hnačkou alebo vracaním, alebo u pacientov so závažnou renín-dependentnou hypertenziou (pozri čas</w:t>
      </w:r>
      <w:r>
        <w:rPr>
          <w:szCs w:val="22"/>
        </w:rPr>
        <w:t>ti</w:t>
      </w:r>
      <w:r w:rsidRPr="0045672C">
        <w:rPr>
          <w:szCs w:val="22"/>
        </w:rPr>
        <w:t xml:space="preserve"> </w:t>
      </w:r>
      <w:smartTag w:uri="urn:schemas-microsoft-com:office:smarttags" w:element="metricconverter">
        <w:smartTagPr>
          <w:attr w:name="ProductID" w:val="4.5 a"/>
        </w:smartTagPr>
        <w:r w:rsidRPr="0045672C">
          <w:rPr>
            <w:szCs w:val="22"/>
          </w:rPr>
          <w:t>4.5</w:t>
        </w:r>
        <w:r>
          <w:rPr>
            <w:szCs w:val="22"/>
          </w:rPr>
          <w:t xml:space="preserve"> a</w:t>
        </w:r>
      </w:smartTag>
      <w:r w:rsidRPr="0045672C">
        <w:rPr>
          <w:szCs w:val="22"/>
        </w:rPr>
        <w:t xml:space="preserve"> 4.8). U pacientov so symptomatickým srdcovým zlyhaním so sprievodnou renálnou insuficienciou alebo bez nej bola zaznamenaná symptomatická hypotenzia. Najväčšia pravdepodobnosť jej vzniku je u pacientov s</w:t>
      </w:r>
      <w:r w:rsidR="00AB07CD">
        <w:rPr>
          <w:szCs w:val="22"/>
        </w:rPr>
        <w:t>o</w:t>
      </w:r>
      <w:r w:rsidRPr="0045672C">
        <w:rPr>
          <w:szCs w:val="22"/>
        </w:rPr>
        <w:t> </w:t>
      </w:r>
      <w:r w:rsidR="00AB07CD">
        <w:rPr>
          <w:szCs w:val="22"/>
        </w:rPr>
        <w:t>zá</w:t>
      </w:r>
      <w:r w:rsidRPr="0045672C">
        <w:rPr>
          <w:szCs w:val="22"/>
        </w:rPr>
        <w:t>v</w:t>
      </w:r>
      <w:r w:rsidR="00AB07CD">
        <w:rPr>
          <w:szCs w:val="22"/>
        </w:rPr>
        <w:t>a</w:t>
      </w:r>
      <w:r w:rsidRPr="0045672C">
        <w:rPr>
          <w:szCs w:val="22"/>
        </w:rPr>
        <w:t xml:space="preserve">žnejšími stupňami srdcového zlyhania, </w:t>
      </w:r>
      <w:r>
        <w:rPr>
          <w:szCs w:val="22"/>
        </w:rPr>
        <w:t xml:space="preserve">ako dôsledok </w:t>
      </w:r>
      <w:r w:rsidRPr="0045672C">
        <w:rPr>
          <w:szCs w:val="22"/>
        </w:rPr>
        <w:t>lieč</w:t>
      </w:r>
      <w:r>
        <w:rPr>
          <w:szCs w:val="22"/>
        </w:rPr>
        <w:t>by</w:t>
      </w:r>
      <w:r w:rsidRPr="0045672C">
        <w:rPr>
          <w:szCs w:val="22"/>
        </w:rPr>
        <w:t xml:space="preserve"> vysokými dávkami </w:t>
      </w:r>
      <w:r>
        <w:rPr>
          <w:szCs w:val="22"/>
        </w:rPr>
        <w:t>sl</w:t>
      </w:r>
      <w:r w:rsidRPr="0045672C">
        <w:rPr>
          <w:szCs w:val="22"/>
        </w:rPr>
        <w:t>učkových diuretík, alebo u pacientov s hyponatr</w:t>
      </w:r>
      <w:r>
        <w:rPr>
          <w:szCs w:val="22"/>
        </w:rPr>
        <w:t>i</w:t>
      </w:r>
      <w:r w:rsidRPr="0045672C">
        <w:rPr>
          <w:szCs w:val="22"/>
        </w:rPr>
        <w:t>émiou alebo s</w:t>
      </w:r>
      <w:r w:rsidR="00AB07CD">
        <w:rPr>
          <w:szCs w:val="22"/>
        </w:rPr>
        <w:t> </w:t>
      </w:r>
      <w:r>
        <w:rPr>
          <w:szCs w:val="22"/>
        </w:rPr>
        <w:t>poruchou</w:t>
      </w:r>
      <w:r w:rsidRPr="0045672C">
        <w:rPr>
          <w:szCs w:val="22"/>
        </w:rPr>
        <w:t xml:space="preserve"> renálnych funkcií. U pacientov so zvýšeným rizikom symptomatickej hypotenzie </w:t>
      </w:r>
      <w:r>
        <w:rPr>
          <w:szCs w:val="22"/>
        </w:rPr>
        <w:t>sa má</w:t>
      </w:r>
      <w:r w:rsidRPr="0045672C">
        <w:rPr>
          <w:szCs w:val="22"/>
        </w:rPr>
        <w:t xml:space="preserve"> začiatok liečby a úprav</w:t>
      </w:r>
      <w:r>
        <w:rPr>
          <w:szCs w:val="22"/>
        </w:rPr>
        <w:t>a</w:t>
      </w:r>
      <w:r w:rsidRPr="0045672C">
        <w:rPr>
          <w:szCs w:val="22"/>
        </w:rPr>
        <w:t xml:space="preserve"> dávkovania starostlivo monitorovať (pozri čas</w:t>
      </w:r>
      <w:r>
        <w:rPr>
          <w:szCs w:val="22"/>
        </w:rPr>
        <w:t>ti</w:t>
      </w:r>
      <w:r w:rsidRPr="0045672C">
        <w:rPr>
          <w:szCs w:val="22"/>
        </w:rPr>
        <w:t xml:space="preserve"> </w:t>
      </w:r>
      <w:smartTag w:uri="urn:schemas-microsoft-com:office:smarttags" w:element="metricconverter">
        <w:smartTagPr>
          <w:attr w:name="ProductID" w:val="4.2 a"/>
        </w:smartTagPr>
        <w:r w:rsidRPr="0045672C">
          <w:rPr>
            <w:szCs w:val="22"/>
          </w:rPr>
          <w:t>4.2</w:t>
        </w:r>
        <w:r>
          <w:rPr>
            <w:szCs w:val="22"/>
          </w:rPr>
          <w:t xml:space="preserve"> a</w:t>
        </w:r>
      </w:smartTag>
      <w:r>
        <w:rPr>
          <w:szCs w:val="22"/>
        </w:rPr>
        <w:t xml:space="preserve"> </w:t>
      </w:r>
      <w:r w:rsidRPr="0045672C">
        <w:rPr>
          <w:szCs w:val="22"/>
        </w:rPr>
        <w:t>4.8). Podobné opatrenia platia pre pacientov s ischemickou chorobou srdca alebo cerebrovaskulárnym ochorením, u ktorých by výrazný pokles tlaku krvi mohol vyústiť do infarktu myokardu alebo cievnej mozgovej príhody.</w:t>
      </w:r>
    </w:p>
    <w:p w14:paraId="6A2EA4E4" w14:textId="77777777" w:rsidR="008746EE" w:rsidRPr="0045672C" w:rsidRDefault="008746EE" w:rsidP="008746EE">
      <w:pPr>
        <w:ind w:left="0" w:firstLine="0"/>
        <w:rPr>
          <w:szCs w:val="22"/>
        </w:rPr>
      </w:pPr>
    </w:p>
    <w:p w14:paraId="1A78B0F2" w14:textId="77777777" w:rsidR="008746EE" w:rsidRDefault="008746EE" w:rsidP="008746EE">
      <w:pPr>
        <w:ind w:left="0" w:firstLine="0"/>
        <w:rPr>
          <w:szCs w:val="22"/>
        </w:rPr>
      </w:pPr>
      <w:r w:rsidRPr="0045672C">
        <w:rPr>
          <w:szCs w:val="22"/>
        </w:rPr>
        <w:t>Ak dôjde k hypotenzii, pacienta treba uložiť do p</w:t>
      </w:r>
      <w:smartTag w:uri="urn:schemas-microsoft-com:office:smarttags" w:element="PersonName">
        <w:r w:rsidRPr="0045672C">
          <w:rPr>
            <w:szCs w:val="22"/>
          </w:rPr>
          <w:t>olo</w:t>
        </w:r>
      </w:smartTag>
      <w:r w:rsidRPr="0045672C">
        <w:rPr>
          <w:szCs w:val="22"/>
        </w:rPr>
        <w:t>hy ležmo</w:t>
      </w:r>
      <w:r>
        <w:rPr>
          <w:szCs w:val="22"/>
        </w:rPr>
        <w:t>,</w:t>
      </w:r>
      <w:r w:rsidRPr="0045672C">
        <w:rPr>
          <w:szCs w:val="22"/>
        </w:rPr>
        <w:t xml:space="preserve"> a ak je to nutné, aplikovať intravenóznu infúziu fyzi</w:t>
      </w:r>
      <w:smartTag w:uri="urn:schemas-microsoft-com:office:smarttags" w:element="PersonName">
        <w:r w:rsidRPr="0045672C">
          <w:rPr>
            <w:szCs w:val="22"/>
          </w:rPr>
          <w:t>olo</w:t>
        </w:r>
      </w:smartTag>
      <w:r w:rsidRPr="0045672C">
        <w:rPr>
          <w:szCs w:val="22"/>
        </w:rPr>
        <w:t>gického roztoku. Prechodná hypotenzná odpoveď nie je kontraindikáciou na podávanie ďalších dávok, ktoré je možno podať zvyčajne bez ťažkostí, keď sa tlak krvi zvýši po zväčšení objemu.</w:t>
      </w:r>
    </w:p>
    <w:p w14:paraId="2328FFE5" w14:textId="77777777" w:rsidR="008746EE" w:rsidRPr="0045672C" w:rsidRDefault="008746EE" w:rsidP="008746EE">
      <w:pPr>
        <w:ind w:left="0" w:firstLine="0"/>
        <w:rPr>
          <w:szCs w:val="22"/>
        </w:rPr>
      </w:pPr>
    </w:p>
    <w:p w14:paraId="76EDAEB5" w14:textId="55F33419" w:rsidR="008746EE" w:rsidRDefault="008746EE" w:rsidP="008746EE">
      <w:pPr>
        <w:ind w:left="0" w:firstLine="0"/>
      </w:pPr>
      <w:r w:rsidRPr="0045672C">
        <w:t xml:space="preserve">U niektorých pacientov s kongestívnym srdcovým zlyhaním, ktorí majú normálny alebo nízky tlak krvi, môže pri liečbe </w:t>
      </w:r>
      <w:r>
        <w:t>perindoprilom</w:t>
      </w:r>
      <w:r w:rsidRPr="0045672C">
        <w:rPr>
          <w:vertAlign w:val="superscript"/>
        </w:rPr>
        <w:t xml:space="preserve"> </w:t>
      </w:r>
      <w:r w:rsidRPr="0045672C">
        <w:t xml:space="preserve">nastať ďalšie zníženie </w:t>
      </w:r>
      <w:r>
        <w:t>systém</w:t>
      </w:r>
      <w:r w:rsidRPr="0045672C">
        <w:t xml:space="preserve">ového tlaku krvi. Takýto účinok sa </w:t>
      </w:r>
      <w:r>
        <w:t>očakáva</w:t>
      </w:r>
      <w:r w:rsidRPr="0045672C">
        <w:t xml:space="preserve"> a zvyčajne nie je dôvodom na ukončenie liečby. Ak sa hypotenzia stane symptomatickou, môže byť nutné zníženie dávky, alebo vysaden</w:t>
      </w:r>
      <w:r>
        <w:t>ie perindoprilu.</w:t>
      </w:r>
    </w:p>
    <w:p w14:paraId="175450A4" w14:textId="77777777" w:rsidR="008746EE" w:rsidRDefault="008746EE" w:rsidP="008746EE">
      <w:pPr>
        <w:ind w:left="0" w:firstLine="0"/>
      </w:pPr>
    </w:p>
    <w:p w14:paraId="18A652DC" w14:textId="77777777" w:rsidR="008746EE" w:rsidRDefault="008746EE" w:rsidP="008746EE">
      <w:pPr>
        <w:rPr>
          <w:szCs w:val="22"/>
          <w:u w:val="single"/>
          <w:lang w:eastAsia="it-IT"/>
        </w:rPr>
      </w:pPr>
      <w:r>
        <w:rPr>
          <w:szCs w:val="22"/>
          <w:u w:val="single"/>
          <w:lang w:eastAsia="it-IT"/>
        </w:rPr>
        <w:t>Duálna inhibícia systému renín-angiotenzín-aldosterón (RAAS):</w:t>
      </w:r>
    </w:p>
    <w:p w14:paraId="3FC58D00" w14:textId="77777777" w:rsidR="008746EE" w:rsidRDefault="008746EE" w:rsidP="008746EE">
      <w:pPr>
        <w:rPr>
          <w:szCs w:val="22"/>
          <w:lang w:eastAsia="it-IT"/>
        </w:rPr>
      </w:pPr>
      <w:r>
        <w:rPr>
          <w:szCs w:val="22"/>
          <w:lang w:eastAsia="it-IT"/>
        </w:rPr>
        <w:t xml:space="preserve">Preukázalo sa, že súbežné použitie inhibítorov ACE, blokátorov receptorov angiotenzínu II alebo </w:t>
      </w:r>
    </w:p>
    <w:p w14:paraId="18BF12FE" w14:textId="77777777" w:rsidR="008746EE" w:rsidRDefault="008746EE" w:rsidP="008746EE">
      <w:pPr>
        <w:rPr>
          <w:szCs w:val="22"/>
          <w:lang w:eastAsia="it-IT"/>
        </w:rPr>
      </w:pPr>
      <w:r>
        <w:rPr>
          <w:szCs w:val="22"/>
          <w:lang w:eastAsia="it-IT"/>
        </w:rPr>
        <w:t xml:space="preserve">aliskirénu zvyšuje riziko hypotenzie, hyperkaliémie a zníženia funkcie obličiek (vrátane akútneho </w:t>
      </w:r>
    </w:p>
    <w:p w14:paraId="75485384" w14:textId="655786E6" w:rsidR="008746EE" w:rsidRDefault="008746EE" w:rsidP="008746EE">
      <w:pPr>
        <w:rPr>
          <w:szCs w:val="22"/>
          <w:lang w:eastAsia="it-IT"/>
        </w:rPr>
      </w:pPr>
      <w:r>
        <w:rPr>
          <w:szCs w:val="22"/>
          <w:lang w:eastAsia="it-IT"/>
        </w:rPr>
        <w:t xml:space="preserve">zlyhania obličiek). Duálna </w:t>
      </w:r>
      <w:r w:rsidR="00A11AAD">
        <w:rPr>
          <w:szCs w:val="22"/>
          <w:u w:val="single"/>
          <w:lang w:eastAsia="it-IT"/>
        </w:rPr>
        <w:t>inhibícia</w:t>
      </w:r>
      <w:r w:rsidRPr="000F1564">
        <w:rPr>
          <w:szCs w:val="22"/>
          <w:lang w:eastAsia="it-IT"/>
        </w:rPr>
        <w:t xml:space="preserve"> </w:t>
      </w:r>
      <w:r>
        <w:rPr>
          <w:szCs w:val="22"/>
          <w:lang w:eastAsia="it-IT"/>
        </w:rPr>
        <w:t xml:space="preserve">RAAS kombinovaným použitím inhibítorov ACE, blokátorov </w:t>
      </w:r>
    </w:p>
    <w:p w14:paraId="72B8E676" w14:textId="77777777" w:rsidR="008746EE" w:rsidRDefault="008746EE" w:rsidP="008746EE">
      <w:pPr>
        <w:rPr>
          <w:szCs w:val="22"/>
          <w:lang w:eastAsia="it-IT"/>
        </w:rPr>
      </w:pPr>
      <w:r>
        <w:rPr>
          <w:szCs w:val="22"/>
          <w:lang w:eastAsia="it-IT"/>
        </w:rPr>
        <w:lastRenderedPageBreak/>
        <w:t>receptorov angiotenzínu II alebo aliskirénu sa preto neodporúča (pozri časti 4.5 a 5.1).</w:t>
      </w:r>
    </w:p>
    <w:p w14:paraId="3A6E3248" w14:textId="77777777" w:rsidR="008746EE" w:rsidRDefault="008746EE" w:rsidP="008746EE">
      <w:pPr>
        <w:rPr>
          <w:szCs w:val="22"/>
          <w:lang w:eastAsia="it-IT"/>
        </w:rPr>
      </w:pPr>
      <w:r>
        <w:rPr>
          <w:szCs w:val="22"/>
          <w:lang w:eastAsia="it-IT"/>
        </w:rPr>
        <w:t xml:space="preserve">Ak sa liečba duálnou inhibíciou považuje za absolútne nevyhnutnú, má sa podať iba pod dohľadom </w:t>
      </w:r>
    </w:p>
    <w:p w14:paraId="308BBFE9" w14:textId="77777777" w:rsidR="008746EE" w:rsidRDefault="008746EE" w:rsidP="008746EE">
      <w:pPr>
        <w:rPr>
          <w:szCs w:val="22"/>
          <w:lang w:eastAsia="it-IT"/>
        </w:rPr>
      </w:pPr>
      <w:r>
        <w:rPr>
          <w:szCs w:val="22"/>
          <w:lang w:eastAsia="it-IT"/>
        </w:rPr>
        <w:t>odborníka a u pacienta sa majú často a dôsledne kontrolovať funkcia obličiek, elektrolyty a krvný tlak.</w:t>
      </w:r>
    </w:p>
    <w:p w14:paraId="7C4E199E" w14:textId="77777777" w:rsidR="008746EE" w:rsidRDefault="008746EE" w:rsidP="008746EE">
      <w:pPr>
        <w:rPr>
          <w:szCs w:val="22"/>
        </w:rPr>
      </w:pPr>
      <w:r>
        <w:rPr>
          <w:szCs w:val="22"/>
        </w:rPr>
        <w:t xml:space="preserve">Inhibítory ACE a blokátory receptorov angiotenzínu II sa nemajú súbežne používať u pacientov s </w:t>
      </w:r>
    </w:p>
    <w:p w14:paraId="5B39C9A5" w14:textId="77777777" w:rsidR="008746EE" w:rsidRDefault="008746EE" w:rsidP="008746EE">
      <w:pPr>
        <w:rPr>
          <w:szCs w:val="22"/>
          <w:lang w:eastAsia="en-US"/>
        </w:rPr>
      </w:pPr>
      <w:r>
        <w:rPr>
          <w:szCs w:val="22"/>
        </w:rPr>
        <w:t>diabetickou nefropatiou.</w:t>
      </w:r>
    </w:p>
    <w:p w14:paraId="52F99389" w14:textId="77777777" w:rsidR="008746EE" w:rsidRPr="00623548" w:rsidRDefault="008746EE" w:rsidP="008746EE">
      <w:pPr>
        <w:ind w:left="0" w:firstLine="0"/>
        <w:rPr>
          <w:highlight w:val="green"/>
        </w:rPr>
      </w:pPr>
    </w:p>
    <w:p w14:paraId="4B9DCB61" w14:textId="77777777" w:rsidR="008746EE" w:rsidRPr="002D615B" w:rsidRDefault="008746EE" w:rsidP="008746EE">
      <w:pPr>
        <w:ind w:left="0" w:firstLine="0"/>
        <w:rPr>
          <w:color w:val="000000"/>
          <w:szCs w:val="22"/>
          <w:u w:val="single"/>
          <w:lang w:eastAsia="fr-FR"/>
        </w:rPr>
      </w:pPr>
      <w:r w:rsidRPr="002D615B">
        <w:rPr>
          <w:color w:val="000000"/>
          <w:szCs w:val="22"/>
          <w:u w:val="single"/>
          <w:lang w:eastAsia="fr-FR"/>
        </w:rPr>
        <w:t>Aortálna a mitrálna stenóza, hypertrofická kardiomyopatia</w:t>
      </w:r>
      <w:r>
        <w:rPr>
          <w:color w:val="000000"/>
          <w:szCs w:val="22"/>
          <w:u w:val="single"/>
          <w:lang w:eastAsia="fr-FR"/>
        </w:rPr>
        <w:t>:</w:t>
      </w:r>
    </w:p>
    <w:p w14:paraId="7F90358E" w14:textId="6E228AB5" w:rsidR="008746EE" w:rsidRPr="00D06706" w:rsidRDefault="008746EE" w:rsidP="008746EE">
      <w:pPr>
        <w:ind w:left="0" w:firstLine="0"/>
        <w:rPr>
          <w:szCs w:val="22"/>
        </w:rPr>
      </w:pPr>
      <w:r w:rsidRPr="00D06706">
        <w:rPr>
          <w:szCs w:val="22"/>
        </w:rPr>
        <w:t xml:space="preserve">Rovnako ako aj iné ACE inhibítory, </w:t>
      </w:r>
      <w:r>
        <w:rPr>
          <w:szCs w:val="22"/>
        </w:rPr>
        <w:t>perindopril</w:t>
      </w:r>
      <w:r w:rsidRPr="00D06706">
        <w:rPr>
          <w:szCs w:val="22"/>
        </w:rPr>
        <w:t xml:space="preserve"> </w:t>
      </w:r>
      <w:r>
        <w:rPr>
          <w:szCs w:val="22"/>
        </w:rPr>
        <w:t>má</w:t>
      </w:r>
      <w:r w:rsidRPr="00D06706">
        <w:rPr>
          <w:szCs w:val="22"/>
        </w:rPr>
        <w:t xml:space="preserve"> byť podávan</w:t>
      </w:r>
      <w:r>
        <w:rPr>
          <w:szCs w:val="22"/>
        </w:rPr>
        <w:t>ý</w:t>
      </w:r>
      <w:r w:rsidRPr="00D06706">
        <w:rPr>
          <w:szCs w:val="22"/>
        </w:rPr>
        <w:t xml:space="preserve"> opatrne pacientom so stenózou mitrálnej chlopne a</w:t>
      </w:r>
      <w:r>
        <w:rPr>
          <w:szCs w:val="22"/>
        </w:rPr>
        <w:t>lebo</w:t>
      </w:r>
      <w:r w:rsidRPr="00D06706">
        <w:rPr>
          <w:szCs w:val="22"/>
        </w:rPr>
        <w:t xml:space="preserve"> obštrukciou prietoku ľavej komory</w:t>
      </w:r>
      <w:r>
        <w:rPr>
          <w:szCs w:val="22"/>
        </w:rPr>
        <w:t xml:space="preserve"> (</w:t>
      </w:r>
      <w:r w:rsidRPr="00D06706">
        <w:rPr>
          <w:szCs w:val="22"/>
        </w:rPr>
        <w:t>ako je aortálna stenóza alebo hypertrofická kardiomyopatia</w:t>
      </w:r>
      <w:r>
        <w:rPr>
          <w:szCs w:val="22"/>
        </w:rPr>
        <w:t>)</w:t>
      </w:r>
      <w:r w:rsidRPr="00D06706">
        <w:rPr>
          <w:szCs w:val="22"/>
        </w:rPr>
        <w:t>.</w:t>
      </w:r>
    </w:p>
    <w:p w14:paraId="5A638950" w14:textId="77777777" w:rsidR="008746EE" w:rsidRDefault="008746EE" w:rsidP="008746EE">
      <w:pPr>
        <w:rPr>
          <w:rFonts w:ascii="Arial" w:hAnsi="Arial" w:cs="Arial"/>
          <w:sz w:val="20"/>
        </w:rPr>
      </w:pPr>
    </w:p>
    <w:p w14:paraId="37979E26" w14:textId="3E30239C" w:rsidR="008746EE" w:rsidRPr="002D615B" w:rsidRDefault="008746EE" w:rsidP="008746EE">
      <w:pPr>
        <w:ind w:left="0" w:firstLine="0"/>
        <w:rPr>
          <w:color w:val="000000"/>
          <w:szCs w:val="22"/>
          <w:u w:val="single"/>
          <w:lang w:eastAsia="fr-FR"/>
        </w:rPr>
      </w:pPr>
      <w:r>
        <w:rPr>
          <w:color w:val="000000"/>
          <w:szCs w:val="22"/>
          <w:u w:val="single"/>
          <w:lang w:eastAsia="fr-FR"/>
        </w:rPr>
        <w:t>Porucha funkcie</w:t>
      </w:r>
      <w:r w:rsidRPr="002D615B">
        <w:rPr>
          <w:color w:val="000000"/>
          <w:szCs w:val="22"/>
          <w:u w:val="single"/>
          <w:lang w:eastAsia="fr-FR"/>
        </w:rPr>
        <w:t xml:space="preserve"> obličiek:</w:t>
      </w:r>
    </w:p>
    <w:p w14:paraId="4E9AFAB6" w14:textId="57D2FA34" w:rsidR="008746EE" w:rsidRDefault="008746EE" w:rsidP="008746EE">
      <w:pPr>
        <w:ind w:left="0" w:firstLine="0"/>
        <w:rPr>
          <w:szCs w:val="22"/>
        </w:rPr>
      </w:pPr>
      <w:r w:rsidRPr="00FA0381">
        <w:rPr>
          <w:szCs w:val="22"/>
        </w:rPr>
        <w:t xml:space="preserve">V prípade </w:t>
      </w:r>
      <w:r>
        <w:rPr>
          <w:szCs w:val="22"/>
        </w:rPr>
        <w:t>poruchy</w:t>
      </w:r>
      <w:r w:rsidRPr="00FA0381">
        <w:rPr>
          <w:szCs w:val="22"/>
        </w:rPr>
        <w:t xml:space="preserve"> funkcie obličiek (klírens kreatinínu &lt;60 ml/min) </w:t>
      </w:r>
      <w:r>
        <w:rPr>
          <w:szCs w:val="22"/>
        </w:rPr>
        <w:t>má</w:t>
      </w:r>
      <w:r w:rsidRPr="00FA0381">
        <w:rPr>
          <w:szCs w:val="22"/>
        </w:rPr>
        <w:t xml:space="preserve"> byť počiatočné dávkovanie perindoprilu upravené podľa pacientovho klírensu kreatinínu (pozri časť 4.2) a následne podľa pacientovej odpovede na liečbu. U týchto pacientov je rutinné monitorovanie hladín draslíka a kreatinínu súčasťou bežnej lekárskej praxe (pozri časť 4.8).</w:t>
      </w:r>
    </w:p>
    <w:p w14:paraId="2A90E8F7" w14:textId="77777777" w:rsidR="008746EE" w:rsidRPr="00FA0381" w:rsidRDefault="008746EE" w:rsidP="008746EE">
      <w:pPr>
        <w:ind w:left="0" w:firstLine="0"/>
        <w:rPr>
          <w:szCs w:val="22"/>
        </w:rPr>
      </w:pPr>
    </w:p>
    <w:p w14:paraId="14462533" w14:textId="53D57142" w:rsidR="008746EE" w:rsidRDefault="008746EE" w:rsidP="008746EE">
      <w:pPr>
        <w:ind w:left="0" w:firstLine="0"/>
        <w:rPr>
          <w:szCs w:val="22"/>
        </w:rPr>
      </w:pPr>
      <w:r w:rsidRPr="00FA0381">
        <w:rPr>
          <w:szCs w:val="22"/>
        </w:rPr>
        <w:t xml:space="preserve">U pacientov so symptomatickým srdcovým zlyhaním môže hypotenzia po začatí terapie ACE inhibítormi viesť k </w:t>
      </w:r>
      <w:r>
        <w:rPr>
          <w:szCs w:val="22"/>
        </w:rPr>
        <w:t xml:space="preserve">ďalšej poruche </w:t>
      </w:r>
      <w:r w:rsidRPr="00FA0381">
        <w:rPr>
          <w:szCs w:val="22"/>
        </w:rPr>
        <w:t>obličkových funkcií. V takejto situácii b</w:t>
      </w:r>
      <w:smartTag w:uri="urn:schemas-microsoft-com:office:smarttags" w:element="PersonName">
        <w:r w:rsidRPr="00FA0381">
          <w:rPr>
            <w:szCs w:val="22"/>
          </w:rPr>
          <w:t>olo</w:t>
        </w:r>
      </w:smartTag>
      <w:r w:rsidRPr="00FA0381">
        <w:rPr>
          <w:szCs w:val="22"/>
        </w:rPr>
        <w:t xml:space="preserve"> zaznamenané akútne, zvyčajne reverzibilné zlyhanie obličiek.</w:t>
      </w:r>
    </w:p>
    <w:p w14:paraId="620DC45B" w14:textId="77777777" w:rsidR="008746EE" w:rsidRPr="00FA0381" w:rsidRDefault="008746EE" w:rsidP="008746EE">
      <w:pPr>
        <w:ind w:left="0" w:firstLine="0"/>
        <w:rPr>
          <w:szCs w:val="22"/>
        </w:rPr>
      </w:pPr>
    </w:p>
    <w:p w14:paraId="4532C50E" w14:textId="0B87A2AF" w:rsidR="008746EE" w:rsidRDefault="008746EE" w:rsidP="008746EE">
      <w:pPr>
        <w:ind w:left="0" w:firstLine="0"/>
        <w:rPr>
          <w:szCs w:val="22"/>
        </w:rPr>
      </w:pPr>
      <w:r w:rsidRPr="00FA0381">
        <w:rPr>
          <w:szCs w:val="22"/>
        </w:rPr>
        <w:t xml:space="preserve">U niektorých pacientov s bilaterálnou stenózou renálnej artérie alebo stenózou renálnej artérie solitérnej obličky, ktorí boli liečení ACE inhibítormi, boli zaznamenané zvýšené hladiny hodnôt </w:t>
      </w:r>
      <w:r w:rsidRPr="00DE1DD6">
        <w:rPr>
          <w:szCs w:val="22"/>
        </w:rPr>
        <w:t>urey</w:t>
      </w:r>
      <w:r w:rsidRPr="00FA0381">
        <w:rPr>
          <w:szCs w:val="22"/>
        </w:rPr>
        <w:t xml:space="preserve"> v krvi a sérového kreatinínu, ktoré boli zvyčajne reverzibilné po ukončení liečby. Toto je zvlášť pravdepodobné u pacientov s</w:t>
      </w:r>
      <w:r>
        <w:rPr>
          <w:szCs w:val="22"/>
        </w:rPr>
        <w:t> poruchou funkcie obličiek</w:t>
      </w:r>
      <w:r w:rsidRPr="00FA0381">
        <w:rPr>
          <w:szCs w:val="22"/>
        </w:rPr>
        <w:t>. Ak je prítomná aj renovaskulárna hypertenzia, je tu zvýšené riziko závažnej hypotenzie a renáln</w:t>
      </w:r>
      <w:r>
        <w:rPr>
          <w:szCs w:val="22"/>
        </w:rPr>
        <w:t>ej</w:t>
      </w:r>
      <w:r w:rsidRPr="00FA0381">
        <w:rPr>
          <w:szCs w:val="22"/>
        </w:rPr>
        <w:t xml:space="preserve"> </w:t>
      </w:r>
      <w:r>
        <w:rPr>
          <w:szCs w:val="22"/>
        </w:rPr>
        <w:t>insuficiencie</w:t>
      </w:r>
      <w:r w:rsidRPr="00FA0381">
        <w:rPr>
          <w:szCs w:val="22"/>
        </w:rPr>
        <w:t xml:space="preserve">. U týchto pacientov je potrebné liečbu začať pod prísnym lekárskym dohľadom nízkymi dávkami a dávky zvyšovať opatrne. Vzhľadom na to, že liečba diuretikami môže </w:t>
      </w:r>
      <w:r>
        <w:rPr>
          <w:szCs w:val="22"/>
        </w:rPr>
        <w:t>prispievať k</w:t>
      </w:r>
      <w:r w:rsidRPr="00FA0381">
        <w:rPr>
          <w:szCs w:val="22"/>
        </w:rPr>
        <w:t xml:space="preserve"> vzniku vyššie uvedených prejavov, diuretiká </w:t>
      </w:r>
      <w:r>
        <w:rPr>
          <w:szCs w:val="22"/>
        </w:rPr>
        <w:t>sa majú</w:t>
      </w:r>
      <w:r w:rsidRPr="00FA0381">
        <w:rPr>
          <w:szCs w:val="22"/>
        </w:rPr>
        <w:t xml:space="preserve"> vysadiť a počas prvých týždňov liečby </w:t>
      </w:r>
      <w:r>
        <w:rPr>
          <w:szCs w:val="22"/>
        </w:rPr>
        <w:t>perindoprilom</w:t>
      </w:r>
      <w:r w:rsidRPr="00FA0381">
        <w:rPr>
          <w:szCs w:val="22"/>
        </w:rPr>
        <w:t xml:space="preserve"> </w:t>
      </w:r>
      <w:r>
        <w:rPr>
          <w:szCs w:val="22"/>
        </w:rPr>
        <w:t>má</w:t>
      </w:r>
      <w:r w:rsidRPr="00FA0381">
        <w:rPr>
          <w:szCs w:val="22"/>
        </w:rPr>
        <w:t xml:space="preserve"> byť monitorovaná funkcia obličiek.</w:t>
      </w:r>
    </w:p>
    <w:p w14:paraId="47BE7670" w14:textId="77777777" w:rsidR="008746EE" w:rsidRPr="00FA0381" w:rsidRDefault="008746EE" w:rsidP="008746EE">
      <w:pPr>
        <w:ind w:left="0" w:firstLine="0"/>
        <w:rPr>
          <w:szCs w:val="22"/>
        </w:rPr>
      </w:pPr>
    </w:p>
    <w:p w14:paraId="70D2840C" w14:textId="4D62106E" w:rsidR="008746EE" w:rsidRDefault="008746EE" w:rsidP="008746EE">
      <w:pPr>
        <w:ind w:left="0" w:firstLine="0"/>
        <w:rPr>
          <w:szCs w:val="22"/>
        </w:rPr>
      </w:pPr>
      <w:r w:rsidRPr="00FA0381">
        <w:rPr>
          <w:szCs w:val="22"/>
        </w:rPr>
        <w:t>U niektorých hypertoni</w:t>
      </w:r>
      <w:r>
        <w:rPr>
          <w:szCs w:val="22"/>
        </w:rPr>
        <w:t>ckých pacientov</w:t>
      </w:r>
      <w:r w:rsidRPr="00FA0381">
        <w:rPr>
          <w:szCs w:val="22"/>
        </w:rPr>
        <w:t xml:space="preserve"> bez zjavného preexistujúceho renovaskulárneho ochorenia došlo k zvýšeniu hladín urey v krvi a sérového kreatinínu, ktoré b</w:t>
      </w:r>
      <w:smartTag w:uri="urn:schemas-microsoft-com:office:smarttags" w:element="PersonName">
        <w:r w:rsidRPr="00FA0381">
          <w:rPr>
            <w:szCs w:val="22"/>
          </w:rPr>
          <w:t>olo</w:t>
        </w:r>
      </w:smartTag>
      <w:r w:rsidRPr="00FA0381">
        <w:rPr>
          <w:szCs w:val="22"/>
        </w:rPr>
        <w:t xml:space="preserve"> zvyčajne mierne a prechodné, najmä ak </w:t>
      </w:r>
      <w:r>
        <w:rPr>
          <w:szCs w:val="22"/>
        </w:rPr>
        <w:t>bol perindopril</w:t>
      </w:r>
      <w:r w:rsidRPr="00FA0381">
        <w:rPr>
          <w:szCs w:val="22"/>
        </w:rPr>
        <w:t xml:space="preserve"> podávan</w:t>
      </w:r>
      <w:r>
        <w:rPr>
          <w:szCs w:val="22"/>
        </w:rPr>
        <w:t>ý</w:t>
      </w:r>
      <w:r w:rsidRPr="00FA0381">
        <w:rPr>
          <w:szCs w:val="22"/>
        </w:rPr>
        <w:t xml:space="preserve"> sú</w:t>
      </w:r>
      <w:r>
        <w:rPr>
          <w:szCs w:val="22"/>
        </w:rPr>
        <w:t>bež</w:t>
      </w:r>
      <w:r w:rsidRPr="00FA0381">
        <w:rPr>
          <w:szCs w:val="22"/>
        </w:rPr>
        <w:t>ne s diuretikom. S väčšou pravdepodobnosťou k tomu môže dôjsť u pacientov s preexistujúc</w:t>
      </w:r>
      <w:r>
        <w:rPr>
          <w:szCs w:val="22"/>
        </w:rPr>
        <w:t>ou</w:t>
      </w:r>
      <w:r w:rsidRPr="00FA0381">
        <w:rPr>
          <w:szCs w:val="22"/>
        </w:rPr>
        <w:t xml:space="preserve"> </w:t>
      </w:r>
      <w:r>
        <w:rPr>
          <w:szCs w:val="22"/>
        </w:rPr>
        <w:t xml:space="preserve">poruchou funkcie </w:t>
      </w:r>
      <w:r w:rsidRPr="00FA0381">
        <w:rPr>
          <w:szCs w:val="22"/>
        </w:rPr>
        <w:t xml:space="preserve">obličiek. Môže byť potrebné zníženie dávky a/alebo vysadenie diuretika a/alebo </w:t>
      </w:r>
      <w:r>
        <w:rPr>
          <w:szCs w:val="22"/>
        </w:rPr>
        <w:t>perindoprilu</w:t>
      </w:r>
      <w:r w:rsidRPr="00FA0381">
        <w:rPr>
          <w:szCs w:val="22"/>
        </w:rPr>
        <w:t>.</w:t>
      </w:r>
    </w:p>
    <w:p w14:paraId="5720A6A3" w14:textId="77777777" w:rsidR="008746EE" w:rsidRDefault="008746EE" w:rsidP="008746EE">
      <w:pPr>
        <w:ind w:left="0" w:firstLine="0"/>
        <w:rPr>
          <w:szCs w:val="22"/>
        </w:rPr>
      </w:pPr>
    </w:p>
    <w:p w14:paraId="1AA592CF" w14:textId="77777777" w:rsidR="008746EE" w:rsidRPr="002D615B" w:rsidRDefault="008746EE" w:rsidP="008746EE">
      <w:pPr>
        <w:ind w:left="0" w:firstLine="0"/>
        <w:rPr>
          <w:color w:val="000000"/>
          <w:szCs w:val="22"/>
          <w:u w:val="single"/>
          <w:lang w:eastAsia="fr-FR"/>
        </w:rPr>
      </w:pPr>
      <w:r w:rsidRPr="002D615B">
        <w:rPr>
          <w:color w:val="000000"/>
          <w:szCs w:val="22"/>
          <w:u w:val="single"/>
          <w:lang w:eastAsia="fr-FR"/>
        </w:rPr>
        <w:t>Hemodialyzovaní pacienti</w:t>
      </w:r>
      <w:r>
        <w:rPr>
          <w:color w:val="000000"/>
          <w:szCs w:val="22"/>
          <w:u w:val="single"/>
          <w:lang w:eastAsia="fr-FR"/>
        </w:rPr>
        <w:t>:</w:t>
      </w:r>
    </w:p>
    <w:p w14:paraId="5CFDCFA3" w14:textId="666584F9" w:rsidR="008746EE" w:rsidRPr="00FA0381" w:rsidRDefault="008746EE" w:rsidP="008746EE">
      <w:pPr>
        <w:ind w:left="0" w:firstLine="0"/>
        <w:rPr>
          <w:szCs w:val="22"/>
        </w:rPr>
      </w:pPr>
      <w:r w:rsidRPr="00FA0381">
        <w:rPr>
          <w:szCs w:val="22"/>
        </w:rPr>
        <w:t>Boli zaznamenané anafylaktoidné reakcie u pacientov dialyzovaných pomocou vysokoprie</w:t>
      </w:r>
      <w:r>
        <w:rPr>
          <w:szCs w:val="22"/>
        </w:rPr>
        <w:t>tokových</w:t>
      </w:r>
      <w:r w:rsidRPr="00FA0381">
        <w:rPr>
          <w:szCs w:val="22"/>
        </w:rPr>
        <w:t xml:space="preserve"> membrán a sú</w:t>
      </w:r>
      <w:r>
        <w:rPr>
          <w:szCs w:val="22"/>
        </w:rPr>
        <w:t>bež</w:t>
      </w:r>
      <w:r w:rsidRPr="00FA0381">
        <w:rPr>
          <w:szCs w:val="22"/>
        </w:rPr>
        <w:t>ne liečených ACE inhibítorom. U týchto pacientov treba zvážiť použitie iného typu dialyzačnej membrány alebo antihypertenzíva z inej skupiny.</w:t>
      </w:r>
    </w:p>
    <w:p w14:paraId="10138226" w14:textId="77777777" w:rsidR="008746EE" w:rsidRDefault="008746EE" w:rsidP="008746EE">
      <w:pPr>
        <w:rPr>
          <w:rFonts w:ascii="Arial" w:hAnsi="Arial" w:cs="Arial"/>
          <w:sz w:val="20"/>
        </w:rPr>
      </w:pPr>
    </w:p>
    <w:p w14:paraId="5774AECA" w14:textId="5FAB2424" w:rsidR="008746EE" w:rsidRPr="002D615B" w:rsidRDefault="008746EE" w:rsidP="008746EE">
      <w:pPr>
        <w:ind w:left="0" w:firstLine="0"/>
        <w:rPr>
          <w:color w:val="000000"/>
          <w:szCs w:val="22"/>
          <w:u w:val="single"/>
          <w:lang w:eastAsia="fr-FR"/>
        </w:rPr>
      </w:pPr>
      <w:r w:rsidRPr="002D615B">
        <w:rPr>
          <w:color w:val="000000"/>
          <w:szCs w:val="22"/>
          <w:u w:val="single"/>
          <w:lang w:eastAsia="fr-FR"/>
        </w:rPr>
        <w:t>Transplantácia obličk</w:t>
      </w:r>
      <w:r>
        <w:rPr>
          <w:color w:val="000000"/>
          <w:szCs w:val="22"/>
          <w:u w:val="single"/>
          <w:lang w:eastAsia="fr-FR"/>
        </w:rPr>
        <w:t>y:</w:t>
      </w:r>
    </w:p>
    <w:p w14:paraId="3262640F" w14:textId="77777777" w:rsidR="008746EE" w:rsidRPr="00FA0381" w:rsidRDefault="008746EE" w:rsidP="008746EE">
      <w:pPr>
        <w:ind w:left="0" w:firstLine="0"/>
        <w:rPr>
          <w:szCs w:val="22"/>
        </w:rPr>
      </w:pPr>
      <w:r w:rsidRPr="00FA0381">
        <w:rPr>
          <w:szCs w:val="22"/>
        </w:rPr>
        <w:t xml:space="preserve">Nie sú skúsenosti s podávaním </w:t>
      </w:r>
      <w:r>
        <w:rPr>
          <w:szCs w:val="22"/>
        </w:rPr>
        <w:t>perindoprilu</w:t>
      </w:r>
      <w:r w:rsidRPr="00FA0381">
        <w:rPr>
          <w:szCs w:val="22"/>
        </w:rPr>
        <w:t xml:space="preserve"> pacientom po nedávnej transplantácii obličiek.</w:t>
      </w:r>
    </w:p>
    <w:p w14:paraId="03A563C7" w14:textId="77777777" w:rsidR="008746EE" w:rsidRDefault="008746EE" w:rsidP="008746EE">
      <w:pPr>
        <w:rPr>
          <w:rFonts w:ascii="Arial" w:hAnsi="Arial" w:cs="Arial"/>
          <w:sz w:val="20"/>
        </w:rPr>
      </w:pPr>
    </w:p>
    <w:p w14:paraId="7AF171FA" w14:textId="77777777" w:rsidR="008746EE" w:rsidRPr="002D615B" w:rsidRDefault="008746EE" w:rsidP="008746EE">
      <w:pPr>
        <w:ind w:left="0" w:firstLine="0"/>
        <w:rPr>
          <w:color w:val="000000"/>
          <w:szCs w:val="22"/>
          <w:u w:val="single"/>
          <w:lang w:eastAsia="fr-FR"/>
        </w:rPr>
      </w:pPr>
      <w:r w:rsidRPr="002D615B">
        <w:rPr>
          <w:color w:val="000000"/>
          <w:szCs w:val="22"/>
          <w:u w:val="single"/>
          <w:lang w:eastAsia="fr-FR"/>
        </w:rPr>
        <w:t>Precitlivenosť/</w:t>
      </w:r>
      <w:r w:rsidRPr="002D615B">
        <w:rPr>
          <w:u w:val="single"/>
        </w:rPr>
        <w:t xml:space="preserve"> a</w:t>
      </w:r>
      <w:r w:rsidRPr="002D615B">
        <w:rPr>
          <w:color w:val="000000"/>
          <w:szCs w:val="22"/>
          <w:u w:val="single"/>
          <w:lang w:eastAsia="fr-FR"/>
        </w:rPr>
        <w:t>ngioedém</w:t>
      </w:r>
      <w:r>
        <w:rPr>
          <w:color w:val="000000"/>
          <w:szCs w:val="22"/>
          <w:u w:val="single"/>
          <w:lang w:eastAsia="fr-FR"/>
        </w:rPr>
        <w:t>:</w:t>
      </w:r>
    </w:p>
    <w:p w14:paraId="1BAE75DD" w14:textId="43965132" w:rsidR="008746EE" w:rsidRDefault="008746EE" w:rsidP="008746EE">
      <w:pPr>
        <w:ind w:left="0" w:firstLine="0"/>
        <w:rPr>
          <w:szCs w:val="22"/>
        </w:rPr>
      </w:pPr>
      <w:r w:rsidRPr="00FA0381">
        <w:rPr>
          <w:szCs w:val="22"/>
        </w:rPr>
        <w:t xml:space="preserve">Boli </w:t>
      </w:r>
      <w:r>
        <w:rPr>
          <w:szCs w:val="22"/>
        </w:rPr>
        <w:t xml:space="preserve">hlásené </w:t>
      </w:r>
      <w:r w:rsidRPr="00FA0381">
        <w:rPr>
          <w:szCs w:val="22"/>
        </w:rPr>
        <w:t xml:space="preserve">zriedkavé prípady </w:t>
      </w:r>
      <w:r>
        <w:rPr>
          <w:szCs w:val="22"/>
        </w:rPr>
        <w:t>a</w:t>
      </w:r>
      <w:r w:rsidRPr="00414424">
        <w:rPr>
          <w:szCs w:val="22"/>
        </w:rPr>
        <w:t>ngioedém</w:t>
      </w:r>
      <w:r>
        <w:rPr>
          <w:szCs w:val="22"/>
        </w:rPr>
        <w:t>u</w:t>
      </w:r>
      <w:r w:rsidRPr="00FA0381">
        <w:rPr>
          <w:szCs w:val="22"/>
        </w:rPr>
        <w:t xml:space="preserve"> tváre, končatín, pier, slizníc, jazyka, hlasiviek a/alebo hrtan</w:t>
      </w:r>
      <w:r>
        <w:rPr>
          <w:szCs w:val="22"/>
        </w:rPr>
        <w:t>a</w:t>
      </w:r>
      <w:r w:rsidRPr="00FA0381">
        <w:rPr>
          <w:szCs w:val="22"/>
        </w:rPr>
        <w:t xml:space="preserve"> u pacientov liečených ACE inhibítormi, vrátane </w:t>
      </w:r>
      <w:r>
        <w:rPr>
          <w:szCs w:val="22"/>
        </w:rPr>
        <w:t>perindoprilu</w:t>
      </w:r>
      <w:r w:rsidRPr="00FA0381">
        <w:rPr>
          <w:szCs w:val="22"/>
        </w:rPr>
        <w:t xml:space="preserve"> (pozri časť 4.8). Toto sa môže </w:t>
      </w:r>
      <w:r>
        <w:rPr>
          <w:szCs w:val="22"/>
        </w:rPr>
        <w:t>vyskytnúť</w:t>
      </w:r>
      <w:r w:rsidRPr="00FA0381">
        <w:rPr>
          <w:szCs w:val="22"/>
        </w:rPr>
        <w:t xml:space="preserve"> kedykoľvek počas liečby. V takomto prípade musí byť </w:t>
      </w:r>
      <w:r>
        <w:rPr>
          <w:szCs w:val="22"/>
        </w:rPr>
        <w:t>perindopril</w:t>
      </w:r>
      <w:r w:rsidRPr="00FA0381">
        <w:rPr>
          <w:szCs w:val="22"/>
        </w:rPr>
        <w:t xml:space="preserve"> okamžite vysadený </w:t>
      </w:r>
      <w:r>
        <w:rPr>
          <w:szCs w:val="22"/>
        </w:rPr>
        <w:t>a má</w:t>
      </w:r>
      <w:r w:rsidRPr="00FA0381">
        <w:rPr>
          <w:szCs w:val="22"/>
        </w:rPr>
        <w:t xml:space="preserve"> sa začať príslušné monitorovanie a pokračovať v ňom až do úplného vymiznutia symptómov. V prípadoch, kde sa opuch obmedzil na oblasť tváre a pier, sa stav zvyčajne uprav</w:t>
      </w:r>
      <w:r>
        <w:rPr>
          <w:szCs w:val="22"/>
        </w:rPr>
        <w:t>il</w:t>
      </w:r>
      <w:r w:rsidRPr="00FA0381">
        <w:rPr>
          <w:szCs w:val="22"/>
        </w:rPr>
        <w:t xml:space="preserve"> bez liečby, hoci </w:t>
      </w:r>
      <w:r>
        <w:rPr>
          <w:szCs w:val="22"/>
        </w:rPr>
        <w:t xml:space="preserve">sa </w:t>
      </w:r>
      <w:r w:rsidRPr="0082014E">
        <w:rPr>
          <w:szCs w:val="22"/>
        </w:rPr>
        <w:t>antihistaminiká ukázali byť prospešné pri zmierňovaní symptómov</w:t>
      </w:r>
      <w:r w:rsidRPr="00FA0381">
        <w:rPr>
          <w:szCs w:val="22"/>
        </w:rPr>
        <w:t>.</w:t>
      </w:r>
    </w:p>
    <w:p w14:paraId="0EEC644C" w14:textId="77777777" w:rsidR="008746EE" w:rsidRPr="00FA0381" w:rsidRDefault="008746EE" w:rsidP="008746EE">
      <w:pPr>
        <w:ind w:left="0" w:firstLine="0"/>
        <w:rPr>
          <w:szCs w:val="22"/>
        </w:rPr>
      </w:pPr>
    </w:p>
    <w:p w14:paraId="1DD07640" w14:textId="0BDCF3E3" w:rsidR="008746EE" w:rsidRDefault="008746EE" w:rsidP="008746EE">
      <w:pPr>
        <w:ind w:left="0" w:firstLine="0"/>
        <w:rPr>
          <w:szCs w:val="22"/>
        </w:rPr>
      </w:pPr>
      <w:r w:rsidRPr="00FA0381">
        <w:rPr>
          <w:szCs w:val="22"/>
        </w:rPr>
        <w:t>Angioedém spojený s edémom hrtana môže byť fatálny. Ak je postihnutý jazyk, hlasivky alebo hrtan</w:t>
      </w:r>
      <w:r>
        <w:rPr>
          <w:szCs w:val="22"/>
        </w:rPr>
        <w:t>, čo môže</w:t>
      </w:r>
      <w:r w:rsidRPr="00FA0381">
        <w:rPr>
          <w:szCs w:val="22"/>
        </w:rPr>
        <w:t xml:space="preserve"> s pravdepodobno</w:t>
      </w:r>
      <w:r>
        <w:rPr>
          <w:szCs w:val="22"/>
        </w:rPr>
        <w:t>sťo</w:t>
      </w:r>
      <w:r w:rsidRPr="00FA0381">
        <w:rPr>
          <w:szCs w:val="22"/>
        </w:rPr>
        <w:t xml:space="preserve">u </w:t>
      </w:r>
      <w:r>
        <w:rPr>
          <w:szCs w:val="22"/>
        </w:rPr>
        <w:t xml:space="preserve">spôsobiť </w:t>
      </w:r>
      <w:r w:rsidRPr="00FA0381">
        <w:rPr>
          <w:szCs w:val="22"/>
        </w:rPr>
        <w:t xml:space="preserve">obštrukciu dýchacích ciest, okamžite treba poskytnúť </w:t>
      </w:r>
      <w:r>
        <w:rPr>
          <w:szCs w:val="22"/>
        </w:rPr>
        <w:t>pohotovostnú</w:t>
      </w:r>
      <w:r w:rsidRPr="00FA0381">
        <w:rPr>
          <w:szCs w:val="22"/>
        </w:rPr>
        <w:t xml:space="preserve"> liečbu. Tá </w:t>
      </w:r>
      <w:r>
        <w:rPr>
          <w:szCs w:val="22"/>
        </w:rPr>
        <w:t>môže</w:t>
      </w:r>
      <w:r w:rsidRPr="00FA0381">
        <w:rPr>
          <w:szCs w:val="22"/>
        </w:rPr>
        <w:t xml:space="preserve"> zahŕňať podanie adrenalínu a/alebo </w:t>
      </w:r>
      <w:r w:rsidRPr="003F4E5C">
        <w:rPr>
          <w:szCs w:val="22"/>
        </w:rPr>
        <w:t>za</w:t>
      </w:r>
      <w:r>
        <w:rPr>
          <w:szCs w:val="22"/>
        </w:rPr>
        <w:t>bezpeče</w:t>
      </w:r>
      <w:r w:rsidRPr="003F4E5C">
        <w:rPr>
          <w:szCs w:val="22"/>
        </w:rPr>
        <w:t>nie</w:t>
      </w:r>
      <w:r w:rsidRPr="00FA0381">
        <w:rPr>
          <w:szCs w:val="22"/>
        </w:rPr>
        <w:t xml:space="preserve"> priechodnosti </w:t>
      </w:r>
      <w:r w:rsidRPr="00FA0381">
        <w:rPr>
          <w:szCs w:val="22"/>
        </w:rPr>
        <w:lastRenderedPageBreak/>
        <w:t>dýchacích ciest. Pacient má byť pod starostlivým lekárskym dohľadom do úplného a trvalého vymiznutia symptómov.</w:t>
      </w:r>
    </w:p>
    <w:p w14:paraId="61554965" w14:textId="77777777" w:rsidR="008746EE" w:rsidRDefault="008746EE" w:rsidP="008746EE">
      <w:pPr>
        <w:ind w:left="0" w:firstLine="0"/>
        <w:rPr>
          <w:szCs w:val="22"/>
        </w:rPr>
      </w:pPr>
    </w:p>
    <w:p w14:paraId="1FED80DC" w14:textId="77777777" w:rsidR="008746EE" w:rsidRDefault="008746EE" w:rsidP="008746EE">
      <w:pPr>
        <w:ind w:left="0" w:firstLine="0"/>
        <w:rPr>
          <w:szCs w:val="22"/>
        </w:rPr>
      </w:pPr>
      <w:r w:rsidRPr="00FA0381">
        <w:rPr>
          <w:szCs w:val="22"/>
        </w:rPr>
        <w:t>Pacienti s anamnézou angioedému, nesúvisiaceho s liečbou ACE inhibítormi, môžu mať zvýšené riziko angioedému pri užívaní ACE inhibítorov (pozri časť 4.3</w:t>
      </w:r>
      <w:r>
        <w:rPr>
          <w:szCs w:val="22"/>
        </w:rPr>
        <w:t>)</w:t>
      </w:r>
      <w:r w:rsidRPr="00FA0381">
        <w:rPr>
          <w:szCs w:val="22"/>
        </w:rPr>
        <w:t>.</w:t>
      </w:r>
    </w:p>
    <w:p w14:paraId="7575313D" w14:textId="77777777" w:rsidR="008746EE" w:rsidRPr="00315E67" w:rsidRDefault="008746EE" w:rsidP="008746EE">
      <w:pPr>
        <w:tabs>
          <w:tab w:val="left" w:pos="0"/>
        </w:tabs>
        <w:ind w:left="0" w:firstLine="0"/>
        <w:outlineLvl w:val="0"/>
        <w:rPr>
          <w:szCs w:val="22"/>
        </w:rPr>
      </w:pPr>
      <w:r>
        <w:rPr>
          <w:szCs w:val="22"/>
        </w:rPr>
        <w:t xml:space="preserve">U pacientov liečených ACE inhibítormi bol zriedkavo diagnostikovaný intestinálny angioedém. Títo pacienti udávali bolesť brucha (s alebo bez nauzey alebo vracania), </w:t>
      </w:r>
      <w:r w:rsidRPr="00AC5E5D">
        <w:rPr>
          <w:bCs/>
          <w:szCs w:val="22"/>
        </w:rPr>
        <w:t>v niektorých prípadoch bez predchádzajúceho angioedému tváre, pričom hladiny C-1 esterázy boli v norme. Angioedém bol diagnostikovaný prostredníctvom vyšetrení zahŕňajúcich CT brucha, alebo ultrazvuk</w:t>
      </w:r>
      <w:r>
        <w:rPr>
          <w:bCs/>
          <w:szCs w:val="22"/>
        </w:rPr>
        <w:t>,</w:t>
      </w:r>
      <w:r w:rsidRPr="00AC5E5D">
        <w:rPr>
          <w:bCs/>
          <w:szCs w:val="22"/>
        </w:rPr>
        <w:t xml:space="preserve"> alebo pri chirurgickom zákroku a symptómy ustúpili po zastavení podávania ACE inhibítorov. Črevný angioedém má byť zahrnutý do diferenciálnej diagnózy pacientov užívajúcich ACE inhibítory s bolesťou brucha.</w:t>
      </w:r>
    </w:p>
    <w:p w14:paraId="0CAAAD55" w14:textId="77777777" w:rsidR="009A73F9" w:rsidRDefault="009A73F9" w:rsidP="009A73F9">
      <w:pPr>
        <w:pStyle w:val="Default"/>
        <w:rPr>
          <w:rFonts w:ascii="Times New Roman" w:hAnsi="Times New Roman" w:cs="Times New Roman"/>
          <w:bCs/>
          <w:sz w:val="22"/>
          <w:szCs w:val="22"/>
        </w:rPr>
      </w:pPr>
    </w:p>
    <w:p w14:paraId="0AC85426" w14:textId="77777777" w:rsidR="009A73F9" w:rsidRPr="00AB07CD" w:rsidRDefault="009A73F9" w:rsidP="009A73F9">
      <w:pPr>
        <w:pStyle w:val="Default"/>
        <w:rPr>
          <w:rFonts w:ascii="Times New Roman" w:hAnsi="Times New Roman" w:cs="Times New Roman"/>
          <w:sz w:val="22"/>
          <w:szCs w:val="22"/>
        </w:rPr>
      </w:pPr>
      <w:r w:rsidRPr="00AB07CD">
        <w:rPr>
          <w:rFonts w:ascii="Times New Roman" w:hAnsi="Times New Roman" w:cs="Times New Roman"/>
          <w:bCs/>
          <w:sz w:val="22"/>
          <w:szCs w:val="22"/>
        </w:rPr>
        <w:t xml:space="preserve">Súbežné použitie inhibítorov mTOR (napr. sirolimus, everolimus, temsirolimus): </w:t>
      </w:r>
    </w:p>
    <w:p w14:paraId="4250E71C" w14:textId="77777777" w:rsidR="009A73F9" w:rsidRPr="00644FAC" w:rsidRDefault="009A73F9" w:rsidP="009A73F9">
      <w:pPr>
        <w:pStyle w:val="Default"/>
        <w:rPr>
          <w:rFonts w:ascii="Times New Roman" w:hAnsi="Times New Roman" w:cs="Times New Roman"/>
          <w:bCs/>
          <w:sz w:val="22"/>
          <w:szCs w:val="22"/>
        </w:rPr>
      </w:pPr>
      <w:r w:rsidRPr="00AB07CD">
        <w:rPr>
          <w:rFonts w:ascii="Times New Roman" w:hAnsi="Times New Roman" w:cs="Times New Roman"/>
          <w:bCs/>
          <w:sz w:val="22"/>
          <w:szCs w:val="22"/>
        </w:rPr>
        <w:t>Pacienti súbežne užívajúci liečbu inhibítormi mTOR (e.g. sirolimus, everolimus, temsirolimus) môžu mať zvýšené riziko angioedému (napr. opuch dýchacích ciest alebo jazyka, s poruchou dýchania alebo bez nej) (pozri časť 4.5).</w:t>
      </w:r>
      <w:r w:rsidRPr="00644FAC">
        <w:rPr>
          <w:rFonts w:ascii="Times New Roman" w:hAnsi="Times New Roman" w:cs="Times New Roman"/>
          <w:bCs/>
          <w:sz w:val="22"/>
          <w:szCs w:val="22"/>
        </w:rPr>
        <w:t xml:space="preserve"> </w:t>
      </w:r>
    </w:p>
    <w:p w14:paraId="2BEEEFA4" w14:textId="77777777" w:rsidR="008746EE" w:rsidRPr="00FA0381" w:rsidRDefault="008746EE" w:rsidP="008746EE">
      <w:pPr>
        <w:ind w:left="0" w:firstLine="0"/>
        <w:rPr>
          <w:szCs w:val="22"/>
        </w:rPr>
      </w:pPr>
    </w:p>
    <w:p w14:paraId="086C316F"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Anafylaktoidné reakcie počas aferézy lipoproteínmi s nízkou hustotou (LDL)</w:t>
      </w:r>
      <w:r>
        <w:rPr>
          <w:color w:val="000000"/>
          <w:szCs w:val="22"/>
          <w:u w:val="single"/>
          <w:lang w:eastAsia="fr-FR"/>
        </w:rPr>
        <w:t>:</w:t>
      </w:r>
    </w:p>
    <w:p w14:paraId="39B13469" w14:textId="77777777" w:rsidR="008746EE" w:rsidRPr="00FA4BA8" w:rsidRDefault="008746EE" w:rsidP="008746EE">
      <w:pPr>
        <w:ind w:left="0" w:firstLine="0"/>
        <w:rPr>
          <w:szCs w:val="22"/>
        </w:rPr>
      </w:pPr>
      <w:r w:rsidRPr="00FA4BA8">
        <w:rPr>
          <w:szCs w:val="22"/>
        </w:rPr>
        <w:t>Zriedkavo sa u pacientov užívajúcich ACE inhibítory počas aferézy lipoproteínmi s nízkou hustotou (LDL), so síranom dextránu</w:t>
      </w:r>
      <w:r>
        <w:rPr>
          <w:szCs w:val="22"/>
        </w:rPr>
        <w:t>,</w:t>
      </w:r>
      <w:r w:rsidRPr="00FA4BA8">
        <w:rPr>
          <w:szCs w:val="22"/>
        </w:rPr>
        <w:t xml:space="preserve"> vyskytli život ohrozujúce anafylakt</w:t>
      </w:r>
      <w:r>
        <w:rPr>
          <w:szCs w:val="22"/>
        </w:rPr>
        <w:t>oidné</w:t>
      </w:r>
      <w:r w:rsidRPr="00FA4BA8">
        <w:rPr>
          <w:szCs w:val="22"/>
        </w:rPr>
        <w:t xml:space="preserve"> reakcie. Týmto reakciám sa predišlo dočasným vysadením liečby ACE inhibítormi pred každou aferézou.</w:t>
      </w:r>
    </w:p>
    <w:p w14:paraId="5E3465C0" w14:textId="77777777" w:rsidR="008746EE" w:rsidRPr="00FA4BA8" w:rsidRDefault="008746EE" w:rsidP="008746EE">
      <w:pPr>
        <w:ind w:left="0" w:firstLine="0"/>
        <w:rPr>
          <w:szCs w:val="22"/>
        </w:rPr>
      </w:pPr>
    </w:p>
    <w:p w14:paraId="1B306D24"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Anafylaktoidné reakcie počas desenzibilizácie</w:t>
      </w:r>
      <w:r>
        <w:rPr>
          <w:color w:val="000000"/>
          <w:szCs w:val="22"/>
          <w:u w:val="single"/>
          <w:lang w:eastAsia="fr-FR"/>
        </w:rPr>
        <w:t>:</w:t>
      </w:r>
    </w:p>
    <w:p w14:paraId="2BD7B141" w14:textId="77777777" w:rsidR="008746EE" w:rsidRPr="00FA4BA8" w:rsidRDefault="008746EE" w:rsidP="008746EE">
      <w:pPr>
        <w:ind w:left="0" w:firstLine="0"/>
        <w:rPr>
          <w:strike/>
          <w:szCs w:val="22"/>
        </w:rPr>
      </w:pPr>
      <w:r w:rsidRPr="00FA4BA8">
        <w:rPr>
          <w:szCs w:val="22"/>
        </w:rPr>
        <w:t xml:space="preserve">U pacientov užívajúcich ACE inhibítory počas desenzibilizácie (napr. </w:t>
      </w:r>
      <w:r w:rsidRPr="00676D9E">
        <w:rPr>
          <w:i/>
          <w:szCs w:val="22"/>
        </w:rPr>
        <w:t>Hymenoptera</w:t>
      </w:r>
      <w:r w:rsidRPr="00FA4BA8">
        <w:rPr>
          <w:szCs w:val="22"/>
        </w:rPr>
        <w:t xml:space="preserve"> venom) sa zaznamenali anafylakt</w:t>
      </w:r>
      <w:r>
        <w:rPr>
          <w:szCs w:val="22"/>
        </w:rPr>
        <w:t>oidné</w:t>
      </w:r>
      <w:r w:rsidRPr="00FA4BA8">
        <w:rPr>
          <w:szCs w:val="22"/>
        </w:rPr>
        <w:t xml:space="preserve"> reakcie.</w:t>
      </w:r>
      <w:r w:rsidRPr="00FA4BA8">
        <w:rPr>
          <w:b/>
          <w:i/>
          <w:szCs w:val="22"/>
        </w:rPr>
        <w:t xml:space="preserve"> </w:t>
      </w:r>
      <w:r w:rsidRPr="00FA4BA8">
        <w:rPr>
          <w:szCs w:val="22"/>
        </w:rPr>
        <w:t xml:space="preserve">U týchto pacientov sa predišlo spomínaným reakciám dočasným vysadením ACE inhibítorov, ale pri náhodnej opätovnej expozícii sa tieto </w:t>
      </w:r>
      <w:r>
        <w:rPr>
          <w:szCs w:val="22"/>
        </w:rPr>
        <w:t xml:space="preserve">opäť </w:t>
      </w:r>
      <w:r w:rsidRPr="00FA4BA8">
        <w:rPr>
          <w:szCs w:val="22"/>
        </w:rPr>
        <w:t xml:space="preserve">objavili. </w:t>
      </w:r>
    </w:p>
    <w:p w14:paraId="0CB7E6C7" w14:textId="77777777" w:rsidR="008746EE" w:rsidRPr="00FA4BA8" w:rsidRDefault="008746EE" w:rsidP="008746EE">
      <w:pPr>
        <w:ind w:left="0" w:firstLine="0"/>
        <w:rPr>
          <w:strike/>
          <w:szCs w:val="22"/>
        </w:rPr>
      </w:pPr>
    </w:p>
    <w:p w14:paraId="061D23CF" w14:textId="26F8D7F1" w:rsidR="008746EE" w:rsidRPr="00676D9E" w:rsidRDefault="008746EE" w:rsidP="008746EE">
      <w:pPr>
        <w:ind w:left="0" w:firstLine="0"/>
        <w:rPr>
          <w:color w:val="000000"/>
          <w:szCs w:val="22"/>
          <w:u w:val="single"/>
          <w:lang w:eastAsia="fr-FR"/>
        </w:rPr>
      </w:pPr>
      <w:r>
        <w:rPr>
          <w:color w:val="000000"/>
          <w:szCs w:val="22"/>
          <w:u w:val="single"/>
          <w:lang w:eastAsia="fr-FR"/>
        </w:rPr>
        <w:t>Poruch</w:t>
      </w:r>
      <w:r w:rsidR="00AB07CD">
        <w:rPr>
          <w:color w:val="000000"/>
          <w:szCs w:val="22"/>
          <w:u w:val="single"/>
          <w:lang w:eastAsia="fr-FR"/>
        </w:rPr>
        <w:t>a</w:t>
      </w:r>
      <w:r>
        <w:rPr>
          <w:color w:val="000000"/>
          <w:szCs w:val="22"/>
          <w:u w:val="single"/>
          <w:lang w:eastAsia="fr-FR"/>
        </w:rPr>
        <w:t xml:space="preserve"> funkcie </w:t>
      </w:r>
      <w:r w:rsidRPr="00676D9E">
        <w:rPr>
          <w:color w:val="000000"/>
          <w:szCs w:val="22"/>
          <w:u w:val="single"/>
          <w:lang w:eastAsia="fr-FR"/>
        </w:rPr>
        <w:t>pečene:</w:t>
      </w:r>
    </w:p>
    <w:p w14:paraId="26F36290" w14:textId="7552EA0C" w:rsidR="008746EE" w:rsidRPr="00FA4BA8" w:rsidRDefault="008746EE" w:rsidP="008746EE">
      <w:pPr>
        <w:ind w:left="0" w:firstLine="0"/>
        <w:rPr>
          <w:szCs w:val="22"/>
        </w:rPr>
      </w:pPr>
      <w:r w:rsidRPr="00FA4BA8">
        <w:rPr>
          <w:szCs w:val="22"/>
        </w:rPr>
        <w:t xml:space="preserve">Užívanie ACE inhibítorov zriedkavo súviselo so vznikom syndrómu, ktorý sa začínal cholestatickou žltačkou a progredoval do fulminantnej pečeňovej nekrózy a (niekedy) úmrtia. Mechanizmus tohto syndrómu nie je známy. U pacientov užívajúcich ACE inhibítory, u ktorých sa rozvinie žltačka alebo výrazné zvýšenie pečeňových enzýmov, je potrebné ukončiť </w:t>
      </w:r>
      <w:r>
        <w:rPr>
          <w:szCs w:val="22"/>
        </w:rPr>
        <w:t>užívanie</w:t>
      </w:r>
      <w:r w:rsidRPr="00FA4BA8">
        <w:rPr>
          <w:szCs w:val="22"/>
        </w:rPr>
        <w:t xml:space="preserve"> ACE inhibítora a zostať pod </w:t>
      </w:r>
      <w:r>
        <w:rPr>
          <w:szCs w:val="22"/>
        </w:rPr>
        <w:t>náležitým</w:t>
      </w:r>
      <w:r w:rsidRPr="00FA4BA8">
        <w:rPr>
          <w:szCs w:val="22"/>
        </w:rPr>
        <w:t xml:space="preserve"> lekárskym dohľadom (</w:t>
      </w:r>
      <w:r>
        <w:rPr>
          <w:szCs w:val="22"/>
        </w:rPr>
        <w:t xml:space="preserve">pozri </w:t>
      </w:r>
      <w:r w:rsidRPr="00FA4BA8">
        <w:rPr>
          <w:szCs w:val="22"/>
        </w:rPr>
        <w:t>časť 4.8).</w:t>
      </w:r>
    </w:p>
    <w:p w14:paraId="62190826" w14:textId="77777777" w:rsidR="008746EE" w:rsidRPr="00FA4BA8" w:rsidRDefault="008746EE" w:rsidP="008746EE">
      <w:pPr>
        <w:ind w:left="0" w:firstLine="0"/>
        <w:rPr>
          <w:szCs w:val="22"/>
        </w:rPr>
      </w:pPr>
    </w:p>
    <w:p w14:paraId="755A91D6" w14:textId="32C5B0FA" w:rsidR="008746EE" w:rsidRPr="00676D9E" w:rsidRDefault="008746EE" w:rsidP="008746EE">
      <w:pPr>
        <w:ind w:left="0" w:firstLine="0"/>
        <w:rPr>
          <w:color w:val="000000"/>
          <w:szCs w:val="22"/>
          <w:u w:val="single"/>
          <w:lang w:eastAsia="fr-FR"/>
        </w:rPr>
      </w:pPr>
      <w:r w:rsidRPr="00676D9E">
        <w:rPr>
          <w:color w:val="000000"/>
          <w:szCs w:val="22"/>
          <w:u w:val="single"/>
          <w:lang w:eastAsia="fr-FR"/>
        </w:rPr>
        <w:t>Neutropénia/</w:t>
      </w:r>
      <w:r w:rsidRPr="003C1F3D">
        <w:rPr>
          <w:color w:val="000000"/>
          <w:szCs w:val="22"/>
          <w:u w:val="single"/>
          <w:lang w:eastAsia="fr-FR"/>
        </w:rPr>
        <w:t>A</w:t>
      </w:r>
      <w:r w:rsidRPr="00676D9E">
        <w:rPr>
          <w:color w:val="000000"/>
          <w:szCs w:val="22"/>
          <w:u w:val="single"/>
          <w:lang w:eastAsia="fr-FR"/>
        </w:rPr>
        <w:t>granulocytóza/Trombocytopénia/Anémia</w:t>
      </w:r>
      <w:r>
        <w:rPr>
          <w:color w:val="000000"/>
          <w:szCs w:val="22"/>
          <w:u w:val="single"/>
          <w:lang w:eastAsia="fr-FR"/>
        </w:rPr>
        <w:t>:</w:t>
      </w:r>
    </w:p>
    <w:p w14:paraId="2E99BE7F" w14:textId="428965B1" w:rsidR="008746EE" w:rsidRPr="00FA4BA8" w:rsidRDefault="008746EE" w:rsidP="008746EE">
      <w:pPr>
        <w:ind w:left="0" w:firstLine="0"/>
        <w:rPr>
          <w:szCs w:val="22"/>
        </w:rPr>
      </w:pPr>
      <w:r w:rsidRPr="00FA4BA8">
        <w:rPr>
          <w:szCs w:val="22"/>
        </w:rPr>
        <w:t xml:space="preserve">Neutropénia, agranulocytóza, trombocytopénia a anémia boli zaznamenané u pacientov užívajúcich ACE inhibítory. U pacientov s normálnou funkciou obličiek a bez ďalších komplikujúcich faktorov sa neutropénia vyskytuje zriedkavo. Perindopril </w:t>
      </w:r>
      <w:r>
        <w:rPr>
          <w:szCs w:val="22"/>
        </w:rPr>
        <w:t>má</w:t>
      </w:r>
      <w:r w:rsidRPr="00FA4BA8">
        <w:rPr>
          <w:szCs w:val="22"/>
        </w:rPr>
        <w:t xml:space="preserve"> byť používaný s najvyššou opatrnosťou u pacientov s kolagénovým vaskulárnym ochorením, u pacientov užívajúcich imunosupresívnu liečbu, ktorí sú liečení alopurin</w:t>
      </w:r>
      <w:smartTag w:uri="urn:schemas-microsoft-com:office:smarttags" w:element="PersonName">
        <w:r w:rsidRPr="00FA4BA8">
          <w:rPr>
            <w:szCs w:val="22"/>
          </w:rPr>
          <w:t>olo</w:t>
        </w:r>
      </w:smartTag>
      <w:r w:rsidRPr="00FA4BA8">
        <w:rPr>
          <w:szCs w:val="22"/>
        </w:rPr>
        <w:t>m alebo prokaínamidom, alebo pri kombinácii týchto komplikujúcich faktorov, najmä ak je znám</w:t>
      </w:r>
      <w:r>
        <w:rPr>
          <w:szCs w:val="22"/>
        </w:rPr>
        <w:t>a</w:t>
      </w:r>
      <w:r w:rsidRPr="00FA4BA8">
        <w:rPr>
          <w:szCs w:val="22"/>
        </w:rPr>
        <w:t xml:space="preserve"> preexistujúc</w:t>
      </w:r>
      <w:r>
        <w:rPr>
          <w:szCs w:val="22"/>
        </w:rPr>
        <w:t>a</w:t>
      </w:r>
      <w:r w:rsidRPr="00FA4BA8">
        <w:rPr>
          <w:szCs w:val="22"/>
        </w:rPr>
        <w:t xml:space="preserve"> </w:t>
      </w:r>
      <w:r>
        <w:rPr>
          <w:szCs w:val="22"/>
        </w:rPr>
        <w:t>porucha</w:t>
      </w:r>
      <w:r w:rsidRPr="00FA4BA8">
        <w:rPr>
          <w:szCs w:val="22"/>
        </w:rPr>
        <w:t xml:space="preserve"> renálnych funkcií. U niektorých pacientov sa vyvinuli závažné infekcie, ktoré v ojedinelých prípadoch neodpovedali na intenzívnu antibiotickú liečbu. Ak sa u takýchto pacientov používa perindopril, odporúča sa pravidelne monitorovať počet leukocytov a pacientov poučiť, aby oznámili ak</w:t>
      </w:r>
      <w:r>
        <w:rPr>
          <w:szCs w:val="22"/>
        </w:rPr>
        <w:t>ý</w:t>
      </w:r>
      <w:r w:rsidRPr="00FA4BA8">
        <w:rPr>
          <w:szCs w:val="22"/>
        </w:rPr>
        <w:t>koľvek ná</w:t>
      </w:r>
      <w:r>
        <w:rPr>
          <w:szCs w:val="22"/>
        </w:rPr>
        <w:t>znak</w:t>
      </w:r>
      <w:r w:rsidRPr="00FA4BA8">
        <w:rPr>
          <w:szCs w:val="22"/>
        </w:rPr>
        <w:t xml:space="preserve"> infekcie</w:t>
      </w:r>
      <w:r>
        <w:rPr>
          <w:szCs w:val="22"/>
        </w:rPr>
        <w:t xml:space="preserve"> (napr. bolesť hrdla, horúčka)</w:t>
      </w:r>
      <w:r w:rsidRPr="00FA4BA8">
        <w:rPr>
          <w:szCs w:val="22"/>
        </w:rPr>
        <w:t>.</w:t>
      </w:r>
      <w:r>
        <w:rPr>
          <w:szCs w:val="22"/>
        </w:rPr>
        <w:t xml:space="preserve"> </w:t>
      </w:r>
    </w:p>
    <w:p w14:paraId="5B2DDC6F" w14:textId="77777777" w:rsidR="008746EE" w:rsidRPr="00FA4BA8" w:rsidRDefault="008746EE" w:rsidP="008746EE">
      <w:pPr>
        <w:rPr>
          <w:szCs w:val="22"/>
        </w:rPr>
      </w:pPr>
    </w:p>
    <w:p w14:paraId="096E8769"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Rasa</w:t>
      </w:r>
      <w:r>
        <w:rPr>
          <w:color w:val="000000"/>
          <w:szCs w:val="22"/>
          <w:u w:val="single"/>
          <w:lang w:eastAsia="fr-FR"/>
        </w:rPr>
        <w:t>:</w:t>
      </w:r>
    </w:p>
    <w:p w14:paraId="704D8F00" w14:textId="018B04B8" w:rsidR="008746EE" w:rsidRPr="00FA4BA8" w:rsidRDefault="008746EE" w:rsidP="008746EE">
      <w:pPr>
        <w:ind w:left="0" w:firstLine="0"/>
        <w:rPr>
          <w:szCs w:val="22"/>
        </w:rPr>
      </w:pPr>
      <w:r w:rsidRPr="00FA4BA8">
        <w:rPr>
          <w:szCs w:val="22"/>
        </w:rPr>
        <w:t>ACE inhibítory spôsobujú vyššie percento angioedému u pacientov čiernej rasy než u pacientov iných rás.</w:t>
      </w:r>
      <w:r>
        <w:rPr>
          <w:szCs w:val="22"/>
        </w:rPr>
        <w:t xml:space="preserve"> </w:t>
      </w:r>
      <w:r w:rsidRPr="00FA4BA8">
        <w:rPr>
          <w:szCs w:val="22"/>
        </w:rPr>
        <w:t xml:space="preserve">Podobne ako iné ACE inhibítory, aj perindopril môže byť menej účinný </w:t>
      </w:r>
      <w:r>
        <w:rPr>
          <w:szCs w:val="22"/>
        </w:rPr>
        <w:t>v znižovaní</w:t>
      </w:r>
      <w:r w:rsidRPr="00FA4BA8">
        <w:rPr>
          <w:szCs w:val="22"/>
        </w:rPr>
        <w:t xml:space="preserve"> tlaku krvi u pacientov čiernej rasy v porovnaní s inými rasami, možno z dôvodu vyššej prevalencie stavov s</w:t>
      </w:r>
      <w:r w:rsidR="00AB07CD">
        <w:rPr>
          <w:szCs w:val="22"/>
        </w:rPr>
        <w:t> </w:t>
      </w:r>
      <w:r w:rsidRPr="00FA4BA8">
        <w:rPr>
          <w:szCs w:val="22"/>
        </w:rPr>
        <w:t>nízkou hladinou renínu v hypertenznej černošskej populácii.</w:t>
      </w:r>
    </w:p>
    <w:p w14:paraId="6A73D441" w14:textId="77777777" w:rsidR="008746EE" w:rsidRPr="00FA4BA8" w:rsidRDefault="008746EE" w:rsidP="008746EE">
      <w:pPr>
        <w:ind w:left="0" w:firstLine="0"/>
        <w:rPr>
          <w:szCs w:val="22"/>
        </w:rPr>
      </w:pPr>
    </w:p>
    <w:p w14:paraId="78A2B8F9"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Kašeľ</w:t>
      </w:r>
      <w:r>
        <w:rPr>
          <w:color w:val="000000"/>
          <w:szCs w:val="22"/>
          <w:u w:val="single"/>
          <w:lang w:eastAsia="fr-FR"/>
        </w:rPr>
        <w:t>:</w:t>
      </w:r>
    </w:p>
    <w:p w14:paraId="159F0FDC" w14:textId="4D40A9FC" w:rsidR="008746EE" w:rsidRPr="00FA4BA8" w:rsidRDefault="008746EE" w:rsidP="008746EE">
      <w:pPr>
        <w:ind w:left="0" w:firstLine="0"/>
        <w:rPr>
          <w:szCs w:val="22"/>
        </w:rPr>
      </w:pPr>
      <w:r w:rsidRPr="00FA4BA8">
        <w:rPr>
          <w:szCs w:val="22"/>
        </w:rPr>
        <w:t xml:space="preserve">Pri používaní ACE inhibítorov bol zaznamenaný kašeľ. Tento kašeľ je zvyčajne neproduktívny, </w:t>
      </w:r>
      <w:r>
        <w:rPr>
          <w:szCs w:val="22"/>
        </w:rPr>
        <w:t>pre</w:t>
      </w:r>
      <w:r w:rsidRPr="00FA4BA8">
        <w:rPr>
          <w:szCs w:val="22"/>
        </w:rPr>
        <w:t>trv</w:t>
      </w:r>
      <w:r>
        <w:rPr>
          <w:szCs w:val="22"/>
        </w:rPr>
        <w:t>áv</w:t>
      </w:r>
      <w:r w:rsidRPr="00FA4BA8">
        <w:rPr>
          <w:szCs w:val="22"/>
        </w:rPr>
        <w:t>a</w:t>
      </w:r>
      <w:r>
        <w:rPr>
          <w:szCs w:val="22"/>
        </w:rPr>
        <w:t>júci</w:t>
      </w:r>
      <w:r w:rsidRPr="00FA4BA8">
        <w:rPr>
          <w:szCs w:val="22"/>
        </w:rPr>
        <w:t xml:space="preserve"> a ustupuje po ukončení liečby. Kašeľ vyvolaný ACE inhibítorom </w:t>
      </w:r>
      <w:r>
        <w:rPr>
          <w:szCs w:val="22"/>
        </w:rPr>
        <w:t>má</w:t>
      </w:r>
      <w:r w:rsidRPr="00FA4BA8">
        <w:rPr>
          <w:szCs w:val="22"/>
        </w:rPr>
        <w:t xml:space="preserve"> byť braný do úvahy ako súčasť diferenciálnej diagnostiky kašľa.</w:t>
      </w:r>
    </w:p>
    <w:p w14:paraId="123037E0" w14:textId="77777777" w:rsidR="008746EE" w:rsidRPr="00FA4BA8" w:rsidRDefault="008746EE" w:rsidP="008746EE">
      <w:pPr>
        <w:rPr>
          <w:szCs w:val="22"/>
        </w:rPr>
      </w:pPr>
    </w:p>
    <w:p w14:paraId="5EDC54C1" w14:textId="77777777" w:rsidR="008746EE" w:rsidRPr="00676D9E" w:rsidRDefault="008746EE" w:rsidP="008746EE">
      <w:pPr>
        <w:ind w:left="0" w:firstLine="0"/>
        <w:rPr>
          <w:color w:val="000000"/>
          <w:szCs w:val="22"/>
          <w:u w:val="single"/>
          <w:lang w:eastAsia="fr-FR"/>
        </w:rPr>
      </w:pPr>
      <w:r w:rsidRPr="00676D9E">
        <w:rPr>
          <w:color w:val="000000"/>
          <w:szCs w:val="22"/>
          <w:u w:val="single"/>
          <w:lang w:eastAsia="fr-FR"/>
        </w:rPr>
        <w:t>Operácia/anestézia</w:t>
      </w:r>
      <w:r>
        <w:rPr>
          <w:color w:val="000000"/>
          <w:szCs w:val="22"/>
          <w:u w:val="single"/>
          <w:lang w:eastAsia="fr-FR"/>
        </w:rPr>
        <w:t>:</w:t>
      </w:r>
    </w:p>
    <w:p w14:paraId="45AC5BC9" w14:textId="77777777" w:rsidR="008746EE" w:rsidRPr="00FA4BA8" w:rsidRDefault="008746EE" w:rsidP="008746EE">
      <w:pPr>
        <w:ind w:left="0" w:firstLine="0"/>
        <w:rPr>
          <w:szCs w:val="22"/>
        </w:rPr>
      </w:pPr>
      <w:r w:rsidRPr="00FA4BA8">
        <w:rPr>
          <w:szCs w:val="22"/>
        </w:rPr>
        <w:t>U pacientov, ktorí sa podrobujú závažnému chirurgickému zákroku, alebo počas anestézie</w:t>
      </w:r>
      <w:r>
        <w:rPr>
          <w:szCs w:val="22"/>
        </w:rPr>
        <w:t xml:space="preserve"> s</w:t>
      </w:r>
      <w:r w:rsidRPr="00FA4BA8">
        <w:rPr>
          <w:szCs w:val="22"/>
        </w:rPr>
        <w:t xml:space="preserve"> látkami vyvolávajúcimi hypotenziu, môže </w:t>
      </w:r>
      <w:r>
        <w:rPr>
          <w:szCs w:val="22"/>
        </w:rPr>
        <w:t>perindopril</w:t>
      </w:r>
      <w:r w:rsidRPr="00FA4BA8">
        <w:rPr>
          <w:szCs w:val="22"/>
        </w:rPr>
        <w:t xml:space="preserve"> blokovať tvorbu angiotenzínu II sekundárne po kompenzačnom uvoľnení renínu. Liečbu treba vysadiť jeden deň pred chirurgickým zákrokom. Ak sa vyskytne hypotenzia, ktorá je považovaná za dôsledok tohto mechanizmu, je možné korigovať ju zvýšením cirkulujúceho objemu.</w:t>
      </w:r>
    </w:p>
    <w:p w14:paraId="004A088A" w14:textId="77777777" w:rsidR="008746EE" w:rsidRPr="00FA4BA8" w:rsidRDefault="008746EE" w:rsidP="008746EE">
      <w:pPr>
        <w:rPr>
          <w:szCs w:val="22"/>
        </w:rPr>
      </w:pPr>
    </w:p>
    <w:p w14:paraId="3336336E" w14:textId="77777777" w:rsidR="008746EE" w:rsidRPr="007334A7" w:rsidRDefault="008746EE" w:rsidP="008746EE">
      <w:pPr>
        <w:ind w:left="0" w:firstLine="0"/>
        <w:rPr>
          <w:color w:val="000000"/>
          <w:szCs w:val="22"/>
          <w:u w:val="single"/>
          <w:lang w:eastAsia="fr-FR"/>
        </w:rPr>
      </w:pPr>
      <w:r w:rsidRPr="007334A7">
        <w:rPr>
          <w:color w:val="000000"/>
          <w:szCs w:val="22"/>
          <w:u w:val="single"/>
          <w:lang w:eastAsia="fr-FR"/>
        </w:rPr>
        <w:t>Hyperkaliémia</w:t>
      </w:r>
      <w:r>
        <w:rPr>
          <w:color w:val="000000"/>
          <w:szCs w:val="22"/>
          <w:u w:val="single"/>
          <w:lang w:eastAsia="fr-FR"/>
        </w:rPr>
        <w:t>:</w:t>
      </w:r>
    </w:p>
    <w:p w14:paraId="415FDDA0" w14:textId="44C609A8" w:rsidR="008746EE" w:rsidRDefault="008746EE" w:rsidP="008746EE">
      <w:pPr>
        <w:ind w:left="0" w:firstLine="0"/>
        <w:rPr>
          <w:bCs/>
          <w:iCs/>
          <w:szCs w:val="22"/>
        </w:rPr>
      </w:pPr>
      <w:r w:rsidRPr="00FA4BA8">
        <w:rPr>
          <w:szCs w:val="22"/>
        </w:rPr>
        <w:t>Zvýšenie hladiny draslíka v sére b</w:t>
      </w:r>
      <w:smartTag w:uri="urn:schemas-microsoft-com:office:smarttags" w:element="PersonName">
        <w:r w:rsidRPr="00FA4BA8">
          <w:rPr>
            <w:szCs w:val="22"/>
          </w:rPr>
          <w:t>olo</w:t>
        </w:r>
      </w:smartTag>
      <w:r w:rsidRPr="00FA4BA8">
        <w:rPr>
          <w:szCs w:val="22"/>
        </w:rPr>
        <w:t xml:space="preserve"> pozorované u niektorých pacientov liečených ACE inhibítormi, vrátane perindoprilu. </w:t>
      </w:r>
      <w:r w:rsidRPr="00AC5E5D">
        <w:rPr>
          <w:szCs w:val="22"/>
        </w:rPr>
        <w:t>Medzi rizikové faktory výskytu hy</w:t>
      </w:r>
      <w:r w:rsidRPr="00AC5E5D">
        <w:rPr>
          <w:bCs/>
          <w:iCs/>
          <w:szCs w:val="22"/>
        </w:rPr>
        <w:t xml:space="preserve">perkaliémie patria renálna insuficiencia, zhoršenie renálnej funkcie, vek (&gt; 70 rokov), </w:t>
      </w:r>
      <w:r>
        <w:rPr>
          <w:bCs/>
          <w:iCs/>
          <w:szCs w:val="22"/>
        </w:rPr>
        <w:t>nekontr</w:t>
      </w:r>
      <w:smartTag w:uri="urn:schemas-microsoft-com:office:smarttags" w:element="PersonName">
        <w:r>
          <w:rPr>
            <w:bCs/>
            <w:iCs/>
            <w:szCs w:val="22"/>
          </w:rPr>
          <w:t>olo</w:t>
        </w:r>
      </w:smartTag>
      <w:r>
        <w:rPr>
          <w:bCs/>
          <w:iCs/>
          <w:szCs w:val="22"/>
        </w:rPr>
        <w:t xml:space="preserve">vaný </w:t>
      </w:r>
      <w:r w:rsidRPr="00AC5E5D">
        <w:rPr>
          <w:bCs/>
          <w:iCs/>
          <w:szCs w:val="22"/>
        </w:rPr>
        <w:t>diabetes mellitus, pridružené udalosti, obzvlášť dehydratácia</w:t>
      </w:r>
      <w:r>
        <w:rPr>
          <w:bCs/>
          <w:iCs/>
          <w:szCs w:val="22"/>
        </w:rPr>
        <w:t xml:space="preserve">, akútna srdcová dekompenzácia a </w:t>
      </w:r>
      <w:r w:rsidRPr="00AC5E5D">
        <w:rPr>
          <w:bCs/>
          <w:iCs/>
          <w:szCs w:val="22"/>
        </w:rPr>
        <w:t>metabolická acidóza a</w:t>
      </w:r>
      <w:r>
        <w:rPr>
          <w:bCs/>
          <w:iCs/>
          <w:szCs w:val="22"/>
        </w:rPr>
        <w:t>lebo</w:t>
      </w:r>
      <w:r w:rsidRPr="00AC5E5D">
        <w:rPr>
          <w:bCs/>
          <w:iCs/>
          <w:szCs w:val="22"/>
        </w:rPr>
        <w:t xml:space="preserve"> súbežné užívanie </w:t>
      </w:r>
      <w:r w:rsidRPr="00AC5E5D">
        <w:rPr>
          <w:szCs w:val="22"/>
        </w:rPr>
        <w:t>draslík šetriacich diuretík, doplnkov draslíka alebo soľných náhrad s </w:t>
      </w:r>
      <w:r>
        <w:rPr>
          <w:szCs w:val="22"/>
        </w:rPr>
        <w:t>obsahom draslíka; alebo užívanie iných liekov spôsobujúcich</w:t>
      </w:r>
      <w:r w:rsidRPr="00AC5E5D">
        <w:rPr>
          <w:szCs w:val="22"/>
        </w:rPr>
        <w:t xml:space="preserve"> zvýšenie hladín draslíka v sére (napr. heparín). </w:t>
      </w:r>
      <w:r>
        <w:rPr>
          <w:szCs w:val="22"/>
        </w:rPr>
        <w:t>Ak sa súbežná liečba vyššie spomenutými látkami javí ako vhodná, odporúča sa pravidelné monitorovanie hladiny draslíka v sére.</w:t>
      </w:r>
    </w:p>
    <w:p w14:paraId="15C6231C" w14:textId="06526F37" w:rsidR="008746EE" w:rsidRPr="00315E67" w:rsidRDefault="008746EE" w:rsidP="008746EE">
      <w:pPr>
        <w:ind w:left="0" w:firstLine="0"/>
        <w:rPr>
          <w:szCs w:val="22"/>
        </w:rPr>
      </w:pPr>
      <w:r w:rsidRPr="00AC5E5D">
        <w:rPr>
          <w:bCs/>
          <w:iCs/>
          <w:szCs w:val="22"/>
        </w:rPr>
        <w:t xml:space="preserve">Hyperkaliémia môže spôsobiť </w:t>
      </w:r>
      <w:r w:rsidR="00AB07CD">
        <w:rPr>
          <w:bCs/>
          <w:iCs/>
          <w:szCs w:val="22"/>
        </w:rPr>
        <w:t>zá</w:t>
      </w:r>
      <w:r w:rsidRPr="00AC5E5D">
        <w:rPr>
          <w:bCs/>
          <w:iCs/>
          <w:szCs w:val="22"/>
        </w:rPr>
        <w:t>v</w:t>
      </w:r>
      <w:r w:rsidR="00AB07CD">
        <w:rPr>
          <w:bCs/>
          <w:iCs/>
          <w:szCs w:val="22"/>
        </w:rPr>
        <w:t>a</w:t>
      </w:r>
      <w:r w:rsidRPr="00AC5E5D">
        <w:rPr>
          <w:bCs/>
          <w:iCs/>
          <w:szCs w:val="22"/>
        </w:rPr>
        <w:t>žn</w:t>
      </w:r>
      <w:r w:rsidR="00AB07CD">
        <w:rPr>
          <w:bCs/>
          <w:iCs/>
          <w:szCs w:val="22"/>
        </w:rPr>
        <w:t>é</w:t>
      </w:r>
      <w:r w:rsidRPr="00AC5E5D">
        <w:rPr>
          <w:bCs/>
          <w:iCs/>
          <w:szCs w:val="22"/>
        </w:rPr>
        <w:t>, niekedy fatálne arytmie.</w:t>
      </w:r>
      <w:r w:rsidRPr="00AC5E5D">
        <w:rPr>
          <w:b/>
          <w:i/>
          <w:szCs w:val="22"/>
        </w:rPr>
        <w:t xml:space="preserve"> </w:t>
      </w:r>
      <w:r w:rsidRPr="00315E67">
        <w:rPr>
          <w:szCs w:val="22"/>
        </w:rPr>
        <w:t xml:space="preserve">Ak sa súbežné použitie vyššie uvedených látok považuje za potrebné, </w:t>
      </w:r>
      <w:r w:rsidRPr="00AC5E5D">
        <w:rPr>
          <w:szCs w:val="22"/>
        </w:rPr>
        <w:t xml:space="preserve">majú sa užívať s opatrnosťou a častým sledovaním hladiny draslíka v sére </w:t>
      </w:r>
      <w:r w:rsidRPr="00AC5E5D">
        <w:rPr>
          <w:bCs/>
          <w:iCs/>
          <w:szCs w:val="22"/>
        </w:rPr>
        <w:t>(pozri časť 4.5)</w:t>
      </w:r>
      <w:r w:rsidRPr="00315E67">
        <w:rPr>
          <w:szCs w:val="22"/>
        </w:rPr>
        <w:t>.</w:t>
      </w:r>
    </w:p>
    <w:p w14:paraId="6D3DB6CC" w14:textId="77777777" w:rsidR="008746EE" w:rsidRPr="00FA4BA8" w:rsidRDefault="008746EE" w:rsidP="008746EE">
      <w:pPr>
        <w:ind w:left="0" w:firstLine="0"/>
        <w:rPr>
          <w:szCs w:val="22"/>
        </w:rPr>
      </w:pPr>
    </w:p>
    <w:p w14:paraId="739A90D7" w14:textId="77777777" w:rsidR="008746EE" w:rsidRPr="00754373" w:rsidRDefault="008746EE" w:rsidP="008746EE">
      <w:pPr>
        <w:ind w:left="0" w:firstLine="0"/>
        <w:rPr>
          <w:color w:val="000000"/>
          <w:szCs w:val="22"/>
          <w:u w:val="single"/>
          <w:lang w:eastAsia="fr-FR"/>
        </w:rPr>
      </w:pPr>
      <w:r w:rsidRPr="00754373">
        <w:rPr>
          <w:color w:val="000000"/>
          <w:szCs w:val="22"/>
          <w:u w:val="single"/>
          <w:lang w:eastAsia="fr-FR"/>
        </w:rPr>
        <w:t>Diabetickí pacienti</w:t>
      </w:r>
      <w:r>
        <w:rPr>
          <w:color w:val="000000"/>
          <w:szCs w:val="22"/>
          <w:u w:val="single"/>
          <w:lang w:eastAsia="fr-FR"/>
        </w:rPr>
        <w:t>:</w:t>
      </w:r>
    </w:p>
    <w:p w14:paraId="0BB37521" w14:textId="77777777" w:rsidR="008746EE" w:rsidRPr="00FA4BA8" w:rsidRDefault="008746EE" w:rsidP="008746EE">
      <w:pPr>
        <w:ind w:left="0" w:firstLine="0"/>
        <w:rPr>
          <w:szCs w:val="22"/>
        </w:rPr>
      </w:pPr>
      <w:r w:rsidRPr="00FA4BA8">
        <w:rPr>
          <w:szCs w:val="22"/>
        </w:rPr>
        <w:t>U pacientov s diabetom, liečených perorálnymi antidiabetikami alebo inzulínom, musí byť počas prvého mesiaca liečby ACE inhibítorom starostlivo monitorovaná glykémia (pozri časť 4.5).</w:t>
      </w:r>
    </w:p>
    <w:p w14:paraId="7EA1318D" w14:textId="77777777" w:rsidR="008746EE" w:rsidRPr="00792639" w:rsidRDefault="008746EE" w:rsidP="008746EE">
      <w:pPr>
        <w:ind w:left="0" w:firstLine="0"/>
        <w:rPr>
          <w:szCs w:val="22"/>
        </w:rPr>
      </w:pPr>
    </w:p>
    <w:p w14:paraId="08F6E1C4" w14:textId="77777777" w:rsidR="008746EE" w:rsidRPr="00754373" w:rsidRDefault="008746EE" w:rsidP="008746EE">
      <w:pPr>
        <w:ind w:left="0" w:firstLine="0"/>
        <w:rPr>
          <w:color w:val="000000"/>
          <w:szCs w:val="22"/>
          <w:u w:val="single"/>
          <w:lang w:eastAsia="fr-FR"/>
        </w:rPr>
      </w:pPr>
      <w:r w:rsidRPr="00754373">
        <w:rPr>
          <w:color w:val="000000"/>
          <w:szCs w:val="22"/>
          <w:u w:val="single"/>
          <w:lang w:eastAsia="fr-FR"/>
        </w:rPr>
        <w:t>Lítium</w:t>
      </w:r>
      <w:r>
        <w:rPr>
          <w:color w:val="000000"/>
          <w:szCs w:val="22"/>
          <w:u w:val="single"/>
          <w:lang w:eastAsia="fr-FR"/>
        </w:rPr>
        <w:t>:</w:t>
      </w:r>
    </w:p>
    <w:p w14:paraId="023FD321" w14:textId="77777777" w:rsidR="008746EE" w:rsidRPr="00FA4BA8" w:rsidRDefault="008746EE" w:rsidP="008746EE">
      <w:pPr>
        <w:rPr>
          <w:szCs w:val="22"/>
        </w:rPr>
      </w:pPr>
      <w:r w:rsidRPr="00FA4BA8">
        <w:rPr>
          <w:szCs w:val="22"/>
        </w:rPr>
        <w:t>Všeobecne sa kombinácia lítia a perindoprilu neodporúča (pozri časť 4.5).</w:t>
      </w:r>
    </w:p>
    <w:p w14:paraId="659351EF" w14:textId="77777777" w:rsidR="008746EE" w:rsidRPr="00FA4BA8" w:rsidRDefault="008746EE" w:rsidP="008746EE">
      <w:pPr>
        <w:pStyle w:val="Zkladntext"/>
        <w:rPr>
          <w:bCs/>
          <w:u w:val="single"/>
        </w:rPr>
      </w:pPr>
    </w:p>
    <w:p w14:paraId="5FBB1976" w14:textId="77777777" w:rsidR="008746EE" w:rsidRPr="00754373" w:rsidRDefault="008746EE" w:rsidP="008746EE">
      <w:pPr>
        <w:ind w:left="0" w:firstLine="0"/>
        <w:rPr>
          <w:color w:val="000000"/>
          <w:szCs w:val="22"/>
          <w:u w:val="single"/>
          <w:lang w:eastAsia="fr-FR"/>
        </w:rPr>
      </w:pPr>
      <w:r w:rsidRPr="00754373">
        <w:rPr>
          <w:color w:val="000000"/>
          <w:szCs w:val="22"/>
          <w:u w:val="single"/>
          <w:lang w:eastAsia="fr-FR"/>
        </w:rPr>
        <w:t>Draslík šetriace diuretiká, doplnky draslíka alebo soľné náhrady s obsahom draslíka</w:t>
      </w:r>
      <w:r>
        <w:rPr>
          <w:color w:val="000000"/>
          <w:szCs w:val="22"/>
          <w:u w:val="single"/>
          <w:lang w:eastAsia="fr-FR"/>
        </w:rPr>
        <w:t>:</w:t>
      </w:r>
    </w:p>
    <w:p w14:paraId="27CCBA55" w14:textId="77777777" w:rsidR="008746EE" w:rsidRDefault="008746EE" w:rsidP="008746EE">
      <w:pPr>
        <w:ind w:left="0" w:firstLine="0"/>
        <w:rPr>
          <w:szCs w:val="22"/>
        </w:rPr>
      </w:pPr>
      <w:r w:rsidRPr="00FA4BA8">
        <w:rPr>
          <w:szCs w:val="22"/>
        </w:rPr>
        <w:t>Všeobecne sa kombinácia perindoprilu a draslík šetriacich diuretík, doplnkov draslíka alebo soľných náhrad s obsahom draslíka neodporúča (pozri časť 4.5).</w:t>
      </w:r>
    </w:p>
    <w:p w14:paraId="74150905" w14:textId="77777777" w:rsidR="008746EE" w:rsidRDefault="008746EE" w:rsidP="008746EE">
      <w:pPr>
        <w:ind w:left="0" w:firstLine="0"/>
        <w:rPr>
          <w:szCs w:val="22"/>
        </w:rPr>
      </w:pPr>
    </w:p>
    <w:p w14:paraId="66080338" w14:textId="77777777" w:rsidR="008746EE" w:rsidRPr="00754373" w:rsidRDefault="008746EE" w:rsidP="008746EE">
      <w:pPr>
        <w:ind w:left="0" w:firstLine="0"/>
        <w:rPr>
          <w:iCs/>
          <w:szCs w:val="22"/>
          <w:u w:val="single"/>
        </w:rPr>
      </w:pPr>
      <w:r w:rsidRPr="00754373">
        <w:rPr>
          <w:iCs/>
          <w:szCs w:val="22"/>
          <w:u w:val="single"/>
        </w:rPr>
        <w:t>Laktóza</w:t>
      </w:r>
      <w:r>
        <w:rPr>
          <w:iCs/>
          <w:szCs w:val="22"/>
          <w:u w:val="single"/>
        </w:rPr>
        <w:t>:</w:t>
      </w:r>
    </w:p>
    <w:p w14:paraId="5C7065AA" w14:textId="32628036" w:rsidR="008746EE" w:rsidRPr="006A475F" w:rsidRDefault="008746EE" w:rsidP="008746EE">
      <w:pPr>
        <w:ind w:left="0" w:firstLine="0"/>
        <w:rPr>
          <w:szCs w:val="22"/>
        </w:rPr>
      </w:pPr>
      <w:r>
        <w:rPr>
          <w:szCs w:val="22"/>
        </w:rPr>
        <w:t xml:space="preserve">Tablety Perinevy obsahujú laktózu (ako monohydrát laktózy). </w:t>
      </w:r>
      <w:r w:rsidRPr="003D7ECD">
        <w:rPr>
          <w:szCs w:val="22"/>
        </w:rPr>
        <w:t>Pacienti so</w:t>
      </w:r>
      <w:r>
        <w:rPr>
          <w:szCs w:val="22"/>
        </w:rPr>
        <w:t xml:space="preserve"> </w:t>
      </w:r>
      <w:r w:rsidRPr="003D7ECD">
        <w:rPr>
          <w:szCs w:val="22"/>
        </w:rPr>
        <w:t>zriedkavými dedičnými</w:t>
      </w:r>
      <w:r>
        <w:rPr>
          <w:szCs w:val="22"/>
        </w:rPr>
        <w:t xml:space="preserve"> </w:t>
      </w:r>
      <w:r w:rsidRPr="003D7ECD">
        <w:rPr>
          <w:szCs w:val="22"/>
        </w:rPr>
        <w:t>problémami galaktózovej</w:t>
      </w:r>
      <w:r>
        <w:rPr>
          <w:szCs w:val="22"/>
        </w:rPr>
        <w:t xml:space="preserve"> </w:t>
      </w:r>
      <w:r w:rsidRPr="003D7ECD">
        <w:rPr>
          <w:szCs w:val="22"/>
        </w:rPr>
        <w:t>intolerancie, lap</w:t>
      </w:r>
      <w:r w:rsidR="00AB07CD">
        <w:rPr>
          <w:szCs w:val="22"/>
        </w:rPr>
        <w:t>o</w:t>
      </w:r>
      <w:r w:rsidRPr="003D7ECD">
        <w:rPr>
          <w:szCs w:val="22"/>
        </w:rPr>
        <w:t>nsk</w:t>
      </w:r>
      <w:r w:rsidR="00AB07CD">
        <w:rPr>
          <w:szCs w:val="22"/>
        </w:rPr>
        <w:t>é</w:t>
      </w:r>
      <w:r w:rsidRPr="003D7ECD">
        <w:rPr>
          <w:szCs w:val="22"/>
        </w:rPr>
        <w:t>ho deficitu</w:t>
      </w:r>
      <w:r>
        <w:rPr>
          <w:szCs w:val="22"/>
        </w:rPr>
        <w:t xml:space="preserve"> </w:t>
      </w:r>
      <w:r w:rsidRPr="003D7ECD">
        <w:rPr>
          <w:szCs w:val="22"/>
        </w:rPr>
        <w:t>laktázy alebo glukózogalaktózovej</w:t>
      </w:r>
      <w:r>
        <w:rPr>
          <w:szCs w:val="22"/>
        </w:rPr>
        <w:t xml:space="preserve"> </w:t>
      </w:r>
      <w:r w:rsidRPr="003D7ECD">
        <w:rPr>
          <w:szCs w:val="22"/>
        </w:rPr>
        <w:t>malabsorpcie</w:t>
      </w:r>
      <w:r>
        <w:rPr>
          <w:szCs w:val="22"/>
        </w:rPr>
        <w:t xml:space="preserve"> </w:t>
      </w:r>
      <w:r w:rsidRPr="003D7ECD">
        <w:rPr>
          <w:szCs w:val="22"/>
        </w:rPr>
        <w:t>nesmú užívať tento liek.</w:t>
      </w:r>
    </w:p>
    <w:p w14:paraId="5EF9214B" w14:textId="77777777" w:rsidR="008746EE" w:rsidRPr="00FA4BA8" w:rsidRDefault="008746EE" w:rsidP="008746EE">
      <w:pPr>
        <w:ind w:left="0" w:firstLine="0"/>
        <w:rPr>
          <w:szCs w:val="22"/>
        </w:rPr>
      </w:pPr>
    </w:p>
    <w:p w14:paraId="167F21BA" w14:textId="77777777" w:rsidR="008746EE" w:rsidRPr="00B606CD" w:rsidRDefault="008746EE" w:rsidP="008746EE">
      <w:pPr>
        <w:ind w:left="0" w:firstLine="0"/>
        <w:rPr>
          <w:i/>
          <w:color w:val="000000"/>
          <w:szCs w:val="22"/>
          <w:lang w:eastAsia="fr-FR"/>
        </w:rPr>
      </w:pPr>
      <w:r w:rsidRPr="00E30ABE">
        <w:rPr>
          <w:color w:val="000000"/>
          <w:szCs w:val="22"/>
          <w:u w:val="single"/>
          <w:lang w:eastAsia="fr-FR"/>
        </w:rPr>
        <w:t>Gravidita</w:t>
      </w:r>
      <w:r w:rsidRPr="00C10A44">
        <w:rPr>
          <w:color w:val="000000"/>
          <w:szCs w:val="22"/>
          <w:lang w:eastAsia="fr-FR"/>
        </w:rPr>
        <w:t>:</w:t>
      </w:r>
    </w:p>
    <w:p w14:paraId="263D8A21" w14:textId="07DD59EF" w:rsidR="008746EE" w:rsidRPr="00FA4BA8" w:rsidRDefault="008746EE" w:rsidP="008746EE">
      <w:pPr>
        <w:ind w:left="0" w:firstLine="0"/>
        <w:rPr>
          <w:szCs w:val="22"/>
        </w:rPr>
      </w:pPr>
      <w:r w:rsidRPr="000B6D4F">
        <w:rPr>
          <w:szCs w:val="22"/>
        </w:rPr>
        <w:t>ACE inhibítory sa nemajú začať podávať počas gravidity. Ak je však pokračovanie v liečbe ACE inhibítormi považované za nevyhnutné, pacientkam plánujúcim graviditu sa má liečba zmeniť na alternatívnu antihypertenznú liečbu, ktorá má potvrdený bezpečnostný profil pre použitie v gravidite. Po potvrdení gravidity sa má liečba ACE inhibítormi okamžite ukončiť a, ak je to vhodné, začať s alternatívnou liečbou (pozri čas</w:t>
      </w:r>
      <w:r w:rsidR="00AB07CD">
        <w:rPr>
          <w:szCs w:val="22"/>
        </w:rPr>
        <w:t>ti</w:t>
      </w:r>
      <w:r w:rsidRPr="000B6D4F">
        <w:rPr>
          <w:szCs w:val="22"/>
        </w:rPr>
        <w:t xml:space="preserve"> 4.3 a 4.6).</w:t>
      </w:r>
    </w:p>
    <w:p w14:paraId="21E8D840" w14:textId="77777777" w:rsidR="008746EE" w:rsidRPr="00314A4D" w:rsidRDefault="008746EE" w:rsidP="008746EE">
      <w:pPr>
        <w:ind w:left="0" w:firstLine="0"/>
        <w:rPr>
          <w:szCs w:val="22"/>
        </w:rPr>
      </w:pPr>
    </w:p>
    <w:p w14:paraId="7CBCD4EE" w14:textId="77777777" w:rsidR="008746EE" w:rsidRPr="00314A4D" w:rsidRDefault="008746EE" w:rsidP="008746EE">
      <w:pPr>
        <w:rPr>
          <w:szCs w:val="22"/>
        </w:rPr>
      </w:pPr>
      <w:r w:rsidRPr="00314A4D">
        <w:rPr>
          <w:b/>
          <w:szCs w:val="22"/>
        </w:rPr>
        <w:t>4.5</w:t>
      </w:r>
      <w:r w:rsidRPr="00314A4D">
        <w:rPr>
          <w:b/>
          <w:szCs w:val="22"/>
        </w:rPr>
        <w:tab/>
        <w:t>Liekové a iné interakcie</w:t>
      </w:r>
    </w:p>
    <w:p w14:paraId="7341ABD0" w14:textId="77777777" w:rsidR="008746EE" w:rsidRPr="00314A4D" w:rsidRDefault="008746EE" w:rsidP="008746EE">
      <w:pPr>
        <w:pStyle w:val="Zkladntext"/>
      </w:pPr>
    </w:p>
    <w:p w14:paraId="3969466B" w14:textId="77777777" w:rsidR="008746EE" w:rsidRPr="0021674E" w:rsidRDefault="008746EE" w:rsidP="008746EE">
      <w:pPr>
        <w:ind w:left="0" w:firstLine="0"/>
        <w:rPr>
          <w:szCs w:val="22"/>
        </w:rPr>
      </w:pPr>
      <w:r w:rsidRPr="0021674E">
        <w:rPr>
          <w:szCs w:val="22"/>
        </w:rPr>
        <w:t>Údaje z klinických skúšaní ukázali, že duálna inhibícia systému renín-angiotenzín-aldosterón (RAAS) kombinovaným použitím inhibítorov ACE, blokátorov receptorov angiotenzínu II alebo aliskir</w:t>
      </w:r>
      <w:r>
        <w:rPr>
          <w:szCs w:val="22"/>
        </w:rPr>
        <w:t>é</w:t>
      </w:r>
      <w:r w:rsidRPr="0021674E">
        <w:rPr>
          <w:szCs w:val="22"/>
        </w:rPr>
        <w:t>nu sa spája s vyššou frekvenciou nežiaducich udalostí, ako sú hypotenzia, hyperkaliémia a znížená funkcia obličiek (vrátane akútneho zlyhania obličiek), v porovnaní s použitím látky ovplyvňujúcej RAAS v monoterapii (pozri časti 4.3, 4.4 a 5.1).</w:t>
      </w:r>
    </w:p>
    <w:p w14:paraId="16BF5A74" w14:textId="77777777" w:rsidR="008746EE" w:rsidRPr="00110BEF" w:rsidRDefault="008746EE" w:rsidP="008746EE">
      <w:pPr>
        <w:tabs>
          <w:tab w:val="left" w:pos="0"/>
        </w:tabs>
        <w:rPr>
          <w:bCs/>
          <w:szCs w:val="22"/>
          <w:u w:val="single"/>
        </w:rPr>
      </w:pPr>
    </w:p>
    <w:p w14:paraId="45FDD6FA" w14:textId="77777777" w:rsidR="008746EE" w:rsidRPr="00C25F99" w:rsidRDefault="008746EE" w:rsidP="008746EE">
      <w:pPr>
        <w:rPr>
          <w:szCs w:val="22"/>
        </w:rPr>
      </w:pPr>
      <w:r w:rsidRPr="00C25F99">
        <w:rPr>
          <w:b/>
          <w:i/>
          <w:szCs w:val="22"/>
        </w:rPr>
        <w:t>Lieky indukujúce hyperkaliémiu</w:t>
      </w:r>
    </w:p>
    <w:p w14:paraId="42C3782A" w14:textId="77777777" w:rsidR="00875B4A" w:rsidRDefault="00875B4A" w:rsidP="008746EE">
      <w:pPr>
        <w:ind w:left="0" w:firstLine="0"/>
        <w:rPr>
          <w:szCs w:val="22"/>
        </w:rPr>
      </w:pPr>
    </w:p>
    <w:p w14:paraId="362D0F8F" w14:textId="77777777" w:rsidR="008746EE" w:rsidRPr="00110BEF" w:rsidRDefault="008746EE" w:rsidP="008746EE">
      <w:pPr>
        <w:ind w:left="0" w:firstLine="0"/>
        <w:rPr>
          <w:szCs w:val="22"/>
        </w:rPr>
      </w:pPr>
      <w:r w:rsidRPr="00110BEF">
        <w:rPr>
          <w:szCs w:val="22"/>
        </w:rPr>
        <w:t>Niektoré lieky alebo terapeutické skupiny môžu zvýšiť výskyt hyperkaliémie: aliskir</w:t>
      </w:r>
      <w:r>
        <w:rPr>
          <w:szCs w:val="22"/>
        </w:rPr>
        <w:t>é</w:t>
      </w:r>
      <w:r w:rsidRPr="00110BEF">
        <w:rPr>
          <w:szCs w:val="22"/>
        </w:rPr>
        <w:t>n, draselné soli, draslík šetriace diuretiká, inhibítory</w:t>
      </w:r>
      <w:r>
        <w:rPr>
          <w:szCs w:val="22"/>
        </w:rPr>
        <w:t xml:space="preserve"> ACE</w:t>
      </w:r>
      <w:r w:rsidRPr="00110BEF">
        <w:rPr>
          <w:szCs w:val="22"/>
        </w:rPr>
        <w:t>, antagonisty receptorov angiotenzínu</w:t>
      </w:r>
      <w:r>
        <w:rPr>
          <w:szCs w:val="22"/>
        </w:rPr>
        <w:t xml:space="preserve"> </w:t>
      </w:r>
      <w:r w:rsidRPr="00110BEF">
        <w:rPr>
          <w:szCs w:val="22"/>
        </w:rPr>
        <w:t xml:space="preserve">II, </w:t>
      </w:r>
      <w:r>
        <w:t>n</w:t>
      </w:r>
      <w:r w:rsidRPr="003F4E5C">
        <w:rPr>
          <w:u w:val="single"/>
        </w:rPr>
        <w:t xml:space="preserve">esteroidové </w:t>
      </w:r>
      <w:r w:rsidRPr="003F4E5C">
        <w:rPr>
          <w:u w:val="single"/>
        </w:rPr>
        <w:lastRenderedPageBreak/>
        <w:t xml:space="preserve">antiflogistiká </w:t>
      </w:r>
      <w:r>
        <w:rPr>
          <w:u w:val="single"/>
        </w:rPr>
        <w:t>(</w:t>
      </w:r>
      <w:r w:rsidRPr="00A87E48">
        <w:t>NSA</w:t>
      </w:r>
      <w:r>
        <w:t>ID)</w:t>
      </w:r>
      <w:r w:rsidRPr="00110BEF">
        <w:rPr>
          <w:szCs w:val="22"/>
        </w:rPr>
        <w:t>, heparíny, imunosupresíva ako cyklosporín alebo takrolimus, trimetoprim. Kombinácia týchto liekov zvyšuje riziko hyperkaliémie.</w:t>
      </w:r>
    </w:p>
    <w:p w14:paraId="79BAB983" w14:textId="77777777" w:rsidR="008746EE" w:rsidRPr="00110BEF" w:rsidRDefault="008746EE" w:rsidP="008746EE">
      <w:pPr>
        <w:rPr>
          <w:szCs w:val="22"/>
        </w:rPr>
      </w:pPr>
    </w:p>
    <w:p w14:paraId="0B6BCB42" w14:textId="62EFFE68" w:rsidR="008746EE" w:rsidRPr="00C25F99" w:rsidRDefault="008746EE" w:rsidP="008746EE">
      <w:pPr>
        <w:rPr>
          <w:szCs w:val="22"/>
        </w:rPr>
      </w:pPr>
      <w:r w:rsidRPr="00C25F99">
        <w:rPr>
          <w:b/>
          <w:i/>
          <w:szCs w:val="22"/>
        </w:rPr>
        <w:t>Kontraindikované súbežné použitie (pozri časti 4.3)</w:t>
      </w:r>
    </w:p>
    <w:p w14:paraId="5E461C95" w14:textId="77777777" w:rsidR="00875B4A" w:rsidRDefault="00875B4A" w:rsidP="008746EE">
      <w:pPr>
        <w:rPr>
          <w:szCs w:val="22"/>
          <w:u w:val="single"/>
        </w:rPr>
      </w:pPr>
    </w:p>
    <w:p w14:paraId="41614F69" w14:textId="1F0654C8" w:rsidR="008746EE" w:rsidRPr="00110BEF" w:rsidRDefault="008746EE" w:rsidP="008746EE">
      <w:pPr>
        <w:rPr>
          <w:szCs w:val="22"/>
        </w:rPr>
      </w:pPr>
      <w:r w:rsidRPr="00110BEF">
        <w:rPr>
          <w:szCs w:val="22"/>
          <w:u w:val="single"/>
        </w:rPr>
        <w:t>Aliskir</w:t>
      </w:r>
      <w:r>
        <w:rPr>
          <w:szCs w:val="22"/>
          <w:u w:val="single"/>
        </w:rPr>
        <w:t>é</w:t>
      </w:r>
      <w:r w:rsidR="009A73F9">
        <w:rPr>
          <w:szCs w:val="22"/>
          <w:u w:val="single"/>
        </w:rPr>
        <w:t>n</w:t>
      </w:r>
    </w:p>
    <w:p w14:paraId="4D303DF8" w14:textId="77777777" w:rsidR="008746EE" w:rsidRPr="00110BEF" w:rsidRDefault="008746EE" w:rsidP="008746EE">
      <w:pPr>
        <w:ind w:left="0" w:firstLine="0"/>
        <w:rPr>
          <w:szCs w:val="22"/>
        </w:rPr>
      </w:pPr>
      <w:r w:rsidRPr="00110BEF">
        <w:rPr>
          <w:szCs w:val="22"/>
        </w:rPr>
        <w:t>U diabetických pacientov alebo pacientov s po</w:t>
      </w:r>
      <w:r>
        <w:rPr>
          <w:szCs w:val="22"/>
        </w:rPr>
        <w:t>ruchou</w:t>
      </w:r>
      <w:r w:rsidRPr="00110BEF">
        <w:rPr>
          <w:szCs w:val="22"/>
        </w:rPr>
        <w:t xml:space="preserve"> funkcie obličiek sa zvyšuje riziko hyperkaliémie, zhoršuje funkcia obličiek a kardiovaskulárna morbidita a mortalita.</w:t>
      </w:r>
    </w:p>
    <w:p w14:paraId="4EC6303B" w14:textId="77777777" w:rsidR="008746EE" w:rsidRPr="00110BEF" w:rsidRDefault="008746EE" w:rsidP="008746EE">
      <w:pPr>
        <w:rPr>
          <w:szCs w:val="22"/>
        </w:rPr>
      </w:pPr>
    </w:p>
    <w:p w14:paraId="243518CF" w14:textId="2BFFC2E2" w:rsidR="008746EE" w:rsidRPr="00C25F99" w:rsidRDefault="008746EE" w:rsidP="008746EE">
      <w:pPr>
        <w:rPr>
          <w:szCs w:val="22"/>
        </w:rPr>
      </w:pPr>
      <w:r w:rsidRPr="00C25F99">
        <w:rPr>
          <w:b/>
          <w:i/>
          <w:szCs w:val="22"/>
        </w:rPr>
        <w:t>Súbežné použitie, ktoré sa neodporúča (pozri časť 4.4)</w:t>
      </w:r>
    </w:p>
    <w:p w14:paraId="5FE5BCA5" w14:textId="77777777" w:rsidR="00875B4A" w:rsidRDefault="00875B4A" w:rsidP="008746EE">
      <w:pPr>
        <w:rPr>
          <w:szCs w:val="22"/>
          <w:u w:val="single"/>
        </w:rPr>
      </w:pPr>
    </w:p>
    <w:p w14:paraId="24057AB8" w14:textId="04528BCD" w:rsidR="008746EE" w:rsidRPr="00110BEF" w:rsidRDefault="008746EE" w:rsidP="008746EE">
      <w:pPr>
        <w:rPr>
          <w:szCs w:val="22"/>
        </w:rPr>
      </w:pPr>
      <w:r w:rsidRPr="00110BEF">
        <w:rPr>
          <w:szCs w:val="22"/>
          <w:u w:val="single"/>
        </w:rPr>
        <w:t>Aliskir</w:t>
      </w:r>
      <w:r>
        <w:rPr>
          <w:szCs w:val="22"/>
          <w:u w:val="single"/>
        </w:rPr>
        <w:t>é</w:t>
      </w:r>
      <w:r w:rsidR="009A73F9">
        <w:rPr>
          <w:szCs w:val="22"/>
          <w:u w:val="single"/>
        </w:rPr>
        <w:t>n</w:t>
      </w:r>
    </w:p>
    <w:p w14:paraId="01419D32" w14:textId="77777777" w:rsidR="008746EE" w:rsidRPr="00110BEF" w:rsidRDefault="008746EE" w:rsidP="008746EE">
      <w:pPr>
        <w:ind w:left="0" w:firstLine="0"/>
        <w:rPr>
          <w:szCs w:val="22"/>
        </w:rPr>
      </w:pPr>
      <w:r w:rsidRPr="00110BEF">
        <w:rPr>
          <w:szCs w:val="22"/>
        </w:rPr>
        <w:t>U iných pacientov, ako sú diabetickí pacienti a pacienti s po</w:t>
      </w:r>
      <w:r>
        <w:rPr>
          <w:szCs w:val="22"/>
        </w:rPr>
        <w:t>ruchou</w:t>
      </w:r>
      <w:r w:rsidRPr="00110BEF">
        <w:rPr>
          <w:szCs w:val="22"/>
        </w:rPr>
        <w:t xml:space="preserve"> funkcie obličiek, sa zvyšuje riziko hyperkaliémie, zhoršuje funkcia obličiek a kardiovaskulárna morbidita a mortalita.</w:t>
      </w:r>
    </w:p>
    <w:p w14:paraId="4D382B0E" w14:textId="77777777" w:rsidR="008746EE" w:rsidRPr="00110BEF" w:rsidRDefault="008746EE" w:rsidP="008746EE">
      <w:pPr>
        <w:rPr>
          <w:szCs w:val="22"/>
          <w:u w:val="single"/>
        </w:rPr>
      </w:pPr>
    </w:p>
    <w:p w14:paraId="7ED89226" w14:textId="77443291" w:rsidR="008746EE" w:rsidRPr="00014B23" w:rsidRDefault="008746EE" w:rsidP="008746EE">
      <w:pPr>
        <w:pStyle w:val="Zkladntext"/>
      </w:pPr>
      <w:r w:rsidRPr="00014B23">
        <w:rPr>
          <w:u w:val="single"/>
        </w:rPr>
        <w:t>Súbežná liečba inhibítorom ACE a blo</w:t>
      </w:r>
      <w:r w:rsidR="009A73F9" w:rsidRPr="00014B23">
        <w:rPr>
          <w:u w:val="single"/>
        </w:rPr>
        <w:t>kátorom receptorov angiotenzínu</w:t>
      </w:r>
    </w:p>
    <w:p w14:paraId="556BADD8" w14:textId="197775DC" w:rsidR="008746EE" w:rsidRPr="00110BEF" w:rsidRDefault="008746EE" w:rsidP="008746EE">
      <w:pPr>
        <w:tabs>
          <w:tab w:val="left" w:pos="0"/>
        </w:tabs>
        <w:ind w:left="0" w:firstLine="0"/>
        <w:rPr>
          <w:bCs/>
          <w:szCs w:val="22"/>
          <w:u w:val="single"/>
        </w:rPr>
      </w:pPr>
      <w:r w:rsidRPr="00110BEF">
        <w:rPr>
          <w:szCs w:val="22"/>
        </w:rPr>
        <w:t xml:space="preserve">V literatúre sa zaznamenalo, že u pacientov s preukázaným aterosklerotickým ochorením, srdcovým zlyhaním alebo diabetom s poškodením cieľových orgánov sa súbežná liečba inhibítorom </w:t>
      </w:r>
      <w:r>
        <w:rPr>
          <w:szCs w:val="22"/>
        </w:rPr>
        <w:t xml:space="preserve">ACE </w:t>
      </w:r>
      <w:r w:rsidRPr="00110BEF">
        <w:rPr>
          <w:szCs w:val="22"/>
        </w:rPr>
        <w:t xml:space="preserve">a blokátorom receptorov angiotenzínu spája s vyššou frekvenciou hypotenzie, synkopy, hyperkaliémie a zhoršenia funkcie obličiek (vrátane akútneho zlyhania obličiek) v porovnaní s použitím samotnej látky </w:t>
      </w:r>
      <w:r w:rsidR="00875B4A">
        <w:rPr>
          <w:szCs w:val="22"/>
        </w:rPr>
        <w:t xml:space="preserve">systému </w:t>
      </w:r>
      <w:r w:rsidRPr="00110BEF">
        <w:rPr>
          <w:szCs w:val="22"/>
        </w:rPr>
        <w:t xml:space="preserve">renín-angiotenzín-aldosterón. Duálna </w:t>
      </w:r>
      <w:r w:rsidR="00875B4A">
        <w:rPr>
          <w:szCs w:val="22"/>
        </w:rPr>
        <w:t>inhibícia</w:t>
      </w:r>
      <w:r w:rsidRPr="00110BEF">
        <w:rPr>
          <w:szCs w:val="22"/>
        </w:rPr>
        <w:t xml:space="preserve"> (napr. kombinácia inhibítora </w:t>
      </w:r>
      <w:r>
        <w:rPr>
          <w:szCs w:val="22"/>
        </w:rPr>
        <w:t xml:space="preserve">ACE </w:t>
      </w:r>
      <w:r w:rsidRPr="00110BEF">
        <w:rPr>
          <w:szCs w:val="22"/>
        </w:rPr>
        <w:t>s antagonistom receptorov angiotenzínu II) sa má obmedziť na individuálne definované prípady s dôkladným monitorovaním renálnych funkcií, hladín draslíka a krvného tlaku.</w:t>
      </w:r>
    </w:p>
    <w:p w14:paraId="1EF922D8" w14:textId="77777777" w:rsidR="008746EE" w:rsidRPr="00110BEF" w:rsidRDefault="008746EE" w:rsidP="008746EE">
      <w:pPr>
        <w:pStyle w:val="Nadpis4"/>
        <w:spacing w:line="240" w:lineRule="auto"/>
        <w:jc w:val="left"/>
        <w:rPr>
          <w:b w:val="0"/>
          <w:bCs/>
          <w:szCs w:val="22"/>
          <w:u w:val="single"/>
          <w:lang w:val="sk-SK"/>
        </w:rPr>
      </w:pPr>
    </w:p>
    <w:p w14:paraId="56BA771C" w14:textId="67313C43" w:rsidR="008746EE" w:rsidRPr="00110BEF" w:rsidRDefault="009A73F9" w:rsidP="008746EE">
      <w:pPr>
        <w:tabs>
          <w:tab w:val="left" w:pos="1650"/>
        </w:tabs>
        <w:rPr>
          <w:bCs/>
          <w:szCs w:val="22"/>
          <w:lang w:eastAsia="cs-CZ"/>
        </w:rPr>
      </w:pPr>
      <w:r>
        <w:rPr>
          <w:bCs/>
          <w:szCs w:val="22"/>
          <w:u w:val="single"/>
          <w:lang w:eastAsia="cs-CZ"/>
        </w:rPr>
        <w:t>Estramustín</w:t>
      </w:r>
    </w:p>
    <w:p w14:paraId="4A784151" w14:textId="77777777" w:rsidR="008746EE" w:rsidRPr="00110BEF" w:rsidRDefault="008746EE" w:rsidP="008746EE">
      <w:pPr>
        <w:rPr>
          <w:szCs w:val="22"/>
        </w:rPr>
      </w:pPr>
      <w:r w:rsidRPr="00110BEF">
        <w:rPr>
          <w:bCs/>
          <w:szCs w:val="22"/>
          <w:lang w:eastAsia="cs-CZ"/>
        </w:rPr>
        <w:t>Riziko zvýšenia nežiaducich účinkov ako angioneurotický edém (angioedém).</w:t>
      </w:r>
    </w:p>
    <w:p w14:paraId="026E9998" w14:textId="77777777" w:rsidR="008746EE" w:rsidRPr="00110BEF" w:rsidRDefault="008746EE" w:rsidP="008746EE">
      <w:pPr>
        <w:rPr>
          <w:szCs w:val="22"/>
        </w:rPr>
      </w:pPr>
    </w:p>
    <w:p w14:paraId="76BE00DB" w14:textId="77777777" w:rsidR="009A73F9" w:rsidRPr="00C25F99" w:rsidRDefault="009A73F9" w:rsidP="009A73F9">
      <w:pPr>
        <w:pStyle w:val="Default"/>
        <w:rPr>
          <w:rFonts w:ascii="Times New Roman" w:hAnsi="Times New Roman" w:cs="Times New Roman"/>
          <w:sz w:val="22"/>
          <w:szCs w:val="22"/>
          <w:u w:val="single"/>
        </w:rPr>
      </w:pPr>
      <w:r w:rsidRPr="00C25F99">
        <w:rPr>
          <w:rFonts w:ascii="Times New Roman" w:hAnsi="Times New Roman" w:cs="Times New Roman"/>
          <w:bCs/>
          <w:sz w:val="22"/>
          <w:szCs w:val="22"/>
          <w:u w:val="single"/>
        </w:rPr>
        <w:t xml:space="preserve">Racekadotril </w:t>
      </w:r>
    </w:p>
    <w:p w14:paraId="7233CB64" w14:textId="77777777" w:rsidR="009A73F9" w:rsidRPr="00C25F99" w:rsidRDefault="009A73F9" w:rsidP="009A73F9">
      <w:pPr>
        <w:pStyle w:val="Default"/>
        <w:rPr>
          <w:rFonts w:ascii="Times New Roman" w:hAnsi="Times New Roman" w:cs="Times New Roman"/>
          <w:sz w:val="22"/>
          <w:szCs w:val="22"/>
        </w:rPr>
      </w:pPr>
      <w:r w:rsidRPr="00C25F99">
        <w:rPr>
          <w:rFonts w:ascii="Times New Roman" w:hAnsi="Times New Roman" w:cs="Times New Roman"/>
          <w:bCs/>
          <w:sz w:val="22"/>
          <w:szCs w:val="22"/>
        </w:rPr>
        <w:t xml:space="preserve">ACE inhibítory (napr. perindopril) sú známe tým, že môžu spôsobiť angioedém. Toto riziko sa môže zvýšiť pri súbežnom užívaní s racekadotrilom (liek používaný proti akútnej hnačke). </w:t>
      </w:r>
    </w:p>
    <w:p w14:paraId="480EA281" w14:textId="77777777" w:rsidR="009A73F9" w:rsidRPr="00C25F99" w:rsidRDefault="009A73F9" w:rsidP="009A73F9">
      <w:pPr>
        <w:pStyle w:val="Default"/>
        <w:rPr>
          <w:rFonts w:ascii="Times New Roman" w:hAnsi="Times New Roman" w:cs="Times New Roman"/>
          <w:bCs/>
          <w:sz w:val="22"/>
          <w:szCs w:val="22"/>
        </w:rPr>
      </w:pPr>
    </w:p>
    <w:p w14:paraId="747D0D58" w14:textId="16F12DE6" w:rsidR="009A73F9" w:rsidRPr="00C25F99" w:rsidRDefault="009A73F9" w:rsidP="009A73F9">
      <w:pPr>
        <w:pStyle w:val="Default"/>
        <w:rPr>
          <w:rFonts w:ascii="Times New Roman" w:hAnsi="Times New Roman" w:cs="Times New Roman"/>
          <w:sz w:val="22"/>
          <w:szCs w:val="22"/>
          <w:u w:val="single"/>
        </w:rPr>
      </w:pPr>
      <w:r w:rsidRPr="00C25F99">
        <w:rPr>
          <w:rFonts w:ascii="Times New Roman" w:hAnsi="Times New Roman" w:cs="Times New Roman"/>
          <w:bCs/>
          <w:sz w:val="22"/>
          <w:szCs w:val="22"/>
          <w:u w:val="single"/>
        </w:rPr>
        <w:t>Inhib</w:t>
      </w:r>
      <w:r w:rsidR="00875B4A">
        <w:rPr>
          <w:rFonts w:ascii="Times New Roman" w:hAnsi="Times New Roman" w:cs="Times New Roman"/>
          <w:bCs/>
          <w:sz w:val="22"/>
          <w:szCs w:val="22"/>
          <w:u w:val="single"/>
        </w:rPr>
        <w:t>í</w:t>
      </w:r>
      <w:r w:rsidRPr="00C25F99">
        <w:rPr>
          <w:rFonts w:ascii="Times New Roman" w:hAnsi="Times New Roman" w:cs="Times New Roman"/>
          <w:bCs/>
          <w:sz w:val="22"/>
          <w:szCs w:val="22"/>
          <w:u w:val="single"/>
        </w:rPr>
        <w:t xml:space="preserve">tory mTOR (napr. sirolimus, everolimus, temsirolimus) </w:t>
      </w:r>
    </w:p>
    <w:p w14:paraId="7C75EB0A" w14:textId="77777777" w:rsidR="009A73F9" w:rsidRPr="000C6B42" w:rsidRDefault="009A73F9" w:rsidP="009A73F9">
      <w:pPr>
        <w:pStyle w:val="Default"/>
        <w:rPr>
          <w:rFonts w:ascii="Times New Roman" w:hAnsi="Times New Roman" w:cs="Times New Roman"/>
          <w:bCs/>
          <w:sz w:val="22"/>
          <w:szCs w:val="22"/>
        </w:rPr>
      </w:pPr>
      <w:r w:rsidRPr="00C25F99">
        <w:rPr>
          <w:rFonts w:ascii="Times New Roman" w:hAnsi="Times New Roman" w:cs="Times New Roman"/>
          <w:bCs/>
          <w:sz w:val="22"/>
          <w:szCs w:val="22"/>
        </w:rPr>
        <w:t>Pacienti súbežne užívajúci liečbu inhibítormi mTOR môžu mať zvýšené riziko angioedému (pozri časť 4.4)</w:t>
      </w:r>
      <w:r w:rsidRPr="000C6B42">
        <w:rPr>
          <w:rFonts w:ascii="Times New Roman" w:hAnsi="Times New Roman" w:cs="Times New Roman"/>
          <w:bCs/>
          <w:sz w:val="22"/>
          <w:szCs w:val="22"/>
        </w:rPr>
        <w:t xml:space="preserve"> </w:t>
      </w:r>
    </w:p>
    <w:p w14:paraId="52C6EB6C" w14:textId="77777777" w:rsidR="009A73F9" w:rsidRPr="00110BEF" w:rsidRDefault="009A73F9" w:rsidP="009A73F9">
      <w:pPr>
        <w:rPr>
          <w:szCs w:val="22"/>
        </w:rPr>
      </w:pPr>
    </w:p>
    <w:p w14:paraId="68071589" w14:textId="745FDE65" w:rsidR="008746EE" w:rsidRPr="00110BEF" w:rsidRDefault="008746EE" w:rsidP="008746EE">
      <w:pPr>
        <w:pStyle w:val="Nadpis4"/>
        <w:spacing w:line="240" w:lineRule="auto"/>
        <w:jc w:val="left"/>
        <w:rPr>
          <w:b w:val="0"/>
          <w:bCs/>
          <w:noProof w:val="0"/>
          <w:szCs w:val="22"/>
          <w:u w:val="single"/>
          <w:lang w:val="sk-SK"/>
        </w:rPr>
      </w:pPr>
      <w:r w:rsidRPr="00110BEF">
        <w:rPr>
          <w:b w:val="0"/>
          <w:bCs/>
          <w:noProof w:val="0"/>
          <w:szCs w:val="22"/>
          <w:u w:val="single"/>
          <w:lang w:val="sk-SK"/>
        </w:rPr>
        <w:t>Draslík šetriace diuretiká (napr. triamterén, amilorid</w:t>
      </w:r>
      <w:r>
        <w:rPr>
          <w:b w:val="0"/>
          <w:bCs/>
          <w:noProof w:val="0"/>
          <w:szCs w:val="22"/>
          <w:u w:val="single"/>
          <w:lang w:val="sk-SK"/>
        </w:rPr>
        <w:t>,...</w:t>
      </w:r>
      <w:r w:rsidR="009A73F9">
        <w:rPr>
          <w:b w:val="0"/>
          <w:bCs/>
          <w:noProof w:val="0"/>
          <w:szCs w:val="22"/>
          <w:u w:val="single"/>
          <w:lang w:val="sk-SK"/>
        </w:rPr>
        <w:t>), soli draslíka</w:t>
      </w:r>
    </w:p>
    <w:p w14:paraId="72D22740" w14:textId="47976682" w:rsidR="008746EE" w:rsidRPr="00110BEF" w:rsidRDefault="008746EE" w:rsidP="008746EE">
      <w:pPr>
        <w:tabs>
          <w:tab w:val="left" w:pos="0"/>
        </w:tabs>
        <w:ind w:left="0" w:firstLine="0"/>
        <w:rPr>
          <w:szCs w:val="22"/>
        </w:rPr>
      </w:pPr>
      <w:r w:rsidRPr="00110BEF">
        <w:rPr>
          <w:szCs w:val="22"/>
        </w:rPr>
        <w:t>Hyperkaliémia (potenciálne smrteľná), najmä v spojení s po</w:t>
      </w:r>
      <w:r>
        <w:rPr>
          <w:szCs w:val="22"/>
        </w:rPr>
        <w:t>ruchou</w:t>
      </w:r>
      <w:r w:rsidRPr="00110BEF">
        <w:rPr>
          <w:szCs w:val="22"/>
        </w:rPr>
        <w:t xml:space="preserve"> funkcie obličiek (aditívne hyperkal</w:t>
      </w:r>
      <w:r w:rsidR="00875B4A">
        <w:rPr>
          <w:szCs w:val="22"/>
        </w:rPr>
        <w:t>i</w:t>
      </w:r>
      <w:r w:rsidRPr="00110BEF">
        <w:rPr>
          <w:szCs w:val="22"/>
        </w:rPr>
        <w:t xml:space="preserve">emické účinky). Kombinácia perindoprilu s vyššie uvedenými liekmi </w:t>
      </w:r>
      <w:r>
        <w:rPr>
          <w:szCs w:val="22"/>
        </w:rPr>
        <w:t xml:space="preserve">sa </w:t>
      </w:r>
      <w:r w:rsidRPr="00110BEF">
        <w:rPr>
          <w:szCs w:val="22"/>
        </w:rPr>
        <w:t>neodporúča (pozri časť 4.4). Ak je ich súbežné použitie rovnako indikované, majú byť používané s opatrnosťou a pri častom monitorovaní hladín draslíka v sére. Pre použitie spironolaktónu u srdcového zlyhania, pozri nižšie.</w:t>
      </w:r>
    </w:p>
    <w:p w14:paraId="0338A41C" w14:textId="77777777" w:rsidR="008746EE" w:rsidRPr="00110BEF" w:rsidRDefault="008746EE" w:rsidP="008746EE">
      <w:pPr>
        <w:tabs>
          <w:tab w:val="left" w:pos="0"/>
        </w:tabs>
        <w:rPr>
          <w:bCs/>
          <w:szCs w:val="22"/>
          <w:u w:val="single"/>
        </w:rPr>
      </w:pPr>
    </w:p>
    <w:p w14:paraId="2EFC8231" w14:textId="3D7A9424" w:rsidR="008746EE" w:rsidRPr="00110BEF" w:rsidRDefault="008746EE" w:rsidP="008746EE">
      <w:pPr>
        <w:tabs>
          <w:tab w:val="left" w:pos="0"/>
        </w:tabs>
        <w:rPr>
          <w:bCs/>
          <w:szCs w:val="22"/>
          <w:u w:val="single"/>
        </w:rPr>
      </w:pPr>
      <w:r w:rsidRPr="00110BEF">
        <w:rPr>
          <w:bCs/>
          <w:szCs w:val="22"/>
          <w:u w:val="single"/>
        </w:rPr>
        <w:t>Lítium</w:t>
      </w:r>
    </w:p>
    <w:p w14:paraId="281B583D" w14:textId="09E89467" w:rsidR="008746EE" w:rsidRPr="00110BEF" w:rsidRDefault="008746EE" w:rsidP="008746EE">
      <w:pPr>
        <w:autoSpaceDE w:val="0"/>
        <w:autoSpaceDN w:val="0"/>
        <w:adjustRightInd w:val="0"/>
        <w:ind w:left="0" w:firstLine="0"/>
        <w:rPr>
          <w:szCs w:val="22"/>
        </w:rPr>
      </w:pPr>
      <w:r w:rsidRPr="00110BEF">
        <w:rPr>
          <w:szCs w:val="22"/>
        </w:rPr>
        <w:t xml:space="preserve">Počas súbežného podávania lítia s inhibítormi </w:t>
      </w:r>
      <w:r>
        <w:rPr>
          <w:szCs w:val="22"/>
        </w:rPr>
        <w:t xml:space="preserve">ACE </w:t>
      </w:r>
      <w:r w:rsidRPr="00110BEF">
        <w:rPr>
          <w:szCs w:val="22"/>
        </w:rPr>
        <w:t>boli zaznamenané reverzibilné zvýšenia sérových koncentrácií lítia a jeho toxicity. Použitie perindoprilu spolu s lítiom sa neodporúča, ale ak sa potvrdí, že táto kombinácia je nutná, majú sa starostlivo monitorovať hladiny lítia v sére (pozri časť 4.4).</w:t>
      </w:r>
    </w:p>
    <w:p w14:paraId="3C14DCC0" w14:textId="77777777" w:rsidR="008746EE" w:rsidRPr="00110BEF" w:rsidRDefault="008746EE" w:rsidP="008746EE">
      <w:pPr>
        <w:tabs>
          <w:tab w:val="left" w:pos="0"/>
        </w:tabs>
        <w:rPr>
          <w:bCs/>
          <w:szCs w:val="22"/>
          <w:u w:val="single"/>
        </w:rPr>
      </w:pPr>
    </w:p>
    <w:p w14:paraId="07657B42" w14:textId="423E1FA5" w:rsidR="008746EE" w:rsidRPr="00C25F99" w:rsidRDefault="008746EE" w:rsidP="008746EE">
      <w:pPr>
        <w:rPr>
          <w:b/>
          <w:i/>
          <w:szCs w:val="22"/>
        </w:rPr>
      </w:pPr>
      <w:r w:rsidRPr="00C25F99">
        <w:rPr>
          <w:b/>
          <w:i/>
          <w:szCs w:val="22"/>
        </w:rPr>
        <w:t>Súbežné použitie, ktoré si vyžaduje osobitnú starostlivosť</w:t>
      </w:r>
    </w:p>
    <w:p w14:paraId="5B364DB8" w14:textId="77777777" w:rsidR="008746EE" w:rsidRPr="00110BEF" w:rsidRDefault="008746EE" w:rsidP="008746EE">
      <w:pPr>
        <w:rPr>
          <w:szCs w:val="22"/>
        </w:rPr>
      </w:pPr>
    </w:p>
    <w:p w14:paraId="4D507544" w14:textId="5283F213" w:rsidR="008746EE" w:rsidRPr="00110BEF" w:rsidRDefault="008746EE" w:rsidP="008746EE">
      <w:pPr>
        <w:rPr>
          <w:szCs w:val="22"/>
        </w:rPr>
      </w:pPr>
      <w:r w:rsidRPr="00110BEF">
        <w:rPr>
          <w:szCs w:val="22"/>
          <w:u w:val="single"/>
        </w:rPr>
        <w:t>Antidiabetiká (inzulíny, per</w:t>
      </w:r>
      <w:r w:rsidR="009A73F9">
        <w:rPr>
          <w:szCs w:val="22"/>
          <w:u w:val="single"/>
        </w:rPr>
        <w:t>orálne hypoglykemizujúce l</w:t>
      </w:r>
      <w:r w:rsidR="00A11AAD">
        <w:rPr>
          <w:szCs w:val="22"/>
          <w:u w:val="single"/>
        </w:rPr>
        <w:t>iečivá</w:t>
      </w:r>
      <w:r w:rsidR="009A73F9">
        <w:rPr>
          <w:szCs w:val="22"/>
          <w:u w:val="single"/>
        </w:rPr>
        <w:t>)</w:t>
      </w:r>
    </w:p>
    <w:p w14:paraId="22AFA159" w14:textId="442B3255" w:rsidR="008746EE" w:rsidRPr="00110BEF" w:rsidRDefault="008746EE" w:rsidP="008746EE">
      <w:pPr>
        <w:ind w:left="0" w:firstLine="0"/>
        <w:rPr>
          <w:szCs w:val="22"/>
        </w:rPr>
      </w:pPr>
      <w:r w:rsidRPr="00110BEF">
        <w:rPr>
          <w:szCs w:val="22"/>
        </w:rPr>
        <w:t xml:space="preserve">Epidemiologické štúdie naznačili, že súbežné podávanie inhibítorov </w:t>
      </w:r>
      <w:r>
        <w:rPr>
          <w:szCs w:val="22"/>
        </w:rPr>
        <w:t xml:space="preserve">ACE </w:t>
      </w:r>
      <w:r w:rsidRPr="00110BEF">
        <w:rPr>
          <w:szCs w:val="22"/>
        </w:rPr>
        <w:t xml:space="preserve">a antidiabetík (inzulíny, perorálne </w:t>
      </w:r>
      <w:r w:rsidRPr="00875B4A">
        <w:rPr>
          <w:szCs w:val="22"/>
        </w:rPr>
        <w:t xml:space="preserve">hypoglykemizujúce </w:t>
      </w:r>
      <w:r w:rsidR="00AB6D69" w:rsidRPr="00875B4A">
        <w:rPr>
          <w:szCs w:val="22"/>
        </w:rPr>
        <w:t>liečivá</w:t>
      </w:r>
      <w:r w:rsidRPr="00110BEF">
        <w:rPr>
          <w:szCs w:val="22"/>
        </w:rPr>
        <w:t>) môže spôsobiť zvýšenie účinku na zníženie hladiny glukózy v krvi s rizikom vzniku hypoglykémie. Tento jav sa zdá byť pravdepodobnejší počas prvých týždňov kombinovanej liečby a u pacientov s po</w:t>
      </w:r>
      <w:r>
        <w:rPr>
          <w:szCs w:val="22"/>
        </w:rPr>
        <w:t>ruchou</w:t>
      </w:r>
      <w:r w:rsidRPr="00110BEF">
        <w:rPr>
          <w:szCs w:val="22"/>
        </w:rPr>
        <w:t xml:space="preserve"> funkcie obličiek.</w:t>
      </w:r>
    </w:p>
    <w:p w14:paraId="46CD9F89" w14:textId="77777777" w:rsidR="008746EE" w:rsidRPr="00110BEF" w:rsidRDefault="008746EE" w:rsidP="008746EE">
      <w:pPr>
        <w:rPr>
          <w:szCs w:val="22"/>
        </w:rPr>
      </w:pPr>
    </w:p>
    <w:p w14:paraId="596E1A31" w14:textId="24CB7441" w:rsidR="008746EE" w:rsidRPr="00110BEF" w:rsidRDefault="009A73F9" w:rsidP="008746EE">
      <w:pPr>
        <w:rPr>
          <w:szCs w:val="22"/>
        </w:rPr>
      </w:pPr>
      <w:r>
        <w:rPr>
          <w:szCs w:val="22"/>
          <w:u w:val="single"/>
        </w:rPr>
        <w:t>Baklofén</w:t>
      </w:r>
    </w:p>
    <w:p w14:paraId="6FEFB851" w14:textId="77777777" w:rsidR="008746EE" w:rsidRDefault="008746EE" w:rsidP="008746EE">
      <w:pPr>
        <w:ind w:left="0" w:firstLine="0"/>
        <w:rPr>
          <w:szCs w:val="22"/>
        </w:rPr>
      </w:pPr>
      <w:r w:rsidRPr="00110BEF">
        <w:rPr>
          <w:szCs w:val="22"/>
        </w:rPr>
        <w:lastRenderedPageBreak/>
        <w:t>Zvýšený antihypertenzn</w:t>
      </w:r>
      <w:r>
        <w:rPr>
          <w:szCs w:val="22"/>
        </w:rPr>
        <w:t>ý</w:t>
      </w:r>
      <w:r w:rsidRPr="000357C3">
        <w:rPr>
          <w:szCs w:val="22"/>
        </w:rPr>
        <w:t xml:space="preserve"> účinok. Monitorovanie krvného tlaku a v prípade potreby úprava dávky antihypertenzíva.</w:t>
      </w:r>
    </w:p>
    <w:p w14:paraId="5A7EF88E" w14:textId="77777777" w:rsidR="008746EE" w:rsidRDefault="008746EE" w:rsidP="008746EE">
      <w:pPr>
        <w:ind w:left="0" w:firstLine="0"/>
        <w:rPr>
          <w:szCs w:val="22"/>
        </w:rPr>
      </w:pPr>
    </w:p>
    <w:p w14:paraId="54124676" w14:textId="6FA0D403" w:rsidR="008746EE" w:rsidRPr="00110BEF" w:rsidRDefault="009A73F9" w:rsidP="008746EE">
      <w:pPr>
        <w:rPr>
          <w:szCs w:val="22"/>
        </w:rPr>
      </w:pPr>
      <w:r>
        <w:rPr>
          <w:szCs w:val="22"/>
          <w:u w:val="single"/>
        </w:rPr>
        <w:t>Diuretiká nešetriace draslík</w:t>
      </w:r>
    </w:p>
    <w:p w14:paraId="5C2605C4" w14:textId="77777777" w:rsidR="008746EE" w:rsidRPr="00314A4D" w:rsidRDefault="008746EE" w:rsidP="008746EE">
      <w:pPr>
        <w:ind w:left="0" w:firstLine="0"/>
        <w:rPr>
          <w:szCs w:val="22"/>
        </w:rPr>
      </w:pPr>
      <w:r w:rsidRPr="00314A4D">
        <w:rPr>
          <w:szCs w:val="22"/>
        </w:rPr>
        <w:t xml:space="preserve">U pacientov užívajúcich diuretiká a najmä u tých, ktorí </w:t>
      </w:r>
      <w:r>
        <w:rPr>
          <w:szCs w:val="22"/>
        </w:rPr>
        <w:t>majú</w:t>
      </w:r>
      <w:r w:rsidRPr="00314A4D">
        <w:rPr>
          <w:szCs w:val="22"/>
        </w:rPr>
        <w:t xml:space="preserve"> depléciu objemu a/alebo solí, môže </w:t>
      </w:r>
      <w:r w:rsidRPr="000357C3">
        <w:rPr>
          <w:szCs w:val="22"/>
        </w:rPr>
        <w:t>dôjsť k nadmernému poklesu krvného tlaku</w:t>
      </w:r>
      <w:r w:rsidRPr="00314A4D">
        <w:rPr>
          <w:szCs w:val="22"/>
        </w:rPr>
        <w:t xml:space="preserve"> po začatí liečby inhibítorom </w:t>
      </w:r>
      <w:r>
        <w:rPr>
          <w:szCs w:val="22"/>
        </w:rPr>
        <w:t>ACE</w:t>
      </w:r>
      <w:r w:rsidRPr="00314A4D">
        <w:rPr>
          <w:szCs w:val="22"/>
        </w:rPr>
        <w:t xml:space="preserve">. Možnosť hypotenzných účinkov sa </w:t>
      </w:r>
      <w:r>
        <w:rPr>
          <w:szCs w:val="22"/>
        </w:rPr>
        <w:t>môže</w:t>
      </w:r>
      <w:r w:rsidRPr="00314A4D">
        <w:rPr>
          <w:szCs w:val="22"/>
        </w:rPr>
        <w:t xml:space="preserve"> znížiť vysadením diuretika, zvýšením objemu a</w:t>
      </w:r>
      <w:r>
        <w:rPr>
          <w:szCs w:val="22"/>
        </w:rPr>
        <w:t>lebo</w:t>
      </w:r>
      <w:r w:rsidRPr="00314A4D">
        <w:rPr>
          <w:szCs w:val="22"/>
        </w:rPr>
        <w:t xml:space="preserve"> príjm</w:t>
      </w:r>
      <w:r>
        <w:rPr>
          <w:szCs w:val="22"/>
        </w:rPr>
        <w:t>u</w:t>
      </w:r>
      <w:r w:rsidRPr="00314A4D">
        <w:rPr>
          <w:szCs w:val="22"/>
        </w:rPr>
        <w:t xml:space="preserve"> soli pred začatím liečby nízkymi a postupne </w:t>
      </w:r>
      <w:r>
        <w:rPr>
          <w:szCs w:val="22"/>
        </w:rPr>
        <w:t xml:space="preserve">sa </w:t>
      </w:r>
      <w:r w:rsidRPr="00314A4D">
        <w:rPr>
          <w:szCs w:val="22"/>
        </w:rPr>
        <w:t>zvyš</w:t>
      </w:r>
      <w:r>
        <w:rPr>
          <w:szCs w:val="22"/>
        </w:rPr>
        <w:t>ujúcimi</w:t>
      </w:r>
      <w:r w:rsidRPr="00314A4D">
        <w:rPr>
          <w:szCs w:val="22"/>
        </w:rPr>
        <w:t xml:space="preserve"> dávkami perindoprilu. </w:t>
      </w:r>
    </w:p>
    <w:p w14:paraId="661B0602" w14:textId="77777777" w:rsidR="008746EE" w:rsidRDefault="008746EE" w:rsidP="008746EE">
      <w:pPr>
        <w:ind w:left="0" w:firstLine="0"/>
        <w:rPr>
          <w:szCs w:val="22"/>
        </w:rPr>
      </w:pPr>
      <w:r w:rsidRPr="000357C3">
        <w:rPr>
          <w:i/>
          <w:szCs w:val="22"/>
        </w:rPr>
        <w:t>Pri arteriálnej hypertenzii</w:t>
      </w:r>
      <w:r w:rsidRPr="000357C3">
        <w:rPr>
          <w:szCs w:val="22"/>
        </w:rPr>
        <w:t>, ke</w:t>
      </w:r>
      <w:r>
        <w:rPr>
          <w:szCs w:val="22"/>
        </w:rPr>
        <w:t>dy</w:t>
      </w:r>
      <w:r w:rsidRPr="000357C3">
        <w:rPr>
          <w:szCs w:val="22"/>
        </w:rPr>
        <w:t xml:space="preserve"> predchádzajúca liečba diuretikom môže spôsobiť depléciu solí/objemu, sa buď musí pred začatím liečby inhibítorom </w:t>
      </w:r>
      <w:r>
        <w:rPr>
          <w:szCs w:val="22"/>
        </w:rPr>
        <w:t xml:space="preserve">ACE </w:t>
      </w:r>
      <w:r w:rsidRPr="000357C3">
        <w:rPr>
          <w:szCs w:val="22"/>
        </w:rPr>
        <w:t>vysadiť diuretik</w:t>
      </w:r>
      <w:r w:rsidRPr="00EC2871">
        <w:rPr>
          <w:szCs w:val="22"/>
        </w:rPr>
        <w:t xml:space="preserve">um, a v takom prípade sa potom môže znovu použiť diuretikum nešetriace draslík, alebo sa musí začať liečba inhibítorom </w:t>
      </w:r>
      <w:r>
        <w:rPr>
          <w:szCs w:val="22"/>
        </w:rPr>
        <w:t xml:space="preserve">ACE </w:t>
      </w:r>
      <w:r w:rsidRPr="00EC2871">
        <w:rPr>
          <w:szCs w:val="22"/>
        </w:rPr>
        <w:t>s nízkou a postupne sa zvyšujúcou dávkou.</w:t>
      </w:r>
    </w:p>
    <w:p w14:paraId="7EFEA4A2" w14:textId="77777777" w:rsidR="008746EE" w:rsidRPr="00110BEF" w:rsidRDefault="008746EE" w:rsidP="008746EE">
      <w:pPr>
        <w:ind w:left="0" w:firstLine="0"/>
        <w:rPr>
          <w:szCs w:val="22"/>
        </w:rPr>
      </w:pPr>
      <w:r w:rsidRPr="00110BEF">
        <w:rPr>
          <w:i/>
          <w:szCs w:val="22"/>
        </w:rPr>
        <w:t>Pri kongestívnom srdcovom zlyhaní liečenom diuretikom</w:t>
      </w:r>
      <w:r w:rsidRPr="00110BEF">
        <w:rPr>
          <w:szCs w:val="22"/>
        </w:rPr>
        <w:t xml:space="preserve"> sa má začať liečba inhibítorom </w:t>
      </w:r>
      <w:r>
        <w:rPr>
          <w:szCs w:val="22"/>
        </w:rPr>
        <w:t xml:space="preserve">ACE </w:t>
      </w:r>
      <w:r w:rsidRPr="00110BEF">
        <w:rPr>
          <w:szCs w:val="22"/>
        </w:rPr>
        <w:t>s veľmi nízkou dávkou, prípadne po znížení dávky pridaného diuretika nešetriaceho draslík.</w:t>
      </w:r>
    </w:p>
    <w:p w14:paraId="09FECEC5" w14:textId="77777777" w:rsidR="008746EE" w:rsidRDefault="008746EE" w:rsidP="008746EE">
      <w:pPr>
        <w:ind w:left="0" w:firstLine="0"/>
        <w:rPr>
          <w:szCs w:val="22"/>
        </w:rPr>
      </w:pPr>
      <w:r w:rsidRPr="00110BEF">
        <w:rPr>
          <w:szCs w:val="22"/>
        </w:rPr>
        <w:t>Vo všetkých prípadoch sa musí monitorovať funkcia obličiek (hladiny kreatinínu) počas prvých niekoľkých týždňov liečby inhibítorom</w:t>
      </w:r>
      <w:r>
        <w:rPr>
          <w:szCs w:val="22"/>
        </w:rPr>
        <w:t xml:space="preserve"> ACE</w:t>
      </w:r>
      <w:r w:rsidRPr="00110BEF">
        <w:rPr>
          <w:szCs w:val="22"/>
        </w:rPr>
        <w:t>.</w:t>
      </w:r>
    </w:p>
    <w:p w14:paraId="0F4F0F0C" w14:textId="77777777" w:rsidR="008746EE" w:rsidRPr="00314A4D" w:rsidRDefault="008746EE" w:rsidP="008746EE">
      <w:pPr>
        <w:ind w:left="0" w:firstLine="0"/>
        <w:rPr>
          <w:szCs w:val="22"/>
        </w:rPr>
      </w:pPr>
    </w:p>
    <w:p w14:paraId="6700EAAA" w14:textId="77ACD9E5" w:rsidR="008746EE" w:rsidRPr="00110BEF" w:rsidRDefault="008746EE" w:rsidP="008746EE">
      <w:pPr>
        <w:tabs>
          <w:tab w:val="left" w:pos="0"/>
        </w:tabs>
        <w:rPr>
          <w:bCs/>
          <w:szCs w:val="22"/>
          <w:u w:val="single"/>
        </w:rPr>
      </w:pPr>
      <w:r w:rsidRPr="00110BEF">
        <w:rPr>
          <w:bCs/>
          <w:szCs w:val="22"/>
          <w:u w:val="single"/>
        </w:rPr>
        <w:t>Draslík šetriace diure</w:t>
      </w:r>
      <w:r w:rsidR="009A73F9">
        <w:rPr>
          <w:bCs/>
          <w:szCs w:val="22"/>
          <w:u w:val="single"/>
        </w:rPr>
        <w:t>tiká (eplerenón, spironolaktón)</w:t>
      </w:r>
    </w:p>
    <w:p w14:paraId="29377B83" w14:textId="77777777" w:rsidR="008746EE" w:rsidRPr="00110BEF" w:rsidRDefault="008746EE" w:rsidP="008746EE">
      <w:pPr>
        <w:rPr>
          <w:szCs w:val="22"/>
        </w:rPr>
      </w:pPr>
      <w:r w:rsidRPr="00110BEF">
        <w:rPr>
          <w:szCs w:val="22"/>
        </w:rPr>
        <w:t>Eplerenón a spironolaktón v dávkach medzi 12,5 mg až 50 mg denne a nízke dávky inhibítorov</w:t>
      </w:r>
      <w:r>
        <w:rPr>
          <w:szCs w:val="22"/>
        </w:rPr>
        <w:t xml:space="preserve"> ACE</w:t>
      </w:r>
      <w:r w:rsidRPr="00110BEF">
        <w:rPr>
          <w:szCs w:val="22"/>
        </w:rPr>
        <w:t>:</w:t>
      </w:r>
    </w:p>
    <w:p w14:paraId="508A1ED0" w14:textId="77777777" w:rsidR="008746EE" w:rsidRPr="000357C3" w:rsidRDefault="008746EE" w:rsidP="008746EE">
      <w:pPr>
        <w:ind w:left="0" w:firstLine="0"/>
        <w:rPr>
          <w:szCs w:val="22"/>
        </w:rPr>
      </w:pPr>
      <w:r w:rsidRPr="00110BEF">
        <w:rPr>
          <w:szCs w:val="22"/>
        </w:rPr>
        <w:t xml:space="preserve">Pri liečbe srdcového zlyhania triedy II </w:t>
      </w:r>
      <w:r>
        <w:rPr>
          <w:szCs w:val="22"/>
        </w:rPr>
        <w:t>-</w:t>
      </w:r>
      <w:r w:rsidRPr="000357C3">
        <w:rPr>
          <w:szCs w:val="22"/>
        </w:rPr>
        <w:t xml:space="preserve"> IV (NYHA) s ejekčnou frakciou &lt; </w:t>
      </w:r>
      <w:r>
        <w:rPr>
          <w:szCs w:val="22"/>
        </w:rPr>
        <w:t>40</w:t>
      </w:r>
      <w:r w:rsidRPr="000357C3">
        <w:rPr>
          <w:szCs w:val="22"/>
        </w:rPr>
        <w:t> % a</w:t>
      </w:r>
      <w:r>
        <w:rPr>
          <w:szCs w:val="22"/>
        </w:rPr>
        <w:t> </w:t>
      </w:r>
      <w:r w:rsidRPr="000357C3">
        <w:rPr>
          <w:szCs w:val="22"/>
        </w:rPr>
        <w:t>pred</w:t>
      </w:r>
      <w:r>
        <w:rPr>
          <w:szCs w:val="22"/>
        </w:rPr>
        <w:t xml:space="preserve">chádzajúcou </w:t>
      </w:r>
      <w:r w:rsidRPr="000357C3">
        <w:rPr>
          <w:szCs w:val="22"/>
        </w:rPr>
        <w:t xml:space="preserve"> liečbou ACE inhibítormi a slučkovými diuretikami</w:t>
      </w:r>
      <w:r>
        <w:rPr>
          <w:szCs w:val="22"/>
        </w:rPr>
        <w:t xml:space="preserve"> je</w:t>
      </w:r>
      <w:r w:rsidRPr="000357C3">
        <w:rPr>
          <w:szCs w:val="22"/>
        </w:rPr>
        <w:t xml:space="preserve"> riziko hyperkaliémie, potenciálne smrteľné, najmä v prípade nedodržania preskripčných odporúčaní týkajúcich sa tejto kombinácie.</w:t>
      </w:r>
    </w:p>
    <w:p w14:paraId="5DCD03AD" w14:textId="77777777" w:rsidR="008746EE" w:rsidRPr="00EC2871" w:rsidRDefault="008746EE" w:rsidP="008746EE">
      <w:pPr>
        <w:ind w:left="0" w:firstLine="0"/>
        <w:rPr>
          <w:szCs w:val="22"/>
        </w:rPr>
      </w:pPr>
      <w:r w:rsidRPr="00EC2871">
        <w:rPr>
          <w:szCs w:val="22"/>
        </w:rPr>
        <w:t>Pred začatím liečby touto kombináciou skontrolujte absenciu hyperkaliémie a po</w:t>
      </w:r>
      <w:r>
        <w:rPr>
          <w:szCs w:val="22"/>
        </w:rPr>
        <w:t>ruchy</w:t>
      </w:r>
      <w:r w:rsidRPr="00EC2871">
        <w:rPr>
          <w:szCs w:val="22"/>
        </w:rPr>
        <w:t xml:space="preserve"> funkcie obličiek.</w:t>
      </w:r>
    </w:p>
    <w:p w14:paraId="1D12F631" w14:textId="77777777" w:rsidR="008746EE" w:rsidRPr="00110BEF" w:rsidRDefault="008746EE" w:rsidP="008746EE">
      <w:pPr>
        <w:ind w:left="0" w:firstLine="0"/>
        <w:rPr>
          <w:szCs w:val="22"/>
        </w:rPr>
      </w:pPr>
      <w:r w:rsidRPr="00110BEF">
        <w:rPr>
          <w:szCs w:val="22"/>
        </w:rPr>
        <w:t>Dôkladné monitorovanie kaliémie a kreatinémie sa odporúča v prvom mesiaci liečby raz týždenne na začiatku a potom raz za mesiac.</w:t>
      </w:r>
    </w:p>
    <w:p w14:paraId="7B7B7051" w14:textId="77777777" w:rsidR="008746EE" w:rsidRPr="00314A4D" w:rsidRDefault="008746EE" w:rsidP="008746EE">
      <w:pPr>
        <w:rPr>
          <w:szCs w:val="22"/>
        </w:rPr>
      </w:pPr>
    </w:p>
    <w:p w14:paraId="4990CE4F" w14:textId="0C929700" w:rsidR="008746EE" w:rsidRPr="00314A4D" w:rsidRDefault="008746EE" w:rsidP="008746EE">
      <w:pPr>
        <w:rPr>
          <w:szCs w:val="22"/>
          <w:u w:val="single"/>
        </w:rPr>
      </w:pPr>
      <w:r w:rsidRPr="00314A4D">
        <w:rPr>
          <w:szCs w:val="22"/>
          <w:u w:val="single"/>
        </w:rPr>
        <w:t>Nesteroidové antiflogistiká (NSA</w:t>
      </w:r>
      <w:r>
        <w:rPr>
          <w:szCs w:val="22"/>
          <w:u w:val="single"/>
        </w:rPr>
        <w:t>ID</w:t>
      </w:r>
      <w:r w:rsidRPr="00314A4D">
        <w:rPr>
          <w:szCs w:val="22"/>
          <w:u w:val="single"/>
        </w:rPr>
        <w:t xml:space="preserve">) vrátane kyseliny acetylsalicylovej </w:t>
      </w:r>
      <w:r w:rsidRPr="00314A4D">
        <w:rPr>
          <w:szCs w:val="22"/>
          <w:u w:val="single"/>
        </w:rPr>
        <w:sym w:font="Symbol" w:char="F0B3"/>
      </w:r>
      <w:r w:rsidRPr="00314A4D">
        <w:rPr>
          <w:szCs w:val="22"/>
          <w:u w:val="single"/>
        </w:rPr>
        <w:t xml:space="preserve"> 3 g/deň</w:t>
      </w:r>
    </w:p>
    <w:p w14:paraId="53478257" w14:textId="00C2C9A7" w:rsidR="008746EE" w:rsidRPr="00314A4D" w:rsidRDefault="008746EE" w:rsidP="008746EE">
      <w:pPr>
        <w:ind w:left="0" w:firstLine="0"/>
        <w:rPr>
          <w:szCs w:val="22"/>
        </w:rPr>
      </w:pPr>
      <w:r>
        <w:rPr>
          <w:szCs w:val="22"/>
        </w:rPr>
        <w:t>Počas súbežného p</w:t>
      </w:r>
      <w:r w:rsidRPr="00314A4D">
        <w:rPr>
          <w:szCs w:val="22"/>
        </w:rPr>
        <w:t>odávani</w:t>
      </w:r>
      <w:r>
        <w:rPr>
          <w:szCs w:val="22"/>
        </w:rPr>
        <w:t>a ACE inhibítorov a</w:t>
      </w:r>
      <w:r w:rsidRPr="00314A4D">
        <w:rPr>
          <w:szCs w:val="22"/>
        </w:rPr>
        <w:t xml:space="preserve"> nesteroidových antiflogistík (t.j. kyselina acetylsalicylová v dávkovacích režimoch antiflogistík, COX-2 inhibítory a neselektívne NSAID), </w:t>
      </w:r>
      <w:r>
        <w:rPr>
          <w:szCs w:val="22"/>
        </w:rPr>
        <w:t>môže dôjsť k oslabeniu antihypertenzného účinku</w:t>
      </w:r>
      <w:r w:rsidRPr="00314A4D">
        <w:rPr>
          <w:szCs w:val="22"/>
        </w:rPr>
        <w:t xml:space="preserve"> </w:t>
      </w:r>
      <w:r>
        <w:rPr>
          <w:szCs w:val="22"/>
        </w:rPr>
        <w:t>. S</w:t>
      </w:r>
      <w:r w:rsidRPr="00314A4D">
        <w:rPr>
          <w:szCs w:val="22"/>
        </w:rPr>
        <w:t xml:space="preserve">úbežné použitie ACE inhibítorov a NSAID môže zvýšiť riziko zhoršenia renálnych funkcií, vrátane možného akútneho renálneho zlyhania a zvýšenia draslíka v sére, obzvlášť u pacientov s predošlou </w:t>
      </w:r>
      <w:r>
        <w:rPr>
          <w:szCs w:val="22"/>
        </w:rPr>
        <w:t>slab</w:t>
      </w:r>
      <w:r w:rsidRPr="00314A4D">
        <w:rPr>
          <w:szCs w:val="22"/>
        </w:rPr>
        <w:t>ou renálnou funkciou. Kombinácia sa má podávať opatrn</w:t>
      </w:r>
      <w:r>
        <w:rPr>
          <w:szCs w:val="22"/>
        </w:rPr>
        <w:t>e</w:t>
      </w:r>
      <w:r w:rsidRPr="00314A4D">
        <w:rPr>
          <w:szCs w:val="22"/>
        </w:rPr>
        <w:t xml:space="preserve">, obzvlášť u starších </w:t>
      </w:r>
      <w:r>
        <w:rPr>
          <w:szCs w:val="22"/>
        </w:rPr>
        <w:t>ľudí</w:t>
      </w:r>
      <w:r w:rsidRPr="00314A4D">
        <w:rPr>
          <w:szCs w:val="22"/>
        </w:rPr>
        <w:t xml:space="preserve">. </w:t>
      </w:r>
      <w:r w:rsidRPr="00314A4D">
        <w:rPr>
          <w:bCs/>
          <w:szCs w:val="22"/>
        </w:rPr>
        <w:t>Pacienti majú byť primerane hydratovaní a má sa zvážiť monitorovanie renálnych funkcií po začatí súbežnej liečby a potom v pravidelných intervaloch.</w:t>
      </w:r>
    </w:p>
    <w:p w14:paraId="7960350B" w14:textId="77777777" w:rsidR="008746EE" w:rsidRDefault="008746EE" w:rsidP="008746EE">
      <w:pPr>
        <w:tabs>
          <w:tab w:val="left" w:pos="0"/>
        </w:tabs>
        <w:ind w:left="357" w:hanging="357"/>
        <w:rPr>
          <w:b/>
          <w:i/>
          <w:szCs w:val="22"/>
          <w:u w:val="single"/>
        </w:rPr>
      </w:pPr>
    </w:p>
    <w:p w14:paraId="7ADFE758" w14:textId="75BF62A4" w:rsidR="008746EE" w:rsidRPr="00C25F99" w:rsidRDefault="008746EE" w:rsidP="008746EE">
      <w:pPr>
        <w:tabs>
          <w:tab w:val="left" w:pos="0"/>
        </w:tabs>
        <w:ind w:left="357" w:hanging="357"/>
        <w:rPr>
          <w:bCs/>
          <w:szCs w:val="22"/>
        </w:rPr>
      </w:pPr>
      <w:r w:rsidRPr="00C25F99">
        <w:rPr>
          <w:b/>
          <w:i/>
          <w:szCs w:val="22"/>
        </w:rPr>
        <w:t>Súbežné použitie, ktoré vyžaduje určitú starostlivosť</w:t>
      </w:r>
    </w:p>
    <w:p w14:paraId="7ABB2103" w14:textId="77777777" w:rsidR="008746EE" w:rsidRPr="00314A4D" w:rsidRDefault="008746EE" w:rsidP="008746EE">
      <w:pPr>
        <w:rPr>
          <w:szCs w:val="22"/>
        </w:rPr>
      </w:pPr>
    </w:p>
    <w:p w14:paraId="77EE6EA4" w14:textId="4BBEC6DC" w:rsidR="008746EE" w:rsidRPr="00314A4D" w:rsidRDefault="008746EE" w:rsidP="008746EE">
      <w:pPr>
        <w:rPr>
          <w:szCs w:val="22"/>
          <w:u w:val="single"/>
        </w:rPr>
      </w:pPr>
      <w:r w:rsidRPr="00314A4D">
        <w:rPr>
          <w:szCs w:val="22"/>
          <w:u w:val="single"/>
        </w:rPr>
        <w:t>Antihypertenzíva a vazodilatanciá</w:t>
      </w:r>
    </w:p>
    <w:p w14:paraId="111781D7" w14:textId="7326F07E" w:rsidR="008746EE" w:rsidRDefault="008746EE" w:rsidP="008746EE">
      <w:pPr>
        <w:ind w:left="0" w:firstLine="0"/>
        <w:rPr>
          <w:szCs w:val="22"/>
        </w:rPr>
      </w:pPr>
      <w:r>
        <w:rPr>
          <w:szCs w:val="22"/>
        </w:rPr>
        <w:t>Súbežné</w:t>
      </w:r>
      <w:r w:rsidRPr="00314A4D">
        <w:rPr>
          <w:szCs w:val="22"/>
        </w:rPr>
        <w:t xml:space="preserve"> použitie týchto liekov môže zvyšovať hypotenzný účinok perindoprilu. </w:t>
      </w:r>
      <w:r>
        <w:rPr>
          <w:szCs w:val="22"/>
        </w:rPr>
        <w:t xml:space="preserve">Súbežné </w:t>
      </w:r>
      <w:r w:rsidRPr="00314A4D">
        <w:rPr>
          <w:szCs w:val="22"/>
        </w:rPr>
        <w:t>použitie s</w:t>
      </w:r>
      <w:r w:rsidR="00875B4A">
        <w:rPr>
          <w:szCs w:val="22"/>
        </w:rPr>
        <w:t> </w:t>
      </w:r>
      <w:r w:rsidRPr="00314A4D">
        <w:rPr>
          <w:szCs w:val="22"/>
        </w:rPr>
        <w:t>nitroglycerínom a inými nitrátmi alebo inými vazodilatanciami môže viesť k ďalšiemu zníženiu tlaku krvi.</w:t>
      </w:r>
    </w:p>
    <w:p w14:paraId="4DDCDD1C" w14:textId="77777777" w:rsidR="008746EE" w:rsidRDefault="008746EE" w:rsidP="008746EE">
      <w:pPr>
        <w:jc w:val="both"/>
        <w:rPr>
          <w:szCs w:val="22"/>
          <w:lang w:eastAsia="it-IT"/>
        </w:rPr>
      </w:pPr>
    </w:p>
    <w:p w14:paraId="2D1B6A5E" w14:textId="7A54ECD6" w:rsidR="008746EE" w:rsidRPr="00110BEF" w:rsidRDefault="008746EE" w:rsidP="008746EE">
      <w:pPr>
        <w:jc w:val="both"/>
        <w:rPr>
          <w:szCs w:val="22"/>
          <w:lang w:eastAsia="cs-CZ"/>
        </w:rPr>
      </w:pPr>
      <w:r w:rsidRPr="00110BEF">
        <w:rPr>
          <w:szCs w:val="22"/>
          <w:u w:val="single"/>
          <w:lang w:eastAsia="cs-CZ"/>
        </w:rPr>
        <w:t>Gliptíny (linagliptín, saxaglip</w:t>
      </w:r>
      <w:r w:rsidR="009A73F9">
        <w:rPr>
          <w:szCs w:val="22"/>
          <w:u w:val="single"/>
          <w:lang w:eastAsia="cs-CZ"/>
        </w:rPr>
        <w:t>tín, sitagliptín, vildagliptín)</w:t>
      </w:r>
    </w:p>
    <w:p w14:paraId="0FCC60E8" w14:textId="77777777" w:rsidR="008746EE" w:rsidRPr="00A87E48" w:rsidRDefault="008746EE" w:rsidP="008746EE">
      <w:pPr>
        <w:tabs>
          <w:tab w:val="left" w:pos="0"/>
          <w:tab w:val="center" w:pos="5387"/>
        </w:tabs>
        <w:ind w:left="0" w:firstLine="0"/>
        <w:rPr>
          <w:bCs/>
          <w:szCs w:val="22"/>
          <w:u w:val="single"/>
          <w:lang w:eastAsia="fr-FR"/>
        </w:rPr>
      </w:pPr>
      <w:r>
        <w:rPr>
          <w:szCs w:val="22"/>
          <w:lang w:eastAsia="cs-CZ"/>
        </w:rPr>
        <w:t>U</w:t>
      </w:r>
      <w:r w:rsidRPr="00A87E48">
        <w:rPr>
          <w:szCs w:val="22"/>
          <w:lang w:eastAsia="cs-CZ"/>
        </w:rPr>
        <w:t> pacientov súbežne liečených inhibítorom</w:t>
      </w:r>
      <w:r>
        <w:rPr>
          <w:szCs w:val="22"/>
          <w:lang w:eastAsia="cs-CZ"/>
        </w:rPr>
        <w:t xml:space="preserve"> ACE</w:t>
      </w:r>
      <w:r w:rsidRPr="00A87E48">
        <w:rPr>
          <w:szCs w:val="22"/>
          <w:lang w:eastAsia="cs-CZ"/>
        </w:rPr>
        <w:t xml:space="preserve"> </w:t>
      </w:r>
      <w:r>
        <w:rPr>
          <w:szCs w:val="22"/>
          <w:lang w:eastAsia="cs-CZ"/>
        </w:rPr>
        <w:t xml:space="preserve">je </w:t>
      </w:r>
      <w:r w:rsidRPr="00A87E48">
        <w:rPr>
          <w:szCs w:val="22"/>
          <w:lang w:eastAsia="cs-CZ"/>
        </w:rPr>
        <w:t>vzhľadom na znížen</w:t>
      </w:r>
      <w:r>
        <w:rPr>
          <w:szCs w:val="22"/>
          <w:lang w:eastAsia="cs-CZ"/>
        </w:rPr>
        <w:t>ie</w:t>
      </w:r>
      <w:r w:rsidRPr="00A87E48">
        <w:rPr>
          <w:szCs w:val="22"/>
          <w:lang w:eastAsia="cs-CZ"/>
        </w:rPr>
        <w:t xml:space="preserve"> aktivit</w:t>
      </w:r>
      <w:r>
        <w:rPr>
          <w:szCs w:val="22"/>
          <w:lang w:eastAsia="cs-CZ"/>
        </w:rPr>
        <w:t>y</w:t>
      </w:r>
      <w:r w:rsidRPr="00A87E48">
        <w:rPr>
          <w:szCs w:val="22"/>
          <w:lang w:eastAsia="cs-CZ"/>
        </w:rPr>
        <w:t xml:space="preserve"> dipeptidylpeptidáz</w:t>
      </w:r>
      <w:r>
        <w:rPr>
          <w:szCs w:val="22"/>
          <w:lang w:eastAsia="cs-CZ"/>
        </w:rPr>
        <w:t>y</w:t>
      </w:r>
      <w:r w:rsidRPr="00A87E48">
        <w:rPr>
          <w:szCs w:val="22"/>
          <w:lang w:eastAsia="cs-CZ"/>
        </w:rPr>
        <w:t xml:space="preserve"> </w:t>
      </w:r>
      <w:r>
        <w:rPr>
          <w:szCs w:val="22"/>
          <w:lang w:eastAsia="cs-CZ"/>
        </w:rPr>
        <w:t>4</w:t>
      </w:r>
      <w:r w:rsidRPr="00A87E48">
        <w:rPr>
          <w:szCs w:val="22"/>
          <w:lang w:eastAsia="cs-CZ"/>
        </w:rPr>
        <w:t xml:space="preserve"> (DPP-</w:t>
      </w:r>
      <w:r>
        <w:rPr>
          <w:szCs w:val="22"/>
          <w:lang w:eastAsia="cs-CZ"/>
        </w:rPr>
        <w:t>4</w:t>
      </w:r>
      <w:r w:rsidRPr="00A87E48">
        <w:rPr>
          <w:szCs w:val="22"/>
          <w:lang w:eastAsia="cs-CZ"/>
        </w:rPr>
        <w:t>) gliptín</w:t>
      </w:r>
      <w:r>
        <w:rPr>
          <w:szCs w:val="22"/>
          <w:lang w:eastAsia="cs-CZ"/>
        </w:rPr>
        <w:t>om, z</w:t>
      </w:r>
      <w:r w:rsidRPr="00A87E48">
        <w:rPr>
          <w:szCs w:val="22"/>
          <w:lang w:eastAsia="cs-CZ"/>
        </w:rPr>
        <w:t>výšené riziko angioedému.</w:t>
      </w:r>
    </w:p>
    <w:p w14:paraId="2EAE6612" w14:textId="77777777" w:rsidR="008746EE" w:rsidRPr="00314A4D" w:rsidRDefault="008746EE" w:rsidP="008746EE">
      <w:pPr>
        <w:rPr>
          <w:szCs w:val="22"/>
          <w:u w:val="single"/>
        </w:rPr>
      </w:pPr>
    </w:p>
    <w:p w14:paraId="738E8672" w14:textId="4620E5D9" w:rsidR="008746EE" w:rsidRPr="00314A4D" w:rsidRDefault="008746EE" w:rsidP="008746EE">
      <w:pPr>
        <w:rPr>
          <w:szCs w:val="22"/>
          <w:u w:val="single"/>
        </w:rPr>
      </w:pPr>
      <w:r w:rsidRPr="00314A4D">
        <w:rPr>
          <w:szCs w:val="22"/>
          <w:u w:val="single"/>
        </w:rPr>
        <w:t>Tricyklické antidepresíva/antipsychotiká/anestetiká</w:t>
      </w:r>
    </w:p>
    <w:p w14:paraId="3DC8AF50" w14:textId="771E9331" w:rsidR="008746EE" w:rsidRPr="00314A4D" w:rsidRDefault="008746EE" w:rsidP="008746EE">
      <w:pPr>
        <w:ind w:left="0" w:firstLine="0"/>
        <w:rPr>
          <w:szCs w:val="22"/>
        </w:rPr>
      </w:pPr>
      <w:r>
        <w:rPr>
          <w:szCs w:val="22"/>
        </w:rPr>
        <w:t>Súbežné</w:t>
      </w:r>
      <w:r w:rsidRPr="00314A4D">
        <w:rPr>
          <w:szCs w:val="22"/>
        </w:rPr>
        <w:t xml:space="preserve"> použitie určitých anestetík, tricyklických antidepresív a antipsychotík spolu s ACE inhibítormi môže viesť k ďalšiemu zníženiu tlaku krvi (pozri časť 4.4).</w:t>
      </w:r>
    </w:p>
    <w:p w14:paraId="56FA591E" w14:textId="77777777" w:rsidR="008746EE" w:rsidRPr="00314A4D" w:rsidRDefault="008746EE" w:rsidP="008746EE">
      <w:pPr>
        <w:rPr>
          <w:szCs w:val="22"/>
          <w:u w:val="single"/>
        </w:rPr>
      </w:pPr>
    </w:p>
    <w:p w14:paraId="5D39B18F" w14:textId="6B01A513" w:rsidR="008746EE" w:rsidRPr="00314A4D" w:rsidRDefault="008746EE" w:rsidP="008746EE">
      <w:pPr>
        <w:rPr>
          <w:szCs w:val="22"/>
          <w:u w:val="single"/>
        </w:rPr>
      </w:pPr>
      <w:r w:rsidRPr="00314A4D">
        <w:rPr>
          <w:szCs w:val="22"/>
          <w:u w:val="single"/>
        </w:rPr>
        <w:t>Sympatomimetiká</w:t>
      </w:r>
    </w:p>
    <w:p w14:paraId="095D96BD" w14:textId="77777777" w:rsidR="008746EE" w:rsidRPr="00314A4D" w:rsidRDefault="008746EE" w:rsidP="008746EE">
      <w:pPr>
        <w:rPr>
          <w:szCs w:val="22"/>
        </w:rPr>
      </w:pPr>
      <w:r w:rsidRPr="00314A4D">
        <w:rPr>
          <w:szCs w:val="22"/>
        </w:rPr>
        <w:t>Sympatomimetiká môžu znížiť antihypertenzný účinok ACE inhibítorov.</w:t>
      </w:r>
    </w:p>
    <w:p w14:paraId="666C97B1" w14:textId="77777777" w:rsidR="008746EE" w:rsidRPr="00314A4D" w:rsidRDefault="008746EE" w:rsidP="008746EE">
      <w:pPr>
        <w:rPr>
          <w:szCs w:val="22"/>
        </w:rPr>
      </w:pPr>
    </w:p>
    <w:p w14:paraId="6F0442A1" w14:textId="3926C7DC" w:rsidR="008746EE" w:rsidRPr="00314A4D" w:rsidRDefault="008746EE" w:rsidP="008746EE">
      <w:pPr>
        <w:numPr>
          <w:ilvl w:val="12"/>
          <w:numId w:val="0"/>
        </w:numPr>
        <w:rPr>
          <w:szCs w:val="22"/>
          <w:u w:val="single"/>
        </w:rPr>
      </w:pPr>
      <w:r w:rsidRPr="00314A4D">
        <w:rPr>
          <w:szCs w:val="22"/>
          <w:u w:val="single"/>
        </w:rPr>
        <w:t>Zlato</w:t>
      </w:r>
    </w:p>
    <w:p w14:paraId="117D18D2" w14:textId="1FCE0370" w:rsidR="008746EE" w:rsidRPr="00314A4D" w:rsidRDefault="008746EE" w:rsidP="008746EE">
      <w:pPr>
        <w:numPr>
          <w:ilvl w:val="12"/>
          <w:numId w:val="0"/>
        </w:numPr>
        <w:rPr>
          <w:szCs w:val="22"/>
        </w:rPr>
      </w:pPr>
      <w:r w:rsidRPr="00314A4D">
        <w:rPr>
          <w:szCs w:val="22"/>
        </w:rPr>
        <w:lastRenderedPageBreak/>
        <w:t>Nitritoidné reakcie (symptómy zahŕňajú sčervenanie tváre, nauzeu, vracanie a hypotenziu) boli hlásené zriedkavo u pacientov liečených injekčným zlatom (nátriumaurotiomalát) a súbežne ACE inhibítormi vrátane perindoprilu.</w:t>
      </w:r>
    </w:p>
    <w:p w14:paraId="072DED36" w14:textId="77777777" w:rsidR="008746EE" w:rsidRPr="00314A4D" w:rsidRDefault="008746EE" w:rsidP="008746EE">
      <w:pPr>
        <w:ind w:left="0" w:firstLine="0"/>
        <w:rPr>
          <w:szCs w:val="22"/>
        </w:rPr>
      </w:pPr>
    </w:p>
    <w:p w14:paraId="07F1D795" w14:textId="77777777" w:rsidR="008746EE" w:rsidRPr="00314A4D" w:rsidRDefault="008746EE" w:rsidP="008746EE">
      <w:pPr>
        <w:rPr>
          <w:szCs w:val="22"/>
        </w:rPr>
      </w:pPr>
      <w:r w:rsidRPr="00314A4D">
        <w:rPr>
          <w:b/>
          <w:szCs w:val="22"/>
        </w:rPr>
        <w:t>4.6</w:t>
      </w:r>
      <w:r w:rsidRPr="00314A4D">
        <w:rPr>
          <w:b/>
          <w:szCs w:val="22"/>
        </w:rPr>
        <w:tab/>
      </w:r>
      <w:r>
        <w:rPr>
          <w:b/>
          <w:szCs w:val="22"/>
        </w:rPr>
        <w:t>Fertilita, g</w:t>
      </w:r>
      <w:r w:rsidRPr="00314A4D">
        <w:rPr>
          <w:b/>
          <w:szCs w:val="22"/>
        </w:rPr>
        <w:t>ravidita a laktácia</w:t>
      </w:r>
    </w:p>
    <w:p w14:paraId="63E833FC" w14:textId="77777777" w:rsidR="008746EE" w:rsidRDefault="008746EE" w:rsidP="008746EE">
      <w:pPr>
        <w:ind w:left="0" w:firstLine="0"/>
        <w:rPr>
          <w:iCs/>
          <w:color w:val="000000"/>
          <w:szCs w:val="22"/>
        </w:rPr>
      </w:pPr>
    </w:p>
    <w:p w14:paraId="5E1F47FA" w14:textId="77777777" w:rsidR="008746EE" w:rsidRDefault="008746EE" w:rsidP="008746EE">
      <w:pPr>
        <w:ind w:left="0" w:firstLine="0"/>
        <w:rPr>
          <w:iCs/>
          <w:color w:val="000000"/>
          <w:szCs w:val="22"/>
          <w:u w:val="single"/>
        </w:rPr>
      </w:pPr>
      <w:r w:rsidRPr="00C25F99">
        <w:rPr>
          <w:iCs/>
          <w:color w:val="000000"/>
          <w:szCs w:val="22"/>
          <w:u w:val="single"/>
        </w:rPr>
        <w:t>Gravidita</w:t>
      </w:r>
    </w:p>
    <w:p w14:paraId="483BEEFC" w14:textId="77777777" w:rsidR="00C25F99" w:rsidRPr="00C25F99" w:rsidRDefault="00C25F99" w:rsidP="008746EE">
      <w:pPr>
        <w:ind w:left="0" w:firstLine="0"/>
        <w:rPr>
          <w:iCs/>
          <w:color w:val="000000"/>
          <w:szCs w:val="22"/>
          <w:u w:val="single"/>
        </w:rPr>
      </w:pPr>
    </w:p>
    <w:p w14:paraId="71191E34" w14:textId="77777777" w:rsidR="008746EE" w:rsidRPr="00314A4D" w:rsidRDefault="008746EE" w:rsidP="008746EE">
      <w:pPr>
        <w:pBdr>
          <w:top w:val="single" w:sz="4" w:space="1" w:color="auto"/>
          <w:left w:val="single" w:sz="4" w:space="4" w:color="auto"/>
          <w:bottom w:val="single" w:sz="4" w:space="1" w:color="auto"/>
          <w:right w:val="single" w:sz="4" w:space="4" w:color="auto"/>
        </w:pBdr>
        <w:spacing w:line="260" w:lineRule="exact"/>
        <w:ind w:left="0" w:firstLine="0"/>
        <w:rPr>
          <w:szCs w:val="22"/>
        </w:rPr>
      </w:pPr>
      <w:r w:rsidRPr="00314A4D">
        <w:rPr>
          <w:szCs w:val="22"/>
        </w:rPr>
        <w:t>Použitie ACE inhibítorov sa neodporúča počas prvého trimestra gravidity (pozri časť 4.4). Použitie ACE inhibítorov je kontraindikované počas druhého a tretieho trimestra gravidity (pozri časti 4.3 a 4.4).</w:t>
      </w:r>
    </w:p>
    <w:p w14:paraId="6BA8AFAB" w14:textId="77777777" w:rsidR="008746EE" w:rsidRPr="00314A4D" w:rsidRDefault="008746EE" w:rsidP="008746EE">
      <w:pPr>
        <w:ind w:left="0" w:firstLine="0"/>
        <w:rPr>
          <w:iCs/>
          <w:color w:val="000000"/>
          <w:szCs w:val="22"/>
        </w:rPr>
      </w:pPr>
    </w:p>
    <w:p w14:paraId="416819D9" w14:textId="77777777" w:rsidR="008746EE" w:rsidRPr="00314A4D" w:rsidRDefault="008746EE" w:rsidP="008746EE">
      <w:pPr>
        <w:ind w:left="0" w:firstLine="0"/>
        <w:rPr>
          <w:szCs w:val="22"/>
        </w:rPr>
      </w:pPr>
      <w:r w:rsidRPr="00314A4D">
        <w:rPr>
          <w:szCs w:val="22"/>
        </w:rPr>
        <w:t>Epidemi</w:t>
      </w:r>
      <w:smartTag w:uri="urn:schemas-microsoft-com:office:smarttags" w:element="PersonName">
        <w:r w:rsidRPr="00314A4D">
          <w:rPr>
            <w:szCs w:val="22"/>
          </w:rPr>
          <w:t>olo</w:t>
        </w:r>
      </w:smartTag>
      <w:r w:rsidRPr="00314A4D">
        <w:rPr>
          <w:szCs w:val="22"/>
        </w:rPr>
        <w:t xml:space="preserve">gické dôkazy týkajúce sa rizika teratogenity po expozícii ACE inhibítormi v priebehu prvého trimestra gravidity boli nepresvedčivé, hoci nemožno vylúčiť malé zvýšenie rizika. Ak sa však pokračovanie liečby ACE inhibítormi považuje za nevyhnutné, pacientkam, ktoré plánujú graviditu sa liečba má zmeniť na alternatívnu antihypertenznú liečbu, ktorá má preukázaný bezpečnostný profil pre použitie v gravidite. </w:t>
      </w:r>
      <w:r w:rsidRPr="00314A4D">
        <w:rPr>
          <w:bCs/>
          <w:szCs w:val="22"/>
        </w:rPr>
        <w:t>Keď je gravidita potvrdená, liečba ACE inhibítormi</w:t>
      </w:r>
      <w:r w:rsidRPr="00314A4D">
        <w:rPr>
          <w:bCs/>
          <w:szCs w:val="22"/>
          <w:lang w:eastAsia="en-GB"/>
        </w:rPr>
        <w:t xml:space="preserve"> má byť ihneď ukončená,</w:t>
      </w:r>
      <w:r w:rsidRPr="00314A4D">
        <w:rPr>
          <w:bCs/>
          <w:szCs w:val="22"/>
        </w:rPr>
        <w:t xml:space="preserve"> a ak je to vhodné, má sa začať alternatívna liečba.</w:t>
      </w:r>
    </w:p>
    <w:p w14:paraId="51B474DF" w14:textId="3D66A239" w:rsidR="008746EE" w:rsidRPr="00314A4D" w:rsidRDefault="008746EE" w:rsidP="008746EE">
      <w:pPr>
        <w:ind w:left="0" w:firstLine="0"/>
        <w:rPr>
          <w:szCs w:val="22"/>
        </w:rPr>
      </w:pPr>
      <w:r w:rsidRPr="00314A4D">
        <w:rPr>
          <w:szCs w:val="22"/>
        </w:rPr>
        <w:t xml:space="preserve">O expozícii ACE inhibítormi počas druhého a tretieho trimestra je známe, že môže vyvolať humánnu fetotoxicitu (znížené renálne funkcie, oligohydramnión, spomalenie osifikácie lebky) a neonatálnu toxicitu (renálne zlyhanie, hypotenzia, hyperkaliémia) (pozri časť 5.3). Ak sa expozícia ACE inhibítormi vyskytovala od druhého trimestra gravidity, odporúča sa ultrazvuková kontrola renálnych funkcií a lebky plodu. </w:t>
      </w:r>
      <w:r>
        <w:rPr>
          <w:szCs w:val="22"/>
        </w:rPr>
        <w:t>Novorodenci</w:t>
      </w:r>
      <w:r w:rsidRPr="00314A4D">
        <w:rPr>
          <w:szCs w:val="22"/>
        </w:rPr>
        <w:t>, ktorých matky užívali ACE inhibítory, sa majú prísne sledovať pre možnosť hypotenzie (pozri tiež časti 4.3 a 4.4).</w:t>
      </w:r>
    </w:p>
    <w:p w14:paraId="12F45D17" w14:textId="77777777" w:rsidR="008746EE" w:rsidRPr="00314A4D" w:rsidRDefault="008746EE" w:rsidP="008746EE">
      <w:pPr>
        <w:ind w:left="0" w:firstLine="0"/>
        <w:rPr>
          <w:szCs w:val="22"/>
        </w:rPr>
      </w:pPr>
    </w:p>
    <w:p w14:paraId="43A3F92C" w14:textId="77777777" w:rsidR="008746EE" w:rsidRPr="00314A4D" w:rsidRDefault="008746EE" w:rsidP="008746EE">
      <w:pPr>
        <w:ind w:left="0" w:firstLine="0"/>
        <w:rPr>
          <w:szCs w:val="22"/>
          <w:u w:val="single"/>
        </w:rPr>
      </w:pPr>
      <w:r>
        <w:rPr>
          <w:szCs w:val="22"/>
          <w:u w:val="single"/>
        </w:rPr>
        <w:t>Dojčenie</w:t>
      </w:r>
    </w:p>
    <w:p w14:paraId="049AE135" w14:textId="77777777" w:rsidR="008746EE" w:rsidRPr="00314A4D" w:rsidRDefault="008746EE" w:rsidP="008746EE">
      <w:pPr>
        <w:ind w:left="0" w:firstLine="0"/>
        <w:rPr>
          <w:color w:val="000000"/>
          <w:szCs w:val="22"/>
        </w:rPr>
      </w:pPr>
      <w:r w:rsidRPr="00314A4D">
        <w:rPr>
          <w:color w:val="000000"/>
          <w:szCs w:val="22"/>
        </w:rPr>
        <w:t>Keďže nie sú k dispozícii žiadne informácie týkajúce sa používania perindoprilu počas dojčenia, perindopril sa neodporúča a alternatívna liečba s lepšie stanoveným profilom bezpečnosti počas dojčenia je vhodnejšia, najmä pri dojčení novorodenca alebo predčasne narodeného dieťaťa.</w:t>
      </w:r>
    </w:p>
    <w:p w14:paraId="44BE6806" w14:textId="77777777" w:rsidR="008746EE" w:rsidRPr="00314A4D" w:rsidRDefault="008746EE" w:rsidP="008746EE">
      <w:pPr>
        <w:ind w:left="0" w:firstLine="0"/>
        <w:rPr>
          <w:iCs/>
          <w:color w:val="000000"/>
          <w:szCs w:val="22"/>
        </w:rPr>
      </w:pPr>
    </w:p>
    <w:p w14:paraId="57A989BE" w14:textId="77777777" w:rsidR="008746EE" w:rsidRPr="00314A4D" w:rsidRDefault="008746EE" w:rsidP="008746EE">
      <w:pPr>
        <w:ind w:left="0" w:firstLine="0"/>
        <w:rPr>
          <w:szCs w:val="22"/>
        </w:rPr>
      </w:pPr>
      <w:r w:rsidRPr="00314A4D">
        <w:rPr>
          <w:b/>
          <w:szCs w:val="22"/>
        </w:rPr>
        <w:t>4.7</w:t>
      </w:r>
      <w:r w:rsidRPr="00314A4D">
        <w:rPr>
          <w:b/>
          <w:szCs w:val="22"/>
        </w:rPr>
        <w:tab/>
        <w:t>Ovplyvnenie schopnosti viesť vozidlá a obsluhovať stroje</w:t>
      </w:r>
    </w:p>
    <w:p w14:paraId="1E161684" w14:textId="77777777" w:rsidR="008746EE" w:rsidRPr="00314A4D" w:rsidRDefault="008746EE" w:rsidP="008746EE">
      <w:pPr>
        <w:pStyle w:val="Zkladntext"/>
      </w:pPr>
    </w:p>
    <w:p w14:paraId="506A8D49" w14:textId="24D1733B" w:rsidR="008746EE" w:rsidRPr="00314A4D" w:rsidRDefault="008746EE" w:rsidP="008746EE">
      <w:pPr>
        <w:ind w:left="0" w:firstLine="0"/>
        <w:rPr>
          <w:szCs w:val="22"/>
        </w:rPr>
      </w:pPr>
      <w:r w:rsidRPr="00314A4D">
        <w:rPr>
          <w:szCs w:val="22"/>
        </w:rPr>
        <w:t>Perin</w:t>
      </w:r>
      <w:r>
        <w:rPr>
          <w:szCs w:val="22"/>
        </w:rPr>
        <w:t xml:space="preserve">eva </w:t>
      </w:r>
      <w:r w:rsidRPr="00314A4D">
        <w:rPr>
          <w:szCs w:val="22"/>
        </w:rPr>
        <w:t xml:space="preserve">nemá žiadny </w:t>
      </w:r>
      <w:r>
        <w:rPr>
          <w:szCs w:val="22"/>
        </w:rPr>
        <w:t>alebo len zanedbateľný</w:t>
      </w:r>
      <w:r w:rsidRPr="00314A4D">
        <w:rPr>
          <w:szCs w:val="22"/>
        </w:rPr>
        <w:t xml:space="preserve"> vplyv na schopnosť viesť vozidlá a obsluhovať stroje, ale u niektorých pacientov sa môžu vyskytnúť individuálne reakcie súvisiace s nízkym tlakom krvi, obzvlášť na začiatku liečby alebo pri kombinácii s iným antihypertenzným liekom. </w:t>
      </w:r>
    </w:p>
    <w:p w14:paraId="22BB005D" w14:textId="77777777" w:rsidR="008746EE" w:rsidRPr="00314A4D" w:rsidRDefault="008746EE" w:rsidP="008746EE">
      <w:pPr>
        <w:ind w:left="0" w:firstLine="0"/>
        <w:rPr>
          <w:szCs w:val="22"/>
        </w:rPr>
      </w:pPr>
      <w:r w:rsidRPr="00314A4D">
        <w:rPr>
          <w:szCs w:val="22"/>
        </w:rPr>
        <w:t>Dôsledkom toho môže byť schopnosť viesť vozidlá alebo obsluhovať stroje znížená.</w:t>
      </w:r>
    </w:p>
    <w:p w14:paraId="7B09B743" w14:textId="77777777" w:rsidR="008746EE" w:rsidRPr="00314A4D" w:rsidRDefault="008746EE" w:rsidP="008746EE">
      <w:pPr>
        <w:rPr>
          <w:szCs w:val="22"/>
        </w:rPr>
      </w:pPr>
    </w:p>
    <w:p w14:paraId="3EC8907B" w14:textId="77777777" w:rsidR="008746EE" w:rsidRPr="00314A4D" w:rsidRDefault="008746EE" w:rsidP="008746EE">
      <w:pPr>
        <w:rPr>
          <w:b/>
          <w:szCs w:val="22"/>
        </w:rPr>
      </w:pPr>
      <w:r w:rsidRPr="00314A4D">
        <w:rPr>
          <w:b/>
          <w:szCs w:val="22"/>
        </w:rPr>
        <w:t>4.8</w:t>
      </w:r>
      <w:r w:rsidRPr="00314A4D">
        <w:rPr>
          <w:b/>
          <w:szCs w:val="22"/>
        </w:rPr>
        <w:tab/>
        <w:t>Nežiaduce účinky</w:t>
      </w:r>
    </w:p>
    <w:p w14:paraId="2F5BA45D" w14:textId="77777777" w:rsidR="008746EE" w:rsidRPr="00314A4D" w:rsidRDefault="008746EE" w:rsidP="008746EE">
      <w:pPr>
        <w:ind w:left="0" w:firstLine="0"/>
        <w:rPr>
          <w:iCs/>
          <w:color w:val="000000"/>
          <w:szCs w:val="22"/>
          <w:u w:val="single"/>
        </w:rPr>
      </w:pPr>
    </w:p>
    <w:p w14:paraId="69BD49EA" w14:textId="7E7DF47F" w:rsidR="008746EE" w:rsidRDefault="008746EE" w:rsidP="008746EE">
      <w:pPr>
        <w:ind w:left="0" w:firstLine="0"/>
        <w:rPr>
          <w:szCs w:val="22"/>
        </w:rPr>
      </w:pPr>
      <w:r w:rsidRPr="00314A4D">
        <w:rPr>
          <w:szCs w:val="22"/>
        </w:rPr>
        <w:t xml:space="preserve">Počas liečby perindoprilom sa pozorovali nasledovné nežiaduce účinky, ktoré sú zoradené podľa nasledovnej frekvencie: </w:t>
      </w:r>
    </w:p>
    <w:p w14:paraId="1DC996D0" w14:textId="77777777" w:rsidR="008746EE" w:rsidRDefault="008746EE" w:rsidP="008746EE">
      <w:pPr>
        <w:numPr>
          <w:ilvl w:val="0"/>
          <w:numId w:val="21"/>
        </w:numPr>
        <w:rPr>
          <w:szCs w:val="22"/>
        </w:rPr>
      </w:pPr>
      <w:r w:rsidRPr="00B00EE5">
        <w:rPr>
          <w:szCs w:val="22"/>
        </w:rPr>
        <w:t>veľmi časté (</w:t>
      </w:r>
      <w:r>
        <w:rPr>
          <w:szCs w:val="22"/>
        </w:rPr>
        <w:t>≥</w:t>
      </w:r>
      <w:r w:rsidRPr="00B00EE5">
        <w:rPr>
          <w:szCs w:val="22"/>
        </w:rPr>
        <w:t>1/10)</w:t>
      </w:r>
    </w:p>
    <w:p w14:paraId="59AB6641" w14:textId="77777777" w:rsidR="008746EE" w:rsidRDefault="008746EE" w:rsidP="008746EE">
      <w:pPr>
        <w:numPr>
          <w:ilvl w:val="0"/>
          <w:numId w:val="21"/>
        </w:numPr>
        <w:rPr>
          <w:szCs w:val="22"/>
        </w:rPr>
      </w:pPr>
      <w:r w:rsidRPr="00B00EE5">
        <w:rPr>
          <w:szCs w:val="22"/>
        </w:rPr>
        <w:t>časté (</w:t>
      </w:r>
      <w:r>
        <w:rPr>
          <w:szCs w:val="22"/>
        </w:rPr>
        <w:t>≥</w:t>
      </w:r>
      <w:r w:rsidRPr="00B00EE5">
        <w:rPr>
          <w:szCs w:val="22"/>
        </w:rPr>
        <w:t>1/100</w:t>
      </w:r>
      <w:r>
        <w:rPr>
          <w:szCs w:val="22"/>
        </w:rPr>
        <w:t xml:space="preserve"> až</w:t>
      </w:r>
      <w:r w:rsidRPr="00B00EE5">
        <w:rPr>
          <w:szCs w:val="22"/>
        </w:rPr>
        <w:t xml:space="preserve"> &lt;1/10)</w:t>
      </w:r>
    </w:p>
    <w:p w14:paraId="1F7EAA66" w14:textId="77777777" w:rsidR="008746EE" w:rsidRDefault="008746EE" w:rsidP="008746EE">
      <w:pPr>
        <w:numPr>
          <w:ilvl w:val="0"/>
          <w:numId w:val="21"/>
        </w:numPr>
        <w:rPr>
          <w:szCs w:val="22"/>
        </w:rPr>
      </w:pPr>
      <w:r w:rsidRPr="00B00EE5">
        <w:rPr>
          <w:szCs w:val="22"/>
        </w:rPr>
        <w:t>menej časté (</w:t>
      </w:r>
      <w:r>
        <w:rPr>
          <w:szCs w:val="22"/>
        </w:rPr>
        <w:t>≥</w:t>
      </w:r>
      <w:r w:rsidRPr="00B00EE5">
        <w:rPr>
          <w:szCs w:val="22"/>
        </w:rPr>
        <w:t>1/1</w:t>
      </w:r>
      <w:r>
        <w:rPr>
          <w:szCs w:val="22"/>
        </w:rPr>
        <w:t> </w:t>
      </w:r>
      <w:r w:rsidRPr="00B00EE5">
        <w:rPr>
          <w:szCs w:val="22"/>
        </w:rPr>
        <w:t>000</w:t>
      </w:r>
      <w:r>
        <w:rPr>
          <w:szCs w:val="22"/>
        </w:rPr>
        <w:t xml:space="preserve"> až</w:t>
      </w:r>
      <w:r w:rsidRPr="00B00EE5">
        <w:rPr>
          <w:szCs w:val="22"/>
        </w:rPr>
        <w:t xml:space="preserve"> &lt;1/100)</w:t>
      </w:r>
      <w:r>
        <w:rPr>
          <w:szCs w:val="22"/>
        </w:rPr>
        <w:t xml:space="preserve"> </w:t>
      </w:r>
    </w:p>
    <w:p w14:paraId="595BDC47" w14:textId="77777777" w:rsidR="008746EE" w:rsidRDefault="008746EE" w:rsidP="008746EE">
      <w:pPr>
        <w:numPr>
          <w:ilvl w:val="0"/>
          <w:numId w:val="21"/>
        </w:numPr>
        <w:rPr>
          <w:szCs w:val="22"/>
        </w:rPr>
      </w:pPr>
      <w:r w:rsidRPr="00B00EE5">
        <w:rPr>
          <w:szCs w:val="22"/>
        </w:rPr>
        <w:t>zriedkavé (</w:t>
      </w:r>
      <w:r>
        <w:rPr>
          <w:szCs w:val="22"/>
        </w:rPr>
        <w:t>≥</w:t>
      </w:r>
      <w:r w:rsidRPr="00B00EE5">
        <w:rPr>
          <w:szCs w:val="22"/>
        </w:rPr>
        <w:t>1/10</w:t>
      </w:r>
      <w:r>
        <w:rPr>
          <w:szCs w:val="22"/>
        </w:rPr>
        <w:t> </w:t>
      </w:r>
      <w:r w:rsidRPr="00B00EE5">
        <w:rPr>
          <w:szCs w:val="22"/>
        </w:rPr>
        <w:t>000</w:t>
      </w:r>
      <w:r>
        <w:rPr>
          <w:szCs w:val="22"/>
        </w:rPr>
        <w:t xml:space="preserve"> až</w:t>
      </w:r>
      <w:r w:rsidRPr="00B00EE5">
        <w:rPr>
          <w:szCs w:val="22"/>
        </w:rPr>
        <w:t xml:space="preserve"> &lt;1/1</w:t>
      </w:r>
      <w:r>
        <w:rPr>
          <w:szCs w:val="22"/>
        </w:rPr>
        <w:t> </w:t>
      </w:r>
      <w:r w:rsidRPr="00B00EE5">
        <w:rPr>
          <w:szCs w:val="22"/>
        </w:rPr>
        <w:t>000)</w:t>
      </w:r>
    </w:p>
    <w:p w14:paraId="341E65BD" w14:textId="77777777" w:rsidR="008746EE" w:rsidRDefault="008746EE" w:rsidP="008746EE">
      <w:pPr>
        <w:numPr>
          <w:ilvl w:val="0"/>
          <w:numId w:val="21"/>
        </w:numPr>
        <w:rPr>
          <w:szCs w:val="22"/>
        </w:rPr>
      </w:pPr>
      <w:r w:rsidRPr="00B00EE5">
        <w:rPr>
          <w:szCs w:val="22"/>
        </w:rPr>
        <w:t>veľmi zriedkavé (&lt;1/10</w:t>
      </w:r>
      <w:r>
        <w:rPr>
          <w:szCs w:val="22"/>
        </w:rPr>
        <w:t> </w:t>
      </w:r>
      <w:r w:rsidRPr="00B00EE5">
        <w:rPr>
          <w:szCs w:val="22"/>
        </w:rPr>
        <w:t>000)</w:t>
      </w:r>
    </w:p>
    <w:p w14:paraId="0D31C440" w14:textId="77777777" w:rsidR="008746EE" w:rsidRDefault="008746EE" w:rsidP="008746EE">
      <w:pPr>
        <w:numPr>
          <w:ilvl w:val="0"/>
          <w:numId w:val="21"/>
        </w:numPr>
        <w:rPr>
          <w:szCs w:val="22"/>
        </w:rPr>
      </w:pPr>
      <w:r w:rsidRPr="006875D2">
        <w:rPr>
          <w:szCs w:val="22"/>
        </w:rPr>
        <w:t>neznáme (</w:t>
      </w:r>
      <w:r>
        <w:rPr>
          <w:szCs w:val="22"/>
        </w:rPr>
        <w:t xml:space="preserve">nie je možné odhadnúť </w:t>
      </w:r>
      <w:r w:rsidRPr="006875D2">
        <w:rPr>
          <w:szCs w:val="22"/>
        </w:rPr>
        <w:t>z dostupných údajov).</w:t>
      </w:r>
    </w:p>
    <w:p w14:paraId="494294C1" w14:textId="77777777" w:rsidR="008746EE" w:rsidRPr="00314A4D" w:rsidRDefault="008746EE" w:rsidP="008746EE">
      <w:pPr>
        <w:ind w:left="0" w:firstLine="0"/>
        <w:rPr>
          <w:szCs w:val="22"/>
        </w:rPr>
      </w:pPr>
      <w:r w:rsidRPr="00314A4D">
        <w:rPr>
          <w:szCs w:val="22"/>
        </w:rPr>
        <w:t>Nežiaduce účinky sú v rámci každej frekvencie uvedené v poradí so znižujúcou sa závažnosťou.</w:t>
      </w:r>
    </w:p>
    <w:p w14:paraId="1A519139" w14:textId="77777777" w:rsidR="008746EE" w:rsidRDefault="008746EE" w:rsidP="008746EE">
      <w:pPr>
        <w:ind w:left="0" w:firstLine="0"/>
        <w:jc w:val="both"/>
        <w:rPr>
          <w:i/>
          <w:iCs/>
          <w:szCs w:val="22"/>
        </w:rPr>
      </w:pPr>
    </w:p>
    <w:p w14:paraId="463CFAC5" w14:textId="77777777" w:rsidR="008746EE" w:rsidRPr="00056999" w:rsidRDefault="008746EE" w:rsidP="008746EE">
      <w:pPr>
        <w:ind w:left="0" w:firstLine="0"/>
        <w:rPr>
          <w:i/>
          <w:iCs/>
          <w:szCs w:val="22"/>
        </w:rPr>
      </w:pPr>
      <w:r>
        <w:rPr>
          <w:i/>
          <w:iCs/>
          <w:szCs w:val="22"/>
        </w:rPr>
        <w:t>Poruchy krvi a lymfatického systému:</w:t>
      </w:r>
    </w:p>
    <w:p w14:paraId="2C6D20D9" w14:textId="12540794" w:rsidR="008746EE" w:rsidRDefault="008746EE" w:rsidP="008746EE">
      <w:pPr>
        <w:ind w:left="0" w:firstLine="0"/>
        <w:rPr>
          <w:szCs w:val="22"/>
        </w:rPr>
      </w:pPr>
      <w:r w:rsidRPr="000C22FB">
        <w:rPr>
          <w:szCs w:val="22"/>
          <w:u w:val="single"/>
        </w:rPr>
        <w:t>Menej časté:</w:t>
      </w:r>
      <w:r>
        <w:rPr>
          <w:szCs w:val="22"/>
        </w:rPr>
        <w:t xml:space="preserve"> eozinofília.</w:t>
      </w:r>
    </w:p>
    <w:p w14:paraId="7191F108" w14:textId="30D8627E" w:rsidR="008746EE" w:rsidRPr="00B00EE5" w:rsidRDefault="008746EE" w:rsidP="008746EE">
      <w:pPr>
        <w:ind w:left="0" w:firstLine="0"/>
        <w:rPr>
          <w:szCs w:val="22"/>
        </w:rPr>
      </w:pPr>
      <w:r w:rsidRPr="000C22FB">
        <w:rPr>
          <w:szCs w:val="22"/>
          <w:u w:val="single"/>
        </w:rPr>
        <w:t>Veľmi zriedkavé:</w:t>
      </w:r>
      <w:r>
        <w:rPr>
          <w:szCs w:val="22"/>
        </w:rPr>
        <w:t xml:space="preserve"> z</w:t>
      </w:r>
      <w:r w:rsidRPr="00B00EE5">
        <w:rPr>
          <w:szCs w:val="22"/>
        </w:rPr>
        <w:t>níženie hemoglobínu a hematokritu, trombocytopénia, leukopénia/neutropénia</w:t>
      </w:r>
      <w:r>
        <w:rPr>
          <w:szCs w:val="22"/>
        </w:rPr>
        <w:t>,</w:t>
      </w:r>
      <w:r w:rsidRPr="00B00EE5">
        <w:rPr>
          <w:szCs w:val="22"/>
        </w:rPr>
        <w:t xml:space="preserve"> agranulocytóz</w:t>
      </w:r>
      <w:r>
        <w:rPr>
          <w:szCs w:val="22"/>
        </w:rPr>
        <w:t>a</w:t>
      </w:r>
      <w:r w:rsidRPr="00B00EE5">
        <w:rPr>
          <w:szCs w:val="22"/>
        </w:rPr>
        <w:t xml:space="preserve"> alebo pancytopéni</w:t>
      </w:r>
      <w:r>
        <w:rPr>
          <w:szCs w:val="22"/>
        </w:rPr>
        <w:t>a, hemolytická anémia u</w:t>
      </w:r>
      <w:r w:rsidRPr="00B00EE5">
        <w:rPr>
          <w:szCs w:val="22"/>
        </w:rPr>
        <w:t xml:space="preserve"> pacientov s vrodenou deficienciou G-6PDH (pozri časť 4.4).</w:t>
      </w:r>
    </w:p>
    <w:p w14:paraId="06D8B5B3" w14:textId="77777777" w:rsidR="008746EE" w:rsidRDefault="008746EE" w:rsidP="008746EE">
      <w:pPr>
        <w:ind w:left="0" w:firstLine="0"/>
        <w:rPr>
          <w:szCs w:val="22"/>
        </w:rPr>
      </w:pPr>
    </w:p>
    <w:p w14:paraId="42BF35D2" w14:textId="77777777" w:rsidR="008746EE" w:rsidRDefault="008746EE" w:rsidP="008746EE">
      <w:pPr>
        <w:ind w:left="0" w:firstLine="0"/>
        <w:rPr>
          <w:i/>
          <w:szCs w:val="22"/>
        </w:rPr>
      </w:pPr>
      <w:r w:rsidRPr="00232DCF">
        <w:rPr>
          <w:i/>
          <w:szCs w:val="22"/>
        </w:rPr>
        <w:t>Poruchy metabolizmu a výživy:</w:t>
      </w:r>
    </w:p>
    <w:p w14:paraId="3C80900E" w14:textId="6D147B1A" w:rsidR="008746EE" w:rsidRDefault="008746EE" w:rsidP="008746EE">
      <w:pPr>
        <w:ind w:left="0" w:firstLine="0"/>
        <w:rPr>
          <w:szCs w:val="22"/>
        </w:rPr>
      </w:pPr>
      <w:r>
        <w:rPr>
          <w:szCs w:val="22"/>
          <w:u w:val="single"/>
        </w:rPr>
        <w:lastRenderedPageBreak/>
        <w:t>Menej časté*</w:t>
      </w:r>
      <w:r>
        <w:rPr>
          <w:szCs w:val="22"/>
        </w:rPr>
        <w:t>: hypoglykémia (pozri časti 4.4 a 4.5</w:t>
      </w:r>
      <w:r w:rsidRPr="000C22FB">
        <w:rPr>
          <w:szCs w:val="22"/>
        </w:rPr>
        <w:t>)</w:t>
      </w:r>
      <w:r>
        <w:rPr>
          <w:szCs w:val="22"/>
        </w:rPr>
        <w:t>, h</w:t>
      </w:r>
      <w:r w:rsidRPr="00110BEF">
        <w:rPr>
          <w:szCs w:val="22"/>
        </w:rPr>
        <w:t>yperkaliémia, reverzibilná po vysadení (pozri časť 4.4)</w:t>
      </w:r>
      <w:r>
        <w:rPr>
          <w:szCs w:val="22"/>
        </w:rPr>
        <w:t>,</w:t>
      </w:r>
      <w:r w:rsidRPr="000C22FB">
        <w:rPr>
          <w:szCs w:val="22"/>
        </w:rPr>
        <w:t xml:space="preserve"> </w:t>
      </w:r>
      <w:r>
        <w:rPr>
          <w:szCs w:val="22"/>
        </w:rPr>
        <w:t>h</w:t>
      </w:r>
      <w:r w:rsidRPr="007456E0">
        <w:rPr>
          <w:szCs w:val="22"/>
        </w:rPr>
        <w:t>yponatriémia</w:t>
      </w:r>
      <w:r>
        <w:rPr>
          <w:szCs w:val="22"/>
        </w:rPr>
        <w:t>.</w:t>
      </w:r>
    </w:p>
    <w:p w14:paraId="2B234FF7" w14:textId="77777777" w:rsidR="008746EE" w:rsidRDefault="008746EE" w:rsidP="008746EE">
      <w:pPr>
        <w:ind w:left="0" w:firstLine="0"/>
        <w:rPr>
          <w:szCs w:val="22"/>
        </w:rPr>
      </w:pPr>
    </w:p>
    <w:p w14:paraId="04BF7945" w14:textId="77777777" w:rsidR="008746EE" w:rsidRPr="00B00EE5" w:rsidRDefault="008746EE" w:rsidP="008746EE">
      <w:pPr>
        <w:ind w:left="0" w:firstLine="0"/>
        <w:rPr>
          <w:i/>
          <w:iCs/>
          <w:szCs w:val="22"/>
        </w:rPr>
      </w:pPr>
      <w:r>
        <w:rPr>
          <w:i/>
          <w:iCs/>
          <w:szCs w:val="22"/>
        </w:rPr>
        <w:t>Psych</w:t>
      </w:r>
      <w:r w:rsidRPr="00B00EE5">
        <w:rPr>
          <w:i/>
          <w:iCs/>
          <w:szCs w:val="22"/>
        </w:rPr>
        <w:t>ické poruchy:</w:t>
      </w:r>
    </w:p>
    <w:p w14:paraId="409C0AEE" w14:textId="45C3867C" w:rsidR="008746EE" w:rsidRPr="00B00EE5" w:rsidRDefault="008746EE" w:rsidP="008746EE">
      <w:pPr>
        <w:ind w:left="0" w:firstLine="0"/>
        <w:rPr>
          <w:szCs w:val="22"/>
        </w:rPr>
      </w:pPr>
      <w:r w:rsidRPr="00B00EE5">
        <w:rPr>
          <w:szCs w:val="22"/>
          <w:u w:val="single"/>
        </w:rPr>
        <w:t>Menej časté:</w:t>
      </w:r>
      <w:r w:rsidRPr="00B00EE5">
        <w:rPr>
          <w:szCs w:val="22"/>
        </w:rPr>
        <w:t xml:space="preserve"> poruchy nálady</w:t>
      </w:r>
      <w:r>
        <w:rPr>
          <w:szCs w:val="22"/>
        </w:rPr>
        <w:t xml:space="preserve">, poruchy </w:t>
      </w:r>
      <w:r w:rsidRPr="00B00EE5">
        <w:rPr>
          <w:szCs w:val="22"/>
        </w:rPr>
        <w:t>spánku</w:t>
      </w:r>
      <w:r>
        <w:rPr>
          <w:szCs w:val="22"/>
        </w:rPr>
        <w:t>.</w:t>
      </w:r>
    </w:p>
    <w:p w14:paraId="3D5C3583" w14:textId="77777777" w:rsidR="008746EE" w:rsidRDefault="008746EE" w:rsidP="008746EE">
      <w:pPr>
        <w:ind w:left="0" w:firstLine="0"/>
        <w:rPr>
          <w:i/>
          <w:iCs/>
          <w:szCs w:val="22"/>
        </w:rPr>
      </w:pPr>
    </w:p>
    <w:p w14:paraId="157DAF65" w14:textId="77777777" w:rsidR="008746EE" w:rsidRPr="00B00EE5" w:rsidRDefault="008746EE" w:rsidP="008746EE">
      <w:pPr>
        <w:ind w:left="0" w:firstLine="0"/>
        <w:rPr>
          <w:i/>
          <w:iCs/>
          <w:szCs w:val="22"/>
        </w:rPr>
      </w:pPr>
      <w:r w:rsidRPr="00B00EE5">
        <w:rPr>
          <w:i/>
          <w:iCs/>
          <w:szCs w:val="22"/>
        </w:rPr>
        <w:t>Poruchy nerv</w:t>
      </w:r>
      <w:r>
        <w:rPr>
          <w:i/>
          <w:iCs/>
          <w:szCs w:val="22"/>
        </w:rPr>
        <w:t>ov</w:t>
      </w:r>
      <w:r w:rsidRPr="00B00EE5">
        <w:rPr>
          <w:i/>
          <w:iCs/>
          <w:szCs w:val="22"/>
        </w:rPr>
        <w:t>ého systému:</w:t>
      </w:r>
    </w:p>
    <w:p w14:paraId="11BE7023" w14:textId="790B2E91" w:rsidR="008746EE" w:rsidRDefault="008746EE" w:rsidP="008746EE">
      <w:pPr>
        <w:ind w:left="0" w:firstLine="0"/>
        <w:rPr>
          <w:szCs w:val="22"/>
        </w:rPr>
      </w:pPr>
      <w:r w:rsidRPr="00B00EE5">
        <w:rPr>
          <w:szCs w:val="22"/>
          <w:u w:val="single"/>
        </w:rPr>
        <w:t>Časté:</w:t>
      </w:r>
      <w:r w:rsidRPr="00B00EE5">
        <w:rPr>
          <w:szCs w:val="22"/>
        </w:rPr>
        <w:t xml:space="preserve"> bolesti hlavy, závraty, vertigo</w:t>
      </w:r>
      <w:r>
        <w:rPr>
          <w:szCs w:val="22"/>
        </w:rPr>
        <w:t xml:space="preserve"> a </w:t>
      </w:r>
      <w:r w:rsidRPr="00B00EE5">
        <w:rPr>
          <w:szCs w:val="22"/>
        </w:rPr>
        <w:t>parestézi</w:t>
      </w:r>
      <w:r>
        <w:rPr>
          <w:szCs w:val="22"/>
        </w:rPr>
        <w:t>a.</w:t>
      </w:r>
    </w:p>
    <w:p w14:paraId="51E0BC44" w14:textId="77777777" w:rsidR="008746EE" w:rsidRPr="00E15C47" w:rsidRDefault="008746EE" w:rsidP="008746EE">
      <w:pPr>
        <w:ind w:left="0" w:firstLine="0"/>
        <w:rPr>
          <w:szCs w:val="22"/>
          <w:u w:val="single"/>
        </w:rPr>
      </w:pPr>
      <w:r w:rsidRPr="00E15C47">
        <w:rPr>
          <w:szCs w:val="22"/>
          <w:u w:val="single"/>
        </w:rPr>
        <w:t>Menej časté*:</w:t>
      </w:r>
      <w:r w:rsidRPr="007B68A4">
        <w:rPr>
          <w:szCs w:val="22"/>
        </w:rPr>
        <w:t xml:space="preserve"> </w:t>
      </w:r>
      <w:r>
        <w:rPr>
          <w:szCs w:val="22"/>
        </w:rPr>
        <w:t>s</w:t>
      </w:r>
      <w:r w:rsidRPr="007456E0">
        <w:rPr>
          <w:szCs w:val="22"/>
        </w:rPr>
        <w:t>omnolencia</w:t>
      </w:r>
      <w:r>
        <w:rPr>
          <w:szCs w:val="22"/>
        </w:rPr>
        <w:t>, synkopa.</w:t>
      </w:r>
    </w:p>
    <w:p w14:paraId="35A35678" w14:textId="77777777" w:rsidR="008746EE" w:rsidRPr="00B00EE5" w:rsidRDefault="008746EE" w:rsidP="008746EE">
      <w:pPr>
        <w:ind w:left="0" w:firstLine="0"/>
        <w:rPr>
          <w:szCs w:val="22"/>
        </w:rPr>
      </w:pPr>
      <w:r w:rsidRPr="00B00EE5">
        <w:rPr>
          <w:szCs w:val="22"/>
          <w:u w:val="single"/>
        </w:rPr>
        <w:t>Veľmi zriedkavé:</w:t>
      </w:r>
      <w:r w:rsidRPr="00056999">
        <w:rPr>
          <w:szCs w:val="22"/>
        </w:rPr>
        <w:t xml:space="preserve"> </w:t>
      </w:r>
      <w:r w:rsidRPr="00B00EE5">
        <w:rPr>
          <w:szCs w:val="22"/>
        </w:rPr>
        <w:t>zmätenosť</w:t>
      </w:r>
      <w:r>
        <w:rPr>
          <w:szCs w:val="22"/>
        </w:rPr>
        <w:t>.</w:t>
      </w:r>
    </w:p>
    <w:p w14:paraId="5639044C" w14:textId="77777777" w:rsidR="008746EE" w:rsidRDefault="008746EE" w:rsidP="008746EE">
      <w:pPr>
        <w:ind w:left="0" w:firstLine="0"/>
        <w:rPr>
          <w:szCs w:val="22"/>
        </w:rPr>
      </w:pPr>
    </w:p>
    <w:p w14:paraId="6466B51E" w14:textId="77777777" w:rsidR="008746EE" w:rsidRPr="00056999" w:rsidRDefault="008746EE" w:rsidP="008746EE">
      <w:pPr>
        <w:ind w:left="0" w:firstLine="0"/>
        <w:rPr>
          <w:i/>
          <w:iCs/>
          <w:szCs w:val="22"/>
        </w:rPr>
      </w:pPr>
      <w:r>
        <w:rPr>
          <w:i/>
          <w:iCs/>
          <w:szCs w:val="22"/>
        </w:rPr>
        <w:t>Poruchy</w:t>
      </w:r>
      <w:r w:rsidRPr="00056999">
        <w:rPr>
          <w:i/>
          <w:iCs/>
          <w:szCs w:val="22"/>
        </w:rPr>
        <w:t xml:space="preserve"> oka:</w:t>
      </w:r>
    </w:p>
    <w:p w14:paraId="533F341D" w14:textId="3D06639E" w:rsidR="008746EE" w:rsidRPr="00B00EE5" w:rsidRDefault="008746EE" w:rsidP="008746EE">
      <w:pPr>
        <w:ind w:left="0" w:firstLine="0"/>
        <w:rPr>
          <w:szCs w:val="22"/>
        </w:rPr>
      </w:pPr>
      <w:r w:rsidRPr="00056999">
        <w:rPr>
          <w:caps/>
          <w:szCs w:val="22"/>
          <w:u w:val="single"/>
        </w:rPr>
        <w:t>č</w:t>
      </w:r>
      <w:r w:rsidRPr="00056999">
        <w:rPr>
          <w:szCs w:val="22"/>
          <w:u w:val="single"/>
        </w:rPr>
        <w:t>asté:</w:t>
      </w:r>
      <w:r w:rsidRPr="00B00EE5">
        <w:rPr>
          <w:szCs w:val="22"/>
        </w:rPr>
        <w:t xml:space="preserve"> poruch</w:t>
      </w:r>
      <w:r>
        <w:rPr>
          <w:szCs w:val="22"/>
        </w:rPr>
        <w:t>y</w:t>
      </w:r>
      <w:r w:rsidRPr="00B00EE5">
        <w:rPr>
          <w:szCs w:val="22"/>
        </w:rPr>
        <w:t xml:space="preserve"> videnia</w:t>
      </w:r>
      <w:r>
        <w:rPr>
          <w:szCs w:val="22"/>
        </w:rPr>
        <w:t>.</w:t>
      </w:r>
    </w:p>
    <w:p w14:paraId="3ABF0BCF" w14:textId="77777777" w:rsidR="008746EE" w:rsidRDefault="008746EE" w:rsidP="008746EE">
      <w:pPr>
        <w:ind w:left="0" w:firstLine="0"/>
        <w:rPr>
          <w:szCs w:val="22"/>
        </w:rPr>
      </w:pPr>
    </w:p>
    <w:p w14:paraId="4E34E4C8" w14:textId="77777777" w:rsidR="008746EE" w:rsidRPr="00056999" w:rsidRDefault="008746EE" w:rsidP="008746EE">
      <w:pPr>
        <w:ind w:left="0" w:firstLine="0"/>
        <w:rPr>
          <w:i/>
          <w:iCs/>
          <w:szCs w:val="22"/>
        </w:rPr>
      </w:pPr>
      <w:r>
        <w:rPr>
          <w:i/>
          <w:iCs/>
          <w:szCs w:val="22"/>
        </w:rPr>
        <w:t>Poruchy</w:t>
      </w:r>
      <w:r w:rsidRPr="00063B92">
        <w:rPr>
          <w:i/>
          <w:iCs/>
          <w:szCs w:val="22"/>
        </w:rPr>
        <w:t xml:space="preserve"> ucha a labyrintu:</w:t>
      </w:r>
    </w:p>
    <w:p w14:paraId="5E39ABAA" w14:textId="77777777" w:rsidR="008746EE" w:rsidRPr="00B00EE5" w:rsidRDefault="008746EE" w:rsidP="008746EE">
      <w:pPr>
        <w:ind w:left="0" w:firstLine="0"/>
        <w:rPr>
          <w:szCs w:val="22"/>
        </w:rPr>
      </w:pPr>
      <w:r w:rsidRPr="00056999">
        <w:rPr>
          <w:caps/>
          <w:szCs w:val="22"/>
          <w:u w:val="single"/>
        </w:rPr>
        <w:t>č</w:t>
      </w:r>
      <w:r w:rsidRPr="00056999">
        <w:rPr>
          <w:szCs w:val="22"/>
          <w:u w:val="single"/>
        </w:rPr>
        <w:t>asté:</w:t>
      </w:r>
      <w:r w:rsidRPr="00B00EE5">
        <w:rPr>
          <w:szCs w:val="22"/>
        </w:rPr>
        <w:t xml:space="preserve"> </w:t>
      </w:r>
      <w:r>
        <w:rPr>
          <w:szCs w:val="22"/>
        </w:rPr>
        <w:t>tinnitus.</w:t>
      </w:r>
    </w:p>
    <w:p w14:paraId="657B7EE2" w14:textId="77777777" w:rsidR="008746EE" w:rsidRDefault="008746EE" w:rsidP="008746EE">
      <w:pPr>
        <w:ind w:left="0" w:firstLine="0"/>
        <w:rPr>
          <w:szCs w:val="22"/>
        </w:rPr>
      </w:pPr>
    </w:p>
    <w:p w14:paraId="4DBF940B" w14:textId="77777777" w:rsidR="008746EE" w:rsidRPr="00056999" w:rsidRDefault="008746EE" w:rsidP="008746EE">
      <w:pPr>
        <w:ind w:left="0" w:firstLine="0"/>
        <w:rPr>
          <w:i/>
          <w:iCs/>
          <w:szCs w:val="22"/>
        </w:rPr>
      </w:pPr>
      <w:r>
        <w:rPr>
          <w:i/>
          <w:iCs/>
          <w:szCs w:val="22"/>
        </w:rPr>
        <w:t>Poruchy srdca a srdcovej činnosti:</w:t>
      </w:r>
    </w:p>
    <w:p w14:paraId="499F5212" w14:textId="77777777" w:rsidR="008746EE" w:rsidRDefault="008746EE" w:rsidP="008746EE">
      <w:pPr>
        <w:ind w:left="0" w:firstLine="0"/>
        <w:rPr>
          <w:caps/>
          <w:szCs w:val="22"/>
          <w:u w:val="single"/>
        </w:rPr>
      </w:pPr>
      <w:r>
        <w:rPr>
          <w:szCs w:val="22"/>
          <w:u w:val="single"/>
        </w:rPr>
        <w:t xml:space="preserve">Menej časté*: </w:t>
      </w:r>
      <w:r>
        <w:rPr>
          <w:szCs w:val="22"/>
        </w:rPr>
        <w:t>p</w:t>
      </w:r>
      <w:r w:rsidRPr="00110BEF">
        <w:rPr>
          <w:szCs w:val="22"/>
        </w:rPr>
        <w:t>alpitácie</w:t>
      </w:r>
      <w:r>
        <w:rPr>
          <w:szCs w:val="22"/>
        </w:rPr>
        <w:t>, tachykardia.</w:t>
      </w:r>
    </w:p>
    <w:p w14:paraId="001C61D9" w14:textId="5F6ED3A0" w:rsidR="008746EE" w:rsidRPr="00B00EE5" w:rsidRDefault="008746EE" w:rsidP="008746EE">
      <w:pPr>
        <w:ind w:left="0" w:firstLine="0"/>
        <w:rPr>
          <w:szCs w:val="22"/>
        </w:rPr>
      </w:pPr>
      <w:r w:rsidRPr="00056999">
        <w:rPr>
          <w:caps/>
          <w:szCs w:val="22"/>
          <w:u w:val="single"/>
        </w:rPr>
        <w:t>v</w:t>
      </w:r>
      <w:r w:rsidRPr="00056999">
        <w:rPr>
          <w:szCs w:val="22"/>
          <w:u w:val="single"/>
        </w:rPr>
        <w:t>eľmi zriedkavé:</w:t>
      </w:r>
      <w:r w:rsidRPr="00B00EE5">
        <w:rPr>
          <w:szCs w:val="22"/>
        </w:rPr>
        <w:t xml:space="preserve"> arytmia, ang</w:t>
      </w:r>
      <w:r>
        <w:rPr>
          <w:szCs w:val="22"/>
        </w:rPr>
        <w:t>í</w:t>
      </w:r>
      <w:r w:rsidRPr="00B00EE5">
        <w:rPr>
          <w:szCs w:val="22"/>
        </w:rPr>
        <w:t>na pe</w:t>
      </w:r>
      <w:r>
        <w:rPr>
          <w:szCs w:val="22"/>
        </w:rPr>
        <w:t>k</w:t>
      </w:r>
      <w:r w:rsidRPr="00B00EE5">
        <w:rPr>
          <w:szCs w:val="22"/>
        </w:rPr>
        <w:t>toris</w:t>
      </w:r>
      <w:r>
        <w:rPr>
          <w:szCs w:val="22"/>
        </w:rPr>
        <w:t xml:space="preserve"> (pozri časť 4.4)</w:t>
      </w:r>
      <w:r w:rsidRPr="00B00EE5">
        <w:rPr>
          <w:szCs w:val="22"/>
        </w:rPr>
        <w:t>, infarkt myokardu, pravdepodobne sekundárne v dôsledku nadmernej hypotenzie u vysokorizikových pacientov (pozri časť 4.4)</w:t>
      </w:r>
      <w:r>
        <w:rPr>
          <w:szCs w:val="22"/>
        </w:rPr>
        <w:t>.</w:t>
      </w:r>
    </w:p>
    <w:p w14:paraId="5BE2651F" w14:textId="77777777" w:rsidR="008746EE" w:rsidRDefault="008746EE" w:rsidP="008746EE">
      <w:pPr>
        <w:ind w:left="0" w:firstLine="0"/>
        <w:rPr>
          <w:szCs w:val="22"/>
        </w:rPr>
      </w:pPr>
    </w:p>
    <w:p w14:paraId="174E454F" w14:textId="77777777" w:rsidR="008746EE" w:rsidRPr="007821D8" w:rsidRDefault="008746EE" w:rsidP="008746EE">
      <w:pPr>
        <w:ind w:left="0" w:firstLine="0"/>
        <w:rPr>
          <w:i/>
          <w:szCs w:val="22"/>
        </w:rPr>
      </w:pPr>
      <w:r w:rsidRPr="007821D8">
        <w:rPr>
          <w:i/>
          <w:szCs w:val="22"/>
        </w:rPr>
        <w:t>Poruchy ciev:</w:t>
      </w:r>
    </w:p>
    <w:p w14:paraId="30C5B0E8" w14:textId="77777777" w:rsidR="008746EE" w:rsidRDefault="008746EE" w:rsidP="008746EE">
      <w:pPr>
        <w:ind w:left="0" w:firstLine="0"/>
        <w:rPr>
          <w:szCs w:val="22"/>
        </w:rPr>
      </w:pPr>
      <w:r w:rsidRPr="007821D8">
        <w:rPr>
          <w:szCs w:val="22"/>
          <w:u w:val="single"/>
        </w:rPr>
        <w:t>Časté:</w:t>
      </w:r>
      <w:r>
        <w:rPr>
          <w:szCs w:val="22"/>
          <w:u w:val="single"/>
        </w:rPr>
        <w:t xml:space="preserve"> </w:t>
      </w:r>
      <w:r>
        <w:rPr>
          <w:szCs w:val="22"/>
        </w:rPr>
        <w:t>hypotenzia (a účinky súvisiace s hypotenziou).</w:t>
      </w:r>
    </w:p>
    <w:p w14:paraId="2B207984" w14:textId="77777777" w:rsidR="008746EE" w:rsidRDefault="008746EE" w:rsidP="008746EE">
      <w:pPr>
        <w:ind w:left="0" w:firstLine="0"/>
        <w:rPr>
          <w:szCs w:val="22"/>
        </w:rPr>
      </w:pPr>
      <w:r>
        <w:rPr>
          <w:szCs w:val="22"/>
          <w:u w:val="single"/>
        </w:rPr>
        <w:t>Menej časté*</w:t>
      </w:r>
      <w:r w:rsidRPr="007821D8">
        <w:rPr>
          <w:szCs w:val="22"/>
          <w:u w:val="single"/>
        </w:rPr>
        <w:t>:</w:t>
      </w:r>
      <w:r>
        <w:rPr>
          <w:szCs w:val="22"/>
        </w:rPr>
        <w:t xml:space="preserve"> vaskulitída.</w:t>
      </w:r>
    </w:p>
    <w:p w14:paraId="17E29080" w14:textId="39B997E3" w:rsidR="008746EE" w:rsidRDefault="008746EE" w:rsidP="008746EE">
      <w:pPr>
        <w:ind w:left="0" w:firstLine="0"/>
        <w:rPr>
          <w:szCs w:val="22"/>
        </w:rPr>
      </w:pPr>
      <w:r w:rsidRPr="007821D8">
        <w:rPr>
          <w:szCs w:val="22"/>
          <w:u w:val="single"/>
        </w:rPr>
        <w:t>Veľmi zriedkavé</w:t>
      </w:r>
      <w:r w:rsidRPr="005114FE">
        <w:rPr>
          <w:szCs w:val="22"/>
          <w:u w:val="single"/>
        </w:rPr>
        <w:t>:</w:t>
      </w:r>
      <w:r w:rsidRPr="005114FE">
        <w:rPr>
          <w:szCs w:val="22"/>
        </w:rPr>
        <w:t xml:space="preserve"> cievna mozgová príhoda, </w:t>
      </w:r>
      <w:r w:rsidRPr="00B00EE5">
        <w:rPr>
          <w:szCs w:val="22"/>
        </w:rPr>
        <w:t>pravdepodobne sekundárne v dôsledku nadmernej hypotenzie u vysokorizikových pacientov (pozri časť 4.4)</w:t>
      </w:r>
      <w:r>
        <w:rPr>
          <w:szCs w:val="22"/>
        </w:rPr>
        <w:t>.</w:t>
      </w:r>
    </w:p>
    <w:p w14:paraId="69CE4647" w14:textId="77777777" w:rsidR="008746EE" w:rsidRDefault="008746EE" w:rsidP="008746EE">
      <w:pPr>
        <w:ind w:left="0" w:firstLine="0"/>
        <w:rPr>
          <w:i/>
          <w:iCs/>
          <w:szCs w:val="22"/>
        </w:rPr>
      </w:pPr>
    </w:p>
    <w:p w14:paraId="296B1272" w14:textId="77777777" w:rsidR="008746EE" w:rsidRPr="00056999" w:rsidRDefault="008746EE" w:rsidP="008746EE">
      <w:pPr>
        <w:ind w:left="0" w:firstLine="0"/>
        <w:rPr>
          <w:i/>
          <w:iCs/>
          <w:szCs w:val="22"/>
        </w:rPr>
      </w:pPr>
      <w:r>
        <w:rPr>
          <w:i/>
          <w:iCs/>
          <w:szCs w:val="22"/>
        </w:rPr>
        <w:t>Poruchy</w:t>
      </w:r>
      <w:r w:rsidRPr="00056999">
        <w:rPr>
          <w:i/>
          <w:iCs/>
          <w:szCs w:val="22"/>
        </w:rPr>
        <w:t xml:space="preserve"> dýchacej sústavy, hrudníka a mediastína:</w:t>
      </w:r>
    </w:p>
    <w:p w14:paraId="0BAF7489" w14:textId="458388B1" w:rsidR="008746EE" w:rsidRPr="00B00EE5" w:rsidRDefault="008746EE" w:rsidP="008746EE">
      <w:pPr>
        <w:ind w:left="0" w:firstLine="0"/>
        <w:rPr>
          <w:szCs w:val="22"/>
        </w:rPr>
      </w:pPr>
      <w:r w:rsidRPr="00056999">
        <w:rPr>
          <w:caps/>
          <w:szCs w:val="22"/>
          <w:u w:val="single"/>
        </w:rPr>
        <w:t>č</w:t>
      </w:r>
      <w:r w:rsidRPr="00056999">
        <w:rPr>
          <w:szCs w:val="22"/>
          <w:u w:val="single"/>
        </w:rPr>
        <w:t>asté:</w:t>
      </w:r>
      <w:r w:rsidRPr="00B00EE5">
        <w:rPr>
          <w:szCs w:val="22"/>
        </w:rPr>
        <w:t xml:space="preserve"> kašeľ, d</w:t>
      </w:r>
      <w:r>
        <w:rPr>
          <w:szCs w:val="22"/>
        </w:rPr>
        <w:t>yspnoe.</w:t>
      </w:r>
    </w:p>
    <w:p w14:paraId="65166C6E" w14:textId="77777777" w:rsidR="008746EE" w:rsidRPr="00B00EE5" w:rsidRDefault="008746EE" w:rsidP="008746EE">
      <w:pPr>
        <w:ind w:left="0" w:firstLine="0"/>
        <w:rPr>
          <w:szCs w:val="22"/>
        </w:rPr>
      </w:pPr>
      <w:r w:rsidRPr="00056999">
        <w:rPr>
          <w:caps/>
          <w:szCs w:val="22"/>
          <w:u w:val="single"/>
        </w:rPr>
        <w:t>m</w:t>
      </w:r>
      <w:r w:rsidRPr="00056999">
        <w:rPr>
          <w:szCs w:val="22"/>
          <w:u w:val="single"/>
        </w:rPr>
        <w:t>enej časté:</w:t>
      </w:r>
      <w:r w:rsidRPr="00B00EE5">
        <w:rPr>
          <w:szCs w:val="22"/>
        </w:rPr>
        <w:t xml:space="preserve"> bronchospazmus</w:t>
      </w:r>
      <w:r>
        <w:rPr>
          <w:szCs w:val="22"/>
        </w:rPr>
        <w:t>.</w:t>
      </w:r>
    </w:p>
    <w:p w14:paraId="284AAECD" w14:textId="77777777" w:rsidR="008746EE" w:rsidRPr="00B00EE5" w:rsidRDefault="008746EE" w:rsidP="008746EE">
      <w:pPr>
        <w:ind w:left="0" w:firstLine="0"/>
        <w:rPr>
          <w:szCs w:val="22"/>
        </w:rPr>
      </w:pPr>
      <w:r w:rsidRPr="00056999">
        <w:rPr>
          <w:caps/>
          <w:szCs w:val="22"/>
          <w:u w:val="single"/>
        </w:rPr>
        <w:t>v</w:t>
      </w:r>
      <w:r w:rsidRPr="00056999">
        <w:rPr>
          <w:szCs w:val="22"/>
          <w:u w:val="single"/>
        </w:rPr>
        <w:t>eľmi zriedkavé:</w:t>
      </w:r>
      <w:r w:rsidRPr="00B00EE5">
        <w:rPr>
          <w:szCs w:val="22"/>
        </w:rPr>
        <w:t xml:space="preserve"> eozinofilná pneumónia, rinitída</w:t>
      </w:r>
      <w:r>
        <w:rPr>
          <w:szCs w:val="22"/>
        </w:rPr>
        <w:t>.</w:t>
      </w:r>
    </w:p>
    <w:p w14:paraId="5420A518" w14:textId="77777777" w:rsidR="008746EE" w:rsidRDefault="008746EE" w:rsidP="008746EE">
      <w:pPr>
        <w:ind w:left="0" w:firstLine="0"/>
        <w:rPr>
          <w:i/>
          <w:iCs/>
          <w:szCs w:val="22"/>
        </w:rPr>
      </w:pPr>
    </w:p>
    <w:p w14:paraId="036A7386" w14:textId="77777777" w:rsidR="008746EE" w:rsidRPr="00056999" w:rsidRDefault="008746EE" w:rsidP="008746EE">
      <w:pPr>
        <w:ind w:left="0" w:firstLine="0"/>
        <w:rPr>
          <w:i/>
          <w:iCs/>
          <w:szCs w:val="22"/>
        </w:rPr>
      </w:pPr>
      <w:r>
        <w:rPr>
          <w:i/>
          <w:iCs/>
          <w:szCs w:val="22"/>
        </w:rPr>
        <w:t>Poruchy g</w:t>
      </w:r>
      <w:r w:rsidRPr="00056999">
        <w:rPr>
          <w:i/>
          <w:iCs/>
          <w:szCs w:val="22"/>
        </w:rPr>
        <w:t>astrointestinálne</w:t>
      </w:r>
      <w:r>
        <w:rPr>
          <w:i/>
          <w:iCs/>
          <w:szCs w:val="22"/>
        </w:rPr>
        <w:t>ho traktu</w:t>
      </w:r>
      <w:r w:rsidRPr="00056999">
        <w:rPr>
          <w:i/>
          <w:iCs/>
          <w:szCs w:val="22"/>
        </w:rPr>
        <w:t>:</w:t>
      </w:r>
    </w:p>
    <w:p w14:paraId="25DE7B14" w14:textId="2DC28B8B" w:rsidR="008746EE" w:rsidRPr="00B00EE5" w:rsidRDefault="008746EE" w:rsidP="008746EE">
      <w:pPr>
        <w:ind w:left="0" w:firstLine="0"/>
        <w:rPr>
          <w:szCs w:val="22"/>
        </w:rPr>
      </w:pPr>
      <w:r w:rsidRPr="008E189D">
        <w:rPr>
          <w:caps/>
          <w:szCs w:val="22"/>
          <w:u w:val="single"/>
        </w:rPr>
        <w:t>č</w:t>
      </w:r>
      <w:r w:rsidRPr="008E189D">
        <w:rPr>
          <w:szCs w:val="22"/>
          <w:u w:val="single"/>
        </w:rPr>
        <w:t>asté:</w:t>
      </w:r>
      <w:r w:rsidRPr="00B00EE5">
        <w:rPr>
          <w:szCs w:val="22"/>
        </w:rPr>
        <w:t xml:space="preserve"> nauzea, vracanie, abdominálna bolesť, poruchy chuti, dyspepsia, hnačka</w:t>
      </w:r>
      <w:r>
        <w:rPr>
          <w:szCs w:val="22"/>
        </w:rPr>
        <w:t xml:space="preserve"> a </w:t>
      </w:r>
      <w:r w:rsidRPr="00B00EE5">
        <w:rPr>
          <w:szCs w:val="22"/>
        </w:rPr>
        <w:t>zápcha</w:t>
      </w:r>
      <w:r w:rsidR="007821D8">
        <w:rPr>
          <w:szCs w:val="22"/>
        </w:rPr>
        <w:t>.</w:t>
      </w:r>
    </w:p>
    <w:p w14:paraId="632465DC" w14:textId="621FCFEE"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sucho v</w:t>
      </w:r>
      <w:r>
        <w:rPr>
          <w:szCs w:val="22"/>
        </w:rPr>
        <w:t> </w:t>
      </w:r>
      <w:r w:rsidRPr="00B00EE5">
        <w:rPr>
          <w:szCs w:val="22"/>
        </w:rPr>
        <w:t>ústach</w:t>
      </w:r>
      <w:r>
        <w:rPr>
          <w:szCs w:val="22"/>
        </w:rPr>
        <w:t>.</w:t>
      </w:r>
    </w:p>
    <w:p w14:paraId="0664A096" w14:textId="77777777"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pankreatitída</w:t>
      </w:r>
      <w:r>
        <w:rPr>
          <w:szCs w:val="22"/>
        </w:rPr>
        <w:t>.</w:t>
      </w:r>
    </w:p>
    <w:p w14:paraId="5D71510A" w14:textId="77777777" w:rsidR="008746EE" w:rsidRDefault="008746EE" w:rsidP="008746EE">
      <w:pPr>
        <w:ind w:left="0" w:firstLine="0"/>
        <w:rPr>
          <w:i/>
          <w:iCs/>
          <w:szCs w:val="22"/>
        </w:rPr>
      </w:pPr>
    </w:p>
    <w:p w14:paraId="5F3ECF76" w14:textId="77777777" w:rsidR="008746EE" w:rsidRPr="008E189D" w:rsidRDefault="008746EE" w:rsidP="008746EE">
      <w:pPr>
        <w:ind w:left="0" w:firstLine="0"/>
        <w:rPr>
          <w:i/>
          <w:iCs/>
          <w:szCs w:val="22"/>
        </w:rPr>
      </w:pPr>
      <w:r>
        <w:rPr>
          <w:i/>
          <w:iCs/>
          <w:szCs w:val="22"/>
        </w:rPr>
        <w:t xml:space="preserve">Poruchy </w:t>
      </w:r>
      <w:r w:rsidRPr="008E189D">
        <w:rPr>
          <w:i/>
          <w:iCs/>
          <w:szCs w:val="22"/>
        </w:rPr>
        <w:t>pečene a žlčových ciest:</w:t>
      </w:r>
    </w:p>
    <w:p w14:paraId="07A9D21D" w14:textId="7978D14C"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cytolytická alebo cholestatická hepatitída (pozri časť 4.4)</w:t>
      </w:r>
      <w:r>
        <w:rPr>
          <w:szCs w:val="22"/>
        </w:rPr>
        <w:t>.</w:t>
      </w:r>
    </w:p>
    <w:p w14:paraId="18EE59C3" w14:textId="77777777" w:rsidR="008746EE" w:rsidRDefault="008746EE" w:rsidP="008746EE">
      <w:pPr>
        <w:ind w:left="0" w:firstLine="0"/>
        <w:rPr>
          <w:szCs w:val="22"/>
          <w:u w:val="single"/>
        </w:rPr>
      </w:pPr>
    </w:p>
    <w:p w14:paraId="0AF63C4D" w14:textId="77777777" w:rsidR="008746EE" w:rsidRPr="008E189D" w:rsidRDefault="008746EE" w:rsidP="008746EE">
      <w:pPr>
        <w:ind w:left="0" w:firstLine="0"/>
        <w:rPr>
          <w:i/>
          <w:iCs/>
          <w:szCs w:val="22"/>
        </w:rPr>
      </w:pPr>
      <w:r w:rsidRPr="008E189D">
        <w:rPr>
          <w:i/>
          <w:iCs/>
          <w:szCs w:val="22"/>
        </w:rPr>
        <w:t>Poruchy kože a podkožného tkaniva:</w:t>
      </w:r>
    </w:p>
    <w:p w14:paraId="2373FAC4" w14:textId="77777777" w:rsidR="008746EE" w:rsidRPr="00B00EE5" w:rsidRDefault="008746EE" w:rsidP="008746EE">
      <w:pPr>
        <w:ind w:left="0" w:firstLine="0"/>
        <w:rPr>
          <w:szCs w:val="22"/>
        </w:rPr>
      </w:pPr>
      <w:r w:rsidRPr="008E189D">
        <w:rPr>
          <w:caps/>
          <w:szCs w:val="22"/>
          <w:u w:val="single"/>
        </w:rPr>
        <w:t>č</w:t>
      </w:r>
      <w:r w:rsidRPr="008E189D">
        <w:rPr>
          <w:szCs w:val="22"/>
          <w:u w:val="single"/>
        </w:rPr>
        <w:t>asté:</w:t>
      </w:r>
      <w:r w:rsidRPr="00B00EE5">
        <w:rPr>
          <w:szCs w:val="22"/>
        </w:rPr>
        <w:t xml:space="preserve"> vyrážka, pruritus</w:t>
      </w:r>
      <w:r>
        <w:rPr>
          <w:szCs w:val="22"/>
        </w:rPr>
        <w:t>.</w:t>
      </w:r>
    </w:p>
    <w:p w14:paraId="3367EBCC" w14:textId="77777777" w:rsidR="008746EE"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angioedém tváre, končatín, pier, slizníc, jazyka, hlasiviek a/alebo hrtana, žihľavka (pozri časť 4.4)</w:t>
      </w:r>
      <w:r>
        <w:rPr>
          <w:szCs w:val="22"/>
        </w:rPr>
        <w:t>.</w:t>
      </w:r>
    </w:p>
    <w:p w14:paraId="34CDCC99" w14:textId="77777777" w:rsidR="008746EE" w:rsidRPr="00251793" w:rsidRDefault="008746EE" w:rsidP="008746EE">
      <w:pPr>
        <w:ind w:left="0" w:firstLine="0"/>
        <w:rPr>
          <w:szCs w:val="22"/>
          <w:u w:val="single"/>
        </w:rPr>
      </w:pPr>
      <w:r w:rsidRPr="00251793">
        <w:rPr>
          <w:szCs w:val="22"/>
          <w:u w:val="single"/>
        </w:rPr>
        <w:t>Menej časté*:</w:t>
      </w:r>
      <w:r w:rsidRPr="00CD753C">
        <w:rPr>
          <w:szCs w:val="22"/>
        </w:rPr>
        <w:t xml:space="preserve"> </w:t>
      </w:r>
      <w:r>
        <w:rPr>
          <w:szCs w:val="22"/>
        </w:rPr>
        <w:t>f</w:t>
      </w:r>
      <w:r w:rsidRPr="007456E0">
        <w:rPr>
          <w:szCs w:val="22"/>
        </w:rPr>
        <w:t>otosenzitívne reakcie</w:t>
      </w:r>
      <w:r>
        <w:rPr>
          <w:szCs w:val="22"/>
        </w:rPr>
        <w:t>, p</w:t>
      </w:r>
      <w:r w:rsidRPr="00110BEF">
        <w:rPr>
          <w:szCs w:val="22"/>
        </w:rPr>
        <w:t>emfigoid</w:t>
      </w:r>
      <w:r w:rsidRPr="00251793">
        <w:rPr>
          <w:szCs w:val="22"/>
          <w:u w:val="single"/>
        </w:rPr>
        <w:t>.</w:t>
      </w:r>
    </w:p>
    <w:p w14:paraId="26290521" w14:textId="77777777" w:rsidR="003262C5" w:rsidRPr="002172D2" w:rsidRDefault="003262C5" w:rsidP="003262C5">
      <w:pPr>
        <w:ind w:left="0" w:firstLine="0"/>
        <w:rPr>
          <w:szCs w:val="22"/>
          <w:u w:val="single"/>
        </w:rPr>
      </w:pPr>
      <w:r w:rsidRPr="00036834">
        <w:rPr>
          <w:szCs w:val="22"/>
          <w:u w:val="single"/>
        </w:rPr>
        <w:t>Zriedkavé:</w:t>
      </w:r>
      <w:r w:rsidRPr="00036834">
        <w:rPr>
          <w:szCs w:val="22"/>
        </w:rPr>
        <w:t xml:space="preserve"> zhoršenie psoriázy.</w:t>
      </w:r>
    </w:p>
    <w:p w14:paraId="562EDB1A" w14:textId="77777777"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multiformný erytém</w:t>
      </w:r>
      <w:r>
        <w:rPr>
          <w:szCs w:val="22"/>
        </w:rPr>
        <w:t>.</w:t>
      </w:r>
    </w:p>
    <w:p w14:paraId="5E986643" w14:textId="77777777" w:rsidR="008746EE" w:rsidRDefault="008746EE" w:rsidP="008746EE">
      <w:pPr>
        <w:ind w:left="0" w:firstLine="0"/>
        <w:rPr>
          <w:szCs w:val="22"/>
          <w:u w:val="single"/>
        </w:rPr>
      </w:pPr>
    </w:p>
    <w:p w14:paraId="1797EECF" w14:textId="77777777" w:rsidR="008746EE" w:rsidRPr="008E189D" w:rsidRDefault="008746EE" w:rsidP="008746EE">
      <w:pPr>
        <w:ind w:left="0" w:firstLine="0"/>
        <w:rPr>
          <w:i/>
          <w:iCs/>
          <w:szCs w:val="22"/>
        </w:rPr>
      </w:pPr>
      <w:r w:rsidRPr="008E189D">
        <w:rPr>
          <w:i/>
          <w:iCs/>
          <w:szCs w:val="22"/>
        </w:rPr>
        <w:t>Poruchy kostrov</w:t>
      </w:r>
      <w:r>
        <w:rPr>
          <w:i/>
          <w:iCs/>
          <w:szCs w:val="22"/>
        </w:rPr>
        <w:t xml:space="preserve">ej a svalovej sústavy </w:t>
      </w:r>
      <w:r w:rsidRPr="008E189D">
        <w:rPr>
          <w:i/>
          <w:iCs/>
          <w:szCs w:val="22"/>
        </w:rPr>
        <w:t>a spojivov</w:t>
      </w:r>
      <w:r>
        <w:rPr>
          <w:i/>
          <w:iCs/>
          <w:szCs w:val="22"/>
        </w:rPr>
        <w:t>ého</w:t>
      </w:r>
      <w:r w:rsidRPr="008E189D">
        <w:rPr>
          <w:i/>
          <w:iCs/>
          <w:szCs w:val="22"/>
        </w:rPr>
        <w:t xml:space="preserve"> tkan</w:t>
      </w:r>
      <w:r>
        <w:rPr>
          <w:i/>
          <w:iCs/>
          <w:szCs w:val="22"/>
        </w:rPr>
        <w:t>iva</w:t>
      </w:r>
      <w:r w:rsidRPr="008E189D">
        <w:rPr>
          <w:i/>
          <w:iCs/>
          <w:szCs w:val="22"/>
        </w:rPr>
        <w:t>:</w:t>
      </w:r>
    </w:p>
    <w:p w14:paraId="3AB14634" w14:textId="77777777" w:rsidR="008746EE" w:rsidRDefault="008746EE" w:rsidP="008746EE">
      <w:pPr>
        <w:ind w:left="0" w:firstLine="0"/>
        <w:rPr>
          <w:szCs w:val="22"/>
        </w:rPr>
      </w:pPr>
      <w:r w:rsidRPr="008E189D">
        <w:rPr>
          <w:caps/>
          <w:szCs w:val="22"/>
          <w:u w:val="single"/>
        </w:rPr>
        <w:t>č</w:t>
      </w:r>
      <w:r w:rsidRPr="008E189D">
        <w:rPr>
          <w:szCs w:val="22"/>
          <w:u w:val="single"/>
        </w:rPr>
        <w:t>asté:</w:t>
      </w:r>
      <w:r w:rsidRPr="00B00EE5">
        <w:rPr>
          <w:szCs w:val="22"/>
        </w:rPr>
        <w:t xml:space="preserve"> svalové kŕče</w:t>
      </w:r>
      <w:r>
        <w:rPr>
          <w:szCs w:val="22"/>
        </w:rPr>
        <w:t>.</w:t>
      </w:r>
    </w:p>
    <w:p w14:paraId="3DDF0BE9" w14:textId="77777777" w:rsidR="008746EE" w:rsidRPr="00251793" w:rsidRDefault="008746EE" w:rsidP="008746EE">
      <w:pPr>
        <w:ind w:left="0" w:firstLine="0"/>
        <w:rPr>
          <w:szCs w:val="22"/>
          <w:u w:val="single"/>
        </w:rPr>
      </w:pPr>
      <w:r w:rsidRPr="00251793">
        <w:rPr>
          <w:szCs w:val="22"/>
          <w:u w:val="single"/>
        </w:rPr>
        <w:t>Menej časté*</w:t>
      </w:r>
      <w:r w:rsidRPr="00036834">
        <w:rPr>
          <w:szCs w:val="22"/>
        </w:rPr>
        <w:t>:</w:t>
      </w:r>
      <w:r w:rsidRPr="00251793">
        <w:rPr>
          <w:szCs w:val="22"/>
          <w:u w:val="single"/>
        </w:rPr>
        <w:t xml:space="preserve"> </w:t>
      </w:r>
      <w:r>
        <w:rPr>
          <w:szCs w:val="22"/>
        </w:rPr>
        <w:t>a</w:t>
      </w:r>
      <w:r w:rsidRPr="007456E0">
        <w:rPr>
          <w:szCs w:val="22"/>
        </w:rPr>
        <w:t>rtralgia</w:t>
      </w:r>
      <w:r>
        <w:rPr>
          <w:szCs w:val="22"/>
        </w:rPr>
        <w:t>, m</w:t>
      </w:r>
      <w:r w:rsidRPr="007456E0">
        <w:rPr>
          <w:szCs w:val="22"/>
        </w:rPr>
        <w:t>yalgia</w:t>
      </w:r>
      <w:r>
        <w:rPr>
          <w:szCs w:val="22"/>
        </w:rPr>
        <w:t>.</w:t>
      </w:r>
    </w:p>
    <w:p w14:paraId="30D8CD60" w14:textId="77777777" w:rsidR="008746EE" w:rsidRDefault="008746EE" w:rsidP="008746EE">
      <w:pPr>
        <w:ind w:left="0" w:firstLine="0"/>
        <w:rPr>
          <w:i/>
          <w:iCs/>
          <w:szCs w:val="22"/>
        </w:rPr>
      </w:pPr>
    </w:p>
    <w:p w14:paraId="084BACA7" w14:textId="77777777" w:rsidR="008746EE" w:rsidRPr="008E189D" w:rsidRDefault="008746EE" w:rsidP="008746EE">
      <w:pPr>
        <w:ind w:left="0" w:firstLine="0"/>
        <w:rPr>
          <w:i/>
          <w:iCs/>
          <w:szCs w:val="22"/>
        </w:rPr>
      </w:pPr>
      <w:r w:rsidRPr="008E189D">
        <w:rPr>
          <w:i/>
          <w:iCs/>
          <w:szCs w:val="22"/>
        </w:rPr>
        <w:t>Poruchy obličiek a</w:t>
      </w:r>
      <w:r>
        <w:rPr>
          <w:i/>
          <w:iCs/>
          <w:szCs w:val="22"/>
        </w:rPr>
        <w:t> </w:t>
      </w:r>
      <w:r w:rsidRPr="008E189D">
        <w:rPr>
          <w:i/>
          <w:iCs/>
          <w:szCs w:val="22"/>
        </w:rPr>
        <w:t>močov</w:t>
      </w:r>
      <w:r>
        <w:rPr>
          <w:i/>
          <w:iCs/>
          <w:szCs w:val="22"/>
        </w:rPr>
        <w:t>ých ciest</w:t>
      </w:r>
      <w:r w:rsidRPr="008E189D">
        <w:rPr>
          <w:i/>
          <w:iCs/>
          <w:szCs w:val="22"/>
        </w:rPr>
        <w:t>:</w:t>
      </w:r>
    </w:p>
    <w:p w14:paraId="5A2B2ECD" w14:textId="77777777"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renálna insuficiencia</w:t>
      </w:r>
      <w:r>
        <w:rPr>
          <w:szCs w:val="22"/>
        </w:rPr>
        <w:t>.</w:t>
      </w:r>
    </w:p>
    <w:p w14:paraId="45AF47CA" w14:textId="77777777" w:rsidR="008746EE" w:rsidRPr="00B00EE5" w:rsidRDefault="008746EE" w:rsidP="008746EE">
      <w:pPr>
        <w:ind w:left="0" w:firstLine="0"/>
        <w:rPr>
          <w:szCs w:val="22"/>
        </w:rPr>
      </w:pPr>
      <w:r w:rsidRPr="008E189D">
        <w:rPr>
          <w:caps/>
          <w:szCs w:val="22"/>
          <w:u w:val="single"/>
        </w:rPr>
        <w:t>v</w:t>
      </w:r>
      <w:r w:rsidRPr="008E189D">
        <w:rPr>
          <w:szCs w:val="22"/>
          <w:u w:val="single"/>
        </w:rPr>
        <w:t>eľmi zriedkavé:</w:t>
      </w:r>
      <w:r w:rsidRPr="00B00EE5">
        <w:rPr>
          <w:szCs w:val="22"/>
        </w:rPr>
        <w:t xml:space="preserve"> akútne zlyhanie obličiek</w:t>
      </w:r>
      <w:r>
        <w:rPr>
          <w:szCs w:val="22"/>
        </w:rPr>
        <w:t>.</w:t>
      </w:r>
    </w:p>
    <w:p w14:paraId="7061D7A3" w14:textId="77777777" w:rsidR="008746EE" w:rsidRDefault="008746EE" w:rsidP="008746EE">
      <w:pPr>
        <w:ind w:left="0" w:firstLine="0"/>
        <w:rPr>
          <w:szCs w:val="22"/>
          <w:u w:val="single"/>
        </w:rPr>
      </w:pPr>
    </w:p>
    <w:p w14:paraId="749A7E73" w14:textId="77777777" w:rsidR="008746EE" w:rsidRPr="008E189D" w:rsidRDefault="008746EE" w:rsidP="008746EE">
      <w:pPr>
        <w:ind w:left="0" w:firstLine="0"/>
        <w:rPr>
          <w:i/>
          <w:iCs/>
          <w:szCs w:val="22"/>
        </w:rPr>
      </w:pPr>
      <w:r>
        <w:rPr>
          <w:i/>
          <w:iCs/>
          <w:szCs w:val="22"/>
        </w:rPr>
        <w:t>Poruchy</w:t>
      </w:r>
      <w:r w:rsidRPr="008E189D">
        <w:rPr>
          <w:i/>
          <w:iCs/>
          <w:szCs w:val="22"/>
        </w:rPr>
        <w:t xml:space="preserve"> reprodukčného systému a prsníkov:</w:t>
      </w:r>
    </w:p>
    <w:p w14:paraId="65F1F3BE" w14:textId="11D4D978"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sidRPr="00B00EE5">
        <w:rPr>
          <w:szCs w:val="22"/>
        </w:rPr>
        <w:t xml:space="preserve"> </w:t>
      </w:r>
      <w:r>
        <w:rPr>
          <w:szCs w:val="22"/>
        </w:rPr>
        <w:t>e</w:t>
      </w:r>
      <w:r w:rsidRPr="00110BEF">
        <w:rPr>
          <w:szCs w:val="22"/>
        </w:rPr>
        <w:t>rektilná dysfunkcia</w:t>
      </w:r>
      <w:r>
        <w:rPr>
          <w:szCs w:val="22"/>
        </w:rPr>
        <w:t>.</w:t>
      </w:r>
    </w:p>
    <w:p w14:paraId="0E20A481" w14:textId="77777777" w:rsidR="008746EE" w:rsidRDefault="008746EE" w:rsidP="008746EE">
      <w:pPr>
        <w:ind w:left="0" w:firstLine="0"/>
        <w:rPr>
          <w:i/>
          <w:iCs/>
          <w:szCs w:val="22"/>
        </w:rPr>
      </w:pPr>
    </w:p>
    <w:p w14:paraId="1553B298" w14:textId="77777777" w:rsidR="008746EE" w:rsidRPr="008E189D" w:rsidRDefault="008746EE" w:rsidP="008746EE">
      <w:pPr>
        <w:ind w:left="0" w:firstLine="0"/>
        <w:rPr>
          <w:i/>
          <w:iCs/>
          <w:szCs w:val="22"/>
        </w:rPr>
      </w:pPr>
      <w:r w:rsidRPr="008E189D">
        <w:rPr>
          <w:i/>
          <w:iCs/>
          <w:szCs w:val="22"/>
        </w:rPr>
        <w:t xml:space="preserve">Celkové </w:t>
      </w:r>
      <w:r>
        <w:rPr>
          <w:i/>
          <w:iCs/>
          <w:szCs w:val="22"/>
        </w:rPr>
        <w:t>poruchy a reakcie v mieste podania</w:t>
      </w:r>
      <w:r w:rsidRPr="008E189D">
        <w:rPr>
          <w:i/>
          <w:iCs/>
          <w:szCs w:val="22"/>
        </w:rPr>
        <w:t>:</w:t>
      </w:r>
    </w:p>
    <w:p w14:paraId="46F740DE" w14:textId="77777777" w:rsidR="008746EE" w:rsidRPr="00B00EE5" w:rsidRDefault="008746EE" w:rsidP="008746EE">
      <w:pPr>
        <w:ind w:left="0" w:firstLine="0"/>
        <w:rPr>
          <w:szCs w:val="22"/>
        </w:rPr>
      </w:pPr>
      <w:r w:rsidRPr="008E189D">
        <w:rPr>
          <w:caps/>
          <w:szCs w:val="22"/>
          <w:u w:val="single"/>
        </w:rPr>
        <w:t>č</w:t>
      </w:r>
      <w:r w:rsidRPr="008E189D">
        <w:rPr>
          <w:szCs w:val="22"/>
          <w:u w:val="single"/>
        </w:rPr>
        <w:t>asté:</w:t>
      </w:r>
      <w:r w:rsidRPr="008E189D">
        <w:rPr>
          <w:szCs w:val="22"/>
        </w:rPr>
        <w:t xml:space="preserve"> </w:t>
      </w:r>
      <w:r w:rsidRPr="00B00EE5">
        <w:rPr>
          <w:szCs w:val="22"/>
        </w:rPr>
        <w:t>asténia</w:t>
      </w:r>
      <w:r>
        <w:rPr>
          <w:szCs w:val="22"/>
        </w:rPr>
        <w:t>.</w:t>
      </w:r>
    </w:p>
    <w:p w14:paraId="168061B6" w14:textId="100C467F" w:rsidR="008746EE" w:rsidRPr="00B00EE5" w:rsidRDefault="008746EE" w:rsidP="008746EE">
      <w:pPr>
        <w:ind w:left="0" w:firstLine="0"/>
        <w:rPr>
          <w:szCs w:val="22"/>
        </w:rPr>
      </w:pPr>
      <w:r w:rsidRPr="008E189D">
        <w:rPr>
          <w:caps/>
          <w:szCs w:val="22"/>
          <w:u w:val="single"/>
        </w:rPr>
        <w:t>m</w:t>
      </w:r>
      <w:r w:rsidRPr="008E189D">
        <w:rPr>
          <w:szCs w:val="22"/>
          <w:u w:val="single"/>
        </w:rPr>
        <w:t>enej časté</w:t>
      </w:r>
      <w:r>
        <w:rPr>
          <w:szCs w:val="22"/>
          <w:u w:val="single"/>
        </w:rPr>
        <w:t>*</w:t>
      </w:r>
      <w:r w:rsidRPr="008E189D">
        <w:rPr>
          <w:szCs w:val="22"/>
          <w:u w:val="single"/>
        </w:rPr>
        <w:t>:</w:t>
      </w:r>
      <w:r w:rsidRPr="00B00EE5">
        <w:rPr>
          <w:szCs w:val="22"/>
        </w:rPr>
        <w:t xml:space="preserve"> </w:t>
      </w:r>
      <w:r>
        <w:rPr>
          <w:szCs w:val="22"/>
        </w:rPr>
        <w:t>b</w:t>
      </w:r>
      <w:r w:rsidRPr="007456E0">
        <w:rPr>
          <w:szCs w:val="22"/>
        </w:rPr>
        <w:t>olesť na hrudi</w:t>
      </w:r>
      <w:r>
        <w:rPr>
          <w:szCs w:val="22"/>
        </w:rPr>
        <w:t>, n</w:t>
      </w:r>
      <w:r w:rsidRPr="007456E0">
        <w:rPr>
          <w:szCs w:val="22"/>
        </w:rPr>
        <w:t>evoľnosť</w:t>
      </w:r>
      <w:r>
        <w:rPr>
          <w:szCs w:val="22"/>
        </w:rPr>
        <w:t>, p</w:t>
      </w:r>
      <w:r w:rsidRPr="007456E0">
        <w:rPr>
          <w:szCs w:val="22"/>
        </w:rPr>
        <w:t>eriférny edém</w:t>
      </w:r>
      <w:r>
        <w:rPr>
          <w:szCs w:val="22"/>
        </w:rPr>
        <w:t>, p</w:t>
      </w:r>
      <w:r w:rsidRPr="007456E0">
        <w:rPr>
          <w:szCs w:val="22"/>
        </w:rPr>
        <w:t>yrexia</w:t>
      </w:r>
      <w:r>
        <w:rPr>
          <w:szCs w:val="22"/>
        </w:rPr>
        <w:t>.</w:t>
      </w:r>
    </w:p>
    <w:p w14:paraId="56314D85" w14:textId="77777777" w:rsidR="008746EE" w:rsidRPr="007821D8" w:rsidRDefault="008746EE" w:rsidP="008746EE">
      <w:pPr>
        <w:ind w:left="0" w:firstLine="0"/>
        <w:rPr>
          <w:szCs w:val="22"/>
          <w:u w:val="single"/>
        </w:rPr>
      </w:pPr>
    </w:p>
    <w:p w14:paraId="3C77CF51" w14:textId="77777777" w:rsidR="008746EE" w:rsidRPr="00A84B50" w:rsidRDefault="008746EE" w:rsidP="008746EE">
      <w:pPr>
        <w:ind w:left="0" w:firstLine="0"/>
        <w:rPr>
          <w:i/>
          <w:iCs/>
          <w:szCs w:val="22"/>
        </w:rPr>
      </w:pPr>
      <w:r>
        <w:rPr>
          <w:i/>
          <w:iCs/>
          <w:szCs w:val="22"/>
        </w:rPr>
        <w:t>Laboratórne a funkčné v</w:t>
      </w:r>
      <w:r w:rsidRPr="00A84B50">
        <w:rPr>
          <w:i/>
          <w:iCs/>
          <w:szCs w:val="22"/>
        </w:rPr>
        <w:t>yšetrenia:</w:t>
      </w:r>
    </w:p>
    <w:p w14:paraId="5B5934C2" w14:textId="0FF2632B" w:rsidR="008746EE" w:rsidRDefault="008746EE" w:rsidP="008746EE">
      <w:pPr>
        <w:ind w:left="0" w:firstLine="0"/>
        <w:rPr>
          <w:szCs w:val="22"/>
        </w:rPr>
      </w:pPr>
      <w:r w:rsidRPr="00E6615A">
        <w:rPr>
          <w:szCs w:val="22"/>
          <w:u w:val="single"/>
        </w:rPr>
        <w:t>Menej časté*:</w:t>
      </w:r>
      <w:r>
        <w:rPr>
          <w:szCs w:val="22"/>
        </w:rPr>
        <w:t xml:space="preserve"> z</w:t>
      </w:r>
      <w:r w:rsidRPr="00110BEF">
        <w:rPr>
          <w:szCs w:val="22"/>
        </w:rPr>
        <w:t>výšenie močoviny v</w:t>
      </w:r>
      <w:r>
        <w:rPr>
          <w:szCs w:val="22"/>
        </w:rPr>
        <w:t> </w:t>
      </w:r>
      <w:r w:rsidRPr="00110BEF">
        <w:rPr>
          <w:szCs w:val="22"/>
        </w:rPr>
        <w:t>krvi</w:t>
      </w:r>
      <w:r>
        <w:rPr>
          <w:szCs w:val="22"/>
        </w:rPr>
        <w:t xml:space="preserve">, zvýšenie </w:t>
      </w:r>
      <w:r w:rsidRPr="00110BEF">
        <w:rPr>
          <w:szCs w:val="22"/>
        </w:rPr>
        <w:t>kreatinínu v</w:t>
      </w:r>
      <w:r>
        <w:rPr>
          <w:szCs w:val="22"/>
        </w:rPr>
        <w:t> </w:t>
      </w:r>
      <w:r w:rsidRPr="00110BEF">
        <w:rPr>
          <w:szCs w:val="22"/>
        </w:rPr>
        <w:t>krvi</w:t>
      </w:r>
      <w:r w:rsidR="00DF6EBE">
        <w:rPr>
          <w:szCs w:val="22"/>
        </w:rPr>
        <w:t>.</w:t>
      </w:r>
    </w:p>
    <w:p w14:paraId="0849EA9E" w14:textId="60D31B59" w:rsidR="008746EE" w:rsidRPr="00E6615A" w:rsidRDefault="008746EE" w:rsidP="008746EE">
      <w:pPr>
        <w:ind w:left="0" w:firstLine="0"/>
        <w:rPr>
          <w:szCs w:val="22"/>
          <w:u w:val="single"/>
        </w:rPr>
      </w:pPr>
      <w:r w:rsidRPr="00E6615A">
        <w:rPr>
          <w:szCs w:val="22"/>
          <w:u w:val="single"/>
        </w:rPr>
        <w:t>Zriedkavé:</w:t>
      </w:r>
      <w:r>
        <w:rPr>
          <w:szCs w:val="22"/>
          <w:u w:val="single"/>
        </w:rPr>
        <w:t xml:space="preserve"> </w:t>
      </w:r>
      <w:r>
        <w:rPr>
          <w:szCs w:val="22"/>
        </w:rPr>
        <w:t>z</w:t>
      </w:r>
      <w:r w:rsidRPr="00110BEF">
        <w:rPr>
          <w:szCs w:val="22"/>
        </w:rPr>
        <w:t>výšenie bilirubínu v</w:t>
      </w:r>
      <w:r>
        <w:rPr>
          <w:szCs w:val="22"/>
        </w:rPr>
        <w:t> </w:t>
      </w:r>
      <w:r w:rsidRPr="00110BEF">
        <w:rPr>
          <w:szCs w:val="22"/>
        </w:rPr>
        <w:t>krvi</w:t>
      </w:r>
      <w:r>
        <w:rPr>
          <w:szCs w:val="22"/>
        </w:rPr>
        <w:t>, z</w:t>
      </w:r>
      <w:r w:rsidRPr="00110BEF">
        <w:rPr>
          <w:szCs w:val="22"/>
        </w:rPr>
        <w:t>výšenie pečeňových enzýmov</w:t>
      </w:r>
      <w:r>
        <w:rPr>
          <w:szCs w:val="22"/>
        </w:rPr>
        <w:t>.</w:t>
      </w:r>
      <w:r w:rsidRPr="00B00EE5">
        <w:rPr>
          <w:szCs w:val="22"/>
        </w:rPr>
        <w:t xml:space="preserve"> </w:t>
      </w:r>
    </w:p>
    <w:p w14:paraId="16BA77B5" w14:textId="77777777" w:rsidR="008746EE" w:rsidRDefault="008746EE" w:rsidP="008746EE">
      <w:pPr>
        <w:ind w:left="0" w:firstLine="0"/>
        <w:rPr>
          <w:bCs/>
          <w:i/>
          <w:szCs w:val="22"/>
        </w:rPr>
      </w:pPr>
    </w:p>
    <w:p w14:paraId="0A8F1919" w14:textId="77777777" w:rsidR="008746EE" w:rsidRDefault="008746EE" w:rsidP="008746EE">
      <w:pPr>
        <w:ind w:left="0" w:firstLine="0"/>
        <w:rPr>
          <w:bCs/>
          <w:i/>
          <w:szCs w:val="22"/>
        </w:rPr>
      </w:pPr>
      <w:r w:rsidRPr="009A2CF4">
        <w:rPr>
          <w:bCs/>
          <w:i/>
          <w:szCs w:val="22"/>
        </w:rPr>
        <w:t>Úrazy, otravy a komplikácie liečebného postupu</w:t>
      </w:r>
      <w:r>
        <w:rPr>
          <w:bCs/>
          <w:i/>
          <w:szCs w:val="22"/>
        </w:rPr>
        <w:t>:</w:t>
      </w:r>
    </w:p>
    <w:p w14:paraId="2EC28C5B" w14:textId="77777777" w:rsidR="008746EE" w:rsidRDefault="008746EE" w:rsidP="008746EE">
      <w:pPr>
        <w:ind w:left="0" w:firstLine="0"/>
        <w:rPr>
          <w:bCs/>
          <w:szCs w:val="22"/>
        </w:rPr>
      </w:pPr>
      <w:r w:rsidRPr="009A2CF4">
        <w:rPr>
          <w:bCs/>
          <w:szCs w:val="22"/>
          <w:u w:val="single"/>
        </w:rPr>
        <w:t>Menej časté*:</w:t>
      </w:r>
      <w:r>
        <w:rPr>
          <w:bCs/>
          <w:szCs w:val="22"/>
        </w:rPr>
        <w:t xml:space="preserve"> pád.</w:t>
      </w:r>
    </w:p>
    <w:p w14:paraId="788F4257" w14:textId="77777777" w:rsidR="008746EE" w:rsidRDefault="008746EE" w:rsidP="008746EE">
      <w:pPr>
        <w:ind w:left="0" w:firstLine="0"/>
        <w:rPr>
          <w:szCs w:val="22"/>
        </w:rPr>
      </w:pPr>
    </w:p>
    <w:p w14:paraId="2AF10828" w14:textId="77777777" w:rsidR="008746EE" w:rsidRPr="00110BEF" w:rsidRDefault="008746EE" w:rsidP="008746EE">
      <w:pPr>
        <w:rPr>
          <w:bCs/>
          <w:iCs/>
          <w:szCs w:val="22"/>
          <w:u w:val="single"/>
        </w:rPr>
      </w:pPr>
      <w:r w:rsidRPr="00110BEF">
        <w:rPr>
          <w:i/>
          <w:szCs w:val="22"/>
        </w:rPr>
        <w:t>* Frekvencia vypočítaná z klinických skúšaní pre nežiaduce účinky zistené zo spontánnych hlásení</w:t>
      </w:r>
      <w:r>
        <w:rPr>
          <w:i/>
          <w:szCs w:val="22"/>
        </w:rPr>
        <w:t>.</w:t>
      </w:r>
    </w:p>
    <w:p w14:paraId="7BD2A671" w14:textId="77777777" w:rsidR="008746EE" w:rsidRDefault="008746EE" w:rsidP="008746EE">
      <w:pPr>
        <w:ind w:left="0" w:firstLine="0"/>
        <w:rPr>
          <w:szCs w:val="22"/>
        </w:rPr>
      </w:pPr>
    </w:p>
    <w:p w14:paraId="5B483AEE" w14:textId="5C3AEE98" w:rsidR="008746EE" w:rsidRPr="008B1A5C" w:rsidRDefault="008746EE" w:rsidP="008746EE">
      <w:pPr>
        <w:ind w:left="0" w:firstLine="0"/>
        <w:rPr>
          <w:i/>
          <w:iCs/>
          <w:szCs w:val="22"/>
        </w:rPr>
      </w:pPr>
      <w:r w:rsidRPr="008B1A5C">
        <w:rPr>
          <w:i/>
          <w:iCs/>
          <w:szCs w:val="22"/>
        </w:rPr>
        <w:t xml:space="preserve">Klinické </w:t>
      </w:r>
      <w:r w:rsidR="00036834">
        <w:rPr>
          <w:i/>
          <w:iCs/>
          <w:szCs w:val="22"/>
        </w:rPr>
        <w:t>skúšania</w:t>
      </w:r>
      <w:r w:rsidRPr="008B1A5C">
        <w:rPr>
          <w:i/>
          <w:iCs/>
          <w:szCs w:val="22"/>
        </w:rPr>
        <w:t>:</w:t>
      </w:r>
    </w:p>
    <w:p w14:paraId="7D099C4A" w14:textId="7CBC1207" w:rsidR="008746EE" w:rsidRDefault="008746EE" w:rsidP="008746EE">
      <w:pPr>
        <w:ind w:left="0" w:firstLine="0"/>
        <w:rPr>
          <w:bCs/>
          <w:iCs/>
          <w:szCs w:val="22"/>
        </w:rPr>
      </w:pPr>
      <w:r>
        <w:rPr>
          <w:bCs/>
          <w:iCs/>
          <w:szCs w:val="22"/>
        </w:rPr>
        <w:t>Počas randomizovanej fázy š</w:t>
      </w:r>
      <w:r w:rsidRPr="00876D60">
        <w:rPr>
          <w:bCs/>
          <w:iCs/>
          <w:szCs w:val="22"/>
        </w:rPr>
        <w:t>túdi</w:t>
      </w:r>
      <w:r>
        <w:rPr>
          <w:bCs/>
          <w:iCs/>
          <w:szCs w:val="22"/>
        </w:rPr>
        <w:t>e</w:t>
      </w:r>
      <w:r w:rsidRPr="00876D60">
        <w:rPr>
          <w:bCs/>
          <w:iCs/>
          <w:szCs w:val="22"/>
        </w:rPr>
        <w:t xml:space="preserve"> EUROPA bol</w:t>
      </w:r>
      <w:r>
        <w:rPr>
          <w:bCs/>
          <w:iCs/>
          <w:szCs w:val="22"/>
        </w:rPr>
        <w:t>i zaznamenávané len závažné nežiaduce udalosti. Niekoľko pacientov malo skúsenosť so závažným nežiaducim účinkom: 16 (0,3 %) z 6 122 pacientov užívajúcich perindopril a 12 (0,2 %) z 6 107 pacientov užívajúcich placebo. U pacientov liečených perindoprilom sa hypotenzia vyskytla u 6 pacientov, angioedém u 3 pacientov a náhla srdcová zástava u 1 pacienta. Viac pacientov b</w:t>
      </w:r>
      <w:smartTag w:uri="urn:schemas-microsoft-com:office:smarttags" w:element="PersonName">
        <w:r>
          <w:rPr>
            <w:bCs/>
            <w:iCs/>
            <w:szCs w:val="22"/>
          </w:rPr>
          <w:t>olo</w:t>
        </w:r>
      </w:smartTag>
      <w:r>
        <w:rPr>
          <w:bCs/>
          <w:iCs/>
          <w:szCs w:val="22"/>
        </w:rPr>
        <w:t xml:space="preserve"> vyradených zo štúdie v dôsledku kašľa, hypotenzie alebo intolerancie na perindoprile ako tomu b</w:t>
      </w:r>
      <w:smartTag w:uri="urn:schemas-microsoft-com:office:smarttags" w:element="PersonName">
        <w:r>
          <w:rPr>
            <w:bCs/>
            <w:iCs/>
            <w:szCs w:val="22"/>
          </w:rPr>
          <w:t>olo</w:t>
        </w:r>
      </w:smartTag>
      <w:r>
        <w:rPr>
          <w:bCs/>
          <w:iCs/>
          <w:szCs w:val="22"/>
        </w:rPr>
        <w:t xml:space="preserve"> v skupine s placebom (6,0 % (n=366) verzus 2,1 % (n=129)).</w:t>
      </w:r>
    </w:p>
    <w:p w14:paraId="74BDCF4C" w14:textId="77777777" w:rsidR="008746EE" w:rsidRDefault="008746EE" w:rsidP="008746EE">
      <w:pPr>
        <w:ind w:left="0" w:firstLine="0"/>
        <w:rPr>
          <w:bCs/>
          <w:iCs/>
          <w:szCs w:val="22"/>
        </w:rPr>
      </w:pPr>
    </w:p>
    <w:p w14:paraId="30C67F96" w14:textId="77777777" w:rsidR="008746EE" w:rsidRDefault="008746EE" w:rsidP="008746EE">
      <w:pPr>
        <w:pStyle w:val="Zkladntext"/>
        <w:rPr>
          <w:u w:val="single"/>
        </w:rPr>
      </w:pPr>
      <w:r>
        <w:rPr>
          <w:u w:val="single"/>
        </w:rPr>
        <w:t>Hlásenie podozrení na nežiaduce reakcie</w:t>
      </w:r>
    </w:p>
    <w:p w14:paraId="4A196366" w14:textId="54906AA5" w:rsidR="008746EE" w:rsidRDefault="008746EE" w:rsidP="008746EE">
      <w:pPr>
        <w:pStyle w:val="Zkladntext"/>
      </w:pPr>
      <w:r>
        <w:t xml:space="preserve">Hlásenie podozrení na nežiaduce reakcie po registrácii lieku je dôležité. Umožňuje priebežné monitorovanie pomeru prínosu a rizika lieku. Od zdravotníckych pracovníkov sa vyžaduje, aby hlásili akékoľvek podozrenie na nežiaduce reakcie </w:t>
      </w:r>
      <w:r w:rsidR="00181CE5">
        <w:t>na</w:t>
      </w:r>
      <w:r>
        <w:t xml:space="preserve"> </w:t>
      </w:r>
      <w:r w:rsidR="00181CE5">
        <w:rPr>
          <w:highlight w:val="lightGray"/>
        </w:rPr>
        <w:t>národné</w:t>
      </w:r>
      <w:r>
        <w:rPr>
          <w:highlight w:val="lightGray"/>
        </w:rPr>
        <w:t xml:space="preserve"> </w:t>
      </w:r>
      <w:r w:rsidR="00181CE5">
        <w:rPr>
          <w:highlight w:val="lightGray"/>
        </w:rPr>
        <w:t>centrum</w:t>
      </w:r>
      <w:r>
        <w:rPr>
          <w:highlight w:val="lightGray"/>
        </w:rPr>
        <w:t xml:space="preserve"> hlásenia uvedené v </w:t>
      </w:r>
      <w:hyperlink r:id="rId8" w:history="1">
        <w:r>
          <w:rPr>
            <w:rStyle w:val="Hypertextovprepojenie"/>
            <w:highlight w:val="lightGray"/>
          </w:rPr>
          <w:t>Prílohe V</w:t>
        </w:r>
      </w:hyperlink>
      <w:r>
        <w:rPr>
          <w:highlight w:val="lightGray"/>
        </w:rPr>
        <w:t>.</w:t>
      </w:r>
    </w:p>
    <w:p w14:paraId="4B072BF3" w14:textId="77777777" w:rsidR="008746EE" w:rsidRPr="000F6264" w:rsidRDefault="008746EE" w:rsidP="008746EE">
      <w:pPr>
        <w:ind w:left="0" w:firstLine="0"/>
        <w:rPr>
          <w:bCs/>
          <w:szCs w:val="22"/>
        </w:rPr>
      </w:pPr>
    </w:p>
    <w:p w14:paraId="6D2DF8B1" w14:textId="77777777" w:rsidR="008746EE" w:rsidRPr="000F6264" w:rsidRDefault="008746EE" w:rsidP="008746EE">
      <w:pPr>
        <w:rPr>
          <w:szCs w:val="22"/>
        </w:rPr>
      </w:pPr>
      <w:r w:rsidRPr="000F6264">
        <w:rPr>
          <w:b/>
          <w:szCs w:val="22"/>
        </w:rPr>
        <w:t>4.9</w:t>
      </w:r>
      <w:r w:rsidRPr="000F6264">
        <w:rPr>
          <w:b/>
          <w:szCs w:val="22"/>
        </w:rPr>
        <w:tab/>
        <w:t>Predávkovanie</w:t>
      </w:r>
    </w:p>
    <w:p w14:paraId="17AAA254" w14:textId="77777777" w:rsidR="008746EE" w:rsidRDefault="008746EE" w:rsidP="008746EE">
      <w:pPr>
        <w:ind w:left="0" w:firstLine="0"/>
        <w:rPr>
          <w:szCs w:val="22"/>
        </w:rPr>
      </w:pPr>
    </w:p>
    <w:p w14:paraId="082225F1" w14:textId="77777777" w:rsidR="008746EE" w:rsidRPr="00C10A44" w:rsidRDefault="008746EE" w:rsidP="008746EE">
      <w:pPr>
        <w:ind w:left="0" w:firstLine="0"/>
        <w:rPr>
          <w:szCs w:val="22"/>
          <w:u w:val="single"/>
        </w:rPr>
      </w:pPr>
      <w:r w:rsidRPr="00C10A44">
        <w:rPr>
          <w:szCs w:val="22"/>
          <w:u w:val="single"/>
        </w:rPr>
        <w:t>Symptómy</w:t>
      </w:r>
    </w:p>
    <w:p w14:paraId="21165596" w14:textId="77777777" w:rsidR="008746EE" w:rsidRDefault="008746EE" w:rsidP="008746EE">
      <w:pPr>
        <w:ind w:left="0" w:firstLine="0"/>
        <w:rPr>
          <w:szCs w:val="22"/>
        </w:rPr>
      </w:pPr>
      <w:r w:rsidRPr="00A84B50">
        <w:rPr>
          <w:szCs w:val="22"/>
        </w:rPr>
        <w:t xml:space="preserve">O predávkovaní ľudí sú k dispozícii len obmedzené informácie. Medzi symptómy súvisiace s predávkovaním ACE inhibítormi môžu patriť hypotenzia, obehový šok, poruchy elektrolytov, zlyhanie obličiek, hyperventilácia, tachykardia, palpitácie, bradykardia, závraty, anxiozita a kašeľ. </w:t>
      </w:r>
    </w:p>
    <w:p w14:paraId="70DE1675" w14:textId="77777777" w:rsidR="008746EE" w:rsidRDefault="008746EE" w:rsidP="008746EE">
      <w:pPr>
        <w:ind w:left="0" w:firstLine="0"/>
        <w:rPr>
          <w:szCs w:val="22"/>
        </w:rPr>
      </w:pPr>
    </w:p>
    <w:p w14:paraId="131084D6" w14:textId="77777777" w:rsidR="008746EE" w:rsidRPr="00C10A44" w:rsidRDefault="008746EE" w:rsidP="008746EE">
      <w:pPr>
        <w:ind w:left="0" w:firstLine="0"/>
        <w:rPr>
          <w:szCs w:val="22"/>
          <w:u w:val="single"/>
        </w:rPr>
      </w:pPr>
      <w:r w:rsidRPr="00C10A44">
        <w:rPr>
          <w:szCs w:val="22"/>
          <w:u w:val="single"/>
        </w:rPr>
        <w:t>Liečba</w:t>
      </w:r>
    </w:p>
    <w:p w14:paraId="7BC4C2A8" w14:textId="77777777" w:rsidR="008746EE" w:rsidRPr="00A84B50" w:rsidRDefault="008746EE" w:rsidP="008746EE">
      <w:pPr>
        <w:ind w:left="0" w:firstLine="0"/>
        <w:rPr>
          <w:szCs w:val="22"/>
        </w:rPr>
      </w:pPr>
      <w:r w:rsidRPr="00A84B50">
        <w:rPr>
          <w:szCs w:val="22"/>
        </w:rPr>
        <w:t>Odporúčanou liečbou pri predávkovaní je intravenózna infúzia fyzi</w:t>
      </w:r>
      <w:smartTag w:uri="urn:schemas-microsoft-com:office:smarttags" w:element="PersonName">
        <w:r w:rsidRPr="00A84B50">
          <w:rPr>
            <w:szCs w:val="22"/>
          </w:rPr>
          <w:t>olo</w:t>
        </w:r>
      </w:smartTag>
      <w:r w:rsidRPr="00A84B50">
        <w:rPr>
          <w:szCs w:val="22"/>
        </w:rPr>
        <w:t xml:space="preserve">gického roztoku. Ak dôjde k hypotenzii, pacienta treba uložiť do </w:t>
      </w:r>
      <w:r>
        <w:rPr>
          <w:szCs w:val="22"/>
        </w:rPr>
        <w:t>p</w:t>
      </w:r>
      <w:smartTag w:uri="urn:schemas-microsoft-com:office:smarttags" w:element="PersonName">
        <w:r>
          <w:rPr>
            <w:szCs w:val="22"/>
          </w:rPr>
          <w:t>olo</w:t>
        </w:r>
      </w:smartTag>
      <w:r>
        <w:rPr>
          <w:szCs w:val="22"/>
        </w:rPr>
        <w:t>hy ležmo s vyvýšenými dolnými končatinami (</w:t>
      </w:r>
      <w:r w:rsidRPr="00A84B50">
        <w:rPr>
          <w:szCs w:val="22"/>
        </w:rPr>
        <w:t>protišokov</w:t>
      </w:r>
      <w:r>
        <w:rPr>
          <w:szCs w:val="22"/>
        </w:rPr>
        <w:t>á</w:t>
      </w:r>
      <w:r w:rsidRPr="00A84B50">
        <w:rPr>
          <w:szCs w:val="22"/>
        </w:rPr>
        <w:t xml:space="preserve"> p</w:t>
      </w:r>
      <w:smartTag w:uri="urn:schemas-microsoft-com:office:smarttags" w:element="PersonName">
        <w:r w:rsidRPr="00A84B50">
          <w:rPr>
            <w:szCs w:val="22"/>
          </w:rPr>
          <w:t>olo</w:t>
        </w:r>
      </w:smartTag>
      <w:r w:rsidRPr="00A84B50">
        <w:rPr>
          <w:szCs w:val="22"/>
        </w:rPr>
        <w:t>h</w:t>
      </w:r>
      <w:r>
        <w:rPr>
          <w:szCs w:val="22"/>
        </w:rPr>
        <w:t>a)</w:t>
      </w:r>
      <w:r w:rsidRPr="00A84B50">
        <w:rPr>
          <w:szCs w:val="22"/>
        </w:rPr>
        <w:t xml:space="preserve">. Ak sú dostupné, môže byť zvážená liečba infúziou angiotenzínu II a/alebo intravenózne podanie katecholamínov. Perindopril </w:t>
      </w:r>
      <w:r>
        <w:rPr>
          <w:szCs w:val="22"/>
        </w:rPr>
        <w:t xml:space="preserve">a perindoprilát sa </w:t>
      </w:r>
      <w:r w:rsidRPr="00A84B50">
        <w:rPr>
          <w:szCs w:val="22"/>
        </w:rPr>
        <w:t>m</w:t>
      </w:r>
      <w:r>
        <w:rPr>
          <w:szCs w:val="22"/>
        </w:rPr>
        <w:t>ô</w:t>
      </w:r>
      <w:r w:rsidRPr="00A84B50">
        <w:rPr>
          <w:szCs w:val="22"/>
        </w:rPr>
        <w:t>ž</w:t>
      </w:r>
      <w:r>
        <w:rPr>
          <w:szCs w:val="22"/>
        </w:rPr>
        <w:t>e</w:t>
      </w:r>
      <w:r w:rsidRPr="00A84B50">
        <w:rPr>
          <w:szCs w:val="22"/>
        </w:rPr>
        <w:t xml:space="preserve"> zo systémového krvného obehu odstrániť hemodialýzou (pozri časť 4.4). Kardiostimulačná liečba sa </w:t>
      </w:r>
      <w:r w:rsidRPr="007E30F5">
        <w:rPr>
          <w:szCs w:val="22"/>
        </w:rPr>
        <w:t>odporúča</w:t>
      </w:r>
      <w:r>
        <w:rPr>
          <w:szCs w:val="22"/>
        </w:rPr>
        <w:t xml:space="preserve"> </w:t>
      </w:r>
      <w:r w:rsidRPr="00A84B50">
        <w:rPr>
          <w:szCs w:val="22"/>
        </w:rPr>
        <w:t xml:space="preserve">pri bradykardii rezistentnej na liečbu. Nepretržite </w:t>
      </w:r>
      <w:r>
        <w:rPr>
          <w:szCs w:val="22"/>
        </w:rPr>
        <w:t>majú</w:t>
      </w:r>
      <w:r w:rsidRPr="00266529">
        <w:rPr>
          <w:szCs w:val="22"/>
        </w:rPr>
        <w:t xml:space="preserve"> byť</w:t>
      </w:r>
      <w:r w:rsidRPr="00A84B50">
        <w:rPr>
          <w:szCs w:val="22"/>
        </w:rPr>
        <w:t xml:space="preserve"> monitorované životne dôležité funkcie, sérové elektrolyty a koncentrácia kreatinínu.</w:t>
      </w:r>
    </w:p>
    <w:p w14:paraId="466C9AB8" w14:textId="77777777" w:rsidR="008746EE" w:rsidRDefault="008746EE" w:rsidP="008746EE">
      <w:pPr>
        <w:rPr>
          <w:szCs w:val="22"/>
          <w:highlight w:val="green"/>
        </w:rPr>
      </w:pPr>
    </w:p>
    <w:p w14:paraId="4F787011" w14:textId="77777777" w:rsidR="008746EE" w:rsidRPr="000F6264" w:rsidRDefault="008746EE" w:rsidP="008746EE">
      <w:pPr>
        <w:rPr>
          <w:szCs w:val="22"/>
          <w:highlight w:val="green"/>
        </w:rPr>
      </w:pPr>
    </w:p>
    <w:p w14:paraId="5A70133E" w14:textId="77777777" w:rsidR="008746EE" w:rsidRPr="000F6264" w:rsidRDefault="008746EE" w:rsidP="008746EE">
      <w:pPr>
        <w:rPr>
          <w:szCs w:val="22"/>
        </w:rPr>
      </w:pPr>
      <w:r w:rsidRPr="000F6264">
        <w:rPr>
          <w:b/>
          <w:szCs w:val="22"/>
        </w:rPr>
        <w:t>5.</w:t>
      </w:r>
      <w:r w:rsidRPr="000F6264">
        <w:rPr>
          <w:b/>
          <w:szCs w:val="22"/>
        </w:rPr>
        <w:tab/>
        <w:t>FARMAKOLOGICKÉ VLASTNOSTI</w:t>
      </w:r>
    </w:p>
    <w:p w14:paraId="189F0DEA" w14:textId="77777777" w:rsidR="008746EE" w:rsidRPr="000F6264" w:rsidRDefault="008746EE" w:rsidP="008746EE">
      <w:pPr>
        <w:rPr>
          <w:bCs/>
          <w:szCs w:val="22"/>
        </w:rPr>
      </w:pPr>
    </w:p>
    <w:p w14:paraId="28E57C10" w14:textId="77777777" w:rsidR="008746EE" w:rsidRPr="000F6264" w:rsidRDefault="008746EE" w:rsidP="008746EE">
      <w:pPr>
        <w:rPr>
          <w:szCs w:val="22"/>
        </w:rPr>
      </w:pPr>
      <w:r w:rsidRPr="000F6264">
        <w:rPr>
          <w:b/>
          <w:szCs w:val="22"/>
        </w:rPr>
        <w:t>5.1</w:t>
      </w:r>
      <w:r w:rsidRPr="000F6264">
        <w:rPr>
          <w:b/>
          <w:szCs w:val="22"/>
        </w:rPr>
        <w:tab/>
        <w:t>Farmakodynamické vlastnosti</w:t>
      </w:r>
    </w:p>
    <w:p w14:paraId="06D5322E" w14:textId="77777777" w:rsidR="008746EE" w:rsidRDefault="008746EE" w:rsidP="008746EE">
      <w:pPr>
        <w:ind w:left="0" w:firstLine="0"/>
        <w:rPr>
          <w:szCs w:val="22"/>
        </w:rPr>
      </w:pPr>
    </w:p>
    <w:p w14:paraId="3BF2C350" w14:textId="23D36DB4" w:rsidR="008746EE" w:rsidRDefault="008746EE" w:rsidP="008746EE">
      <w:pPr>
        <w:ind w:left="0" w:firstLine="0"/>
        <w:rPr>
          <w:szCs w:val="22"/>
        </w:rPr>
      </w:pPr>
      <w:r w:rsidRPr="00FA7F4C">
        <w:rPr>
          <w:szCs w:val="22"/>
        </w:rPr>
        <w:t>Farmakoterapeutická skupina: Inhibítory</w:t>
      </w:r>
      <w:r w:rsidRPr="00876D60">
        <w:rPr>
          <w:szCs w:val="22"/>
        </w:rPr>
        <w:t xml:space="preserve"> enzým</w:t>
      </w:r>
      <w:r>
        <w:rPr>
          <w:szCs w:val="22"/>
        </w:rPr>
        <w:t xml:space="preserve">u </w:t>
      </w:r>
      <w:r w:rsidRPr="00876D60">
        <w:rPr>
          <w:szCs w:val="22"/>
        </w:rPr>
        <w:t>konvertujúc</w:t>
      </w:r>
      <w:r>
        <w:rPr>
          <w:szCs w:val="22"/>
        </w:rPr>
        <w:t xml:space="preserve">eho </w:t>
      </w:r>
      <w:r w:rsidRPr="00876D60">
        <w:rPr>
          <w:szCs w:val="22"/>
        </w:rPr>
        <w:t>angiotenzín</w:t>
      </w:r>
      <w:r w:rsidRPr="00FA7F4C">
        <w:rPr>
          <w:szCs w:val="22"/>
        </w:rPr>
        <w:t>, samotné</w:t>
      </w:r>
      <w:r>
        <w:rPr>
          <w:szCs w:val="22"/>
        </w:rPr>
        <w:t xml:space="preserve">, </w:t>
      </w:r>
      <w:r w:rsidRPr="00876D60">
        <w:rPr>
          <w:szCs w:val="22"/>
        </w:rPr>
        <w:t xml:space="preserve">ATC </w:t>
      </w:r>
      <w:r>
        <w:rPr>
          <w:szCs w:val="22"/>
        </w:rPr>
        <w:t>kód</w:t>
      </w:r>
      <w:r w:rsidRPr="00876D60">
        <w:rPr>
          <w:szCs w:val="22"/>
        </w:rPr>
        <w:t>: C09AA04.</w:t>
      </w:r>
    </w:p>
    <w:p w14:paraId="6B3B9B2B" w14:textId="77777777" w:rsidR="008746EE" w:rsidRDefault="008746EE" w:rsidP="008746EE">
      <w:pPr>
        <w:ind w:left="0" w:firstLine="0"/>
        <w:rPr>
          <w:szCs w:val="22"/>
        </w:rPr>
      </w:pPr>
    </w:p>
    <w:p w14:paraId="68BCA8EB" w14:textId="77777777" w:rsidR="008746EE" w:rsidRPr="00C10A44" w:rsidRDefault="008746EE" w:rsidP="008746EE">
      <w:pPr>
        <w:ind w:left="0" w:firstLine="0"/>
        <w:rPr>
          <w:szCs w:val="22"/>
          <w:u w:val="single"/>
        </w:rPr>
      </w:pPr>
      <w:r w:rsidRPr="00C10A44">
        <w:rPr>
          <w:szCs w:val="22"/>
          <w:u w:val="single"/>
        </w:rPr>
        <w:t>Mechanizmus účinku</w:t>
      </w:r>
    </w:p>
    <w:p w14:paraId="28A93995" w14:textId="77777777" w:rsidR="008746EE" w:rsidRPr="00876D60" w:rsidRDefault="008746EE" w:rsidP="008746EE">
      <w:pPr>
        <w:ind w:left="0" w:firstLine="0"/>
        <w:rPr>
          <w:szCs w:val="22"/>
        </w:rPr>
      </w:pPr>
      <w:r w:rsidRPr="00876D60">
        <w:rPr>
          <w:szCs w:val="22"/>
        </w:rPr>
        <w:lastRenderedPageBreak/>
        <w:t>Perindopril je inhibítor enzýmu, ktorý konvertuje angiotenzín I na angiotenzín II (angiotenzín- konvertujúci enzým, ACE). Konvertujúci enzým alebo kináza je exopeptidáza, ktorá umožňuje konverziu angiotenzínu I na vazokonstrikčný angiotenzín II a zároveň spôsobuje rozpad vazodilatačného bradykinínu na neaktívny heptapeptid. Inhibícia ACE vedie k redukcii angiotenzínu II v plazme, čo vedie k zvýšenej aktivite plazmatického renínu (inhibíciou negatívnej spätnej väzby uvoľnenia renínu) a zníženej sekrécii aldosterónu. Keďže ACE inaktivuje bradykinín, inhibícia ACE vedie zároveň k zvýšenej aktivite obehového a lokálneho kalikreín-kinínového systému (a tým aj k aktivácii prostaglandínového systému). Je možné, že tento mechanizmus prispieva k účinku ACE inhibítorov na zníženie tlaku krvi a čiastočne je zodpovedný za ich vedľajšie účinky (napr. kašeľ).</w:t>
      </w:r>
    </w:p>
    <w:p w14:paraId="7F12C66B" w14:textId="77777777" w:rsidR="008746EE" w:rsidRPr="00876D60" w:rsidRDefault="008746EE" w:rsidP="008746EE">
      <w:pPr>
        <w:ind w:left="0" w:firstLine="0"/>
        <w:rPr>
          <w:szCs w:val="22"/>
        </w:rPr>
      </w:pPr>
      <w:r w:rsidRPr="00876D60">
        <w:rPr>
          <w:szCs w:val="22"/>
        </w:rPr>
        <w:t xml:space="preserve">Perindopril pôsobí prostredníctvom svojho aktívneho metabolitu, perindoprilátu. Ostatné metabolity nemajú </w:t>
      </w:r>
      <w:r w:rsidRPr="00876D60">
        <w:rPr>
          <w:i/>
          <w:szCs w:val="22"/>
        </w:rPr>
        <w:t>in vitro</w:t>
      </w:r>
      <w:r w:rsidRPr="00876D60">
        <w:rPr>
          <w:szCs w:val="22"/>
        </w:rPr>
        <w:t xml:space="preserve"> žiadnu ACE inhibičnú aktivitu.</w:t>
      </w:r>
    </w:p>
    <w:p w14:paraId="0E52E70B" w14:textId="77777777" w:rsidR="008746EE" w:rsidRDefault="008746EE" w:rsidP="008746EE">
      <w:pPr>
        <w:ind w:left="0" w:firstLine="0"/>
        <w:rPr>
          <w:szCs w:val="22"/>
          <w:u w:val="single"/>
        </w:rPr>
      </w:pPr>
    </w:p>
    <w:p w14:paraId="1D764154" w14:textId="77777777" w:rsidR="008746EE" w:rsidRDefault="008746EE" w:rsidP="008746EE">
      <w:pPr>
        <w:ind w:left="0" w:firstLine="0"/>
        <w:rPr>
          <w:szCs w:val="22"/>
          <w:u w:val="single"/>
        </w:rPr>
      </w:pPr>
      <w:r>
        <w:rPr>
          <w:szCs w:val="22"/>
          <w:u w:val="single"/>
        </w:rPr>
        <w:t>Farmakodynamické účinky</w:t>
      </w:r>
    </w:p>
    <w:p w14:paraId="5CB4ED0F" w14:textId="77777777" w:rsidR="008746EE" w:rsidRPr="00876D60" w:rsidRDefault="008746EE" w:rsidP="008746EE">
      <w:pPr>
        <w:ind w:left="0" w:firstLine="0"/>
        <w:rPr>
          <w:szCs w:val="22"/>
          <w:u w:val="single"/>
        </w:rPr>
      </w:pPr>
    </w:p>
    <w:p w14:paraId="23F74579" w14:textId="77777777" w:rsidR="008746EE" w:rsidRPr="00502145" w:rsidRDefault="008746EE" w:rsidP="008746EE">
      <w:pPr>
        <w:ind w:left="0" w:firstLine="0"/>
        <w:rPr>
          <w:i/>
          <w:iCs/>
          <w:szCs w:val="22"/>
        </w:rPr>
      </w:pPr>
      <w:r w:rsidRPr="00502145">
        <w:rPr>
          <w:i/>
          <w:iCs/>
          <w:szCs w:val="22"/>
        </w:rPr>
        <w:t>Hypertenzia</w:t>
      </w:r>
    </w:p>
    <w:p w14:paraId="6030F172" w14:textId="4F361D60" w:rsidR="008746EE" w:rsidRPr="00876D60" w:rsidRDefault="008746EE" w:rsidP="008746EE">
      <w:pPr>
        <w:ind w:left="0" w:firstLine="0"/>
        <w:rPr>
          <w:szCs w:val="22"/>
        </w:rPr>
      </w:pPr>
      <w:r w:rsidRPr="00876D60">
        <w:rPr>
          <w:szCs w:val="22"/>
        </w:rPr>
        <w:t>Perindopril je účinný pri všetkých stupňoch hypertenzie: miernej, stredne ťažkej, ťažkej; spôsobuje zníženie systolického a diastolického tlaku krvi v p</w:t>
      </w:r>
      <w:smartTag w:uri="urn:schemas-microsoft-com:office:smarttags" w:element="PersonName">
        <w:r w:rsidRPr="00876D60">
          <w:rPr>
            <w:szCs w:val="22"/>
          </w:rPr>
          <w:t>olo</w:t>
        </w:r>
      </w:smartTag>
      <w:r w:rsidRPr="00876D60">
        <w:rPr>
          <w:szCs w:val="22"/>
        </w:rPr>
        <w:t>he ležmo aj v stoji.</w:t>
      </w:r>
      <w:r>
        <w:rPr>
          <w:szCs w:val="22"/>
        </w:rPr>
        <w:t xml:space="preserve"> </w:t>
      </w:r>
      <w:r w:rsidRPr="00876D60">
        <w:rPr>
          <w:szCs w:val="22"/>
        </w:rPr>
        <w:t xml:space="preserve">Perindopril znižuje periférnu cievnu rezistenciu, čo vedie k zníženiu </w:t>
      </w:r>
      <w:r>
        <w:rPr>
          <w:szCs w:val="22"/>
        </w:rPr>
        <w:t xml:space="preserve">systémového </w:t>
      </w:r>
      <w:r w:rsidRPr="00876D60">
        <w:rPr>
          <w:szCs w:val="22"/>
        </w:rPr>
        <w:t xml:space="preserve">tlaku </w:t>
      </w:r>
      <w:r>
        <w:rPr>
          <w:szCs w:val="22"/>
        </w:rPr>
        <w:t>krvi</w:t>
      </w:r>
      <w:r w:rsidRPr="00876D60">
        <w:rPr>
          <w:szCs w:val="22"/>
        </w:rPr>
        <w:t>. Dôsledkom toho sa zvyšuje periférny prietok krvi bez účinku na srdcovú frekvenciu.</w:t>
      </w:r>
    </w:p>
    <w:p w14:paraId="50AB8EFC" w14:textId="77777777" w:rsidR="008746EE" w:rsidRPr="00876D60" w:rsidRDefault="008746EE" w:rsidP="008746EE">
      <w:pPr>
        <w:ind w:left="0" w:firstLine="0"/>
        <w:rPr>
          <w:szCs w:val="22"/>
        </w:rPr>
      </w:pPr>
      <w:r w:rsidRPr="00876D60">
        <w:rPr>
          <w:szCs w:val="22"/>
        </w:rPr>
        <w:t>Spravidla sa zvyšuje prietok krvi obličkami, kým rýchlosť glomerulárnej filtrácie (GFR) sa zvyčajne nemení.</w:t>
      </w:r>
    </w:p>
    <w:p w14:paraId="60993AF4" w14:textId="77777777" w:rsidR="008746EE" w:rsidRPr="00876D60" w:rsidRDefault="008746EE" w:rsidP="008746EE">
      <w:pPr>
        <w:ind w:left="0" w:firstLine="0"/>
        <w:rPr>
          <w:szCs w:val="22"/>
        </w:rPr>
      </w:pPr>
      <w:r w:rsidRPr="00876D60">
        <w:rPr>
          <w:szCs w:val="22"/>
        </w:rPr>
        <w:t>Antihypertenzný účinok je maximálny medzi 4 a</w:t>
      </w:r>
      <w:r>
        <w:rPr>
          <w:szCs w:val="22"/>
        </w:rPr>
        <w:t> </w:t>
      </w:r>
      <w:r w:rsidRPr="00876D60">
        <w:rPr>
          <w:szCs w:val="22"/>
        </w:rPr>
        <w:t>6</w:t>
      </w:r>
      <w:r>
        <w:rPr>
          <w:szCs w:val="22"/>
        </w:rPr>
        <w:t> </w:t>
      </w:r>
      <w:r w:rsidRPr="00876D60">
        <w:rPr>
          <w:szCs w:val="22"/>
        </w:rPr>
        <w:t>hodinou po podaní jednej dávky a pretrváva najmenej 24</w:t>
      </w:r>
      <w:r>
        <w:rPr>
          <w:szCs w:val="22"/>
        </w:rPr>
        <w:t> </w:t>
      </w:r>
      <w:r w:rsidRPr="00876D60">
        <w:rPr>
          <w:szCs w:val="22"/>
        </w:rPr>
        <w:t xml:space="preserve">hodín: účinok </w:t>
      </w:r>
      <w:r w:rsidRPr="00AE63D6">
        <w:rPr>
          <w:szCs w:val="22"/>
        </w:rPr>
        <w:t>v čase minimálnej účinnosti</w:t>
      </w:r>
      <w:r w:rsidRPr="00876D60">
        <w:rPr>
          <w:szCs w:val="22"/>
        </w:rPr>
        <w:t xml:space="preserve"> predstavuje približne 87</w:t>
      </w:r>
      <w:r>
        <w:rPr>
          <w:szCs w:val="22"/>
        </w:rPr>
        <w:noBreakHyphen/>
      </w:r>
      <w:r w:rsidRPr="00876D60">
        <w:rPr>
          <w:szCs w:val="22"/>
        </w:rPr>
        <w:t>100</w:t>
      </w:r>
      <w:r>
        <w:rPr>
          <w:szCs w:val="22"/>
        </w:rPr>
        <w:t> </w:t>
      </w:r>
      <w:r w:rsidRPr="00876D60">
        <w:rPr>
          <w:szCs w:val="22"/>
        </w:rPr>
        <w:t>% účinku v čase maximálnej účinnosti.</w:t>
      </w:r>
    </w:p>
    <w:p w14:paraId="71778192" w14:textId="77777777" w:rsidR="008746EE" w:rsidRPr="00876D60" w:rsidRDefault="008746EE" w:rsidP="008746EE">
      <w:pPr>
        <w:ind w:left="0" w:firstLine="0"/>
        <w:rPr>
          <w:szCs w:val="22"/>
        </w:rPr>
      </w:pPr>
      <w:r w:rsidRPr="00876D60">
        <w:rPr>
          <w:szCs w:val="22"/>
        </w:rPr>
        <w:t>K zníženiu tlaku krvi dochádza rýchlo. U reagujúcich pacientov sa normalizácia tlaku dosiahne v priebehu jedného mesiaca a pretrváva bez výskytu tachyfylaxie.</w:t>
      </w:r>
    </w:p>
    <w:p w14:paraId="10B2C391" w14:textId="77777777" w:rsidR="008746EE" w:rsidRPr="00876D60" w:rsidRDefault="008746EE" w:rsidP="008746EE">
      <w:pPr>
        <w:ind w:left="0" w:firstLine="0"/>
        <w:rPr>
          <w:szCs w:val="22"/>
        </w:rPr>
      </w:pPr>
      <w:r w:rsidRPr="00876D60">
        <w:rPr>
          <w:szCs w:val="22"/>
        </w:rPr>
        <w:t xml:space="preserve">Ukončenie liečby nevedie k </w:t>
      </w:r>
      <w:r w:rsidRPr="00CC7907">
        <w:rPr>
          <w:szCs w:val="22"/>
        </w:rPr>
        <w:t>rebound</w:t>
      </w:r>
      <w:r w:rsidRPr="00876D60">
        <w:rPr>
          <w:szCs w:val="22"/>
        </w:rPr>
        <w:t xml:space="preserve"> fenoménu.</w:t>
      </w:r>
    </w:p>
    <w:p w14:paraId="35053904" w14:textId="77777777" w:rsidR="008746EE" w:rsidRPr="00876D60" w:rsidRDefault="008746EE" w:rsidP="008746EE">
      <w:pPr>
        <w:ind w:left="0" w:firstLine="0"/>
        <w:rPr>
          <w:szCs w:val="22"/>
        </w:rPr>
      </w:pPr>
      <w:r w:rsidRPr="00876D60">
        <w:rPr>
          <w:szCs w:val="22"/>
        </w:rPr>
        <w:t>Perindopril redukuje hypertrofiu ľavej komory.</w:t>
      </w:r>
    </w:p>
    <w:p w14:paraId="24690FCB" w14:textId="6A11DDD7" w:rsidR="008746EE" w:rsidRPr="00876D60" w:rsidRDefault="008746EE" w:rsidP="008746EE">
      <w:pPr>
        <w:ind w:left="0" w:firstLine="0"/>
        <w:rPr>
          <w:szCs w:val="22"/>
        </w:rPr>
      </w:pPr>
      <w:r w:rsidRPr="00876D60">
        <w:rPr>
          <w:szCs w:val="22"/>
        </w:rPr>
        <w:t>U ľudí boli potvrdené vazodilačné vlastnosti perindoprilu. Perindopril zlepšuje elasticitu veľkých artérií a znižuje pomer média : lúmen malých artérií.</w:t>
      </w:r>
    </w:p>
    <w:p w14:paraId="6D8FA134" w14:textId="4A786582" w:rsidR="008746EE" w:rsidRPr="00876D60" w:rsidRDefault="008746EE" w:rsidP="008746EE">
      <w:pPr>
        <w:ind w:left="0" w:firstLine="0"/>
        <w:rPr>
          <w:szCs w:val="22"/>
        </w:rPr>
      </w:pPr>
      <w:r w:rsidRPr="00876D60">
        <w:rPr>
          <w:szCs w:val="22"/>
        </w:rPr>
        <w:t>Sú</w:t>
      </w:r>
      <w:r>
        <w:rPr>
          <w:szCs w:val="22"/>
        </w:rPr>
        <w:t>bež</w:t>
      </w:r>
      <w:r w:rsidRPr="00876D60">
        <w:rPr>
          <w:szCs w:val="22"/>
        </w:rPr>
        <w:t>ná terapia tiazidovými diuretikami má aditívny synergický účinok. Kombinácia ACE inhibítora a tiazidu znižuje tiež riziko hypokaliémie vyvolanej liečbou diuretikami.</w:t>
      </w:r>
    </w:p>
    <w:p w14:paraId="3A284C84" w14:textId="77777777" w:rsidR="008746EE" w:rsidRPr="00876D60" w:rsidRDefault="008746EE" w:rsidP="008746EE">
      <w:pPr>
        <w:ind w:left="0" w:firstLine="0"/>
        <w:rPr>
          <w:szCs w:val="22"/>
        </w:rPr>
      </w:pPr>
    </w:p>
    <w:p w14:paraId="370C2AC3" w14:textId="77777777" w:rsidR="008746EE" w:rsidRPr="00066589" w:rsidRDefault="008746EE" w:rsidP="008746EE">
      <w:pPr>
        <w:ind w:left="0" w:firstLine="0"/>
        <w:rPr>
          <w:i/>
          <w:iCs/>
          <w:szCs w:val="22"/>
        </w:rPr>
      </w:pPr>
      <w:r w:rsidRPr="00066589">
        <w:rPr>
          <w:i/>
          <w:iCs/>
          <w:szCs w:val="22"/>
        </w:rPr>
        <w:t>Srdcové zlyhanie</w:t>
      </w:r>
    </w:p>
    <w:p w14:paraId="68D14744" w14:textId="77777777" w:rsidR="008746EE" w:rsidRPr="00876D60" w:rsidRDefault="008746EE" w:rsidP="008746EE">
      <w:pPr>
        <w:ind w:left="0" w:firstLine="0"/>
        <w:rPr>
          <w:szCs w:val="22"/>
        </w:rPr>
      </w:pPr>
      <w:r w:rsidRPr="00876D60">
        <w:rPr>
          <w:szCs w:val="22"/>
        </w:rPr>
        <w:t>P</w:t>
      </w:r>
      <w:r>
        <w:rPr>
          <w:szCs w:val="22"/>
        </w:rPr>
        <w:t>erindopril</w:t>
      </w:r>
      <w:r w:rsidRPr="00876D60">
        <w:rPr>
          <w:szCs w:val="22"/>
        </w:rPr>
        <w:t xml:space="preserve"> znižuje prácu srdca znížením preloadu a afterloadu.</w:t>
      </w:r>
    </w:p>
    <w:p w14:paraId="3FA7E008" w14:textId="77777777" w:rsidR="008746EE" w:rsidRPr="00876D60" w:rsidRDefault="008746EE" w:rsidP="008746EE">
      <w:pPr>
        <w:ind w:left="0" w:firstLine="0"/>
        <w:rPr>
          <w:szCs w:val="22"/>
        </w:rPr>
      </w:pPr>
      <w:r w:rsidRPr="00876D60">
        <w:rPr>
          <w:szCs w:val="22"/>
        </w:rPr>
        <w:t>Štúdie u pacientov so srdcovým zlyhaním preukázali:</w:t>
      </w:r>
    </w:p>
    <w:p w14:paraId="264A7510" w14:textId="07DB155B" w:rsidR="008746EE" w:rsidRPr="00876D60" w:rsidRDefault="008746EE" w:rsidP="008746EE">
      <w:pPr>
        <w:numPr>
          <w:ilvl w:val="2"/>
          <w:numId w:val="13"/>
        </w:numPr>
        <w:tabs>
          <w:tab w:val="clear" w:pos="2160"/>
          <w:tab w:val="num" w:pos="567"/>
        </w:tabs>
        <w:ind w:hanging="2160"/>
        <w:rPr>
          <w:szCs w:val="22"/>
        </w:rPr>
      </w:pPr>
      <w:r w:rsidRPr="00876D60">
        <w:rPr>
          <w:szCs w:val="22"/>
        </w:rPr>
        <w:t>zníženie plniaceho tlaku ľavej a pravej komory,</w:t>
      </w:r>
    </w:p>
    <w:p w14:paraId="1179BEB5" w14:textId="7ACEF176" w:rsidR="008746EE" w:rsidRPr="00876D60" w:rsidRDefault="008746EE" w:rsidP="008746EE">
      <w:pPr>
        <w:numPr>
          <w:ilvl w:val="2"/>
          <w:numId w:val="13"/>
        </w:numPr>
        <w:tabs>
          <w:tab w:val="clear" w:pos="2160"/>
          <w:tab w:val="num" w:pos="567"/>
        </w:tabs>
        <w:ind w:hanging="2160"/>
        <w:rPr>
          <w:szCs w:val="22"/>
        </w:rPr>
      </w:pPr>
      <w:r w:rsidRPr="00876D60">
        <w:rPr>
          <w:szCs w:val="22"/>
        </w:rPr>
        <w:t>zníženie celkovej periférnej cievnej rezistencie,</w:t>
      </w:r>
    </w:p>
    <w:p w14:paraId="0695DBB5" w14:textId="70123EEA" w:rsidR="008746EE" w:rsidRPr="00876D60" w:rsidRDefault="008746EE" w:rsidP="008746EE">
      <w:pPr>
        <w:numPr>
          <w:ilvl w:val="2"/>
          <w:numId w:val="13"/>
        </w:numPr>
        <w:tabs>
          <w:tab w:val="clear" w:pos="2160"/>
          <w:tab w:val="num" w:pos="567"/>
        </w:tabs>
        <w:ind w:hanging="2160"/>
        <w:rPr>
          <w:szCs w:val="22"/>
        </w:rPr>
      </w:pPr>
      <w:r w:rsidRPr="00876D60">
        <w:rPr>
          <w:szCs w:val="22"/>
        </w:rPr>
        <w:t>zvýšenie srdcového výdaja a zlepšenie kardiálneho indexu.</w:t>
      </w:r>
    </w:p>
    <w:p w14:paraId="3E1A59D7" w14:textId="77777777" w:rsidR="008746EE" w:rsidRDefault="008746EE" w:rsidP="008746EE">
      <w:pPr>
        <w:ind w:left="0" w:firstLine="0"/>
        <w:rPr>
          <w:szCs w:val="22"/>
        </w:rPr>
      </w:pPr>
    </w:p>
    <w:p w14:paraId="13F55198" w14:textId="77777777" w:rsidR="008746EE" w:rsidRPr="00876D60" w:rsidRDefault="008746EE" w:rsidP="008746EE">
      <w:pPr>
        <w:ind w:left="0" w:firstLine="0"/>
        <w:rPr>
          <w:szCs w:val="22"/>
        </w:rPr>
      </w:pPr>
      <w:r w:rsidRPr="00876D60">
        <w:rPr>
          <w:szCs w:val="22"/>
        </w:rPr>
        <w:t>V porovnávajúcich štúdiách podanie prvej 2</w:t>
      </w:r>
      <w:r>
        <w:rPr>
          <w:szCs w:val="22"/>
        </w:rPr>
        <w:t> </w:t>
      </w:r>
      <w:r w:rsidRPr="00876D60">
        <w:rPr>
          <w:szCs w:val="22"/>
        </w:rPr>
        <w:t xml:space="preserve">mg dávky </w:t>
      </w:r>
      <w:r>
        <w:rPr>
          <w:szCs w:val="22"/>
        </w:rPr>
        <w:t>perindoprilu paci</w:t>
      </w:r>
      <w:r w:rsidRPr="00876D60">
        <w:rPr>
          <w:szCs w:val="22"/>
        </w:rPr>
        <w:t xml:space="preserve">entom s miernym až stredne závažným srdcovým zlyhaním neviedlo k žiadnemu </w:t>
      </w:r>
      <w:r>
        <w:rPr>
          <w:szCs w:val="22"/>
        </w:rPr>
        <w:t>významnému</w:t>
      </w:r>
      <w:r w:rsidRPr="00876D60">
        <w:rPr>
          <w:szCs w:val="22"/>
        </w:rPr>
        <w:t xml:space="preserve"> zníženiu tlaku krvi v porovnaní s placebom. </w:t>
      </w:r>
    </w:p>
    <w:p w14:paraId="4547E872" w14:textId="77777777" w:rsidR="008746EE" w:rsidRDefault="008746EE" w:rsidP="008746EE">
      <w:pPr>
        <w:ind w:left="0" w:firstLine="0"/>
        <w:rPr>
          <w:szCs w:val="22"/>
        </w:rPr>
      </w:pPr>
    </w:p>
    <w:p w14:paraId="72AD280A" w14:textId="77777777" w:rsidR="008746EE" w:rsidRPr="00C10A44" w:rsidRDefault="008746EE" w:rsidP="008746EE">
      <w:pPr>
        <w:ind w:left="0" w:firstLine="0"/>
        <w:rPr>
          <w:szCs w:val="22"/>
          <w:u w:val="single"/>
        </w:rPr>
      </w:pPr>
      <w:r w:rsidRPr="00C10A44">
        <w:rPr>
          <w:szCs w:val="22"/>
          <w:u w:val="single"/>
        </w:rPr>
        <w:t>Klinická účinnosť a bezpečnosť</w:t>
      </w:r>
    </w:p>
    <w:p w14:paraId="77E60489" w14:textId="77777777" w:rsidR="008746EE" w:rsidRPr="00876D60" w:rsidRDefault="008746EE" w:rsidP="008746EE">
      <w:pPr>
        <w:ind w:left="0" w:firstLine="0"/>
        <w:rPr>
          <w:szCs w:val="22"/>
        </w:rPr>
      </w:pPr>
    </w:p>
    <w:p w14:paraId="4E48F42E" w14:textId="07048B60" w:rsidR="008746EE" w:rsidRPr="008B1A5C" w:rsidRDefault="008746EE" w:rsidP="008746EE">
      <w:pPr>
        <w:ind w:left="0" w:firstLine="0"/>
        <w:rPr>
          <w:i/>
          <w:iCs/>
          <w:szCs w:val="22"/>
        </w:rPr>
      </w:pPr>
      <w:r w:rsidRPr="008B1A5C">
        <w:rPr>
          <w:i/>
          <w:iCs/>
          <w:szCs w:val="22"/>
        </w:rPr>
        <w:t>Pacienti so stabilnými formami ischemickej choroby srdca</w:t>
      </w:r>
    </w:p>
    <w:p w14:paraId="5FCC5EA7" w14:textId="546398CC" w:rsidR="008746EE" w:rsidRPr="00876D60" w:rsidRDefault="008746EE" w:rsidP="008746EE">
      <w:pPr>
        <w:ind w:left="0" w:firstLine="0"/>
        <w:rPr>
          <w:bCs/>
          <w:iCs/>
          <w:szCs w:val="22"/>
        </w:rPr>
      </w:pPr>
      <w:r w:rsidRPr="00876D60">
        <w:rPr>
          <w:bCs/>
          <w:iCs/>
          <w:szCs w:val="22"/>
        </w:rPr>
        <w:t xml:space="preserve">Štúdia EUROPA bola multicentrická, medzinárodná, randomizovaná, dvojito </w:t>
      </w:r>
      <w:r>
        <w:rPr>
          <w:bCs/>
          <w:iCs/>
          <w:szCs w:val="22"/>
        </w:rPr>
        <w:t>zaslepená</w:t>
      </w:r>
      <w:r w:rsidRPr="00876D60">
        <w:rPr>
          <w:bCs/>
          <w:iCs/>
          <w:szCs w:val="22"/>
        </w:rPr>
        <w:t xml:space="preserve"> a placebom kontr</w:t>
      </w:r>
      <w:smartTag w:uri="urn:schemas-microsoft-com:office:smarttags" w:element="PersonName">
        <w:r w:rsidRPr="00876D60">
          <w:rPr>
            <w:bCs/>
            <w:iCs/>
            <w:szCs w:val="22"/>
          </w:rPr>
          <w:t>olo</w:t>
        </w:r>
      </w:smartTag>
      <w:r w:rsidRPr="00876D60">
        <w:rPr>
          <w:bCs/>
          <w:iCs/>
          <w:szCs w:val="22"/>
        </w:rPr>
        <w:t>vaná klinická štúdia, ktorá trvala 4</w:t>
      </w:r>
      <w:r>
        <w:rPr>
          <w:bCs/>
          <w:iCs/>
          <w:szCs w:val="22"/>
        </w:rPr>
        <w:t> </w:t>
      </w:r>
      <w:r w:rsidRPr="00876D60">
        <w:rPr>
          <w:bCs/>
          <w:iCs/>
          <w:szCs w:val="22"/>
        </w:rPr>
        <w:t>roky.</w:t>
      </w:r>
    </w:p>
    <w:p w14:paraId="3E58139F" w14:textId="77777777" w:rsidR="008746EE" w:rsidRPr="00876D60" w:rsidRDefault="008746EE" w:rsidP="008746EE">
      <w:pPr>
        <w:ind w:left="0" w:firstLine="0"/>
        <w:rPr>
          <w:bCs/>
          <w:iCs/>
          <w:szCs w:val="22"/>
        </w:rPr>
      </w:pPr>
      <w:r w:rsidRPr="00876D60">
        <w:rPr>
          <w:bCs/>
          <w:iCs/>
          <w:szCs w:val="22"/>
        </w:rPr>
        <w:t>Z</w:t>
      </w:r>
      <w:r>
        <w:rPr>
          <w:bCs/>
          <w:iCs/>
          <w:szCs w:val="22"/>
        </w:rPr>
        <w:t> </w:t>
      </w:r>
      <w:r w:rsidRPr="00876D60">
        <w:rPr>
          <w:bCs/>
          <w:iCs/>
          <w:szCs w:val="22"/>
        </w:rPr>
        <w:t>12</w:t>
      </w:r>
      <w:r>
        <w:rPr>
          <w:bCs/>
          <w:iCs/>
          <w:szCs w:val="22"/>
        </w:rPr>
        <w:t> </w:t>
      </w:r>
      <w:r w:rsidRPr="00876D60">
        <w:rPr>
          <w:bCs/>
          <w:iCs/>
          <w:szCs w:val="22"/>
        </w:rPr>
        <w:t>218 pacientov starších ako 18</w:t>
      </w:r>
      <w:r>
        <w:rPr>
          <w:bCs/>
          <w:iCs/>
          <w:szCs w:val="22"/>
        </w:rPr>
        <w:t> </w:t>
      </w:r>
      <w:r w:rsidRPr="00876D60">
        <w:rPr>
          <w:bCs/>
          <w:iCs/>
          <w:szCs w:val="22"/>
        </w:rPr>
        <w:t>rokov b</w:t>
      </w:r>
      <w:smartTag w:uri="urn:schemas-microsoft-com:office:smarttags" w:element="PersonName">
        <w:r w:rsidRPr="00876D60">
          <w:rPr>
            <w:bCs/>
            <w:iCs/>
            <w:szCs w:val="22"/>
          </w:rPr>
          <w:t>olo</w:t>
        </w:r>
      </w:smartTag>
      <w:r w:rsidRPr="00876D60">
        <w:rPr>
          <w:bCs/>
          <w:iCs/>
          <w:szCs w:val="22"/>
        </w:rPr>
        <w:t xml:space="preserve"> zaradených 6</w:t>
      </w:r>
      <w:r>
        <w:rPr>
          <w:bCs/>
          <w:iCs/>
          <w:szCs w:val="22"/>
        </w:rPr>
        <w:t> </w:t>
      </w:r>
      <w:r w:rsidRPr="00876D60">
        <w:rPr>
          <w:bCs/>
          <w:iCs/>
          <w:szCs w:val="22"/>
        </w:rPr>
        <w:t>110 pacientov na perindopril 8</w:t>
      </w:r>
      <w:r>
        <w:rPr>
          <w:bCs/>
          <w:iCs/>
          <w:szCs w:val="22"/>
        </w:rPr>
        <w:t> </w:t>
      </w:r>
      <w:r w:rsidRPr="00876D60">
        <w:rPr>
          <w:bCs/>
          <w:iCs/>
          <w:szCs w:val="22"/>
        </w:rPr>
        <w:t>mg</w:t>
      </w:r>
      <w:r>
        <w:rPr>
          <w:bCs/>
          <w:iCs/>
          <w:szCs w:val="22"/>
        </w:rPr>
        <w:t xml:space="preserve"> </w:t>
      </w:r>
      <w:r w:rsidRPr="00876D60">
        <w:rPr>
          <w:bCs/>
          <w:iCs/>
          <w:szCs w:val="22"/>
        </w:rPr>
        <w:t>a</w:t>
      </w:r>
      <w:r>
        <w:rPr>
          <w:bCs/>
          <w:iCs/>
          <w:szCs w:val="22"/>
        </w:rPr>
        <w:t> </w:t>
      </w:r>
      <w:r w:rsidRPr="00876D60">
        <w:rPr>
          <w:bCs/>
          <w:iCs/>
          <w:szCs w:val="22"/>
        </w:rPr>
        <w:t>6</w:t>
      </w:r>
      <w:r>
        <w:rPr>
          <w:bCs/>
          <w:iCs/>
          <w:szCs w:val="22"/>
        </w:rPr>
        <w:t> </w:t>
      </w:r>
      <w:r w:rsidRPr="00876D60">
        <w:rPr>
          <w:bCs/>
          <w:iCs/>
          <w:szCs w:val="22"/>
        </w:rPr>
        <w:t>108 pacientov na placebo.</w:t>
      </w:r>
    </w:p>
    <w:p w14:paraId="53F58444" w14:textId="5B8ED961" w:rsidR="008746EE" w:rsidRDefault="008746EE" w:rsidP="008746EE">
      <w:pPr>
        <w:pStyle w:val="BodyText31"/>
        <w:rPr>
          <w:rFonts w:ascii="Times New Roman" w:hAnsi="Times New Roman"/>
          <w:bCs/>
          <w:iCs/>
          <w:sz w:val="22"/>
          <w:szCs w:val="22"/>
        </w:rPr>
      </w:pPr>
      <w:r w:rsidRPr="00876D60">
        <w:rPr>
          <w:rFonts w:ascii="Times New Roman" w:hAnsi="Times New Roman"/>
          <w:bCs/>
          <w:iCs/>
          <w:sz w:val="22"/>
          <w:szCs w:val="22"/>
        </w:rPr>
        <w:t>Populácia v štúdii mala potvrdenú ischemickú chorobu srdca</w:t>
      </w:r>
      <w:r>
        <w:rPr>
          <w:rFonts w:ascii="Times New Roman" w:hAnsi="Times New Roman"/>
          <w:bCs/>
          <w:iCs/>
          <w:sz w:val="22"/>
          <w:szCs w:val="22"/>
        </w:rPr>
        <w:t xml:space="preserve"> bez potvrdených klinických príznakov srdcového zlyhania. Celkovo 90 % pacientov</w:t>
      </w:r>
      <w:r w:rsidRPr="00876D60">
        <w:rPr>
          <w:rFonts w:ascii="Times New Roman" w:hAnsi="Times New Roman"/>
          <w:bCs/>
          <w:iCs/>
          <w:sz w:val="22"/>
          <w:szCs w:val="22"/>
        </w:rPr>
        <w:t xml:space="preserve"> </w:t>
      </w:r>
      <w:r>
        <w:rPr>
          <w:rFonts w:ascii="Times New Roman" w:hAnsi="Times New Roman"/>
          <w:bCs/>
          <w:iCs/>
          <w:sz w:val="22"/>
          <w:szCs w:val="22"/>
        </w:rPr>
        <w:t xml:space="preserve">v minulosti prekonalo </w:t>
      </w:r>
      <w:r w:rsidRPr="00876D60">
        <w:rPr>
          <w:rFonts w:ascii="Times New Roman" w:hAnsi="Times New Roman"/>
          <w:bCs/>
          <w:iCs/>
          <w:sz w:val="22"/>
          <w:szCs w:val="22"/>
        </w:rPr>
        <w:t>infarkt myokardu</w:t>
      </w:r>
      <w:r>
        <w:rPr>
          <w:rFonts w:ascii="Times New Roman" w:hAnsi="Times New Roman"/>
          <w:bCs/>
          <w:iCs/>
          <w:sz w:val="22"/>
          <w:szCs w:val="22"/>
        </w:rPr>
        <w:t xml:space="preserve"> a/alebo</w:t>
      </w:r>
      <w:r w:rsidRPr="00876D60">
        <w:rPr>
          <w:rFonts w:ascii="Times New Roman" w:hAnsi="Times New Roman"/>
          <w:bCs/>
          <w:iCs/>
          <w:sz w:val="22"/>
          <w:szCs w:val="22"/>
        </w:rPr>
        <w:t xml:space="preserve"> koronárnu revaskularizáciu</w:t>
      </w:r>
      <w:r>
        <w:rPr>
          <w:rFonts w:ascii="Times New Roman" w:hAnsi="Times New Roman"/>
          <w:bCs/>
          <w:iCs/>
          <w:sz w:val="22"/>
          <w:szCs w:val="22"/>
        </w:rPr>
        <w:t xml:space="preserve">. </w:t>
      </w:r>
      <w:r w:rsidRPr="00876D60">
        <w:rPr>
          <w:rFonts w:ascii="Times New Roman" w:hAnsi="Times New Roman"/>
          <w:bCs/>
          <w:iCs/>
          <w:sz w:val="22"/>
          <w:szCs w:val="22"/>
        </w:rPr>
        <w:t xml:space="preserve">Väčšina pacientov </w:t>
      </w:r>
      <w:r w:rsidRPr="00D40305">
        <w:rPr>
          <w:rFonts w:ascii="Times New Roman" w:hAnsi="Times New Roman"/>
          <w:bCs/>
          <w:iCs/>
          <w:sz w:val="22"/>
          <w:szCs w:val="22"/>
        </w:rPr>
        <w:t>počas štúdie bola liečená aj konvenčnou terapiou, vrátane antiagregačných látok, hypolipidemík a betablokátorov</w:t>
      </w:r>
      <w:r w:rsidRPr="00876D60">
        <w:rPr>
          <w:rFonts w:ascii="Times New Roman" w:hAnsi="Times New Roman"/>
          <w:bCs/>
          <w:iCs/>
          <w:sz w:val="22"/>
          <w:szCs w:val="22"/>
        </w:rPr>
        <w:t xml:space="preserve">. </w:t>
      </w:r>
      <w:r>
        <w:rPr>
          <w:rFonts w:ascii="Times New Roman" w:hAnsi="Times New Roman"/>
          <w:bCs/>
          <w:iCs/>
          <w:sz w:val="22"/>
          <w:szCs w:val="22"/>
        </w:rPr>
        <w:t xml:space="preserve">Hlavným hodnotiacim kritériom účinnosti bola kombinácia kardiovaskulárnej mortality, nefatálneho infarktu myokardu a/alebo zástavy </w:t>
      </w:r>
      <w:r>
        <w:rPr>
          <w:rFonts w:ascii="Times New Roman" w:hAnsi="Times New Roman"/>
          <w:bCs/>
          <w:iCs/>
          <w:sz w:val="22"/>
          <w:szCs w:val="22"/>
        </w:rPr>
        <w:lastRenderedPageBreak/>
        <w:t>srdca s úspešnou resuscitáciou. Liečba perindoprilom v dávke 8 mg raz denne viedla k signifikantnému absolútnemu zníženiu primárneho cieľového ukazovateľa o 1,9% (zníženie relatívneho rizika o 20 %, 95 % CI [9,4; 28,6] – p &lt;0,001).</w:t>
      </w:r>
    </w:p>
    <w:p w14:paraId="0CE005D0" w14:textId="47A46B52" w:rsidR="008746EE" w:rsidRDefault="008746EE" w:rsidP="008746EE">
      <w:pPr>
        <w:pStyle w:val="BodyText31"/>
        <w:rPr>
          <w:rFonts w:ascii="Times New Roman" w:hAnsi="Times New Roman"/>
          <w:bCs/>
          <w:iCs/>
          <w:sz w:val="22"/>
          <w:szCs w:val="22"/>
        </w:rPr>
      </w:pPr>
      <w:r>
        <w:rPr>
          <w:rFonts w:ascii="Times New Roman" w:hAnsi="Times New Roman"/>
          <w:bCs/>
          <w:iCs/>
          <w:sz w:val="22"/>
          <w:szCs w:val="22"/>
        </w:rPr>
        <w:t>U pacientov s infarktom myokardu a/alebo revaskularizáciou v anamnéze b</w:t>
      </w:r>
      <w:smartTag w:uri="urn:schemas-microsoft-com:office:smarttags" w:element="PersonName">
        <w:r>
          <w:rPr>
            <w:rFonts w:ascii="Times New Roman" w:hAnsi="Times New Roman"/>
            <w:bCs/>
            <w:iCs/>
            <w:sz w:val="22"/>
            <w:szCs w:val="22"/>
          </w:rPr>
          <w:t>olo</w:t>
        </w:r>
      </w:smartTag>
      <w:r>
        <w:rPr>
          <w:rFonts w:ascii="Times New Roman" w:hAnsi="Times New Roman"/>
          <w:bCs/>
          <w:iCs/>
          <w:sz w:val="22"/>
          <w:szCs w:val="22"/>
        </w:rPr>
        <w:t xml:space="preserve"> zaznamenané absolútne zníženie primárneho cieľového ukazovateľa v porovnaní s placebom o 2,2 %, zodpovedajúce zníženiu relatívneho rizika (RRR) o 22,4 % (95 % CI [12,0; 31,6] – p &lt;0,001).</w:t>
      </w:r>
    </w:p>
    <w:p w14:paraId="094BBFA1" w14:textId="77777777" w:rsidR="008746EE" w:rsidRDefault="008746EE" w:rsidP="008746EE">
      <w:pPr>
        <w:pStyle w:val="Zarkazkladnhotextu"/>
        <w:rPr>
          <w:u w:val="single"/>
        </w:rPr>
      </w:pPr>
    </w:p>
    <w:p w14:paraId="3A032668" w14:textId="77777777" w:rsidR="008746EE" w:rsidRPr="007456E0" w:rsidRDefault="008746EE" w:rsidP="008746EE">
      <w:pPr>
        <w:pStyle w:val="Zarkazkladnhotextu"/>
        <w:ind w:firstLine="0"/>
        <w:rPr>
          <w:u w:val="single"/>
        </w:rPr>
      </w:pPr>
      <w:r w:rsidRPr="007456E0">
        <w:rPr>
          <w:u w:val="single"/>
        </w:rPr>
        <w:t>Použitie v pediatrickej populácii:</w:t>
      </w:r>
    </w:p>
    <w:p w14:paraId="25E52FFC" w14:textId="77777777" w:rsidR="008746EE" w:rsidRPr="00050D03" w:rsidRDefault="008746EE" w:rsidP="008746EE">
      <w:pPr>
        <w:pStyle w:val="Zarkazkladnhotextu"/>
        <w:ind w:firstLine="0"/>
      </w:pPr>
      <w:r w:rsidRPr="00050D03">
        <w:t>Bezpečnosť a účinnosť perindoprilu u detí a dospievajúcich mladších ako 18 rokov nebola stanovená.</w:t>
      </w:r>
    </w:p>
    <w:p w14:paraId="646EA5F8" w14:textId="77777777" w:rsidR="008746EE" w:rsidRPr="00050D03" w:rsidRDefault="008746EE" w:rsidP="008746EE">
      <w:pPr>
        <w:pStyle w:val="Zarkazkladnhotextu"/>
        <w:ind w:firstLine="0"/>
      </w:pPr>
      <w:r w:rsidRPr="00050D03">
        <w:t>V otvorenej neporovnávacej klinickej štúdii u 62 detí s hypertenziou vo veku 2 až 15 rokov s rýchlosťou glomerulárnej filtrácie &gt; 30 ml/min/1,73 m</w:t>
      </w:r>
      <w:r w:rsidRPr="00050D03">
        <w:rPr>
          <w:vertAlign w:val="superscript"/>
        </w:rPr>
        <w:t>2</w:t>
      </w:r>
      <w:r w:rsidRPr="00050D03">
        <w:t>, dostávali pacienti perindopril s priemernou dávkou 0,07 mg/kg. Dávka bola individualizovaná podľa profilu pacienta a odpovede krvného tlaku až do maximálnej dávky 0,135 mg/kg/deň.</w:t>
      </w:r>
    </w:p>
    <w:p w14:paraId="03E2099E" w14:textId="77777777" w:rsidR="008746EE" w:rsidRPr="00050D03" w:rsidRDefault="008746EE" w:rsidP="008746EE">
      <w:pPr>
        <w:pStyle w:val="Zarkazkladnhotextu"/>
        <w:ind w:firstLine="0"/>
      </w:pPr>
      <w:r w:rsidRPr="00050D03">
        <w:t>59 pacientov dokončilo obdobie troch mesiacov a 36 pacientov dokončilo predĺžené obdobie štúdie, t.j. boli sledovaní najmenej 24 mesiacov (priemerné trvanie štúdie: 44 mesiacov).</w:t>
      </w:r>
    </w:p>
    <w:p w14:paraId="1197A2CE" w14:textId="09B6118B" w:rsidR="008746EE" w:rsidRPr="00050D03" w:rsidRDefault="008746EE" w:rsidP="008746EE">
      <w:pPr>
        <w:pStyle w:val="Zarkazkladnhotextu"/>
        <w:ind w:firstLine="0"/>
      </w:pPr>
      <w:r w:rsidRPr="00050D03">
        <w:t>Systolický a diastolický krvný tlak zostal stabilný od zaradenia</w:t>
      </w:r>
      <w:r>
        <w:t xml:space="preserve"> do štúdie</w:t>
      </w:r>
      <w:r w:rsidRPr="00050D03">
        <w:t xml:space="preserve"> až po posledné </w:t>
      </w:r>
      <w:r>
        <w:t>hodnotenie</w:t>
      </w:r>
      <w:r w:rsidRPr="00050D03">
        <w:t xml:space="preserve"> u pacientov, ktorí boli už liečení inými antihypertenzívami, a znížil sa u pacientov bez </w:t>
      </w:r>
      <w:r w:rsidR="00036834">
        <w:t>predchádzajúcej liečby</w:t>
      </w:r>
      <w:r w:rsidRPr="00050D03">
        <w:t>.</w:t>
      </w:r>
    </w:p>
    <w:p w14:paraId="014D795A" w14:textId="77777777" w:rsidR="008746EE" w:rsidRPr="00050D03" w:rsidRDefault="008746EE" w:rsidP="008746EE">
      <w:pPr>
        <w:pStyle w:val="Zarkazkladnhotextu"/>
        <w:ind w:firstLine="0"/>
      </w:pPr>
      <w:r w:rsidRPr="00050D03">
        <w:t>Viac ako 75 %</w:t>
      </w:r>
      <w:r>
        <w:t xml:space="preserve"> </w:t>
      </w:r>
      <w:r w:rsidRPr="00050D03">
        <w:t xml:space="preserve">detí malo pri poslednom </w:t>
      </w:r>
      <w:r>
        <w:t>hodnoten</w:t>
      </w:r>
      <w:r w:rsidRPr="00050D03">
        <w:t>í systolický a diastolický krvný tlak pod 95. percentilom.</w:t>
      </w:r>
    </w:p>
    <w:p w14:paraId="1435343C" w14:textId="77777777" w:rsidR="008746EE" w:rsidRPr="00110BEF" w:rsidRDefault="008746EE" w:rsidP="008746EE">
      <w:pPr>
        <w:pStyle w:val="Zarkazkladnhotextu"/>
        <w:ind w:firstLine="0"/>
      </w:pPr>
      <w:r w:rsidRPr="00050D03">
        <w:t>Bezpečnosť bola zhodná so známym bezpečnostným profilom perindoprilu</w:t>
      </w:r>
      <w:r>
        <w:t>.</w:t>
      </w:r>
    </w:p>
    <w:p w14:paraId="5821A0A9" w14:textId="77777777" w:rsidR="008746EE" w:rsidRDefault="008746EE" w:rsidP="008746EE">
      <w:pPr>
        <w:ind w:left="0" w:firstLine="0"/>
        <w:rPr>
          <w:szCs w:val="22"/>
        </w:rPr>
      </w:pPr>
    </w:p>
    <w:p w14:paraId="53738301" w14:textId="7FCE6917" w:rsidR="008746EE" w:rsidRPr="00C049E4" w:rsidRDefault="008746EE" w:rsidP="008746EE">
      <w:pPr>
        <w:rPr>
          <w:bCs/>
          <w:szCs w:val="22"/>
          <w:lang w:eastAsia="de-DE"/>
        </w:rPr>
      </w:pPr>
      <w:r w:rsidRPr="00C049E4">
        <w:rPr>
          <w:bCs/>
          <w:szCs w:val="22"/>
        </w:rPr>
        <w:t xml:space="preserve">Dve rozsiahle randomizované, kontrolované klinické skúšania </w:t>
      </w:r>
      <w:r w:rsidRPr="00C049E4">
        <w:rPr>
          <w:bCs/>
          <w:szCs w:val="22"/>
          <w:lang w:eastAsia="de-DE"/>
        </w:rPr>
        <w:t xml:space="preserve">(ONTARGET (ONgoing Telmisartan Alone and in </w:t>
      </w:r>
      <w:r w:rsidRPr="00C049E4">
        <w:rPr>
          <w:bCs/>
          <w:szCs w:val="22"/>
        </w:rPr>
        <w:t>c</w:t>
      </w:r>
      <w:r w:rsidRPr="00C049E4">
        <w:rPr>
          <w:bCs/>
          <w:szCs w:val="22"/>
          <w:lang w:eastAsia="de-DE"/>
        </w:rPr>
        <w:t>ombination with Ramipril Global Endpoint Trial) a VA NEPHRON</w:t>
      </w:r>
      <w:r w:rsidRPr="00C049E4">
        <w:rPr>
          <w:bCs/>
          <w:szCs w:val="22"/>
        </w:rPr>
        <w:t>-</w:t>
      </w:r>
      <w:r w:rsidRPr="00C049E4">
        <w:rPr>
          <w:bCs/>
          <w:szCs w:val="22"/>
          <w:lang w:eastAsia="de-DE"/>
        </w:rPr>
        <w:t>D (The Veterans Affairs Nephropathy in Diabetes)) skúmali použitie kombinácie inhibítora ACE a blokátora receptorov angiotenzínu II</w:t>
      </w:r>
      <w:r w:rsidRPr="00C049E4">
        <w:rPr>
          <w:bCs/>
          <w:szCs w:val="22"/>
        </w:rPr>
        <w:t>.</w:t>
      </w:r>
    </w:p>
    <w:p w14:paraId="070BB67F" w14:textId="57883872" w:rsidR="008746EE" w:rsidRPr="00C049E4" w:rsidRDefault="008746EE" w:rsidP="008746EE">
      <w:pPr>
        <w:rPr>
          <w:bCs/>
          <w:szCs w:val="22"/>
          <w:lang w:eastAsia="de-DE"/>
        </w:rPr>
      </w:pPr>
      <w:r w:rsidRPr="00C049E4">
        <w:rPr>
          <w:bCs/>
          <w:szCs w:val="22"/>
          <w:lang w:eastAsia="de-DE"/>
        </w:rPr>
        <w:t>Skúšanie ONTARGET sa vykonalo u pacientov s kardiovaskulárnym alebo cerebrovaskulárnym ochorením v anamnéze, alebo u pacientov s diabet</w:t>
      </w:r>
      <w:r>
        <w:rPr>
          <w:bCs/>
          <w:szCs w:val="22"/>
          <w:lang w:eastAsia="de-DE"/>
        </w:rPr>
        <w:t>om</w:t>
      </w:r>
      <w:r w:rsidRPr="00C049E4">
        <w:rPr>
          <w:bCs/>
          <w:szCs w:val="22"/>
          <w:lang w:eastAsia="de-DE"/>
        </w:rPr>
        <w:t xml:space="preserve"> mellitus 2. typu, u ktorých sa preukázalo poškodenie cieľových orgánov</w:t>
      </w:r>
      <w:r w:rsidRPr="00C049E4">
        <w:rPr>
          <w:bCs/>
          <w:szCs w:val="22"/>
        </w:rPr>
        <w:t>. Skúšanie VA NEPHRON-</w:t>
      </w:r>
      <w:r w:rsidRPr="00C049E4">
        <w:rPr>
          <w:bCs/>
          <w:szCs w:val="22"/>
          <w:lang w:eastAsia="de-DE"/>
        </w:rPr>
        <w:t>D sa vykonalo u pacientov s diabet</w:t>
      </w:r>
      <w:r>
        <w:rPr>
          <w:bCs/>
          <w:szCs w:val="22"/>
          <w:lang w:eastAsia="de-DE"/>
        </w:rPr>
        <w:t>om</w:t>
      </w:r>
      <w:r w:rsidRPr="00C049E4">
        <w:rPr>
          <w:bCs/>
          <w:szCs w:val="22"/>
          <w:lang w:eastAsia="de-DE"/>
        </w:rPr>
        <w:t xml:space="preserve"> mellitus 2. typu a diabetickou nefropatiou.</w:t>
      </w:r>
    </w:p>
    <w:p w14:paraId="6E982B93" w14:textId="366D1CAD" w:rsidR="00950C30" w:rsidRPr="00C049E4" w:rsidRDefault="008746EE" w:rsidP="008746EE">
      <w:pPr>
        <w:rPr>
          <w:bCs/>
          <w:szCs w:val="22"/>
          <w:lang w:eastAsia="de-DE"/>
        </w:rPr>
      </w:pPr>
      <w:r w:rsidRPr="00C049E4">
        <w:rPr>
          <w:bCs/>
          <w:szCs w:val="22"/>
          <w:lang w:eastAsia="de-DE"/>
        </w:rPr>
        <w:t>Tieto skúšania neukázali významný priaznivý účinok na renálne a/alebo kardiovaskulárne ukazovatele a mortalitu, zatiaľ čo v porovnaní s monoterapiou sa pozorovalo zvýšené riziko hyperkaliémie, akútneho poškodenia obličiek a/alebo hypotenzie. Vzhľadom na podobné farmakodynamické vlastnosti sú tieto výsledky relevantné aj pre ostatné inhibítory ACE a blokátory receptorov angiotenzínu II.</w:t>
      </w:r>
    </w:p>
    <w:p w14:paraId="333E05E4" w14:textId="12F1E31B" w:rsidR="008746EE" w:rsidRPr="00C049E4" w:rsidRDefault="008746EE" w:rsidP="00950C30">
      <w:pPr>
        <w:ind w:left="0" w:firstLine="0"/>
        <w:rPr>
          <w:bCs/>
          <w:szCs w:val="22"/>
        </w:rPr>
      </w:pPr>
      <w:r w:rsidRPr="00C049E4">
        <w:rPr>
          <w:bCs/>
          <w:szCs w:val="22"/>
        </w:rPr>
        <w:t>Inhibítory ACE a blokátory receptorov angiotenzínu II</w:t>
      </w:r>
      <w:r w:rsidRPr="00C049E4">
        <w:rPr>
          <w:bCs/>
          <w:szCs w:val="22"/>
          <w:lang w:eastAsia="de-DE"/>
        </w:rPr>
        <w:t xml:space="preserve"> sa preto nemajú používať súbežne u</w:t>
      </w:r>
      <w:r>
        <w:rPr>
          <w:bCs/>
          <w:szCs w:val="22"/>
          <w:lang w:eastAsia="de-DE"/>
        </w:rPr>
        <w:t> </w:t>
      </w:r>
      <w:r w:rsidRPr="00C049E4">
        <w:rPr>
          <w:bCs/>
          <w:szCs w:val="22"/>
          <w:lang w:eastAsia="de-DE"/>
        </w:rPr>
        <w:t>pacientov</w:t>
      </w:r>
      <w:r w:rsidR="00950C30">
        <w:rPr>
          <w:bCs/>
          <w:szCs w:val="22"/>
          <w:lang w:eastAsia="de-DE"/>
        </w:rPr>
        <w:t xml:space="preserve"> </w:t>
      </w:r>
      <w:r w:rsidRPr="00C049E4">
        <w:rPr>
          <w:bCs/>
          <w:szCs w:val="22"/>
          <w:lang w:eastAsia="de-DE"/>
        </w:rPr>
        <w:t>s diabetickou nefropatiou</w:t>
      </w:r>
      <w:r w:rsidRPr="00C049E4">
        <w:rPr>
          <w:bCs/>
          <w:szCs w:val="22"/>
        </w:rPr>
        <w:t>.</w:t>
      </w:r>
    </w:p>
    <w:p w14:paraId="09A0D922" w14:textId="661C8567" w:rsidR="008746EE" w:rsidRPr="00C049E4" w:rsidRDefault="008746EE" w:rsidP="00950C30">
      <w:pPr>
        <w:ind w:left="0" w:firstLine="0"/>
        <w:rPr>
          <w:bCs/>
          <w:szCs w:val="22"/>
          <w:lang w:eastAsia="de-DE"/>
        </w:rPr>
      </w:pPr>
      <w:r w:rsidRPr="00C049E4">
        <w:rPr>
          <w:bCs/>
          <w:szCs w:val="22"/>
          <w:lang w:eastAsia="de-DE"/>
        </w:rPr>
        <w:t>Skúšanie ALTITUDE (Aliskiren Trial in Type 2 Diabetes Using Cardiovascular and Renal Disease Endpoints) bolo navrhnuté na otest</w:t>
      </w:r>
      <w:r>
        <w:rPr>
          <w:bCs/>
          <w:szCs w:val="22"/>
          <w:lang w:eastAsia="de-DE"/>
        </w:rPr>
        <w:t>ovanie prínosu pridania aliskiré</w:t>
      </w:r>
      <w:r w:rsidRPr="00C049E4">
        <w:rPr>
          <w:bCs/>
          <w:szCs w:val="22"/>
          <w:lang w:eastAsia="de-DE"/>
        </w:rPr>
        <w:t>nu k štandardnej liečbe inhibítorom</w:t>
      </w:r>
      <w:r>
        <w:rPr>
          <w:bCs/>
          <w:szCs w:val="22"/>
          <w:lang w:eastAsia="de-DE"/>
        </w:rPr>
        <w:t xml:space="preserve"> </w:t>
      </w:r>
      <w:r w:rsidRPr="00C049E4">
        <w:rPr>
          <w:bCs/>
          <w:szCs w:val="22"/>
          <w:lang w:eastAsia="de-DE"/>
        </w:rPr>
        <w:t>ACE alebo blokátorom receptorov angiotenzínu II u pacientov s diabet</w:t>
      </w:r>
      <w:r>
        <w:rPr>
          <w:bCs/>
          <w:szCs w:val="22"/>
          <w:lang w:eastAsia="de-DE"/>
        </w:rPr>
        <w:t>om</w:t>
      </w:r>
      <w:r w:rsidRPr="00C049E4">
        <w:rPr>
          <w:bCs/>
          <w:szCs w:val="22"/>
          <w:lang w:eastAsia="de-DE"/>
        </w:rPr>
        <w:t xml:space="preserve"> mellitus 2. typu a</w:t>
      </w:r>
      <w:r>
        <w:rPr>
          <w:bCs/>
          <w:szCs w:val="22"/>
          <w:lang w:eastAsia="de-DE"/>
        </w:rPr>
        <w:t xml:space="preserve"> </w:t>
      </w:r>
      <w:r w:rsidRPr="00C049E4">
        <w:rPr>
          <w:bCs/>
          <w:szCs w:val="22"/>
          <w:lang w:eastAsia="de-DE"/>
        </w:rPr>
        <w:t>chronickým ochorením obličiek, kardiovaskulárnym ochorením, alebo oboma ochoreniami. Skúšanie</w:t>
      </w:r>
      <w:r>
        <w:rPr>
          <w:bCs/>
          <w:szCs w:val="22"/>
          <w:lang w:eastAsia="de-DE"/>
        </w:rPr>
        <w:t xml:space="preserve"> </w:t>
      </w:r>
      <w:r w:rsidRPr="00C049E4">
        <w:rPr>
          <w:bCs/>
          <w:szCs w:val="22"/>
          <w:lang w:eastAsia="de-DE"/>
        </w:rPr>
        <w:t>bolo predčasne ukončené pre zvýšené riziko nežiaduc</w:t>
      </w:r>
      <w:r>
        <w:rPr>
          <w:bCs/>
          <w:szCs w:val="22"/>
          <w:lang w:eastAsia="de-DE"/>
        </w:rPr>
        <w:t>ich udalostí. V skupine aliskiré</w:t>
      </w:r>
      <w:r w:rsidRPr="00C049E4">
        <w:rPr>
          <w:bCs/>
          <w:szCs w:val="22"/>
          <w:lang w:eastAsia="de-DE"/>
        </w:rPr>
        <w:t xml:space="preserve">nu bolo </w:t>
      </w:r>
      <w:r>
        <w:rPr>
          <w:bCs/>
          <w:szCs w:val="22"/>
          <w:lang w:eastAsia="de-DE"/>
        </w:rPr>
        <w:t xml:space="preserve">numericky </w:t>
      </w:r>
      <w:r w:rsidRPr="00C049E4">
        <w:rPr>
          <w:bCs/>
          <w:szCs w:val="22"/>
          <w:lang w:eastAsia="de-DE"/>
        </w:rPr>
        <w:t>viac úmrtí z kardiovaskulárnej príčiny a cievnych mozgových príhod ako v skup</w:t>
      </w:r>
      <w:r>
        <w:rPr>
          <w:bCs/>
          <w:szCs w:val="22"/>
          <w:lang w:eastAsia="de-DE"/>
        </w:rPr>
        <w:t>ine placeba a v skupine aliskiré</w:t>
      </w:r>
      <w:r w:rsidRPr="00C049E4">
        <w:rPr>
          <w:bCs/>
          <w:szCs w:val="22"/>
          <w:lang w:eastAsia="de-DE"/>
        </w:rPr>
        <w:t>nu boli častejšie hlásené sledované nežiaduce udalosti a závažné nežiaduce udalosti</w:t>
      </w:r>
      <w:r w:rsidR="00950C30">
        <w:rPr>
          <w:bCs/>
          <w:szCs w:val="22"/>
          <w:lang w:eastAsia="de-DE"/>
        </w:rPr>
        <w:t xml:space="preserve"> </w:t>
      </w:r>
      <w:r w:rsidRPr="00C049E4">
        <w:rPr>
          <w:bCs/>
          <w:szCs w:val="22"/>
          <w:lang w:eastAsia="de-DE"/>
        </w:rPr>
        <w:t>(hyperkaliémia, hypotenzia a renálna dysfunkcia) ako v skupine placeba.</w:t>
      </w:r>
    </w:p>
    <w:p w14:paraId="7AB6A65E" w14:textId="77777777" w:rsidR="008746EE" w:rsidRPr="00876D60" w:rsidRDefault="008746EE" w:rsidP="008746EE">
      <w:pPr>
        <w:ind w:left="0" w:firstLine="0"/>
        <w:rPr>
          <w:szCs w:val="22"/>
        </w:rPr>
      </w:pPr>
    </w:p>
    <w:p w14:paraId="4C196D1E" w14:textId="77777777" w:rsidR="008746EE" w:rsidRPr="000F6264" w:rsidRDefault="008746EE" w:rsidP="008746EE">
      <w:pPr>
        <w:rPr>
          <w:szCs w:val="22"/>
        </w:rPr>
      </w:pPr>
      <w:r w:rsidRPr="000F6264">
        <w:rPr>
          <w:b/>
          <w:szCs w:val="22"/>
        </w:rPr>
        <w:t>5.2</w:t>
      </w:r>
      <w:r w:rsidRPr="000F6264">
        <w:rPr>
          <w:b/>
          <w:szCs w:val="22"/>
        </w:rPr>
        <w:tab/>
        <w:t>Farmakokinetické vlastnosti</w:t>
      </w:r>
    </w:p>
    <w:p w14:paraId="067BF33D" w14:textId="77777777" w:rsidR="008746EE" w:rsidRPr="000F6264" w:rsidRDefault="008746EE" w:rsidP="008746EE">
      <w:pPr>
        <w:ind w:left="0" w:firstLine="0"/>
        <w:rPr>
          <w:szCs w:val="22"/>
        </w:rPr>
      </w:pPr>
    </w:p>
    <w:p w14:paraId="5C2F2EBE" w14:textId="77777777" w:rsidR="008746EE" w:rsidRPr="00D51AC2" w:rsidRDefault="008746EE" w:rsidP="008746EE">
      <w:pPr>
        <w:ind w:left="0" w:firstLine="0"/>
        <w:rPr>
          <w:szCs w:val="22"/>
          <w:u w:val="single"/>
        </w:rPr>
      </w:pPr>
      <w:r w:rsidRPr="00D51AC2">
        <w:rPr>
          <w:szCs w:val="22"/>
          <w:u w:val="single"/>
        </w:rPr>
        <w:t>Absorpcia a biotransformácia</w:t>
      </w:r>
    </w:p>
    <w:p w14:paraId="19212916" w14:textId="77777777" w:rsidR="008746EE" w:rsidRDefault="008746EE" w:rsidP="008746EE">
      <w:pPr>
        <w:ind w:left="0" w:firstLine="0"/>
        <w:rPr>
          <w:szCs w:val="22"/>
        </w:rPr>
      </w:pPr>
      <w:r w:rsidRPr="00204A47">
        <w:rPr>
          <w:szCs w:val="22"/>
        </w:rPr>
        <w:t>Po perorálnom podaní sa perindopril absorbuje rýchlo a maximálna koncentrácia sa dosiahne v priebehu 1</w:t>
      </w:r>
      <w:r>
        <w:rPr>
          <w:szCs w:val="22"/>
        </w:rPr>
        <w:t> </w:t>
      </w:r>
      <w:r w:rsidRPr="00204A47">
        <w:rPr>
          <w:szCs w:val="22"/>
        </w:rPr>
        <w:t xml:space="preserve">hodiny. </w:t>
      </w:r>
      <w:r>
        <w:rPr>
          <w:szCs w:val="22"/>
        </w:rPr>
        <w:t>Plazmatický polčas perindoprilu je 1 hodina.</w:t>
      </w:r>
    </w:p>
    <w:p w14:paraId="2831E059" w14:textId="5A0493BF" w:rsidR="008746EE" w:rsidRPr="00204A47" w:rsidRDefault="008746EE" w:rsidP="008746EE">
      <w:pPr>
        <w:ind w:left="0" w:firstLine="0"/>
        <w:rPr>
          <w:szCs w:val="22"/>
        </w:rPr>
      </w:pPr>
      <w:r>
        <w:rPr>
          <w:szCs w:val="22"/>
        </w:rPr>
        <w:t xml:space="preserve">Perindopril je prekurzor. 27 % podanej dávky perindoprilu sa dostane do krvného obehu ako aktívny metabolit perindoprilát. </w:t>
      </w:r>
      <w:r w:rsidRPr="00204A47">
        <w:rPr>
          <w:szCs w:val="22"/>
        </w:rPr>
        <w:t xml:space="preserve">Okrem aktívneho perindoprilátu má perindopril päť ďalších metabolitov, </w:t>
      </w:r>
      <w:r>
        <w:rPr>
          <w:szCs w:val="22"/>
        </w:rPr>
        <w:t xml:space="preserve">ktoré sú </w:t>
      </w:r>
      <w:r w:rsidRPr="00204A47">
        <w:rPr>
          <w:szCs w:val="22"/>
        </w:rPr>
        <w:t>všetky neaktívne. Maximálna koncentrácia perindoprilátu v plazme sa dosiahne v priebehu 3 až 4</w:t>
      </w:r>
      <w:r>
        <w:rPr>
          <w:szCs w:val="22"/>
        </w:rPr>
        <w:t> </w:t>
      </w:r>
      <w:r w:rsidRPr="00204A47">
        <w:rPr>
          <w:szCs w:val="22"/>
        </w:rPr>
        <w:t>hodín.</w:t>
      </w:r>
    </w:p>
    <w:p w14:paraId="1C788862" w14:textId="77777777" w:rsidR="008746EE" w:rsidRDefault="008746EE" w:rsidP="008746EE">
      <w:pPr>
        <w:ind w:left="0" w:firstLine="0"/>
        <w:rPr>
          <w:szCs w:val="22"/>
        </w:rPr>
      </w:pPr>
      <w:r w:rsidRPr="00204A47">
        <w:rPr>
          <w:szCs w:val="22"/>
        </w:rPr>
        <w:lastRenderedPageBreak/>
        <w:t>Vzhľadom na to, že príjem potravy spomaľuje konverziu perindoprilu na perindoprilát, a teda aj jeho bi</w:t>
      </w:r>
      <w:smartTag w:uri="urn:schemas-microsoft-com:office:smarttags" w:element="PersonName">
        <w:r w:rsidRPr="00204A47">
          <w:rPr>
            <w:szCs w:val="22"/>
          </w:rPr>
          <w:t>olo</w:t>
        </w:r>
      </w:smartTag>
      <w:r w:rsidRPr="00204A47">
        <w:rPr>
          <w:szCs w:val="22"/>
        </w:rPr>
        <w:t xml:space="preserve">gickú dostupnosť, </w:t>
      </w:r>
      <w:r>
        <w:rPr>
          <w:szCs w:val="22"/>
        </w:rPr>
        <w:t>perindopril sa</w:t>
      </w:r>
      <w:r w:rsidRPr="00204A47">
        <w:rPr>
          <w:szCs w:val="22"/>
        </w:rPr>
        <w:t xml:space="preserve"> má užívať perorálne v jednej dennej dávke ráno pred jedlom.</w:t>
      </w:r>
    </w:p>
    <w:p w14:paraId="5714C71B" w14:textId="77777777" w:rsidR="008746EE" w:rsidRDefault="008746EE" w:rsidP="008746EE">
      <w:pPr>
        <w:ind w:left="0" w:firstLine="0"/>
        <w:rPr>
          <w:szCs w:val="22"/>
        </w:rPr>
      </w:pPr>
      <w:r w:rsidRPr="00A0362D">
        <w:rPr>
          <w:szCs w:val="22"/>
        </w:rPr>
        <w:t xml:space="preserve">Medzi dávkou perindoprilu a jeho </w:t>
      </w:r>
      <w:r>
        <w:rPr>
          <w:szCs w:val="22"/>
        </w:rPr>
        <w:t>expozíciou</w:t>
      </w:r>
      <w:r w:rsidRPr="00A0362D">
        <w:rPr>
          <w:szCs w:val="22"/>
        </w:rPr>
        <w:t xml:space="preserve"> v plazme bol dokázaný lineárny vzťah.</w:t>
      </w:r>
    </w:p>
    <w:p w14:paraId="532736CA" w14:textId="77777777" w:rsidR="008746EE" w:rsidRDefault="008746EE" w:rsidP="008746EE">
      <w:pPr>
        <w:ind w:left="0" w:firstLine="0"/>
        <w:rPr>
          <w:szCs w:val="22"/>
        </w:rPr>
      </w:pPr>
    </w:p>
    <w:p w14:paraId="226DD760" w14:textId="77777777" w:rsidR="008746EE" w:rsidRPr="001623F5" w:rsidRDefault="008746EE" w:rsidP="008746EE">
      <w:pPr>
        <w:ind w:left="0" w:firstLine="0"/>
        <w:rPr>
          <w:strike/>
          <w:szCs w:val="22"/>
          <w:u w:val="single"/>
        </w:rPr>
      </w:pPr>
      <w:r w:rsidRPr="001623F5">
        <w:rPr>
          <w:szCs w:val="22"/>
          <w:u w:val="single"/>
        </w:rPr>
        <w:t>Distribúcia</w:t>
      </w:r>
    </w:p>
    <w:p w14:paraId="6AEC383E" w14:textId="20E0A7D2" w:rsidR="008746EE" w:rsidRDefault="008746EE" w:rsidP="008746EE">
      <w:pPr>
        <w:ind w:left="0" w:firstLine="0"/>
        <w:rPr>
          <w:szCs w:val="22"/>
        </w:rPr>
      </w:pPr>
      <w:r w:rsidRPr="00204A47">
        <w:rPr>
          <w:szCs w:val="22"/>
        </w:rPr>
        <w:t>Distribučný objem je približne 0,2</w:t>
      </w:r>
      <w:r>
        <w:rPr>
          <w:szCs w:val="22"/>
        </w:rPr>
        <w:t> </w:t>
      </w:r>
      <w:r w:rsidRPr="00204A47">
        <w:rPr>
          <w:szCs w:val="22"/>
        </w:rPr>
        <w:t xml:space="preserve">l/kg pre nenaviazaný perindoprilát. Väzba </w:t>
      </w:r>
      <w:r>
        <w:rPr>
          <w:szCs w:val="22"/>
        </w:rPr>
        <w:t xml:space="preserve">perindoprilátu </w:t>
      </w:r>
      <w:r w:rsidRPr="00204A47">
        <w:rPr>
          <w:szCs w:val="22"/>
        </w:rPr>
        <w:t xml:space="preserve">na </w:t>
      </w:r>
      <w:r>
        <w:rPr>
          <w:szCs w:val="22"/>
        </w:rPr>
        <w:t xml:space="preserve">plazmatické </w:t>
      </w:r>
      <w:r w:rsidRPr="00204A47">
        <w:rPr>
          <w:szCs w:val="22"/>
        </w:rPr>
        <w:t>bielkoviny</w:t>
      </w:r>
      <w:r>
        <w:rPr>
          <w:szCs w:val="22"/>
        </w:rPr>
        <w:t xml:space="preserve"> je 20 %, prevažne na</w:t>
      </w:r>
      <w:r w:rsidRPr="00204A47">
        <w:rPr>
          <w:szCs w:val="22"/>
        </w:rPr>
        <w:t xml:space="preserve"> angiotenzín-konvertujúci enzým</w:t>
      </w:r>
      <w:r>
        <w:rPr>
          <w:szCs w:val="22"/>
        </w:rPr>
        <w:t>, ale je závislá od koncentrácie</w:t>
      </w:r>
      <w:r w:rsidRPr="00204A47">
        <w:rPr>
          <w:szCs w:val="22"/>
        </w:rPr>
        <w:t>.</w:t>
      </w:r>
    </w:p>
    <w:p w14:paraId="03368F79" w14:textId="77777777" w:rsidR="008746EE" w:rsidRDefault="008746EE" w:rsidP="008746EE">
      <w:pPr>
        <w:ind w:left="0" w:firstLine="0"/>
        <w:rPr>
          <w:szCs w:val="22"/>
        </w:rPr>
      </w:pPr>
    </w:p>
    <w:p w14:paraId="5F2ACC7A" w14:textId="77777777" w:rsidR="008746EE" w:rsidRPr="001623F5" w:rsidRDefault="008746EE" w:rsidP="008746EE">
      <w:pPr>
        <w:ind w:left="0" w:firstLine="0"/>
        <w:rPr>
          <w:szCs w:val="22"/>
          <w:u w:val="single"/>
        </w:rPr>
      </w:pPr>
      <w:r w:rsidRPr="001623F5">
        <w:rPr>
          <w:szCs w:val="22"/>
          <w:u w:val="single"/>
        </w:rPr>
        <w:t>Eliminácia</w:t>
      </w:r>
    </w:p>
    <w:p w14:paraId="07F35505" w14:textId="77777777" w:rsidR="008746EE" w:rsidRDefault="008746EE" w:rsidP="008746EE">
      <w:pPr>
        <w:ind w:left="0" w:firstLine="0"/>
        <w:rPr>
          <w:szCs w:val="22"/>
        </w:rPr>
      </w:pPr>
      <w:r w:rsidRPr="00204A47">
        <w:rPr>
          <w:szCs w:val="22"/>
        </w:rPr>
        <w:t>Perindoprilát sa vylučuje močom a</w:t>
      </w:r>
      <w:r>
        <w:rPr>
          <w:szCs w:val="22"/>
        </w:rPr>
        <w:t xml:space="preserve"> terminálny </w:t>
      </w:r>
      <w:r w:rsidRPr="00204A47">
        <w:rPr>
          <w:szCs w:val="22"/>
        </w:rPr>
        <w:t xml:space="preserve">polčas nenaviazanej frakcie je približne </w:t>
      </w:r>
      <w:r>
        <w:rPr>
          <w:szCs w:val="22"/>
        </w:rPr>
        <w:t>17 </w:t>
      </w:r>
      <w:r w:rsidRPr="00204A47">
        <w:rPr>
          <w:szCs w:val="22"/>
        </w:rPr>
        <w:t>hodín</w:t>
      </w:r>
      <w:r>
        <w:rPr>
          <w:szCs w:val="22"/>
        </w:rPr>
        <w:t>, takže rovnovážny stav sa dosiahne v priebehu 4 dní.</w:t>
      </w:r>
    </w:p>
    <w:p w14:paraId="1D114C21" w14:textId="77777777" w:rsidR="008746EE" w:rsidRDefault="008746EE" w:rsidP="008746EE">
      <w:pPr>
        <w:ind w:left="0" w:firstLine="0"/>
        <w:rPr>
          <w:szCs w:val="22"/>
        </w:rPr>
      </w:pPr>
    </w:p>
    <w:p w14:paraId="3BA24104" w14:textId="77777777" w:rsidR="008746EE" w:rsidRPr="00C10A44" w:rsidRDefault="008746EE" w:rsidP="008746EE">
      <w:pPr>
        <w:ind w:left="0" w:firstLine="0"/>
        <w:rPr>
          <w:szCs w:val="22"/>
          <w:u w:val="single"/>
        </w:rPr>
      </w:pPr>
      <w:r w:rsidRPr="00C10A44">
        <w:rPr>
          <w:szCs w:val="22"/>
          <w:u w:val="single"/>
        </w:rPr>
        <w:t xml:space="preserve">Starší ľudia </w:t>
      </w:r>
    </w:p>
    <w:p w14:paraId="5AA504AD" w14:textId="50006F73" w:rsidR="008746EE" w:rsidRDefault="008746EE" w:rsidP="008746EE">
      <w:pPr>
        <w:ind w:left="0" w:firstLine="0"/>
        <w:rPr>
          <w:szCs w:val="22"/>
        </w:rPr>
      </w:pPr>
      <w:r w:rsidRPr="00204A47">
        <w:rPr>
          <w:szCs w:val="22"/>
        </w:rPr>
        <w:t xml:space="preserve">Eliminácia perindoprilátu je u starších </w:t>
      </w:r>
      <w:r>
        <w:rPr>
          <w:szCs w:val="22"/>
        </w:rPr>
        <w:t>osôb</w:t>
      </w:r>
      <w:r w:rsidRPr="00204A47">
        <w:rPr>
          <w:szCs w:val="22"/>
        </w:rPr>
        <w:t xml:space="preserve"> znížená, ako</w:t>
      </w:r>
      <w:r>
        <w:rPr>
          <w:szCs w:val="22"/>
        </w:rPr>
        <w:t xml:space="preserve"> aj</w:t>
      </w:r>
      <w:r w:rsidRPr="00204A47">
        <w:rPr>
          <w:szCs w:val="22"/>
        </w:rPr>
        <w:t xml:space="preserve"> u pacientov so srdcovým zlyhaním alebo zlyhaním obličiek. </w:t>
      </w:r>
    </w:p>
    <w:p w14:paraId="07B152F8" w14:textId="77777777" w:rsidR="008746EE" w:rsidRDefault="008746EE" w:rsidP="008746EE">
      <w:pPr>
        <w:ind w:left="0" w:firstLine="0"/>
        <w:rPr>
          <w:szCs w:val="22"/>
        </w:rPr>
      </w:pPr>
    </w:p>
    <w:p w14:paraId="38C899B5" w14:textId="77777777" w:rsidR="008746EE" w:rsidRPr="00C10A44" w:rsidRDefault="008746EE" w:rsidP="008746EE">
      <w:pPr>
        <w:ind w:left="0" w:firstLine="0"/>
        <w:rPr>
          <w:szCs w:val="22"/>
          <w:u w:val="single"/>
        </w:rPr>
      </w:pPr>
      <w:r w:rsidRPr="00C10A44">
        <w:rPr>
          <w:szCs w:val="22"/>
          <w:u w:val="single"/>
        </w:rPr>
        <w:t>Porucha funkcie obličiek</w:t>
      </w:r>
    </w:p>
    <w:p w14:paraId="02BD95A4" w14:textId="3BC06432" w:rsidR="008746EE" w:rsidRPr="00204A47" w:rsidRDefault="008746EE" w:rsidP="008746EE">
      <w:pPr>
        <w:ind w:left="0" w:firstLine="0"/>
        <w:rPr>
          <w:szCs w:val="22"/>
        </w:rPr>
      </w:pPr>
      <w:r w:rsidRPr="00204A47">
        <w:rPr>
          <w:szCs w:val="22"/>
        </w:rPr>
        <w:t xml:space="preserve">Úprava dávkovania pri renálnej insuficiencii je vhodná v závislosti od stupňa </w:t>
      </w:r>
      <w:r>
        <w:rPr>
          <w:szCs w:val="22"/>
        </w:rPr>
        <w:t>poruchy funkcie</w:t>
      </w:r>
      <w:r w:rsidRPr="00204A47">
        <w:rPr>
          <w:szCs w:val="22"/>
        </w:rPr>
        <w:t xml:space="preserve"> obličiek (podľa klírensu kreatinínu).</w:t>
      </w:r>
    </w:p>
    <w:p w14:paraId="3E2262BC" w14:textId="77777777" w:rsidR="008746EE" w:rsidRDefault="008746EE" w:rsidP="008746EE">
      <w:pPr>
        <w:ind w:left="0" w:firstLine="0"/>
        <w:rPr>
          <w:szCs w:val="22"/>
        </w:rPr>
      </w:pPr>
      <w:r>
        <w:rPr>
          <w:szCs w:val="22"/>
        </w:rPr>
        <w:t>Dializačný k</w:t>
      </w:r>
      <w:r w:rsidRPr="00204A47">
        <w:rPr>
          <w:szCs w:val="22"/>
        </w:rPr>
        <w:t>lírens perindoprilátu je 70</w:t>
      </w:r>
      <w:r>
        <w:rPr>
          <w:szCs w:val="22"/>
        </w:rPr>
        <w:t> </w:t>
      </w:r>
      <w:r w:rsidRPr="00204A47">
        <w:rPr>
          <w:szCs w:val="22"/>
        </w:rPr>
        <w:t>ml/min.</w:t>
      </w:r>
    </w:p>
    <w:p w14:paraId="48329BF1" w14:textId="77777777" w:rsidR="008746EE" w:rsidRDefault="008746EE" w:rsidP="008746EE">
      <w:pPr>
        <w:ind w:left="0" w:firstLine="0"/>
        <w:rPr>
          <w:szCs w:val="22"/>
        </w:rPr>
      </w:pPr>
    </w:p>
    <w:p w14:paraId="58954EA1" w14:textId="77777777" w:rsidR="008746EE" w:rsidRPr="00C10A44" w:rsidRDefault="008746EE" w:rsidP="008746EE">
      <w:pPr>
        <w:ind w:left="0" w:firstLine="0"/>
        <w:rPr>
          <w:szCs w:val="22"/>
          <w:u w:val="single"/>
        </w:rPr>
      </w:pPr>
      <w:r w:rsidRPr="00C10A44">
        <w:rPr>
          <w:szCs w:val="22"/>
          <w:u w:val="single"/>
        </w:rPr>
        <w:t>Porucha funkcie pečene</w:t>
      </w:r>
    </w:p>
    <w:p w14:paraId="72F66DC5" w14:textId="5ED0AEB3" w:rsidR="008746EE" w:rsidRPr="00204A47" w:rsidRDefault="008746EE" w:rsidP="008746EE">
      <w:pPr>
        <w:ind w:left="0" w:firstLine="0"/>
        <w:rPr>
          <w:szCs w:val="22"/>
        </w:rPr>
      </w:pPr>
      <w:r w:rsidRPr="00204A47">
        <w:rPr>
          <w:szCs w:val="22"/>
        </w:rPr>
        <w:t>Kinetika perindoprilu je u pacientov s cirhózou zmenená: hepatálny klírens pôvodnej molekuly je znížený o</w:t>
      </w:r>
      <w:r>
        <w:rPr>
          <w:szCs w:val="22"/>
        </w:rPr>
        <w:t> </w:t>
      </w:r>
      <w:r w:rsidRPr="00204A47">
        <w:rPr>
          <w:szCs w:val="22"/>
        </w:rPr>
        <w:t>p</w:t>
      </w:r>
      <w:smartTag w:uri="urn:schemas-microsoft-com:office:smarttags" w:element="PersonName">
        <w:r w:rsidRPr="00204A47">
          <w:rPr>
            <w:szCs w:val="22"/>
          </w:rPr>
          <w:t>olo</w:t>
        </w:r>
      </w:smartTag>
      <w:r w:rsidRPr="00204A47">
        <w:rPr>
          <w:szCs w:val="22"/>
        </w:rPr>
        <w:t>vicu</w:t>
      </w:r>
      <w:r>
        <w:rPr>
          <w:szCs w:val="22"/>
        </w:rPr>
        <w:t>. A</w:t>
      </w:r>
      <w:r w:rsidRPr="00204A47">
        <w:rPr>
          <w:szCs w:val="22"/>
        </w:rPr>
        <w:t>však množstvo vytvoreného perindoprilátu nie je znížené, a preto nie je potrebná úprava dávkovania</w:t>
      </w:r>
      <w:r>
        <w:rPr>
          <w:szCs w:val="22"/>
        </w:rPr>
        <w:t xml:space="preserve"> (pozri čas</w:t>
      </w:r>
      <w:r w:rsidR="00950C30">
        <w:rPr>
          <w:szCs w:val="22"/>
        </w:rPr>
        <w:t>ti</w:t>
      </w:r>
      <w:r>
        <w:rPr>
          <w:szCs w:val="22"/>
        </w:rPr>
        <w:t xml:space="preserve"> 4.2 a 4.4)</w:t>
      </w:r>
      <w:r w:rsidRPr="00204A47">
        <w:rPr>
          <w:szCs w:val="22"/>
        </w:rPr>
        <w:t>.</w:t>
      </w:r>
    </w:p>
    <w:p w14:paraId="72DE255C" w14:textId="77777777" w:rsidR="008746EE" w:rsidRPr="000F6264" w:rsidRDefault="008746EE" w:rsidP="008746EE">
      <w:pPr>
        <w:rPr>
          <w:bCs/>
          <w:szCs w:val="22"/>
          <w:highlight w:val="green"/>
        </w:rPr>
      </w:pPr>
    </w:p>
    <w:p w14:paraId="4F4C31EF" w14:textId="77777777" w:rsidR="008746EE" w:rsidRPr="000F6264" w:rsidRDefault="008746EE" w:rsidP="008746EE">
      <w:pPr>
        <w:rPr>
          <w:szCs w:val="22"/>
        </w:rPr>
      </w:pPr>
      <w:r w:rsidRPr="000F6264">
        <w:rPr>
          <w:b/>
          <w:szCs w:val="22"/>
        </w:rPr>
        <w:t>5.3</w:t>
      </w:r>
      <w:r w:rsidRPr="000F6264">
        <w:rPr>
          <w:b/>
          <w:szCs w:val="22"/>
        </w:rPr>
        <w:tab/>
        <w:t>Predklinické údaje o bezpečnosti</w:t>
      </w:r>
    </w:p>
    <w:p w14:paraId="39246CE0" w14:textId="77777777" w:rsidR="008746EE" w:rsidRPr="00204A47" w:rsidRDefault="008746EE" w:rsidP="008746EE">
      <w:pPr>
        <w:ind w:left="0" w:firstLine="0"/>
        <w:rPr>
          <w:szCs w:val="22"/>
        </w:rPr>
      </w:pPr>
    </w:p>
    <w:p w14:paraId="4571990D" w14:textId="77777777" w:rsidR="008746EE" w:rsidRPr="00204A47" w:rsidRDefault="008746EE" w:rsidP="008746EE">
      <w:pPr>
        <w:ind w:left="0" w:firstLine="0"/>
        <w:rPr>
          <w:szCs w:val="22"/>
        </w:rPr>
      </w:pPr>
      <w:r w:rsidRPr="00204A47">
        <w:rPr>
          <w:szCs w:val="22"/>
        </w:rPr>
        <w:t>V štúdiách chronickej perorálnej toxicity (na potkanoch a opiciach) sú cieľovým orgánom obličky s reverzibilným poškodením.</w:t>
      </w:r>
    </w:p>
    <w:p w14:paraId="32097319" w14:textId="77777777" w:rsidR="008746EE" w:rsidRPr="00204A47" w:rsidRDefault="008746EE" w:rsidP="008746EE">
      <w:pPr>
        <w:ind w:left="0" w:firstLine="0"/>
        <w:rPr>
          <w:szCs w:val="22"/>
        </w:rPr>
      </w:pPr>
      <w:r w:rsidRPr="00204A47">
        <w:rPr>
          <w:szCs w:val="22"/>
        </w:rPr>
        <w:t xml:space="preserve">Mutagenita sa v </w:t>
      </w:r>
      <w:r w:rsidRPr="00204A47">
        <w:rPr>
          <w:i/>
          <w:szCs w:val="22"/>
        </w:rPr>
        <w:t>in vitro</w:t>
      </w:r>
      <w:r w:rsidRPr="00204A47">
        <w:rPr>
          <w:szCs w:val="22"/>
        </w:rPr>
        <w:t xml:space="preserve"> alebo </w:t>
      </w:r>
      <w:r w:rsidRPr="00204A47">
        <w:rPr>
          <w:i/>
          <w:szCs w:val="22"/>
        </w:rPr>
        <w:t>in vivo</w:t>
      </w:r>
      <w:r w:rsidRPr="00204A47">
        <w:rPr>
          <w:szCs w:val="22"/>
        </w:rPr>
        <w:t xml:space="preserve"> štúdiách nepozorovala.</w:t>
      </w:r>
    </w:p>
    <w:p w14:paraId="2F9144B9" w14:textId="06CAEF62" w:rsidR="008746EE" w:rsidRPr="00204A47" w:rsidRDefault="008746EE" w:rsidP="008746EE">
      <w:pPr>
        <w:ind w:left="0" w:firstLine="0"/>
        <w:rPr>
          <w:szCs w:val="22"/>
        </w:rPr>
      </w:pPr>
      <w:r>
        <w:rPr>
          <w:szCs w:val="22"/>
        </w:rPr>
        <w:t>Štúdie reprodukčnej toxicity</w:t>
      </w:r>
      <w:r w:rsidRPr="00204A47">
        <w:rPr>
          <w:szCs w:val="22"/>
        </w:rPr>
        <w:t xml:space="preserve"> (na potkanoch, myšiach, králikoch a opiciach) nezistili žiadne známky embryotoxicity alebo teratogenity. </w:t>
      </w:r>
      <w:r>
        <w:rPr>
          <w:szCs w:val="22"/>
        </w:rPr>
        <w:t>Napriek tomu sa p</w:t>
      </w:r>
      <w:r w:rsidRPr="00204A47">
        <w:rPr>
          <w:szCs w:val="22"/>
        </w:rPr>
        <w:t>ri inhibítoroch angiotenzín-konvertujúceho enzýmu</w:t>
      </w:r>
      <w:r>
        <w:rPr>
          <w:szCs w:val="22"/>
        </w:rPr>
        <w:t>,</w:t>
      </w:r>
      <w:r w:rsidRPr="00204A47">
        <w:rPr>
          <w:szCs w:val="22"/>
        </w:rPr>
        <w:t xml:space="preserve"> ako skupiny</w:t>
      </w:r>
      <w:r>
        <w:rPr>
          <w:szCs w:val="22"/>
        </w:rPr>
        <w:t>,</w:t>
      </w:r>
      <w:r w:rsidRPr="00204A47">
        <w:rPr>
          <w:szCs w:val="22"/>
        </w:rPr>
        <w:t xml:space="preserve"> potvrdilo, že majú nežiaduci vplyv na neskoré štádiá vývoja plodu</w:t>
      </w:r>
      <w:r>
        <w:rPr>
          <w:szCs w:val="22"/>
        </w:rPr>
        <w:t xml:space="preserve">. U hlodavcov a králikov to viedlo </w:t>
      </w:r>
      <w:r w:rsidRPr="00204A47">
        <w:rPr>
          <w:szCs w:val="22"/>
        </w:rPr>
        <w:t xml:space="preserve">k úmrtiu plodu a vrodeným </w:t>
      </w:r>
      <w:r>
        <w:rPr>
          <w:szCs w:val="22"/>
        </w:rPr>
        <w:t>abnormalitám (</w:t>
      </w:r>
      <w:r w:rsidRPr="00204A47">
        <w:rPr>
          <w:szCs w:val="22"/>
        </w:rPr>
        <w:t>renálne lézie</w:t>
      </w:r>
      <w:r>
        <w:rPr>
          <w:szCs w:val="22"/>
        </w:rPr>
        <w:t>)</w:t>
      </w:r>
      <w:r w:rsidRPr="00204A47">
        <w:rPr>
          <w:szCs w:val="22"/>
        </w:rPr>
        <w:t xml:space="preserve"> a</w:t>
      </w:r>
      <w:r>
        <w:rPr>
          <w:szCs w:val="22"/>
        </w:rPr>
        <w:t xml:space="preserve">ko aj k </w:t>
      </w:r>
      <w:r w:rsidRPr="00204A47">
        <w:rPr>
          <w:szCs w:val="22"/>
        </w:rPr>
        <w:t>zvýšen</w:t>
      </w:r>
      <w:r>
        <w:rPr>
          <w:szCs w:val="22"/>
        </w:rPr>
        <w:t>ej</w:t>
      </w:r>
      <w:r w:rsidRPr="00204A47">
        <w:rPr>
          <w:szCs w:val="22"/>
        </w:rPr>
        <w:t xml:space="preserve"> perinatáln</w:t>
      </w:r>
      <w:r>
        <w:rPr>
          <w:szCs w:val="22"/>
        </w:rPr>
        <w:t>ej</w:t>
      </w:r>
      <w:r w:rsidRPr="00204A47">
        <w:rPr>
          <w:szCs w:val="22"/>
        </w:rPr>
        <w:t xml:space="preserve"> a postnatáln</w:t>
      </w:r>
      <w:r>
        <w:rPr>
          <w:szCs w:val="22"/>
        </w:rPr>
        <w:t>ej</w:t>
      </w:r>
      <w:r w:rsidRPr="00204A47">
        <w:rPr>
          <w:szCs w:val="22"/>
        </w:rPr>
        <w:t xml:space="preserve"> mortalit</w:t>
      </w:r>
      <w:r>
        <w:rPr>
          <w:szCs w:val="22"/>
        </w:rPr>
        <w:t>e</w:t>
      </w:r>
      <w:r w:rsidRPr="00204A47">
        <w:rPr>
          <w:szCs w:val="22"/>
        </w:rPr>
        <w:t>.</w:t>
      </w:r>
    </w:p>
    <w:p w14:paraId="73064159" w14:textId="77777777" w:rsidR="008746EE" w:rsidRPr="00204A47" w:rsidRDefault="008746EE" w:rsidP="008746EE">
      <w:pPr>
        <w:ind w:left="0" w:firstLine="0"/>
        <w:rPr>
          <w:szCs w:val="22"/>
        </w:rPr>
      </w:pPr>
      <w:r w:rsidRPr="00204A47">
        <w:rPr>
          <w:szCs w:val="22"/>
        </w:rPr>
        <w:t>V dlhodobých štúdiách na potkanoch a myšiach nebola pozorovaná karcinogenita.</w:t>
      </w:r>
    </w:p>
    <w:p w14:paraId="5205F2DC" w14:textId="77777777" w:rsidR="008746EE" w:rsidRPr="00204A47" w:rsidRDefault="008746EE" w:rsidP="008746EE">
      <w:pPr>
        <w:ind w:left="0" w:firstLine="0"/>
        <w:rPr>
          <w:szCs w:val="22"/>
        </w:rPr>
      </w:pPr>
    </w:p>
    <w:p w14:paraId="4942C19B" w14:textId="77777777" w:rsidR="008746EE" w:rsidRPr="000F6264" w:rsidRDefault="008746EE" w:rsidP="008746EE">
      <w:pPr>
        <w:jc w:val="both"/>
        <w:rPr>
          <w:szCs w:val="22"/>
          <w:highlight w:val="green"/>
        </w:rPr>
      </w:pPr>
    </w:p>
    <w:p w14:paraId="210A2F6D" w14:textId="77777777" w:rsidR="008746EE" w:rsidRPr="000F6264" w:rsidRDefault="008746EE" w:rsidP="008746EE">
      <w:pPr>
        <w:jc w:val="both"/>
        <w:rPr>
          <w:b/>
          <w:szCs w:val="22"/>
        </w:rPr>
      </w:pPr>
      <w:r w:rsidRPr="000F6264">
        <w:rPr>
          <w:b/>
          <w:szCs w:val="22"/>
        </w:rPr>
        <w:t>6.</w:t>
      </w:r>
      <w:r w:rsidRPr="000F6264">
        <w:rPr>
          <w:b/>
          <w:szCs w:val="22"/>
        </w:rPr>
        <w:tab/>
        <w:t>FARMACEUTICKÉ INFORMÁCIE</w:t>
      </w:r>
    </w:p>
    <w:p w14:paraId="1ECA3374" w14:textId="77777777" w:rsidR="008746EE" w:rsidRPr="000F6264" w:rsidRDefault="008746EE" w:rsidP="008746EE">
      <w:pPr>
        <w:jc w:val="both"/>
        <w:rPr>
          <w:szCs w:val="22"/>
        </w:rPr>
      </w:pPr>
    </w:p>
    <w:p w14:paraId="4E24AE39" w14:textId="77777777" w:rsidR="008746EE" w:rsidRPr="000F6264" w:rsidRDefault="008746EE" w:rsidP="008746EE">
      <w:pPr>
        <w:jc w:val="both"/>
        <w:rPr>
          <w:szCs w:val="22"/>
        </w:rPr>
      </w:pPr>
      <w:r w:rsidRPr="000F6264">
        <w:rPr>
          <w:b/>
          <w:szCs w:val="22"/>
        </w:rPr>
        <w:t>6.1</w:t>
      </w:r>
      <w:r w:rsidRPr="000F6264">
        <w:rPr>
          <w:b/>
          <w:szCs w:val="22"/>
        </w:rPr>
        <w:tab/>
        <w:t>Zoznam pomocných látok</w:t>
      </w:r>
    </w:p>
    <w:p w14:paraId="703CACAD" w14:textId="77777777" w:rsidR="008746EE" w:rsidRDefault="008746EE" w:rsidP="008746EE">
      <w:pPr>
        <w:pStyle w:val="Zkladntext"/>
        <w:jc w:val="both"/>
      </w:pPr>
    </w:p>
    <w:p w14:paraId="62B95F3C" w14:textId="324E3AB9" w:rsidR="008746EE" w:rsidRPr="000F6264" w:rsidRDefault="008746EE" w:rsidP="008746EE">
      <w:pPr>
        <w:pStyle w:val="Zkladntext"/>
        <w:jc w:val="both"/>
      </w:pPr>
      <w:r>
        <w:t>hexahydrát chloridu vápenatého</w:t>
      </w:r>
    </w:p>
    <w:p w14:paraId="7C875A55" w14:textId="05236BCD" w:rsidR="008746EE" w:rsidRDefault="008746EE" w:rsidP="008746EE">
      <w:pPr>
        <w:pStyle w:val="Zkladntext"/>
        <w:jc w:val="both"/>
      </w:pPr>
      <w:r w:rsidRPr="000F6264">
        <w:t>monohydrát laktózy</w:t>
      </w:r>
    </w:p>
    <w:p w14:paraId="6FA17167" w14:textId="2C1D539D" w:rsidR="008746EE" w:rsidRPr="000F6264" w:rsidRDefault="008746EE" w:rsidP="008746EE">
      <w:pPr>
        <w:pStyle w:val="Zkladntext"/>
        <w:jc w:val="both"/>
      </w:pPr>
      <w:r>
        <w:t>krospovidón typ A</w:t>
      </w:r>
    </w:p>
    <w:p w14:paraId="1F88664B" w14:textId="77777777" w:rsidR="008746EE" w:rsidRPr="000F6264" w:rsidRDefault="008746EE" w:rsidP="008746EE">
      <w:pPr>
        <w:pStyle w:val="Zkladntext"/>
        <w:jc w:val="both"/>
      </w:pPr>
      <w:r w:rsidRPr="000F6264">
        <w:t>mikrokryštalická celulóza</w:t>
      </w:r>
    </w:p>
    <w:p w14:paraId="4EC9180C" w14:textId="0F7A6186" w:rsidR="008746EE" w:rsidRPr="000F6264" w:rsidRDefault="008746EE" w:rsidP="008746EE">
      <w:pPr>
        <w:pStyle w:val="Zkladntext"/>
        <w:jc w:val="both"/>
      </w:pPr>
      <w:r w:rsidRPr="000F6264">
        <w:t>koloidný oxid kremičitý bezvodý</w:t>
      </w:r>
    </w:p>
    <w:p w14:paraId="13AC652B" w14:textId="77777777" w:rsidR="008746EE" w:rsidRPr="000F6264" w:rsidRDefault="008746EE" w:rsidP="008746EE">
      <w:pPr>
        <w:pStyle w:val="Zkladntext"/>
        <w:jc w:val="both"/>
      </w:pPr>
      <w:r w:rsidRPr="000F6264">
        <w:t>magnéziumstearát</w:t>
      </w:r>
    </w:p>
    <w:p w14:paraId="57B1F02C" w14:textId="77777777" w:rsidR="008746EE" w:rsidRPr="000F6264" w:rsidRDefault="008746EE" w:rsidP="008746EE">
      <w:pPr>
        <w:ind w:left="0" w:firstLine="0"/>
        <w:jc w:val="both"/>
        <w:rPr>
          <w:szCs w:val="22"/>
        </w:rPr>
      </w:pPr>
    </w:p>
    <w:p w14:paraId="6057A1BF" w14:textId="77777777" w:rsidR="008746EE" w:rsidRPr="000F6264" w:rsidRDefault="008746EE" w:rsidP="008746EE">
      <w:pPr>
        <w:jc w:val="both"/>
        <w:rPr>
          <w:szCs w:val="22"/>
        </w:rPr>
      </w:pPr>
      <w:r w:rsidRPr="000F6264">
        <w:rPr>
          <w:b/>
          <w:szCs w:val="22"/>
        </w:rPr>
        <w:t>6.2</w:t>
      </w:r>
      <w:r w:rsidRPr="000F6264">
        <w:rPr>
          <w:b/>
          <w:szCs w:val="22"/>
        </w:rPr>
        <w:tab/>
        <w:t>Inkompatibility</w:t>
      </w:r>
    </w:p>
    <w:p w14:paraId="1CE50D75" w14:textId="77777777" w:rsidR="008746EE" w:rsidRPr="000F6264" w:rsidRDefault="008746EE" w:rsidP="008746EE">
      <w:pPr>
        <w:jc w:val="both"/>
        <w:rPr>
          <w:szCs w:val="22"/>
        </w:rPr>
      </w:pPr>
    </w:p>
    <w:p w14:paraId="1A41F8A7" w14:textId="77777777" w:rsidR="008746EE" w:rsidRPr="000F6264" w:rsidRDefault="008746EE" w:rsidP="008746EE">
      <w:pPr>
        <w:jc w:val="both"/>
        <w:rPr>
          <w:szCs w:val="22"/>
        </w:rPr>
      </w:pPr>
      <w:r w:rsidRPr="000F6264">
        <w:rPr>
          <w:szCs w:val="22"/>
        </w:rPr>
        <w:t>Neaplikovateľné.</w:t>
      </w:r>
    </w:p>
    <w:p w14:paraId="6FECEC84" w14:textId="77777777" w:rsidR="008746EE" w:rsidRPr="000F6264" w:rsidRDefault="008746EE" w:rsidP="008746EE">
      <w:pPr>
        <w:jc w:val="both"/>
        <w:rPr>
          <w:szCs w:val="22"/>
        </w:rPr>
      </w:pPr>
    </w:p>
    <w:p w14:paraId="6F3A7997" w14:textId="77777777" w:rsidR="008746EE" w:rsidRPr="000F6264" w:rsidRDefault="008746EE" w:rsidP="008746EE">
      <w:pPr>
        <w:jc w:val="both"/>
        <w:rPr>
          <w:szCs w:val="22"/>
        </w:rPr>
      </w:pPr>
      <w:r w:rsidRPr="000F6264">
        <w:rPr>
          <w:b/>
          <w:szCs w:val="22"/>
        </w:rPr>
        <w:t>6.3</w:t>
      </w:r>
      <w:r w:rsidRPr="000F6264">
        <w:rPr>
          <w:b/>
          <w:szCs w:val="22"/>
        </w:rPr>
        <w:tab/>
        <w:t>Čas použiteľnosti</w:t>
      </w:r>
    </w:p>
    <w:p w14:paraId="31577670" w14:textId="77777777" w:rsidR="008746EE" w:rsidRPr="000F6264" w:rsidRDefault="008746EE" w:rsidP="008746EE">
      <w:pPr>
        <w:jc w:val="both"/>
        <w:rPr>
          <w:szCs w:val="22"/>
        </w:rPr>
      </w:pPr>
    </w:p>
    <w:p w14:paraId="036785C7" w14:textId="77777777" w:rsidR="008746EE" w:rsidRPr="000F6264" w:rsidRDefault="008746EE" w:rsidP="008746EE">
      <w:pPr>
        <w:ind w:left="540" w:hanging="540"/>
        <w:jc w:val="both"/>
        <w:rPr>
          <w:szCs w:val="22"/>
        </w:rPr>
      </w:pPr>
      <w:r>
        <w:rPr>
          <w:szCs w:val="22"/>
        </w:rPr>
        <w:t>3</w:t>
      </w:r>
      <w:r w:rsidRPr="000F6264">
        <w:rPr>
          <w:szCs w:val="22"/>
        </w:rPr>
        <w:t> roky</w:t>
      </w:r>
    </w:p>
    <w:p w14:paraId="3583C3AA" w14:textId="77777777" w:rsidR="008746EE" w:rsidRPr="000F6264" w:rsidRDefault="008746EE" w:rsidP="008746EE">
      <w:pPr>
        <w:jc w:val="both"/>
        <w:rPr>
          <w:szCs w:val="22"/>
          <w:highlight w:val="green"/>
        </w:rPr>
      </w:pPr>
    </w:p>
    <w:p w14:paraId="1AF61638" w14:textId="77777777" w:rsidR="008746EE" w:rsidRPr="000F6264" w:rsidRDefault="008746EE" w:rsidP="008746EE">
      <w:pPr>
        <w:jc w:val="both"/>
        <w:rPr>
          <w:szCs w:val="22"/>
        </w:rPr>
      </w:pPr>
      <w:r w:rsidRPr="000F6264">
        <w:rPr>
          <w:b/>
          <w:szCs w:val="22"/>
        </w:rPr>
        <w:t>6.4</w:t>
      </w:r>
      <w:r w:rsidRPr="000F6264">
        <w:rPr>
          <w:b/>
          <w:szCs w:val="22"/>
        </w:rPr>
        <w:tab/>
        <w:t>Špeciálne upozornenia na uchovávanie</w:t>
      </w:r>
    </w:p>
    <w:p w14:paraId="6DBF246E" w14:textId="77777777" w:rsidR="008746EE" w:rsidRPr="000F6264" w:rsidRDefault="008746EE" w:rsidP="008746EE">
      <w:pPr>
        <w:jc w:val="both"/>
        <w:rPr>
          <w:iCs/>
          <w:color w:val="000000"/>
          <w:szCs w:val="22"/>
        </w:rPr>
      </w:pPr>
    </w:p>
    <w:p w14:paraId="58E571BE" w14:textId="77777777" w:rsidR="008746EE" w:rsidRPr="000F6264" w:rsidRDefault="008746EE" w:rsidP="008746EE">
      <w:pPr>
        <w:jc w:val="both"/>
        <w:rPr>
          <w:iCs/>
          <w:color w:val="000000"/>
          <w:szCs w:val="22"/>
        </w:rPr>
      </w:pPr>
      <w:r w:rsidRPr="000F6264">
        <w:rPr>
          <w:iCs/>
          <w:color w:val="000000"/>
          <w:szCs w:val="22"/>
        </w:rPr>
        <w:t>Uchovávajte v pôvodnom obale</w:t>
      </w:r>
      <w:r>
        <w:rPr>
          <w:iCs/>
          <w:color w:val="000000"/>
          <w:szCs w:val="22"/>
        </w:rPr>
        <w:t xml:space="preserve"> na ochranu pred vlhkosťou a svetlom</w:t>
      </w:r>
      <w:r w:rsidRPr="000F6264">
        <w:rPr>
          <w:iCs/>
          <w:color w:val="000000"/>
          <w:szCs w:val="22"/>
        </w:rPr>
        <w:t>.</w:t>
      </w:r>
    </w:p>
    <w:p w14:paraId="75496182" w14:textId="1FBF3A9E" w:rsidR="008746EE" w:rsidRPr="000F6264" w:rsidRDefault="008746EE" w:rsidP="008746EE">
      <w:pPr>
        <w:jc w:val="both"/>
        <w:rPr>
          <w:iCs/>
          <w:color w:val="000000"/>
          <w:szCs w:val="22"/>
        </w:rPr>
      </w:pPr>
      <w:r w:rsidRPr="000F6264">
        <w:rPr>
          <w:iCs/>
          <w:color w:val="000000"/>
          <w:szCs w:val="22"/>
        </w:rPr>
        <w:t xml:space="preserve">Uchovávajte pri teplote </w:t>
      </w:r>
      <w:r w:rsidR="00181CE5">
        <w:rPr>
          <w:iCs/>
          <w:color w:val="000000"/>
          <w:szCs w:val="22"/>
        </w:rPr>
        <w:t>neprevyšujúcej</w:t>
      </w:r>
      <w:r w:rsidR="00181CE5" w:rsidRPr="000F6264">
        <w:rPr>
          <w:iCs/>
          <w:color w:val="000000"/>
          <w:szCs w:val="22"/>
        </w:rPr>
        <w:t xml:space="preserve"> </w:t>
      </w:r>
      <w:r w:rsidRPr="000F6264">
        <w:rPr>
          <w:iCs/>
          <w:color w:val="000000"/>
          <w:szCs w:val="22"/>
        </w:rPr>
        <w:t>30</w:t>
      </w:r>
      <w:r>
        <w:rPr>
          <w:iCs/>
          <w:color w:val="000000"/>
          <w:szCs w:val="22"/>
        </w:rPr>
        <w:t> </w:t>
      </w:r>
      <w:r w:rsidRPr="000F6264">
        <w:rPr>
          <w:iCs/>
          <w:color w:val="000000"/>
          <w:szCs w:val="22"/>
        </w:rPr>
        <w:t>°C.</w:t>
      </w:r>
    </w:p>
    <w:p w14:paraId="1B2EB01D" w14:textId="77777777" w:rsidR="008746EE" w:rsidRPr="000F6264" w:rsidRDefault="008746EE" w:rsidP="008746EE">
      <w:pPr>
        <w:jc w:val="both"/>
        <w:rPr>
          <w:szCs w:val="22"/>
        </w:rPr>
      </w:pPr>
    </w:p>
    <w:p w14:paraId="692713FC" w14:textId="77777777" w:rsidR="008746EE" w:rsidRPr="000F6264" w:rsidRDefault="008746EE" w:rsidP="008746EE">
      <w:pPr>
        <w:jc w:val="both"/>
        <w:rPr>
          <w:szCs w:val="22"/>
        </w:rPr>
      </w:pPr>
      <w:r w:rsidRPr="000F6264">
        <w:rPr>
          <w:b/>
          <w:szCs w:val="22"/>
        </w:rPr>
        <w:t>6.5</w:t>
      </w:r>
      <w:r w:rsidRPr="000F6264">
        <w:rPr>
          <w:b/>
          <w:szCs w:val="22"/>
        </w:rPr>
        <w:tab/>
        <w:t>Druh obalu a obsah balenia</w:t>
      </w:r>
      <w:r w:rsidRPr="000F6264">
        <w:rPr>
          <w:b/>
          <w:color w:val="0000FF"/>
          <w:szCs w:val="22"/>
        </w:rPr>
        <w:t xml:space="preserve"> </w:t>
      </w:r>
    </w:p>
    <w:p w14:paraId="1B36A761" w14:textId="77777777" w:rsidR="008746EE" w:rsidRPr="000F6264" w:rsidRDefault="008746EE" w:rsidP="008746EE">
      <w:pPr>
        <w:ind w:left="0" w:firstLine="0"/>
        <w:jc w:val="both"/>
        <w:rPr>
          <w:szCs w:val="22"/>
        </w:rPr>
      </w:pPr>
    </w:p>
    <w:p w14:paraId="1ABFFF3E" w14:textId="42EB9B63" w:rsidR="008746EE" w:rsidRPr="000F6264" w:rsidRDefault="008746EE" w:rsidP="008746EE">
      <w:pPr>
        <w:ind w:left="0" w:firstLine="0"/>
        <w:jc w:val="both"/>
        <w:rPr>
          <w:szCs w:val="22"/>
        </w:rPr>
      </w:pPr>
      <w:r w:rsidRPr="000F6264">
        <w:rPr>
          <w:szCs w:val="22"/>
        </w:rPr>
        <w:t>Blistrové balenie (</w:t>
      </w:r>
      <w:r>
        <w:rPr>
          <w:szCs w:val="22"/>
        </w:rPr>
        <w:t>OPA/Alu/</w:t>
      </w:r>
      <w:r w:rsidRPr="000F6264">
        <w:rPr>
          <w:szCs w:val="22"/>
        </w:rPr>
        <w:t>PVC</w:t>
      </w:r>
      <w:r>
        <w:rPr>
          <w:szCs w:val="22"/>
        </w:rPr>
        <w:t xml:space="preserve"> film, Al fólia</w:t>
      </w:r>
      <w:r w:rsidRPr="000F6264">
        <w:rPr>
          <w:szCs w:val="22"/>
        </w:rPr>
        <w:t>)</w:t>
      </w:r>
      <w:r>
        <w:rPr>
          <w:szCs w:val="22"/>
        </w:rPr>
        <w:t xml:space="preserve"> s</w:t>
      </w:r>
      <w:r w:rsidRPr="000F6264">
        <w:rPr>
          <w:szCs w:val="22"/>
        </w:rPr>
        <w:t xml:space="preserve"> </w:t>
      </w:r>
      <w:r>
        <w:rPr>
          <w:szCs w:val="22"/>
        </w:rPr>
        <w:t>10</w:t>
      </w:r>
      <w:r w:rsidRPr="000F6264">
        <w:rPr>
          <w:szCs w:val="22"/>
        </w:rPr>
        <w:t>, 14, 28, 30, 50,</w:t>
      </w:r>
      <w:r>
        <w:rPr>
          <w:szCs w:val="22"/>
        </w:rPr>
        <w:t xml:space="preserve"> 56,</w:t>
      </w:r>
      <w:r w:rsidRPr="000F6264">
        <w:rPr>
          <w:szCs w:val="22"/>
        </w:rPr>
        <w:t xml:space="preserve"> 60, 90 alebo 100</w:t>
      </w:r>
      <w:r>
        <w:rPr>
          <w:szCs w:val="22"/>
        </w:rPr>
        <w:t> </w:t>
      </w:r>
      <w:r w:rsidRPr="000F6264">
        <w:rPr>
          <w:szCs w:val="22"/>
        </w:rPr>
        <w:t>tabl</w:t>
      </w:r>
      <w:r>
        <w:rPr>
          <w:szCs w:val="22"/>
        </w:rPr>
        <w:t xml:space="preserve">etami </w:t>
      </w:r>
      <w:r w:rsidRPr="000F6264">
        <w:rPr>
          <w:szCs w:val="22"/>
        </w:rPr>
        <w:t>v </w:t>
      </w:r>
      <w:r>
        <w:rPr>
          <w:szCs w:val="22"/>
        </w:rPr>
        <w:t>škatuľke</w:t>
      </w:r>
      <w:r w:rsidRPr="000F6264">
        <w:rPr>
          <w:szCs w:val="22"/>
        </w:rPr>
        <w:t>.</w:t>
      </w:r>
    </w:p>
    <w:p w14:paraId="52AFC08B" w14:textId="77777777" w:rsidR="008746EE" w:rsidRDefault="008746EE" w:rsidP="008746EE">
      <w:pPr>
        <w:jc w:val="both"/>
        <w:rPr>
          <w:szCs w:val="22"/>
        </w:rPr>
      </w:pPr>
    </w:p>
    <w:p w14:paraId="3B7A783A" w14:textId="63B4F4C3" w:rsidR="008746EE" w:rsidRPr="000F6264" w:rsidRDefault="008746EE" w:rsidP="008746EE">
      <w:pPr>
        <w:jc w:val="both"/>
        <w:rPr>
          <w:szCs w:val="22"/>
        </w:rPr>
      </w:pPr>
      <w:r w:rsidRPr="000F6264">
        <w:rPr>
          <w:szCs w:val="22"/>
        </w:rPr>
        <w:t>N</w:t>
      </w:r>
      <w:r>
        <w:rPr>
          <w:szCs w:val="22"/>
        </w:rPr>
        <w:t xml:space="preserve">a trh nemusia byť uvedené </w:t>
      </w:r>
      <w:r w:rsidRPr="000F6264">
        <w:rPr>
          <w:szCs w:val="22"/>
        </w:rPr>
        <w:t>všetky veľkosti balenia.</w:t>
      </w:r>
    </w:p>
    <w:p w14:paraId="646319D7" w14:textId="77777777" w:rsidR="008746EE" w:rsidRPr="000F6264" w:rsidRDefault="008746EE" w:rsidP="008746EE">
      <w:pPr>
        <w:jc w:val="both"/>
        <w:rPr>
          <w:szCs w:val="22"/>
        </w:rPr>
      </w:pPr>
    </w:p>
    <w:p w14:paraId="48E345F7" w14:textId="77777777" w:rsidR="008746EE" w:rsidRPr="000F6264" w:rsidRDefault="008746EE" w:rsidP="008746EE">
      <w:pPr>
        <w:jc w:val="both"/>
        <w:rPr>
          <w:szCs w:val="22"/>
        </w:rPr>
      </w:pPr>
      <w:r w:rsidRPr="000F6264">
        <w:rPr>
          <w:b/>
          <w:szCs w:val="22"/>
        </w:rPr>
        <w:t>6.6</w:t>
      </w:r>
      <w:r w:rsidRPr="000F6264">
        <w:rPr>
          <w:b/>
          <w:szCs w:val="22"/>
        </w:rPr>
        <w:tab/>
      </w:r>
      <w:r>
        <w:rPr>
          <w:b/>
          <w:szCs w:val="22"/>
        </w:rPr>
        <w:t>Špeciálne opatrenia na likvidáciu</w:t>
      </w:r>
      <w:r w:rsidRPr="000F6264">
        <w:rPr>
          <w:b/>
          <w:szCs w:val="22"/>
        </w:rPr>
        <w:t xml:space="preserve"> a</w:t>
      </w:r>
      <w:r>
        <w:rPr>
          <w:b/>
          <w:szCs w:val="22"/>
        </w:rPr>
        <w:t xml:space="preserve"> iné </w:t>
      </w:r>
      <w:r w:rsidRPr="000F6264">
        <w:rPr>
          <w:b/>
          <w:szCs w:val="22"/>
        </w:rPr>
        <w:t xml:space="preserve">zaobchádzanie s liekom </w:t>
      </w:r>
    </w:p>
    <w:p w14:paraId="51FFEE0B" w14:textId="77777777" w:rsidR="008746EE" w:rsidRPr="000F6264" w:rsidRDefault="008746EE" w:rsidP="008746EE">
      <w:pPr>
        <w:jc w:val="both"/>
        <w:rPr>
          <w:szCs w:val="22"/>
        </w:rPr>
      </w:pPr>
    </w:p>
    <w:p w14:paraId="625C099D" w14:textId="77777777" w:rsidR="008746EE" w:rsidRPr="000F6264" w:rsidRDefault="008746EE" w:rsidP="008746EE">
      <w:pPr>
        <w:jc w:val="both"/>
        <w:rPr>
          <w:szCs w:val="22"/>
        </w:rPr>
      </w:pPr>
      <w:r w:rsidRPr="000F6264">
        <w:rPr>
          <w:szCs w:val="22"/>
        </w:rPr>
        <w:t>Žiadne zvláštne požiadavky</w:t>
      </w:r>
      <w:r>
        <w:rPr>
          <w:szCs w:val="22"/>
        </w:rPr>
        <w:t xml:space="preserve"> na likvidáciu</w:t>
      </w:r>
      <w:r w:rsidRPr="000F6264">
        <w:rPr>
          <w:szCs w:val="22"/>
        </w:rPr>
        <w:t>.</w:t>
      </w:r>
    </w:p>
    <w:p w14:paraId="7FE9C245" w14:textId="77777777" w:rsidR="008746EE" w:rsidRPr="000F6264" w:rsidRDefault="008746EE" w:rsidP="008746EE">
      <w:pPr>
        <w:jc w:val="both"/>
        <w:rPr>
          <w:szCs w:val="22"/>
        </w:rPr>
      </w:pPr>
    </w:p>
    <w:p w14:paraId="45CEC308" w14:textId="77777777" w:rsidR="008746EE" w:rsidRPr="000F6264" w:rsidRDefault="008746EE" w:rsidP="008746EE">
      <w:pPr>
        <w:jc w:val="both"/>
        <w:rPr>
          <w:szCs w:val="22"/>
        </w:rPr>
      </w:pPr>
    </w:p>
    <w:p w14:paraId="281CEE63" w14:textId="77777777" w:rsidR="008746EE" w:rsidRPr="000F6264" w:rsidRDefault="008746EE" w:rsidP="008746EE">
      <w:pPr>
        <w:jc w:val="both"/>
        <w:rPr>
          <w:szCs w:val="22"/>
        </w:rPr>
      </w:pPr>
      <w:r w:rsidRPr="000F6264">
        <w:rPr>
          <w:b/>
          <w:szCs w:val="22"/>
        </w:rPr>
        <w:t>7.</w:t>
      </w:r>
      <w:r w:rsidRPr="000F6264">
        <w:rPr>
          <w:b/>
          <w:szCs w:val="22"/>
        </w:rPr>
        <w:tab/>
        <w:t>DRŽITEĽ ROZHODNUTIA O REGISTRÁCII</w:t>
      </w:r>
    </w:p>
    <w:p w14:paraId="78F215B1" w14:textId="77777777" w:rsidR="008746EE" w:rsidRPr="000F6264" w:rsidRDefault="008746EE" w:rsidP="008746EE">
      <w:pPr>
        <w:jc w:val="both"/>
        <w:rPr>
          <w:szCs w:val="22"/>
          <w:highlight w:val="green"/>
        </w:rPr>
      </w:pPr>
    </w:p>
    <w:p w14:paraId="79D47A8F" w14:textId="77777777" w:rsidR="009176F2" w:rsidRDefault="008746EE" w:rsidP="008746EE">
      <w:pPr>
        <w:ind w:right="-52"/>
        <w:rPr>
          <w:szCs w:val="22"/>
          <w:lang w:eastAsia="sl-SI"/>
        </w:rPr>
      </w:pPr>
      <w:r w:rsidRPr="007472FA">
        <w:rPr>
          <w:szCs w:val="22"/>
          <w:lang w:eastAsia="sl-SI"/>
        </w:rPr>
        <w:t>KRKA, d.d., Novo mesto</w:t>
      </w:r>
    </w:p>
    <w:p w14:paraId="1C110979" w14:textId="301EC7D7" w:rsidR="009176F2" w:rsidRDefault="008746EE" w:rsidP="008746EE">
      <w:pPr>
        <w:ind w:right="-52"/>
        <w:rPr>
          <w:szCs w:val="22"/>
          <w:lang w:eastAsia="sl-SI"/>
        </w:rPr>
      </w:pPr>
      <w:r w:rsidRPr="007472FA">
        <w:rPr>
          <w:szCs w:val="22"/>
          <w:lang w:eastAsia="sl-SI"/>
        </w:rPr>
        <w:t>Šmarješka cesta 6</w:t>
      </w:r>
    </w:p>
    <w:p w14:paraId="5F246CC7" w14:textId="27E54545" w:rsidR="009176F2" w:rsidRDefault="008746EE" w:rsidP="008746EE">
      <w:pPr>
        <w:ind w:right="-52"/>
        <w:rPr>
          <w:szCs w:val="22"/>
          <w:lang w:eastAsia="sl-SI"/>
        </w:rPr>
      </w:pPr>
      <w:r w:rsidRPr="007472FA">
        <w:rPr>
          <w:szCs w:val="22"/>
          <w:lang w:eastAsia="sl-SI"/>
        </w:rPr>
        <w:t>8501 Novo mesto</w:t>
      </w:r>
    </w:p>
    <w:p w14:paraId="7A371D4F" w14:textId="219F2A74" w:rsidR="008746EE" w:rsidRPr="007472FA" w:rsidRDefault="008746EE" w:rsidP="008746EE">
      <w:pPr>
        <w:ind w:right="-52"/>
        <w:rPr>
          <w:szCs w:val="22"/>
        </w:rPr>
      </w:pPr>
      <w:r w:rsidRPr="007472FA">
        <w:rPr>
          <w:szCs w:val="22"/>
          <w:lang w:eastAsia="sl-SI"/>
        </w:rPr>
        <w:t>Slovinsko</w:t>
      </w:r>
    </w:p>
    <w:p w14:paraId="2F6C6333" w14:textId="77777777" w:rsidR="008746EE" w:rsidRPr="000F6264" w:rsidRDefault="008746EE" w:rsidP="008746EE">
      <w:pPr>
        <w:jc w:val="both"/>
        <w:rPr>
          <w:szCs w:val="22"/>
          <w:highlight w:val="green"/>
        </w:rPr>
      </w:pPr>
    </w:p>
    <w:p w14:paraId="6C266CF9" w14:textId="77777777" w:rsidR="008746EE" w:rsidRPr="000F6264" w:rsidRDefault="008746EE" w:rsidP="008746EE">
      <w:pPr>
        <w:jc w:val="both"/>
        <w:rPr>
          <w:szCs w:val="22"/>
          <w:highlight w:val="green"/>
        </w:rPr>
      </w:pPr>
    </w:p>
    <w:p w14:paraId="192F774F" w14:textId="77777777" w:rsidR="008746EE" w:rsidRPr="000F6264" w:rsidRDefault="008746EE" w:rsidP="008746EE">
      <w:pPr>
        <w:jc w:val="both"/>
        <w:rPr>
          <w:b/>
          <w:szCs w:val="22"/>
        </w:rPr>
      </w:pPr>
      <w:r w:rsidRPr="000F6264">
        <w:rPr>
          <w:b/>
          <w:szCs w:val="22"/>
        </w:rPr>
        <w:t>8.</w:t>
      </w:r>
      <w:r w:rsidRPr="000F6264">
        <w:rPr>
          <w:b/>
          <w:szCs w:val="22"/>
        </w:rPr>
        <w:tab/>
        <w:t xml:space="preserve">REGISTRAČNÉ ČÍSLO </w:t>
      </w:r>
    </w:p>
    <w:p w14:paraId="4D00C5EC" w14:textId="77777777" w:rsidR="008746EE" w:rsidRDefault="008746EE" w:rsidP="008746EE">
      <w:pPr>
        <w:ind w:left="0" w:firstLine="0"/>
        <w:jc w:val="both"/>
        <w:rPr>
          <w:szCs w:val="22"/>
          <w:highlight w:val="green"/>
        </w:rPr>
      </w:pPr>
    </w:p>
    <w:p w14:paraId="31B5DFBA" w14:textId="77777777" w:rsidR="008746EE" w:rsidRPr="00B70025" w:rsidRDefault="008746EE" w:rsidP="008746EE">
      <w:pPr>
        <w:ind w:left="0" w:firstLine="0"/>
        <w:jc w:val="both"/>
        <w:rPr>
          <w:szCs w:val="22"/>
          <w:highlight w:val="green"/>
        </w:rPr>
      </w:pPr>
      <w:r w:rsidRPr="00B70025">
        <w:rPr>
          <w:szCs w:val="22"/>
        </w:rPr>
        <w:t>58/0044/10-S</w:t>
      </w:r>
    </w:p>
    <w:p w14:paraId="2954B91D" w14:textId="77777777" w:rsidR="008746EE" w:rsidRDefault="008746EE" w:rsidP="008746EE">
      <w:pPr>
        <w:jc w:val="both"/>
        <w:rPr>
          <w:szCs w:val="22"/>
        </w:rPr>
      </w:pPr>
    </w:p>
    <w:p w14:paraId="324E5F82" w14:textId="77777777" w:rsidR="008746EE" w:rsidRPr="000F6264" w:rsidRDefault="008746EE" w:rsidP="008746EE">
      <w:pPr>
        <w:jc w:val="both"/>
        <w:rPr>
          <w:szCs w:val="22"/>
        </w:rPr>
      </w:pPr>
    </w:p>
    <w:p w14:paraId="03B2CD21" w14:textId="77777777" w:rsidR="008746EE" w:rsidRPr="000F6264" w:rsidRDefault="008746EE" w:rsidP="008746EE">
      <w:pPr>
        <w:jc w:val="both"/>
        <w:rPr>
          <w:szCs w:val="22"/>
        </w:rPr>
      </w:pPr>
      <w:r w:rsidRPr="000F6264">
        <w:rPr>
          <w:b/>
          <w:szCs w:val="22"/>
        </w:rPr>
        <w:t>9.</w:t>
      </w:r>
      <w:r w:rsidRPr="000F6264">
        <w:rPr>
          <w:b/>
          <w:szCs w:val="22"/>
        </w:rPr>
        <w:tab/>
        <w:t>DÁTUM PRVEJ REGISTRÁCIE/PREDĹŽENIA REGISTRÁCIE</w:t>
      </w:r>
    </w:p>
    <w:p w14:paraId="7D7428BA" w14:textId="77777777" w:rsidR="008746EE" w:rsidRPr="000F6264" w:rsidRDefault="008746EE" w:rsidP="008746EE">
      <w:pPr>
        <w:jc w:val="both"/>
        <w:rPr>
          <w:szCs w:val="22"/>
        </w:rPr>
      </w:pPr>
    </w:p>
    <w:p w14:paraId="6C4B5B2F" w14:textId="2F881C41" w:rsidR="008746EE" w:rsidRDefault="008746EE" w:rsidP="008746EE">
      <w:pPr>
        <w:jc w:val="both"/>
        <w:rPr>
          <w:szCs w:val="22"/>
        </w:rPr>
      </w:pPr>
      <w:r>
        <w:rPr>
          <w:szCs w:val="22"/>
        </w:rPr>
        <w:t>Dátum prvej registrácie: 29. január 2010</w:t>
      </w:r>
    </w:p>
    <w:p w14:paraId="21F5FE68" w14:textId="77777777" w:rsidR="008746EE" w:rsidRDefault="008746EE" w:rsidP="008746EE">
      <w:pPr>
        <w:jc w:val="both"/>
        <w:rPr>
          <w:szCs w:val="22"/>
        </w:rPr>
      </w:pPr>
      <w:r>
        <w:rPr>
          <w:szCs w:val="22"/>
        </w:rPr>
        <w:t>Dátum posledného predĺženia registrácie:</w:t>
      </w:r>
    </w:p>
    <w:p w14:paraId="752D97A5" w14:textId="77777777" w:rsidR="008746EE" w:rsidRDefault="008746EE" w:rsidP="008746EE">
      <w:pPr>
        <w:jc w:val="both"/>
        <w:rPr>
          <w:szCs w:val="22"/>
        </w:rPr>
      </w:pPr>
    </w:p>
    <w:p w14:paraId="711F9A29" w14:textId="77777777" w:rsidR="008746EE" w:rsidRPr="000F6264" w:rsidRDefault="008746EE" w:rsidP="008746EE">
      <w:pPr>
        <w:jc w:val="both"/>
        <w:rPr>
          <w:szCs w:val="22"/>
        </w:rPr>
      </w:pPr>
    </w:p>
    <w:p w14:paraId="646A1572" w14:textId="77777777" w:rsidR="008746EE" w:rsidRDefault="008746EE" w:rsidP="008746EE">
      <w:pPr>
        <w:jc w:val="both"/>
        <w:rPr>
          <w:b/>
          <w:szCs w:val="22"/>
        </w:rPr>
      </w:pPr>
      <w:r w:rsidRPr="000F6264">
        <w:rPr>
          <w:b/>
          <w:szCs w:val="22"/>
        </w:rPr>
        <w:t>10.</w:t>
      </w:r>
      <w:r w:rsidRPr="000F6264">
        <w:rPr>
          <w:b/>
          <w:szCs w:val="22"/>
        </w:rPr>
        <w:tab/>
        <w:t>DÁTUM REVÍZIE TEXTU</w:t>
      </w:r>
    </w:p>
    <w:p w14:paraId="54C5AEAC" w14:textId="77777777" w:rsidR="008746EE" w:rsidRDefault="008746EE" w:rsidP="008746EE">
      <w:pPr>
        <w:jc w:val="both"/>
        <w:rPr>
          <w:b/>
          <w:szCs w:val="22"/>
        </w:rPr>
      </w:pPr>
    </w:p>
    <w:p w14:paraId="3ECAEAC7" w14:textId="7D36229B" w:rsidR="008746EE" w:rsidRDefault="009176F2" w:rsidP="008746EE">
      <w:pPr>
        <w:jc w:val="both"/>
        <w:rPr>
          <w:b/>
          <w:szCs w:val="22"/>
        </w:rPr>
      </w:pPr>
      <w:r>
        <w:rPr>
          <w:szCs w:val="22"/>
        </w:rPr>
        <w:t>Január 2018</w:t>
      </w:r>
    </w:p>
    <w:p w14:paraId="099DBC86" w14:textId="77777777" w:rsidR="008746EE" w:rsidRDefault="008746EE" w:rsidP="008746EE">
      <w:pPr>
        <w:jc w:val="both"/>
        <w:rPr>
          <w:b/>
          <w:szCs w:val="22"/>
        </w:rPr>
      </w:pPr>
    </w:p>
    <w:p w14:paraId="165ECA94" w14:textId="77777777" w:rsidR="008746EE" w:rsidRDefault="008746EE" w:rsidP="008746EE">
      <w:pPr>
        <w:jc w:val="both"/>
        <w:rPr>
          <w:szCs w:val="22"/>
        </w:rPr>
      </w:pPr>
    </w:p>
    <w:p w14:paraId="4D8E5932" w14:textId="77777777" w:rsidR="008746EE" w:rsidRPr="000F6264" w:rsidRDefault="008746EE" w:rsidP="008746EE">
      <w:pPr>
        <w:jc w:val="both"/>
        <w:rPr>
          <w:szCs w:val="22"/>
        </w:rPr>
      </w:pPr>
    </w:p>
    <w:p w14:paraId="6900AD4D" w14:textId="77777777" w:rsidR="00314A08" w:rsidRPr="008746EE" w:rsidRDefault="00314A08" w:rsidP="008746EE"/>
    <w:sectPr w:rsidR="00314A08" w:rsidRPr="008746EE" w:rsidSect="00AB07CD">
      <w:headerReference w:type="default" r:id="rId9"/>
      <w:footerReference w:type="even" r:id="rId10"/>
      <w:footerReference w:type="default" r:id="rId11"/>
      <w:headerReference w:type="first" r:id="rId12"/>
      <w:footerReference w:type="first" r:id="rId13"/>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83994" w14:textId="77777777" w:rsidR="008A651C" w:rsidRDefault="008A651C">
      <w:r>
        <w:separator/>
      </w:r>
    </w:p>
  </w:endnote>
  <w:endnote w:type="continuationSeparator" w:id="0">
    <w:p w14:paraId="2A2B3B38" w14:textId="77777777" w:rsidR="008A651C" w:rsidRDefault="008A651C">
      <w:r>
        <w:continuationSeparator/>
      </w:r>
    </w:p>
  </w:endnote>
  <w:endnote w:type="continuationNotice" w:id="1">
    <w:p w14:paraId="231865EA" w14:textId="77777777" w:rsidR="008A651C" w:rsidRDefault="008A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5084" w14:textId="77777777" w:rsidR="00AB07CD" w:rsidRDefault="00AB07CD" w:rsidP="001E2EC1">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8EEC739" w14:textId="77777777" w:rsidR="00AB07CD" w:rsidRDefault="00AB07CD" w:rsidP="0034128F">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050FD" w14:textId="77777777" w:rsidR="00AB07CD" w:rsidRPr="00AB07CD" w:rsidRDefault="00AB07CD" w:rsidP="001E2EC1">
    <w:pPr>
      <w:pStyle w:val="Pta"/>
      <w:framePr w:wrap="around" w:vAnchor="text" w:hAnchor="margin" w:xAlign="center" w:y="1"/>
      <w:rPr>
        <w:rStyle w:val="slostrany"/>
        <w:rFonts w:ascii="Times New Roman" w:hAnsi="Times New Roman"/>
        <w:sz w:val="18"/>
        <w:szCs w:val="18"/>
      </w:rPr>
    </w:pPr>
    <w:r w:rsidRPr="00AB07CD">
      <w:rPr>
        <w:rStyle w:val="slostrany"/>
        <w:rFonts w:ascii="Times New Roman" w:hAnsi="Times New Roman"/>
        <w:sz w:val="18"/>
        <w:szCs w:val="18"/>
      </w:rPr>
      <w:fldChar w:fldCharType="begin"/>
    </w:r>
    <w:r w:rsidRPr="00AB07CD">
      <w:rPr>
        <w:rStyle w:val="slostrany"/>
        <w:rFonts w:ascii="Times New Roman" w:hAnsi="Times New Roman"/>
        <w:sz w:val="18"/>
        <w:szCs w:val="18"/>
      </w:rPr>
      <w:instrText xml:space="preserve">PAGE  </w:instrText>
    </w:r>
    <w:r w:rsidRPr="00AB07CD">
      <w:rPr>
        <w:rStyle w:val="slostrany"/>
        <w:rFonts w:ascii="Times New Roman" w:hAnsi="Times New Roman"/>
        <w:sz w:val="18"/>
        <w:szCs w:val="18"/>
      </w:rPr>
      <w:fldChar w:fldCharType="separate"/>
    </w:r>
    <w:r w:rsidR="00954CB5">
      <w:rPr>
        <w:rStyle w:val="slostrany"/>
        <w:rFonts w:ascii="Times New Roman" w:hAnsi="Times New Roman"/>
        <w:noProof/>
        <w:sz w:val="18"/>
        <w:szCs w:val="18"/>
      </w:rPr>
      <w:t>1</w:t>
    </w:r>
    <w:r w:rsidRPr="00AB07CD">
      <w:rPr>
        <w:rStyle w:val="slostrany"/>
        <w:rFonts w:ascii="Times New Roman" w:hAnsi="Times New Roman"/>
        <w:sz w:val="18"/>
        <w:szCs w:val="18"/>
      </w:rPr>
      <w:fldChar w:fldCharType="end"/>
    </w:r>
  </w:p>
  <w:p w14:paraId="0B4FE68F" w14:textId="77777777" w:rsidR="00AB07CD" w:rsidRDefault="00AB07CD" w:rsidP="0034128F">
    <w:pPr>
      <w:pStyle w:val="Pta"/>
      <w:tabs>
        <w:tab w:val="clear" w:pos="8930"/>
        <w:tab w:val="right" w:pos="8931"/>
      </w:tabs>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0612F" w14:textId="77777777" w:rsidR="00AB07CD" w:rsidRDefault="00AB07CD">
    <w:pPr>
      <w:pStyle w:val="Pta"/>
      <w:tabs>
        <w:tab w:val="clear" w:pos="8930"/>
        <w:tab w:val="right" w:pos="8931"/>
      </w:tabs>
      <w:ind w:right="96"/>
      <w:jc w:val="center"/>
    </w:pPr>
    <w:r>
      <w:fldChar w:fldCharType="begin"/>
    </w:r>
    <w:r>
      <w:instrText xml:space="preserve"> EQ </w:instrText>
    </w:r>
    <w:r>
      <w:fldChar w:fldCharType="end"/>
    </w: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4A87C" w14:textId="77777777" w:rsidR="008A651C" w:rsidRDefault="008A651C">
      <w:r>
        <w:separator/>
      </w:r>
    </w:p>
  </w:footnote>
  <w:footnote w:type="continuationSeparator" w:id="0">
    <w:p w14:paraId="50B24535" w14:textId="77777777" w:rsidR="008A651C" w:rsidRDefault="008A651C">
      <w:r>
        <w:continuationSeparator/>
      </w:r>
    </w:p>
  </w:footnote>
  <w:footnote w:type="continuationNotice" w:id="1">
    <w:p w14:paraId="7CA08B44" w14:textId="77777777" w:rsidR="008A651C" w:rsidRDefault="008A65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4FAFD" w14:textId="24F5E44C" w:rsidR="00AB07CD" w:rsidRPr="00915973" w:rsidRDefault="00AB07CD" w:rsidP="00AB07CD">
    <w:pPr>
      <w:outlineLvl w:val="0"/>
      <w:rPr>
        <w:sz w:val="18"/>
        <w:szCs w:val="18"/>
      </w:rPr>
    </w:pPr>
    <w:r w:rsidRPr="00915973">
      <w:rPr>
        <w:sz w:val="18"/>
        <w:szCs w:val="18"/>
      </w:rPr>
      <w:t xml:space="preserve">Schválený text k rozhodnutiu </w:t>
    </w:r>
    <w:r>
      <w:rPr>
        <w:sz w:val="18"/>
        <w:szCs w:val="18"/>
      </w:rPr>
      <w:t>o  predĺžení, ev. č.: 2014/01387</w:t>
    </w:r>
    <w:r w:rsidRPr="00915973">
      <w:rPr>
        <w:sz w:val="18"/>
        <w:szCs w:val="18"/>
      </w:rPr>
      <w:t>-PRE</w:t>
    </w:r>
  </w:p>
  <w:p w14:paraId="51BD7C93" w14:textId="77777777" w:rsidR="00AB07CD" w:rsidRPr="00915973" w:rsidRDefault="00AB07CD" w:rsidP="00AB07CD">
    <w:pPr>
      <w:outlineLvl w:val="0"/>
      <w:rPr>
        <w:b/>
        <w:caps/>
      </w:rPr>
    </w:pPr>
    <w:r w:rsidRPr="00915973">
      <w:rPr>
        <w:sz w:val="18"/>
        <w:szCs w:val="18"/>
      </w:rPr>
      <w:t>Príloha č. 1 k notifikácii o zmene, ev.</w:t>
    </w:r>
    <w:r>
      <w:rPr>
        <w:sz w:val="18"/>
        <w:szCs w:val="18"/>
      </w:rPr>
      <w:t xml:space="preserve"> </w:t>
    </w:r>
    <w:r w:rsidRPr="00915973">
      <w:rPr>
        <w:sz w:val="18"/>
        <w:szCs w:val="18"/>
      </w:rPr>
      <w:t xml:space="preserve">č.: </w:t>
    </w:r>
    <w:r>
      <w:rPr>
        <w:sz w:val="18"/>
        <w:szCs w:val="18"/>
      </w:rPr>
      <w:t xml:space="preserve">2014/06084-ZIB, 2015/06458-Z1B, </w:t>
    </w:r>
    <w:r w:rsidRPr="003D3A2C">
      <w:rPr>
        <w:sz w:val="18"/>
        <w:szCs w:val="18"/>
      </w:rPr>
      <w:t>2016/05072-Z1B</w:t>
    </w:r>
  </w:p>
  <w:p w14:paraId="47F91FEE" w14:textId="77777777" w:rsidR="00AB07CD" w:rsidRPr="00AB07CD" w:rsidRDefault="00AB07CD">
    <w:pPr>
      <w:pStyle w:val="Hlavika"/>
      <w:rPr>
        <w:rFonts w:ascii="Times New Roman" w:hAnsi="Times New Roman"/>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81944" w14:textId="2C0581F9" w:rsidR="00AB07CD" w:rsidRPr="00915973" w:rsidRDefault="00AB07CD" w:rsidP="00A11AAD">
    <w:pPr>
      <w:outlineLvl w:val="0"/>
      <w:rPr>
        <w:sz w:val="18"/>
        <w:szCs w:val="18"/>
      </w:rPr>
    </w:pPr>
    <w:r w:rsidRPr="00915973">
      <w:rPr>
        <w:sz w:val="18"/>
        <w:szCs w:val="18"/>
      </w:rPr>
      <w:t>Schválený text k rozhodnutiu o  predĺžení, ev. č.: 2014/0138</w:t>
    </w:r>
    <w:r>
      <w:rPr>
        <w:sz w:val="18"/>
        <w:szCs w:val="18"/>
      </w:rPr>
      <w:t>7</w:t>
    </w:r>
    <w:r w:rsidRPr="00915973">
      <w:rPr>
        <w:sz w:val="18"/>
        <w:szCs w:val="18"/>
      </w:rPr>
      <w:t>-PRE</w:t>
    </w:r>
  </w:p>
  <w:p w14:paraId="3A3DF343" w14:textId="77777777" w:rsidR="00AB07CD" w:rsidRPr="00915973" w:rsidRDefault="00AB07CD" w:rsidP="00A11AAD">
    <w:pPr>
      <w:outlineLvl w:val="0"/>
      <w:rPr>
        <w:b/>
        <w:caps/>
      </w:rPr>
    </w:pPr>
    <w:r w:rsidRPr="00915973">
      <w:rPr>
        <w:sz w:val="18"/>
        <w:szCs w:val="18"/>
      </w:rPr>
      <w:t>Príloha č. 1 k notifikácii o zmene, ev.</w:t>
    </w:r>
    <w:r>
      <w:rPr>
        <w:sz w:val="18"/>
        <w:szCs w:val="18"/>
      </w:rPr>
      <w:t xml:space="preserve"> </w:t>
    </w:r>
    <w:r w:rsidRPr="00915973">
      <w:rPr>
        <w:sz w:val="18"/>
        <w:szCs w:val="18"/>
      </w:rPr>
      <w:t xml:space="preserve">č.: </w:t>
    </w:r>
    <w:r>
      <w:rPr>
        <w:sz w:val="18"/>
        <w:szCs w:val="18"/>
      </w:rPr>
      <w:t xml:space="preserve">2014/06084-ZIB, 2015/06458-Z1B, </w:t>
    </w:r>
    <w:r w:rsidRPr="003D3A2C">
      <w:rPr>
        <w:sz w:val="18"/>
        <w:szCs w:val="18"/>
      </w:rPr>
      <w:t>2016/05072-Z1B</w:t>
    </w:r>
  </w:p>
  <w:p w14:paraId="38C5E4BB" w14:textId="77777777" w:rsidR="00AB07CD" w:rsidRDefault="00AB07C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3B27E0"/>
    <w:multiLevelType w:val="hybridMultilevel"/>
    <w:tmpl w:val="34FAED12"/>
    <w:lvl w:ilvl="0" w:tplc="EB467274">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BEB6A4C"/>
    <w:multiLevelType w:val="hybridMultilevel"/>
    <w:tmpl w:val="6A166D0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37FC5"/>
    <w:multiLevelType w:val="singleLevel"/>
    <w:tmpl w:val="FFFFFFFF"/>
    <w:lvl w:ilvl="0">
      <w:start w:val="1"/>
      <w:numFmt w:val="bullet"/>
      <w:lvlText w:val="-"/>
      <w:legacy w:legacy="1" w:legacySpace="0" w:legacyIndent="360"/>
      <w:lvlJc w:val="left"/>
      <w:pPr>
        <w:ind w:left="1800" w:hanging="360"/>
      </w:pPr>
    </w:lvl>
  </w:abstractNum>
  <w:abstractNum w:abstractNumId="5">
    <w:nsid w:val="20232024"/>
    <w:multiLevelType w:val="hybridMultilevel"/>
    <w:tmpl w:val="CAC0A144"/>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8E050C7"/>
    <w:multiLevelType w:val="hybridMultilevel"/>
    <w:tmpl w:val="4BCAEB48"/>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963AA8F8">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DB45120"/>
    <w:multiLevelType w:val="hybridMultilevel"/>
    <w:tmpl w:val="41826E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6BA0795"/>
    <w:multiLevelType w:val="hybridMultilevel"/>
    <w:tmpl w:val="059CA3E0"/>
    <w:lvl w:ilvl="0" w:tplc="20E8E5D6">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nsid w:val="53E41C44"/>
    <w:multiLevelType w:val="hybridMultilevel"/>
    <w:tmpl w:val="2DC664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60C4365"/>
    <w:multiLevelType w:val="singleLevel"/>
    <w:tmpl w:val="FFFFFFFF"/>
    <w:lvl w:ilvl="0">
      <w:start w:val="1"/>
      <w:numFmt w:val="bullet"/>
      <w:lvlText w:val="-"/>
      <w:legacy w:legacy="1" w:legacySpace="0" w:legacyIndent="360"/>
      <w:lvlJc w:val="left"/>
      <w:pPr>
        <w:ind w:left="1800" w:hanging="360"/>
      </w:pPr>
    </w:lvl>
  </w:abstractNum>
  <w:abstractNum w:abstractNumId="13">
    <w:nsid w:val="60607BA2"/>
    <w:multiLevelType w:val="hybridMultilevel"/>
    <w:tmpl w:val="A702A480"/>
    <w:lvl w:ilvl="0" w:tplc="9DA8DD2A">
      <w:start w:val="1"/>
      <w:numFmt w:val="bullet"/>
      <w:lvlText w:val=""/>
      <w:lvlJc w:val="left"/>
      <w:pPr>
        <w:tabs>
          <w:tab w:val="num" w:pos="567"/>
        </w:tabs>
        <w:ind w:left="567" w:hanging="56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nsid w:val="6D564B0C"/>
    <w:multiLevelType w:val="hybridMultilevel"/>
    <w:tmpl w:val="7AF46E28"/>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nsid w:val="741233AB"/>
    <w:multiLevelType w:val="hybridMultilevel"/>
    <w:tmpl w:val="7F8C9F3A"/>
    <w:lvl w:ilvl="0" w:tplc="EEF6E6BC">
      <w:numFmt w:val="bullet"/>
      <w:lvlText w:val=""/>
      <w:lvlJc w:val="left"/>
      <w:pPr>
        <w:tabs>
          <w:tab w:val="num" w:pos="871"/>
        </w:tabs>
        <w:ind w:left="871" w:hanging="511"/>
      </w:pPr>
      <w:rPr>
        <w:rFonts w:ascii="Symbol" w:hAnsi="Symbol" w:hint="default"/>
        <w:color w:val="auto"/>
        <w:vertAlign w:val="baseline"/>
      </w:rPr>
    </w:lvl>
    <w:lvl w:ilvl="1" w:tplc="EEF6E6BC">
      <w:numFmt w:val="bullet"/>
      <w:lvlText w:val=""/>
      <w:lvlJc w:val="left"/>
      <w:pPr>
        <w:tabs>
          <w:tab w:val="num" w:pos="1591"/>
        </w:tabs>
        <w:ind w:left="1591" w:hanging="511"/>
      </w:pPr>
      <w:rPr>
        <w:rFonts w:ascii="Symbol" w:hAnsi="Symbol" w:hint="default"/>
        <w:color w:val="auto"/>
        <w:vertAlign w:val="baseline"/>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16"/>
  </w:num>
  <w:num w:numId="5">
    <w:abstractNumId w:val="7"/>
  </w:num>
  <w:num w:numId="6">
    <w:abstractNumId w:val="12"/>
  </w:num>
  <w:num w:numId="7">
    <w:abstractNumId w:val="10"/>
  </w:num>
  <w:num w:numId="8">
    <w:abstractNumId w:val="4"/>
  </w:num>
  <w:num w:numId="9">
    <w:abstractNumId w:val="14"/>
  </w:num>
  <w:num w:numId="10">
    <w:abstractNumId w:val="15"/>
  </w:num>
  <w:num w:numId="11">
    <w:abstractNumId w:val="3"/>
  </w:num>
  <w:num w:numId="12">
    <w:abstractNumId w:val="19"/>
  </w:num>
  <w:num w:numId="13">
    <w:abstractNumId w:val="6"/>
  </w:num>
  <w:num w:numId="14">
    <w:abstractNumId w:val="13"/>
  </w:num>
  <w:num w:numId="15">
    <w:abstractNumId w:val="1"/>
  </w:num>
  <w:num w:numId="16">
    <w:abstractNumId w:val="2"/>
  </w:num>
  <w:num w:numId="17">
    <w:abstractNumId w:val="11"/>
  </w:num>
  <w:num w:numId="18">
    <w:abstractNumId w:val="5"/>
  </w:num>
  <w:num w:numId="19">
    <w:abstractNumId w:val="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CE"/>
    <w:rsid w:val="00014B23"/>
    <w:rsid w:val="0001530A"/>
    <w:rsid w:val="00017BD9"/>
    <w:rsid w:val="00020030"/>
    <w:rsid w:val="00020466"/>
    <w:rsid w:val="00034F1F"/>
    <w:rsid w:val="00036834"/>
    <w:rsid w:val="00037DE9"/>
    <w:rsid w:val="00043853"/>
    <w:rsid w:val="00056999"/>
    <w:rsid w:val="00063B92"/>
    <w:rsid w:val="00064694"/>
    <w:rsid w:val="00066589"/>
    <w:rsid w:val="0007379B"/>
    <w:rsid w:val="000768C4"/>
    <w:rsid w:val="00086C7D"/>
    <w:rsid w:val="00093D2F"/>
    <w:rsid w:val="00097679"/>
    <w:rsid w:val="000B1E76"/>
    <w:rsid w:val="000B3E19"/>
    <w:rsid w:val="000B6D4F"/>
    <w:rsid w:val="000D2D09"/>
    <w:rsid w:val="000D6008"/>
    <w:rsid w:val="000E20FF"/>
    <w:rsid w:val="000E2F7E"/>
    <w:rsid w:val="000F1E2E"/>
    <w:rsid w:val="000F3CCD"/>
    <w:rsid w:val="000F566E"/>
    <w:rsid w:val="000F6264"/>
    <w:rsid w:val="00101ADA"/>
    <w:rsid w:val="00155476"/>
    <w:rsid w:val="00160807"/>
    <w:rsid w:val="00162723"/>
    <w:rsid w:val="00162AE3"/>
    <w:rsid w:val="00163E4C"/>
    <w:rsid w:val="00181CE5"/>
    <w:rsid w:val="00193B35"/>
    <w:rsid w:val="00197B8C"/>
    <w:rsid w:val="001A5A47"/>
    <w:rsid w:val="001A7C23"/>
    <w:rsid w:val="001B211B"/>
    <w:rsid w:val="001C7EE5"/>
    <w:rsid w:val="001D46D4"/>
    <w:rsid w:val="001E2EC1"/>
    <w:rsid w:val="001E59A0"/>
    <w:rsid w:val="001E794F"/>
    <w:rsid w:val="001F5CEC"/>
    <w:rsid w:val="00204A47"/>
    <w:rsid w:val="002108E3"/>
    <w:rsid w:val="0021157C"/>
    <w:rsid w:val="00212494"/>
    <w:rsid w:val="002216B3"/>
    <w:rsid w:val="00232DCF"/>
    <w:rsid w:val="0024535A"/>
    <w:rsid w:val="00266529"/>
    <w:rsid w:val="002960AD"/>
    <w:rsid w:val="002A3971"/>
    <w:rsid w:val="002A71BE"/>
    <w:rsid w:val="002A7CE2"/>
    <w:rsid w:val="002B6404"/>
    <w:rsid w:val="002D4FA3"/>
    <w:rsid w:val="002D615B"/>
    <w:rsid w:val="002E425E"/>
    <w:rsid w:val="002E603A"/>
    <w:rsid w:val="003050C9"/>
    <w:rsid w:val="003078B5"/>
    <w:rsid w:val="00312CCE"/>
    <w:rsid w:val="003144E1"/>
    <w:rsid w:val="00314A08"/>
    <w:rsid w:val="00314A4D"/>
    <w:rsid w:val="00316137"/>
    <w:rsid w:val="0032055D"/>
    <w:rsid w:val="003262C5"/>
    <w:rsid w:val="0034128F"/>
    <w:rsid w:val="00347CC9"/>
    <w:rsid w:val="003507C4"/>
    <w:rsid w:val="00360278"/>
    <w:rsid w:val="003679A2"/>
    <w:rsid w:val="00374AE9"/>
    <w:rsid w:val="00391C39"/>
    <w:rsid w:val="003A0A37"/>
    <w:rsid w:val="003A5475"/>
    <w:rsid w:val="003B16F1"/>
    <w:rsid w:val="003B3ED9"/>
    <w:rsid w:val="003C0D04"/>
    <w:rsid w:val="003C49A4"/>
    <w:rsid w:val="003D70DB"/>
    <w:rsid w:val="003D7ECD"/>
    <w:rsid w:val="00414424"/>
    <w:rsid w:val="00425E75"/>
    <w:rsid w:val="00426700"/>
    <w:rsid w:val="00434657"/>
    <w:rsid w:val="00441D15"/>
    <w:rsid w:val="0045672C"/>
    <w:rsid w:val="004600A5"/>
    <w:rsid w:val="004637D8"/>
    <w:rsid w:val="00470409"/>
    <w:rsid w:val="00472942"/>
    <w:rsid w:val="00490B21"/>
    <w:rsid w:val="00491165"/>
    <w:rsid w:val="004B00F3"/>
    <w:rsid w:val="004B7670"/>
    <w:rsid w:val="004C07C8"/>
    <w:rsid w:val="004C4F0D"/>
    <w:rsid w:val="004C5F57"/>
    <w:rsid w:val="004C788C"/>
    <w:rsid w:val="004F7718"/>
    <w:rsid w:val="00502145"/>
    <w:rsid w:val="0051615A"/>
    <w:rsid w:val="00525358"/>
    <w:rsid w:val="005278E8"/>
    <w:rsid w:val="00533DCC"/>
    <w:rsid w:val="00537AB5"/>
    <w:rsid w:val="0055159B"/>
    <w:rsid w:val="00567B24"/>
    <w:rsid w:val="005B6AEB"/>
    <w:rsid w:val="005C2D61"/>
    <w:rsid w:val="005F7725"/>
    <w:rsid w:val="005F7EB3"/>
    <w:rsid w:val="006144EB"/>
    <w:rsid w:val="00623548"/>
    <w:rsid w:val="00626F99"/>
    <w:rsid w:val="00631197"/>
    <w:rsid w:val="00644BA5"/>
    <w:rsid w:val="0065029C"/>
    <w:rsid w:val="00676D9E"/>
    <w:rsid w:val="00682B87"/>
    <w:rsid w:val="00684615"/>
    <w:rsid w:val="006875D2"/>
    <w:rsid w:val="006A475F"/>
    <w:rsid w:val="006E4EF7"/>
    <w:rsid w:val="00717805"/>
    <w:rsid w:val="007251BB"/>
    <w:rsid w:val="0073088D"/>
    <w:rsid w:val="007334A7"/>
    <w:rsid w:val="007446C5"/>
    <w:rsid w:val="00747426"/>
    <w:rsid w:val="00754373"/>
    <w:rsid w:val="00755C32"/>
    <w:rsid w:val="00771E87"/>
    <w:rsid w:val="0077454C"/>
    <w:rsid w:val="007821D8"/>
    <w:rsid w:val="00792639"/>
    <w:rsid w:val="007B289F"/>
    <w:rsid w:val="007B51A7"/>
    <w:rsid w:val="007D00C0"/>
    <w:rsid w:val="007E30F5"/>
    <w:rsid w:val="007E4190"/>
    <w:rsid w:val="007E44A9"/>
    <w:rsid w:val="007F1C85"/>
    <w:rsid w:val="00807344"/>
    <w:rsid w:val="00816853"/>
    <w:rsid w:val="0082014E"/>
    <w:rsid w:val="0086130F"/>
    <w:rsid w:val="008637A2"/>
    <w:rsid w:val="008725DF"/>
    <w:rsid w:val="00873528"/>
    <w:rsid w:val="008746EE"/>
    <w:rsid w:val="00875B4A"/>
    <w:rsid w:val="00876903"/>
    <w:rsid w:val="00876D60"/>
    <w:rsid w:val="00877A23"/>
    <w:rsid w:val="00877CC8"/>
    <w:rsid w:val="008A651C"/>
    <w:rsid w:val="008B1A5C"/>
    <w:rsid w:val="008C6518"/>
    <w:rsid w:val="008E189D"/>
    <w:rsid w:val="008E56C2"/>
    <w:rsid w:val="008E6362"/>
    <w:rsid w:val="00902C58"/>
    <w:rsid w:val="009176F2"/>
    <w:rsid w:val="009220C0"/>
    <w:rsid w:val="00943A76"/>
    <w:rsid w:val="00944DE6"/>
    <w:rsid w:val="00945ED3"/>
    <w:rsid w:val="00947583"/>
    <w:rsid w:val="00950C30"/>
    <w:rsid w:val="00954CB5"/>
    <w:rsid w:val="0097295A"/>
    <w:rsid w:val="00974B7C"/>
    <w:rsid w:val="009819D4"/>
    <w:rsid w:val="0098205A"/>
    <w:rsid w:val="0098781D"/>
    <w:rsid w:val="00996E8F"/>
    <w:rsid w:val="009A73F9"/>
    <w:rsid w:val="00A11AAD"/>
    <w:rsid w:val="00A12DCD"/>
    <w:rsid w:val="00A328B6"/>
    <w:rsid w:val="00A34C8E"/>
    <w:rsid w:val="00A371C6"/>
    <w:rsid w:val="00A469B1"/>
    <w:rsid w:val="00A7758F"/>
    <w:rsid w:val="00A77649"/>
    <w:rsid w:val="00A84B50"/>
    <w:rsid w:val="00A93446"/>
    <w:rsid w:val="00AA19BC"/>
    <w:rsid w:val="00AA2216"/>
    <w:rsid w:val="00AA5A31"/>
    <w:rsid w:val="00AB07CD"/>
    <w:rsid w:val="00AB4A54"/>
    <w:rsid w:val="00AB6D69"/>
    <w:rsid w:val="00AC156D"/>
    <w:rsid w:val="00AE63D6"/>
    <w:rsid w:val="00AF65A7"/>
    <w:rsid w:val="00B00EE5"/>
    <w:rsid w:val="00B016F1"/>
    <w:rsid w:val="00B07FA2"/>
    <w:rsid w:val="00B109CB"/>
    <w:rsid w:val="00B10E8E"/>
    <w:rsid w:val="00B1519A"/>
    <w:rsid w:val="00B31BD2"/>
    <w:rsid w:val="00B33722"/>
    <w:rsid w:val="00B404C8"/>
    <w:rsid w:val="00B5316F"/>
    <w:rsid w:val="00B56B2B"/>
    <w:rsid w:val="00B606CD"/>
    <w:rsid w:val="00B70025"/>
    <w:rsid w:val="00B71BE6"/>
    <w:rsid w:val="00B73C2B"/>
    <w:rsid w:val="00B80B8F"/>
    <w:rsid w:val="00B86965"/>
    <w:rsid w:val="00B9273E"/>
    <w:rsid w:val="00BA2E38"/>
    <w:rsid w:val="00BB6CBB"/>
    <w:rsid w:val="00BC6ABF"/>
    <w:rsid w:val="00BF2544"/>
    <w:rsid w:val="00C05BCF"/>
    <w:rsid w:val="00C17A7E"/>
    <w:rsid w:val="00C229CE"/>
    <w:rsid w:val="00C25F99"/>
    <w:rsid w:val="00C33605"/>
    <w:rsid w:val="00C44AEE"/>
    <w:rsid w:val="00C55FBC"/>
    <w:rsid w:val="00C6086D"/>
    <w:rsid w:val="00C64DCF"/>
    <w:rsid w:val="00C66505"/>
    <w:rsid w:val="00C76377"/>
    <w:rsid w:val="00C77D7F"/>
    <w:rsid w:val="00C918FE"/>
    <w:rsid w:val="00C9565A"/>
    <w:rsid w:val="00CA04D3"/>
    <w:rsid w:val="00CA50E2"/>
    <w:rsid w:val="00CB366B"/>
    <w:rsid w:val="00CD61D9"/>
    <w:rsid w:val="00D014CF"/>
    <w:rsid w:val="00D06706"/>
    <w:rsid w:val="00D12607"/>
    <w:rsid w:val="00D15575"/>
    <w:rsid w:val="00D1564D"/>
    <w:rsid w:val="00D36C26"/>
    <w:rsid w:val="00D40305"/>
    <w:rsid w:val="00D47B69"/>
    <w:rsid w:val="00D527A5"/>
    <w:rsid w:val="00D5646B"/>
    <w:rsid w:val="00D5798C"/>
    <w:rsid w:val="00D62D25"/>
    <w:rsid w:val="00D645AE"/>
    <w:rsid w:val="00D645ED"/>
    <w:rsid w:val="00D80B73"/>
    <w:rsid w:val="00D92D27"/>
    <w:rsid w:val="00DA036C"/>
    <w:rsid w:val="00DA18C9"/>
    <w:rsid w:val="00DA34E7"/>
    <w:rsid w:val="00DA615B"/>
    <w:rsid w:val="00DA78C1"/>
    <w:rsid w:val="00DA7A95"/>
    <w:rsid w:val="00DB54C0"/>
    <w:rsid w:val="00DB6992"/>
    <w:rsid w:val="00DC79CA"/>
    <w:rsid w:val="00DE1DD6"/>
    <w:rsid w:val="00DF6DCD"/>
    <w:rsid w:val="00DF6EBE"/>
    <w:rsid w:val="00E035D7"/>
    <w:rsid w:val="00E04D13"/>
    <w:rsid w:val="00E151C7"/>
    <w:rsid w:val="00E247D3"/>
    <w:rsid w:val="00E26201"/>
    <w:rsid w:val="00E30ABE"/>
    <w:rsid w:val="00E56EE9"/>
    <w:rsid w:val="00EA72E0"/>
    <w:rsid w:val="00EB4E6D"/>
    <w:rsid w:val="00EC2C70"/>
    <w:rsid w:val="00EC511D"/>
    <w:rsid w:val="00ED7E77"/>
    <w:rsid w:val="00EE0A94"/>
    <w:rsid w:val="00EE1F18"/>
    <w:rsid w:val="00F13AAF"/>
    <w:rsid w:val="00F34F8A"/>
    <w:rsid w:val="00F36C28"/>
    <w:rsid w:val="00F57096"/>
    <w:rsid w:val="00F574E4"/>
    <w:rsid w:val="00F85EDF"/>
    <w:rsid w:val="00F921BA"/>
    <w:rsid w:val="00FA0381"/>
    <w:rsid w:val="00FA1421"/>
    <w:rsid w:val="00FA4BA8"/>
    <w:rsid w:val="00FB0B47"/>
    <w:rsid w:val="00FB684C"/>
    <w:rsid w:val="00FC1A2D"/>
    <w:rsid w:val="00FC1BB0"/>
    <w:rsid w:val="00FC3614"/>
    <w:rsid w:val="00FE7E07"/>
    <w:rsid w:val="00FF4CDC"/>
    <w:rsid w:val="00FF55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4DE6"/>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44D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44DE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44DE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44DE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44DE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44DE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44DE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44D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44DE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4DE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944DE6"/>
    <w:rPr>
      <w:rFonts w:ascii="Helvetica" w:eastAsia="Times New Roman" w:hAnsi="Helvetica" w:cs="Times New Roman"/>
      <w:b/>
      <w:i/>
      <w:sz w:val="24"/>
      <w:szCs w:val="20"/>
      <w:lang w:val="cs-CZ"/>
    </w:rPr>
  </w:style>
  <w:style w:type="character" w:customStyle="1" w:styleId="Nadpis3Char">
    <w:name w:val="Nadpis 3 Char"/>
    <w:basedOn w:val="Predvolenpsmoodseku"/>
    <w:link w:val="Nadpis3"/>
    <w:rsid w:val="00944DE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944DE6"/>
    <w:rPr>
      <w:rFonts w:ascii="Times New Roman" w:eastAsia="Times New Roman" w:hAnsi="Times New Roman" w:cs="Times New Roman"/>
      <w:b/>
      <w:noProof/>
      <w:szCs w:val="20"/>
      <w:lang w:val="cs-CZ"/>
    </w:rPr>
  </w:style>
  <w:style w:type="character" w:customStyle="1" w:styleId="Nadpis5Char">
    <w:name w:val="Nadpis 5 Char"/>
    <w:basedOn w:val="Predvolenpsmoodseku"/>
    <w:link w:val="Nadpis5"/>
    <w:rsid w:val="00944DE6"/>
    <w:rPr>
      <w:rFonts w:ascii="Times New Roman" w:eastAsia="Times New Roman" w:hAnsi="Times New Roman" w:cs="Times New Roman"/>
      <w:noProof/>
      <w:szCs w:val="20"/>
      <w:lang w:val="cs-CZ"/>
    </w:rPr>
  </w:style>
  <w:style w:type="character" w:customStyle="1" w:styleId="Nadpis6Char">
    <w:name w:val="Nadpis 6 Char"/>
    <w:basedOn w:val="Predvolenpsmoodseku"/>
    <w:link w:val="Nadpis6"/>
    <w:rsid w:val="00944DE6"/>
    <w:rPr>
      <w:rFonts w:ascii="Times New Roman" w:eastAsia="Times New Roman" w:hAnsi="Times New Roman" w:cs="Times New Roman"/>
      <w:i/>
      <w:szCs w:val="20"/>
      <w:lang w:val="cs-CZ"/>
    </w:rPr>
  </w:style>
  <w:style w:type="character" w:customStyle="1" w:styleId="Nadpis7Char">
    <w:name w:val="Nadpis 7 Char"/>
    <w:basedOn w:val="Predvolenpsmoodseku"/>
    <w:link w:val="Nadpis7"/>
    <w:rsid w:val="00944DE6"/>
    <w:rPr>
      <w:rFonts w:ascii="Times New Roman" w:eastAsia="Times New Roman" w:hAnsi="Times New Roman" w:cs="Times New Roman"/>
      <w:i/>
      <w:szCs w:val="20"/>
      <w:lang w:val="cs-CZ"/>
    </w:rPr>
  </w:style>
  <w:style w:type="character" w:customStyle="1" w:styleId="Nadpis8Char">
    <w:name w:val="Nadpis 8 Char"/>
    <w:basedOn w:val="Predvolenpsmoodseku"/>
    <w:link w:val="Nadpis8"/>
    <w:rsid w:val="00944DE6"/>
    <w:rPr>
      <w:rFonts w:ascii="Times New Roman" w:eastAsia="Times New Roman" w:hAnsi="Times New Roman" w:cs="Times New Roman"/>
      <w:b/>
      <w:i/>
      <w:szCs w:val="20"/>
      <w:lang w:val="cs-CZ"/>
    </w:rPr>
  </w:style>
  <w:style w:type="character" w:customStyle="1" w:styleId="Nadpis9Char">
    <w:name w:val="Nadpis 9 Char"/>
    <w:basedOn w:val="Predvolenpsmoodseku"/>
    <w:link w:val="Nadpis9"/>
    <w:rsid w:val="00944DE6"/>
    <w:rPr>
      <w:rFonts w:ascii="Times New Roman" w:eastAsia="Times New Roman" w:hAnsi="Times New Roman" w:cs="Times New Roman"/>
      <w:b/>
      <w:i/>
      <w:szCs w:val="20"/>
      <w:lang w:val="cs-CZ"/>
    </w:rPr>
  </w:style>
  <w:style w:type="character" w:styleId="slostrany">
    <w:name w:val="page number"/>
    <w:basedOn w:val="Predvolenpsmoodseku"/>
    <w:rsid w:val="00944DE6"/>
  </w:style>
  <w:style w:type="paragraph" w:styleId="Pta">
    <w:name w:val="footer"/>
    <w:basedOn w:val="Normlny"/>
    <w:link w:val="PtaChar"/>
    <w:rsid w:val="00944DE6"/>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44DE6"/>
    <w:rPr>
      <w:rFonts w:ascii="Helvetica" w:eastAsia="Times New Roman" w:hAnsi="Helvetica" w:cs="Times New Roman"/>
      <w:sz w:val="16"/>
      <w:szCs w:val="20"/>
      <w:lang w:val="cs-CZ"/>
    </w:rPr>
  </w:style>
  <w:style w:type="paragraph" w:styleId="Hlavika">
    <w:name w:val="header"/>
    <w:basedOn w:val="Normlny"/>
    <w:link w:val="HlavikaChar"/>
    <w:rsid w:val="00944DE6"/>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44DE6"/>
    <w:rPr>
      <w:rFonts w:ascii="Helvetica" w:eastAsia="Times New Roman" w:hAnsi="Helvetica" w:cs="Times New Roman"/>
      <w:sz w:val="20"/>
      <w:szCs w:val="20"/>
      <w:lang w:val="cs-CZ"/>
    </w:rPr>
  </w:style>
  <w:style w:type="paragraph" w:styleId="Zarkazkladnhotextu">
    <w:name w:val="Body Text Indent"/>
    <w:basedOn w:val="Normlny"/>
    <w:link w:val="ZarkazkladnhotextuChar"/>
    <w:rsid w:val="00944DE6"/>
    <w:pPr>
      <w:ind w:left="0" w:hanging="27"/>
    </w:pPr>
    <w:rPr>
      <w:szCs w:val="22"/>
    </w:rPr>
  </w:style>
  <w:style w:type="character" w:customStyle="1" w:styleId="ZarkazkladnhotextuChar">
    <w:name w:val="Zarážka základného textu Char"/>
    <w:basedOn w:val="Predvolenpsmoodseku"/>
    <w:link w:val="Zarkazkladnhotextu"/>
    <w:rsid w:val="00944DE6"/>
    <w:rPr>
      <w:rFonts w:ascii="Times New Roman" w:eastAsia="Times New Roman" w:hAnsi="Times New Roman" w:cs="Times New Roman"/>
      <w:lang w:eastAsia="sk-SK"/>
    </w:rPr>
  </w:style>
  <w:style w:type="paragraph" w:styleId="Zkladntext">
    <w:name w:val="Body Text"/>
    <w:basedOn w:val="Normlny"/>
    <w:link w:val="ZkladntextChar"/>
    <w:rsid w:val="00944DE6"/>
    <w:pPr>
      <w:ind w:left="0" w:firstLine="0"/>
    </w:pPr>
    <w:rPr>
      <w:szCs w:val="22"/>
    </w:rPr>
  </w:style>
  <w:style w:type="character" w:customStyle="1" w:styleId="ZkladntextChar">
    <w:name w:val="Základný text Char"/>
    <w:basedOn w:val="Predvolenpsmoodseku"/>
    <w:link w:val="Zkladntext"/>
    <w:rsid w:val="00944DE6"/>
    <w:rPr>
      <w:rFonts w:ascii="Times New Roman" w:eastAsia="Times New Roman" w:hAnsi="Times New Roman" w:cs="Times New Roman"/>
      <w:lang w:eastAsia="sk-SK"/>
    </w:rPr>
  </w:style>
  <w:style w:type="paragraph" w:customStyle="1" w:styleId="BodyTextIndent31">
    <w:name w:val="Body Text Indent 31"/>
    <w:basedOn w:val="Normlny"/>
    <w:rsid w:val="00944DE6"/>
    <w:pPr>
      <w:overflowPunct w:val="0"/>
      <w:autoSpaceDE w:val="0"/>
      <w:autoSpaceDN w:val="0"/>
      <w:adjustRightInd w:val="0"/>
      <w:spacing w:before="120"/>
      <w:ind w:left="1068" w:firstLine="0"/>
      <w:textAlignment w:val="baseline"/>
    </w:pPr>
    <w:rPr>
      <w:b/>
      <w:szCs w:val="20"/>
      <w:lang w:val="en-GB"/>
    </w:rPr>
  </w:style>
  <w:style w:type="paragraph" w:customStyle="1" w:styleId="BodyText31">
    <w:name w:val="Body Text 31"/>
    <w:basedOn w:val="Normlny"/>
    <w:rsid w:val="00944DE6"/>
    <w:pPr>
      <w:overflowPunct w:val="0"/>
      <w:autoSpaceDE w:val="0"/>
      <w:autoSpaceDN w:val="0"/>
      <w:adjustRightInd w:val="0"/>
      <w:ind w:left="0" w:firstLine="0"/>
      <w:textAlignment w:val="baseline"/>
    </w:pPr>
    <w:rPr>
      <w:rFonts w:ascii="Arial" w:hAnsi="Arial"/>
      <w:sz w:val="20"/>
      <w:szCs w:val="20"/>
    </w:rPr>
  </w:style>
  <w:style w:type="paragraph" w:styleId="Zkladntext2">
    <w:name w:val="Body Text 2"/>
    <w:basedOn w:val="Normlny"/>
    <w:link w:val="Zkladntext2Char"/>
    <w:rsid w:val="00944DE6"/>
    <w:pPr>
      <w:ind w:left="0" w:firstLine="0"/>
    </w:pPr>
    <w:rPr>
      <w:rFonts w:ascii="Arial" w:hAnsi="Arial" w:cs="Arial"/>
      <w:i/>
      <w:iCs/>
      <w:sz w:val="20"/>
    </w:rPr>
  </w:style>
  <w:style w:type="character" w:customStyle="1" w:styleId="Zkladntext2Char">
    <w:name w:val="Základný text 2 Char"/>
    <w:basedOn w:val="Predvolenpsmoodseku"/>
    <w:link w:val="Zkladntext2"/>
    <w:rsid w:val="00944DE6"/>
    <w:rPr>
      <w:rFonts w:ascii="Arial" w:eastAsia="Times New Roman" w:hAnsi="Arial" w:cs="Arial"/>
      <w:i/>
      <w:iCs/>
      <w:sz w:val="20"/>
      <w:szCs w:val="24"/>
      <w:lang w:eastAsia="sk-SK"/>
    </w:rPr>
  </w:style>
  <w:style w:type="paragraph" w:customStyle="1" w:styleId="Norml11">
    <w:name w:val="Normál 11"/>
    <w:rsid w:val="00944DE6"/>
    <w:pPr>
      <w:spacing w:after="0" w:line="240" w:lineRule="auto"/>
    </w:pPr>
    <w:rPr>
      <w:rFonts w:ascii="Times New Roman" w:eastAsia="Times New Roman" w:hAnsi="Times New Roman" w:cs="Times New Roman"/>
      <w:szCs w:val="20"/>
      <w:lang w:val="hu-HU" w:eastAsia="hu-HU"/>
    </w:rPr>
  </w:style>
  <w:style w:type="paragraph" w:customStyle="1" w:styleId="EMEAEnBodyText">
    <w:name w:val="EMEA En Body Text"/>
    <w:basedOn w:val="Normlny"/>
    <w:rsid w:val="00944DE6"/>
    <w:pPr>
      <w:spacing w:before="120" w:after="120"/>
      <w:ind w:left="0" w:firstLine="0"/>
      <w:jc w:val="both"/>
    </w:pPr>
    <w:rPr>
      <w:szCs w:val="20"/>
      <w:lang w:val="en-US" w:eastAsia="en-US"/>
    </w:rPr>
  </w:style>
  <w:style w:type="paragraph" w:styleId="Textbubliny">
    <w:name w:val="Balloon Text"/>
    <w:basedOn w:val="Normlny"/>
    <w:link w:val="TextbublinyChar"/>
    <w:semiHidden/>
    <w:rsid w:val="00944DE6"/>
    <w:rPr>
      <w:rFonts w:ascii="Tahoma" w:hAnsi="Tahoma" w:cs="Tahoma"/>
      <w:sz w:val="16"/>
      <w:szCs w:val="16"/>
    </w:rPr>
  </w:style>
  <w:style w:type="character" w:customStyle="1" w:styleId="TextbublinyChar">
    <w:name w:val="Text bubliny Char"/>
    <w:basedOn w:val="Predvolenpsmoodseku"/>
    <w:link w:val="Textbubliny"/>
    <w:semiHidden/>
    <w:rsid w:val="00944DE6"/>
    <w:rPr>
      <w:rFonts w:ascii="Tahoma" w:eastAsia="Times New Roman" w:hAnsi="Tahoma" w:cs="Tahoma"/>
      <w:sz w:val="16"/>
      <w:szCs w:val="16"/>
      <w:lang w:eastAsia="sk-SK"/>
    </w:rPr>
  </w:style>
  <w:style w:type="character" w:styleId="Odkaznakomentr">
    <w:name w:val="annotation reference"/>
    <w:semiHidden/>
    <w:rsid w:val="00944DE6"/>
    <w:rPr>
      <w:sz w:val="16"/>
      <w:szCs w:val="16"/>
    </w:rPr>
  </w:style>
  <w:style w:type="paragraph" w:styleId="Textkomentra">
    <w:name w:val="annotation text"/>
    <w:basedOn w:val="Normlny"/>
    <w:link w:val="TextkomentraChar"/>
    <w:semiHidden/>
    <w:rsid w:val="00944DE6"/>
    <w:rPr>
      <w:sz w:val="20"/>
      <w:szCs w:val="20"/>
    </w:rPr>
  </w:style>
  <w:style w:type="character" w:customStyle="1" w:styleId="TextkomentraChar">
    <w:name w:val="Text komentára Char"/>
    <w:basedOn w:val="Predvolenpsmoodseku"/>
    <w:link w:val="Textkomentra"/>
    <w:semiHidden/>
    <w:rsid w:val="00944DE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44DE6"/>
    <w:rPr>
      <w:b/>
      <w:bCs/>
    </w:rPr>
  </w:style>
  <w:style w:type="character" w:customStyle="1" w:styleId="PredmetkomentraChar">
    <w:name w:val="Predmet komentára Char"/>
    <w:basedOn w:val="TextkomentraChar"/>
    <w:link w:val="Predmetkomentra"/>
    <w:semiHidden/>
    <w:rsid w:val="00944DE6"/>
    <w:rPr>
      <w:rFonts w:ascii="Times New Roman" w:eastAsia="Times New Roman" w:hAnsi="Times New Roman" w:cs="Times New Roman"/>
      <w:b/>
      <w:bCs/>
      <w:sz w:val="20"/>
      <w:szCs w:val="20"/>
      <w:lang w:eastAsia="sk-SK"/>
    </w:rPr>
  </w:style>
  <w:style w:type="paragraph" w:styleId="Revzia">
    <w:name w:val="Revision"/>
    <w:hidden/>
    <w:uiPriority w:val="99"/>
    <w:semiHidden/>
    <w:rsid w:val="00944DE6"/>
    <w:pPr>
      <w:spacing w:after="0" w:line="240" w:lineRule="auto"/>
    </w:pPr>
    <w:rPr>
      <w:rFonts w:ascii="Times New Roman" w:eastAsia="Times New Roman" w:hAnsi="Times New Roman" w:cs="Times New Roman"/>
      <w:szCs w:val="24"/>
      <w:lang w:eastAsia="sk-SK"/>
    </w:rPr>
  </w:style>
  <w:style w:type="character" w:styleId="Hypertextovprepojenie">
    <w:name w:val="Hyperlink"/>
    <w:uiPriority w:val="99"/>
    <w:unhideWhenUsed/>
    <w:rsid w:val="00944DE6"/>
    <w:rPr>
      <w:color w:val="0000FF"/>
      <w:u w:val="single"/>
    </w:rPr>
  </w:style>
  <w:style w:type="paragraph" w:styleId="Zkladntext3">
    <w:name w:val="Body Text 3"/>
    <w:basedOn w:val="Normlny"/>
    <w:link w:val="Zkladntext3Char"/>
    <w:rsid w:val="00944DE6"/>
    <w:pPr>
      <w:spacing w:after="120"/>
    </w:pPr>
    <w:rPr>
      <w:sz w:val="16"/>
      <w:szCs w:val="16"/>
    </w:rPr>
  </w:style>
  <w:style w:type="character" w:customStyle="1" w:styleId="Zkladntext3Char">
    <w:name w:val="Základný text 3 Char"/>
    <w:basedOn w:val="Predvolenpsmoodseku"/>
    <w:link w:val="Zkladntext3"/>
    <w:rsid w:val="00944DE6"/>
    <w:rPr>
      <w:rFonts w:ascii="Times New Roman" w:eastAsia="Times New Roman" w:hAnsi="Times New Roman" w:cs="Times New Roman"/>
      <w:sz w:val="16"/>
      <w:szCs w:val="16"/>
      <w:lang w:eastAsia="sk-SK"/>
    </w:rPr>
  </w:style>
  <w:style w:type="paragraph" w:customStyle="1" w:styleId="nr2g">
    <w:name w:val="nr2g'"/>
    <w:basedOn w:val="Normlny"/>
    <w:rsid w:val="00944DE6"/>
    <w:pPr>
      <w:tabs>
        <w:tab w:val="center" w:pos="5387"/>
      </w:tabs>
      <w:ind w:left="993" w:firstLine="0"/>
      <w:jc w:val="both"/>
    </w:pPr>
    <w:rPr>
      <w:sz w:val="24"/>
      <w:szCs w:val="20"/>
      <w:lang w:val="en-US" w:eastAsia="fr-FR"/>
    </w:rPr>
  </w:style>
  <w:style w:type="paragraph" w:customStyle="1" w:styleId="Default">
    <w:name w:val="Default"/>
    <w:rsid w:val="009A73F9"/>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44DE6"/>
    <w:pPr>
      <w:spacing w:after="0" w:line="240" w:lineRule="auto"/>
      <w:ind w:left="567" w:hanging="567"/>
    </w:pPr>
    <w:rPr>
      <w:rFonts w:ascii="Times New Roman" w:eastAsia="Times New Roman" w:hAnsi="Times New Roman" w:cs="Times New Roman"/>
      <w:szCs w:val="24"/>
      <w:lang w:eastAsia="sk-SK"/>
    </w:rPr>
  </w:style>
  <w:style w:type="paragraph" w:styleId="Nadpis1">
    <w:name w:val="heading 1"/>
    <w:basedOn w:val="Normlny"/>
    <w:next w:val="Normlny"/>
    <w:link w:val="Nadpis1Char"/>
    <w:qFormat/>
    <w:rsid w:val="00944DE6"/>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link w:val="Nadpis2Char"/>
    <w:qFormat/>
    <w:rsid w:val="00944DE6"/>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link w:val="Nadpis3Char"/>
    <w:qFormat/>
    <w:rsid w:val="00944DE6"/>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link w:val="Nadpis4Char"/>
    <w:qFormat/>
    <w:rsid w:val="00944DE6"/>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link w:val="Nadpis5Char"/>
    <w:qFormat/>
    <w:rsid w:val="00944DE6"/>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link w:val="Nadpis6Char"/>
    <w:qFormat/>
    <w:rsid w:val="00944DE6"/>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link w:val="Nadpis7Char"/>
    <w:qFormat/>
    <w:rsid w:val="00944DE6"/>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link w:val="Nadpis8Char"/>
    <w:qFormat/>
    <w:rsid w:val="00944DE6"/>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link w:val="Nadpis9Char"/>
    <w:qFormat/>
    <w:rsid w:val="00944DE6"/>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44DE6"/>
    <w:rPr>
      <w:rFonts w:ascii="Times New Roman" w:eastAsia="Times New Roman" w:hAnsi="Times New Roman" w:cs="Times New Roman"/>
      <w:b/>
      <w:caps/>
      <w:sz w:val="26"/>
      <w:szCs w:val="20"/>
      <w:lang w:val="en-US"/>
    </w:rPr>
  </w:style>
  <w:style w:type="character" w:customStyle="1" w:styleId="Nadpis2Char">
    <w:name w:val="Nadpis 2 Char"/>
    <w:basedOn w:val="Predvolenpsmoodseku"/>
    <w:link w:val="Nadpis2"/>
    <w:rsid w:val="00944DE6"/>
    <w:rPr>
      <w:rFonts w:ascii="Helvetica" w:eastAsia="Times New Roman" w:hAnsi="Helvetica" w:cs="Times New Roman"/>
      <w:b/>
      <w:i/>
      <w:sz w:val="24"/>
      <w:szCs w:val="20"/>
      <w:lang w:val="cs-CZ"/>
    </w:rPr>
  </w:style>
  <w:style w:type="character" w:customStyle="1" w:styleId="Nadpis3Char">
    <w:name w:val="Nadpis 3 Char"/>
    <w:basedOn w:val="Predvolenpsmoodseku"/>
    <w:link w:val="Nadpis3"/>
    <w:rsid w:val="00944DE6"/>
    <w:rPr>
      <w:rFonts w:ascii="Times New Roman" w:eastAsia="Times New Roman" w:hAnsi="Times New Roman" w:cs="Times New Roman"/>
      <w:b/>
      <w:kern w:val="28"/>
      <w:sz w:val="24"/>
      <w:szCs w:val="20"/>
      <w:lang w:val="en-US"/>
    </w:rPr>
  </w:style>
  <w:style w:type="character" w:customStyle="1" w:styleId="Nadpis4Char">
    <w:name w:val="Nadpis 4 Char"/>
    <w:basedOn w:val="Predvolenpsmoodseku"/>
    <w:link w:val="Nadpis4"/>
    <w:rsid w:val="00944DE6"/>
    <w:rPr>
      <w:rFonts w:ascii="Times New Roman" w:eastAsia="Times New Roman" w:hAnsi="Times New Roman" w:cs="Times New Roman"/>
      <w:b/>
      <w:noProof/>
      <w:szCs w:val="20"/>
      <w:lang w:val="cs-CZ"/>
    </w:rPr>
  </w:style>
  <w:style w:type="character" w:customStyle="1" w:styleId="Nadpis5Char">
    <w:name w:val="Nadpis 5 Char"/>
    <w:basedOn w:val="Predvolenpsmoodseku"/>
    <w:link w:val="Nadpis5"/>
    <w:rsid w:val="00944DE6"/>
    <w:rPr>
      <w:rFonts w:ascii="Times New Roman" w:eastAsia="Times New Roman" w:hAnsi="Times New Roman" w:cs="Times New Roman"/>
      <w:noProof/>
      <w:szCs w:val="20"/>
      <w:lang w:val="cs-CZ"/>
    </w:rPr>
  </w:style>
  <w:style w:type="character" w:customStyle="1" w:styleId="Nadpis6Char">
    <w:name w:val="Nadpis 6 Char"/>
    <w:basedOn w:val="Predvolenpsmoodseku"/>
    <w:link w:val="Nadpis6"/>
    <w:rsid w:val="00944DE6"/>
    <w:rPr>
      <w:rFonts w:ascii="Times New Roman" w:eastAsia="Times New Roman" w:hAnsi="Times New Roman" w:cs="Times New Roman"/>
      <w:i/>
      <w:szCs w:val="20"/>
      <w:lang w:val="cs-CZ"/>
    </w:rPr>
  </w:style>
  <w:style w:type="character" w:customStyle="1" w:styleId="Nadpis7Char">
    <w:name w:val="Nadpis 7 Char"/>
    <w:basedOn w:val="Predvolenpsmoodseku"/>
    <w:link w:val="Nadpis7"/>
    <w:rsid w:val="00944DE6"/>
    <w:rPr>
      <w:rFonts w:ascii="Times New Roman" w:eastAsia="Times New Roman" w:hAnsi="Times New Roman" w:cs="Times New Roman"/>
      <w:i/>
      <w:szCs w:val="20"/>
      <w:lang w:val="cs-CZ"/>
    </w:rPr>
  </w:style>
  <w:style w:type="character" w:customStyle="1" w:styleId="Nadpis8Char">
    <w:name w:val="Nadpis 8 Char"/>
    <w:basedOn w:val="Predvolenpsmoodseku"/>
    <w:link w:val="Nadpis8"/>
    <w:rsid w:val="00944DE6"/>
    <w:rPr>
      <w:rFonts w:ascii="Times New Roman" w:eastAsia="Times New Roman" w:hAnsi="Times New Roman" w:cs="Times New Roman"/>
      <w:b/>
      <w:i/>
      <w:szCs w:val="20"/>
      <w:lang w:val="cs-CZ"/>
    </w:rPr>
  </w:style>
  <w:style w:type="character" w:customStyle="1" w:styleId="Nadpis9Char">
    <w:name w:val="Nadpis 9 Char"/>
    <w:basedOn w:val="Predvolenpsmoodseku"/>
    <w:link w:val="Nadpis9"/>
    <w:rsid w:val="00944DE6"/>
    <w:rPr>
      <w:rFonts w:ascii="Times New Roman" w:eastAsia="Times New Roman" w:hAnsi="Times New Roman" w:cs="Times New Roman"/>
      <w:b/>
      <w:i/>
      <w:szCs w:val="20"/>
      <w:lang w:val="cs-CZ"/>
    </w:rPr>
  </w:style>
  <w:style w:type="character" w:styleId="slostrany">
    <w:name w:val="page number"/>
    <w:basedOn w:val="Predvolenpsmoodseku"/>
    <w:rsid w:val="00944DE6"/>
  </w:style>
  <w:style w:type="paragraph" w:styleId="Pta">
    <w:name w:val="footer"/>
    <w:basedOn w:val="Normlny"/>
    <w:link w:val="PtaChar"/>
    <w:rsid w:val="00944DE6"/>
    <w:pPr>
      <w:tabs>
        <w:tab w:val="left" w:pos="567"/>
        <w:tab w:val="center" w:pos="4536"/>
        <w:tab w:val="center" w:pos="8930"/>
      </w:tabs>
      <w:ind w:left="0" w:firstLine="0"/>
    </w:pPr>
    <w:rPr>
      <w:rFonts w:ascii="Helvetica" w:hAnsi="Helvetica"/>
      <w:sz w:val="16"/>
      <w:szCs w:val="20"/>
      <w:lang w:val="cs-CZ" w:eastAsia="en-US"/>
    </w:rPr>
  </w:style>
  <w:style w:type="character" w:customStyle="1" w:styleId="PtaChar">
    <w:name w:val="Päta Char"/>
    <w:basedOn w:val="Predvolenpsmoodseku"/>
    <w:link w:val="Pta"/>
    <w:rsid w:val="00944DE6"/>
    <w:rPr>
      <w:rFonts w:ascii="Helvetica" w:eastAsia="Times New Roman" w:hAnsi="Helvetica" w:cs="Times New Roman"/>
      <w:sz w:val="16"/>
      <w:szCs w:val="20"/>
      <w:lang w:val="cs-CZ"/>
    </w:rPr>
  </w:style>
  <w:style w:type="paragraph" w:styleId="Hlavika">
    <w:name w:val="header"/>
    <w:basedOn w:val="Normlny"/>
    <w:link w:val="HlavikaChar"/>
    <w:rsid w:val="00944DE6"/>
    <w:pPr>
      <w:tabs>
        <w:tab w:val="left" w:pos="567"/>
        <w:tab w:val="center" w:pos="4153"/>
        <w:tab w:val="right" w:pos="8306"/>
      </w:tabs>
      <w:ind w:left="0" w:firstLine="0"/>
    </w:pPr>
    <w:rPr>
      <w:rFonts w:ascii="Helvetica" w:hAnsi="Helvetica"/>
      <w:sz w:val="20"/>
      <w:szCs w:val="20"/>
      <w:lang w:val="cs-CZ" w:eastAsia="en-US"/>
    </w:rPr>
  </w:style>
  <w:style w:type="character" w:customStyle="1" w:styleId="HlavikaChar">
    <w:name w:val="Hlavička Char"/>
    <w:basedOn w:val="Predvolenpsmoodseku"/>
    <w:link w:val="Hlavika"/>
    <w:rsid w:val="00944DE6"/>
    <w:rPr>
      <w:rFonts w:ascii="Helvetica" w:eastAsia="Times New Roman" w:hAnsi="Helvetica" w:cs="Times New Roman"/>
      <w:sz w:val="20"/>
      <w:szCs w:val="20"/>
      <w:lang w:val="cs-CZ"/>
    </w:rPr>
  </w:style>
  <w:style w:type="paragraph" w:styleId="Zarkazkladnhotextu">
    <w:name w:val="Body Text Indent"/>
    <w:basedOn w:val="Normlny"/>
    <w:link w:val="ZarkazkladnhotextuChar"/>
    <w:rsid w:val="00944DE6"/>
    <w:pPr>
      <w:ind w:left="0" w:hanging="27"/>
    </w:pPr>
    <w:rPr>
      <w:szCs w:val="22"/>
    </w:rPr>
  </w:style>
  <w:style w:type="character" w:customStyle="1" w:styleId="ZarkazkladnhotextuChar">
    <w:name w:val="Zarážka základného textu Char"/>
    <w:basedOn w:val="Predvolenpsmoodseku"/>
    <w:link w:val="Zarkazkladnhotextu"/>
    <w:rsid w:val="00944DE6"/>
    <w:rPr>
      <w:rFonts w:ascii="Times New Roman" w:eastAsia="Times New Roman" w:hAnsi="Times New Roman" w:cs="Times New Roman"/>
      <w:lang w:eastAsia="sk-SK"/>
    </w:rPr>
  </w:style>
  <w:style w:type="paragraph" w:styleId="Zkladntext">
    <w:name w:val="Body Text"/>
    <w:basedOn w:val="Normlny"/>
    <w:link w:val="ZkladntextChar"/>
    <w:rsid w:val="00944DE6"/>
    <w:pPr>
      <w:ind w:left="0" w:firstLine="0"/>
    </w:pPr>
    <w:rPr>
      <w:szCs w:val="22"/>
    </w:rPr>
  </w:style>
  <w:style w:type="character" w:customStyle="1" w:styleId="ZkladntextChar">
    <w:name w:val="Základný text Char"/>
    <w:basedOn w:val="Predvolenpsmoodseku"/>
    <w:link w:val="Zkladntext"/>
    <w:rsid w:val="00944DE6"/>
    <w:rPr>
      <w:rFonts w:ascii="Times New Roman" w:eastAsia="Times New Roman" w:hAnsi="Times New Roman" w:cs="Times New Roman"/>
      <w:lang w:eastAsia="sk-SK"/>
    </w:rPr>
  </w:style>
  <w:style w:type="paragraph" w:customStyle="1" w:styleId="BodyTextIndent31">
    <w:name w:val="Body Text Indent 31"/>
    <w:basedOn w:val="Normlny"/>
    <w:rsid w:val="00944DE6"/>
    <w:pPr>
      <w:overflowPunct w:val="0"/>
      <w:autoSpaceDE w:val="0"/>
      <w:autoSpaceDN w:val="0"/>
      <w:adjustRightInd w:val="0"/>
      <w:spacing w:before="120"/>
      <w:ind w:left="1068" w:firstLine="0"/>
      <w:textAlignment w:val="baseline"/>
    </w:pPr>
    <w:rPr>
      <w:b/>
      <w:szCs w:val="20"/>
      <w:lang w:val="en-GB"/>
    </w:rPr>
  </w:style>
  <w:style w:type="paragraph" w:customStyle="1" w:styleId="BodyText31">
    <w:name w:val="Body Text 31"/>
    <w:basedOn w:val="Normlny"/>
    <w:rsid w:val="00944DE6"/>
    <w:pPr>
      <w:overflowPunct w:val="0"/>
      <w:autoSpaceDE w:val="0"/>
      <w:autoSpaceDN w:val="0"/>
      <w:adjustRightInd w:val="0"/>
      <w:ind w:left="0" w:firstLine="0"/>
      <w:textAlignment w:val="baseline"/>
    </w:pPr>
    <w:rPr>
      <w:rFonts w:ascii="Arial" w:hAnsi="Arial"/>
      <w:sz w:val="20"/>
      <w:szCs w:val="20"/>
    </w:rPr>
  </w:style>
  <w:style w:type="paragraph" w:styleId="Zkladntext2">
    <w:name w:val="Body Text 2"/>
    <w:basedOn w:val="Normlny"/>
    <w:link w:val="Zkladntext2Char"/>
    <w:rsid w:val="00944DE6"/>
    <w:pPr>
      <w:ind w:left="0" w:firstLine="0"/>
    </w:pPr>
    <w:rPr>
      <w:rFonts w:ascii="Arial" w:hAnsi="Arial" w:cs="Arial"/>
      <w:i/>
      <w:iCs/>
      <w:sz w:val="20"/>
    </w:rPr>
  </w:style>
  <w:style w:type="character" w:customStyle="1" w:styleId="Zkladntext2Char">
    <w:name w:val="Základný text 2 Char"/>
    <w:basedOn w:val="Predvolenpsmoodseku"/>
    <w:link w:val="Zkladntext2"/>
    <w:rsid w:val="00944DE6"/>
    <w:rPr>
      <w:rFonts w:ascii="Arial" w:eastAsia="Times New Roman" w:hAnsi="Arial" w:cs="Arial"/>
      <w:i/>
      <w:iCs/>
      <w:sz w:val="20"/>
      <w:szCs w:val="24"/>
      <w:lang w:eastAsia="sk-SK"/>
    </w:rPr>
  </w:style>
  <w:style w:type="paragraph" w:customStyle="1" w:styleId="Norml11">
    <w:name w:val="Normál 11"/>
    <w:rsid w:val="00944DE6"/>
    <w:pPr>
      <w:spacing w:after="0" w:line="240" w:lineRule="auto"/>
    </w:pPr>
    <w:rPr>
      <w:rFonts w:ascii="Times New Roman" w:eastAsia="Times New Roman" w:hAnsi="Times New Roman" w:cs="Times New Roman"/>
      <w:szCs w:val="20"/>
      <w:lang w:val="hu-HU" w:eastAsia="hu-HU"/>
    </w:rPr>
  </w:style>
  <w:style w:type="paragraph" w:customStyle="1" w:styleId="EMEAEnBodyText">
    <w:name w:val="EMEA En Body Text"/>
    <w:basedOn w:val="Normlny"/>
    <w:rsid w:val="00944DE6"/>
    <w:pPr>
      <w:spacing w:before="120" w:after="120"/>
      <w:ind w:left="0" w:firstLine="0"/>
      <w:jc w:val="both"/>
    </w:pPr>
    <w:rPr>
      <w:szCs w:val="20"/>
      <w:lang w:val="en-US" w:eastAsia="en-US"/>
    </w:rPr>
  </w:style>
  <w:style w:type="paragraph" w:styleId="Textbubliny">
    <w:name w:val="Balloon Text"/>
    <w:basedOn w:val="Normlny"/>
    <w:link w:val="TextbublinyChar"/>
    <w:semiHidden/>
    <w:rsid w:val="00944DE6"/>
    <w:rPr>
      <w:rFonts w:ascii="Tahoma" w:hAnsi="Tahoma" w:cs="Tahoma"/>
      <w:sz w:val="16"/>
      <w:szCs w:val="16"/>
    </w:rPr>
  </w:style>
  <w:style w:type="character" w:customStyle="1" w:styleId="TextbublinyChar">
    <w:name w:val="Text bubliny Char"/>
    <w:basedOn w:val="Predvolenpsmoodseku"/>
    <w:link w:val="Textbubliny"/>
    <w:semiHidden/>
    <w:rsid w:val="00944DE6"/>
    <w:rPr>
      <w:rFonts w:ascii="Tahoma" w:eastAsia="Times New Roman" w:hAnsi="Tahoma" w:cs="Tahoma"/>
      <w:sz w:val="16"/>
      <w:szCs w:val="16"/>
      <w:lang w:eastAsia="sk-SK"/>
    </w:rPr>
  </w:style>
  <w:style w:type="character" w:styleId="Odkaznakomentr">
    <w:name w:val="annotation reference"/>
    <w:semiHidden/>
    <w:rsid w:val="00944DE6"/>
    <w:rPr>
      <w:sz w:val="16"/>
      <w:szCs w:val="16"/>
    </w:rPr>
  </w:style>
  <w:style w:type="paragraph" w:styleId="Textkomentra">
    <w:name w:val="annotation text"/>
    <w:basedOn w:val="Normlny"/>
    <w:link w:val="TextkomentraChar"/>
    <w:semiHidden/>
    <w:rsid w:val="00944DE6"/>
    <w:rPr>
      <w:sz w:val="20"/>
      <w:szCs w:val="20"/>
    </w:rPr>
  </w:style>
  <w:style w:type="character" w:customStyle="1" w:styleId="TextkomentraChar">
    <w:name w:val="Text komentára Char"/>
    <w:basedOn w:val="Predvolenpsmoodseku"/>
    <w:link w:val="Textkomentra"/>
    <w:semiHidden/>
    <w:rsid w:val="00944DE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rsid w:val="00944DE6"/>
    <w:rPr>
      <w:b/>
      <w:bCs/>
    </w:rPr>
  </w:style>
  <w:style w:type="character" w:customStyle="1" w:styleId="PredmetkomentraChar">
    <w:name w:val="Predmet komentára Char"/>
    <w:basedOn w:val="TextkomentraChar"/>
    <w:link w:val="Predmetkomentra"/>
    <w:semiHidden/>
    <w:rsid w:val="00944DE6"/>
    <w:rPr>
      <w:rFonts w:ascii="Times New Roman" w:eastAsia="Times New Roman" w:hAnsi="Times New Roman" w:cs="Times New Roman"/>
      <w:b/>
      <w:bCs/>
      <w:sz w:val="20"/>
      <w:szCs w:val="20"/>
      <w:lang w:eastAsia="sk-SK"/>
    </w:rPr>
  </w:style>
  <w:style w:type="paragraph" w:styleId="Revzia">
    <w:name w:val="Revision"/>
    <w:hidden/>
    <w:uiPriority w:val="99"/>
    <w:semiHidden/>
    <w:rsid w:val="00944DE6"/>
    <w:pPr>
      <w:spacing w:after="0" w:line="240" w:lineRule="auto"/>
    </w:pPr>
    <w:rPr>
      <w:rFonts w:ascii="Times New Roman" w:eastAsia="Times New Roman" w:hAnsi="Times New Roman" w:cs="Times New Roman"/>
      <w:szCs w:val="24"/>
      <w:lang w:eastAsia="sk-SK"/>
    </w:rPr>
  </w:style>
  <w:style w:type="character" w:styleId="Hypertextovprepojenie">
    <w:name w:val="Hyperlink"/>
    <w:uiPriority w:val="99"/>
    <w:unhideWhenUsed/>
    <w:rsid w:val="00944DE6"/>
    <w:rPr>
      <w:color w:val="0000FF"/>
      <w:u w:val="single"/>
    </w:rPr>
  </w:style>
  <w:style w:type="paragraph" w:styleId="Zkladntext3">
    <w:name w:val="Body Text 3"/>
    <w:basedOn w:val="Normlny"/>
    <w:link w:val="Zkladntext3Char"/>
    <w:rsid w:val="00944DE6"/>
    <w:pPr>
      <w:spacing w:after="120"/>
    </w:pPr>
    <w:rPr>
      <w:sz w:val="16"/>
      <w:szCs w:val="16"/>
    </w:rPr>
  </w:style>
  <w:style w:type="character" w:customStyle="1" w:styleId="Zkladntext3Char">
    <w:name w:val="Základný text 3 Char"/>
    <w:basedOn w:val="Predvolenpsmoodseku"/>
    <w:link w:val="Zkladntext3"/>
    <w:rsid w:val="00944DE6"/>
    <w:rPr>
      <w:rFonts w:ascii="Times New Roman" w:eastAsia="Times New Roman" w:hAnsi="Times New Roman" w:cs="Times New Roman"/>
      <w:sz w:val="16"/>
      <w:szCs w:val="16"/>
      <w:lang w:eastAsia="sk-SK"/>
    </w:rPr>
  </w:style>
  <w:style w:type="paragraph" w:customStyle="1" w:styleId="nr2g">
    <w:name w:val="nr2g'"/>
    <w:basedOn w:val="Normlny"/>
    <w:rsid w:val="00944DE6"/>
    <w:pPr>
      <w:tabs>
        <w:tab w:val="center" w:pos="5387"/>
      </w:tabs>
      <w:ind w:left="993" w:firstLine="0"/>
      <w:jc w:val="both"/>
    </w:pPr>
    <w:rPr>
      <w:sz w:val="24"/>
      <w:szCs w:val="20"/>
      <w:lang w:val="en-US" w:eastAsia="fr-FR"/>
    </w:rPr>
  </w:style>
  <w:style w:type="paragraph" w:customStyle="1" w:styleId="Default">
    <w:name w:val="Default"/>
    <w:rsid w:val="009A73F9"/>
    <w:pPr>
      <w:autoSpaceDE w:val="0"/>
      <w:autoSpaceDN w:val="0"/>
      <w:adjustRightInd w:val="0"/>
      <w:spacing w:after="0" w:line="240" w:lineRule="auto"/>
    </w:pPr>
    <w:rPr>
      <w:rFonts w:ascii="Arial" w:eastAsia="Times New Roman" w:hAnsi="Arial" w:cs="Arial"/>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6525</Words>
  <Characters>37194</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Krka, d.d.</Company>
  <LinksUpToDate>false</LinksUpToDate>
  <CharactersWithSpaces>43632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Galandova, Lubica</dc:creator>
  <cp:lastModifiedBy>Grančaiová, Zuzana</cp:lastModifiedBy>
  <cp:revision>22</cp:revision>
  <dcterms:created xsi:type="dcterms:W3CDTF">2016-03-07T12:27:00Z</dcterms:created>
  <dcterms:modified xsi:type="dcterms:W3CDTF">2018-01-09T07:38:00Z</dcterms:modified>
</cp:coreProperties>
</file>