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B0" w:rsidRPr="00C54655" w:rsidRDefault="00A632B0" w:rsidP="00C54655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  <w:bookmarkStart w:id="0" w:name="_GoBack"/>
      <w:bookmarkEnd w:id="0"/>
      <w:r w:rsidRPr="00C54655">
        <w:rPr>
          <w:b/>
          <w:szCs w:val="22"/>
          <w:lang w:val="sk-SK"/>
        </w:rPr>
        <w:t>SÚHRN CHARAKTERISTICKÝCH VLASTNOSTÍ LIEKU</w:t>
      </w:r>
    </w:p>
    <w:p w:rsidR="00A632B0" w:rsidRPr="00C54655" w:rsidRDefault="00A632B0" w:rsidP="00C54655">
      <w:pPr>
        <w:tabs>
          <w:tab w:val="left" w:pos="-1440"/>
          <w:tab w:val="left" w:pos="-720"/>
        </w:tabs>
        <w:spacing w:line="240" w:lineRule="auto"/>
        <w:rPr>
          <w:szCs w:val="22"/>
          <w:lang w:val="sk-SK"/>
        </w:rPr>
      </w:pPr>
    </w:p>
    <w:p w:rsidR="00A632B0" w:rsidRPr="00C54655" w:rsidRDefault="00A632B0" w:rsidP="00C54655">
      <w:pPr>
        <w:widowControl w:val="0"/>
        <w:spacing w:line="240" w:lineRule="auto"/>
        <w:rPr>
          <w:szCs w:val="22"/>
          <w:lang w:val="sk-SK"/>
        </w:rPr>
      </w:pPr>
    </w:p>
    <w:p w:rsidR="00A632B0" w:rsidRPr="00831B1F" w:rsidRDefault="00A632B0" w:rsidP="00831B1F">
      <w:pPr>
        <w:widowControl w:val="0"/>
        <w:spacing w:line="240" w:lineRule="auto"/>
        <w:rPr>
          <w:szCs w:val="22"/>
          <w:lang w:val="sk-SK"/>
        </w:rPr>
      </w:pPr>
      <w:r w:rsidRPr="00831B1F">
        <w:rPr>
          <w:b/>
          <w:szCs w:val="22"/>
          <w:lang w:val="sk-SK"/>
        </w:rPr>
        <w:t>1.</w:t>
      </w:r>
      <w:r w:rsidRPr="00831B1F">
        <w:rPr>
          <w:b/>
          <w:szCs w:val="22"/>
          <w:lang w:val="sk-SK"/>
        </w:rPr>
        <w:tab/>
        <w:t>NÁZOV LIEKU</w:t>
      </w:r>
    </w:p>
    <w:p w:rsidR="00A632B0" w:rsidRPr="00C54655" w:rsidRDefault="00A632B0" w:rsidP="00831B1F">
      <w:pPr>
        <w:spacing w:line="240" w:lineRule="auto"/>
        <w:rPr>
          <w:szCs w:val="22"/>
          <w:lang w:val="sk-SK"/>
        </w:rPr>
      </w:pPr>
    </w:p>
    <w:p w:rsidR="00A632B0" w:rsidRPr="00C54655" w:rsidRDefault="00607068">
      <w:pPr>
        <w:widowControl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Sanomux</w:t>
      </w:r>
      <w:r w:rsidR="00385F0A" w:rsidRPr="00C54655">
        <w:rPr>
          <w:szCs w:val="22"/>
          <w:lang w:val="sk-SK"/>
        </w:rPr>
        <w:t xml:space="preserve"> </w:t>
      </w:r>
      <w:r w:rsidR="005C6F34" w:rsidRPr="00C54655">
        <w:rPr>
          <w:szCs w:val="22"/>
          <w:lang w:val="sk-SK"/>
        </w:rPr>
        <w:t>6</w:t>
      </w:r>
      <w:r w:rsidR="002439FF" w:rsidRPr="00C54655">
        <w:rPr>
          <w:szCs w:val="22"/>
          <w:lang w:val="sk-SK"/>
        </w:rPr>
        <w:t>00 mg</w:t>
      </w:r>
    </w:p>
    <w:p w:rsidR="002439FF" w:rsidRPr="00C54655" w:rsidRDefault="002439FF">
      <w:pPr>
        <w:widowControl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šumivé tablety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widowControl w:val="0"/>
        <w:spacing w:line="240" w:lineRule="auto"/>
        <w:rPr>
          <w:szCs w:val="22"/>
          <w:lang w:val="sk-SK"/>
        </w:rPr>
      </w:pPr>
      <w:r w:rsidRPr="00C54655">
        <w:rPr>
          <w:b/>
          <w:szCs w:val="22"/>
          <w:lang w:val="sk-SK"/>
        </w:rPr>
        <w:t>2.</w:t>
      </w:r>
      <w:r w:rsidRPr="00C54655">
        <w:rPr>
          <w:b/>
          <w:szCs w:val="22"/>
          <w:lang w:val="sk-SK"/>
        </w:rPr>
        <w:tab/>
        <w:t>KVALITATÍVNE A KVANTITATÍVNE ZLOŽENIE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2439FF">
      <w:pPr>
        <w:widowControl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Jedna šumivá tableta obsahu</w:t>
      </w:r>
      <w:r w:rsidR="005C6F34" w:rsidRPr="00C54655">
        <w:rPr>
          <w:szCs w:val="22"/>
          <w:lang w:val="sk-SK"/>
        </w:rPr>
        <w:t>je 6</w:t>
      </w:r>
      <w:r w:rsidRPr="00C54655">
        <w:rPr>
          <w:szCs w:val="22"/>
          <w:lang w:val="sk-SK"/>
        </w:rPr>
        <w:t>00 mg acetylcysteín</w:t>
      </w:r>
      <w:r w:rsidR="00CF1B2D" w:rsidRPr="00C54655">
        <w:rPr>
          <w:szCs w:val="22"/>
          <w:lang w:val="sk-SK"/>
        </w:rPr>
        <w:t>u</w:t>
      </w:r>
      <w:r w:rsidRPr="00C54655">
        <w:rPr>
          <w:szCs w:val="22"/>
          <w:lang w:val="sk-SK"/>
        </w:rPr>
        <w:t>.</w:t>
      </w:r>
    </w:p>
    <w:p w:rsidR="00A632B0" w:rsidRPr="00C54655" w:rsidRDefault="00A632B0">
      <w:pPr>
        <w:widowControl w:val="0"/>
        <w:spacing w:line="240" w:lineRule="auto"/>
        <w:rPr>
          <w:szCs w:val="22"/>
          <w:lang w:val="sk-SK"/>
        </w:rPr>
      </w:pPr>
    </w:p>
    <w:p w:rsidR="002439FF" w:rsidRPr="00C54655" w:rsidRDefault="00A632B0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Pomocné látky so známym účinkom</w:t>
      </w:r>
      <w:r w:rsidR="002439FF" w:rsidRPr="00C54655">
        <w:rPr>
          <w:szCs w:val="22"/>
          <w:u w:val="single"/>
          <w:lang w:val="sk-SK"/>
        </w:rPr>
        <w:t>:</w:t>
      </w:r>
      <w:r w:rsidR="002439FF" w:rsidRPr="00C54655">
        <w:rPr>
          <w:szCs w:val="22"/>
          <w:lang w:val="sk-SK"/>
        </w:rPr>
        <w:t xml:space="preserve"> bezvodá laktóza, sorbitol a aspart</w:t>
      </w:r>
      <w:r w:rsidR="00AC74CC" w:rsidRPr="00C54655">
        <w:rPr>
          <w:szCs w:val="22"/>
          <w:lang w:val="sk-SK"/>
        </w:rPr>
        <w:t>á</w:t>
      </w:r>
      <w:r w:rsidR="002439FF" w:rsidRPr="00C54655">
        <w:rPr>
          <w:szCs w:val="22"/>
          <w:lang w:val="sk-SK"/>
        </w:rPr>
        <w:t>m E951</w:t>
      </w:r>
      <w:r w:rsidR="00AC74CC" w:rsidRPr="00C54655">
        <w:rPr>
          <w:szCs w:val="22"/>
          <w:lang w:val="sk-SK"/>
        </w:rPr>
        <w:t>.</w:t>
      </w:r>
    </w:p>
    <w:p w:rsidR="00A632B0" w:rsidRPr="00C54655" w:rsidRDefault="00A632B0">
      <w:pPr>
        <w:spacing w:line="240" w:lineRule="auto"/>
        <w:outlineLvl w:val="0"/>
        <w:rPr>
          <w:szCs w:val="22"/>
          <w:lang w:val="sk-SK"/>
        </w:rPr>
      </w:pPr>
      <w:r w:rsidRPr="00C54655">
        <w:rPr>
          <w:szCs w:val="22"/>
          <w:lang w:val="sk-SK"/>
        </w:rPr>
        <w:t>Úplný zoznam pomocných látok, pozri časť 6.1.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caps/>
          <w:szCs w:val="22"/>
          <w:lang w:val="sk-SK"/>
        </w:rPr>
      </w:pPr>
      <w:r w:rsidRPr="00C54655">
        <w:rPr>
          <w:b/>
          <w:szCs w:val="22"/>
          <w:lang w:val="sk-SK"/>
        </w:rPr>
        <w:t>3.</w:t>
      </w:r>
      <w:r w:rsidRPr="00C54655">
        <w:rPr>
          <w:b/>
          <w:szCs w:val="22"/>
          <w:lang w:val="sk-SK"/>
        </w:rPr>
        <w:tab/>
        <w:t>LIEKOVÁ FORMA</w:t>
      </w:r>
    </w:p>
    <w:p w:rsidR="00A632B0" w:rsidRPr="00C54655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C54655" w:rsidRDefault="00D94DA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Š</w:t>
      </w:r>
      <w:r w:rsidR="00CF1B2D" w:rsidRPr="00C54655">
        <w:rPr>
          <w:szCs w:val="22"/>
          <w:lang w:val="sk-SK"/>
        </w:rPr>
        <w:t>umivá tableta</w:t>
      </w:r>
    </w:p>
    <w:p w:rsidR="00CF1B2D" w:rsidRPr="00C54655" w:rsidRDefault="00CF1B2D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Biela až takmer biela, okrúhla, plochá tableta s deliacou ryhou na jednej strane.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Tableta sa </w:t>
      </w:r>
      <w:r w:rsidR="00CF1B2D" w:rsidRPr="00C54655">
        <w:rPr>
          <w:szCs w:val="22"/>
          <w:lang w:val="sk-SK"/>
        </w:rPr>
        <w:t>môže rozdeliť na rovnaké dávky.</w:t>
      </w:r>
    </w:p>
    <w:p w:rsidR="00A632B0" w:rsidRPr="00C54655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caps/>
          <w:szCs w:val="22"/>
          <w:lang w:val="sk-SK"/>
        </w:rPr>
      </w:pPr>
      <w:r w:rsidRPr="00C54655">
        <w:rPr>
          <w:b/>
          <w:caps/>
          <w:szCs w:val="22"/>
          <w:lang w:val="sk-SK"/>
        </w:rPr>
        <w:t>4.</w:t>
      </w:r>
      <w:r w:rsidRPr="00C54655">
        <w:rPr>
          <w:b/>
          <w:caps/>
          <w:szCs w:val="22"/>
          <w:lang w:val="sk-SK"/>
        </w:rPr>
        <w:tab/>
      </w:r>
      <w:r w:rsidRPr="00C54655">
        <w:rPr>
          <w:b/>
          <w:szCs w:val="22"/>
          <w:lang w:val="sk-SK"/>
        </w:rPr>
        <w:t>KLINICKÉ ÚDAJE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4.1</w:t>
      </w:r>
      <w:r w:rsidRPr="00C54655">
        <w:rPr>
          <w:b/>
          <w:szCs w:val="22"/>
          <w:lang w:val="sk-SK"/>
        </w:rPr>
        <w:tab/>
        <w:t>Terapeutické indikácie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CF1B2D" w:rsidRPr="00C54655" w:rsidRDefault="00607068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Sanomux</w:t>
      </w:r>
      <w:r w:rsidR="00385F0A" w:rsidRPr="00C54655">
        <w:rPr>
          <w:szCs w:val="22"/>
          <w:lang w:val="sk-SK"/>
        </w:rPr>
        <w:t xml:space="preserve"> 600 mg</w:t>
      </w:r>
      <w:r w:rsidR="00754550" w:rsidRPr="00C54655">
        <w:rPr>
          <w:szCs w:val="22"/>
          <w:lang w:val="sk-SK"/>
        </w:rPr>
        <w:t xml:space="preserve"> </w:t>
      </w:r>
      <w:r w:rsidR="00CF1B2D" w:rsidRPr="00C54655">
        <w:rPr>
          <w:szCs w:val="22"/>
          <w:lang w:val="sk-SK"/>
        </w:rPr>
        <w:t>sa používa na liečbu akútnych a chronických ochorení dýchacích ciest spojených s intenzívnou tvorbou viskózneho hlienu a so sťaženou expektoráciou.</w:t>
      </w:r>
    </w:p>
    <w:p w:rsidR="00A632B0" w:rsidRPr="00C54655" w:rsidRDefault="00CF1B2D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U pacientov s chronickou bronchitídou alebo mukoviscidózou môže podávanie acetylcysteínu profylakticky zamedzovať vzniku bakteriálnych infekcií a znižovať frekvenciu i závažnosť exacerbácií.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607068">
      <w:pPr>
        <w:spacing w:line="240" w:lineRule="auto"/>
        <w:rPr>
          <w:i/>
          <w:color w:val="000000"/>
          <w:szCs w:val="22"/>
          <w:lang w:val="sk-SK"/>
        </w:rPr>
      </w:pPr>
      <w:r w:rsidRPr="00C54655">
        <w:rPr>
          <w:szCs w:val="22"/>
          <w:lang w:val="sk-SK"/>
        </w:rPr>
        <w:t>Sanomux</w:t>
      </w:r>
      <w:r w:rsidR="00385F0A" w:rsidRPr="00C54655">
        <w:rPr>
          <w:szCs w:val="22"/>
          <w:lang w:val="sk-SK"/>
        </w:rPr>
        <w:t xml:space="preserve"> 600 mg</w:t>
      </w:r>
      <w:r w:rsidR="0022447C" w:rsidRPr="00C54655">
        <w:rPr>
          <w:color w:val="000000"/>
          <w:szCs w:val="22"/>
          <w:lang w:val="sk-SK"/>
        </w:rPr>
        <w:t xml:space="preserve"> </w:t>
      </w:r>
      <w:r w:rsidR="00A632B0" w:rsidRPr="00C54655">
        <w:rPr>
          <w:color w:val="000000"/>
          <w:szCs w:val="22"/>
          <w:lang w:val="sk-SK"/>
        </w:rPr>
        <w:t xml:space="preserve">je indikovaný dospelým </w:t>
      </w:r>
      <w:r w:rsidR="00CF1B2D" w:rsidRPr="00C54655">
        <w:rPr>
          <w:color w:val="000000"/>
          <w:szCs w:val="22"/>
          <w:lang w:val="sk-SK"/>
        </w:rPr>
        <w:t>a </w:t>
      </w:r>
      <w:r w:rsidR="00A632B0" w:rsidRPr="00C54655">
        <w:rPr>
          <w:color w:val="000000"/>
          <w:szCs w:val="22"/>
          <w:lang w:val="sk-SK"/>
        </w:rPr>
        <w:t>deťom</w:t>
      </w:r>
      <w:r w:rsidR="00CF1B2D" w:rsidRPr="00C54655">
        <w:rPr>
          <w:color w:val="000000"/>
          <w:szCs w:val="22"/>
          <w:lang w:val="sk-SK"/>
        </w:rPr>
        <w:t xml:space="preserve"> od </w:t>
      </w:r>
      <w:r w:rsidR="005C6F34" w:rsidRPr="00C54655">
        <w:rPr>
          <w:color w:val="000000"/>
          <w:szCs w:val="22"/>
          <w:lang w:val="sk-SK"/>
        </w:rPr>
        <w:t>14</w:t>
      </w:r>
      <w:r w:rsidR="00CF1B2D" w:rsidRPr="00C54655">
        <w:rPr>
          <w:color w:val="000000"/>
          <w:szCs w:val="22"/>
          <w:lang w:val="sk-SK"/>
        </w:rPr>
        <w:t xml:space="preserve"> rokov</w:t>
      </w:r>
      <w:r w:rsidR="00A632B0" w:rsidRPr="00C54655">
        <w:rPr>
          <w:szCs w:val="22"/>
          <w:lang w:val="sk-SK"/>
        </w:rPr>
        <w:t>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outlineLvl w:val="0"/>
        <w:rPr>
          <w:b/>
          <w:szCs w:val="22"/>
          <w:lang w:val="sk-SK"/>
        </w:rPr>
      </w:pPr>
      <w:r w:rsidRPr="00C54655">
        <w:rPr>
          <w:b/>
          <w:szCs w:val="22"/>
          <w:lang w:val="sk-SK"/>
        </w:rPr>
        <w:t>4.2</w:t>
      </w:r>
      <w:r w:rsidRPr="00C54655">
        <w:rPr>
          <w:b/>
          <w:szCs w:val="22"/>
          <w:lang w:val="sk-SK"/>
        </w:rPr>
        <w:tab/>
        <w:t>Dávkovanie a spôsob podávania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Dávkovanie</w:t>
      </w:r>
    </w:p>
    <w:p w:rsidR="00A632B0" w:rsidRPr="00C54655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F1B2D" w:rsidRPr="00C54655" w:rsidRDefault="00991E2E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C54655">
        <w:rPr>
          <w:i/>
          <w:szCs w:val="22"/>
          <w:lang w:val="sk-SK"/>
        </w:rPr>
        <w:t>Sekretolytikum pri zápaloch dýchacích ciest</w:t>
      </w:r>
    </w:p>
    <w:p w:rsidR="00254444" w:rsidRPr="00C54655" w:rsidRDefault="005C6F3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D</w:t>
      </w:r>
      <w:r w:rsidR="00254444" w:rsidRPr="00C54655">
        <w:rPr>
          <w:szCs w:val="22"/>
          <w:lang w:val="sk-SK"/>
        </w:rPr>
        <w:t xml:space="preserve">ospelí a mladiství od 14 rokov: </w:t>
      </w:r>
      <w:r w:rsidRPr="00C54655">
        <w:rPr>
          <w:szCs w:val="22"/>
          <w:lang w:val="sk-SK"/>
        </w:rPr>
        <w:t xml:space="preserve">600 mg acetylcysteínu </w:t>
      </w:r>
      <w:r w:rsidR="00AC74CC" w:rsidRPr="00C54655">
        <w:rPr>
          <w:szCs w:val="22"/>
          <w:lang w:val="sk-SK"/>
        </w:rPr>
        <w:t xml:space="preserve">denne v 1 – 2 </w:t>
      </w:r>
      <w:r w:rsidR="0022447C" w:rsidRPr="00C54655">
        <w:rPr>
          <w:szCs w:val="22"/>
          <w:lang w:val="sk-SK"/>
        </w:rPr>
        <w:t>jednotlivých</w:t>
      </w:r>
      <w:r w:rsidRPr="00C54655">
        <w:rPr>
          <w:szCs w:val="22"/>
          <w:lang w:val="sk-SK"/>
        </w:rPr>
        <w:t xml:space="preserve"> dávkach, </w:t>
      </w:r>
      <w:r w:rsidR="0022447C" w:rsidRPr="00C54655">
        <w:rPr>
          <w:szCs w:val="22"/>
          <w:lang w:val="sk-SK"/>
        </w:rPr>
        <w:t>t.j</w:t>
      </w:r>
      <w:r w:rsidRPr="00C54655">
        <w:rPr>
          <w:szCs w:val="22"/>
          <w:lang w:val="sk-SK"/>
        </w:rPr>
        <w:t>. ½ tablety 2x denne alebo 1 tableta raz denne.</w:t>
      </w:r>
    </w:p>
    <w:p w:rsidR="00254444" w:rsidRPr="00C54655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254444" w:rsidRPr="00C54655" w:rsidRDefault="00254444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C54655">
        <w:rPr>
          <w:i/>
          <w:szCs w:val="22"/>
          <w:lang w:val="sk-SK"/>
        </w:rPr>
        <w:t>Mukoviscidóza</w:t>
      </w:r>
    </w:p>
    <w:p w:rsidR="00254444" w:rsidRPr="00C54655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Liečba sa má začať nižšími dávkami a postupne </w:t>
      </w:r>
      <w:r w:rsidR="0022447C" w:rsidRPr="00C54655">
        <w:rPr>
          <w:szCs w:val="22"/>
          <w:lang w:val="sk-SK"/>
        </w:rPr>
        <w:t xml:space="preserve">ich </w:t>
      </w:r>
      <w:r w:rsidRPr="00C54655">
        <w:rPr>
          <w:szCs w:val="22"/>
          <w:lang w:val="sk-SK"/>
        </w:rPr>
        <w:t>zvyšovať.</w:t>
      </w:r>
    </w:p>
    <w:p w:rsidR="00254444" w:rsidRPr="00C54655" w:rsidRDefault="00AC74C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Celková</w:t>
      </w:r>
      <w:r w:rsidR="00254444" w:rsidRPr="00C54655">
        <w:rPr>
          <w:szCs w:val="22"/>
          <w:lang w:val="sk-SK"/>
        </w:rPr>
        <w:t xml:space="preserve"> denná dávka sa </w:t>
      </w:r>
      <w:r w:rsidR="0022447C" w:rsidRPr="00C54655">
        <w:rPr>
          <w:szCs w:val="22"/>
          <w:lang w:val="sk-SK"/>
        </w:rPr>
        <w:t>rozdeľuje</w:t>
      </w:r>
      <w:r w:rsidR="00254444" w:rsidRPr="00C54655">
        <w:rPr>
          <w:szCs w:val="22"/>
          <w:lang w:val="sk-SK"/>
        </w:rPr>
        <w:t xml:space="preserve"> </w:t>
      </w:r>
      <w:r w:rsidR="00976A62" w:rsidRPr="00C54655">
        <w:rPr>
          <w:szCs w:val="22"/>
          <w:lang w:val="sk-SK"/>
        </w:rPr>
        <w:t>do troch</w:t>
      </w:r>
      <w:r w:rsidR="00254444" w:rsidRPr="00C54655">
        <w:rPr>
          <w:szCs w:val="22"/>
          <w:lang w:val="sk-SK"/>
        </w:rPr>
        <w:t xml:space="preserve"> jednotliv</w:t>
      </w:r>
      <w:r w:rsidR="00976A62" w:rsidRPr="00C54655">
        <w:rPr>
          <w:szCs w:val="22"/>
          <w:lang w:val="sk-SK"/>
        </w:rPr>
        <w:t>ých</w:t>
      </w:r>
      <w:r w:rsidR="00254444" w:rsidRPr="00C54655">
        <w:rPr>
          <w:szCs w:val="22"/>
          <w:lang w:val="sk-SK"/>
        </w:rPr>
        <w:t xml:space="preserve"> dáv</w:t>
      </w:r>
      <w:r w:rsidR="00976A62" w:rsidRPr="00C54655">
        <w:rPr>
          <w:szCs w:val="22"/>
          <w:lang w:val="sk-SK"/>
        </w:rPr>
        <w:t>o</w:t>
      </w:r>
      <w:r w:rsidR="00254444" w:rsidRPr="00C54655">
        <w:rPr>
          <w:szCs w:val="22"/>
          <w:lang w:val="sk-SK"/>
        </w:rPr>
        <w:t>k.</w:t>
      </w:r>
    </w:p>
    <w:p w:rsidR="00254444" w:rsidRPr="00C54655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U pacientov s mukoviscidózou a telesnou hmotnosťou nad 30 kg sa priemerná denná dávka môže zvýšiť až na 800 mg.</w:t>
      </w:r>
    </w:p>
    <w:p w:rsidR="00254444" w:rsidRPr="00C54655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  <w:r w:rsidRPr="00C54655">
        <w:rPr>
          <w:szCs w:val="22"/>
          <w:u w:val="single"/>
          <w:lang w:val="sk-SK"/>
        </w:rPr>
        <w:t>Spôsob podávania</w:t>
      </w:r>
    </w:p>
    <w:p w:rsidR="00254444" w:rsidRPr="00C54655" w:rsidRDefault="00254444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Liek sa užíva po jedle. </w:t>
      </w:r>
    </w:p>
    <w:p w:rsidR="00254444" w:rsidRPr="00C54655" w:rsidRDefault="00254444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Šumivá tableta sa rozpustí v pohári, ktorý je do polovice naplnený vodou. Rozpustená tableta sa má užiť krátko po príprave. Vo výnimočných prípadoch môže pripravený roztok stáť až 2 hodiny, aj teplý, pretože obsahuje stabilizátor kyselinu askorbovú (vitamín C).</w:t>
      </w:r>
    </w:p>
    <w:p w:rsidR="001A29A1" w:rsidRPr="00C54655" w:rsidRDefault="001A29A1">
      <w:pPr>
        <w:spacing w:line="240" w:lineRule="auto"/>
        <w:rPr>
          <w:szCs w:val="22"/>
          <w:lang w:val="sk-SK"/>
        </w:rPr>
      </w:pPr>
    </w:p>
    <w:p w:rsidR="00A632B0" w:rsidRPr="00C54655" w:rsidRDefault="00254444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Počas užívania </w:t>
      </w:r>
      <w:r w:rsidR="00607068" w:rsidRPr="00C54655">
        <w:rPr>
          <w:szCs w:val="22"/>
          <w:lang w:val="sk-SK"/>
        </w:rPr>
        <w:t>Sanomuxu</w:t>
      </w:r>
      <w:r w:rsidR="00754550" w:rsidRPr="00C54655">
        <w:rPr>
          <w:szCs w:val="22"/>
          <w:lang w:val="sk-SK"/>
        </w:rPr>
        <w:t xml:space="preserve"> </w:t>
      </w:r>
      <w:r w:rsidR="00385F0A" w:rsidRPr="00C54655">
        <w:rPr>
          <w:szCs w:val="22"/>
          <w:lang w:val="sk-SK"/>
        </w:rPr>
        <w:t xml:space="preserve">600 mg </w:t>
      </w:r>
      <w:r w:rsidRPr="00C54655">
        <w:rPr>
          <w:szCs w:val="22"/>
          <w:lang w:val="sk-SK"/>
        </w:rPr>
        <w:t>sa odporúča zvýšený prí</w:t>
      </w:r>
      <w:r w:rsidR="00754550" w:rsidRPr="00C54655">
        <w:rPr>
          <w:szCs w:val="22"/>
          <w:lang w:val="sk-SK"/>
        </w:rPr>
        <w:t>jem</w:t>
      </w:r>
      <w:r w:rsidRPr="00C54655">
        <w:rPr>
          <w:szCs w:val="22"/>
          <w:lang w:val="sk-SK"/>
        </w:rPr>
        <w:t xml:space="preserve"> tekutín, keďže podporujú mukolytický účinok acetylcysteínu.</w:t>
      </w:r>
    </w:p>
    <w:p w:rsidR="001A29A1" w:rsidRPr="00C54655" w:rsidRDefault="001A29A1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Trvanie liečby závisí od individuálnych okolností.</w:t>
      </w:r>
    </w:p>
    <w:p w:rsidR="001A29A1" w:rsidRPr="00C54655" w:rsidRDefault="001A29A1">
      <w:pPr>
        <w:spacing w:line="240" w:lineRule="auto"/>
        <w:rPr>
          <w:szCs w:val="22"/>
          <w:lang w:val="sk-SK"/>
        </w:rPr>
      </w:pPr>
    </w:p>
    <w:p w:rsidR="001A29A1" w:rsidRPr="00C54655" w:rsidRDefault="001A29A1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Pri ch</w:t>
      </w:r>
      <w:r w:rsidR="005C6F34" w:rsidRPr="00C54655">
        <w:rPr>
          <w:szCs w:val="22"/>
          <w:lang w:val="sk-SK"/>
        </w:rPr>
        <w:t>ronickej bronchitíde a mukovisci</w:t>
      </w:r>
      <w:r w:rsidRPr="00C54655">
        <w:rPr>
          <w:szCs w:val="22"/>
          <w:lang w:val="sk-SK"/>
        </w:rPr>
        <w:t xml:space="preserve">dóze má byť liečba dlhodobá, aby sa umožnila profylaxia infekcií dýchacích ciest. 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szCs w:val="22"/>
          <w:lang w:val="sk-SK"/>
        </w:rPr>
      </w:pPr>
      <w:r w:rsidRPr="00C54655">
        <w:rPr>
          <w:b/>
          <w:szCs w:val="22"/>
          <w:lang w:val="sk-SK"/>
        </w:rPr>
        <w:t>4.3</w:t>
      </w:r>
      <w:r w:rsidRPr="00C54655">
        <w:rPr>
          <w:b/>
          <w:szCs w:val="22"/>
          <w:lang w:val="sk-SK"/>
        </w:rPr>
        <w:tab/>
        <w:t>Kontraindikácie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1A29A1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  <w:lang w:val="sk-SK"/>
        </w:rPr>
      </w:pPr>
      <w:r w:rsidRPr="00C54655">
        <w:rPr>
          <w:szCs w:val="22"/>
          <w:lang w:val="sk-SK"/>
        </w:rPr>
        <w:t>p</w:t>
      </w:r>
      <w:r w:rsidR="00A632B0" w:rsidRPr="00C54655">
        <w:rPr>
          <w:szCs w:val="22"/>
          <w:lang w:val="sk-SK"/>
        </w:rPr>
        <w:t xml:space="preserve">recitlivenosť na </w:t>
      </w:r>
      <w:r w:rsidR="009C0952" w:rsidRPr="00C54655">
        <w:rPr>
          <w:szCs w:val="22"/>
          <w:lang w:val="sk-SK"/>
        </w:rPr>
        <w:t xml:space="preserve">liečivo </w:t>
      </w:r>
      <w:r w:rsidR="00A632B0" w:rsidRPr="00C54655">
        <w:rPr>
          <w:szCs w:val="22"/>
          <w:lang w:val="sk-SK"/>
        </w:rPr>
        <w:t>alebo na ktorúkoľvek z pomocný</w:t>
      </w:r>
      <w:r w:rsidRPr="00C54655">
        <w:rPr>
          <w:szCs w:val="22"/>
          <w:lang w:val="sk-SK"/>
        </w:rPr>
        <w:t>ch látok uvedených v časti 6.1</w:t>
      </w:r>
    </w:p>
    <w:p w:rsidR="001A29A1" w:rsidRPr="00C54655" w:rsidRDefault="001A29A1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deti </w:t>
      </w:r>
      <w:r w:rsidR="005C6F34" w:rsidRPr="00C54655">
        <w:rPr>
          <w:szCs w:val="22"/>
          <w:lang w:val="sk-SK"/>
        </w:rPr>
        <w:t>do</w:t>
      </w:r>
      <w:r w:rsidRPr="00C54655">
        <w:rPr>
          <w:szCs w:val="22"/>
          <w:lang w:val="sk-SK"/>
        </w:rPr>
        <w:t xml:space="preserve"> </w:t>
      </w:r>
      <w:r w:rsidR="005C6F34" w:rsidRPr="00C54655">
        <w:rPr>
          <w:szCs w:val="22"/>
          <w:lang w:val="sk-SK"/>
        </w:rPr>
        <w:t>14</w:t>
      </w:r>
      <w:r w:rsidRPr="00C54655">
        <w:rPr>
          <w:szCs w:val="22"/>
          <w:lang w:val="sk-SK"/>
        </w:rPr>
        <w:t xml:space="preserve"> rokov pre vysoký obsah liečiva</w:t>
      </w:r>
    </w:p>
    <w:p w:rsidR="001A29A1" w:rsidRPr="00C54655" w:rsidRDefault="001A29A1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  <w:lang w:val="sk-SK"/>
        </w:rPr>
      </w:pPr>
      <w:r w:rsidRPr="00C54655">
        <w:rPr>
          <w:szCs w:val="22"/>
          <w:lang w:val="sk-SK"/>
        </w:rPr>
        <w:t>pacienti s aktívnym žalúdočným vredom</w:t>
      </w:r>
    </w:p>
    <w:p w:rsidR="001A29A1" w:rsidRPr="00C54655" w:rsidRDefault="001A29A1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b/>
          <w:szCs w:val="22"/>
          <w:lang w:val="sk-SK"/>
        </w:rPr>
      </w:pPr>
      <w:r w:rsidRPr="00C54655">
        <w:rPr>
          <w:b/>
          <w:szCs w:val="22"/>
          <w:lang w:val="sk-SK"/>
        </w:rPr>
        <w:t>4.4</w:t>
      </w:r>
      <w:r w:rsidRPr="00C54655">
        <w:rPr>
          <w:b/>
          <w:szCs w:val="22"/>
          <w:lang w:val="sk-SK"/>
        </w:rPr>
        <w:tab/>
        <w:t>Osobitné upozornenia a opatrenia pri používaní</w:t>
      </w:r>
    </w:p>
    <w:p w:rsidR="00A632B0" w:rsidRPr="00C54655" w:rsidRDefault="00A632B0">
      <w:pPr>
        <w:spacing w:line="240" w:lineRule="auto"/>
        <w:ind w:left="567" w:hanging="567"/>
        <w:rPr>
          <w:szCs w:val="22"/>
          <w:lang w:val="sk-SK"/>
        </w:rPr>
      </w:pPr>
    </w:p>
    <w:p w:rsidR="00A632B0" w:rsidRPr="00C54655" w:rsidRDefault="001A29A1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Veľmi zriedkavo </w:t>
      </w:r>
      <w:r w:rsidR="00C233FE" w:rsidRPr="00C54655">
        <w:rPr>
          <w:szCs w:val="22"/>
          <w:lang w:val="sk-SK"/>
        </w:rPr>
        <w:t>bol v spojit</w:t>
      </w:r>
      <w:r w:rsidR="005C6F34" w:rsidRPr="00C54655">
        <w:rPr>
          <w:szCs w:val="22"/>
          <w:lang w:val="sk-SK"/>
        </w:rPr>
        <w:t>osti s používaním acetylcysteínu</w:t>
      </w:r>
      <w:r w:rsidR="00C233FE" w:rsidRPr="00C54655">
        <w:rPr>
          <w:szCs w:val="22"/>
          <w:lang w:val="sk-SK"/>
        </w:rPr>
        <w:t xml:space="preserve"> hlásený výskyt ťažkých kožných reakcií ako je Stevensov-Johnsonov syndróm a Lyellov syndróm. Ak sa vyskytnú zmeny na koži a sliznici, je potrebné okamžite vyhľadať lekára a užívanie acetylcysteínu sa musí ukončiť.</w:t>
      </w:r>
    </w:p>
    <w:p w:rsidR="00C233FE" w:rsidRPr="00C54655" w:rsidRDefault="00C233FE">
      <w:pPr>
        <w:spacing w:line="240" w:lineRule="auto"/>
        <w:rPr>
          <w:szCs w:val="22"/>
          <w:lang w:val="sk-SK"/>
        </w:rPr>
      </w:pPr>
    </w:p>
    <w:p w:rsidR="00C233FE" w:rsidRPr="00C54655" w:rsidRDefault="005C6F34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Počas užívania acetylcysteínu sa môže vyskytnúť t</w:t>
      </w:r>
      <w:r w:rsidR="00C233FE" w:rsidRPr="00C54655">
        <w:rPr>
          <w:szCs w:val="22"/>
          <w:lang w:val="sk-SK"/>
        </w:rPr>
        <w:t xml:space="preserve">vorba kaverien u pacientov s bronchiálnou astmou a u pacientov </w:t>
      </w:r>
      <w:r w:rsidRPr="00C54655">
        <w:rPr>
          <w:szCs w:val="22"/>
          <w:lang w:val="sk-SK"/>
        </w:rPr>
        <w:t>s</w:t>
      </w:r>
      <w:r w:rsidR="00C233FE" w:rsidRPr="00C54655">
        <w:rPr>
          <w:szCs w:val="22"/>
          <w:lang w:val="sk-SK"/>
        </w:rPr>
        <w:t xml:space="preserve"> vredmi v anamnéze. </w:t>
      </w:r>
    </w:p>
    <w:p w:rsidR="00C233FE" w:rsidRPr="00C54655" w:rsidRDefault="00C233FE">
      <w:pPr>
        <w:spacing w:line="240" w:lineRule="auto"/>
        <w:rPr>
          <w:szCs w:val="22"/>
          <w:lang w:val="sk-SK"/>
        </w:rPr>
      </w:pPr>
    </w:p>
    <w:p w:rsidR="00C233FE" w:rsidRPr="00C54655" w:rsidRDefault="00C233FE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Opatrnosť je potrebná u pacientov užívajúcich acetylcysteín s peptickým a duodenálnym vredom v anamnéze.</w:t>
      </w:r>
    </w:p>
    <w:p w:rsidR="00C233FE" w:rsidRPr="00C54655" w:rsidRDefault="00C233FE">
      <w:pPr>
        <w:spacing w:line="240" w:lineRule="auto"/>
        <w:rPr>
          <w:szCs w:val="22"/>
          <w:lang w:val="sk-SK"/>
        </w:rPr>
      </w:pPr>
    </w:p>
    <w:p w:rsidR="00C233FE" w:rsidRPr="00C54655" w:rsidRDefault="00C233FE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Užívanie acetylcysteínu, najmä na začiatku liečby môže viesť ku skvapalňovaniu hlienov alebo k nárastu objemu bronchiálnych sekrétov. Ak pacient nie je schopný správne vykašliavať, majú sa zvoliť vhodné op</w:t>
      </w:r>
      <w:r w:rsidR="00374CDD" w:rsidRPr="00C54655">
        <w:rPr>
          <w:szCs w:val="22"/>
          <w:lang w:val="sk-SK"/>
        </w:rPr>
        <w:t>atrenia (napr. drenáž alebo aspi</w:t>
      </w:r>
      <w:r w:rsidRPr="00C54655">
        <w:rPr>
          <w:szCs w:val="22"/>
          <w:lang w:val="sk-SK"/>
        </w:rPr>
        <w:t>rácia).</w:t>
      </w:r>
    </w:p>
    <w:p w:rsidR="00C233FE" w:rsidRPr="00C54655" w:rsidRDefault="00C233FE">
      <w:pPr>
        <w:spacing w:line="240" w:lineRule="auto"/>
        <w:rPr>
          <w:szCs w:val="22"/>
          <w:lang w:val="sk-SK"/>
        </w:rPr>
      </w:pPr>
    </w:p>
    <w:p w:rsidR="00C233FE" w:rsidRPr="00C54655" w:rsidRDefault="00C233FE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Opatrnosť je potrebná u pacientov s histamí</w:t>
      </w:r>
      <w:r w:rsidR="00754550" w:rsidRPr="00C54655">
        <w:rPr>
          <w:szCs w:val="22"/>
          <w:lang w:val="sk-SK"/>
        </w:rPr>
        <w:t>n</w:t>
      </w:r>
      <w:r w:rsidRPr="00C54655">
        <w:rPr>
          <w:szCs w:val="22"/>
          <w:lang w:val="sk-SK"/>
        </w:rPr>
        <w:t xml:space="preserve">ovou intoleranciou. </w:t>
      </w:r>
      <w:r w:rsidR="00374CDD" w:rsidRPr="00C54655">
        <w:rPr>
          <w:szCs w:val="22"/>
          <w:lang w:val="sk-SK"/>
        </w:rPr>
        <w:t>U týchto pacientov je potrebné sa vyhnúť dlhodobej liečbe, pretože acetylcysteín ovplyvňuje metabolizmus histamínu a môže vyvolať symptómy z intolerancie (napr. bolesť hlavy, vazomotorická rinitída, svrbenie).</w:t>
      </w:r>
    </w:p>
    <w:p w:rsidR="00374CDD" w:rsidRPr="00C54655" w:rsidRDefault="00374CDD">
      <w:pPr>
        <w:spacing w:line="240" w:lineRule="auto"/>
        <w:rPr>
          <w:szCs w:val="22"/>
          <w:lang w:val="sk-SK"/>
        </w:rPr>
      </w:pPr>
    </w:p>
    <w:p w:rsidR="00374CDD" w:rsidRPr="00C54655" w:rsidRDefault="00607068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Sanomux</w:t>
      </w:r>
      <w:r w:rsidR="00385F0A" w:rsidRPr="00C54655">
        <w:rPr>
          <w:szCs w:val="22"/>
          <w:lang w:val="sk-SK"/>
        </w:rPr>
        <w:t xml:space="preserve"> 600 mg</w:t>
      </w:r>
      <w:r w:rsidR="00754550" w:rsidRPr="00C54655">
        <w:rPr>
          <w:szCs w:val="22"/>
          <w:lang w:val="sk-SK"/>
        </w:rPr>
        <w:t xml:space="preserve"> </w:t>
      </w:r>
      <w:r w:rsidR="00374CDD" w:rsidRPr="00C54655">
        <w:rPr>
          <w:szCs w:val="22"/>
          <w:lang w:val="sk-SK"/>
        </w:rPr>
        <w:t>obsahuje laktózu. Pacienti so zriedkavými dedičnými problémami galaktózovej intolerancie, lapónskeho deficitu laktázy alebo glukózo-galaktózovej malabsorpcie nesmú užívať tento liek.</w:t>
      </w:r>
    </w:p>
    <w:p w:rsidR="00374CDD" w:rsidRPr="00C54655" w:rsidRDefault="00374CDD">
      <w:pPr>
        <w:spacing w:line="240" w:lineRule="auto"/>
        <w:rPr>
          <w:szCs w:val="22"/>
          <w:lang w:val="sk-SK"/>
        </w:rPr>
      </w:pPr>
    </w:p>
    <w:p w:rsidR="00374CDD" w:rsidRPr="00C54655" w:rsidRDefault="00607068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Sanomux</w:t>
      </w:r>
      <w:r w:rsidR="00385F0A" w:rsidRPr="00C54655">
        <w:rPr>
          <w:szCs w:val="22"/>
          <w:lang w:val="sk-SK"/>
        </w:rPr>
        <w:t xml:space="preserve"> 600 mg</w:t>
      </w:r>
      <w:r w:rsidR="00754550" w:rsidRPr="00C54655">
        <w:rPr>
          <w:szCs w:val="22"/>
          <w:lang w:val="sk-SK"/>
        </w:rPr>
        <w:t xml:space="preserve"> </w:t>
      </w:r>
      <w:r w:rsidR="00374CDD" w:rsidRPr="00C54655">
        <w:rPr>
          <w:szCs w:val="22"/>
          <w:lang w:val="sk-SK"/>
        </w:rPr>
        <w:t>obsahuje sorbitol. Pacienti so zriedkavými dedičnými problémami intolerancie fruktózy nesmú užívať tento liek. Sorbitol môže ma</w:t>
      </w:r>
      <w:r w:rsidR="005C6F34" w:rsidRPr="00C54655">
        <w:rPr>
          <w:szCs w:val="22"/>
          <w:lang w:val="sk-SK"/>
        </w:rPr>
        <w:t>ť</w:t>
      </w:r>
      <w:r w:rsidR="00374CDD" w:rsidRPr="00C54655">
        <w:rPr>
          <w:szCs w:val="22"/>
          <w:lang w:val="sk-SK"/>
        </w:rPr>
        <w:t xml:space="preserve"> pri vyšších dávkach mierne laxatívne účinky. </w:t>
      </w:r>
    </w:p>
    <w:p w:rsidR="00374CDD" w:rsidRPr="00C54655" w:rsidRDefault="00374CDD">
      <w:pPr>
        <w:spacing w:line="240" w:lineRule="auto"/>
        <w:rPr>
          <w:szCs w:val="22"/>
          <w:lang w:val="sk-SK"/>
        </w:rPr>
      </w:pPr>
    </w:p>
    <w:p w:rsidR="00374CDD" w:rsidRPr="00C54655" w:rsidRDefault="00607068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Sanomux</w:t>
      </w:r>
      <w:r w:rsidR="00385F0A" w:rsidRPr="00C54655">
        <w:rPr>
          <w:szCs w:val="22"/>
          <w:lang w:val="sk-SK"/>
        </w:rPr>
        <w:t xml:space="preserve"> 600 mg</w:t>
      </w:r>
      <w:r w:rsidR="009C0952" w:rsidRPr="00C54655">
        <w:rPr>
          <w:szCs w:val="22"/>
          <w:lang w:val="sk-SK"/>
        </w:rPr>
        <w:t xml:space="preserve"> </w:t>
      </w:r>
      <w:r w:rsidR="00374CDD" w:rsidRPr="00C54655">
        <w:rPr>
          <w:szCs w:val="22"/>
          <w:lang w:val="sk-SK"/>
        </w:rPr>
        <w:t>obsahuje aspart</w:t>
      </w:r>
      <w:r w:rsidR="00754550" w:rsidRPr="00C54655">
        <w:rPr>
          <w:szCs w:val="22"/>
          <w:lang w:val="sk-SK"/>
        </w:rPr>
        <w:t>á</w:t>
      </w:r>
      <w:r w:rsidR="00374CDD" w:rsidRPr="00C54655">
        <w:rPr>
          <w:szCs w:val="22"/>
          <w:lang w:val="sk-SK"/>
        </w:rPr>
        <w:t>m. Pacienti trpiaci dedičným ochorením fenylketonúri</w:t>
      </w:r>
      <w:r w:rsidR="00754550" w:rsidRPr="00C54655">
        <w:rPr>
          <w:szCs w:val="22"/>
          <w:lang w:val="sk-SK"/>
        </w:rPr>
        <w:t>ou</w:t>
      </w:r>
      <w:r w:rsidR="00374CDD" w:rsidRPr="00C54655">
        <w:rPr>
          <w:szCs w:val="22"/>
          <w:lang w:val="sk-SK"/>
        </w:rPr>
        <w:t xml:space="preserve"> nesmú užívať tento liek.</w:t>
      </w:r>
    </w:p>
    <w:p w:rsidR="00A632B0" w:rsidRPr="00C54655" w:rsidRDefault="00A632B0">
      <w:pPr>
        <w:spacing w:line="240" w:lineRule="auto"/>
        <w:outlineLvl w:val="0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4.5</w:t>
      </w:r>
      <w:r w:rsidRPr="00C54655">
        <w:rPr>
          <w:b/>
          <w:szCs w:val="22"/>
          <w:lang w:val="sk-SK"/>
        </w:rPr>
        <w:tab/>
        <w:t>Liekové a iné interakcie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374CDD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 xml:space="preserve">Antibiotiká: </w:t>
      </w:r>
    </w:p>
    <w:p w:rsidR="00A632B0" w:rsidRPr="00C54655" w:rsidRDefault="00374CDD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Inaktivácia antibiotík bola popísaná len </w:t>
      </w:r>
      <w:r w:rsidRPr="00C54655">
        <w:rPr>
          <w:i/>
          <w:szCs w:val="22"/>
          <w:lang w:val="sk-SK"/>
        </w:rPr>
        <w:t>in vitro</w:t>
      </w:r>
      <w:r w:rsidRPr="00C54655">
        <w:rPr>
          <w:szCs w:val="22"/>
          <w:lang w:val="sk-SK"/>
        </w:rPr>
        <w:t xml:space="preserve"> pri bezprostrednom zmiešaní s acetylcysteínom. </w:t>
      </w:r>
      <w:r w:rsidR="001A42E7" w:rsidRPr="00C54655">
        <w:rPr>
          <w:szCs w:val="22"/>
          <w:lang w:val="sk-SK"/>
        </w:rPr>
        <w:t>Preto sa treba vyhnúť súbežnému podávaniu antibiotík a acetylcysteínu; acetylcysteín sa má užiť najmenej 2 hodiny po podaní niektorého z antibiotík.</w:t>
      </w:r>
    </w:p>
    <w:p w:rsidR="001A42E7" w:rsidRPr="00C54655" w:rsidRDefault="001A42E7">
      <w:pPr>
        <w:spacing w:line="240" w:lineRule="auto"/>
        <w:rPr>
          <w:szCs w:val="22"/>
          <w:lang w:val="sk-SK"/>
        </w:rPr>
      </w:pPr>
    </w:p>
    <w:p w:rsidR="001A42E7" w:rsidRPr="00C54655" w:rsidRDefault="001A42E7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Antitusiká:</w:t>
      </w:r>
    </w:p>
    <w:p w:rsidR="001A42E7" w:rsidRPr="00C54655" w:rsidRDefault="005C6F34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Antitusiká môžu z</w:t>
      </w:r>
      <w:r w:rsidR="001A42E7" w:rsidRPr="00C54655">
        <w:rPr>
          <w:szCs w:val="22"/>
          <w:lang w:val="sk-SK"/>
        </w:rPr>
        <w:t xml:space="preserve">nížením </w:t>
      </w:r>
      <w:r w:rsidR="00754550" w:rsidRPr="00C54655">
        <w:rPr>
          <w:szCs w:val="22"/>
          <w:lang w:val="sk-SK"/>
        </w:rPr>
        <w:t xml:space="preserve">kašľového </w:t>
      </w:r>
      <w:r w:rsidR="001A42E7" w:rsidRPr="00C54655">
        <w:rPr>
          <w:szCs w:val="22"/>
          <w:lang w:val="sk-SK"/>
        </w:rPr>
        <w:t>reflexu vyvolať nebezpečné nahromadenie hlienov v dýchacích cestách. Prípadná kombinácia si preto vyžaduje striktnú indikáciu a starostlivý dohľad.</w:t>
      </w:r>
    </w:p>
    <w:p w:rsidR="001A42E7" w:rsidRPr="00C54655" w:rsidRDefault="001A42E7">
      <w:pPr>
        <w:spacing w:line="240" w:lineRule="auto"/>
        <w:rPr>
          <w:szCs w:val="22"/>
          <w:lang w:val="sk-SK"/>
        </w:rPr>
      </w:pPr>
    </w:p>
    <w:p w:rsidR="001A42E7" w:rsidRPr="00C54655" w:rsidRDefault="001A42E7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lastRenderedPageBreak/>
        <w:t>Glyceroltrinitrát (nitroglycerín):</w:t>
      </w:r>
    </w:p>
    <w:p w:rsidR="001A42E7" w:rsidRPr="00C54655" w:rsidRDefault="007E1DA3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K dispozícii sú údaje o tom, že acetylcysteín môže zosilňovať vazodilatačný účinok glyceroltrinitrátu a prehĺbiť jeho antiagregačné pôsobenie na trombocyty. Klinický význam týchto nálezov zatiaľ nie je zrejmý.</w:t>
      </w:r>
    </w:p>
    <w:p w:rsidR="00374CDD" w:rsidRPr="00C54655" w:rsidRDefault="00374CDD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4.6</w:t>
      </w:r>
      <w:r w:rsidRPr="00C54655">
        <w:rPr>
          <w:b/>
          <w:szCs w:val="22"/>
          <w:lang w:val="sk-SK"/>
        </w:rPr>
        <w:tab/>
        <w:t>Fertilita, gravidita a laktácia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7E1DA3" w:rsidRPr="00C54655" w:rsidRDefault="007E1DA3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Štúdie na zvieratách (králiky, potkany) nepotvrdili teratogénny potenciál acetylcysteínu.</w:t>
      </w:r>
    </w:p>
    <w:p w:rsidR="007E1DA3" w:rsidRPr="00C54655" w:rsidRDefault="007E1DA3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Gravidita</w:t>
      </w:r>
    </w:p>
    <w:p w:rsidR="00944ADF" w:rsidRPr="00C54655" w:rsidRDefault="007E1DA3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Nie sú dostatočné skúsenosti s podávaním acetylcysteínu počas tehotenstva. </w:t>
      </w:r>
      <w:r w:rsidR="00944ADF" w:rsidRPr="00C54655">
        <w:rPr>
          <w:szCs w:val="22"/>
          <w:lang w:val="sk-SK"/>
        </w:rPr>
        <w:t>Štúdie na zvieratách nepreukázali priamy alebo nepriamy škodlivý účinok na tehotenstvo, vývoj plodu, pôrod alebo popôrodný vývoj (pozri časť 5.3). Acetylcysteín sa môže užívať počas tehotenstva po starostlivom zvážení rizík a prínosov.</w:t>
      </w:r>
    </w:p>
    <w:p w:rsidR="007E1DA3" w:rsidRPr="00C54655" w:rsidRDefault="007E1DA3">
      <w:pPr>
        <w:spacing w:line="240" w:lineRule="auto"/>
        <w:rPr>
          <w:szCs w:val="22"/>
          <w:lang w:val="sk-SK"/>
        </w:rPr>
      </w:pPr>
    </w:p>
    <w:p w:rsidR="00944ADF" w:rsidRPr="00C54655" w:rsidRDefault="00A632B0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Dojčenie</w:t>
      </w:r>
    </w:p>
    <w:p w:rsidR="00944ADF" w:rsidRPr="00C54655" w:rsidRDefault="00944ADF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Nie je známe, či sa acetylcysteín vylučuje do materského mlieka. Acetylcysteín sa môže užívať počas dojčenia po starostlivom zvážení rizík a prínosov.</w:t>
      </w:r>
    </w:p>
    <w:p w:rsidR="00944ADF" w:rsidRPr="00C54655" w:rsidRDefault="00944ADF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4.7</w:t>
      </w:r>
      <w:r w:rsidRPr="00C54655">
        <w:rPr>
          <w:b/>
          <w:szCs w:val="22"/>
          <w:lang w:val="sk-SK"/>
        </w:rPr>
        <w:tab/>
        <w:t>Ovplyvnenie schopnosti viesť vozidlá a obsluhovať stroje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607068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Sanomux</w:t>
      </w:r>
      <w:r w:rsidR="00385F0A" w:rsidRPr="00C54655">
        <w:rPr>
          <w:szCs w:val="22"/>
          <w:lang w:val="sk-SK"/>
        </w:rPr>
        <w:t xml:space="preserve"> 600 mg</w:t>
      </w:r>
      <w:r w:rsidR="005C6F34" w:rsidRPr="00C54655">
        <w:rPr>
          <w:szCs w:val="22"/>
          <w:lang w:val="sk-SK"/>
        </w:rPr>
        <w:t xml:space="preserve"> nemá žiadny vplyv na schopnosť viesť vozidlá a obsluhovať st</w:t>
      </w:r>
      <w:r w:rsidR="00D94DA0" w:rsidRPr="00C54655">
        <w:rPr>
          <w:szCs w:val="22"/>
          <w:lang w:val="sk-SK"/>
        </w:rPr>
        <w:t>r</w:t>
      </w:r>
      <w:r w:rsidR="005C6F34" w:rsidRPr="00C54655">
        <w:rPr>
          <w:szCs w:val="22"/>
          <w:lang w:val="sk-SK"/>
        </w:rPr>
        <w:t>oje</w:t>
      </w:r>
      <w:r w:rsidR="00944ADF" w:rsidRPr="00C54655">
        <w:rPr>
          <w:szCs w:val="22"/>
          <w:lang w:val="sk-SK"/>
        </w:rPr>
        <w:t>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outlineLvl w:val="0"/>
        <w:rPr>
          <w:b/>
          <w:szCs w:val="22"/>
          <w:lang w:val="sk-SK"/>
        </w:rPr>
      </w:pPr>
      <w:r w:rsidRPr="00C54655">
        <w:rPr>
          <w:b/>
          <w:szCs w:val="22"/>
          <w:lang w:val="sk-SK"/>
        </w:rPr>
        <w:t>4.8</w:t>
      </w:r>
      <w:r w:rsidRPr="00C54655">
        <w:rPr>
          <w:b/>
          <w:szCs w:val="22"/>
          <w:lang w:val="sk-SK"/>
        </w:rPr>
        <w:tab/>
        <w:t>Nežiaduce účinky</w:t>
      </w:r>
    </w:p>
    <w:p w:rsidR="00A632B0" w:rsidRPr="00C54655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C54655" w:rsidRDefault="0060706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Sanomux</w:t>
      </w:r>
      <w:r w:rsidR="00385F0A" w:rsidRPr="00C54655">
        <w:rPr>
          <w:szCs w:val="22"/>
          <w:lang w:val="sk-SK"/>
        </w:rPr>
        <w:t xml:space="preserve"> 600 mg</w:t>
      </w:r>
      <w:r w:rsidR="00944ADF" w:rsidRPr="00C54655">
        <w:rPr>
          <w:szCs w:val="22"/>
          <w:lang w:val="sk-SK"/>
        </w:rPr>
        <w:t xml:space="preserve"> je dobre </w:t>
      </w:r>
      <w:r w:rsidR="005C6F34" w:rsidRPr="00C54655">
        <w:rPr>
          <w:szCs w:val="22"/>
          <w:lang w:val="sk-SK"/>
        </w:rPr>
        <w:t>znášaný</w:t>
      </w:r>
      <w:r w:rsidR="00944ADF" w:rsidRPr="00C54655">
        <w:rPr>
          <w:szCs w:val="22"/>
          <w:lang w:val="sk-SK"/>
        </w:rPr>
        <w:t xml:space="preserve"> a občas sa môžu vyskytnúť nežiaduce účinky.</w:t>
      </w:r>
    </w:p>
    <w:p w:rsidR="00944ADF" w:rsidRPr="00C54655" w:rsidRDefault="00944AD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Nasledujúce nežiaduce účinky sú rozdelené podľa orgánových tried a na základe frekvencie výskytu sa delia na: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veľmi časté </w:t>
      </w:r>
      <w:r w:rsidRPr="00C54655">
        <w:rPr>
          <w:szCs w:val="22"/>
          <w:lang w:val="sk-SK"/>
        </w:rPr>
        <w:sym w:font="Symbol" w:char="F0B3"/>
      </w:r>
      <w:r w:rsidRPr="00C54655">
        <w:rPr>
          <w:szCs w:val="22"/>
          <w:lang w:val="sk-SK"/>
        </w:rPr>
        <w:t xml:space="preserve">1/10; časté </w:t>
      </w:r>
      <w:r w:rsidRPr="00C54655">
        <w:rPr>
          <w:szCs w:val="22"/>
          <w:lang w:val="sk-SK"/>
        </w:rPr>
        <w:sym w:font="Symbol" w:char="F0B3"/>
      </w:r>
      <w:r w:rsidRPr="00C54655">
        <w:rPr>
          <w:szCs w:val="22"/>
          <w:lang w:val="sk-SK"/>
        </w:rPr>
        <w:t xml:space="preserve">1/100 až &lt;1/10; menej časté </w:t>
      </w:r>
      <w:r w:rsidRPr="00C54655">
        <w:rPr>
          <w:szCs w:val="22"/>
          <w:lang w:val="sk-SK"/>
        </w:rPr>
        <w:sym w:font="Symbol" w:char="F0B3"/>
      </w:r>
      <w:r w:rsidRPr="00C54655">
        <w:rPr>
          <w:szCs w:val="22"/>
          <w:lang w:val="sk-SK"/>
        </w:rPr>
        <w:t>1/1</w:t>
      </w:r>
      <w:r w:rsidR="00754550" w:rsidRPr="00C54655">
        <w:rPr>
          <w:szCs w:val="22"/>
          <w:lang w:val="sk-SK"/>
        </w:rPr>
        <w:t xml:space="preserve"> </w:t>
      </w:r>
      <w:r w:rsidRPr="00C54655">
        <w:rPr>
          <w:szCs w:val="22"/>
          <w:lang w:val="sk-SK"/>
        </w:rPr>
        <w:t xml:space="preserve">000 až &lt;1/100; zriedkavé </w:t>
      </w:r>
      <w:r w:rsidRPr="00C54655">
        <w:rPr>
          <w:szCs w:val="22"/>
          <w:lang w:val="sk-SK"/>
        </w:rPr>
        <w:sym w:font="Symbol" w:char="F0B3"/>
      </w:r>
      <w:r w:rsidRPr="00C54655">
        <w:rPr>
          <w:szCs w:val="22"/>
          <w:lang w:val="sk-SK"/>
        </w:rPr>
        <w:t>1/10</w:t>
      </w:r>
      <w:r w:rsidR="00754550" w:rsidRPr="00C54655">
        <w:rPr>
          <w:szCs w:val="22"/>
          <w:lang w:val="sk-SK"/>
        </w:rPr>
        <w:t xml:space="preserve"> </w:t>
      </w:r>
      <w:r w:rsidRPr="00C54655">
        <w:rPr>
          <w:szCs w:val="22"/>
          <w:lang w:val="sk-SK"/>
        </w:rPr>
        <w:t>000 až &lt;1/1</w:t>
      </w:r>
      <w:r w:rsidR="00754550" w:rsidRPr="00C54655">
        <w:rPr>
          <w:szCs w:val="22"/>
          <w:lang w:val="sk-SK"/>
        </w:rPr>
        <w:t xml:space="preserve"> </w:t>
      </w:r>
      <w:r w:rsidRPr="00831B1F">
        <w:rPr>
          <w:szCs w:val="22"/>
          <w:lang w:val="sk-SK"/>
        </w:rPr>
        <w:t>000; menej zriedkavé &lt;1/10</w:t>
      </w:r>
      <w:r w:rsidR="00754550" w:rsidRPr="00831B1F">
        <w:rPr>
          <w:szCs w:val="22"/>
          <w:lang w:val="sk-SK"/>
        </w:rPr>
        <w:t xml:space="preserve"> </w:t>
      </w:r>
      <w:r w:rsidRPr="00831B1F">
        <w:rPr>
          <w:szCs w:val="22"/>
          <w:lang w:val="sk-SK"/>
        </w:rPr>
        <w:t>000; neznáme (nemožno stanoviť z dostupných údajov)</w:t>
      </w:r>
      <w:r w:rsidR="00D94DA0" w:rsidRPr="00C54655">
        <w:rPr>
          <w:szCs w:val="22"/>
          <w:lang w:val="sk-SK"/>
        </w:rPr>
        <w:t>.</w:t>
      </w:r>
    </w:p>
    <w:p w:rsidR="00944ADF" w:rsidRPr="00C54655" w:rsidRDefault="00944AD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Poruchy imunitného systému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menej časté</w:t>
      </w:r>
      <w:r w:rsidRPr="00C54655">
        <w:rPr>
          <w:szCs w:val="22"/>
          <w:lang w:val="sk-SK"/>
        </w:rPr>
        <w:t>: reakcie z precitlivenosti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veľmi zriedkavé</w:t>
      </w:r>
      <w:r w:rsidRPr="00C54655">
        <w:rPr>
          <w:szCs w:val="22"/>
          <w:lang w:val="sk-SK"/>
        </w:rPr>
        <w:t>: anafylaktická reakcia až šok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Poruchy nervového systému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menej časté</w:t>
      </w:r>
      <w:r w:rsidRPr="00C54655">
        <w:rPr>
          <w:szCs w:val="22"/>
          <w:lang w:val="sk-SK"/>
        </w:rPr>
        <w:t>: bolesť hlavy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Poruchy ucha a labyrintu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menej časté</w:t>
      </w:r>
      <w:r w:rsidRPr="00C54655">
        <w:rPr>
          <w:szCs w:val="22"/>
          <w:lang w:val="sk-SK"/>
        </w:rPr>
        <w:t>: tin</w:t>
      </w:r>
      <w:r w:rsidR="00754550" w:rsidRPr="00C54655">
        <w:rPr>
          <w:szCs w:val="22"/>
          <w:lang w:val="sk-SK"/>
        </w:rPr>
        <w:t>ni</w:t>
      </w:r>
      <w:r w:rsidRPr="00C54655">
        <w:rPr>
          <w:szCs w:val="22"/>
          <w:lang w:val="sk-SK"/>
        </w:rPr>
        <w:t>tus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Poruchy srdca a srdcovej činnosti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menej časté</w:t>
      </w:r>
      <w:r w:rsidRPr="00C54655">
        <w:rPr>
          <w:szCs w:val="22"/>
          <w:lang w:val="sk-SK"/>
        </w:rPr>
        <w:t>: tachykardia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Poruchy ciev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menej časté</w:t>
      </w:r>
      <w:r w:rsidRPr="00C54655">
        <w:rPr>
          <w:szCs w:val="22"/>
          <w:lang w:val="sk-SK"/>
        </w:rPr>
        <w:t>: hypotenzia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veľmi zriedkavé</w:t>
      </w:r>
      <w:r w:rsidRPr="00C54655">
        <w:rPr>
          <w:szCs w:val="22"/>
          <w:lang w:val="sk-SK"/>
        </w:rPr>
        <w:t>: krvácanie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Poruchy dýchacej sústavy, hrudníka a mediastína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zriedkavé</w:t>
      </w:r>
      <w:r w:rsidRPr="00C54655">
        <w:rPr>
          <w:szCs w:val="22"/>
          <w:lang w:val="sk-SK"/>
        </w:rPr>
        <w:t>: dyspnoe, bronchospazmus – najmä u pacientov s hyperaktívnym bronchiálnym systémom v prípade bronchiálnej astmy</w:t>
      </w:r>
    </w:p>
    <w:p w:rsidR="00C03147" w:rsidRPr="00C54655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Poruchy gastrointestinálneho traktu</w:t>
      </w: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menej časté</w:t>
      </w:r>
      <w:r w:rsidRPr="00C54655">
        <w:rPr>
          <w:szCs w:val="22"/>
          <w:lang w:val="sk-SK"/>
        </w:rPr>
        <w:t>: stomatitída, abdominálna bolesť, hnačka, vracanie, pálenie záhy a nevoľnosť</w:t>
      </w: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Poruchy kože a podkožného tkaniva</w:t>
      </w: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menej časté</w:t>
      </w:r>
      <w:r w:rsidRPr="00C54655">
        <w:rPr>
          <w:szCs w:val="22"/>
          <w:lang w:val="sk-SK"/>
        </w:rPr>
        <w:t>: žihľavka, vyrážka, angioedém, svrbenie, exantém</w:t>
      </w: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Celkové poruchy a reakcie v mieste podania</w:t>
      </w: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i/>
          <w:szCs w:val="22"/>
          <w:lang w:val="sk-SK"/>
        </w:rPr>
        <w:t>menej časté</w:t>
      </w:r>
      <w:r w:rsidRPr="00C54655">
        <w:rPr>
          <w:szCs w:val="22"/>
          <w:lang w:val="sk-SK"/>
        </w:rPr>
        <w:t>: horúčka</w:t>
      </w: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F6A94" w:rsidRPr="00C54655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V rôznych štúdiách bol v prítomnosti acetylcysteínu potvrdený pokles agregácie krvných doštičiek. Klinický význam nebol do</w:t>
      </w:r>
      <w:r w:rsidR="00754550" w:rsidRPr="00C54655">
        <w:rPr>
          <w:szCs w:val="22"/>
          <w:lang w:val="sk-SK"/>
        </w:rPr>
        <w:t>siaľ</w:t>
      </w:r>
      <w:r w:rsidRPr="00C54655">
        <w:rPr>
          <w:szCs w:val="22"/>
          <w:lang w:val="sk-SK"/>
        </w:rPr>
        <w:t xml:space="preserve"> objasnený.</w:t>
      </w:r>
    </w:p>
    <w:p w:rsidR="00A632B0" w:rsidRPr="00C54655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C54655" w:rsidRDefault="00A632B0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Hlásenie podozrení na nežiaduce reakcie</w:t>
      </w:r>
    </w:p>
    <w:p w:rsidR="00A632B0" w:rsidRPr="00C54655" w:rsidRDefault="00A632B0" w:rsidP="00C54655">
      <w:pPr>
        <w:autoSpaceDE w:val="0"/>
        <w:autoSpaceDN w:val="0"/>
        <w:adjustRightInd w:val="0"/>
        <w:spacing w:line="240" w:lineRule="auto"/>
        <w:rPr>
          <w:color w:val="008000"/>
          <w:szCs w:val="22"/>
          <w:lang w:val="sk-SK"/>
        </w:rPr>
      </w:pPr>
      <w:r w:rsidRPr="00C54655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9233A1" w:rsidRPr="00C54655">
        <w:rPr>
          <w:szCs w:val="22"/>
          <w:lang w:val="sk-SK"/>
        </w:rPr>
        <w:t xml:space="preserve">na </w:t>
      </w:r>
      <w:r w:rsidRPr="00C54655">
        <w:rPr>
          <w:szCs w:val="22"/>
          <w:highlight w:val="lightGray"/>
          <w:lang w:val="sk-SK"/>
        </w:rPr>
        <w:t xml:space="preserve">národné </w:t>
      </w:r>
      <w:r w:rsidR="009233A1" w:rsidRPr="00C54655">
        <w:rPr>
          <w:szCs w:val="22"/>
          <w:highlight w:val="lightGray"/>
          <w:lang w:val="sk-SK"/>
        </w:rPr>
        <w:t xml:space="preserve">centrum </w:t>
      </w:r>
      <w:r w:rsidRPr="00C54655">
        <w:rPr>
          <w:szCs w:val="22"/>
          <w:highlight w:val="lightGray"/>
          <w:lang w:val="sk-SK"/>
        </w:rPr>
        <w:t>hlásenia uvedené v </w:t>
      </w:r>
      <w:hyperlink r:id="rId7" w:history="1">
        <w:r w:rsidRPr="00C54655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6F6A94" w:rsidRPr="00C54655">
        <w:rPr>
          <w:szCs w:val="22"/>
        </w:rPr>
        <w:t>.</w:t>
      </w:r>
    </w:p>
    <w:p w:rsidR="00A632B0" w:rsidRPr="00C54655" w:rsidRDefault="00A632B0" w:rsidP="00831B1F">
      <w:pPr>
        <w:spacing w:line="240" w:lineRule="auto"/>
        <w:rPr>
          <w:szCs w:val="22"/>
          <w:lang w:val="sk-SK"/>
        </w:rPr>
      </w:pPr>
    </w:p>
    <w:p w:rsidR="00A632B0" w:rsidRPr="00C54655" w:rsidRDefault="00A632B0" w:rsidP="00831B1F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4.9</w:t>
      </w:r>
      <w:r w:rsidRPr="00C54655">
        <w:rPr>
          <w:b/>
          <w:szCs w:val="22"/>
          <w:lang w:val="sk-SK"/>
        </w:rPr>
        <w:tab/>
        <w:t>Predávkovanie</w:t>
      </w:r>
    </w:p>
    <w:p w:rsidR="00A632B0" w:rsidRPr="00831B1F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977A58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Neboli pozorované žiadne prípady toxického predávk</w:t>
      </w:r>
      <w:r w:rsidR="005C6F34" w:rsidRPr="00C54655">
        <w:rPr>
          <w:szCs w:val="22"/>
          <w:lang w:val="sk-SK"/>
        </w:rPr>
        <w:t>ovania sa perorálnymi formami ac</w:t>
      </w:r>
      <w:r w:rsidRPr="00C54655">
        <w:rPr>
          <w:szCs w:val="22"/>
          <w:lang w:val="sk-SK"/>
        </w:rPr>
        <w:t>etylcysteínu. U dobrovoľníkov, ktorí boli liečení dávkou 11,6 g acetylcy</w:t>
      </w:r>
      <w:r w:rsidR="005C6F34" w:rsidRPr="00C54655">
        <w:rPr>
          <w:szCs w:val="22"/>
          <w:lang w:val="sk-SK"/>
        </w:rPr>
        <w:t>s</w:t>
      </w:r>
      <w:r w:rsidRPr="00C54655">
        <w:rPr>
          <w:szCs w:val="22"/>
          <w:lang w:val="sk-SK"/>
        </w:rPr>
        <w:t>teínu denne počas troch mesiacov</w:t>
      </w:r>
      <w:r w:rsidR="00D94DA0" w:rsidRPr="00C54655">
        <w:rPr>
          <w:szCs w:val="22"/>
          <w:lang w:val="sk-SK"/>
        </w:rPr>
        <w:t>,</w:t>
      </w:r>
      <w:r w:rsidRPr="00C54655">
        <w:rPr>
          <w:szCs w:val="22"/>
          <w:lang w:val="sk-SK"/>
        </w:rPr>
        <w:t xml:space="preserve"> sa nepozorovali žiadne závažné vedľajšie účinky. Perorálne dávky až do 500 mg acetylcysteínu/kg telesnej hmotnosti boli tolerované bez </w:t>
      </w:r>
      <w:r w:rsidR="00754550" w:rsidRPr="00C54655">
        <w:rPr>
          <w:szCs w:val="22"/>
          <w:lang w:val="sk-SK"/>
        </w:rPr>
        <w:t xml:space="preserve">prejavov </w:t>
      </w:r>
      <w:r w:rsidRPr="00C54655">
        <w:rPr>
          <w:szCs w:val="22"/>
          <w:lang w:val="sk-SK"/>
        </w:rPr>
        <w:t>intoxikácie.</w:t>
      </w:r>
    </w:p>
    <w:p w:rsidR="00977A58" w:rsidRPr="00C54655" w:rsidRDefault="00977A58">
      <w:pPr>
        <w:spacing w:line="240" w:lineRule="auto"/>
        <w:rPr>
          <w:szCs w:val="22"/>
          <w:lang w:val="sk-SK"/>
        </w:rPr>
      </w:pPr>
    </w:p>
    <w:p w:rsidR="00977A58" w:rsidRPr="00C54655" w:rsidRDefault="00977A58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Symptómy intoxikácie</w:t>
      </w:r>
    </w:p>
    <w:p w:rsidR="00977A58" w:rsidRPr="00C54655" w:rsidRDefault="00977A58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Predávkovanie môže viesť ku gastrointestinálnym symptómom ako je nauzea, vracanie a hnačka. </w:t>
      </w:r>
      <w:r w:rsidR="00285D66" w:rsidRPr="00C54655">
        <w:rPr>
          <w:szCs w:val="22"/>
          <w:lang w:val="sk-SK"/>
        </w:rPr>
        <w:t xml:space="preserve">U dojčiat je riziko hypersekrécie. </w:t>
      </w:r>
    </w:p>
    <w:p w:rsidR="00285D66" w:rsidRPr="00C54655" w:rsidRDefault="00285D66">
      <w:pPr>
        <w:spacing w:line="240" w:lineRule="auto"/>
        <w:rPr>
          <w:szCs w:val="22"/>
          <w:lang w:val="sk-SK"/>
        </w:rPr>
      </w:pPr>
    </w:p>
    <w:p w:rsidR="00285D66" w:rsidRPr="00C54655" w:rsidRDefault="00285D66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Liečba</w:t>
      </w:r>
    </w:p>
    <w:p w:rsidR="00285D66" w:rsidRPr="00C54655" w:rsidRDefault="005C6F34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V prípade potreby, závisí</w:t>
      </w:r>
      <w:r w:rsidR="00285D66" w:rsidRPr="00C54655">
        <w:rPr>
          <w:szCs w:val="22"/>
          <w:lang w:val="sk-SK"/>
        </w:rPr>
        <w:t xml:space="preserve"> od symptómov.</w:t>
      </w:r>
    </w:p>
    <w:p w:rsidR="00285D66" w:rsidRPr="00C54655" w:rsidRDefault="00285D66">
      <w:pPr>
        <w:spacing w:line="240" w:lineRule="auto"/>
        <w:rPr>
          <w:szCs w:val="22"/>
          <w:lang w:val="sk-SK"/>
        </w:rPr>
      </w:pPr>
    </w:p>
    <w:p w:rsidR="00285D66" w:rsidRPr="00C54655" w:rsidRDefault="00285D66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U ľudí sú dostupné skúsenosti s intravenóznym podávaním acetylcysteínu pri liečení intoxikácie paracetamolom, a to až po denné dávky 30 g acetylcysteínu. Intravenózne podanie extrémne vysokých koncentrácií acetylcysteínu vyvolalo čiastočne ireverzibilnú „anafylaktoidnú“ reakciu, najmä v súvislosti s rýchlou aplikáciou. Po masívnom intravenóznom predávkovaní bol hlásený jeden prípad fatálnych epileptických záchvatov a edém mozgu. </w:t>
      </w:r>
    </w:p>
    <w:p w:rsidR="00285D66" w:rsidRPr="00C54655" w:rsidRDefault="00285D66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szCs w:val="22"/>
          <w:lang w:val="sk-SK"/>
        </w:rPr>
      </w:pPr>
      <w:r w:rsidRPr="00C54655">
        <w:rPr>
          <w:b/>
          <w:szCs w:val="22"/>
          <w:lang w:val="sk-SK"/>
        </w:rPr>
        <w:t>5.</w:t>
      </w:r>
      <w:r w:rsidRPr="00C54655">
        <w:rPr>
          <w:b/>
          <w:szCs w:val="22"/>
          <w:lang w:val="sk-SK"/>
        </w:rPr>
        <w:tab/>
        <w:t>FARMAKOLOGICKÉ VLASTNOSTI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5.1</w:t>
      </w:r>
      <w:r w:rsidRPr="00C54655">
        <w:rPr>
          <w:b/>
          <w:szCs w:val="22"/>
          <w:lang w:val="sk-SK"/>
        </w:rPr>
        <w:tab/>
        <w:t>Farmakodynamické vlastnosti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outlineLvl w:val="0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Farmakoterapeutická skupina: </w:t>
      </w:r>
      <w:r w:rsidR="00754550" w:rsidRPr="00C54655">
        <w:rPr>
          <w:szCs w:val="22"/>
          <w:lang w:val="sk-SK"/>
        </w:rPr>
        <w:t xml:space="preserve">Antitusiká a lieky proti nachladnutiu, </w:t>
      </w:r>
      <w:r w:rsidR="00285D66" w:rsidRPr="00C54655">
        <w:rPr>
          <w:szCs w:val="22"/>
          <w:lang w:val="sk-SK"/>
        </w:rPr>
        <w:t xml:space="preserve">mukolytikum, </w:t>
      </w:r>
      <w:r w:rsidRPr="00C54655">
        <w:rPr>
          <w:szCs w:val="22"/>
          <w:lang w:val="sk-SK"/>
        </w:rPr>
        <w:t xml:space="preserve">ATC kód: </w:t>
      </w:r>
      <w:r w:rsidR="00285D66" w:rsidRPr="00C54655">
        <w:rPr>
          <w:szCs w:val="22"/>
          <w:lang w:val="sk-SK"/>
        </w:rPr>
        <w:t>R05CB01</w:t>
      </w:r>
    </w:p>
    <w:p w:rsidR="00285D66" w:rsidRPr="00C54655" w:rsidRDefault="00285D66">
      <w:pPr>
        <w:spacing w:line="240" w:lineRule="auto"/>
        <w:outlineLvl w:val="0"/>
        <w:rPr>
          <w:szCs w:val="22"/>
          <w:lang w:val="sk-SK"/>
        </w:rPr>
      </w:pPr>
    </w:p>
    <w:p w:rsidR="00285D66" w:rsidRPr="00C54655" w:rsidRDefault="00285D66">
      <w:pPr>
        <w:spacing w:line="240" w:lineRule="auto"/>
        <w:outlineLvl w:val="0"/>
        <w:rPr>
          <w:szCs w:val="22"/>
          <w:lang w:val="sk-SK"/>
        </w:rPr>
      </w:pPr>
      <w:r w:rsidRPr="00C54655">
        <w:rPr>
          <w:szCs w:val="22"/>
          <w:lang w:val="sk-SK"/>
        </w:rPr>
        <w:t>Acetylcysteín je derivátom aminokyseliny cysteín</w:t>
      </w:r>
      <w:r w:rsidR="00754550" w:rsidRPr="00C54655">
        <w:rPr>
          <w:szCs w:val="22"/>
          <w:lang w:val="sk-SK"/>
        </w:rPr>
        <w:t>u</w:t>
      </w:r>
      <w:r w:rsidRPr="00C54655">
        <w:rPr>
          <w:szCs w:val="22"/>
          <w:lang w:val="sk-SK"/>
        </w:rPr>
        <w:t xml:space="preserve">. Acetylcysteín pôsobí v respiračnom trakte sekretolyticky a sekretomotoricky. Predpokladá sa, že liečivo štiepi disulfidové mostíky medzi reťazcami mukopolysacharidov (v hliene) a má depolymerizačný efekt na reťazce DNA (v hnisavom hliene). Tomuto mechanizmu sa prisudzuje zníženie viskozity hlienu, čo uľahčuje vykašliavanie hlienu. </w:t>
      </w:r>
      <w:r w:rsidR="00396673" w:rsidRPr="00C54655">
        <w:rPr>
          <w:szCs w:val="22"/>
          <w:lang w:val="sk-SK"/>
        </w:rPr>
        <w:t>Ďalší mechanizmus účinku acetylcysteínu predstavuje detoxikačné účinky jeho reaktívnej sulfhydrylovej skupiny. Acetylcysteín zvyšuje syntézu glutatiónu, ktorý má tiež význa</w:t>
      </w:r>
      <w:r w:rsidR="00754550" w:rsidRPr="00C54655">
        <w:rPr>
          <w:szCs w:val="22"/>
          <w:lang w:val="sk-SK"/>
        </w:rPr>
        <w:t>m</w:t>
      </w:r>
      <w:r w:rsidR="00396673" w:rsidRPr="00C54655">
        <w:rPr>
          <w:szCs w:val="22"/>
          <w:lang w:val="sk-SK"/>
        </w:rPr>
        <w:t>né detoxikačné účinky. (Acetylcysteín sa preto vo vysokých dávkach podáva tiež ako antidotum pri intoxikácii paracetamolom).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C54655">
        <w:rPr>
          <w:b/>
          <w:szCs w:val="22"/>
          <w:lang w:val="sk-SK"/>
        </w:rPr>
        <w:t>5.2</w:t>
      </w:r>
      <w:r w:rsidRPr="00C54655">
        <w:rPr>
          <w:b/>
          <w:szCs w:val="22"/>
          <w:lang w:val="sk-SK"/>
        </w:rPr>
        <w:tab/>
        <w:t>Farmakokinetické vlastnosti</w:t>
      </w: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</w:p>
    <w:p w:rsidR="00A632B0" w:rsidRPr="00C54655" w:rsidRDefault="00A632B0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Absorpcia</w:t>
      </w:r>
      <w:r w:rsidR="00396673" w:rsidRPr="00C54655">
        <w:rPr>
          <w:szCs w:val="22"/>
          <w:u w:val="single"/>
          <w:lang w:val="sk-SK"/>
        </w:rPr>
        <w:t xml:space="preserve"> </w:t>
      </w:r>
    </w:p>
    <w:p w:rsidR="00396673" w:rsidRPr="00C54655" w:rsidRDefault="00396673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C54655">
        <w:rPr>
          <w:szCs w:val="22"/>
          <w:lang w:val="sk-SK"/>
        </w:rPr>
        <w:lastRenderedPageBreak/>
        <w:t>Po perorálnom podaní sa acetylcysteín vstrebáva rýchlo a takmer úplne. V pečeni sa metabolizuje na farmakologicky aktívny metabolit cysteín a na dia</w:t>
      </w:r>
      <w:r w:rsidR="00754550" w:rsidRPr="00C54655">
        <w:rPr>
          <w:szCs w:val="22"/>
          <w:lang w:val="sk-SK"/>
        </w:rPr>
        <w:t>cetyl</w:t>
      </w:r>
      <w:r w:rsidRPr="00C54655">
        <w:rPr>
          <w:szCs w:val="22"/>
          <w:lang w:val="sk-SK"/>
        </w:rPr>
        <w:t>cysteín, cystín a ďalšie zmiešané disulfidy. Vysoký first-pass efekt spôsobuje, že biologická dostupnosť perorálne podaného acetylcysteínu je veľmi nízka (asi 10%).</w:t>
      </w:r>
    </w:p>
    <w:p w:rsidR="00396673" w:rsidRPr="00C54655" w:rsidRDefault="0039667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sk-SK"/>
        </w:rPr>
      </w:pPr>
    </w:p>
    <w:p w:rsidR="00A632B0" w:rsidRPr="00C54655" w:rsidRDefault="00396673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Distribúcia</w:t>
      </w:r>
    </w:p>
    <w:p w:rsidR="00396673" w:rsidRPr="00C54655" w:rsidRDefault="00396673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C54655">
        <w:rPr>
          <w:szCs w:val="22"/>
          <w:lang w:val="sk-SK"/>
        </w:rPr>
        <w:t>U ľudí sa maximálna plazmatická koncentrácia po perorálnom podaní dosiahne po 1</w:t>
      </w:r>
      <w:r w:rsidR="00BA6965" w:rsidRPr="00C54655">
        <w:rPr>
          <w:szCs w:val="22"/>
          <w:lang w:val="sk-SK"/>
        </w:rPr>
        <w:t xml:space="preserve"> – </w:t>
      </w:r>
      <w:r w:rsidRPr="00C54655">
        <w:rPr>
          <w:szCs w:val="22"/>
          <w:lang w:val="sk-SK"/>
        </w:rPr>
        <w:t>3 hodinách, pričom maximálna plazmatická koncentráciu cysteínu je 2 µmol/l. Väzba na plazmatické bielkoviny je približne 50%. Acetylcysteín a jeho metabolity sa v organizme môžu vyskytovať ako čiastočne voľná substancia, čiastočne viazané na plazmatické bielkoviny labilnými disulfidickými väzbami a čiastočne ako inkorporovaná aminokyselina.</w:t>
      </w:r>
    </w:p>
    <w:p w:rsidR="00396673" w:rsidRPr="00C54655" w:rsidRDefault="0039667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sk-SK"/>
        </w:rPr>
      </w:pPr>
      <w:r w:rsidRPr="00C54655">
        <w:rPr>
          <w:szCs w:val="22"/>
          <w:lang w:val="sk-SK"/>
        </w:rPr>
        <w:t xml:space="preserve"> </w:t>
      </w:r>
    </w:p>
    <w:p w:rsidR="00A632B0" w:rsidRPr="00C54655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Eliminácia</w:t>
      </w:r>
    </w:p>
    <w:p w:rsidR="006C34B8" w:rsidRPr="00C54655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C54655">
        <w:rPr>
          <w:szCs w:val="22"/>
          <w:lang w:val="sk-SK"/>
        </w:rPr>
        <w:t>Acetylcysteín sa vylučuje takmer výhradne vo forme inaktívnych metabolitov (anorganické sírany, diacetylcysteín) obličkami. Iba malá časť sa vylučuje nezmenená stolicou.</w:t>
      </w:r>
    </w:p>
    <w:p w:rsidR="006C34B8" w:rsidRPr="00C54655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6C34B8" w:rsidRPr="00C54655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Plazmatický polčas acetylcysteínu je priemerne 1 hodina a je podmienený najmä rýchlou biotransformáciou v pečeni. Zhoršenie funkcie pečene vedie k predĺženiu plazmatického polčasu až na 8 hodín. </w:t>
      </w:r>
    </w:p>
    <w:p w:rsidR="006C34B8" w:rsidRPr="00C54655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6C34B8" w:rsidRPr="00C54655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C54655">
        <w:rPr>
          <w:szCs w:val="22"/>
          <w:lang w:val="sk-SK"/>
        </w:rPr>
        <w:t>Po intravenóznom podaní acetylcysteínu je distribučný objem 0</w:t>
      </w:r>
      <w:r w:rsidR="00754550" w:rsidRPr="00C54655">
        <w:rPr>
          <w:szCs w:val="22"/>
          <w:lang w:val="sk-SK"/>
        </w:rPr>
        <w:t>,</w:t>
      </w:r>
      <w:r w:rsidRPr="00C54655">
        <w:rPr>
          <w:szCs w:val="22"/>
          <w:lang w:val="sk-SK"/>
        </w:rPr>
        <w:t>47 l/kg; plazmatický klírens 0</w:t>
      </w:r>
      <w:r w:rsidR="00754550" w:rsidRPr="00C54655">
        <w:rPr>
          <w:szCs w:val="22"/>
          <w:lang w:val="sk-SK"/>
        </w:rPr>
        <w:t>,</w:t>
      </w:r>
      <w:r w:rsidRPr="00C54655">
        <w:rPr>
          <w:szCs w:val="22"/>
          <w:lang w:val="sk-SK"/>
        </w:rPr>
        <w:t>11 l/h/kg. Eliminačný polčas po intravenóznom podaní je 30 – 40 min a prebieha trojfázovou kinetikou (alfa-, beta- a terminálna gama fáza).</w:t>
      </w:r>
    </w:p>
    <w:p w:rsidR="006C34B8" w:rsidRPr="00C54655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6C34B8" w:rsidRPr="00C54655" w:rsidRDefault="006C34B8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sk-SK"/>
        </w:rPr>
      </w:pPr>
      <w:r w:rsidRPr="00C54655">
        <w:rPr>
          <w:szCs w:val="22"/>
          <w:lang w:val="sk-SK"/>
        </w:rPr>
        <w:t>U potkanov acetylcysteín prestupuje placentou a</w:t>
      </w:r>
      <w:r w:rsidR="000C67D0" w:rsidRPr="00C54655">
        <w:rPr>
          <w:szCs w:val="22"/>
          <w:lang w:val="sk-SK"/>
        </w:rPr>
        <w:t xml:space="preserve"> bol detekovaný v amniotickej tekutine. Po perorálnom podaní 100 mg acetylcysteínu/ kg telesnej hmotnosti je koncentrácia metabolitu L-cysteínu </w:t>
      </w:r>
      <w:r w:rsidR="005C6F34" w:rsidRPr="00C54655">
        <w:rPr>
          <w:szCs w:val="22"/>
          <w:lang w:val="sk-SK"/>
        </w:rPr>
        <w:t>(po 0,5; 1;</w:t>
      </w:r>
      <w:r w:rsidR="000C67D0" w:rsidRPr="00C54655">
        <w:rPr>
          <w:szCs w:val="22"/>
          <w:lang w:val="sk-SK"/>
        </w:rPr>
        <w:t xml:space="preserve"> 2 a 8 hodinách po podaní) vyššia v placente a plode ako v plazme matky. Nie sú dostupné údaje u ľudí o prechode placentou, vylučovaní do materského mlieka alebo o vplyve na plod a dojča. Rovnako nie sú dostupné údaje o prechode hematoencefalickou bariérou u ľudí.</w:t>
      </w:r>
    </w:p>
    <w:p w:rsidR="00A632B0" w:rsidRPr="00C54655" w:rsidRDefault="00A632B0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5.3</w:t>
      </w:r>
      <w:r w:rsidRPr="00C54655">
        <w:rPr>
          <w:b/>
          <w:szCs w:val="22"/>
          <w:lang w:val="sk-SK"/>
        </w:rPr>
        <w:tab/>
        <w:t>Predklinické údaje o bezpečnosti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0C67D0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Akútna toxicita</w:t>
      </w:r>
    </w:p>
    <w:p w:rsidR="000C67D0" w:rsidRPr="00C54655" w:rsidRDefault="000C67D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Štúdie akútne</w:t>
      </w:r>
      <w:r w:rsidR="005C6F34" w:rsidRPr="00C54655">
        <w:rPr>
          <w:szCs w:val="22"/>
          <w:lang w:val="sk-SK"/>
        </w:rPr>
        <w:t>j</w:t>
      </w:r>
      <w:r w:rsidRPr="00C54655">
        <w:rPr>
          <w:szCs w:val="22"/>
          <w:lang w:val="sk-SK"/>
        </w:rPr>
        <w:t xml:space="preserve"> toxicity nepreukázali akúkoľvek špeciálnu citlivosť. Sú skúsenosti s podávaním maximálnych denných dávok 30 g acety</w:t>
      </w:r>
      <w:r w:rsidR="005C6F34" w:rsidRPr="00C54655">
        <w:rPr>
          <w:szCs w:val="22"/>
          <w:lang w:val="sk-SK"/>
        </w:rPr>
        <w:t>lcysteínu intravenózne pacientom</w:t>
      </w:r>
      <w:r w:rsidRPr="00C54655">
        <w:rPr>
          <w:szCs w:val="22"/>
          <w:lang w:val="sk-SK"/>
        </w:rPr>
        <w:t xml:space="preserve"> pri intoxikácii paracetamolom. </w:t>
      </w:r>
    </w:p>
    <w:p w:rsidR="000C67D0" w:rsidRPr="00C54655" w:rsidRDefault="000C67D0">
      <w:pPr>
        <w:spacing w:line="240" w:lineRule="auto"/>
        <w:rPr>
          <w:szCs w:val="22"/>
          <w:lang w:val="sk-SK"/>
        </w:rPr>
      </w:pPr>
    </w:p>
    <w:p w:rsidR="000C67D0" w:rsidRPr="00C54655" w:rsidRDefault="000C67D0">
      <w:pPr>
        <w:spacing w:line="240" w:lineRule="auto"/>
        <w:rPr>
          <w:szCs w:val="22"/>
          <w:u w:val="single"/>
          <w:lang w:val="sk-SK"/>
        </w:rPr>
      </w:pPr>
      <w:r w:rsidRPr="00C54655">
        <w:rPr>
          <w:szCs w:val="22"/>
          <w:u w:val="single"/>
          <w:lang w:val="sk-SK"/>
        </w:rPr>
        <w:t>Chronická toxicita</w:t>
      </w:r>
    </w:p>
    <w:p w:rsidR="000C67D0" w:rsidRPr="00C54655" w:rsidRDefault="000C67D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V štúdiách chronickej toxicity s acetylcysteínom na potkanoch a psoch sa nestanovili patologické zmeny v laboratórnych testoch alebo zmeny správania alebo telesnej hmotnosti počas ročnej liečby. </w:t>
      </w:r>
    </w:p>
    <w:p w:rsidR="000C67D0" w:rsidRPr="00C54655" w:rsidRDefault="000C67D0">
      <w:pPr>
        <w:spacing w:line="240" w:lineRule="auto"/>
        <w:rPr>
          <w:szCs w:val="22"/>
          <w:lang w:val="sk-SK"/>
        </w:rPr>
      </w:pPr>
    </w:p>
    <w:p w:rsidR="000C67D0" w:rsidRPr="00C54655" w:rsidRDefault="000C67D0">
      <w:pPr>
        <w:spacing w:line="240" w:lineRule="auto"/>
        <w:rPr>
          <w:i/>
          <w:szCs w:val="22"/>
          <w:lang w:val="sk-SK"/>
        </w:rPr>
      </w:pPr>
      <w:r w:rsidRPr="00C54655">
        <w:rPr>
          <w:i/>
          <w:szCs w:val="22"/>
          <w:lang w:val="sk-SK"/>
        </w:rPr>
        <w:t>Mutagénny alebo tumo</w:t>
      </w:r>
      <w:r w:rsidR="00F96DBA" w:rsidRPr="00C54655">
        <w:rPr>
          <w:i/>
          <w:szCs w:val="22"/>
          <w:lang w:val="sk-SK"/>
        </w:rPr>
        <w:t>rigénny potenciál</w:t>
      </w:r>
    </w:p>
    <w:p w:rsidR="00F96DBA" w:rsidRPr="00C54655" w:rsidRDefault="00F96DBA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Neoča</w:t>
      </w:r>
      <w:r w:rsidR="005C6F34" w:rsidRPr="00C54655">
        <w:rPr>
          <w:szCs w:val="22"/>
          <w:lang w:val="sk-SK"/>
        </w:rPr>
        <w:t xml:space="preserve">káva sa mutagénny </w:t>
      </w:r>
      <w:r w:rsidR="00754550" w:rsidRPr="00C54655">
        <w:rPr>
          <w:szCs w:val="22"/>
          <w:lang w:val="sk-SK"/>
        </w:rPr>
        <w:t xml:space="preserve">účinok </w:t>
      </w:r>
      <w:r w:rsidR="005C6F34" w:rsidRPr="00C54655">
        <w:rPr>
          <w:szCs w:val="22"/>
          <w:lang w:val="sk-SK"/>
        </w:rPr>
        <w:t>acetylcy</w:t>
      </w:r>
      <w:r w:rsidRPr="00C54655">
        <w:rPr>
          <w:szCs w:val="22"/>
          <w:lang w:val="sk-SK"/>
        </w:rPr>
        <w:t xml:space="preserve">steínu. Pri pozorovaní mutagenity na baktériách sa nepozoroval žiadny mutagénny </w:t>
      </w:r>
      <w:r w:rsidR="00754550" w:rsidRPr="00C54655">
        <w:rPr>
          <w:szCs w:val="22"/>
          <w:lang w:val="sk-SK"/>
        </w:rPr>
        <w:t>účinok</w:t>
      </w:r>
      <w:r w:rsidRPr="00C54655">
        <w:rPr>
          <w:szCs w:val="22"/>
          <w:lang w:val="sk-SK"/>
        </w:rPr>
        <w:t xml:space="preserve">. Tumorigénny potenciál acetylcysteínu sa neskúmal. </w:t>
      </w:r>
    </w:p>
    <w:p w:rsidR="00F96DBA" w:rsidRPr="00C54655" w:rsidRDefault="00F96DBA">
      <w:pPr>
        <w:spacing w:line="240" w:lineRule="auto"/>
        <w:rPr>
          <w:szCs w:val="22"/>
          <w:lang w:val="sk-SK"/>
        </w:rPr>
      </w:pPr>
    </w:p>
    <w:p w:rsidR="00F96DBA" w:rsidRPr="00C54655" w:rsidRDefault="00F96DBA">
      <w:pPr>
        <w:spacing w:line="240" w:lineRule="auto"/>
        <w:rPr>
          <w:i/>
          <w:szCs w:val="22"/>
          <w:lang w:val="sk-SK"/>
        </w:rPr>
      </w:pPr>
      <w:r w:rsidRPr="00C54655">
        <w:rPr>
          <w:i/>
          <w:szCs w:val="22"/>
          <w:lang w:val="sk-SK"/>
        </w:rPr>
        <w:t>Reprodukčná toxikológia</w:t>
      </w:r>
    </w:p>
    <w:p w:rsidR="00F96DBA" w:rsidRPr="00C54655" w:rsidRDefault="00F96DBA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 xml:space="preserve">Uskutočnili sa štúdie na teratogenitu na </w:t>
      </w:r>
      <w:r w:rsidR="00754550" w:rsidRPr="00C54655">
        <w:rPr>
          <w:szCs w:val="22"/>
          <w:lang w:val="sk-SK"/>
        </w:rPr>
        <w:t>gravid</w:t>
      </w:r>
      <w:r w:rsidRPr="00C54655">
        <w:rPr>
          <w:szCs w:val="22"/>
          <w:lang w:val="sk-SK"/>
        </w:rPr>
        <w:t xml:space="preserve">ných samiciach </w:t>
      </w:r>
      <w:r w:rsidR="00754550" w:rsidRPr="00C54655">
        <w:rPr>
          <w:szCs w:val="22"/>
          <w:lang w:val="sk-SK"/>
        </w:rPr>
        <w:t xml:space="preserve">králikov </w:t>
      </w:r>
      <w:r w:rsidRPr="00C54655">
        <w:rPr>
          <w:szCs w:val="22"/>
          <w:lang w:val="sk-SK"/>
        </w:rPr>
        <w:t xml:space="preserve">a potkanov, ktorým sa podával acetylcysteín počas organogenézy. Dávky </w:t>
      </w:r>
      <w:r w:rsidR="005C6F34" w:rsidRPr="00C54655">
        <w:rPr>
          <w:szCs w:val="22"/>
          <w:lang w:val="sk-SK"/>
        </w:rPr>
        <w:t xml:space="preserve">u </w:t>
      </w:r>
      <w:r w:rsidR="00754550" w:rsidRPr="00C54655">
        <w:rPr>
          <w:szCs w:val="22"/>
          <w:lang w:val="sk-SK"/>
        </w:rPr>
        <w:t xml:space="preserve">králikov </w:t>
      </w:r>
      <w:r w:rsidRPr="00C54655">
        <w:rPr>
          <w:szCs w:val="22"/>
          <w:lang w:val="sk-SK"/>
        </w:rPr>
        <w:t>boli 250</w:t>
      </w:r>
      <w:r w:rsidR="00BA6965" w:rsidRPr="00C54655">
        <w:rPr>
          <w:szCs w:val="22"/>
          <w:lang w:val="sk-SK"/>
        </w:rPr>
        <w:t xml:space="preserve"> – </w:t>
      </w:r>
      <w:r w:rsidRPr="00C54655">
        <w:rPr>
          <w:szCs w:val="22"/>
          <w:lang w:val="sk-SK"/>
        </w:rPr>
        <w:t xml:space="preserve">500 a 700 mg/kg hmotnosti/deň; dávky </w:t>
      </w:r>
      <w:r w:rsidR="005C6F34" w:rsidRPr="00C54655">
        <w:rPr>
          <w:szCs w:val="22"/>
          <w:lang w:val="sk-SK"/>
        </w:rPr>
        <w:t xml:space="preserve">u </w:t>
      </w:r>
      <w:r w:rsidRPr="00C54655">
        <w:rPr>
          <w:szCs w:val="22"/>
          <w:lang w:val="sk-SK"/>
        </w:rPr>
        <w:t>potkanov boli 500</w:t>
      </w:r>
      <w:r w:rsidR="00BA6965" w:rsidRPr="00C54655">
        <w:rPr>
          <w:szCs w:val="22"/>
          <w:lang w:val="sk-SK"/>
        </w:rPr>
        <w:t xml:space="preserve"> – </w:t>
      </w:r>
      <w:r w:rsidRPr="00C54655">
        <w:rPr>
          <w:szCs w:val="22"/>
          <w:lang w:val="sk-SK"/>
        </w:rPr>
        <w:t>100</w:t>
      </w:r>
      <w:r w:rsidR="00754550" w:rsidRPr="00C54655">
        <w:rPr>
          <w:szCs w:val="22"/>
          <w:lang w:val="sk-SK"/>
        </w:rPr>
        <w:t>0</w:t>
      </w:r>
      <w:r w:rsidRPr="00C54655">
        <w:rPr>
          <w:szCs w:val="22"/>
          <w:lang w:val="sk-SK"/>
        </w:rPr>
        <w:t xml:space="preserve"> a 2000 mg/kg hmotnosti/deň. V žiadnej z týchto štúdií sa nepozorovali malformácie plodu. U potkanov sa uskutočnili štúdie vplyvu na plodnosť a peri- a postnatálny vývoj po perorálnom podávaní acetylcysteínu. </w:t>
      </w:r>
      <w:r w:rsidR="002A3F05" w:rsidRPr="00C54655">
        <w:rPr>
          <w:szCs w:val="22"/>
          <w:lang w:val="sk-SK"/>
        </w:rPr>
        <w:t>Výsledky</w:t>
      </w:r>
      <w:r w:rsidRPr="00C54655">
        <w:rPr>
          <w:szCs w:val="22"/>
          <w:lang w:val="sk-SK"/>
        </w:rPr>
        <w:t xml:space="preserve"> ukázali, že acetylcysteín nevplýva na funkciu gonád, plodnosť, pôrod, dojčenie a vývoj novonarodených mláďat.</w:t>
      </w:r>
    </w:p>
    <w:p w:rsidR="00F96DBA" w:rsidRPr="00C54655" w:rsidRDefault="00F96DBA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b/>
          <w:szCs w:val="22"/>
          <w:lang w:val="sk-SK"/>
        </w:rPr>
      </w:pPr>
      <w:r w:rsidRPr="00C54655">
        <w:rPr>
          <w:b/>
          <w:szCs w:val="22"/>
          <w:lang w:val="sk-SK"/>
        </w:rPr>
        <w:t>6.</w:t>
      </w:r>
      <w:r w:rsidRPr="00C54655">
        <w:rPr>
          <w:b/>
          <w:szCs w:val="22"/>
          <w:lang w:val="sk-SK"/>
        </w:rPr>
        <w:tab/>
        <w:t>FARMACEUTICKÉ INFORMÁCIE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6.1</w:t>
      </w:r>
      <w:r w:rsidRPr="00C54655">
        <w:rPr>
          <w:b/>
          <w:szCs w:val="22"/>
          <w:lang w:val="sk-SK"/>
        </w:rPr>
        <w:tab/>
        <w:t>Zoznam pomocných látok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hydrogénuhličitan sodný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kyselina citrónová bezvodá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kyselina askorbová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laktóza bezvodá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sorbitol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makrogol 6000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leucín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aspart</w:t>
      </w:r>
      <w:r w:rsidR="00754550" w:rsidRPr="00C54655">
        <w:rPr>
          <w:szCs w:val="22"/>
          <w:lang w:val="sk-SK"/>
        </w:rPr>
        <w:t>á</w:t>
      </w:r>
      <w:r w:rsidRPr="00C54655">
        <w:rPr>
          <w:szCs w:val="22"/>
          <w:lang w:val="sk-SK"/>
        </w:rPr>
        <w:t>m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acesulfám K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pomarančová príchuť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6.2</w:t>
      </w:r>
      <w:r w:rsidRPr="00C54655">
        <w:rPr>
          <w:b/>
          <w:szCs w:val="22"/>
          <w:lang w:val="sk-SK"/>
        </w:rPr>
        <w:tab/>
        <w:t>Inkompatibility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Neaplikovateľné.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6.3</w:t>
      </w:r>
      <w:r w:rsidRPr="00C54655">
        <w:rPr>
          <w:b/>
          <w:szCs w:val="22"/>
          <w:lang w:val="sk-SK"/>
        </w:rPr>
        <w:tab/>
        <w:t>Čas použiteľnosti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156013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18</w:t>
      </w:r>
      <w:r w:rsidR="00934735" w:rsidRPr="00C54655">
        <w:rPr>
          <w:szCs w:val="22"/>
          <w:lang w:val="sk-SK"/>
        </w:rPr>
        <w:t xml:space="preserve"> </w:t>
      </w:r>
      <w:r w:rsidR="00A632B0" w:rsidRPr="00C54655">
        <w:rPr>
          <w:szCs w:val="22"/>
          <w:lang w:val="sk-SK"/>
        </w:rPr>
        <w:t>mesiacov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C54655">
        <w:rPr>
          <w:b/>
          <w:szCs w:val="22"/>
          <w:lang w:val="sk-SK"/>
        </w:rPr>
        <w:t>6.4</w:t>
      </w:r>
      <w:r w:rsidRPr="00C54655">
        <w:rPr>
          <w:b/>
          <w:szCs w:val="22"/>
          <w:lang w:val="sk-SK"/>
        </w:rPr>
        <w:tab/>
        <w:t>Špeciálne upozornenia na uchovávanie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</w:p>
    <w:p w:rsidR="00A632B0" w:rsidRPr="00C54655" w:rsidRDefault="00934735">
      <w:pPr>
        <w:spacing w:line="240" w:lineRule="auto"/>
        <w:rPr>
          <w:i/>
          <w:szCs w:val="22"/>
          <w:lang w:val="sk-SK"/>
        </w:rPr>
      </w:pPr>
      <w:r w:rsidRPr="00C54655">
        <w:rPr>
          <w:szCs w:val="22"/>
          <w:lang w:val="sk-SK"/>
        </w:rPr>
        <w:t>Uchovávajte do 25</w:t>
      </w:r>
      <w:r w:rsidR="00BC220C" w:rsidRPr="00C54655">
        <w:rPr>
          <w:szCs w:val="22"/>
          <w:lang w:val="sk-SK"/>
        </w:rPr>
        <w:t xml:space="preserve"> </w:t>
      </w:r>
      <w:r w:rsidRPr="00C54655">
        <w:rPr>
          <w:szCs w:val="22"/>
          <w:lang w:val="sk-SK"/>
        </w:rPr>
        <w:t>°C v pôvodnom obale na ochranu pred vlhkosťou.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outlineLvl w:val="0"/>
        <w:rPr>
          <w:szCs w:val="22"/>
          <w:lang w:val="sk-SK"/>
        </w:rPr>
      </w:pPr>
      <w:r w:rsidRPr="00C54655">
        <w:rPr>
          <w:b/>
          <w:szCs w:val="22"/>
          <w:lang w:val="sk-SK"/>
        </w:rPr>
        <w:t>6.5</w:t>
      </w:r>
      <w:r w:rsidRPr="00C54655">
        <w:rPr>
          <w:b/>
          <w:szCs w:val="22"/>
          <w:lang w:val="sk-SK"/>
        </w:rPr>
        <w:tab/>
        <w:t xml:space="preserve">Druh obalu a obsah balenia </w:t>
      </w:r>
    </w:p>
    <w:p w:rsidR="00934735" w:rsidRPr="00C54655" w:rsidRDefault="00934735">
      <w:pPr>
        <w:spacing w:line="240" w:lineRule="auto"/>
        <w:rPr>
          <w:szCs w:val="22"/>
          <w:lang w:val="sk-SK"/>
        </w:rPr>
      </w:pPr>
    </w:p>
    <w:p w:rsidR="00934735" w:rsidRPr="00C54655" w:rsidRDefault="00934735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PP tuba, PE vrchnák s</w:t>
      </w:r>
      <w:r w:rsidR="00020A8E" w:rsidRPr="00C54655">
        <w:rPr>
          <w:szCs w:val="22"/>
          <w:lang w:val="sk-SK"/>
        </w:rPr>
        <w:t> </w:t>
      </w:r>
      <w:r w:rsidRPr="00C54655">
        <w:rPr>
          <w:szCs w:val="22"/>
          <w:lang w:val="sk-SK"/>
        </w:rPr>
        <w:t>vysušovadlom</w:t>
      </w:r>
      <w:r w:rsidR="00020A8E" w:rsidRPr="00C54655">
        <w:rPr>
          <w:szCs w:val="22"/>
          <w:lang w:val="sk-SK"/>
        </w:rPr>
        <w:t xml:space="preserve"> a bezpečnostným krúžkom, </w:t>
      </w:r>
      <w:r w:rsidR="00754550" w:rsidRPr="00C54655">
        <w:rPr>
          <w:szCs w:val="22"/>
          <w:lang w:val="sk-SK"/>
        </w:rPr>
        <w:t xml:space="preserve">papierová </w:t>
      </w:r>
      <w:r w:rsidR="00020A8E" w:rsidRPr="00C54655">
        <w:rPr>
          <w:szCs w:val="22"/>
          <w:lang w:val="sk-SK"/>
        </w:rPr>
        <w:t>skladačka a písomná informácia</w:t>
      </w:r>
    </w:p>
    <w:p w:rsidR="00020A8E" w:rsidRPr="00C54655" w:rsidRDefault="00020A8E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veľkosť balenia: 6, 10, 20, 30 šumivých tabliet</w:t>
      </w:r>
    </w:p>
    <w:p w:rsidR="00020A8E" w:rsidRPr="00C54655" w:rsidRDefault="00020A8E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Na trh nemusia byť uvedené</w:t>
      </w:r>
      <w:r w:rsidR="00934735" w:rsidRPr="00C54655">
        <w:rPr>
          <w:szCs w:val="22"/>
          <w:lang w:val="sk-SK"/>
        </w:rPr>
        <w:t xml:space="preserve"> všetky veľkosti balenia.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bookmarkStart w:id="1" w:name="OLE_LINK1"/>
      <w:r w:rsidRPr="00C54655">
        <w:rPr>
          <w:b/>
          <w:szCs w:val="22"/>
          <w:lang w:val="sk-SK"/>
        </w:rPr>
        <w:t>6.6</w:t>
      </w:r>
      <w:r w:rsidRPr="00C54655">
        <w:rPr>
          <w:b/>
          <w:szCs w:val="22"/>
          <w:lang w:val="sk-SK"/>
        </w:rPr>
        <w:tab/>
        <w:t>Špeciálne opatrenia na likvidáciu a</w:t>
      </w:r>
      <w:r w:rsidRPr="00C54655">
        <w:rPr>
          <w:szCs w:val="22"/>
          <w:lang w:val="sk-SK"/>
        </w:rPr>
        <w:t> </w:t>
      </w:r>
      <w:r w:rsidRPr="00C54655">
        <w:rPr>
          <w:b/>
          <w:szCs w:val="22"/>
          <w:lang w:val="sk-SK"/>
        </w:rPr>
        <w:t>iné zaobchádzanie s</w:t>
      </w:r>
      <w:r w:rsidRPr="00C54655">
        <w:rPr>
          <w:szCs w:val="22"/>
          <w:lang w:val="sk-SK"/>
        </w:rPr>
        <w:t> </w:t>
      </w:r>
      <w:r w:rsidR="00020A8E" w:rsidRPr="00C54655">
        <w:rPr>
          <w:b/>
          <w:szCs w:val="22"/>
          <w:lang w:val="sk-SK"/>
        </w:rPr>
        <w:t>liekom</w:t>
      </w:r>
    </w:p>
    <w:bookmarkEnd w:id="1"/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Žiadne zvláš</w:t>
      </w:r>
      <w:r w:rsidR="00020A8E" w:rsidRPr="00C54655">
        <w:rPr>
          <w:szCs w:val="22"/>
          <w:lang w:val="sk-SK"/>
        </w:rPr>
        <w:t>tne požiadavky na likvidáciu.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szCs w:val="22"/>
          <w:lang w:val="sk-SK"/>
        </w:rPr>
      </w:pPr>
      <w:r w:rsidRPr="00C54655">
        <w:rPr>
          <w:b/>
          <w:szCs w:val="22"/>
          <w:lang w:val="sk-SK"/>
        </w:rPr>
        <w:t>7.</w:t>
      </w:r>
      <w:r w:rsidRPr="00C54655">
        <w:rPr>
          <w:b/>
          <w:szCs w:val="22"/>
          <w:lang w:val="sk-SK"/>
        </w:rPr>
        <w:tab/>
        <w:t>DRŽITEĽ ROZHODNUTIA O REGISTRÁCII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D66FC0" w:rsidRPr="00C54655" w:rsidRDefault="00D66FC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XANTIS PHARMA LIMITED</w:t>
      </w:r>
    </w:p>
    <w:p w:rsidR="00D66FC0" w:rsidRPr="00C54655" w:rsidRDefault="00D66FC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Lemesou 5, EUROSURE TOWER</w:t>
      </w:r>
    </w:p>
    <w:p w:rsidR="00D66FC0" w:rsidRPr="00C54655" w:rsidRDefault="00D66FC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1st floor, Flat/Office 101</w:t>
      </w:r>
    </w:p>
    <w:p w:rsidR="004F6778" w:rsidRPr="00C54655" w:rsidRDefault="00D66FC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2112, Nicosia</w:t>
      </w:r>
    </w:p>
    <w:p w:rsidR="00D66FC0" w:rsidRPr="00C54655" w:rsidRDefault="00D66FC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Cyprus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b/>
          <w:szCs w:val="22"/>
          <w:lang w:val="sk-SK"/>
        </w:rPr>
      </w:pPr>
      <w:r w:rsidRPr="00C54655">
        <w:rPr>
          <w:b/>
          <w:szCs w:val="22"/>
          <w:lang w:val="sk-SK"/>
        </w:rPr>
        <w:t>8.</w:t>
      </w:r>
      <w:r w:rsidRPr="00C54655">
        <w:rPr>
          <w:b/>
          <w:szCs w:val="22"/>
          <w:lang w:val="sk-SK"/>
        </w:rPr>
        <w:tab/>
        <w:t>REGISTRAČNÉ ČÍSLO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C50BF9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t>52/0208/16-S</w:t>
      </w:r>
    </w:p>
    <w:p w:rsidR="00C50BF9" w:rsidRPr="00C54655" w:rsidRDefault="00C50BF9">
      <w:pPr>
        <w:spacing w:line="240" w:lineRule="auto"/>
        <w:rPr>
          <w:szCs w:val="22"/>
          <w:lang w:val="sk-SK"/>
        </w:rPr>
      </w:pPr>
    </w:p>
    <w:p w:rsidR="00C50BF9" w:rsidRPr="00C54655" w:rsidRDefault="00C50BF9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szCs w:val="22"/>
          <w:lang w:val="sk-SK"/>
        </w:rPr>
      </w:pPr>
      <w:r w:rsidRPr="00C54655">
        <w:rPr>
          <w:b/>
          <w:szCs w:val="22"/>
          <w:lang w:val="sk-SK"/>
        </w:rPr>
        <w:t>9.</w:t>
      </w:r>
      <w:r w:rsidRPr="00C54655">
        <w:rPr>
          <w:b/>
          <w:szCs w:val="22"/>
          <w:lang w:val="sk-SK"/>
        </w:rPr>
        <w:tab/>
        <w:t>DÁTUM PRVEJ REGISTRÁCIE/PREDĹŽENIA REGISTRÁCIE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  <w:r w:rsidRPr="00C54655">
        <w:rPr>
          <w:szCs w:val="22"/>
          <w:lang w:val="sk-SK"/>
        </w:rPr>
        <w:lastRenderedPageBreak/>
        <w:t xml:space="preserve">Dátum prvej registrácie: </w:t>
      </w:r>
      <w:r w:rsidR="004117CD" w:rsidRPr="00C54655">
        <w:rPr>
          <w:szCs w:val="22"/>
          <w:lang w:val="sk-SK"/>
        </w:rPr>
        <w:t>21. apríla 2016</w:t>
      </w: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rPr>
          <w:szCs w:val="22"/>
          <w:lang w:val="sk-SK"/>
        </w:rPr>
      </w:pPr>
    </w:p>
    <w:p w:rsidR="00A632B0" w:rsidRPr="00C54655" w:rsidRDefault="00A632B0">
      <w:pPr>
        <w:spacing w:line="240" w:lineRule="auto"/>
        <w:ind w:left="567" w:hanging="567"/>
        <w:rPr>
          <w:b/>
          <w:szCs w:val="22"/>
          <w:lang w:val="sk-SK"/>
        </w:rPr>
      </w:pPr>
      <w:r w:rsidRPr="00C54655">
        <w:rPr>
          <w:b/>
          <w:szCs w:val="22"/>
          <w:lang w:val="sk-SK"/>
        </w:rPr>
        <w:t>10.</w:t>
      </w:r>
      <w:r w:rsidRPr="00C54655">
        <w:rPr>
          <w:b/>
          <w:szCs w:val="22"/>
          <w:lang w:val="sk-SK"/>
        </w:rPr>
        <w:tab/>
        <w:t>DÁTUM REVÍZIE TEXTU</w:t>
      </w:r>
    </w:p>
    <w:p w:rsidR="00C50BF9" w:rsidRPr="00C54655" w:rsidRDefault="00C50BF9">
      <w:pPr>
        <w:spacing w:line="240" w:lineRule="auto"/>
        <w:ind w:left="567" w:hanging="567"/>
        <w:rPr>
          <w:szCs w:val="22"/>
          <w:lang w:val="sk-SK"/>
        </w:rPr>
      </w:pPr>
    </w:p>
    <w:p w:rsidR="00A632B0" w:rsidRPr="00C54655" w:rsidRDefault="00C54655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01/2018</w:t>
      </w:r>
    </w:p>
    <w:sectPr w:rsidR="00A632B0" w:rsidRPr="00C54655" w:rsidSect="00553E1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923" w:rsidRDefault="00482923" w:rsidP="009C0952">
      <w:pPr>
        <w:spacing w:line="240" w:lineRule="auto"/>
      </w:pPr>
      <w:r>
        <w:separator/>
      </w:r>
    </w:p>
  </w:endnote>
  <w:endnote w:type="continuationSeparator" w:id="0">
    <w:p w:rsidR="00482923" w:rsidRDefault="00482923" w:rsidP="009C0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1451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E19B5" w:rsidRDefault="007E19B5">
        <w:pPr>
          <w:pStyle w:val="Pta"/>
          <w:jc w:val="center"/>
        </w:pPr>
      </w:p>
      <w:p w:rsidR="00BD22AC" w:rsidRPr="00240AB5" w:rsidRDefault="00BD22AC">
        <w:pPr>
          <w:pStyle w:val="Pta"/>
          <w:jc w:val="center"/>
          <w:rPr>
            <w:sz w:val="18"/>
            <w:szCs w:val="18"/>
          </w:rPr>
        </w:pPr>
        <w:r w:rsidRPr="00240AB5">
          <w:rPr>
            <w:sz w:val="18"/>
            <w:szCs w:val="18"/>
          </w:rPr>
          <w:fldChar w:fldCharType="begin"/>
        </w:r>
        <w:r w:rsidRPr="00240AB5">
          <w:rPr>
            <w:sz w:val="18"/>
            <w:szCs w:val="18"/>
          </w:rPr>
          <w:instrText>PAGE   \* MERGEFORMAT</w:instrText>
        </w:r>
        <w:r w:rsidRPr="00240AB5">
          <w:rPr>
            <w:sz w:val="18"/>
            <w:szCs w:val="18"/>
          </w:rPr>
          <w:fldChar w:fldCharType="separate"/>
        </w:r>
        <w:r w:rsidR="00553E11" w:rsidRPr="00553E11">
          <w:rPr>
            <w:noProof/>
            <w:sz w:val="18"/>
            <w:szCs w:val="18"/>
            <w:lang w:val="sk-SK"/>
          </w:rPr>
          <w:t>7</w:t>
        </w:r>
        <w:r w:rsidRPr="00240AB5">
          <w:rPr>
            <w:sz w:val="18"/>
            <w:szCs w:val="18"/>
          </w:rPr>
          <w:fldChar w:fldCharType="end"/>
        </w:r>
      </w:p>
    </w:sdtContent>
  </w:sdt>
  <w:p w:rsidR="00BD22AC" w:rsidRDefault="00BD22A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AC" w:rsidRPr="00240AB5" w:rsidRDefault="00BD22AC" w:rsidP="00240AB5">
    <w:pPr>
      <w:pStyle w:val="Pta"/>
      <w:jc w:val="center"/>
      <w:rPr>
        <w:sz w:val="18"/>
        <w:szCs w:val="18"/>
      </w:rPr>
    </w:pPr>
    <w:r w:rsidRPr="00240AB5">
      <w:rPr>
        <w:sz w:val="18"/>
        <w:szCs w:val="18"/>
      </w:rPr>
      <w:fldChar w:fldCharType="begin"/>
    </w:r>
    <w:r w:rsidRPr="00240AB5">
      <w:rPr>
        <w:sz w:val="18"/>
        <w:szCs w:val="18"/>
      </w:rPr>
      <w:instrText>PAGE   \* MERGEFORMAT</w:instrText>
    </w:r>
    <w:r w:rsidRPr="00240AB5">
      <w:rPr>
        <w:sz w:val="18"/>
        <w:szCs w:val="18"/>
      </w:rPr>
      <w:fldChar w:fldCharType="separate"/>
    </w:r>
    <w:r w:rsidR="00C54655" w:rsidRPr="00C54655">
      <w:rPr>
        <w:noProof/>
        <w:sz w:val="18"/>
        <w:szCs w:val="18"/>
        <w:lang w:val="sk-SK"/>
      </w:rPr>
      <w:t>1</w:t>
    </w:r>
    <w:r w:rsidRPr="00240AB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923" w:rsidRDefault="00482923" w:rsidP="009C0952">
      <w:pPr>
        <w:spacing w:line="240" w:lineRule="auto"/>
      </w:pPr>
      <w:r>
        <w:separator/>
      </w:r>
    </w:p>
  </w:footnote>
  <w:footnote w:type="continuationSeparator" w:id="0">
    <w:p w:rsidR="00482923" w:rsidRDefault="00482923" w:rsidP="009C09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55" w:rsidRPr="00C64E4C" w:rsidRDefault="00C54655" w:rsidP="00C54655">
    <w:pPr>
      <w:tabs>
        <w:tab w:val="clear" w:pos="567"/>
        <w:tab w:val="left" w:pos="720"/>
      </w:tabs>
      <w:spacing w:line="240" w:lineRule="auto"/>
      <w:outlineLvl w:val="0"/>
      <w:rPr>
        <w:sz w:val="18"/>
        <w:szCs w:val="18"/>
      </w:rPr>
    </w:pPr>
    <w:r>
      <w:rPr>
        <w:sz w:val="18"/>
        <w:szCs w:val="18"/>
        <w:lang w:val="sk-SK"/>
      </w:rPr>
      <w:t>Príloha č</w:t>
    </w:r>
    <w:r w:rsidRPr="003468A0">
      <w:rPr>
        <w:sz w:val="18"/>
        <w:szCs w:val="18"/>
        <w:lang w:val="sk-SK"/>
      </w:rPr>
      <w:t xml:space="preserve">. </w:t>
    </w:r>
    <w:r>
      <w:rPr>
        <w:sz w:val="18"/>
        <w:szCs w:val="18"/>
        <w:lang w:val="sk-SK"/>
      </w:rPr>
      <w:t>2 k notifikácii o zmene</w:t>
    </w:r>
    <w:r w:rsidRPr="005D00C3">
      <w:rPr>
        <w:sz w:val="18"/>
        <w:szCs w:val="18"/>
        <w:lang w:val="sk-SK"/>
      </w:rPr>
      <w:t xml:space="preserve">, ev. č.: </w:t>
    </w:r>
    <w:r>
      <w:rPr>
        <w:sz w:val="18"/>
        <w:szCs w:val="18"/>
        <w:lang w:val="sk-SK"/>
      </w:rPr>
      <w:t>2017/05216-Z1B</w:t>
    </w:r>
  </w:p>
  <w:p w:rsidR="00C54655" w:rsidRDefault="00C54655">
    <w:pPr>
      <w:pStyle w:val="Hlavika"/>
      <w:rPr>
        <w:sz w:val="18"/>
      </w:rPr>
    </w:pPr>
  </w:p>
  <w:p w:rsidR="00C54655" w:rsidRPr="00553E11" w:rsidRDefault="00C54655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AC" w:rsidRDefault="00BD22AC" w:rsidP="00EE5B65">
    <w:pPr>
      <w:tabs>
        <w:tab w:val="clear" w:pos="567"/>
        <w:tab w:val="left" w:pos="720"/>
      </w:tabs>
      <w:spacing w:line="240" w:lineRule="auto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</w:t>
    </w:r>
    <w:r w:rsidR="00182C2E">
      <w:rPr>
        <w:sz w:val="18"/>
        <w:szCs w:val="18"/>
        <w:lang w:val="sk-SK"/>
      </w:rPr>
      <w:t xml:space="preserve"> </w:t>
    </w:r>
    <w:r w:rsidR="00156013">
      <w:rPr>
        <w:sz w:val="18"/>
        <w:szCs w:val="18"/>
        <w:lang w:val="sk-SK"/>
      </w:rPr>
      <w:t>1</w:t>
    </w:r>
    <w:r>
      <w:rPr>
        <w:sz w:val="18"/>
        <w:szCs w:val="18"/>
        <w:lang w:val="sk-SK"/>
      </w:rPr>
      <w:t xml:space="preserve"> k notifikácii o zmene</w:t>
    </w:r>
    <w:r w:rsidRPr="00E9506C">
      <w:rPr>
        <w:sz w:val="18"/>
        <w:szCs w:val="18"/>
        <w:lang w:val="sk-SK"/>
      </w:rPr>
      <w:t xml:space="preserve">, ev. č.: </w:t>
    </w:r>
    <w:r w:rsidR="00385F0A">
      <w:rPr>
        <w:sz w:val="18"/>
        <w:szCs w:val="18"/>
        <w:lang w:val="sk-SK"/>
      </w:rPr>
      <w:t>2017/05216-Z1B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5311"/>
    <w:multiLevelType w:val="hybridMultilevel"/>
    <w:tmpl w:val="7712730A"/>
    <w:lvl w:ilvl="0" w:tplc="7F4E4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3E6F"/>
    <w:multiLevelType w:val="hybridMultilevel"/>
    <w:tmpl w:val="C85291EC"/>
    <w:lvl w:ilvl="0" w:tplc="62A4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6629"/>
    <w:multiLevelType w:val="hybridMultilevel"/>
    <w:tmpl w:val="0B869918"/>
    <w:lvl w:ilvl="0" w:tplc="62A4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B0"/>
    <w:rsid w:val="00020A8E"/>
    <w:rsid w:val="000A0FBC"/>
    <w:rsid w:val="000B7180"/>
    <w:rsid w:val="000C67D0"/>
    <w:rsid w:val="00156013"/>
    <w:rsid w:val="00182C2E"/>
    <w:rsid w:val="001A29A1"/>
    <w:rsid w:val="001A42E7"/>
    <w:rsid w:val="001D1E5B"/>
    <w:rsid w:val="0022447C"/>
    <w:rsid w:val="00240AB5"/>
    <w:rsid w:val="002439FF"/>
    <w:rsid w:val="00254444"/>
    <w:rsid w:val="00285D66"/>
    <w:rsid w:val="002A253B"/>
    <w:rsid w:val="002A3F05"/>
    <w:rsid w:val="00317BD6"/>
    <w:rsid w:val="00365E13"/>
    <w:rsid w:val="003705C8"/>
    <w:rsid w:val="00374CDD"/>
    <w:rsid w:val="00377525"/>
    <w:rsid w:val="00385F0A"/>
    <w:rsid w:val="00396673"/>
    <w:rsid w:val="004117CD"/>
    <w:rsid w:val="004455E9"/>
    <w:rsid w:val="00462CEB"/>
    <w:rsid w:val="00482923"/>
    <w:rsid w:val="004B5117"/>
    <w:rsid w:val="004E434B"/>
    <w:rsid w:val="004F6778"/>
    <w:rsid w:val="00505B84"/>
    <w:rsid w:val="00553B63"/>
    <w:rsid w:val="00553E11"/>
    <w:rsid w:val="005606DD"/>
    <w:rsid w:val="00577AE9"/>
    <w:rsid w:val="005B16BA"/>
    <w:rsid w:val="005C6F34"/>
    <w:rsid w:val="005D4284"/>
    <w:rsid w:val="00607068"/>
    <w:rsid w:val="00680FA1"/>
    <w:rsid w:val="006C34B8"/>
    <w:rsid w:val="006F6A94"/>
    <w:rsid w:val="00754550"/>
    <w:rsid w:val="00757973"/>
    <w:rsid w:val="007E19B5"/>
    <w:rsid w:val="007E1DA3"/>
    <w:rsid w:val="00831B1F"/>
    <w:rsid w:val="00867B94"/>
    <w:rsid w:val="008845A8"/>
    <w:rsid w:val="00884696"/>
    <w:rsid w:val="0089237C"/>
    <w:rsid w:val="008B329F"/>
    <w:rsid w:val="008F333A"/>
    <w:rsid w:val="009233A1"/>
    <w:rsid w:val="00934735"/>
    <w:rsid w:val="00944ADF"/>
    <w:rsid w:val="00972DB6"/>
    <w:rsid w:val="00976A62"/>
    <w:rsid w:val="00977A58"/>
    <w:rsid w:val="00991E2E"/>
    <w:rsid w:val="009A33D4"/>
    <w:rsid w:val="009C0952"/>
    <w:rsid w:val="009C6FA8"/>
    <w:rsid w:val="00A00F8E"/>
    <w:rsid w:val="00A632B0"/>
    <w:rsid w:val="00A667F0"/>
    <w:rsid w:val="00AB37F4"/>
    <w:rsid w:val="00AC74CC"/>
    <w:rsid w:val="00B20A55"/>
    <w:rsid w:val="00B6288E"/>
    <w:rsid w:val="00B86CE7"/>
    <w:rsid w:val="00BA6965"/>
    <w:rsid w:val="00BC220C"/>
    <w:rsid w:val="00BD22AC"/>
    <w:rsid w:val="00C03147"/>
    <w:rsid w:val="00C233FE"/>
    <w:rsid w:val="00C45E36"/>
    <w:rsid w:val="00C50BF9"/>
    <w:rsid w:val="00C54655"/>
    <w:rsid w:val="00C5515A"/>
    <w:rsid w:val="00C60A3E"/>
    <w:rsid w:val="00CB0024"/>
    <w:rsid w:val="00CD5A07"/>
    <w:rsid w:val="00CF1B2D"/>
    <w:rsid w:val="00D66FC0"/>
    <w:rsid w:val="00D738D3"/>
    <w:rsid w:val="00D912DF"/>
    <w:rsid w:val="00D94DA0"/>
    <w:rsid w:val="00E22CEE"/>
    <w:rsid w:val="00EE5B65"/>
    <w:rsid w:val="00F8001A"/>
    <w:rsid w:val="00F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0AB95-EB1F-4B8F-9E0F-A0D2981E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2B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632B0"/>
    <w:rPr>
      <w:rFonts w:ascii="Times New Roman" w:hAnsi="Times New Roman" w:cs="Times New Roman" w:hint="default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632B0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25444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C7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74CC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2244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447C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447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44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447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9C095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0952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C095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0952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1952</Words>
  <Characters>11130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Kytková, Adriana</cp:lastModifiedBy>
  <cp:revision>2</cp:revision>
  <dcterms:created xsi:type="dcterms:W3CDTF">2018-01-11T12:25:00Z</dcterms:created>
  <dcterms:modified xsi:type="dcterms:W3CDTF">2018-01-11T12:25:00Z</dcterms:modified>
</cp:coreProperties>
</file>