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8D4BA" w14:textId="77777777" w:rsidR="001D29E6" w:rsidRDefault="001D29E6">
      <w:pPr>
        <w:widowControl w:val="0"/>
        <w:jc w:val="center"/>
        <w:rPr>
          <w:b/>
        </w:rPr>
      </w:pPr>
      <w:r>
        <w:rPr>
          <w:b/>
        </w:rPr>
        <w:t>SÚHRN CHARAKTERISTICKÝCH VLASTNOSTÍ LIEKU</w:t>
      </w:r>
    </w:p>
    <w:p w14:paraId="0725CBF3" w14:textId="77777777" w:rsidR="001A630D" w:rsidRDefault="001A630D">
      <w:pPr>
        <w:widowControl w:val="0"/>
        <w:jc w:val="center"/>
        <w:rPr>
          <w:bCs/>
          <w:iCs/>
          <w:noProof/>
        </w:rPr>
      </w:pPr>
    </w:p>
    <w:p w14:paraId="500DDDBA" w14:textId="44533BD9" w:rsidR="001D29E6" w:rsidRPr="0083756B" w:rsidRDefault="001D29E6">
      <w:pPr>
        <w:widowControl w:val="0"/>
      </w:pPr>
      <w:r>
        <w:t>1.</w:t>
      </w:r>
      <w:r>
        <w:tab/>
      </w:r>
      <w:r>
        <w:rPr>
          <w:b/>
        </w:rPr>
        <w:t>NÁZOV LIEKU</w:t>
      </w:r>
    </w:p>
    <w:p w14:paraId="3F00081B" w14:textId="77777777" w:rsidR="001D29E6" w:rsidRDefault="001D29E6">
      <w:pPr>
        <w:rPr>
          <w:iCs/>
        </w:rPr>
      </w:pPr>
    </w:p>
    <w:p w14:paraId="7F43BDFC" w14:textId="15966712" w:rsidR="00A53532" w:rsidRPr="00B13545" w:rsidRDefault="00A53532" w:rsidP="00A53532">
      <w:proofErr w:type="spellStart"/>
      <w:r>
        <w:t>Apulco</w:t>
      </w:r>
      <w:proofErr w:type="spellEnd"/>
      <w:r>
        <w:t xml:space="preserve"> </w:t>
      </w:r>
      <w:proofErr w:type="spellStart"/>
      <w:r w:rsidR="00071EC9">
        <w:t>CoHe</w:t>
      </w:r>
      <w:proofErr w:type="spellEnd"/>
      <w:r w:rsidR="00CE4961">
        <w:t xml:space="preserve"> 0,28% / 9,5% medicinálny plyn</w:t>
      </w:r>
      <w:r w:rsidR="000542BE">
        <w:t xml:space="preserve"> stlačený</w:t>
      </w:r>
    </w:p>
    <w:p w14:paraId="64DC6601" w14:textId="0F3BD482" w:rsidR="00A53532" w:rsidRPr="00B13545" w:rsidRDefault="00A53532" w:rsidP="00A53532">
      <w:proofErr w:type="spellStart"/>
      <w:r>
        <w:t>Apulco</w:t>
      </w:r>
      <w:proofErr w:type="spellEnd"/>
      <w:r>
        <w:t xml:space="preserve"> </w:t>
      </w:r>
      <w:proofErr w:type="spellStart"/>
      <w:r>
        <w:t>CoHeMax</w:t>
      </w:r>
      <w:proofErr w:type="spellEnd"/>
      <w:r w:rsidR="00CE4961">
        <w:t xml:space="preserve"> 0,28% / 14% medicinálny plyn</w:t>
      </w:r>
      <w:r w:rsidR="000542BE">
        <w:t xml:space="preserve"> stlačený</w:t>
      </w:r>
    </w:p>
    <w:p w14:paraId="76421F22" w14:textId="77777777" w:rsidR="00A94E84" w:rsidRDefault="00A94E84">
      <w:pPr>
        <w:widowControl w:val="0"/>
        <w:rPr>
          <w:b/>
        </w:rPr>
      </w:pPr>
    </w:p>
    <w:p w14:paraId="35F54BAA" w14:textId="77777777" w:rsidR="001E5A4A" w:rsidRPr="00B13545" w:rsidRDefault="001E5A4A">
      <w:pPr>
        <w:widowControl w:val="0"/>
        <w:rPr>
          <w:b/>
        </w:rPr>
      </w:pPr>
    </w:p>
    <w:p w14:paraId="61B15555" w14:textId="77777777" w:rsidR="001D29E6" w:rsidRPr="00B13545" w:rsidRDefault="001D29E6">
      <w:pPr>
        <w:widowControl w:val="0"/>
      </w:pPr>
      <w:r>
        <w:rPr>
          <w:b/>
        </w:rPr>
        <w:t>2.</w:t>
      </w:r>
      <w:r>
        <w:tab/>
      </w:r>
      <w:r>
        <w:rPr>
          <w:b/>
        </w:rPr>
        <w:t>KVALITATÍVNE A KVANTITATÍVNE ZLOŽENIE</w:t>
      </w:r>
    </w:p>
    <w:p w14:paraId="6B2392FD" w14:textId="77777777" w:rsidR="00777851" w:rsidRPr="00B13545" w:rsidRDefault="00777851"/>
    <w:p w14:paraId="4ECAF071" w14:textId="4074D9ED" w:rsidR="005E363C" w:rsidRDefault="00A53532" w:rsidP="005E363C">
      <w:proofErr w:type="spellStart"/>
      <w:r>
        <w:t>Apulco</w:t>
      </w:r>
      <w:proofErr w:type="spellEnd"/>
      <w:r>
        <w:t xml:space="preserve"> </w:t>
      </w:r>
      <w:proofErr w:type="spellStart"/>
      <w:r w:rsidR="00071EC9">
        <w:t>CoHe</w:t>
      </w:r>
      <w:proofErr w:type="spellEnd"/>
      <w:r w:rsidR="00071EC9">
        <w:rPr>
          <w:rFonts w:ascii="Arial Narrow" w:hAnsi="Arial Narrow"/>
        </w:rPr>
        <w:t xml:space="preserve"> </w:t>
      </w:r>
    </w:p>
    <w:p w14:paraId="5A76F4B1" w14:textId="5DD93DE0" w:rsidR="00E85114" w:rsidRPr="002A25D5" w:rsidRDefault="00E85114" w:rsidP="00E85114">
      <w:r>
        <w:t>Oxid uhoľnatý (CO)</w:t>
      </w:r>
      <w:r>
        <w:tab/>
        <w:t xml:space="preserve">     0,28 % mol/mol </w:t>
      </w:r>
      <w:r>
        <w:tab/>
      </w:r>
      <w:r w:rsidR="003A7AF2">
        <w:t xml:space="preserve">pod </w:t>
      </w:r>
      <w:r>
        <w:t>tlakom 200 barov (15 °C)</w:t>
      </w:r>
    </w:p>
    <w:p w14:paraId="20961BBF" w14:textId="72279FFA" w:rsidR="00E85114" w:rsidRPr="002A25D5" w:rsidRDefault="00C06318" w:rsidP="00E85114">
      <w:pPr>
        <w:tabs>
          <w:tab w:val="left" w:pos="2552"/>
        </w:tabs>
      </w:pPr>
      <w:r>
        <w:t>Hélium (He)</w:t>
      </w:r>
      <w:r>
        <w:tab/>
        <w:t>9,5 % mol/mol</w:t>
      </w:r>
      <w:r>
        <w:tab/>
      </w:r>
      <w:r>
        <w:tab/>
      </w:r>
      <w:r w:rsidR="003A7AF2">
        <w:t xml:space="preserve">pod </w:t>
      </w:r>
      <w:r>
        <w:t>tlakom 200 barov (15 °C)</w:t>
      </w:r>
    </w:p>
    <w:p w14:paraId="39B32203" w14:textId="77777777" w:rsidR="009C45CC" w:rsidRDefault="009C45CC" w:rsidP="005E363C"/>
    <w:p w14:paraId="282CACB3" w14:textId="77777777" w:rsidR="005E363C" w:rsidRDefault="005E363C" w:rsidP="001F3B5B">
      <w:r>
        <w:t>5 litrová plynová fľaša naplnená na 200 barov poskytuje 0</w:t>
      </w:r>
      <w:r w:rsidR="00DD17A4">
        <w:t>,</w:t>
      </w:r>
      <w:r>
        <w:t>904 Nm</w:t>
      </w:r>
      <w:r>
        <w:rPr>
          <w:vertAlign w:val="superscript"/>
        </w:rPr>
        <w:t>3</w:t>
      </w:r>
      <w:r>
        <w:t xml:space="preserve"> plynu s tlakom 1 bar pri teplote 15 °C.</w:t>
      </w:r>
    </w:p>
    <w:p w14:paraId="54EA202C" w14:textId="77777777" w:rsidR="005E363C" w:rsidRDefault="005E363C" w:rsidP="001F3B5B">
      <w:r>
        <w:t>10 litrová plynová fľaša naplnená na 200 barov poskytuje 1</w:t>
      </w:r>
      <w:r w:rsidR="00DD17A4">
        <w:t>,</w:t>
      </w:r>
      <w:r>
        <w:t>808 Nm</w:t>
      </w:r>
      <w:r>
        <w:rPr>
          <w:vertAlign w:val="superscript"/>
        </w:rPr>
        <w:t>3</w:t>
      </w:r>
      <w:r>
        <w:t xml:space="preserve"> plynu s tlakom 1 bar pri teplote 15 °C.</w:t>
      </w:r>
    </w:p>
    <w:p w14:paraId="34E12D53" w14:textId="77777777" w:rsidR="005E363C" w:rsidRDefault="005E363C" w:rsidP="001F3B5B">
      <w:r>
        <w:t>20 litrová plynová fľaša naplnená na 200 barov poskytuje 3</w:t>
      </w:r>
      <w:r w:rsidR="00DD17A4">
        <w:t>,</w:t>
      </w:r>
      <w:r>
        <w:t>615 Nm</w:t>
      </w:r>
      <w:r>
        <w:rPr>
          <w:vertAlign w:val="superscript"/>
        </w:rPr>
        <w:t>3</w:t>
      </w:r>
      <w:r>
        <w:t xml:space="preserve"> plynu s tlakom 1 bar pri teplote 15 °C.</w:t>
      </w:r>
    </w:p>
    <w:p w14:paraId="3D948DDD" w14:textId="77777777" w:rsidR="005E363C" w:rsidRDefault="005E363C" w:rsidP="001F3B5B">
      <w:r>
        <w:t>40 litrová plynová fľaša naplnená na 200 barov poskytuje 7</w:t>
      </w:r>
      <w:r w:rsidR="00DD17A4">
        <w:t>,</w:t>
      </w:r>
      <w:r>
        <w:t>231 Nm</w:t>
      </w:r>
      <w:r>
        <w:rPr>
          <w:vertAlign w:val="superscript"/>
        </w:rPr>
        <w:t>3</w:t>
      </w:r>
      <w:r>
        <w:t xml:space="preserve"> plynu s tlakom 1 bar pri teplote 15 °C.</w:t>
      </w:r>
    </w:p>
    <w:p w14:paraId="0713206B" w14:textId="77777777" w:rsidR="009F1519" w:rsidRDefault="009F1519"/>
    <w:p w14:paraId="03CF6724" w14:textId="77777777" w:rsidR="00A53532" w:rsidRDefault="00A53532" w:rsidP="00C06318">
      <w:proofErr w:type="spellStart"/>
      <w:r>
        <w:t>Apulco</w:t>
      </w:r>
      <w:proofErr w:type="spellEnd"/>
      <w:r>
        <w:t xml:space="preserve"> </w:t>
      </w:r>
      <w:proofErr w:type="spellStart"/>
      <w:r>
        <w:t>CoHeMax</w:t>
      </w:r>
      <w:proofErr w:type="spellEnd"/>
    </w:p>
    <w:p w14:paraId="46B48162" w14:textId="75311F58" w:rsidR="00C06318" w:rsidRPr="002A25D5" w:rsidRDefault="00C06318" w:rsidP="00C06318">
      <w:r>
        <w:t>Oxid uhoľnatý (CO)</w:t>
      </w:r>
      <w:r>
        <w:tab/>
        <w:t xml:space="preserve">     0,28 % mol/mol </w:t>
      </w:r>
      <w:r>
        <w:tab/>
      </w:r>
      <w:r w:rsidR="003A7AF2">
        <w:t xml:space="preserve">pod </w:t>
      </w:r>
      <w:r>
        <w:t>tlakom 200 barov (15 °C)</w:t>
      </w:r>
    </w:p>
    <w:p w14:paraId="15D45403" w14:textId="788C77F7" w:rsidR="00C06318" w:rsidRPr="002A25D5" w:rsidRDefault="00C06318" w:rsidP="00C06318">
      <w:pPr>
        <w:tabs>
          <w:tab w:val="left" w:pos="2552"/>
        </w:tabs>
      </w:pPr>
      <w:r>
        <w:t>Hélium (He)</w:t>
      </w:r>
      <w:r>
        <w:tab/>
        <w:t>14 % mol/mol</w:t>
      </w:r>
      <w:r>
        <w:tab/>
      </w:r>
      <w:r>
        <w:tab/>
      </w:r>
      <w:r w:rsidR="003A7AF2">
        <w:t xml:space="preserve">pod </w:t>
      </w:r>
      <w:r>
        <w:t>tlakom 200 barov (15 °C)</w:t>
      </w:r>
    </w:p>
    <w:p w14:paraId="0DA7AE8A" w14:textId="77777777" w:rsidR="00C06318" w:rsidRPr="002A25D5" w:rsidRDefault="00C06318" w:rsidP="00C06318"/>
    <w:p w14:paraId="74DFA77E" w14:textId="77777777" w:rsidR="00C06318" w:rsidRDefault="00C06318"/>
    <w:p w14:paraId="432971ED" w14:textId="77777777" w:rsidR="000F695A" w:rsidRDefault="000F695A" w:rsidP="001F3B5B">
      <w:r>
        <w:t>5 litrová plynová fľaša naplnená na 200 barov poskytuje 0</w:t>
      </w:r>
      <w:r w:rsidR="00DD17A4">
        <w:t>,</w:t>
      </w:r>
      <w:r>
        <w:t>897 Nm</w:t>
      </w:r>
      <w:r>
        <w:rPr>
          <w:vertAlign w:val="superscript"/>
        </w:rPr>
        <w:t>3</w:t>
      </w:r>
      <w:r>
        <w:t xml:space="preserve"> plynu s tlakom 1 bar pri teplote 15 °C.</w:t>
      </w:r>
    </w:p>
    <w:p w14:paraId="28047355" w14:textId="77777777" w:rsidR="000F695A" w:rsidRDefault="000F695A" w:rsidP="001F3B5B">
      <w:r>
        <w:t>10 litrová plynová fľaša naplnená na 200 barov poskytuje 1</w:t>
      </w:r>
      <w:r w:rsidR="00DD17A4">
        <w:t>,</w:t>
      </w:r>
      <w:r>
        <w:t>794 Nm</w:t>
      </w:r>
      <w:r>
        <w:rPr>
          <w:vertAlign w:val="superscript"/>
        </w:rPr>
        <w:t>3</w:t>
      </w:r>
      <w:r>
        <w:t xml:space="preserve"> plynu s tlakom 1 bar pri teplote 15 °C.</w:t>
      </w:r>
    </w:p>
    <w:p w14:paraId="4DC93C60" w14:textId="77777777" w:rsidR="000F695A" w:rsidRDefault="000F695A" w:rsidP="001F3B5B">
      <w:r>
        <w:t>20 litrová plynová fľaša naplnená na 200 barov poskytuje 3</w:t>
      </w:r>
      <w:r w:rsidR="00DD17A4">
        <w:t>,</w:t>
      </w:r>
      <w:r>
        <w:t>589 Nm</w:t>
      </w:r>
      <w:r>
        <w:rPr>
          <w:vertAlign w:val="superscript"/>
        </w:rPr>
        <w:t>3</w:t>
      </w:r>
      <w:r>
        <w:t xml:space="preserve"> plynu s tlakom 1 bar pri teplote 15 °C.</w:t>
      </w:r>
    </w:p>
    <w:p w14:paraId="3C1E0711" w14:textId="77777777" w:rsidR="000F695A" w:rsidRDefault="000F695A" w:rsidP="001F3B5B">
      <w:r>
        <w:t>40 litrová plynová fľaša naplnená na 200 barov poskytuje 7</w:t>
      </w:r>
      <w:r w:rsidR="00DD17A4">
        <w:t>,</w:t>
      </w:r>
      <w:r>
        <w:t>178 Nm</w:t>
      </w:r>
      <w:r>
        <w:rPr>
          <w:vertAlign w:val="superscript"/>
        </w:rPr>
        <w:t>3</w:t>
      </w:r>
      <w:r>
        <w:t xml:space="preserve"> plynu s tlakom 1 bar pri teplote 15 °C.</w:t>
      </w:r>
    </w:p>
    <w:p w14:paraId="6701E8FF" w14:textId="77777777" w:rsidR="0050267F" w:rsidRDefault="0050267F"/>
    <w:p w14:paraId="4F5465F6" w14:textId="77777777" w:rsidR="00777851" w:rsidRPr="00F15A1A" w:rsidRDefault="006555D2">
      <w:r>
        <w:t>Úplný zoznam pomocných látok, pozri časť 6.1.</w:t>
      </w:r>
    </w:p>
    <w:p w14:paraId="73D87AB6" w14:textId="77777777" w:rsidR="001D29E6" w:rsidRDefault="001D29E6"/>
    <w:p w14:paraId="40E1EAB0" w14:textId="77777777" w:rsidR="001E5A4A" w:rsidRPr="00F15A1A" w:rsidRDefault="001E5A4A"/>
    <w:p w14:paraId="52E88AFB" w14:textId="77777777" w:rsidR="001D29E6" w:rsidRPr="00F15A1A" w:rsidRDefault="001D29E6">
      <w:pPr>
        <w:ind w:left="567" w:hanging="567"/>
        <w:rPr>
          <w:b/>
          <w:caps/>
        </w:rPr>
      </w:pPr>
      <w:r>
        <w:rPr>
          <w:b/>
        </w:rPr>
        <w:t>3.</w:t>
      </w:r>
      <w:r>
        <w:tab/>
      </w:r>
      <w:r>
        <w:rPr>
          <w:b/>
        </w:rPr>
        <w:t xml:space="preserve">LIEKOVÁ </w:t>
      </w:r>
      <w:r>
        <w:rPr>
          <w:b/>
          <w:caps/>
        </w:rPr>
        <w:t>FORMA</w:t>
      </w:r>
    </w:p>
    <w:p w14:paraId="3E28AA8E" w14:textId="77777777" w:rsidR="001D29E6" w:rsidRPr="00F15A1A" w:rsidRDefault="001D29E6"/>
    <w:p w14:paraId="3923EE97" w14:textId="77777777" w:rsidR="00EE3C30" w:rsidRPr="00F15A1A" w:rsidRDefault="00EE3C30" w:rsidP="00EE3C30">
      <w:r>
        <w:t>Medicinálny plyn, stlačený.</w:t>
      </w:r>
    </w:p>
    <w:p w14:paraId="3284EB00" w14:textId="77777777" w:rsidR="00EE3C30" w:rsidRPr="00F15A1A" w:rsidRDefault="00EE3C30" w:rsidP="00EE3C30">
      <w:r>
        <w:t>Bezfarebný plyn bez zápachu a chuti.</w:t>
      </w:r>
    </w:p>
    <w:p w14:paraId="3038382A" w14:textId="77777777" w:rsidR="001D29E6" w:rsidRDefault="001D29E6"/>
    <w:p w14:paraId="65C49055" w14:textId="77777777" w:rsidR="001E5A4A" w:rsidRDefault="001E5A4A"/>
    <w:p w14:paraId="77CF82F0" w14:textId="77777777" w:rsidR="001D29E6" w:rsidRDefault="001D29E6">
      <w:pPr>
        <w:ind w:left="567" w:hanging="567"/>
        <w:rPr>
          <w:caps/>
        </w:rPr>
      </w:pPr>
      <w:r>
        <w:rPr>
          <w:b/>
          <w:caps/>
        </w:rPr>
        <w:t>4.</w:t>
      </w:r>
      <w:r>
        <w:tab/>
      </w:r>
      <w:r>
        <w:rPr>
          <w:b/>
          <w:caps/>
        </w:rPr>
        <w:t>KLINICKÉ ÚDAJE</w:t>
      </w:r>
    </w:p>
    <w:p w14:paraId="6EDF2FAA" w14:textId="77777777" w:rsidR="001D29E6" w:rsidRDefault="001D29E6"/>
    <w:p w14:paraId="03347DFA" w14:textId="77777777" w:rsidR="001D29E6" w:rsidRDefault="001D29E6">
      <w:pPr>
        <w:ind w:left="567" w:hanging="567"/>
      </w:pPr>
      <w:r>
        <w:rPr>
          <w:b/>
        </w:rPr>
        <w:t>4.1</w:t>
      </w:r>
      <w:r>
        <w:tab/>
      </w:r>
      <w:r>
        <w:rPr>
          <w:b/>
        </w:rPr>
        <w:t>Terapeutické indikácie</w:t>
      </w:r>
    </w:p>
    <w:p w14:paraId="0FD1A4FB" w14:textId="77777777" w:rsidR="001D29E6" w:rsidRDefault="001D29E6"/>
    <w:p w14:paraId="78B2FDC2" w14:textId="77777777" w:rsidR="00EE3C30" w:rsidRPr="00B36772" w:rsidRDefault="00B36772" w:rsidP="00B36772">
      <w:r>
        <w:t>Tento medicinálny plyn je určený len na diagnostické použitie.</w:t>
      </w:r>
    </w:p>
    <w:p w14:paraId="05BE04C0" w14:textId="77777777" w:rsidR="00EE3C30" w:rsidRPr="00B36772" w:rsidRDefault="00EE3C30" w:rsidP="00B36772"/>
    <w:p w14:paraId="65C8E43B" w14:textId="77777777" w:rsidR="00F13CD9" w:rsidRPr="00CC4004" w:rsidRDefault="00F13CD9" w:rsidP="00F13CD9">
      <w:pPr>
        <w:pStyle w:val="ndringa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Slúži na diagnostické testovanie funkcie pľúc: Stanovenie faktora kapacity difúzie/transferu.</w:t>
      </w:r>
    </w:p>
    <w:p w14:paraId="66E8AB42" w14:textId="77777777" w:rsidR="00400700" w:rsidRDefault="00400700">
      <w:pPr>
        <w:ind w:left="567" w:hanging="567"/>
        <w:rPr>
          <w:b/>
        </w:rPr>
      </w:pPr>
    </w:p>
    <w:p w14:paraId="06FEFE8A" w14:textId="77777777" w:rsidR="001D29E6" w:rsidRDefault="001D29E6">
      <w:pPr>
        <w:ind w:left="567" w:hanging="567"/>
        <w:rPr>
          <w:b/>
        </w:rPr>
      </w:pPr>
      <w:r>
        <w:rPr>
          <w:b/>
        </w:rPr>
        <w:t>4.2</w:t>
      </w:r>
      <w:r>
        <w:tab/>
      </w:r>
      <w:r>
        <w:rPr>
          <w:b/>
        </w:rPr>
        <w:t>Dávkovanie a spôsob podávania</w:t>
      </w:r>
    </w:p>
    <w:p w14:paraId="7F779566" w14:textId="77777777" w:rsidR="001D29E6" w:rsidRPr="00B36772" w:rsidRDefault="001D29E6" w:rsidP="00B36772"/>
    <w:p w14:paraId="29AB5CC6" w14:textId="77777777" w:rsidR="00EE7231" w:rsidRPr="002A25D5" w:rsidRDefault="00EE7231" w:rsidP="00EE7231">
      <w:r>
        <w:lastRenderedPageBreak/>
        <w:t xml:space="preserve">Tento medicinálny plyn je určený na vdýchnutie len počas diagnostického testu funkcie pľúc. Musí byť použitý len v súlade s návodom na použitie zariadenia určeného na diagnostiku pľúc. Medicinálny plyn sa vdychuje na jeden nádych, ktorý je možné zopakovať v intervaloch, maximálne však päťkrát. </w:t>
      </w:r>
    </w:p>
    <w:p w14:paraId="2E12CF01" w14:textId="77777777" w:rsidR="00EE7231" w:rsidRPr="002A25D5" w:rsidRDefault="00EE7231" w:rsidP="00EE7231">
      <w:r>
        <w:t>Diagnostické merania musia byť vykonané len zdravotníckymi pracovníkmi, ktorí sú vyškolení vo vykonávaní testov funkcie pľúc.</w:t>
      </w:r>
    </w:p>
    <w:p w14:paraId="229C203F" w14:textId="77777777" w:rsidR="00EE3C30" w:rsidRPr="00B36772" w:rsidRDefault="00EE3C30" w:rsidP="00B36772"/>
    <w:p w14:paraId="107B7E5E" w14:textId="77777777" w:rsidR="001D29E6" w:rsidRDefault="001D29E6">
      <w:pPr>
        <w:ind w:left="567" w:hanging="567"/>
      </w:pPr>
      <w:r>
        <w:rPr>
          <w:b/>
        </w:rPr>
        <w:t>4.3</w:t>
      </w:r>
      <w:r>
        <w:tab/>
      </w:r>
      <w:r>
        <w:rPr>
          <w:b/>
        </w:rPr>
        <w:t>Kontraindikácie</w:t>
      </w:r>
    </w:p>
    <w:p w14:paraId="6CAB9850" w14:textId="77777777" w:rsidR="006737F7" w:rsidRDefault="006737F7" w:rsidP="00EE7231"/>
    <w:p w14:paraId="0DFF2FCC" w14:textId="77777777" w:rsidR="00122C4D" w:rsidRPr="00122C4D" w:rsidRDefault="00122C4D" w:rsidP="00122C4D">
      <w:pPr>
        <w:rPr>
          <w:rFonts w:eastAsia="SimSun"/>
        </w:rPr>
      </w:pPr>
      <w:proofErr w:type="spellStart"/>
      <w:r>
        <w:t>Hemoptýza</w:t>
      </w:r>
      <w:proofErr w:type="spellEnd"/>
      <w:r>
        <w:t xml:space="preserve"> </w:t>
      </w:r>
    </w:p>
    <w:p w14:paraId="11D96CF8" w14:textId="77777777" w:rsidR="00122C4D" w:rsidRPr="00122C4D" w:rsidRDefault="00122C4D" w:rsidP="00122C4D">
      <w:pPr>
        <w:rPr>
          <w:rFonts w:eastAsia="SimSun"/>
        </w:rPr>
      </w:pPr>
      <w:proofErr w:type="spellStart"/>
      <w:r>
        <w:t>Pneumotorax</w:t>
      </w:r>
      <w:proofErr w:type="spellEnd"/>
    </w:p>
    <w:p w14:paraId="5D3620FC" w14:textId="77777777" w:rsidR="00122C4D" w:rsidRPr="00122C4D" w:rsidRDefault="00122C4D" w:rsidP="00122C4D">
      <w:pPr>
        <w:rPr>
          <w:rFonts w:eastAsia="SimSun"/>
        </w:rPr>
      </w:pPr>
      <w:r>
        <w:t>Prítomnosť toxicity CO</w:t>
      </w:r>
    </w:p>
    <w:p w14:paraId="009C5AE9" w14:textId="77777777" w:rsidR="00122C4D" w:rsidRPr="00122C4D" w:rsidRDefault="00122C4D" w:rsidP="00122C4D">
      <w:pPr>
        <w:rPr>
          <w:rFonts w:eastAsia="SimSun"/>
        </w:rPr>
      </w:pPr>
      <w:r>
        <w:t xml:space="preserve">Nebezpečné hladiny </w:t>
      </w:r>
      <w:proofErr w:type="spellStart"/>
      <w:r>
        <w:t>oxyhemoglobínu</w:t>
      </w:r>
      <w:proofErr w:type="spellEnd"/>
    </w:p>
    <w:p w14:paraId="09585DB0" w14:textId="77777777" w:rsidR="00122C4D" w:rsidRDefault="00122C4D" w:rsidP="00122C4D">
      <w:pPr>
        <w:rPr>
          <w:rFonts w:eastAsia="SimSun"/>
        </w:rPr>
      </w:pPr>
      <w:r>
        <w:t>Aneuryzmy v hrudníku, bruchu (&gt; 5 cm) alebo v mozgu</w:t>
      </w:r>
    </w:p>
    <w:p w14:paraId="1E0ECF87" w14:textId="77777777" w:rsidR="00122C4D" w:rsidRPr="00122C4D" w:rsidRDefault="00122C4D" w:rsidP="00122C4D">
      <w:pPr>
        <w:rPr>
          <w:rFonts w:eastAsia="SimSun"/>
        </w:rPr>
      </w:pPr>
    </w:p>
    <w:p w14:paraId="57B9F50E" w14:textId="77777777" w:rsidR="001D29E6" w:rsidRDefault="001D29E6">
      <w:pPr>
        <w:ind w:left="567" w:hanging="567"/>
        <w:rPr>
          <w:b/>
        </w:rPr>
      </w:pPr>
      <w:r>
        <w:rPr>
          <w:b/>
        </w:rPr>
        <w:t>4.4</w:t>
      </w:r>
      <w:r>
        <w:tab/>
      </w:r>
      <w:r>
        <w:rPr>
          <w:b/>
        </w:rPr>
        <w:t>Osobitné upozornenia a opatrenia pri používaní</w:t>
      </w:r>
    </w:p>
    <w:p w14:paraId="13FAF50D" w14:textId="77777777" w:rsidR="00C53ACC" w:rsidRDefault="00C53ACC">
      <w:pPr>
        <w:ind w:left="567" w:hanging="567"/>
      </w:pPr>
    </w:p>
    <w:p w14:paraId="1D97BAD5" w14:textId="77777777" w:rsidR="00122C4D" w:rsidRPr="00615025" w:rsidRDefault="001D3844" w:rsidP="00122C4D">
      <w:r>
        <w:t>Pacienti s anamnézou ochorenia koronárnych tepien môžu byť vystavení riziku poklesu segmentu ST navodenú CO.</w:t>
      </w:r>
    </w:p>
    <w:p w14:paraId="60E73F50" w14:textId="77777777" w:rsidR="00122C4D" w:rsidRPr="00615025" w:rsidRDefault="001D3844" w:rsidP="00122C4D">
      <w:r>
        <w:t xml:space="preserve">Nestabilita kardiovaskulárneho systému: </w:t>
      </w:r>
    </w:p>
    <w:p w14:paraId="2274DA46" w14:textId="77777777" w:rsidR="00614165" w:rsidRDefault="00122C4D">
      <w:pPr>
        <w:pStyle w:val="Odsekzoznamu"/>
        <w:numPr>
          <w:ilvl w:val="0"/>
          <w:numId w:val="45"/>
        </w:numPr>
        <w:rPr>
          <w:color w:val="000000"/>
          <w:szCs w:val="24"/>
        </w:rPr>
      </w:pPr>
      <w:r>
        <w:t>Nedávny infarkt myokardu</w:t>
      </w:r>
      <w:r>
        <w:rPr>
          <w:color w:val="000000"/>
        </w:rPr>
        <w:t xml:space="preserve">: Odporúčaná </w:t>
      </w:r>
      <w:r>
        <w:t>doba odloženia testu je</w:t>
      </w:r>
      <w:r>
        <w:rPr>
          <w:b/>
          <w:snapToGrid w:val="0"/>
        </w:rPr>
        <w:t xml:space="preserve"> </w:t>
      </w:r>
      <w:r>
        <w:rPr>
          <w:color w:val="000000"/>
        </w:rPr>
        <w:t>1 týždeň.</w:t>
      </w:r>
    </w:p>
    <w:p w14:paraId="77E66CB8" w14:textId="0893CF5F" w:rsidR="00614165" w:rsidRDefault="001D3844">
      <w:pPr>
        <w:pStyle w:val="Odsekzoznamu"/>
        <w:numPr>
          <w:ilvl w:val="0"/>
          <w:numId w:val="44"/>
        </w:numPr>
        <w:ind w:left="567" w:hanging="207"/>
        <w:rPr>
          <w:snapToGrid w:val="0"/>
          <w:szCs w:val="22"/>
        </w:rPr>
      </w:pPr>
      <w:proofErr w:type="spellStart"/>
      <w:r>
        <w:t>Angina</w:t>
      </w:r>
      <w:proofErr w:type="spellEnd"/>
      <w:r>
        <w:t xml:space="preserve"> </w:t>
      </w:r>
      <w:proofErr w:type="spellStart"/>
      <w:r>
        <w:t>pectoris</w:t>
      </w:r>
      <w:proofErr w:type="spellEnd"/>
      <w:r>
        <w:t xml:space="preserve">: Pred testom </w:t>
      </w:r>
      <w:r w:rsidR="00CA70A3">
        <w:t xml:space="preserve">sa odporúča </w:t>
      </w:r>
      <w:r>
        <w:t xml:space="preserve">podať </w:t>
      </w:r>
      <w:proofErr w:type="spellStart"/>
      <w:r w:rsidR="005460E5">
        <w:t>glyceroltrinitrát</w:t>
      </w:r>
      <w:proofErr w:type="spellEnd"/>
      <w:r w:rsidR="005460E5">
        <w:t xml:space="preserve"> </w:t>
      </w:r>
      <w:r>
        <w:t xml:space="preserve">(GTN) pod jazyk. </w:t>
      </w:r>
    </w:p>
    <w:p w14:paraId="5DE5BF03" w14:textId="29873233" w:rsidR="00122C4D" w:rsidRPr="00615025" w:rsidRDefault="001D3844" w:rsidP="00122C4D">
      <w:pPr>
        <w:rPr>
          <w:b/>
          <w:snapToGrid w:val="0"/>
          <w:szCs w:val="22"/>
        </w:rPr>
      </w:pPr>
      <w:r>
        <w:t xml:space="preserve">Nedávna operácia oka: Odporúčaná doba odloženia testu sú 2 – 3 týždne, </w:t>
      </w:r>
      <w:r w:rsidR="005460E5">
        <w:t>môže byť však potrebná dlhšia doba</w:t>
      </w:r>
      <w:r>
        <w:t xml:space="preserve"> odloženia testu v závislosti na type operácie oka. Pred vykonaním diagnostických testov funkcie pľúc získajte odporúčania príslušných špecialistov a riziká akéhokoľvek testu musia byť prevážené získanými benefitmi.</w:t>
      </w:r>
    </w:p>
    <w:p w14:paraId="51DDACC8" w14:textId="77777777" w:rsidR="00122C4D" w:rsidRPr="00615025" w:rsidRDefault="001D3844" w:rsidP="00122C4D">
      <w:pPr>
        <w:rPr>
          <w:snapToGrid w:val="0"/>
          <w:szCs w:val="22"/>
        </w:rPr>
      </w:pPr>
      <w:r>
        <w:t>Prítomnosť akútneho ochorenia alebo symptómu, ktorý by mohol interferovať s testom.</w:t>
      </w:r>
    </w:p>
    <w:p w14:paraId="403A5491" w14:textId="77777777" w:rsidR="00122C4D" w:rsidRPr="00615025" w:rsidRDefault="001D3844" w:rsidP="00122C4D">
      <w:pPr>
        <w:rPr>
          <w:snapToGrid w:val="0"/>
          <w:szCs w:val="22"/>
        </w:rPr>
      </w:pPr>
      <w:r>
        <w:t>Nedávna operácia hrudníka alebo brucha: Odporúčaná doba odloženia testu sú 4 týždne.</w:t>
      </w:r>
    </w:p>
    <w:p w14:paraId="18CB0556" w14:textId="77777777" w:rsidR="00122C4D" w:rsidRPr="00615025" w:rsidRDefault="001D3844" w:rsidP="00122C4D">
      <w:pPr>
        <w:rPr>
          <w:snapToGrid w:val="0"/>
          <w:szCs w:val="22"/>
        </w:rPr>
      </w:pPr>
      <w:r>
        <w:t>Neschopnosť pacienta dodržiavať pokyny špecifického testu požadované technikom z dôvodu mentálneho alebo fyzického postihnutia alebo veku.</w:t>
      </w:r>
    </w:p>
    <w:p w14:paraId="3F9872BC" w14:textId="77777777" w:rsidR="00122C4D" w:rsidRPr="00615025" w:rsidRDefault="001D3844" w:rsidP="00122C4D">
      <w:pPr>
        <w:rPr>
          <w:snapToGrid w:val="0"/>
          <w:szCs w:val="22"/>
        </w:rPr>
      </w:pPr>
      <w:r>
        <w:t>Veľká porcia jedla alebo dynamická fyzická aktivita bezprostredne pred testom.</w:t>
      </w:r>
    </w:p>
    <w:p w14:paraId="56765C81" w14:textId="77777777" w:rsidR="00122C4D" w:rsidRPr="00615025" w:rsidRDefault="001D3844" w:rsidP="00122C4D">
      <w:pPr>
        <w:rPr>
          <w:snapToGrid w:val="0"/>
          <w:szCs w:val="22"/>
        </w:rPr>
      </w:pPr>
      <w:r>
        <w:t>Fajčenie v rámci 24 hodín pred testom.</w:t>
      </w:r>
    </w:p>
    <w:p w14:paraId="15C7A246" w14:textId="77777777" w:rsidR="00122C4D" w:rsidRPr="00615025" w:rsidRDefault="001D3844" w:rsidP="00122C4D">
      <w:pPr>
        <w:rPr>
          <w:snapToGrid w:val="0"/>
          <w:szCs w:val="22"/>
        </w:rPr>
      </w:pPr>
      <w:r>
        <w:t>Znížená vitálna kapacita mimo hodnôt potrebných na presnú interpretáciu výsledkov transferu plynov.</w:t>
      </w:r>
    </w:p>
    <w:p w14:paraId="49C0E736" w14:textId="77777777" w:rsidR="00CA70A3" w:rsidRDefault="00CA70A3" w:rsidP="00EE7231">
      <w:pPr>
        <w:pStyle w:val="ndringar"/>
        <w:rPr>
          <w:rFonts w:ascii="Times New Roman" w:hAnsi="Times New Roman"/>
          <w:color w:val="000000"/>
          <w:sz w:val="22"/>
        </w:rPr>
      </w:pPr>
    </w:p>
    <w:p w14:paraId="26A91001" w14:textId="429D9B54" w:rsidR="00EE7231" w:rsidRPr="00751FCC" w:rsidRDefault="00EE7231" w:rsidP="00EE7231">
      <w:pPr>
        <w:pStyle w:val="ndringa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Vdýchnutie oxidu uhoľnatého môže vyvolať symptómy zníženého príjmu kyslíka, napr. závraty, bolesť na hrudi a pocit dezorientácie. Výskyt takýchto symptómov je vysoko nepravdepodobný po vdýchnutí medicinálneho </w:t>
      </w:r>
      <w:r w:rsidR="00703F46">
        <w:rPr>
          <w:rFonts w:ascii="Times New Roman" w:hAnsi="Times New Roman"/>
          <w:color w:val="000000"/>
          <w:sz w:val="22"/>
        </w:rPr>
        <w:t xml:space="preserve">plynu </w:t>
      </w:r>
      <w:r>
        <w:rPr>
          <w:rFonts w:ascii="Times New Roman" w:hAnsi="Times New Roman"/>
          <w:color w:val="000000"/>
          <w:sz w:val="22"/>
        </w:rPr>
        <w:t>ako súčasti testovania funkcie pľúc. Avšak v prípade výskytu akýchkoľvek symptómov tejto povahy počas použitia tohto medicinálneho plynu musí byť vdychovanie tohto medicinálneho plynu okamžite zastavené a musí byť podané lekárske ošetrenie.</w:t>
      </w:r>
    </w:p>
    <w:p w14:paraId="3ED7AF29" w14:textId="77777777" w:rsidR="00EE7231" w:rsidRPr="00751FCC" w:rsidRDefault="00EE7231" w:rsidP="00EE7231">
      <w:pPr>
        <w:pStyle w:val="ndringar"/>
        <w:rPr>
          <w:rFonts w:ascii="Times New Roman" w:hAnsi="Times New Roman"/>
          <w:color w:val="000000"/>
          <w:sz w:val="22"/>
        </w:rPr>
      </w:pPr>
    </w:p>
    <w:p w14:paraId="73678598" w14:textId="77777777" w:rsidR="00EE7231" w:rsidRDefault="00EE7231" w:rsidP="00EE7231">
      <w:r>
        <w:t xml:space="preserve">Použitie tohto medicinálneho plynu pri diagnostických testoch funkcie pľúc je spojené s malým nárastom koncentrácie </w:t>
      </w:r>
      <w:proofErr w:type="spellStart"/>
      <w:r>
        <w:t>karboxyhemoglobínu</w:t>
      </w:r>
      <w:proofErr w:type="spellEnd"/>
      <w:r>
        <w:t xml:space="preserve"> v krvi. Nadmerný nárast koncentrácií </w:t>
      </w:r>
      <w:proofErr w:type="spellStart"/>
      <w:r>
        <w:t>karboxyhemoglobínu</w:t>
      </w:r>
      <w:proofErr w:type="spellEnd"/>
      <w:r>
        <w:t xml:space="preserve"> v krvi musí byť potvrdený následnou analýzou krvných plynov.</w:t>
      </w:r>
    </w:p>
    <w:p w14:paraId="657CFFEB" w14:textId="77777777" w:rsidR="00682DF5" w:rsidRDefault="00682DF5" w:rsidP="00EE7231"/>
    <w:p w14:paraId="0772C333" w14:textId="77777777" w:rsidR="00682DF5" w:rsidRDefault="00682DF5" w:rsidP="00EE7231">
      <w:r>
        <w:rPr>
          <w:color w:val="000000"/>
        </w:rPr>
        <w:t>Pozri časť 4.3.</w:t>
      </w:r>
    </w:p>
    <w:p w14:paraId="58B7336C" w14:textId="77777777" w:rsidR="0078102A" w:rsidRDefault="0078102A"/>
    <w:p w14:paraId="073CA369" w14:textId="77777777" w:rsidR="001D29E6" w:rsidRDefault="001D29E6">
      <w:pPr>
        <w:ind w:left="567" w:hanging="567"/>
      </w:pPr>
      <w:r>
        <w:rPr>
          <w:b/>
        </w:rPr>
        <w:t>4.5</w:t>
      </w:r>
      <w:r>
        <w:tab/>
      </w:r>
      <w:r>
        <w:rPr>
          <w:b/>
        </w:rPr>
        <w:t>Liekové a iné interakcie</w:t>
      </w:r>
    </w:p>
    <w:p w14:paraId="3C559935" w14:textId="77777777" w:rsidR="001D29E6" w:rsidRDefault="001D29E6"/>
    <w:p w14:paraId="3AE36A95" w14:textId="77777777" w:rsidR="001D29E6" w:rsidRDefault="005E363C">
      <w:r>
        <w:t>Nie sú známe.</w:t>
      </w:r>
    </w:p>
    <w:p w14:paraId="417CB849" w14:textId="77777777" w:rsidR="00F408D6" w:rsidRDefault="00F408D6"/>
    <w:p w14:paraId="68B6A069" w14:textId="77777777" w:rsidR="001D29E6" w:rsidRDefault="001D29E6">
      <w:pPr>
        <w:ind w:left="567" w:hanging="567"/>
      </w:pPr>
      <w:r>
        <w:rPr>
          <w:b/>
        </w:rPr>
        <w:t>4.6</w:t>
      </w:r>
      <w:r>
        <w:tab/>
      </w:r>
      <w:proofErr w:type="spellStart"/>
      <w:r>
        <w:rPr>
          <w:b/>
        </w:rPr>
        <w:t>Fertilita</w:t>
      </w:r>
      <w:proofErr w:type="spellEnd"/>
      <w:r>
        <w:rPr>
          <w:b/>
        </w:rPr>
        <w:t>, gravidita a laktácia</w:t>
      </w:r>
    </w:p>
    <w:p w14:paraId="4134B875" w14:textId="77777777" w:rsidR="00C53ACC" w:rsidRDefault="00C53ACC">
      <w:pPr>
        <w:rPr>
          <w:i/>
          <w:color w:val="008000"/>
        </w:rPr>
      </w:pPr>
    </w:p>
    <w:p w14:paraId="1E9531F4" w14:textId="77777777" w:rsidR="00E53689" w:rsidRPr="009C7D5F" w:rsidRDefault="00E53689" w:rsidP="00E53689">
      <w:pPr>
        <w:rPr>
          <w:i/>
        </w:rPr>
      </w:pPr>
      <w:r>
        <w:rPr>
          <w:i/>
        </w:rPr>
        <w:t>Gravidita</w:t>
      </w:r>
    </w:p>
    <w:p w14:paraId="5CAA2220" w14:textId="77777777" w:rsidR="00486B77" w:rsidRPr="00486B77" w:rsidRDefault="00E53689" w:rsidP="00E53689">
      <w:r>
        <w:t>Bezpečnosť inhalácie tohto medicinálneho plynu nebola stanovená. Pri správnom použití sa však neočakávajú žiadne nežiaduce účinky.</w:t>
      </w:r>
    </w:p>
    <w:p w14:paraId="05EC0038" w14:textId="77777777" w:rsidR="00E53689" w:rsidRPr="009C7D5F" w:rsidRDefault="00E53689" w:rsidP="00E53689"/>
    <w:p w14:paraId="49D1089C" w14:textId="09312BB5" w:rsidR="002C03EB" w:rsidRDefault="00A53532">
      <w:pPr>
        <w:rPr>
          <w:rFonts w:ascii="Arial Narrow" w:hAnsi="Arial Narrow"/>
        </w:rPr>
      </w:pPr>
      <w:r>
        <w:t xml:space="preserve">Pri jasnej indikácii </w:t>
      </w:r>
      <w:r w:rsidR="00CA70A3">
        <w:t xml:space="preserve">sa môže </w:t>
      </w:r>
      <w:proofErr w:type="spellStart"/>
      <w:r>
        <w:t>Apulco</w:t>
      </w:r>
      <w:proofErr w:type="spellEnd"/>
      <w:r>
        <w:t xml:space="preserve"> </w:t>
      </w:r>
      <w:proofErr w:type="spellStart"/>
      <w:r>
        <w:t>Co</w:t>
      </w:r>
      <w:r w:rsidR="00703F46">
        <w:t>H</w:t>
      </w:r>
      <w:r>
        <w:t>e</w:t>
      </w:r>
      <w:proofErr w:type="spellEnd"/>
      <w:r>
        <w:t xml:space="preserve"> a </w:t>
      </w:r>
      <w:proofErr w:type="spellStart"/>
      <w:r>
        <w:t>Apulco</w:t>
      </w:r>
      <w:proofErr w:type="spellEnd"/>
      <w:r>
        <w:t xml:space="preserve"> </w:t>
      </w:r>
      <w:proofErr w:type="spellStart"/>
      <w:r>
        <w:t>CoHeMax</w:t>
      </w:r>
      <w:proofErr w:type="spellEnd"/>
      <w:r>
        <w:t xml:space="preserve"> používať počas gravidity.</w:t>
      </w:r>
    </w:p>
    <w:p w14:paraId="73441F36" w14:textId="77777777" w:rsidR="00486B77" w:rsidRDefault="00486B77" w:rsidP="00E53689">
      <w:pPr>
        <w:pStyle w:val="Normlnywebov"/>
        <w:spacing w:before="0" w:beforeAutospacing="0" w:after="0" w:afterAutospacing="0" w:line="288" w:lineRule="auto"/>
        <w:rPr>
          <w:rFonts w:ascii="Times New Roman" w:hAnsi="Times New Roman" w:cs="Times New Roman"/>
          <w:sz w:val="22"/>
        </w:rPr>
      </w:pPr>
    </w:p>
    <w:p w14:paraId="176E52F4" w14:textId="3E667228" w:rsidR="00E53689" w:rsidRPr="009C7D5F" w:rsidRDefault="00703F46" w:rsidP="00E53689">
      <w:pPr>
        <w:rPr>
          <w:i/>
        </w:rPr>
      </w:pPr>
      <w:r>
        <w:rPr>
          <w:i/>
        </w:rPr>
        <w:t>Dojčenie</w:t>
      </w:r>
    </w:p>
    <w:p w14:paraId="565936FA" w14:textId="7EC03E8C" w:rsidR="00486B77" w:rsidRPr="00486B77" w:rsidRDefault="001D3844" w:rsidP="00486B77">
      <w:r>
        <w:t>Neočakávajú sa žiadne účinky na dojčen</w:t>
      </w:r>
      <w:r w:rsidR="00703F46">
        <w:t>ých novorodencov</w:t>
      </w:r>
      <w:r>
        <w:t xml:space="preserve">/deti. </w:t>
      </w:r>
      <w:proofErr w:type="spellStart"/>
      <w:r>
        <w:t>Apulco</w:t>
      </w:r>
      <w:proofErr w:type="spellEnd"/>
      <w:r>
        <w:t xml:space="preserve"> </w:t>
      </w:r>
      <w:proofErr w:type="spellStart"/>
      <w:r w:rsidR="00703F46">
        <w:t>CoHe</w:t>
      </w:r>
      <w:proofErr w:type="spellEnd"/>
      <w:r w:rsidR="00703F46">
        <w:t xml:space="preserve"> </w:t>
      </w:r>
      <w:r>
        <w:t xml:space="preserve">a </w:t>
      </w:r>
      <w:proofErr w:type="spellStart"/>
      <w:r>
        <w:t>Apulco</w:t>
      </w:r>
      <w:proofErr w:type="spellEnd"/>
      <w:r>
        <w:t xml:space="preserve"> </w:t>
      </w:r>
      <w:proofErr w:type="spellStart"/>
      <w:r>
        <w:t>CoHeMax</w:t>
      </w:r>
      <w:proofErr w:type="spellEnd"/>
      <w:r>
        <w:t xml:space="preserve"> </w:t>
      </w:r>
      <w:r w:rsidR="00CA70A3">
        <w:t xml:space="preserve">sa môže </w:t>
      </w:r>
      <w:r>
        <w:t>používať počas dojčenia.</w:t>
      </w:r>
    </w:p>
    <w:p w14:paraId="379F0058" w14:textId="77777777" w:rsidR="00486B77" w:rsidRDefault="00486B77" w:rsidP="00486B77">
      <w:pPr>
        <w:rPr>
          <w:b/>
          <w:u w:val="single"/>
        </w:rPr>
      </w:pPr>
    </w:p>
    <w:p w14:paraId="69DCFC8B" w14:textId="77777777" w:rsidR="00486B77" w:rsidRPr="00486B77" w:rsidRDefault="001D3844" w:rsidP="00486B77">
      <w:pPr>
        <w:rPr>
          <w:i/>
        </w:rPr>
      </w:pPr>
      <w:proofErr w:type="spellStart"/>
      <w:r>
        <w:rPr>
          <w:i/>
        </w:rPr>
        <w:t>Fertilita</w:t>
      </w:r>
      <w:proofErr w:type="spellEnd"/>
    </w:p>
    <w:p w14:paraId="5DD152C3" w14:textId="77777777" w:rsidR="00486B77" w:rsidRPr="00486B77" w:rsidRDefault="001D3844" w:rsidP="00486B77">
      <w:pPr>
        <w:rPr>
          <w:szCs w:val="22"/>
        </w:rPr>
      </w:pPr>
      <w:r>
        <w:t>Nie sú známe nežiaduce účinky nízkej koncentrácie oxidu uhoľnatého, hélia a kyslíka na plodnosť.</w:t>
      </w:r>
    </w:p>
    <w:p w14:paraId="4260DCC1" w14:textId="77777777" w:rsidR="00486B77" w:rsidRDefault="00486B77">
      <w:pPr>
        <w:ind w:left="567" w:hanging="567"/>
        <w:rPr>
          <w:b/>
        </w:rPr>
      </w:pPr>
    </w:p>
    <w:p w14:paraId="1901B0C2" w14:textId="77777777" w:rsidR="001D29E6" w:rsidRDefault="001D29E6">
      <w:pPr>
        <w:ind w:left="567" w:hanging="567"/>
      </w:pPr>
      <w:r>
        <w:rPr>
          <w:b/>
        </w:rPr>
        <w:t>4.7</w:t>
      </w:r>
      <w:r>
        <w:tab/>
      </w:r>
      <w:r>
        <w:rPr>
          <w:b/>
        </w:rPr>
        <w:t>Ovplyvnenie schopnosti viesť vozidlá a obsluhovať stroje</w:t>
      </w:r>
    </w:p>
    <w:p w14:paraId="70E6B161" w14:textId="77777777" w:rsidR="001D29E6" w:rsidRDefault="001D29E6"/>
    <w:p w14:paraId="5D2FCB33" w14:textId="77777777" w:rsidR="00750CB5" w:rsidRDefault="00F02E82" w:rsidP="00750CB5">
      <w:r>
        <w:t>Tento medicinálny plyn nemá žiadny vplyv na schopnosť viesť vozidlá a obsluhovať stroje.</w:t>
      </w:r>
    </w:p>
    <w:p w14:paraId="0D935233" w14:textId="77777777" w:rsidR="001D29E6" w:rsidRDefault="001D29E6"/>
    <w:p w14:paraId="67C52CDE" w14:textId="77777777" w:rsidR="001D29E6" w:rsidRDefault="001D29E6">
      <w:pPr>
        <w:numPr>
          <w:ilvl w:val="1"/>
          <w:numId w:val="10"/>
        </w:numPr>
        <w:rPr>
          <w:b/>
        </w:rPr>
      </w:pPr>
      <w:r>
        <w:rPr>
          <w:b/>
        </w:rPr>
        <w:t>Nežiaduce účinky</w:t>
      </w:r>
    </w:p>
    <w:p w14:paraId="12571F49" w14:textId="77777777" w:rsidR="00750CB5" w:rsidRDefault="00750CB5" w:rsidP="00750CB5">
      <w:pPr>
        <w:rPr>
          <w:i/>
          <w:color w:val="008000"/>
        </w:rPr>
      </w:pPr>
    </w:p>
    <w:p w14:paraId="3357F6CE" w14:textId="77777777" w:rsidR="001D29E6" w:rsidRPr="00750CB5" w:rsidRDefault="00750CB5" w:rsidP="00750CB5">
      <w:pPr>
        <w:rPr>
          <w:color w:val="000000"/>
        </w:rPr>
      </w:pPr>
      <w:r>
        <w:rPr>
          <w:color w:val="000000"/>
        </w:rPr>
        <w:t xml:space="preserve">Diagnostické použitie medicinálneho plynu </w:t>
      </w:r>
      <w:r>
        <w:t xml:space="preserve">nemá </w:t>
      </w:r>
      <w:r>
        <w:rPr>
          <w:color w:val="000000"/>
        </w:rPr>
        <w:t xml:space="preserve">žiadne známe nežiaduce účinky. </w:t>
      </w:r>
      <w:r>
        <w:tab/>
      </w:r>
    </w:p>
    <w:p w14:paraId="50A41B05" w14:textId="77777777" w:rsidR="001D29E6" w:rsidRDefault="001D29E6" w:rsidP="00750CB5">
      <w:pPr>
        <w:rPr>
          <w:b/>
        </w:rPr>
      </w:pPr>
    </w:p>
    <w:p w14:paraId="42AD7505" w14:textId="77777777" w:rsidR="00590FC1" w:rsidRPr="00590FC1" w:rsidRDefault="00590FC1" w:rsidP="00590FC1">
      <w:pPr>
        <w:rPr>
          <w:u w:val="single"/>
        </w:rPr>
      </w:pPr>
      <w:r>
        <w:rPr>
          <w:u w:val="single"/>
        </w:rPr>
        <w:t>Hlásenie podozrení na nežiaduce reakcie</w:t>
      </w:r>
    </w:p>
    <w:p w14:paraId="136F115E" w14:textId="77777777" w:rsidR="00590FC1" w:rsidRDefault="00590FC1" w:rsidP="00590FC1">
      <w: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Pr="00A24597">
        <w:t xml:space="preserve">na </w:t>
      </w:r>
      <w:r w:rsidRPr="00386257">
        <w:rPr>
          <w:highlight w:val="lightGray"/>
        </w:rPr>
        <w:t xml:space="preserve">národné centrum hlásenia uvedené v </w:t>
      </w:r>
      <w:hyperlink r:id="rId8" w:history="1">
        <w:r w:rsidRPr="00386257">
          <w:rPr>
            <w:rStyle w:val="Hypertextovprepojenie"/>
            <w:highlight w:val="lightGray"/>
          </w:rPr>
          <w:t>Prílohe V</w:t>
        </w:r>
      </w:hyperlink>
      <w:r>
        <w:t>.</w:t>
      </w:r>
    </w:p>
    <w:p w14:paraId="72900F7F" w14:textId="77777777" w:rsidR="008F24DF" w:rsidRDefault="008F24DF" w:rsidP="00590FC1"/>
    <w:p w14:paraId="1BAF72BA" w14:textId="77777777" w:rsidR="00590FC1" w:rsidRPr="00590FC1" w:rsidRDefault="00590FC1" w:rsidP="00590FC1"/>
    <w:p w14:paraId="34D0F927" w14:textId="77777777" w:rsidR="001D29E6" w:rsidRDefault="001D29E6">
      <w:pPr>
        <w:ind w:left="567" w:hanging="567"/>
      </w:pPr>
      <w:r>
        <w:rPr>
          <w:b/>
        </w:rPr>
        <w:t>4.9</w:t>
      </w:r>
      <w:r>
        <w:tab/>
      </w:r>
      <w:r>
        <w:rPr>
          <w:b/>
        </w:rPr>
        <w:t>Predávkovanie</w:t>
      </w:r>
    </w:p>
    <w:p w14:paraId="4FF30DC1" w14:textId="77777777" w:rsidR="001D29E6" w:rsidRDefault="001D29E6"/>
    <w:p w14:paraId="3A6394FB" w14:textId="3A291081" w:rsidR="004D613D" w:rsidRDefault="004D613D" w:rsidP="004D613D">
      <w:r>
        <w:t xml:space="preserve">Otrava oxidom uhoľnatým sa charakteristicky prejavuje zníženým príjmom kyslíka, čo zahŕňa poruchy vedomia alebo </w:t>
      </w:r>
      <w:proofErr w:type="spellStart"/>
      <w:r>
        <w:t>neurobehaviorálne</w:t>
      </w:r>
      <w:proofErr w:type="spellEnd"/>
      <w:r>
        <w:t xml:space="preserve"> symptómy, bolesť hlavy, závraty, nevoľnosť, zvracanie</w:t>
      </w:r>
      <w:r w:rsidR="001D07F7">
        <w:t xml:space="preserve"> a rozmazané videnie; bolesť na hrudníku</w:t>
      </w:r>
      <w:r>
        <w:t xml:space="preserve">, </w:t>
      </w:r>
      <w:proofErr w:type="spellStart"/>
      <w:r>
        <w:t>dyspnoe</w:t>
      </w:r>
      <w:proofErr w:type="spellEnd"/>
      <w:r>
        <w:t>, slabosť alebo iné vágne príznaky.</w:t>
      </w:r>
    </w:p>
    <w:p w14:paraId="1957424B" w14:textId="76AF6C46" w:rsidR="004D613D" w:rsidRDefault="004D613D" w:rsidP="004D613D">
      <w:r>
        <w:t xml:space="preserve">Použitie </w:t>
      </w:r>
      <w:r>
        <w:rPr>
          <w:color w:val="000000"/>
        </w:rPr>
        <w:t>tohto medicinálneho plynu</w:t>
      </w:r>
      <w:r>
        <w:t xml:space="preserve"> pri diagnostických testoch funkcie pľúc je spojené s malým nárastom koncentrácie </w:t>
      </w:r>
      <w:proofErr w:type="spellStart"/>
      <w:r>
        <w:t>karboxyhemoglobínu</w:t>
      </w:r>
      <w:proofErr w:type="spellEnd"/>
      <w:r>
        <w:t xml:space="preserve"> v krvi. V prípade, že </w:t>
      </w:r>
      <w:r w:rsidR="00CA70A3">
        <w:t xml:space="preserve">je </w:t>
      </w:r>
      <w:r>
        <w:t xml:space="preserve">podozrenie na nadmerný nárast koncentrácií </w:t>
      </w:r>
      <w:proofErr w:type="spellStart"/>
      <w:r>
        <w:t>karboxyhemoglobínu</w:t>
      </w:r>
      <w:proofErr w:type="spellEnd"/>
      <w:r>
        <w:t xml:space="preserve">, pacientovi </w:t>
      </w:r>
      <w:r w:rsidR="00CA70A3">
        <w:t xml:space="preserve">má byť </w:t>
      </w:r>
      <w:r>
        <w:t xml:space="preserve">okamžite </w:t>
      </w:r>
      <w:r w:rsidR="00CA70A3">
        <w:t xml:space="preserve">podaný </w:t>
      </w:r>
      <w:r>
        <w:t xml:space="preserve">kyslík prostredníctvom masky. </w:t>
      </w:r>
      <w:r w:rsidR="00CA70A3">
        <w:t xml:space="preserve">Má byť urobená </w:t>
      </w:r>
      <w:r>
        <w:t>analýz</w:t>
      </w:r>
      <w:r w:rsidR="00CA70A3">
        <w:t>a</w:t>
      </w:r>
      <w:r>
        <w:t xml:space="preserve"> krvných plynov, koncentrácia </w:t>
      </w:r>
      <w:proofErr w:type="spellStart"/>
      <w:r>
        <w:t>karboxyhemoglobínu</w:t>
      </w:r>
      <w:proofErr w:type="spellEnd"/>
      <w:r>
        <w:t xml:space="preserve"> by mala byť nižšia ako 5 %.</w:t>
      </w:r>
    </w:p>
    <w:p w14:paraId="4396FA4F" w14:textId="352953CF" w:rsidR="004D613D" w:rsidRDefault="004D613D" w:rsidP="004D613D">
      <w:r>
        <w:t xml:space="preserve">Ak sa u pacienta vyskytnú </w:t>
      </w:r>
      <w:r w:rsidR="001D07F7">
        <w:t xml:space="preserve">prejavy </w:t>
      </w:r>
      <w:r>
        <w:t xml:space="preserve">nedostatku kyslíka, </w:t>
      </w:r>
      <w:proofErr w:type="spellStart"/>
      <w:r>
        <w:t>angina</w:t>
      </w:r>
      <w:proofErr w:type="spellEnd"/>
      <w:r>
        <w:t xml:space="preserve"> </w:t>
      </w:r>
      <w:proofErr w:type="spellStart"/>
      <w:r>
        <w:t>pectoris</w:t>
      </w:r>
      <w:proofErr w:type="spellEnd"/>
      <w:r>
        <w:t xml:space="preserve">, strata vedomia alebo iné neurologické </w:t>
      </w:r>
      <w:proofErr w:type="spellStart"/>
      <w:r>
        <w:t>behaviorálne</w:t>
      </w:r>
      <w:proofErr w:type="spellEnd"/>
      <w:r>
        <w:t xml:space="preserve"> symptómy, </w:t>
      </w:r>
      <w:r w:rsidR="00CA70A3">
        <w:t>pacientovi sa musí</w:t>
      </w:r>
      <w:r>
        <w:t xml:space="preserve"> poskytnúť okamžité lekárske ošetrenie.</w:t>
      </w:r>
    </w:p>
    <w:p w14:paraId="120D71FB" w14:textId="77777777" w:rsidR="004D613D" w:rsidRDefault="004D613D" w:rsidP="004D613D"/>
    <w:p w14:paraId="19A4E3D1" w14:textId="77777777" w:rsidR="001E5A4A" w:rsidRPr="009C7D5F" w:rsidRDefault="001E5A4A" w:rsidP="004D613D"/>
    <w:p w14:paraId="28DA7663" w14:textId="77777777" w:rsidR="001D29E6" w:rsidRDefault="001D29E6">
      <w:pPr>
        <w:ind w:left="567" w:hanging="567"/>
      </w:pPr>
      <w:r>
        <w:rPr>
          <w:b/>
        </w:rPr>
        <w:t>5.</w:t>
      </w:r>
      <w:r>
        <w:tab/>
      </w:r>
      <w:r>
        <w:rPr>
          <w:b/>
        </w:rPr>
        <w:t>FARMAKOLOGICKÉ VLASTNOSTI</w:t>
      </w:r>
    </w:p>
    <w:p w14:paraId="5FFC8363" w14:textId="77777777" w:rsidR="001D29E6" w:rsidRDefault="001D29E6">
      <w:pPr>
        <w:rPr>
          <w:b/>
        </w:rPr>
      </w:pPr>
    </w:p>
    <w:p w14:paraId="75495B7B" w14:textId="77777777" w:rsidR="001D29E6" w:rsidRDefault="001D29E6">
      <w:pPr>
        <w:ind w:left="567" w:hanging="567"/>
      </w:pPr>
      <w:r>
        <w:rPr>
          <w:b/>
        </w:rPr>
        <w:t xml:space="preserve">5.1 </w:t>
      </w:r>
      <w:r>
        <w:tab/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14:paraId="1A477AD1" w14:textId="77777777" w:rsidR="001D29E6" w:rsidRDefault="001D29E6"/>
    <w:p w14:paraId="433F6497" w14:textId="0D80EC31" w:rsidR="002071DA" w:rsidRDefault="00A37FFA" w:rsidP="00A37FFA">
      <w:pPr>
        <w:rPr>
          <w:color w:val="000000"/>
        </w:rPr>
      </w:pPr>
      <w:proofErr w:type="spellStart"/>
      <w:r>
        <w:rPr>
          <w:color w:val="000000"/>
        </w:rPr>
        <w:t>Farmakoterapeutická</w:t>
      </w:r>
      <w:proofErr w:type="spellEnd"/>
      <w:r>
        <w:rPr>
          <w:color w:val="000000"/>
        </w:rPr>
        <w:t xml:space="preserve"> skupina: </w:t>
      </w:r>
      <w:r w:rsidR="001D07F7">
        <w:rPr>
          <w:color w:val="000000"/>
        </w:rPr>
        <w:t xml:space="preserve">iné </w:t>
      </w:r>
      <w:proofErr w:type="spellStart"/>
      <w:r w:rsidR="001D07F7">
        <w:rPr>
          <w:color w:val="000000"/>
        </w:rPr>
        <w:t>diagnostiká</w:t>
      </w:r>
      <w:proofErr w:type="spellEnd"/>
    </w:p>
    <w:p w14:paraId="7202C553" w14:textId="77777777" w:rsidR="00A37FFA" w:rsidRPr="00C5312A" w:rsidRDefault="00A37FFA" w:rsidP="00A37FFA">
      <w:pPr>
        <w:rPr>
          <w:color w:val="000000"/>
        </w:rPr>
      </w:pPr>
      <w:r>
        <w:rPr>
          <w:color w:val="000000"/>
        </w:rPr>
        <w:t xml:space="preserve"> </w:t>
      </w:r>
    </w:p>
    <w:p w14:paraId="6F590480" w14:textId="77777777" w:rsidR="00A37FFA" w:rsidRDefault="00A37FFA" w:rsidP="00A37FFA">
      <w:pPr>
        <w:rPr>
          <w:color w:val="000000"/>
        </w:rPr>
      </w:pPr>
      <w:r>
        <w:rPr>
          <w:color w:val="000000"/>
        </w:rPr>
        <w:t xml:space="preserve">ATC kód: V04CV </w:t>
      </w:r>
    </w:p>
    <w:p w14:paraId="450E8C60" w14:textId="77777777" w:rsidR="002071DA" w:rsidRPr="00C5312A" w:rsidRDefault="002071DA" w:rsidP="00A37FFA">
      <w:pPr>
        <w:rPr>
          <w:color w:val="000000"/>
        </w:rPr>
      </w:pPr>
    </w:p>
    <w:p w14:paraId="5A2C0BAD" w14:textId="77777777" w:rsidR="00320A69" w:rsidRDefault="00320A69" w:rsidP="00320A69">
      <w:r>
        <w:t>Neočakávajú sa žiadne biologické účinky. Je nepravdepodobné, aby krátke vystavenie spolu s použitou koncentráciou hélia a oxidu uhoľnatého spôsobovalo nejaké biologické účinky.</w:t>
      </w:r>
    </w:p>
    <w:p w14:paraId="66C8CCA7" w14:textId="77777777" w:rsidR="00486B77" w:rsidRDefault="00486B77" w:rsidP="00320A69"/>
    <w:p w14:paraId="40601695" w14:textId="77777777" w:rsidR="001D29E6" w:rsidRDefault="001D29E6" w:rsidP="00F15A1A">
      <w:pPr>
        <w:rPr>
          <w:b/>
        </w:rPr>
      </w:pPr>
      <w:r>
        <w:rPr>
          <w:b/>
        </w:rPr>
        <w:t>5.2</w:t>
      </w:r>
      <w:r>
        <w:tab/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vlastnosti</w:t>
      </w:r>
    </w:p>
    <w:p w14:paraId="414F2BE5" w14:textId="77777777" w:rsidR="00C53ACC" w:rsidRDefault="00C53ACC">
      <w:pPr>
        <w:ind w:left="567" w:hanging="567"/>
      </w:pPr>
    </w:p>
    <w:p w14:paraId="1553BAE6" w14:textId="77777777" w:rsidR="00F92596" w:rsidRDefault="00F92596" w:rsidP="00F92596">
      <w:pPr>
        <w:tabs>
          <w:tab w:val="clear" w:pos="567"/>
        </w:tabs>
        <w:spacing w:line="240" w:lineRule="auto"/>
        <w:rPr>
          <w:i/>
          <w:noProof/>
          <w:color w:val="008000"/>
        </w:rPr>
      </w:pPr>
      <w:r>
        <w:rPr>
          <w:color w:val="000000"/>
        </w:rPr>
        <w:t>Hélium je inertný a nerozpustný plyn a po inhalácii je vydychovaný bez akejkoľvek absorpcie v pľúcach.</w:t>
      </w:r>
    </w:p>
    <w:p w14:paraId="4835C0B4" w14:textId="77777777" w:rsidR="00F92596" w:rsidRDefault="00F92596" w:rsidP="00990034">
      <w:pPr>
        <w:pStyle w:val="ndringar"/>
        <w:rPr>
          <w:rFonts w:ascii="Times New Roman" w:hAnsi="Times New Roman"/>
          <w:color w:val="auto"/>
          <w:sz w:val="22"/>
        </w:rPr>
      </w:pPr>
    </w:p>
    <w:p w14:paraId="512E873E" w14:textId="77777777" w:rsidR="00990034" w:rsidRPr="00235BE5" w:rsidRDefault="00990034" w:rsidP="00990034">
      <w:pPr>
        <w:pStyle w:val="ndringar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Absorpcia oxidu uhoľnatého prebieha len v alveolách ventilovaných a prekrvených pľúc. Miera difúzie oxidu uhoľnatého cez membránovú bariéru alveolárnych kapilár závisí na parciálnom tlaku oxidu uhoľnatého v alveole a môže byť znížená ochorením, zápalovými procesmi a/alebo </w:t>
      </w:r>
      <w:proofErr w:type="spellStart"/>
      <w:r>
        <w:rPr>
          <w:rFonts w:ascii="Times New Roman" w:hAnsi="Times New Roman"/>
          <w:color w:val="auto"/>
          <w:sz w:val="22"/>
        </w:rPr>
        <w:t>fibrózou</w:t>
      </w:r>
      <w:proofErr w:type="spellEnd"/>
      <w:r>
        <w:rPr>
          <w:rFonts w:ascii="Times New Roman" w:hAnsi="Times New Roman"/>
          <w:color w:val="auto"/>
          <w:sz w:val="22"/>
        </w:rPr>
        <w:t xml:space="preserve">. </w:t>
      </w:r>
      <w:r>
        <w:rPr>
          <w:rFonts w:ascii="Times New Roman" w:hAnsi="Times New Roman"/>
          <w:color w:val="auto"/>
          <w:sz w:val="22"/>
        </w:rPr>
        <w:lastRenderedPageBreak/>
        <w:t xml:space="preserve">Kapacita difúzie oxidu uhoľnatého klesá najmä pri ochoreniach pľúcneho parenchýmu. V krvi sa oxid uhoľnatý rýchlo viaže na hemoglobín a dochádza k tvorbe </w:t>
      </w:r>
      <w:proofErr w:type="spellStart"/>
      <w:r>
        <w:rPr>
          <w:rFonts w:ascii="Times New Roman" w:hAnsi="Times New Roman"/>
          <w:color w:val="auto"/>
          <w:sz w:val="22"/>
        </w:rPr>
        <w:t>karboxyhemoglobínu</w:t>
      </w:r>
      <w:proofErr w:type="spellEnd"/>
      <w:r>
        <w:rPr>
          <w:rFonts w:ascii="Times New Roman" w:hAnsi="Times New Roman"/>
          <w:color w:val="auto"/>
          <w:sz w:val="22"/>
        </w:rPr>
        <w:t>.</w:t>
      </w:r>
    </w:p>
    <w:p w14:paraId="010724CD" w14:textId="77777777" w:rsidR="00F92596" w:rsidRDefault="00F92596">
      <w:pPr>
        <w:ind w:left="567" w:hanging="567"/>
        <w:rPr>
          <w:b/>
        </w:rPr>
      </w:pPr>
    </w:p>
    <w:p w14:paraId="0A1B86B2" w14:textId="77777777" w:rsidR="00F92596" w:rsidRPr="00E103BF" w:rsidRDefault="001D3844" w:rsidP="00F92596">
      <w:pPr>
        <w:tabs>
          <w:tab w:val="clear" w:pos="567"/>
          <w:tab w:val="left" w:pos="0"/>
        </w:tabs>
        <w:rPr>
          <w:u w:val="single"/>
        </w:rPr>
      </w:pPr>
      <w:r>
        <w:rPr>
          <w:u w:val="single"/>
        </w:rPr>
        <w:t>Distribúcia oxidu uhoľnatého:</w:t>
      </w:r>
    </w:p>
    <w:p w14:paraId="5D0B134F" w14:textId="77777777" w:rsidR="00F92596" w:rsidRPr="00F92596" w:rsidRDefault="00F92596" w:rsidP="00F92596">
      <w:pPr>
        <w:tabs>
          <w:tab w:val="clear" w:pos="567"/>
          <w:tab w:val="left" w:pos="0"/>
        </w:tabs>
      </w:pPr>
    </w:p>
    <w:p w14:paraId="0CF0AF55" w14:textId="77777777" w:rsidR="00F92596" w:rsidRDefault="001D3844" w:rsidP="00F92596">
      <w:pPr>
        <w:tabs>
          <w:tab w:val="clear" w:pos="567"/>
          <w:tab w:val="left" w:pos="0"/>
        </w:tabs>
      </w:pPr>
      <w:r>
        <w:t xml:space="preserve">80 % CO je naviazaných na </w:t>
      </w:r>
      <w:proofErr w:type="spellStart"/>
      <w:r>
        <w:t>Hb</w:t>
      </w:r>
      <w:proofErr w:type="spellEnd"/>
      <w:r>
        <w:t xml:space="preserve"> v cirkulujúcich erytrocytoch, 15 % na </w:t>
      </w:r>
      <w:proofErr w:type="spellStart"/>
      <w:r>
        <w:t>myoglobín</w:t>
      </w:r>
      <w:proofErr w:type="spellEnd"/>
      <w:r>
        <w:t xml:space="preserve"> a menej ako 5 % na iné látky. Menej ako 1 % zostáva nenaviazané a je rozpustené v telesných tekutinách. Afinita CO k hemoglobínu a </w:t>
      </w:r>
      <w:proofErr w:type="spellStart"/>
      <w:r>
        <w:t>myoglobínu</w:t>
      </w:r>
      <w:proofErr w:type="spellEnd"/>
      <w:r>
        <w:t xml:space="preserve"> spôsobuje, že sa po vdýchnutí CO nachádza jeho najväčšie množstvo v krvi, srdci, kostre, svaloch a slezine.</w:t>
      </w:r>
    </w:p>
    <w:p w14:paraId="088301C9" w14:textId="77777777" w:rsidR="00F92596" w:rsidRPr="00F92596" w:rsidRDefault="00F92596" w:rsidP="00F92596">
      <w:pPr>
        <w:tabs>
          <w:tab w:val="clear" w:pos="567"/>
          <w:tab w:val="left" w:pos="0"/>
        </w:tabs>
      </w:pPr>
    </w:p>
    <w:p w14:paraId="24E82E73" w14:textId="77777777" w:rsidR="00F92596" w:rsidRPr="00E103BF" w:rsidRDefault="001D3844" w:rsidP="00F92596">
      <w:pPr>
        <w:tabs>
          <w:tab w:val="clear" w:pos="567"/>
          <w:tab w:val="left" w:pos="0"/>
        </w:tabs>
        <w:rPr>
          <w:u w:val="single"/>
        </w:rPr>
      </w:pPr>
      <w:r>
        <w:rPr>
          <w:u w:val="single"/>
        </w:rPr>
        <w:t>Eliminácia oxidu uhoľnatého:</w:t>
      </w:r>
    </w:p>
    <w:p w14:paraId="7A4AAE9E" w14:textId="77777777" w:rsidR="00F92596" w:rsidRPr="00F92596" w:rsidRDefault="00F92596" w:rsidP="00F92596">
      <w:pPr>
        <w:tabs>
          <w:tab w:val="clear" w:pos="567"/>
          <w:tab w:val="left" w:pos="0"/>
        </w:tabs>
      </w:pPr>
    </w:p>
    <w:p w14:paraId="1E19D01F" w14:textId="77777777" w:rsidR="00F92596" w:rsidRPr="00F92596" w:rsidRDefault="001D3844" w:rsidP="00F92596">
      <w:pPr>
        <w:tabs>
          <w:tab w:val="clear" w:pos="567"/>
          <w:tab w:val="left" w:pos="0"/>
        </w:tabs>
      </w:pPr>
      <w:r>
        <w:t xml:space="preserve">Vdýchnutý CO je z tela eliminovaný primárne priamo </w:t>
      </w:r>
      <w:proofErr w:type="spellStart"/>
      <w:r>
        <w:t>výdychnutím</w:t>
      </w:r>
      <w:proofErr w:type="spellEnd"/>
      <w:r>
        <w:t xml:space="preserve"> alebo aj prostredníctvom oxidatívneho metabolizmu. Polčas vyplavenia po vdýchnutí CO bol stanovený na 250 – 320 minút.</w:t>
      </w:r>
    </w:p>
    <w:p w14:paraId="5F51FE51" w14:textId="77777777" w:rsidR="00F92596" w:rsidRDefault="00F92596">
      <w:pPr>
        <w:ind w:left="567" w:hanging="567"/>
        <w:rPr>
          <w:b/>
        </w:rPr>
      </w:pPr>
    </w:p>
    <w:p w14:paraId="67964716" w14:textId="77777777" w:rsidR="001D29E6" w:rsidRDefault="001D29E6">
      <w:pPr>
        <w:ind w:left="567" w:hanging="567"/>
      </w:pPr>
      <w:r>
        <w:rPr>
          <w:b/>
        </w:rPr>
        <w:t>5.3</w:t>
      </w:r>
      <w:r>
        <w:tab/>
      </w:r>
      <w:r>
        <w:rPr>
          <w:b/>
        </w:rPr>
        <w:t>Predklinické údaje o bezpečnosti</w:t>
      </w:r>
    </w:p>
    <w:p w14:paraId="0B31F2C8" w14:textId="77777777" w:rsidR="001D29E6" w:rsidRDefault="001D29E6"/>
    <w:p w14:paraId="163BA9B1" w14:textId="77777777" w:rsidR="00990034" w:rsidRPr="002E4A09" w:rsidRDefault="00990034" w:rsidP="00990034">
      <w:r>
        <w:t>Nie sú dostupné žiadne predklinické údaje týkajúce sa bezpečnosti okrem údajov uvedených vyššie v Súhrne charakteristických vlastností lieku.</w:t>
      </w:r>
    </w:p>
    <w:p w14:paraId="09E9A646" w14:textId="77777777" w:rsidR="001D29E6" w:rsidRDefault="001D29E6" w:rsidP="00BB73A8"/>
    <w:p w14:paraId="69666E5D" w14:textId="77777777" w:rsidR="001E5A4A" w:rsidRDefault="001E5A4A" w:rsidP="00BB73A8"/>
    <w:p w14:paraId="639C7D08" w14:textId="77777777" w:rsidR="001D29E6" w:rsidRDefault="001D29E6">
      <w:pPr>
        <w:ind w:left="567" w:hanging="567"/>
        <w:rPr>
          <w:b/>
        </w:rPr>
      </w:pPr>
      <w:r>
        <w:rPr>
          <w:b/>
        </w:rPr>
        <w:t>6.</w:t>
      </w:r>
      <w:r>
        <w:tab/>
      </w:r>
      <w:r>
        <w:rPr>
          <w:b/>
        </w:rPr>
        <w:t>FARMACEUTICKÉ INFORMÁCIE</w:t>
      </w:r>
    </w:p>
    <w:p w14:paraId="05757F31" w14:textId="77777777" w:rsidR="001D29E6" w:rsidRDefault="001D29E6">
      <w:pPr>
        <w:rPr>
          <w:b/>
        </w:rPr>
      </w:pPr>
    </w:p>
    <w:p w14:paraId="079D21C4" w14:textId="77777777" w:rsidR="001D29E6" w:rsidRDefault="001D29E6">
      <w:pPr>
        <w:ind w:left="567" w:hanging="567"/>
        <w:rPr>
          <w:b/>
        </w:rPr>
      </w:pPr>
      <w:r>
        <w:rPr>
          <w:b/>
        </w:rPr>
        <w:t>6.1</w:t>
      </w:r>
      <w:r>
        <w:tab/>
      </w:r>
      <w:r>
        <w:rPr>
          <w:b/>
        </w:rPr>
        <w:t>Zoznam pomocných látok</w:t>
      </w:r>
    </w:p>
    <w:p w14:paraId="32252110" w14:textId="77777777" w:rsidR="00BB73A8" w:rsidRDefault="00BB73A8">
      <w:pPr>
        <w:ind w:left="567" w:hanging="567"/>
        <w:rPr>
          <w:b/>
        </w:rPr>
      </w:pPr>
    </w:p>
    <w:p w14:paraId="557239E1" w14:textId="25F1CBED" w:rsidR="00400700" w:rsidRPr="008E1524" w:rsidRDefault="00400700" w:rsidP="00400700">
      <w:pPr>
        <w:tabs>
          <w:tab w:val="clear" w:pos="567"/>
          <w:tab w:val="left" w:pos="1276"/>
        </w:tabs>
        <w:ind w:left="1276" w:hanging="1276"/>
        <w:rPr>
          <w:b/>
        </w:rPr>
      </w:pPr>
      <w:r>
        <w:t>Kyslík (O</w:t>
      </w:r>
      <w:r>
        <w:rPr>
          <w:vertAlign w:val="subscript"/>
        </w:rPr>
        <w:t>2</w:t>
      </w:r>
      <w:r>
        <w:t>): 21 % mol/mol (</w:t>
      </w:r>
      <w:proofErr w:type="spellStart"/>
      <w:r>
        <w:t>Apulco</w:t>
      </w:r>
      <w:proofErr w:type="spellEnd"/>
      <w:r>
        <w:t xml:space="preserve"> </w:t>
      </w:r>
      <w:proofErr w:type="spellStart"/>
      <w:r w:rsidR="001E5A4A">
        <w:t>CoHe</w:t>
      </w:r>
      <w:proofErr w:type="spellEnd"/>
      <w:r w:rsidR="001E5A4A">
        <w:t xml:space="preserve"> </w:t>
      </w:r>
      <w:r>
        <w:t xml:space="preserve">a </w:t>
      </w:r>
      <w:proofErr w:type="spellStart"/>
      <w:r>
        <w:t>Apulco</w:t>
      </w:r>
      <w:proofErr w:type="spellEnd"/>
      <w:r>
        <w:t xml:space="preserve"> </w:t>
      </w:r>
      <w:proofErr w:type="spellStart"/>
      <w:r>
        <w:t>CoHeMax</w:t>
      </w:r>
      <w:proofErr w:type="spellEnd"/>
      <w:r>
        <w:t>)</w:t>
      </w:r>
      <w:r>
        <w:tab/>
      </w:r>
      <w:r>
        <w:tab/>
      </w:r>
    </w:p>
    <w:p w14:paraId="1A234921" w14:textId="77777777" w:rsidR="00BB73A8" w:rsidRPr="00B36147" w:rsidRDefault="00BB73A8" w:rsidP="00BB73A8">
      <w:r>
        <w:t>Dusík (N</w:t>
      </w:r>
      <w:r>
        <w:rPr>
          <w:vertAlign w:val="subscript"/>
        </w:rPr>
        <w:t>2</w:t>
      </w:r>
      <w:r>
        <w:t xml:space="preserve">) </w:t>
      </w:r>
      <w:proofErr w:type="spellStart"/>
      <w:r>
        <w:t>q.s</w:t>
      </w:r>
      <w:proofErr w:type="spellEnd"/>
      <w:r>
        <w:t>.</w:t>
      </w:r>
    </w:p>
    <w:p w14:paraId="56B9290A" w14:textId="77777777" w:rsidR="00BB73A8" w:rsidRPr="00B36147" w:rsidRDefault="00BB73A8" w:rsidP="00BB73A8"/>
    <w:p w14:paraId="741FE362" w14:textId="77777777" w:rsidR="001D29E6" w:rsidRDefault="001D29E6">
      <w:pPr>
        <w:ind w:left="567" w:hanging="567"/>
      </w:pPr>
      <w:r>
        <w:rPr>
          <w:b/>
        </w:rPr>
        <w:t>6.2</w:t>
      </w:r>
      <w:r>
        <w:tab/>
      </w:r>
      <w:r>
        <w:rPr>
          <w:b/>
        </w:rPr>
        <w:t>Inkompatibility</w:t>
      </w:r>
    </w:p>
    <w:p w14:paraId="06631413" w14:textId="77777777" w:rsidR="001D29E6" w:rsidRDefault="001D29E6"/>
    <w:p w14:paraId="2205DEEB" w14:textId="77777777" w:rsidR="001D29E6" w:rsidRDefault="00AF633D">
      <w:pPr>
        <w:rPr>
          <w:i/>
          <w:iCs/>
          <w:color w:val="FF0000"/>
        </w:rPr>
      </w:pPr>
      <w:r>
        <w:t>Nie sú známe.</w:t>
      </w:r>
    </w:p>
    <w:p w14:paraId="564591D2" w14:textId="77777777" w:rsidR="001D29E6" w:rsidRDefault="001D29E6"/>
    <w:p w14:paraId="45F804D3" w14:textId="77777777" w:rsidR="001D29E6" w:rsidRDefault="001D29E6">
      <w:pPr>
        <w:ind w:left="567" w:hanging="567"/>
      </w:pPr>
      <w:r>
        <w:rPr>
          <w:b/>
        </w:rPr>
        <w:t>6.3</w:t>
      </w:r>
      <w:r>
        <w:tab/>
      </w:r>
      <w:r>
        <w:rPr>
          <w:b/>
        </w:rPr>
        <w:t>Čas použiteľnosti</w:t>
      </w:r>
    </w:p>
    <w:p w14:paraId="56DDDCD5" w14:textId="77777777" w:rsidR="001D29E6" w:rsidRDefault="001D29E6"/>
    <w:p w14:paraId="186DAA7A" w14:textId="77777777" w:rsidR="00AF633D" w:rsidRDefault="00B838CC" w:rsidP="00AF633D">
      <w:pPr>
        <w:rPr>
          <w:i/>
          <w:iCs/>
          <w:color w:val="FF0000"/>
        </w:rPr>
      </w:pPr>
      <w:r>
        <w:t>3 roky.</w:t>
      </w:r>
    </w:p>
    <w:p w14:paraId="4231CEA8" w14:textId="77777777" w:rsidR="00AF633D" w:rsidRDefault="00AF633D" w:rsidP="00AF633D">
      <w:pPr>
        <w:rPr>
          <w:b/>
        </w:rPr>
      </w:pPr>
    </w:p>
    <w:p w14:paraId="0BD1CFB0" w14:textId="77777777" w:rsidR="001D29E6" w:rsidRDefault="001D29E6">
      <w:pPr>
        <w:ind w:left="567" w:hanging="567"/>
        <w:rPr>
          <w:b/>
        </w:rPr>
      </w:pPr>
      <w:r>
        <w:rPr>
          <w:b/>
        </w:rPr>
        <w:t>6.4</w:t>
      </w:r>
      <w:r>
        <w:tab/>
      </w:r>
      <w:r>
        <w:rPr>
          <w:b/>
        </w:rPr>
        <w:t>Špeciálne upozornenia na uchovávanie</w:t>
      </w:r>
    </w:p>
    <w:p w14:paraId="0B193F73" w14:textId="77777777" w:rsidR="001D29E6" w:rsidRDefault="001D29E6"/>
    <w:p w14:paraId="62A3CE35" w14:textId="77777777" w:rsidR="00AB62A9" w:rsidRDefault="00AB62A9">
      <w:r>
        <w:t>Pre tento medicínsky produkt nie sú požadované žiadne špecifické pokyny na uchovávanie vzhľadom na teplotu, okrem tých, ktoré sa týkajú natlakovaných plynových nádob a plynu (pozri nižšie). Plynové fľaše uchovávajte v zamknutom priestore vyhradenom pre medicinálne plyny.</w:t>
      </w:r>
    </w:p>
    <w:p w14:paraId="412AA045" w14:textId="77777777" w:rsidR="00AB62A9" w:rsidRDefault="00AB62A9"/>
    <w:p w14:paraId="1B5348D1" w14:textId="77777777" w:rsidR="003052A2" w:rsidRPr="00BE6FB4" w:rsidRDefault="003052A2">
      <w:pPr>
        <w:rPr>
          <w:i/>
        </w:rPr>
      </w:pPr>
      <w:r>
        <w:rPr>
          <w:i/>
        </w:rPr>
        <w:t>Pokyny na uchovávanie natlakovaných plynových nádob a plynu</w:t>
      </w:r>
    </w:p>
    <w:p w14:paraId="651D33EB" w14:textId="77777777" w:rsidR="003052A2" w:rsidRDefault="00D9313E">
      <w:r>
        <w:t>Plynové fľaše uchovávajte zakryté, chránené pred účinkami počasia. V prípade nebezpečenstva požiaru ich presuňte na bezpečné miesto.</w:t>
      </w:r>
    </w:p>
    <w:p w14:paraId="2C5DAED7" w14:textId="77777777" w:rsidR="003052A2" w:rsidRDefault="003052A2">
      <w:r>
        <w:t>S plynovými fľašami manipulujte opatrne. Plynové fľaše vráťte s minimálnym zvyškovým tlakom.</w:t>
      </w:r>
    </w:p>
    <w:p w14:paraId="21093A3C" w14:textId="77777777" w:rsidR="003052A2" w:rsidRDefault="003052A2">
      <w:r>
        <w:t>Plynové fľaše uchovávajte a prepravujte so zatvorenými ventilmi.</w:t>
      </w:r>
    </w:p>
    <w:p w14:paraId="7A0BD840" w14:textId="77777777" w:rsidR="003052A2" w:rsidRDefault="003052A2"/>
    <w:p w14:paraId="04795E60" w14:textId="77777777" w:rsidR="001D29E6" w:rsidRDefault="001D29E6">
      <w:pPr>
        <w:numPr>
          <w:ilvl w:val="1"/>
          <w:numId w:val="11"/>
        </w:numPr>
        <w:rPr>
          <w:b/>
        </w:rPr>
      </w:pPr>
      <w:r>
        <w:rPr>
          <w:b/>
        </w:rPr>
        <w:t>Druh obalu a obsah balenia</w:t>
      </w:r>
    </w:p>
    <w:p w14:paraId="3F26347C" w14:textId="77777777" w:rsidR="001D29E6" w:rsidRDefault="001D29E6"/>
    <w:p w14:paraId="37B847F2" w14:textId="77777777" w:rsidR="0067065F" w:rsidRDefault="0067065F">
      <w:r>
        <w:t>Plynové fľaše sú vyrobené z hliníka, sú vybavené mosadzným ventilom so špecifickým výpustným konektorom.</w:t>
      </w:r>
    </w:p>
    <w:p w14:paraId="33ACF305" w14:textId="77777777" w:rsidR="0067065F" w:rsidRDefault="0067065F">
      <w:r>
        <w:t>Plynové fľaše sú identifikované aj farebne: rameno je natreté svetlozelenou farbou a telo plynovej fľaše je biele.</w:t>
      </w:r>
    </w:p>
    <w:p w14:paraId="0CF3D412" w14:textId="77777777" w:rsidR="00BD5713" w:rsidRDefault="00BD5713"/>
    <w:p w14:paraId="011B746F" w14:textId="4828F872" w:rsidR="00A53532" w:rsidRDefault="00A53532">
      <w:proofErr w:type="spellStart"/>
      <w:r>
        <w:t>Apulco</w:t>
      </w:r>
      <w:proofErr w:type="spellEnd"/>
      <w:r>
        <w:t xml:space="preserve"> </w:t>
      </w:r>
      <w:proofErr w:type="spellStart"/>
      <w:r w:rsidR="001E5A4A">
        <w:t>CoHe</w:t>
      </w:r>
      <w:proofErr w:type="spellEnd"/>
    </w:p>
    <w:p w14:paraId="154E7B27" w14:textId="77777777" w:rsidR="005B143D" w:rsidRDefault="005B143D"/>
    <w:tbl>
      <w:tblPr>
        <w:tblStyle w:val="Mriekatabuky"/>
        <w:tblW w:w="0" w:type="auto"/>
        <w:tblInd w:w="1101" w:type="dxa"/>
        <w:tblLook w:val="04A0" w:firstRow="1" w:lastRow="0" w:firstColumn="1" w:lastColumn="0" w:noHBand="0" w:noVBand="1"/>
      </w:tblPr>
      <w:tblGrid>
        <w:gridCol w:w="2184"/>
        <w:gridCol w:w="2210"/>
        <w:gridCol w:w="2410"/>
      </w:tblGrid>
      <w:tr w:rsidR="005B143D" w:rsidRPr="00BD5713" w14:paraId="07132CBB" w14:textId="77777777" w:rsidTr="00BD5713">
        <w:tc>
          <w:tcPr>
            <w:tcW w:w="2184" w:type="dxa"/>
          </w:tcPr>
          <w:p w14:paraId="7ED73CD0" w14:textId="77777777" w:rsidR="005B143D" w:rsidRPr="00BD5713" w:rsidRDefault="005B143D" w:rsidP="005B143D">
            <w:pPr>
              <w:rPr>
                <w:b/>
              </w:rPr>
            </w:pPr>
            <w:r>
              <w:rPr>
                <w:b/>
              </w:rPr>
              <w:t>Kapacita v litroch</w:t>
            </w:r>
          </w:p>
        </w:tc>
        <w:tc>
          <w:tcPr>
            <w:tcW w:w="2210" w:type="dxa"/>
          </w:tcPr>
          <w:p w14:paraId="2245055E" w14:textId="77777777" w:rsidR="005B143D" w:rsidRPr="00BD5713" w:rsidRDefault="00BD5713">
            <w:pPr>
              <w:rPr>
                <w:b/>
              </w:rPr>
            </w:pPr>
            <w:r>
              <w:rPr>
                <w:b/>
              </w:rPr>
              <w:t>Plniaci tlak (bary)</w:t>
            </w:r>
          </w:p>
        </w:tc>
        <w:tc>
          <w:tcPr>
            <w:tcW w:w="2410" w:type="dxa"/>
          </w:tcPr>
          <w:p w14:paraId="4CEBA484" w14:textId="77777777" w:rsidR="005B143D" w:rsidRPr="00BD5713" w:rsidRDefault="00BD5713">
            <w:pPr>
              <w:rPr>
                <w:b/>
              </w:rPr>
            </w:pPr>
            <w:r>
              <w:rPr>
                <w:b/>
              </w:rPr>
              <w:t>Počet litrov plynu</w:t>
            </w:r>
          </w:p>
        </w:tc>
      </w:tr>
      <w:tr w:rsidR="005B143D" w14:paraId="26821AC8" w14:textId="77777777" w:rsidTr="00BD5713">
        <w:tc>
          <w:tcPr>
            <w:tcW w:w="2184" w:type="dxa"/>
          </w:tcPr>
          <w:p w14:paraId="05A7AE12" w14:textId="77777777" w:rsidR="005B143D" w:rsidRDefault="00BD5713" w:rsidP="00BD5713">
            <w:pPr>
              <w:jc w:val="center"/>
            </w:pPr>
            <w:r>
              <w:t>5</w:t>
            </w:r>
          </w:p>
        </w:tc>
        <w:tc>
          <w:tcPr>
            <w:tcW w:w="2210" w:type="dxa"/>
          </w:tcPr>
          <w:p w14:paraId="0CCD9B7E" w14:textId="77777777" w:rsidR="005B143D" w:rsidRDefault="00BD5713" w:rsidP="00BD5713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46D2F808" w14:textId="77777777" w:rsidR="005B143D" w:rsidRDefault="00BD5713" w:rsidP="00BD5713">
            <w:pPr>
              <w:jc w:val="center"/>
            </w:pPr>
            <w:r>
              <w:t>904</w:t>
            </w:r>
          </w:p>
        </w:tc>
      </w:tr>
      <w:tr w:rsidR="005B143D" w14:paraId="5B2D438E" w14:textId="77777777" w:rsidTr="00BD5713">
        <w:tc>
          <w:tcPr>
            <w:tcW w:w="2184" w:type="dxa"/>
          </w:tcPr>
          <w:p w14:paraId="684A3642" w14:textId="77777777" w:rsidR="005B143D" w:rsidRDefault="00BD5713" w:rsidP="00BD5713">
            <w:pPr>
              <w:jc w:val="center"/>
            </w:pPr>
            <w:r>
              <w:t>10</w:t>
            </w:r>
          </w:p>
        </w:tc>
        <w:tc>
          <w:tcPr>
            <w:tcW w:w="2210" w:type="dxa"/>
          </w:tcPr>
          <w:p w14:paraId="02106662" w14:textId="77777777" w:rsidR="005B143D" w:rsidRDefault="00BD5713" w:rsidP="00BD5713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4A34805D" w14:textId="77777777" w:rsidR="005B143D" w:rsidRDefault="00BD5713" w:rsidP="001F3B5B">
            <w:pPr>
              <w:jc w:val="center"/>
            </w:pPr>
            <w:r>
              <w:t>1808</w:t>
            </w:r>
          </w:p>
        </w:tc>
      </w:tr>
      <w:tr w:rsidR="005B143D" w14:paraId="288FB38E" w14:textId="77777777" w:rsidTr="00BD5713">
        <w:tc>
          <w:tcPr>
            <w:tcW w:w="2184" w:type="dxa"/>
          </w:tcPr>
          <w:p w14:paraId="72859246" w14:textId="77777777" w:rsidR="005B143D" w:rsidRDefault="00BD5713" w:rsidP="00BD5713">
            <w:pPr>
              <w:jc w:val="center"/>
            </w:pPr>
            <w:r>
              <w:t>20</w:t>
            </w:r>
          </w:p>
        </w:tc>
        <w:tc>
          <w:tcPr>
            <w:tcW w:w="2210" w:type="dxa"/>
          </w:tcPr>
          <w:p w14:paraId="094972A8" w14:textId="77777777" w:rsidR="005B143D" w:rsidRDefault="00BD5713" w:rsidP="00BD5713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61C047CF" w14:textId="77777777" w:rsidR="005B143D" w:rsidRDefault="00BD5713" w:rsidP="001F3B5B">
            <w:pPr>
              <w:jc w:val="center"/>
            </w:pPr>
            <w:r>
              <w:t>3615</w:t>
            </w:r>
          </w:p>
        </w:tc>
      </w:tr>
      <w:tr w:rsidR="005B143D" w14:paraId="0B12FEBA" w14:textId="77777777" w:rsidTr="00BD5713">
        <w:tc>
          <w:tcPr>
            <w:tcW w:w="2184" w:type="dxa"/>
          </w:tcPr>
          <w:p w14:paraId="2BE822E2" w14:textId="77777777" w:rsidR="005B143D" w:rsidRDefault="00BD5713" w:rsidP="00BD5713">
            <w:pPr>
              <w:jc w:val="center"/>
            </w:pPr>
            <w:r>
              <w:t>40</w:t>
            </w:r>
          </w:p>
        </w:tc>
        <w:tc>
          <w:tcPr>
            <w:tcW w:w="2210" w:type="dxa"/>
          </w:tcPr>
          <w:p w14:paraId="038EF8D8" w14:textId="77777777" w:rsidR="005B143D" w:rsidRDefault="00BD5713" w:rsidP="00BD5713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1EED278D" w14:textId="77777777" w:rsidR="005B143D" w:rsidRDefault="00990034" w:rsidP="001F3B5B">
            <w:pPr>
              <w:jc w:val="center"/>
            </w:pPr>
            <w:r>
              <w:t>7231</w:t>
            </w:r>
          </w:p>
        </w:tc>
      </w:tr>
    </w:tbl>
    <w:p w14:paraId="72C2E961" w14:textId="77777777" w:rsidR="005B143D" w:rsidRDefault="005B143D"/>
    <w:p w14:paraId="3A8016D7" w14:textId="77777777" w:rsidR="00D9313E" w:rsidRDefault="00D9313E"/>
    <w:p w14:paraId="5EF8FF75" w14:textId="77777777" w:rsidR="00A53532" w:rsidRDefault="00A53532">
      <w:proofErr w:type="spellStart"/>
      <w:r>
        <w:t>Apulco</w:t>
      </w:r>
      <w:proofErr w:type="spellEnd"/>
      <w:r>
        <w:t xml:space="preserve"> </w:t>
      </w:r>
      <w:proofErr w:type="spellStart"/>
      <w:r>
        <w:t>CoHeMax</w:t>
      </w:r>
      <w:proofErr w:type="spellEnd"/>
    </w:p>
    <w:p w14:paraId="116D250A" w14:textId="77777777" w:rsidR="00B57520" w:rsidRDefault="00B57520"/>
    <w:tbl>
      <w:tblPr>
        <w:tblStyle w:val="Mriekatabuky"/>
        <w:tblW w:w="0" w:type="auto"/>
        <w:tblInd w:w="1101" w:type="dxa"/>
        <w:tblLook w:val="04A0" w:firstRow="1" w:lastRow="0" w:firstColumn="1" w:lastColumn="0" w:noHBand="0" w:noVBand="1"/>
      </w:tblPr>
      <w:tblGrid>
        <w:gridCol w:w="2184"/>
        <w:gridCol w:w="2210"/>
        <w:gridCol w:w="2410"/>
      </w:tblGrid>
      <w:tr w:rsidR="00D03B4C" w:rsidRPr="00BD5713" w14:paraId="423FF0B4" w14:textId="77777777" w:rsidTr="00063425">
        <w:tc>
          <w:tcPr>
            <w:tcW w:w="2184" w:type="dxa"/>
          </w:tcPr>
          <w:p w14:paraId="2332BBF0" w14:textId="77777777" w:rsidR="00D03B4C" w:rsidRPr="00BD5713" w:rsidRDefault="00D03B4C" w:rsidP="00063425">
            <w:pPr>
              <w:rPr>
                <w:b/>
              </w:rPr>
            </w:pPr>
            <w:r>
              <w:rPr>
                <w:b/>
              </w:rPr>
              <w:t>Kapacita v litroch</w:t>
            </w:r>
          </w:p>
        </w:tc>
        <w:tc>
          <w:tcPr>
            <w:tcW w:w="2210" w:type="dxa"/>
          </w:tcPr>
          <w:p w14:paraId="6C60AEB7" w14:textId="77777777" w:rsidR="00D03B4C" w:rsidRPr="00BD5713" w:rsidRDefault="00D03B4C" w:rsidP="00063425">
            <w:pPr>
              <w:rPr>
                <w:b/>
              </w:rPr>
            </w:pPr>
            <w:r>
              <w:rPr>
                <w:b/>
              </w:rPr>
              <w:t>Plniaci tlak (bary)</w:t>
            </w:r>
          </w:p>
        </w:tc>
        <w:tc>
          <w:tcPr>
            <w:tcW w:w="2410" w:type="dxa"/>
          </w:tcPr>
          <w:p w14:paraId="541B9C17" w14:textId="77777777" w:rsidR="00D03B4C" w:rsidRPr="00BD5713" w:rsidRDefault="00D03B4C" w:rsidP="00063425">
            <w:pPr>
              <w:rPr>
                <w:b/>
              </w:rPr>
            </w:pPr>
            <w:r>
              <w:rPr>
                <w:b/>
              </w:rPr>
              <w:t>Počet litrov plynu</w:t>
            </w:r>
          </w:p>
        </w:tc>
      </w:tr>
      <w:tr w:rsidR="00D03B4C" w14:paraId="2BD5EC9F" w14:textId="77777777" w:rsidTr="00063425">
        <w:tc>
          <w:tcPr>
            <w:tcW w:w="2184" w:type="dxa"/>
          </w:tcPr>
          <w:p w14:paraId="2A01F4C5" w14:textId="77777777" w:rsidR="00D03B4C" w:rsidRDefault="00D03B4C" w:rsidP="00063425">
            <w:pPr>
              <w:jc w:val="center"/>
            </w:pPr>
            <w:r>
              <w:t>5</w:t>
            </w:r>
          </w:p>
        </w:tc>
        <w:tc>
          <w:tcPr>
            <w:tcW w:w="2210" w:type="dxa"/>
          </w:tcPr>
          <w:p w14:paraId="2817F911" w14:textId="77777777" w:rsidR="00D03B4C" w:rsidRDefault="00D03B4C" w:rsidP="00063425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3ABAD04D" w14:textId="77777777" w:rsidR="00D03B4C" w:rsidRDefault="00CA46E9" w:rsidP="00063425">
            <w:pPr>
              <w:jc w:val="center"/>
            </w:pPr>
            <w:r>
              <w:t>897</w:t>
            </w:r>
          </w:p>
        </w:tc>
      </w:tr>
      <w:tr w:rsidR="00D03B4C" w14:paraId="64C84816" w14:textId="77777777" w:rsidTr="00063425">
        <w:tc>
          <w:tcPr>
            <w:tcW w:w="2184" w:type="dxa"/>
          </w:tcPr>
          <w:p w14:paraId="48E350A6" w14:textId="77777777" w:rsidR="00D03B4C" w:rsidRDefault="00D03B4C" w:rsidP="00063425">
            <w:pPr>
              <w:jc w:val="center"/>
            </w:pPr>
            <w:r>
              <w:t>10</w:t>
            </w:r>
          </w:p>
        </w:tc>
        <w:tc>
          <w:tcPr>
            <w:tcW w:w="2210" w:type="dxa"/>
          </w:tcPr>
          <w:p w14:paraId="5399D5AF" w14:textId="77777777" w:rsidR="00D03B4C" w:rsidRDefault="00D03B4C" w:rsidP="00063425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4FA76B32" w14:textId="77777777" w:rsidR="00D03B4C" w:rsidRDefault="00CA46E9" w:rsidP="001F3B5B">
            <w:pPr>
              <w:jc w:val="center"/>
            </w:pPr>
            <w:r>
              <w:t>1794</w:t>
            </w:r>
          </w:p>
        </w:tc>
      </w:tr>
      <w:tr w:rsidR="00D03B4C" w14:paraId="55CD4D84" w14:textId="77777777" w:rsidTr="00063425">
        <w:tc>
          <w:tcPr>
            <w:tcW w:w="2184" w:type="dxa"/>
          </w:tcPr>
          <w:p w14:paraId="7282558C" w14:textId="77777777" w:rsidR="00D03B4C" w:rsidRDefault="00D03B4C" w:rsidP="00063425">
            <w:pPr>
              <w:jc w:val="center"/>
            </w:pPr>
            <w:r>
              <w:t>20</w:t>
            </w:r>
          </w:p>
        </w:tc>
        <w:tc>
          <w:tcPr>
            <w:tcW w:w="2210" w:type="dxa"/>
          </w:tcPr>
          <w:p w14:paraId="0D18C8BC" w14:textId="77777777" w:rsidR="00D03B4C" w:rsidRDefault="00D03B4C" w:rsidP="00063425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0AD984EE" w14:textId="77777777" w:rsidR="00D03B4C" w:rsidRDefault="00CA46E9" w:rsidP="001F3B5B">
            <w:pPr>
              <w:jc w:val="center"/>
            </w:pPr>
            <w:r>
              <w:t>3589</w:t>
            </w:r>
          </w:p>
        </w:tc>
      </w:tr>
      <w:tr w:rsidR="00D03B4C" w14:paraId="77DA20DD" w14:textId="77777777" w:rsidTr="00063425">
        <w:tc>
          <w:tcPr>
            <w:tcW w:w="2184" w:type="dxa"/>
          </w:tcPr>
          <w:p w14:paraId="40239D7D" w14:textId="77777777" w:rsidR="00D03B4C" w:rsidRDefault="00D03B4C" w:rsidP="00063425">
            <w:pPr>
              <w:jc w:val="center"/>
            </w:pPr>
            <w:r>
              <w:t>40</w:t>
            </w:r>
          </w:p>
        </w:tc>
        <w:tc>
          <w:tcPr>
            <w:tcW w:w="2210" w:type="dxa"/>
          </w:tcPr>
          <w:p w14:paraId="315DAAC3" w14:textId="77777777" w:rsidR="00D03B4C" w:rsidRDefault="00D03B4C" w:rsidP="00063425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716CD952" w14:textId="77777777" w:rsidR="00D03B4C" w:rsidRDefault="00CA46E9" w:rsidP="001F3B5B">
            <w:pPr>
              <w:jc w:val="center"/>
            </w:pPr>
            <w:r>
              <w:t>7178</w:t>
            </w:r>
          </w:p>
        </w:tc>
      </w:tr>
    </w:tbl>
    <w:p w14:paraId="062BA4B7" w14:textId="77777777" w:rsidR="00B57520" w:rsidRDefault="00B57520"/>
    <w:p w14:paraId="535ABFA5" w14:textId="77777777" w:rsidR="005B143D" w:rsidRDefault="005B143D">
      <w:r>
        <w:t>Na trh nemusia byť uvedené všetky veľkosti balenia.</w:t>
      </w:r>
    </w:p>
    <w:p w14:paraId="5B76FB80" w14:textId="77777777" w:rsidR="00AB62A9" w:rsidRDefault="00AB62A9"/>
    <w:p w14:paraId="7E9B402D" w14:textId="77777777" w:rsidR="001D29E6" w:rsidRDefault="001D29E6">
      <w:pPr>
        <w:ind w:left="567" w:hanging="567"/>
        <w:outlineLvl w:val="0"/>
      </w:pPr>
      <w:r>
        <w:rPr>
          <w:b/>
        </w:rPr>
        <w:t>6.6</w:t>
      </w:r>
      <w:r>
        <w:tab/>
      </w:r>
      <w:r>
        <w:rPr>
          <w:b/>
        </w:rPr>
        <w:t>Špeciálne opatrenia na likvidáciu &lt;a iné zaobchádzanie s liekom&gt;</w:t>
      </w:r>
    </w:p>
    <w:p w14:paraId="24FA0705" w14:textId="77777777" w:rsidR="00F408D6" w:rsidRPr="00026BF2" w:rsidRDefault="00F408D6" w:rsidP="00167629">
      <w:pPr>
        <w:suppressLineNumbers/>
        <w:rPr>
          <w:i/>
          <w:noProof/>
          <w:szCs w:val="22"/>
        </w:rPr>
      </w:pPr>
    </w:p>
    <w:p w14:paraId="26EC0A48" w14:textId="77777777" w:rsidR="001D29E6" w:rsidRDefault="00B64293">
      <w:r>
        <w:t>Po vyprázdnení vráťte obal dodávateľovi.</w:t>
      </w:r>
    </w:p>
    <w:p w14:paraId="4853403A" w14:textId="77777777" w:rsidR="001D29E6" w:rsidRDefault="001D29E6"/>
    <w:p w14:paraId="3CD3C344" w14:textId="77777777" w:rsidR="00AF633D" w:rsidRPr="00F359EF" w:rsidRDefault="00AF633D" w:rsidP="00AF633D">
      <w:pPr>
        <w:pStyle w:val="Nadpis4"/>
        <w:rPr>
          <w:b w:val="0"/>
          <w:i/>
        </w:rPr>
      </w:pPr>
      <w:r>
        <w:rPr>
          <w:b w:val="0"/>
          <w:i/>
        </w:rPr>
        <w:t>Všeobecne</w:t>
      </w:r>
    </w:p>
    <w:p w14:paraId="22F6EB82" w14:textId="77777777" w:rsidR="00AF633D" w:rsidRDefault="00AF633D" w:rsidP="00A152E6">
      <w:r>
        <w:t>Medicinálne plyny môžu byť použité len na medicínske účely.</w:t>
      </w:r>
    </w:p>
    <w:p w14:paraId="75B5B1F7" w14:textId="77777777" w:rsidR="00AF633D" w:rsidRPr="00F359EF" w:rsidRDefault="00AF633D" w:rsidP="00AF633D">
      <w:pPr>
        <w:rPr>
          <w:noProof/>
        </w:rPr>
      </w:pPr>
      <w:r>
        <w:t>Plynové fľaše obsahujúce rôzne typy a kvalitu plynov skladujte oddelene. Plné a prázdne plynové fľaše sa musia uchovávať osobitne.</w:t>
      </w:r>
    </w:p>
    <w:p w14:paraId="56794578" w14:textId="77777777" w:rsidR="00AF633D" w:rsidRDefault="00AF633D" w:rsidP="00AF633D">
      <w:r>
        <w:t xml:space="preserve">Nikdy nepoužívajte olej alebo vazelínu a to ani v prípade, že je ventil na plynovej fľaši zaseknutý alebo ak máte problémy s pripojením regulátora. S ventilmi a prislúchajúcimi zariadeniami manipulujte s čistými a nezamastenými rukami (krémy na ruky a pod.). </w:t>
      </w:r>
    </w:p>
    <w:p w14:paraId="056AE670" w14:textId="77777777" w:rsidR="00AF633D" w:rsidRPr="009F3E43" w:rsidRDefault="00AF633D" w:rsidP="00AF633D">
      <w:pPr>
        <w:pStyle w:val="EMEA-docParagraph"/>
        <w:ind w:left="0"/>
        <w:jc w:val="left"/>
      </w:pPr>
      <w:r>
        <w:t>Plynové fľaše uchovávajte zakryté, chránené pred počasím a vetrom, nehorľavým materiálom a nevystavujte ich vysokej teplote.</w:t>
      </w:r>
    </w:p>
    <w:p w14:paraId="711701FE" w14:textId="77777777" w:rsidR="00AF633D" w:rsidRDefault="00AF633D" w:rsidP="00AF633D">
      <w:r>
        <w:t>Používajte len štandardné zariadenia, ktoré sú určené na medicínske použitie.</w:t>
      </w:r>
    </w:p>
    <w:p w14:paraId="1AB46D07" w14:textId="77777777" w:rsidR="00AF633D" w:rsidRDefault="00AF633D" w:rsidP="00AF633D">
      <w:r>
        <w:t>Pred použitím skontrolujte, či sú plynové fľaše utesnené.</w:t>
      </w:r>
    </w:p>
    <w:p w14:paraId="16C773D9" w14:textId="77777777" w:rsidR="00AF633D" w:rsidRDefault="00AF633D" w:rsidP="00AF633D">
      <w:pPr>
        <w:rPr>
          <w:i/>
        </w:rPr>
      </w:pPr>
    </w:p>
    <w:p w14:paraId="7CB3F830" w14:textId="77777777" w:rsidR="00AF633D" w:rsidRDefault="00AF633D" w:rsidP="00AF633D">
      <w:r>
        <w:rPr>
          <w:i/>
        </w:rPr>
        <w:t>Príprava na použitie</w:t>
      </w:r>
    </w:p>
    <w:p w14:paraId="1F4537A9" w14:textId="77777777" w:rsidR="00AF633D" w:rsidRDefault="00AF633D" w:rsidP="00AF633D">
      <w:r>
        <w:t>Pred použitím odstráňte z ventilu tesnenie.</w:t>
      </w:r>
    </w:p>
    <w:p w14:paraId="3D75095D" w14:textId="77777777" w:rsidR="00AF633D" w:rsidRDefault="00AF633D" w:rsidP="00AF633D">
      <w:r>
        <w:t>Používajte len regulátory určené na medicínske účely. Skontrolujte, či je regulátor čistý a tesnenia v dobrom stave.</w:t>
      </w:r>
    </w:p>
    <w:p w14:paraId="4DF50CC0" w14:textId="77777777" w:rsidR="00AF633D" w:rsidRDefault="00AF633D" w:rsidP="00AF633D">
      <w:r>
        <w:t>Jemne otvorte ventil na plynovej fľaši, natlakujte regulátor a zatvorte ventil. Vypustite tlak z regulátora.</w:t>
      </w:r>
    </w:p>
    <w:p w14:paraId="4CF70508" w14:textId="77777777" w:rsidR="00AF633D" w:rsidRDefault="00AF633D" w:rsidP="00AF633D">
      <w:r>
        <w:t>Podľa návodu dodávaného s regulátorom skontrolujte, či nedochádza k úniku. Nepokúšajte sa opraviť únik z ventilu alebo zo zariadenia iným spôsobom ako výmenou tesnenia alebo O-krúžku.</w:t>
      </w:r>
    </w:p>
    <w:p w14:paraId="3B88D13C" w14:textId="77777777" w:rsidR="00AF633D" w:rsidRDefault="00AF633D" w:rsidP="00AF633D">
      <w:r>
        <w:t>V prípade úniku zatvorte ventil a odpojte regulátor. Označte chybné plynové fľaše a vráťte ich dodávateľovi.</w:t>
      </w:r>
    </w:p>
    <w:p w14:paraId="0ACFAFA9" w14:textId="77777777" w:rsidR="00AF633D" w:rsidRDefault="00AF633D" w:rsidP="00AF633D"/>
    <w:p w14:paraId="5C929719" w14:textId="77777777" w:rsidR="00AF633D" w:rsidRDefault="00AF633D" w:rsidP="00AF633D">
      <w:r>
        <w:rPr>
          <w:i/>
        </w:rPr>
        <w:t>Používanie plynovej fľaše</w:t>
      </w:r>
    </w:p>
    <w:p w14:paraId="7EBB7677" w14:textId="77777777" w:rsidR="00AF633D" w:rsidRDefault="00AF633D" w:rsidP="00AF633D">
      <w:r>
        <w:t>Fajčenie a použitie otvoreného ohňa je úplne zakázané v priestoroch podávania liečby plynom.</w:t>
      </w:r>
    </w:p>
    <w:p w14:paraId="78BCB202" w14:textId="77777777" w:rsidR="00AF633D" w:rsidRDefault="00AF633D" w:rsidP="00AF633D">
      <w:pPr>
        <w:rPr>
          <w:szCs w:val="22"/>
        </w:rPr>
      </w:pPr>
      <w:r>
        <w:t>V prípade požiaru alebo keď sa zariadenie nepoužíva, zatvorte ho.</w:t>
      </w:r>
    </w:p>
    <w:p w14:paraId="7A05DD73" w14:textId="77777777" w:rsidR="00AF633D" w:rsidRPr="009E1A5B" w:rsidRDefault="00AF633D" w:rsidP="00AF633D">
      <w:pPr>
        <w:rPr>
          <w:szCs w:val="22"/>
        </w:rPr>
      </w:pPr>
      <w:r>
        <w:t>V prípade požiaru dodržujte bezpečnostné opatrenia.</w:t>
      </w:r>
    </w:p>
    <w:p w14:paraId="4E0D862E" w14:textId="77777777" w:rsidR="00AF633D" w:rsidRDefault="00AF633D" w:rsidP="00AF633D">
      <w:r>
        <w:t>Keď sa plynová fľaša používa, musíte ju upevniť v príslušnom držiaku.</w:t>
      </w:r>
    </w:p>
    <w:p w14:paraId="77E160DC" w14:textId="77777777" w:rsidR="00AF633D" w:rsidRDefault="00AF633D" w:rsidP="00A152E6">
      <w:pPr>
        <w:pStyle w:val="EMEA-docParagraph"/>
        <w:ind w:left="0"/>
        <w:jc w:val="left"/>
      </w:pPr>
      <w:r>
        <w:t>Počas skladovania a prepravy vykonajte bezpečnostné opatrenia za účelom zabránenia vyprázdnenia alebo pádu.</w:t>
      </w:r>
    </w:p>
    <w:p w14:paraId="1C4DC312" w14:textId="66D013D7" w:rsidR="00AF633D" w:rsidRDefault="00446F12" w:rsidP="00AF633D">
      <w:r>
        <w:t>Obal musíte vrátiť s minimálnym zvyškovým tlakom. Tento zvyškový tlak chráni plynovú fľašu pred prípadnou kontamináciou.</w:t>
      </w:r>
    </w:p>
    <w:p w14:paraId="6E4159C9" w14:textId="77777777" w:rsidR="00AF633D" w:rsidRDefault="00AF633D" w:rsidP="00AF633D"/>
    <w:p w14:paraId="5C1E6276" w14:textId="77777777" w:rsidR="00AF633D" w:rsidRDefault="00AF633D" w:rsidP="00AF633D">
      <w:r>
        <w:lastRenderedPageBreak/>
        <w:t>Po použití musíte ventil na fľaši natesno zatvoriť použitím normálnej sily. Vypustite tlak z regulátora alebo prípojky.</w:t>
      </w:r>
    </w:p>
    <w:p w14:paraId="14B43F2F" w14:textId="77777777" w:rsidR="001D29E6" w:rsidRDefault="001D29E6"/>
    <w:p w14:paraId="1DB5FAE2" w14:textId="77777777" w:rsidR="001E5A4A" w:rsidRDefault="001E5A4A"/>
    <w:p w14:paraId="61E89A48" w14:textId="77777777" w:rsidR="001D29E6" w:rsidRDefault="001D29E6">
      <w:pPr>
        <w:ind w:left="567" w:hanging="567"/>
      </w:pPr>
      <w:r>
        <w:rPr>
          <w:b/>
        </w:rPr>
        <w:t>7.</w:t>
      </w:r>
      <w:r>
        <w:tab/>
      </w:r>
      <w:r>
        <w:rPr>
          <w:b/>
        </w:rPr>
        <w:t>DRŽITEĽ ROZHODNUTIA O REGISTRÁCII</w:t>
      </w:r>
    </w:p>
    <w:p w14:paraId="33739C71" w14:textId="77777777" w:rsidR="001D29E6" w:rsidRDefault="001D29E6"/>
    <w:p w14:paraId="75455E2F" w14:textId="77777777" w:rsidR="008F24DF" w:rsidRPr="00386257" w:rsidRDefault="008F24DF" w:rsidP="008F24DF">
      <w:pPr>
        <w:pStyle w:val="Default"/>
        <w:ind w:left="85" w:hanging="85"/>
        <w:rPr>
          <w:rFonts w:cstheme="minorBidi"/>
          <w:sz w:val="22"/>
          <w:szCs w:val="22"/>
        </w:rPr>
      </w:pPr>
      <w:r w:rsidRPr="00386257">
        <w:rPr>
          <w:rFonts w:cstheme="minorBidi"/>
          <w:sz w:val="22"/>
          <w:szCs w:val="22"/>
        </w:rPr>
        <w:t xml:space="preserve">Air </w:t>
      </w:r>
      <w:proofErr w:type="spellStart"/>
      <w:r w:rsidRPr="00386257">
        <w:rPr>
          <w:rFonts w:cstheme="minorBidi"/>
          <w:sz w:val="22"/>
          <w:szCs w:val="22"/>
        </w:rPr>
        <w:t>Products</w:t>
      </w:r>
      <w:proofErr w:type="spellEnd"/>
      <w:r w:rsidRPr="00386257">
        <w:rPr>
          <w:rFonts w:cstheme="minorBidi"/>
          <w:sz w:val="22"/>
          <w:szCs w:val="22"/>
        </w:rPr>
        <w:t xml:space="preserve"> Slovakia s r. o. </w:t>
      </w:r>
    </w:p>
    <w:p w14:paraId="013B27B1" w14:textId="77777777" w:rsidR="008F24DF" w:rsidRPr="00386257" w:rsidRDefault="008F24DF" w:rsidP="008F24DF">
      <w:pPr>
        <w:pStyle w:val="Default"/>
        <w:ind w:left="85" w:hanging="85"/>
        <w:rPr>
          <w:rFonts w:cstheme="minorBidi"/>
          <w:sz w:val="22"/>
          <w:szCs w:val="22"/>
        </w:rPr>
      </w:pPr>
      <w:r w:rsidRPr="00386257">
        <w:rPr>
          <w:rFonts w:cstheme="minorBidi"/>
          <w:sz w:val="22"/>
          <w:szCs w:val="22"/>
        </w:rPr>
        <w:t xml:space="preserve">Mlynské nivy 74, 821 05 Bratislava </w:t>
      </w:r>
    </w:p>
    <w:p w14:paraId="556E5318" w14:textId="77777777" w:rsidR="008F24DF" w:rsidRPr="00386257" w:rsidRDefault="008F24DF" w:rsidP="008F24DF">
      <w:pPr>
        <w:pStyle w:val="Odsekzoznamu"/>
        <w:ind w:left="85" w:hanging="85"/>
        <w:rPr>
          <w:szCs w:val="22"/>
        </w:rPr>
      </w:pPr>
      <w:r w:rsidRPr="00386257">
        <w:rPr>
          <w:szCs w:val="22"/>
        </w:rPr>
        <w:t>Slovenská republika</w:t>
      </w:r>
    </w:p>
    <w:p w14:paraId="72756BD0" w14:textId="77777777" w:rsidR="001E5A4A" w:rsidRDefault="001E5A4A"/>
    <w:p w14:paraId="1B7387DA" w14:textId="77777777" w:rsidR="001D29E6" w:rsidRDefault="001D29E6">
      <w:pPr>
        <w:ind w:left="567" w:hanging="567"/>
        <w:rPr>
          <w:b/>
        </w:rPr>
      </w:pPr>
      <w:r>
        <w:rPr>
          <w:b/>
        </w:rPr>
        <w:t>8.</w:t>
      </w:r>
      <w:r>
        <w:tab/>
      </w:r>
      <w:r>
        <w:rPr>
          <w:b/>
        </w:rPr>
        <w:t xml:space="preserve">REGISTRAČNÉ ČÍSLO (ČÍSLA) </w:t>
      </w:r>
    </w:p>
    <w:p w14:paraId="3A2F645A" w14:textId="77777777" w:rsidR="001D29E6" w:rsidRDefault="001D29E6">
      <w:pPr>
        <w:rPr>
          <w:i/>
        </w:rPr>
      </w:pPr>
    </w:p>
    <w:p w14:paraId="17EFB289" w14:textId="1D5411DE" w:rsidR="00270EB5" w:rsidRPr="00B13545" w:rsidRDefault="00270EB5" w:rsidP="00270EB5">
      <w:proofErr w:type="spellStart"/>
      <w:r>
        <w:t>Apulco</w:t>
      </w:r>
      <w:proofErr w:type="spellEnd"/>
      <w:r>
        <w:t xml:space="preserve"> </w:t>
      </w:r>
      <w:proofErr w:type="spellStart"/>
      <w:r>
        <w:t>CoHe</w:t>
      </w:r>
      <w:proofErr w:type="spellEnd"/>
      <w:r>
        <w:t xml:space="preserve"> 0,28% / 9,5% medicinálny plyn stlačený</w:t>
      </w:r>
      <w:r>
        <w:t>:</w:t>
      </w:r>
      <w:r>
        <w:tab/>
      </w:r>
      <w:r>
        <w:tab/>
        <w:t>48/0013/18-S</w:t>
      </w:r>
    </w:p>
    <w:p w14:paraId="61A0E578" w14:textId="3D3E29B2" w:rsidR="00270EB5" w:rsidRPr="00B13545" w:rsidRDefault="00270EB5" w:rsidP="00270EB5">
      <w:proofErr w:type="spellStart"/>
      <w:r>
        <w:t>Apulco</w:t>
      </w:r>
      <w:proofErr w:type="spellEnd"/>
      <w:r>
        <w:t xml:space="preserve"> </w:t>
      </w:r>
      <w:proofErr w:type="spellStart"/>
      <w:r>
        <w:t>CoHeMax</w:t>
      </w:r>
      <w:proofErr w:type="spellEnd"/>
      <w:r>
        <w:t xml:space="preserve"> 0,28% / 14% medicinálny plyn stlačený</w:t>
      </w:r>
      <w:r>
        <w:t>:</w:t>
      </w:r>
      <w:r>
        <w:tab/>
        <w:t>48/0014/18-S</w:t>
      </w:r>
    </w:p>
    <w:p w14:paraId="23DF22B0" w14:textId="77777777" w:rsidR="001D29E6" w:rsidRDefault="001D29E6"/>
    <w:p w14:paraId="7EC8A52B" w14:textId="77777777" w:rsidR="001E5A4A" w:rsidRDefault="001E5A4A">
      <w:bookmarkStart w:id="0" w:name="_GoBack"/>
      <w:bookmarkEnd w:id="0"/>
    </w:p>
    <w:p w14:paraId="42426D90" w14:textId="77777777" w:rsidR="001D29E6" w:rsidRDefault="001D29E6">
      <w:pPr>
        <w:ind w:left="567" w:hanging="567"/>
      </w:pPr>
      <w:r>
        <w:rPr>
          <w:b/>
        </w:rPr>
        <w:t>9.</w:t>
      </w:r>
      <w:r>
        <w:tab/>
      </w:r>
      <w:r>
        <w:rPr>
          <w:b/>
        </w:rPr>
        <w:t>DÁTUM PRVEJ REGISTRÁCIE/PREDĹŽENIA REGISTRÁCIE</w:t>
      </w:r>
    </w:p>
    <w:p w14:paraId="77668AE1" w14:textId="055431F5" w:rsidR="001D29E6" w:rsidRDefault="001D29E6"/>
    <w:p w14:paraId="33EACF14" w14:textId="77777777" w:rsidR="001D29E6" w:rsidRDefault="001D29E6"/>
    <w:p w14:paraId="5216F720" w14:textId="77777777" w:rsidR="001D29E6" w:rsidRDefault="001D29E6"/>
    <w:p w14:paraId="56135DB1" w14:textId="77777777" w:rsidR="001D29E6" w:rsidRDefault="001D29E6">
      <w:pPr>
        <w:ind w:left="567" w:hanging="567"/>
        <w:rPr>
          <w:b/>
        </w:rPr>
      </w:pPr>
      <w:r>
        <w:rPr>
          <w:b/>
        </w:rPr>
        <w:t>10.</w:t>
      </w:r>
      <w:r>
        <w:tab/>
      </w:r>
      <w:r>
        <w:rPr>
          <w:b/>
        </w:rPr>
        <w:t>DÁTUM REVÍZIE TEXTU</w:t>
      </w:r>
    </w:p>
    <w:p w14:paraId="3FFE2BB0" w14:textId="77777777" w:rsidR="001D29E6" w:rsidRDefault="001D29E6"/>
    <w:p w14:paraId="14DED75B" w14:textId="3D42B7C2" w:rsidR="001D29E6" w:rsidRPr="000A75A1" w:rsidRDefault="001E5A4A" w:rsidP="000A75A1">
      <w:pPr>
        <w:numPr>
          <w:ilvl w:val="12"/>
          <w:numId w:val="0"/>
        </w:numPr>
        <w:ind w:right="-2"/>
        <w:rPr>
          <w:iCs/>
        </w:rPr>
      </w:pPr>
      <w:r>
        <w:t>01/2018.</w:t>
      </w:r>
    </w:p>
    <w:p w14:paraId="43F87E6C" w14:textId="77777777" w:rsidR="001D29E6" w:rsidRDefault="001D29E6" w:rsidP="009A77B6">
      <w:pPr>
        <w:tabs>
          <w:tab w:val="clear" w:pos="567"/>
        </w:tabs>
        <w:spacing w:line="240" w:lineRule="auto"/>
        <w:ind w:right="113"/>
        <w:rPr>
          <w:noProof/>
        </w:rPr>
      </w:pPr>
    </w:p>
    <w:sectPr w:rsidR="001D29E6" w:rsidSect="00386257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7EDC9" w14:textId="77777777" w:rsidR="002B3CD1" w:rsidRDefault="002B3CD1">
      <w:r>
        <w:separator/>
      </w:r>
    </w:p>
  </w:endnote>
  <w:endnote w:type="continuationSeparator" w:id="0">
    <w:p w14:paraId="703B33BF" w14:textId="77777777" w:rsidR="002B3CD1" w:rsidRDefault="002B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B5947" w14:textId="4F328810" w:rsidR="00D77D60" w:rsidRDefault="00B93CBD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D77D60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D77D60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270EB5">
      <w:rPr>
        <w:rStyle w:val="slostrany"/>
        <w:rFonts w:ascii="Arial" w:hAnsi="Arial" w:cs="Arial"/>
        <w:noProof/>
      </w:rPr>
      <w:t>6</w:t>
    </w:r>
    <w:r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29979" w14:textId="77777777" w:rsidR="00D77D60" w:rsidRDefault="00B93CBD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D77D60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D77D60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1A630D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24089" w14:textId="77777777" w:rsidR="002B3CD1" w:rsidRDefault="002B3CD1">
      <w:r>
        <w:separator/>
      </w:r>
    </w:p>
  </w:footnote>
  <w:footnote w:type="continuationSeparator" w:id="0">
    <w:p w14:paraId="1E4E68E1" w14:textId="77777777" w:rsidR="002B3CD1" w:rsidRDefault="002B3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AE59A" w14:textId="6779D32E" w:rsidR="001A630D" w:rsidRPr="00386257" w:rsidRDefault="001A630D">
    <w:pPr>
      <w:pStyle w:val="Hlavika"/>
      <w:rPr>
        <w:rFonts w:ascii="Times New Roman" w:hAnsi="Times New Roman"/>
        <w:sz w:val="18"/>
        <w:szCs w:val="18"/>
      </w:rPr>
    </w:pPr>
    <w:r w:rsidRPr="00386257">
      <w:rPr>
        <w:rFonts w:ascii="Times New Roman" w:hAnsi="Times New Roman"/>
        <w:sz w:val="18"/>
        <w:szCs w:val="18"/>
      </w:rPr>
      <w:t>Schválený text k rozhodnutiu o </w:t>
    </w:r>
    <w:r w:rsidRPr="001A630D">
      <w:rPr>
        <w:rFonts w:ascii="Times New Roman" w:hAnsi="Times New Roman"/>
        <w:sz w:val="18"/>
        <w:szCs w:val="18"/>
      </w:rPr>
      <w:t>registrácii</w:t>
    </w:r>
    <w:r w:rsidRPr="00386257">
      <w:rPr>
        <w:rFonts w:ascii="Times New Roman" w:hAnsi="Times New Roman"/>
        <w:sz w:val="18"/>
        <w:szCs w:val="18"/>
      </w:rPr>
      <w:t xml:space="preserve">, </w:t>
    </w:r>
    <w:proofErr w:type="spellStart"/>
    <w:r w:rsidRPr="00386257">
      <w:rPr>
        <w:rFonts w:ascii="Times New Roman" w:hAnsi="Times New Roman"/>
        <w:sz w:val="18"/>
        <w:szCs w:val="18"/>
      </w:rPr>
      <w:t>ev.</w:t>
    </w:r>
    <w:r w:rsidRPr="00386257">
      <w:rPr>
        <w:rFonts w:ascii="Times New Roman" w:hAnsi="Times New Roman" w:hint="eastAsia"/>
        <w:sz w:val="18"/>
        <w:szCs w:val="18"/>
      </w:rPr>
      <w:t>č</w:t>
    </w:r>
    <w:proofErr w:type="spellEnd"/>
    <w:r w:rsidRPr="00386257">
      <w:rPr>
        <w:rFonts w:ascii="Times New Roman" w:hAnsi="Times New Roman"/>
        <w:sz w:val="18"/>
        <w:szCs w:val="18"/>
      </w:rPr>
      <w:t>.:</w:t>
    </w:r>
    <w:r w:rsidR="009D7E13">
      <w:rPr>
        <w:rFonts w:ascii="Times New Roman" w:hAnsi="Times New Roman"/>
        <w:sz w:val="18"/>
        <w:szCs w:val="18"/>
      </w:rPr>
      <w:t xml:space="preserve"> 2017/03087-REG, 2017/03088-REG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27339"/>
    <w:multiLevelType w:val="hybridMultilevel"/>
    <w:tmpl w:val="216C927C"/>
    <w:lvl w:ilvl="0" w:tplc="498022C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2144CD1"/>
    <w:multiLevelType w:val="hybridMultilevel"/>
    <w:tmpl w:val="5AEA4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2185E"/>
    <w:multiLevelType w:val="hybridMultilevel"/>
    <w:tmpl w:val="184C5A8A"/>
    <w:lvl w:ilvl="0" w:tplc="340277B4">
      <w:numFmt w:val="bullet"/>
      <w:lvlText w:val="•"/>
      <w:lvlJc w:val="left"/>
      <w:pPr>
        <w:ind w:left="924" w:hanging="56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A6CA2"/>
    <w:multiLevelType w:val="hybridMultilevel"/>
    <w:tmpl w:val="A23C7802"/>
    <w:lvl w:ilvl="0" w:tplc="E80A735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D43AF3"/>
    <w:multiLevelType w:val="hybridMultilevel"/>
    <w:tmpl w:val="6298F508"/>
    <w:lvl w:ilvl="0" w:tplc="E80A735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2653CA7"/>
    <w:multiLevelType w:val="hybridMultilevel"/>
    <w:tmpl w:val="D5663AEA"/>
    <w:lvl w:ilvl="0" w:tplc="340277B4">
      <w:numFmt w:val="bullet"/>
      <w:lvlText w:val="•"/>
      <w:lvlJc w:val="left"/>
      <w:pPr>
        <w:ind w:left="924" w:hanging="56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623BF7"/>
    <w:multiLevelType w:val="hybridMultilevel"/>
    <w:tmpl w:val="6E807FA8"/>
    <w:lvl w:ilvl="0" w:tplc="340277B4">
      <w:numFmt w:val="bullet"/>
      <w:lvlText w:val="•"/>
      <w:lvlJc w:val="left"/>
      <w:pPr>
        <w:ind w:left="924" w:hanging="56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5E4E2CC6"/>
    <w:multiLevelType w:val="hybridMultilevel"/>
    <w:tmpl w:val="F6DAD1A8"/>
    <w:lvl w:ilvl="0" w:tplc="E80A735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4"/>
  </w:num>
  <w:num w:numId="6">
    <w:abstractNumId w:val="26"/>
  </w:num>
  <w:num w:numId="7">
    <w:abstractNumId w:val="24"/>
  </w:num>
  <w:num w:numId="8">
    <w:abstractNumId w:val="10"/>
  </w:num>
  <w:num w:numId="9">
    <w:abstractNumId w:val="37"/>
  </w:num>
  <w:num w:numId="10">
    <w:abstractNumId w:val="38"/>
  </w:num>
  <w:num w:numId="11">
    <w:abstractNumId w:val="20"/>
  </w:num>
  <w:num w:numId="12">
    <w:abstractNumId w:val="17"/>
  </w:num>
  <w:num w:numId="13">
    <w:abstractNumId w:val="3"/>
  </w:num>
  <w:num w:numId="14">
    <w:abstractNumId w:val="36"/>
  </w:num>
  <w:num w:numId="15">
    <w:abstractNumId w:val="22"/>
  </w:num>
  <w:num w:numId="16">
    <w:abstractNumId w:val="41"/>
  </w:num>
  <w:num w:numId="17">
    <w:abstractNumId w:val="11"/>
  </w:num>
  <w:num w:numId="18">
    <w:abstractNumId w:val="2"/>
  </w:num>
  <w:num w:numId="19">
    <w:abstractNumId w:val="21"/>
  </w:num>
  <w:num w:numId="20">
    <w:abstractNumId w:val="4"/>
  </w:num>
  <w:num w:numId="21">
    <w:abstractNumId w:val="9"/>
  </w:num>
  <w:num w:numId="22">
    <w:abstractNumId w:val="30"/>
  </w:num>
  <w:num w:numId="23">
    <w:abstractNumId w:val="35"/>
  </w:num>
  <w:num w:numId="24">
    <w:abstractNumId w:val="28"/>
  </w:num>
  <w:num w:numId="25">
    <w:abstractNumId w:val="15"/>
  </w:num>
  <w:num w:numId="26">
    <w:abstractNumId w:val="13"/>
  </w:num>
  <w:num w:numId="27">
    <w:abstractNumId w:val="23"/>
  </w:num>
  <w:num w:numId="28">
    <w:abstractNumId w:val="27"/>
  </w:num>
  <w:num w:numId="29">
    <w:abstractNumId w:val="18"/>
  </w:num>
  <w:num w:numId="30">
    <w:abstractNumId w:val="12"/>
  </w:num>
  <w:num w:numId="31">
    <w:abstractNumId w:val="33"/>
  </w:num>
  <w:num w:numId="32">
    <w:abstractNumId w:val="34"/>
  </w:num>
  <w:num w:numId="33">
    <w:abstractNumId w:val="32"/>
  </w:num>
  <w:num w:numId="34">
    <w:abstractNumId w:val="19"/>
  </w:num>
  <w:num w:numId="35">
    <w:abstractNumId w:val="5"/>
  </w:num>
  <w:num w:numId="36">
    <w:abstractNumId w:val="42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6"/>
  </w:num>
  <w:num w:numId="39">
    <w:abstractNumId w:val="25"/>
  </w:num>
  <w:num w:numId="40">
    <w:abstractNumId w:val="8"/>
  </w:num>
  <w:num w:numId="41">
    <w:abstractNumId w:val="7"/>
  </w:num>
  <w:num w:numId="42">
    <w:abstractNumId w:val="29"/>
  </w:num>
  <w:num w:numId="43">
    <w:abstractNumId w:val="1"/>
  </w:num>
  <w:num w:numId="44">
    <w:abstractNumId w:val="16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3AF9"/>
    <w:rsid w:val="000131C2"/>
    <w:rsid w:val="00017124"/>
    <w:rsid w:val="000277F5"/>
    <w:rsid w:val="00035935"/>
    <w:rsid w:val="000425D4"/>
    <w:rsid w:val="000542BE"/>
    <w:rsid w:val="000567FE"/>
    <w:rsid w:val="00063425"/>
    <w:rsid w:val="0006641A"/>
    <w:rsid w:val="00067D17"/>
    <w:rsid w:val="00071EC9"/>
    <w:rsid w:val="00072AD8"/>
    <w:rsid w:val="000A75A1"/>
    <w:rsid w:val="000C53B4"/>
    <w:rsid w:val="000C730C"/>
    <w:rsid w:val="000E191C"/>
    <w:rsid w:val="000F695A"/>
    <w:rsid w:val="00122C4D"/>
    <w:rsid w:val="00127257"/>
    <w:rsid w:val="00151977"/>
    <w:rsid w:val="00152CC5"/>
    <w:rsid w:val="00161A13"/>
    <w:rsid w:val="00165378"/>
    <w:rsid w:val="00167629"/>
    <w:rsid w:val="00176D2E"/>
    <w:rsid w:val="00185256"/>
    <w:rsid w:val="001933F7"/>
    <w:rsid w:val="001A630D"/>
    <w:rsid w:val="001B647D"/>
    <w:rsid w:val="001D07F7"/>
    <w:rsid w:val="001D204E"/>
    <w:rsid w:val="001D29E6"/>
    <w:rsid w:val="001D3844"/>
    <w:rsid w:val="001E5A4A"/>
    <w:rsid w:val="001E69E2"/>
    <w:rsid w:val="001F3B5B"/>
    <w:rsid w:val="002071DA"/>
    <w:rsid w:val="00211F4D"/>
    <w:rsid w:val="00223B51"/>
    <w:rsid w:val="00232029"/>
    <w:rsid w:val="002331EF"/>
    <w:rsid w:val="00234766"/>
    <w:rsid w:val="00246C7F"/>
    <w:rsid w:val="002508E3"/>
    <w:rsid w:val="00252292"/>
    <w:rsid w:val="00270AC1"/>
    <w:rsid w:val="00270EB5"/>
    <w:rsid w:val="002760B4"/>
    <w:rsid w:val="002826DD"/>
    <w:rsid w:val="0029721A"/>
    <w:rsid w:val="002A7D02"/>
    <w:rsid w:val="002B15EC"/>
    <w:rsid w:val="002B3CD1"/>
    <w:rsid w:val="002B57B9"/>
    <w:rsid w:val="002C03EB"/>
    <w:rsid w:val="002D0559"/>
    <w:rsid w:val="002D6185"/>
    <w:rsid w:val="002E0FBB"/>
    <w:rsid w:val="002F123A"/>
    <w:rsid w:val="003052A2"/>
    <w:rsid w:val="00307444"/>
    <w:rsid w:val="0031220F"/>
    <w:rsid w:val="0031763A"/>
    <w:rsid w:val="00320A69"/>
    <w:rsid w:val="0033089C"/>
    <w:rsid w:val="00333DE6"/>
    <w:rsid w:val="0034005B"/>
    <w:rsid w:val="0034249B"/>
    <w:rsid w:val="0035645D"/>
    <w:rsid w:val="00357668"/>
    <w:rsid w:val="0036198E"/>
    <w:rsid w:val="003619FE"/>
    <w:rsid w:val="003675CE"/>
    <w:rsid w:val="00372384"/>
    <w:rsid w:val="003740FA"/>
    <w:rsid w:val="003746A2"/>
    <w:rsid w:val="00374D0A"/>
    <w:rsid w:val="00381B4F"/>
    <w:rsid w:val="00382D33"/>
    <w:rsid w:val="00386257"/>
    <w:rsid w:val="003A7AF2"/>
    <w:rsid w:val="003B3D77"/>
    <w:rsid w:val="003C561C"/>
    <w:rsid w:val="003D2766"/>
    <w:rsid w:val="003D309B"/>
    <w:rsid w:val="003D3B72"/>
    <w:rsid w:val="003E05EE"/>
    <w:rsid w:val="003E355A"/>
    <w:rsid w:val="003E3824"/>
    <w:rsid w:val="00400700"/>
    <w:rsid w:val="00406FBB"/>
    <w:rsid w:val="00421BD4"/>
    <w:rsid w:val="00446E01"/>
    <w:rsid w:val="00446F12"/>
    <w:rsid w:val="004513A6"/>
    <w:rsid w:val="00476607"/>
    <w:rsid w:val="0047701B"/>
    <w:rsid w:val="004869C6"/>
    <w:rsid w:val="00486B77"/>
    <w:rsid w:val="004A5069"/>
    <w:rsid w:val="004C582F"/>
    <w:rsid w:val="004D613D"/>
    <w:rsid w:val="005022DB"/>
    <w:rsid w:val="0050267F"/>
    <w:rsid w:val="00512DBC"/>
    <w:rsid w:val="00521F11"/>
    <w:rsid w:val="00527964"/>
    <w:rsid w:val="00543277"/>
    <w:rsid w:val="005460E5"/>
    <w:rsid w:val="00547410"/>
    <w:rsid w:val="0056223D"/>
    <w:rsid w:val="0056769B"/>
    <w:rsid w:val="0057081A"/>
    <w:rsid w:val="005778DE"/>
    <w:rsid w:val="00590FC1"/>
    <w:rsid w:val="005A099B"/>
    <w:rsid w:val="005A1353"/>
    <w:rsid w:val="005B107E"/>
    <w:rsid w:val="005B143D"/>
    <w:rsid w:val="005B248F"/>
    <w:rsid w:val="005C0577"/>
    <w:rsid w:val="005C298D"/>
    <w:rsid w:val="005C7EC9"/>
    <w:rsid w:val="005D546B"/>
    <w:rsid w:val="005D735A"/>
    <w:rsid w:val="005E363C"/>
    <w:rsid w:val="005F20AA"/>
    <w:rsid w:val="005F7B5B"/>
    <w:rsid w:val="00604296"/>
    <w:rsid w:val="00607091"/>
    <w:rsid w:val="00610B88"/>
    <w:rsid w:val="00610EB0"/>
    <w:rsid w:val="00614165"/>
    <w:rsid w:val="00615025"/>
    <w:rsid w:val="00616BCA"/>
    <w:rsid w:val="00622FAE"/>
    <w:rsid w:val="0062768E"/>
    <w:rsid w:val="00642E0C"/>
    <w:rsid w:val="006555D2"/>
    <w:rsid w:val="0067065F"/>
    <w:rsid w:val="006737F7"/>
    <w:rsid w:val="006774FC"/>
    <w:rsid w:val="00682DF5"/>
    <w:rsid w:val="006878B6"/>
    <w:rsid w:val="00693EAF"/>
    <w:rsid w:val="006A0CE1"/>
    <w:rsid w:val="006C5957"/>
    <w:rsid w:val="006C6183"/>
    <w:rsid w:val="006F6D59"/>
    <w:rsid w:val="00703F46"/>
    <w:rsid w:val="00731AF0"/>
    <w:rsid w:val="007423C9"/>
    <w:rsid w:val="00750CB5"/>
    <w:rsid w:val="00751FCC"/>
    <w:rsid w:val="00755357"/>
    <w:rsid w:val="00777769"/>
    <w:rsid w:val="00777851"/>
    <w:rsid w:val="0078102A"/>
    <w:rsid w:val="0078241A"/>
    <w:rsid w:val="00796F60"/>
    <w:rsid w:val="007A13E4"/>
    <w:rsid w:val="007A7EE7"/>
    <w:rsid w:val="007B560F"/>
    <w:rsid w:val="007D1A5D"/>
    <w:rsid w:val="007E0D1F"/>
    <w:rsid w:val="008014C8"/>
    <w:rsid w:val="008018FF"/>
    <w:rsid w:val="0081275A"/>
    <w:rsid w:val="00821E58"/>
    <w:rsid w:val="00831202"/>
    <w:rsid w:val="0083756B"/>
    <w:rsid w:val="00887CC8"/>
    <w:rsid w:val="00892CC4"/>
    <w:rsid w:val="0089579B"/>
    <w:rsid w:val="008A20CE"/>
    <w:rsid w:val="008B2D5D"/>
    <w:rsid w:val="008B7437"/>
    <w:rsid w:val="008C1C0D"/>
    <w:rsid w:val="008C24B6"/>
    <w:rsid w:val="008D2D4C"/>
    <w:rsid w:val="008D7E74"/>
    <w:rsid w:val="008E1524"/>
    <w:rsid w:val="008E39EA"/>
    <w:rsid w:val="008E46BE"/>
    <w:rsid w:val="008F24DF"/>
    <w:rsid w:val="008F4F6F"/>
    <w:rsid w:val="00917DED"/>
    <w:rsid w:val="0092565C"/>
    <w:rsid w:val="00942B27"/>
    <w:rsid w:val="00960024"/>
    <w:rsid w:val="00962267"/>
    <w:rsid w:val="009623D3"/>
    <w:rsid w:val="00974ABD"/>
    <w:rsid w:val="00984DE0"/>
    <w:rsid w:val="00990034"/>
    <w:rsid w:val="0099472E"/>
    <w:rsid w:val="009A22D3"/>
    <w:rsid w:val="009A77B6"/>
    <w:rsid w:val="009C31E7"/>
    <w:rsid w:val="009C45CC"/>
    <w:rsid w:val="009D7E13"/>
    <w:rsid w:val="009F1519"/>
    <w:rsid w:val="009F5357"/>
    <w:rsid w:val="00A05608"/>
    <w:rsid w:val="00A152E6"/>
    <w:rsid w:val="00A20993"/>
    <w:rsid w:val="00A24597"/>
    <w:rsid w:val="00A37FFA"/>
    <w:rsid w:val="00A50657"/>
    <w:rsid w:val="00A5295B"/>
    <w:rsid w:val="00A53532"/>
    <w:rsid w:val="00A57054"/>
    <w:rsid w:val="00A62132"/>
    <w:rsid w:val="00A66D9B"/>
    <w:rsid w:val="00A6728A"/>
    <w:rsid w:val="00A8143B"/>
    <w:rsid w:val="00A94E84"/>
    <w:rsid w:val="00AB62A9"/>
    <w:rsid w:val="00AC409B"/>
    <w:rsid w:val="00AC6173"/>
    <w:rsid w:val="00AD3A40"/>
    <w:rsid w:val="00AE3A27"/>
    <w:rsid w:val="00AE495C"/>
    <w:rsid w:val="00AF0A54"/>
    <w:rsid w:val="00AF633D"/>
    <w:rsid w:val="00B02B79"/>
    <w:rsid w:val="00B06293"/>
    <w:rsid w:val="00B13545"/>
    <w:rsid w:val="00B17DC1"/>
    <w:rsid w:val="00B2166D"/>
    <w:rsid w:val="00B247B1"/>
    <w:rsid w:val="00B31490"/>
    <w:rsid w:val="00B36147"/>
    <w:rsid w:val="00B36772"/>
    <w:rsid w:val="00B54AFE"/>
    <w:rsid w:val="00B57520"/>
    <w:rsid w:val="00B6335C"/>
    <w:rsid w:val="00B64293"/>
    <w:rsid w:val="00B65EBB"/>
    <w:rsid w:val="00B7323E"/>
    <w:rsid w:val="00B827EB"/>
    <w:rsid w:val="00B838CC"/>
    <w:rsid w:val="00B93260"/>
    <w:rsid w:val="00B93404"/>
    <w:rsid w:val="00B93CBD"/>
    <w:rsid w:val="00B96028"/>
    <w:rsid w:val="00BA08A6"/>
    <w:rsid w:val="00BA6463"/>
    <w:rsid w:val="00BB30F6"/>
    <w:rsid w:val="00BB73A8"/>
    <w:rsid w:val="00BC1A21"/>
    <w:rsid w:val="00BC4FFD"/>
    <w:rsid w:val="00BC6D9A"/>
    <w:rsid w:val="00BD5713"/>
    <w:rsid w:val="00BE6FB4"/>
    <w:rsid w:val="00BE7E6B"/>
    <w:rsid w:val="00BF2A8C"/>
    <w:rsid w:val="00C06318"/>
    <w:rsid w:val="00C07634"/>
    <w:rsid w:val="00C130CE"/>
    <w:rsid w:val="00C167B8"/>
    <w:rsid w:val="00C31905"/>
    <w:rsid w:val="00C328FB"/>
    <w:rsid w:val="00C351EE"/>
    <w:rsid w:val="00C53ACC"/>
    <w:rsid w:val="00C56AB5"/>
    <w:rsid w:val="00C77647"/>
    <w:rsid w:val="00C815C0"/>
    <w:rsid w:val="00CA46E9"/>
    <w:rsid w:val="00CA70A3"/>
    <w:rsid w:val="00CD54E2"/>
    <w:rsid w:val="00CD6CB9"/>
    <w:rsid w:val="00CD758F"/>
    <w:rsid w:val="00CE4961"/>
    <w:rsid w:val="00CE7A69"/>
    <w:rsid w:val="00D03B4C"/>
    <w:rsid w:val="00D161E0"/>
    <w:rsid w:val="00D327F8"/>
    <w:rsid w:val="00D37B85"/>
    <w:rsid w:val="00D43772"/>
    <w:rsid w:val="00D452CE"/>
    <w:rsid w:val="00D466A7"/>
    <w:rsid w:val="00D53C15"/>
    <w:rsid w:val="00D7133E"/>
    <w:rsid w:val="00D74EB3"/>
    <w:rsid w:val="00D77D60"/>
    <w:rsid w:val="00D9313E"/>
    <w:rsid w:val="00DC357E"/>
    <w:rsid w:val="00DC5EC8"/>
    <w:rsid w:val="00DD17A4"/>
    <w:rsid w:val="00DE5B7D"/>
    <w:rsid w:val="00E103BF"/>
    <w:rsid w:val="00E119CA"/>
    <w:rsid w:val="00E26E06"/>
    <w:rsid w:val="00E462C6"/>
    <w:rsid w:val="00E5165E"/>
    <w:rsid w:val="00E52D3D"/>
    <w:rsid w:val="00E53689"/>
    <w:rsid w:val="00E53ED4"/>
    <w:rsid w:val="00E64E3C"/>
    <w:rsid w:val="00E85114"/>
    <w:rsid w:val="00E90850"/>
    <w:rsid w:val="00E96EA0"/>
    <w:rsid w:val="00EB31CB"/>
    <w:rsid w:val="00EC0E16"/>
    <w:rsid w:val="00EC43F6"/>
    <w:rsid w:val="00EE33C0"/>
    <w:rsid w:val="00EE3C30"/>
    <w:rsid w:val="00EE7231"/>
    <w:rsid w:val="00F029B6"/>
    <w:rsid w:val="00F02E82"/>
    <w:rsid w:val="00F1360D"/>
    <w:rsid w:val="00F13CD9"/>
    <w:rsid w:val="00F15A1A"/>
    <w:rsid w:val="00F24840"/>
    <w:rsid w:val="00F253FC"/>
    <w:rsid w:val="00F408D6"/>
    <w:rsid w:val="00F42CEA"/>
    <w:rsid w:val="00F52345"/>
    <w:rsid w:val="00F63BB4"/>
    <w:rsid w:val="00F6512D"/>
    <w:rsid w:val="00F71F19"/>
    <w:rsid w:val="00F7392E"/>
    <w:rsid w:val="00F743BC"/>
    <w:rsid w:val="00F8121C"/>
    <w:rsid w:val="00F92596"/>
    <w:rsid w:val="00F966FB"/>
    <w:rsid w:val="00F96B2D"/>
    <w:rsid w:val="00FA3123"/>
    <w:rsid w:val="00FB5F79"/>
    <w:rsid w:val="00FD00F8"/>
    <w:rsid w:val="00FD1482"/>
    <w:rsid w:val="00FF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C386F"/>
  <w15:docId w15:val="{69C4A4DF-2ACC-42B6-BB7C-90262BE9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FBB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2E0FBB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2E0FBB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2E0FBB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2E0FBB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2E0FBB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2E0FBB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2E0FBB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2E0FBB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2E0FBB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E0FBB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2E0FBB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2E0FBB"/>
  </w:style>
  <w:style w:type="paragraph" w:styleId="Zarkazkladnhotextu">
    <w:name w:val="Body Text Indent"/>
    <w:basedOn w:val="Normlny"/>
    <w:rsid w:val="002E0FBB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2E0FBB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2E0FB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2E0FBB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2E0FB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uiPriority w:val="99"/>
    <w:semiHidden/>
    <w:rsid w:val="002E0F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2E0FBB"/>
    <w:rPr>
      <w:sz w:val="20"/>
    </w:rPr>
  </w:style>
  <w:style w:type="paragraph" w:customStyle="1" w:styleId="EMEAEnBodyText">
    <w:name w:val="EMEA En Body Text"/>
    <w:basedOn w:val="Normlny"/>
    <w:rsid w:val="002E0FBB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2E0FBB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basedOn w:val="Predvolenpsmoodseku"/>
    <w:rsid w:val="002E0FBB"/>
    <w:rPr>
      <w:color w:val="0000FF"/>
      <w:u w:val="single"/>
    </w:rPr>
  </w:style>
  <w:style w:type="paragraph" w:customStyle="1" w:styleId="AHeader1">
    <w:name w:val="AHeader 1"/>
    <w:basedOn w:val="Normlny"/>
    <w:rsid w:val="002E0FBB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2E0FBB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2E0FBB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2E0FBB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E0FBB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2E0FBB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basedOn w:val="Predvolenpsmoodseku"/>
    <w:rsid w:val="002E0FBB"/>
    <w:rPr>
      <w:color w:val="800080"/>
      <w:u w:val="single"/>
    </w:rPr>
  </w:style>
  <w:style w:type="paragraph" w:customStyle="1" w:styleId="Default">
    <w:name w:val="Default"/>
    <w:rsid w:val="002E0FBB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2E0FBB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ndringar">
    <w:name w:val="ändringar"/>
    <w:basedOn w:val="Normlny"/>
    <w:rsid w:val="00EE3C30"/>
    <w:pPr>
      <w:tabs>
        <w:tab w:val="clear" w:pos="567"/>
      </w:tabs>
      <w:spacing w:line="240" w:lineRule="auto"/>
    </w:pPr>
    <w:rPr>
      <w:rFonts w:ascii="Arial" w:hAnsi="Arial"/>
      <w:color w:val="FF0000"/>
      <w:sz w:val="24"/>
    </w:rPr>
  </w:style>
  <w:style w:type="paragraph" w:styleId="Normlnywebov">
    <w:name w:val="Normal (Web)"/>
    <w:aliases w:val=" webb"/>
    <w:basedOn w:val="Normlny"/>
    <w:uiPriority w:val="99"/>
    <w:rsid w:val="00DC5EC8"/>
    <w:pPr>
      <w:tabs>
        <w:tab w:val="clear" w:pos="567"/>
      </w:tabs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2CC4"/>
    <w:rPr>
      <w:lang w:val="sk-SK"/>
    </w:rPr>
  </w:style>
  <w:style w:type="paragraph" w:customStyle="1" w:styleId="EMEA-docParagraph">
    <w:name w:val="EMEA-doc Paragraph"/>
    <w:basedOn w:val="Normlny"/>
    <w:rsid w:val="00AF633D"/>
    <w:pPr>
      <w:tabs>
        <w:tab w:val="left" w:pos="1134"/>
      </w:tabs>
      <w:spacing w:line="240" w:lineRule="auto"/>
      <w:ind w:left="567"/>
      <w:jc w:val="both"/>
    </w:pPr>
    <w:rPr>
      <w:noProof/>
    </w:rPr>
  </w:style>
  <w:style w:type="table" w:styleId="Mriekatabuky">
    <w:name w:val="Table Grid"/>
    <w:basedOn w:val="Normlnatabuka"/>
    <w:rsid w:val="005B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1"/>
    <w:qFormat/>
    <w:rsid w:val="006737F7"/>
    <w:pPr>
      <w:ind w:left="720"/>
      <w:contextualSpacing/>
    </w:pPr>
  </w:style>
  <w:style w:type="paragraph" w:styleId="Revzia">
    <w:name w:val="Revision"/>
    <w:hidden/>
    <w:uiPriority w:val="99"/>
    <w:semiHidden/>
    <w:rsid w:val="00F9259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24E11-94BD-429F-87AA-8E76B5FE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1655</Words>
  <Characters>10206</Characters>
  <Application>Microsoft Office Word</Application>
  <DocSecurity>0</DocSecurity>
  <Lines>85</Lines>
  <Paragraphs>23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Air Products and Chemicals, Inc.</Company>
  <LinksUpToDate>false</LinksUpToDate>
  <CharactersWithSpaces>11838</CharactersWithSpaces>
  <SharedDoc>false</SharedDoc>
  <HLinks>
    <vt:vector size="72" baseType="variant">
      <vt:variant>
        <vt:i4>6881320</vt:i4>
      </vt:variant>
      <vt:variant>
        <vt:i4>33</vt:i4>
      </vt:variant>
      <vt:variant>
        <vt:i4>0</vt:i4>
      </vt:variant>
      <vt:variant>
        <vt:i4>5</vt:i4>
      </vt:variant>
      <vt:variant>
        <vt:lpwstr>http://www.emea.europa.eu/htms/human/qrd/AppIIIs6/HappendixIII.pdf</vt:lpwstr>
      </vt:variant>
      <vt:variant>
        <vt:lpwstr/>
      </vt:variant>
      <vt:variant>
        <vt:i4>7602278</vt:i4>
      </vt:variant>
      <vt:variant>
        <vt:i4>29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7602278</vt:i4>
      </vt:variant>
      <vt:variant>
        <vt:i4>27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7602278</vt:i4>
      </vt:variant>
      <vt:variant>
        <vt:i4>23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7602278</vt:i4>
      </vt:variant>
      <vt:variant>
        <vt:i4>21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7602278</vt:i4>
      </vt:variant>
      <vt:variant>
        <vt:i4>18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7602278</vt:i4>
      </vt:variant>
      <vt:variant>
        <vt:i4>15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7602278</vt:i4>
      </vt:variant>
      <vt:variant>
        <vt:i4>11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7929904</vt:i4>
      </vt:variant>
      <vt:variant>
        <vt:i4>9</vt:i4>
      </vt:variant>
      <vt:variant>
        <vt:i4>0</vt:i4>
      </vt:variant>
      <vt:variant>
        <vt:i4>5</vt:i4>
      </vt:variant>
      <vt:variant>
        <vt:lpwstr>../../AppData/Users/Gerard/AppData/Local/AppData/Users/Gerard/AppData/Local/Program Files/Documentum/CTS/docbases/EDMS/config/temp_sessions/Program Files/Documentum/CTS/docbases/EDMS/config/temp_sessions/Program Files/Documentum/CTS/docbases/EDMS/config/temp_sessions/Program Files/Documentum/CTS/docbases/EDMS/config/temp_sessions/Program Files/Documentum/CTS/docbases/EDMS/config/temp_sessions/Program Files/Documentum/CTS/docbases/EDMS/config/temp_sessions/Program Files/Documentum/CTS/docbases/EDMS/config/temp_sessions/Program Files/Documentum/CTS/docbases/EDMS/config/temp_sessions/Program Files/Documentum/CTS/docbases/EDMS/config/temp_sessions/Program Files/Documentum/CTS/docbases/EDMS/config/temp_sessions/Program Files/Documentum/CTS/docbases/EDMS/config/temp_sessions/Appendix IV abbrev Labelling.doc</vt:lpwstr>
      </vt:variant>
      <vt:variant>
        <vt:lpwstr/>
      </vt:variant>
      <vt:variant>
        <vt:i4>6881320</vt:i4>
      </vt:variant>
      <vt:variant>
        <vt:i4>6</vt:i4>
      </vt:variant>
      <vt:variant>
        <vt:i4>0</vt:i4>
      </vt:variant>
      <vt:variant>
        <vt:i4>5</vt:i4>
      </vt:variant>
      <vt:variant>
        <vt:lpwstr>http://www.emea.europa.eu/htms/human/qrd/AppIIIs6/HappendixIII.pdf</vt:lpwstr>
      </vt:variant>
      <vt:variant>
        <vt:lpwstr/>
      </vt:variant>
      <vt:variant>
        <vt:i4>7602278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6881320</vt:i4>
      </vt:variant>
      <vt:variant>
        <vt:i4>0</vt:i4>
      </vt:variant>
      <vt:variant>
        <vt:i4>0</vt:i4>
      </vt:variant>
      <vt:variant>
        <vt:i4>5</vt:i4>
      </vt:variant>
      <vt:variant>
        <vt:lpwstr>http://www.emea.europa.eu/htms/human/qrd/AppIIIs6/HappendixIII.pdf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Strybol</dc:creator>
  <cp:lastModifiedBy>Kristína Ráczová</cp:lastModifiedBy>
  <cp:revision>6</cp:revision>
  <cp:lastPrinted>2005-07-25T07:34:00Z</cp:lastPrinted>
  <dcterms:created xsi:type="dcterms:W3CDTF">2018-01-10T08:20:00Z</dcterms:created>
  <dcterms:modified xsi:type="dcterms:W3CDTF">2018-01-12T09:31:00Z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</Properties>
</file>