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091C0" w14:textId="77777777" w:rsidR="00B45EA3" w:rsidRDefault="00B45EA3" w:rsidP="006C25A0">
      <w:pPr>
        <w:pStyle w:val="CM1"/>
        <w:outlineLvl w:val="0"/>
        <w:rPr>
          <w:b/>
          <w:bCs/>
          <w:noProof/>
          <w:color w:val="000000"/>
          <w:sz w:val="22"/>
          <w:szCs w:val="22"/>
          <w:lang w:val="sk-SK"/>
        </w:rPr>
      </w:pPr>
    </w:p>
    <w:p w14:paraId="09A43E2B" w14:textId="77777777" w:rsidR="00B45EA3" w:rsidRPr="006C25A0" w:rsidRDefault="00B45EA3" w:rsidP="006C25A0">
      <w:pPr>
        <w:pStyle w:val="CM1"/>
        <w:jc w:val="center"/>
        <w:rPr>
          <w:b/>
          <w:bCs/>
          <w:noProof/>
          <w:color w:val="000000"/>
          <w:sz w:val="22"/>
          <w:szCs w:val="22"/>
          <w:lang w:val="sk-SK"/>
        </w:rPr>
      </w:pPr>
    </w:p>
    <w:p w14:paraId="7CF1B76B" w14:textId="77777777" w:rsidR="00E86ED7" w:rsidRPr="006C25A0" w:rsidRDefault="00E86ED7" w:rsidP="006C25A0">
      <w:pPr>
        <w:pStyle w:val="CM1"/>
        <w:jc w:val="center"/>
        <w:outlineLvl w:val="0"/>
        <w:rPr>
          <w:b/>
          <w:bCs/>
          <w:noProof/>
          <w:color w:val="000000"/>
          <w:sz w:val="22"/>
          <w:szCs w:val="22"/>
          <w:lang w:val="sk-SK"/>
        </w:rPr>
      </w:pPr>
      <w:r w:rsidRPr="006C25A0">
        <w:rPr>
          <w:b/>
          <w:bCs/>
          <w:noProof/>
          <w:color w:val="000000"/>
          <w:sz w:val="22"/>
          <w:szCs w:val="22"/>
          <w:lang w:val="sk-SK"/>
        </w:rPr>
        <w:t>SÚHRN CHARAKTERISTICKÝCH V</w:t>
      </w:r>
      <w:r w:rsidR="00BE70C7" w:rsidRPr="006C25A0">
        <w:rPr>
          <w:b/>
          <w:bCs/>
          <w:noProof/>
          <w:color w:val="000000"/>
          <w:sz w:val="22"/>
          <w:szCs w:val="22"/>
          <w:lang w:val="sk-SK"/>
        </w:rPr>
        <w:t>LASTNOSTÍ LIEKU</w:t>
      </w:r>
    </w:p>
    <w:p w14:paraId="60168A7A" w14:textId="77777777" w:rsidR="00BE70C7" w:rsidRPr="006C25A0" w:rsidRDefault="00BE70C7" w:rsidP="006C25A0">
      <w:pPr>
        <w:pStyle w:val="Default"/>
        <w:rPr>
          <w:noProof/>
          <w:sz w:val="22"/>
          <w:szCs w:val="22"/>
          <w:lang w:val="sk-SK"/>
        </w:rPr>
      </w:pPr>
    </w:p>
    <w:p w14:paraId="5BCB637A" w14:textId="77777777" w:rsidR="00BE70C7" w:rsidRPr="006C25A0" w:rsidRDefault="00BE70C7" w:rsidP="006C25A0">
      <w:pPr>
        <w:pStyle w:val="Default"/>
        <w:rPr>
          <w:noProof/>
          <w:sz w:val="22"/>
          <w:szCs w:val="22"/>
          <w:lang w:val="sk-SK"/>
        </w:rPr>
      </w:pPr>
    </w:p>
    <w:p w14:paraId="24B43483" w14:textId="77777777" w:rsidR="00E86ED7" w:rsidRPr="006C25A0" w:rsidRDefault="00BE70C7" w:rsidP="006C25A0">
      <w:pPr>
        <w:pStyle w:val="CM2"/>
        <w:spacing w:line="240" w:lineRule="auto"/>
        <w:ind w:left="567" w:hanging="567"/>
        <w:outlineLvl w:val="0"/>
        <w:rPr>
          <w:noProof/>
          <w:color w:val="000000"/>
          <w:sz w:val="22"/>
          <w:szCs w:val="22"/>
          <w:lang w:val="sk-SK"/>
        </w:rPr>
      </w:pPr>
      <w:r w:rsidRPr="006C25A0">
        <w:rPr>
          <w:b/>
          <w:bCs/>
          <w:noProof/>
          <w:color w:val="000000"/>
          <w:sz w:val="22"/>
          <w:szCs w:val="22"/>
          <w:lang w:val="sk-SK"/>
        </w:rPr>
        <w:t>1.</w:t>
      </w:r>
      <w:r w:rsidRPr="006C25A0">
        <w:rPr>
          <w:b/>
          <w:bCs/>
          <w:noProof/>
          <w:color w:val="000000"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color w:val="000000"/>
          <w:sz w:val="22"/>
          <w:szCs w:val="22"/>
          <w:lang w:val="sk-SK"/>
        </w:rPr>
        <w:t>NÁZOV LIEKU</w:t>
      </w:r>
    </w:p>
    <w:p w14:paraId="304F3C5D" w14:textId="77777777" w:rsidR="00BE70C7" w:rsidRPr="006C25A0" w:rsidRDefault="00BE70C7" w:rsidP="006C25A0">
      <w:pPr>
        <w:pStyle w:val="CM26"/>
        <w:spacing w:after="0"/>
        <w:rPr>
          <w:noProof/>
          <w:color w:val="000000"/>
          <w:sz w:val="22"/>
          <w:szCs w:val="22"/>
          <w:lang w:val="sk-SK"/>
        </w:rPr>
      </w:pPr>
    </w:p>
    <w:p w14:paraId="6ACB8D28" w14:textId="77777777" w:rsidR="00BE70C7" w:rsidRPr="006C25A0" w:rsidRDefault="00DA3D13" w:rsidP="006C25A0">
      <w:pPr>
        <w:pStyle w:val="CM26"/>
        <w:spacing w:after="0"/>
        <w:outlineLvl w:val="0"/>
        <w:rPr>
          <w:noProof/>
          <w:color w:val="000000"/>
          <w:sz w:val="22"/>
          <w:szCs w:val="22"/>
          <w:lang w:val="sk-SK"/>
        </w:rPr>
      </w:pPr>
      <w:r w:rsidRPr="006C25A0">
        <w:rPr>
          <w:noProof/>
          <w:color w:val="000000"/>
          <w:sz w:val="22"/>
          <w:szCs w:val="22"/>
          <w:lang w:val="sk-SK"/>
        </w:rPr>
        <w:t>Gemcitabine medac 38</w:t>
      </w:r>
      <w:r w:rsidR="00FC41A5" w:rsidRPr="006C25A0">
        <w:rPr>
          <w:noProof/>
          <w:color w:val="000000"/>
          <w:sz w:val="22"/>
          <w:szCs w:val="22"/>
          <w:lang w:val="sk-SK"/>
        </w:rPr>
        <w:t> mg</w:t>
      </w:r>
      <w:r w:rsidRPr="006C25A0">
        <w:rPr>
          <w:noProof/>
          <w:color w:val="000000"/>
          <w:sz w:val="22"/>
          <w:szCs w:val="22"/>
          <w:lang w:val="sk-SK"/>
        </w:rPr>
        <w:t>/ml</w:t>
      </w:r>
      <w:r w:rsidR="00E86ED7" w:rsidRPr="006C25A0">
        <w:rPr>
          <w:noProof/>
          <w:color w:val="000000"/>
          <w:sz w:val="22"/>
          <w:szCs w:val="22"/>
          <w:lang w:val="sk-SK"/>
        </w:rPr>
        <w:t xml:space="preserve"> prášok na infúzny roztok</w:t>
      </w:r>
    </w:p>
    <w:p w14:paraId="1DF31B6A" w14:textId="77777777" w:rsidR="00E86ED7" w:rsidRPr="006C25A0" w:rsidRDefault="00E86ED7" w:rsidP="006C25A0">
      <w:pPr>
        <w:pStyle w:val="Default"/>
        <w:rPr>
          <w:noProof/>
          <w:color w:val="auto"/>
          <w:sz w:val="22"/>
          <w:szCs w:val="22"/>
          <w:lang w:val="sk-SK"/>
        </w:rPr>
      </w:pPr>
    </w:p>
    <w:p w14:paraId="126F69EF" w14:textId="77777777" w:rsidR="00BE70C7" w:rsidRPr="006C25A0" w:rsidRDefault="00BE70C7" w:rsidP="006C25A0">
      <w:pPr>
        <w:pStyle w:val="Default"/>
        <w:rPr>
          <w:noProof/>
          <w:color w:val="auto"/>
          <w:sz w:val="22"/>
          <w:szCs w:val="22"/>
          <w:lang w:val="sk-SK"/>
        </w:rPr>
      </w:pPr>
    </w:p>
    <w:p w14:paraId="573FA0AF" w14:textId="77777777" w:rsidR="00E86ED7" w:rsidRPr="006C25A0" w:rsidRDefault="00BE70C7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2.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KVALITATÍVNE A KVANTITATÍVNE ZLOŽENIE</w:t>
      </w:r>
    </w:p>
    <w:p w14:paraId="3F042F84" w14:textId="77777777" w:rsidR="00BE70C7" w:rsidRPr="006C25A0" w:rsidRDefault="00BE70C7" w:rsidP="006C25A0">
      <w:pPr>
        <w:pStyle w:val="CM2"/>
        <w:spacing w:line="240" w:lineRule="auto"/>
        <w:rPr>
          <w:noProof/>
          <w:sz w:val="22"/>
          <w:szCs w:val="22"/>
          <w:lang w:val="sk-SK"/>
        </w:rPr>
      </w:pPr>
    </w:p>
    <w:p w14:paraId="1E9FC1E8" w14:textId="77777777" w:rsidR="00E86ED7" w:rsidRPr="006C25A0" w:rsidRDefault="00E86ED7" w:rsidP="006C25A0">
      <w:pPr>
        <w:pStyle w:val="CM2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Jedna injekčná liekovka obsahuje</w:t>
      </w:r>
      <w:r w:rsidR="001E7E4B" w:rsidRPr="006C25A0">
        <w:rPr>
          <w:noProof/>
          <w:sz w:val="22"/>
          <w:szCs w:val="22"/>
          <w:lang w:val="sk-SK"/>
        </w:rPr>
        <w:t xml:space="preserve"> </w:t>
      </w:r>
      <w:proofErr w:type="spellStart"/>
      <w:r w:rsidR="001E7E4B" w:rsidRPr="006C25A0">
        <w:rPr>
          <w:rStyle w:val="Siln"/>
          <w:b w:val="0"/>
          <w:sz w:val="22"/>
          <w:szCs w:val="22"/>
          <w:lang w:val="sk-SK"/>
        </w:rPr>
        <w:t>gemcitabíniumchlorid</w:t>
      </w:r>
      <w:proofErr w:type="spellEnd"/>
      <w:r w:rsidRPr="006C25A0">
        <w:rPr>
          <w:noProof/>
          <w:sz w:val="22"/>
          <w:szCs w:val="22"/>
          <w:lang w:val="sk-SK"/>
        </w:rPr>
        <w:t>, čo zodpovedá 200</w:t>
      </w:r>
      <w:r w:rsidR="00FC41A5" w:rsidRPr="006C25A0">
        <w:rPr>
          <w:noProof/>
          <w:sz w:val="22"/>
          <w:szCs w:val="22"/>
          <w:lang w:val="sk-SK"/>
        </w:rPr>
        <w:t> mg</w:t>
      </w:r>
      <w:r w:rsidRPr="006C25A0">
        <w:rPr>
          <w:noProof/>
          <w:sz w:val="22"/>
          <w:szCs w:val="22"/>
          <w:lang w:val="sk-SK"/>
        </w:rPr>
        <w:t xml:space="preserve"> gemcitabínu.</w:t>
      </w:r>
    </w:p>
    <w:p w14:paraId="71DEAAC8" w14:textId="77777777" w:rsidR="002C0348" w:rsidRPr="006C25A0" w:rsidRDefault="00E86ED7" w:rsidP="006C25A0">
      <w:pPr>
        <w:pStyle w:val="CM27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Jedna injekčná liekovka obsahuje</w:t>
      </w:r>
      <w:r w:rsidR="001E7E4B" w:rsidRPr="006C25A0">
        <w:rPr>
          <w:rStyle w:val="Siln"/>
          <w:b w:val="0"/>
          <w:sz w:val="22"/>
          <w:szCs w:val="22"/>
          <w:lang w:val="sk-SK"/>
        </w:rPr>
        <w:t xml:space="preserve"> </w:t>
      </w:r>
      <w:proofErr w:type="spellStart"/>
      <w:r w:rsidR="001E7E4B" w:rsidRPr="006C25A0">
        <w:rPr>
          <w:rStyle w:val="Siln"/>
          <w:b w:val="0"/>
          <w:sz w:val="22"/>
          <w:szCs w:val="22"/>
          <w:lang w:val="sk-SK"/>
        </w:rPr>
        <w:t>gemcitabíniumchlorid</w:t>
      </w:r>
      <w:proofErr w:type="spellEnd"/>
      <w:r w:rsidRPr="006C25A0">
        <w:rPr>
          <w:noProof/>
          <w:sz w:val="22"/>
          <w:szCs w:val="22"/>
          <w:lang w:val="sk-SK"/>
        </w:rPr>
        <w:t xml:space="preserve">, čo zodpovedá </w:t>
      </w:r>
      <w:r w:rsidR="00FC41A5" w:rsidRPr="006C25A0">
        <w:rPr>
          <w:noProof/>
          <w:sz w:val="22"/>
          <w:szCs w:val="22"/>
          <w:lang w:val="sk-SK"/>
        </w:rPr>
        <w:t>1 000 mg</w:t>
      </w:r>
      <w:r w:rsidRPr="006C25A0">
        <w:rPr>
          <w:noProof/>
          <w:sz w:val="22"/>
          <w:szCs w:val="22"/>
          <w:lang w:val="sk-SK"/>
        </w:rPr>
        <w:t xml:space="preserve"> gemcitabínu.</w:t>
      </w:r>
    </w:p>
    <w:p w14:paraId="064AC221" w14:textId="77777777" w:rsidR="008D34C9" w:rsidRPr="006C25A0" w:rsidRDefault="008D34C9" w:rsidP="006C25A0">
      <w:pPr>
        <w:pStyle w:val="CM27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Jedna injekčná liekovka obsahuje</w:t>
      </w:r>
      <w:r w:rsidR="001E7E4B" w:rsidRPr="006C25A0">
        <w:rPr>
          <w:rStyle w:val="Siln"/>
          <w:b w:val="0"/>
          <w:sz w:val="22"/>
          <w:szCs w:val="22"/>
          <w:lang w:val="sk-SK"/>
        </w:rPr>
        <w:t xml:space="preserve"> </w:t>
      </w:r>
      <w:proofErr w:type="spellStart"/>
      <w:r w:rsidR="001E7E4B" w:rsidRPr="006C25A0">
        <w:rPr>
          <w:rStyle w:val="Siln"/>
          <w:b w:val="0"/>
          <w:sz w:val="22"/>
          <w:szCs w:val="22"/>
          <w:lang w:val="sk-SK"/>
        </w:rPr>
        <w:t>gemcitabíniumchlorid</w:t>
      </w:r>
      <w:proofErr w:type="spellEnd"/>
      <w:r w:rsidRPr="006C25A0">
        <w:rPr>
          <w:noProof/>
          <w:sz w:val="22"/>
          <w:szCs w:val="22"/>
          <w:lang w:val="sk-SK"/>
        </w:rPr>
        <w:t>, čo zodpovedá 1 500 mg gemcitabínu.</w:t>
      </w:r>
    </w:p>
    <w:p w14:paraId="7D062F0C" w14:textId="77777777" w:rsidR="002C0348" w:rsidRPr="006C25A0" w:rsidRDefault="002C0348" w:rsidP="006C25A0">
      <w:pPr>
        <w:pStyle w:val="CM27"/>
        <w:spacing w:after="0"/>
        <w:rPr>
          <w:noProof/>
          <w:sz w:val="22"/>
          <w:szCs w:val="22"/>
          <w:lang w:val="sk-SK"/>
        </w:rPr>
      </w:pPr>
    </w:p>
    <w:p w14:paraId="7147CF00" w14:textId="77777777" w:rsidR="002C0348" w:rsidRPr="006C25A0" w:rsidRDefault="00E86ED7" w:rsidP="006C25A0">
      <w:pPr>
        <w:pStyle w:val="CM27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Po rekonštitúcii roztok obsahuje 38</w:t>
      </w:r>
      <w:r w:rsidR="00FC41A5" w:rsidRPr="006C25A0">
        <w:rPr>
          <w:noProof/>
          <w:sz w:val="22"/>
          <w:szCs w:val="22"/>
          <w:lang w:val="sk-SK"/>
        </w:rPr>
        <w:t> mg</w:t>
      </w:r>
      <w:r w:rsidRPr="006C25A0">
        <w:rPr>
          <w:noProof/>
          <w:sz w:val="22"/>
          <w:szCs w:val="22"/>
          <w:lang w:val="sk-SK"/>
        </w:rPr>
        <w:t>/ml gemcitabínu.</w:t>
      </w:r>
    </w:p>
    <w:p w14:paraId="6ADD2590" w14:textId="77777777" w:rsidR="002C0348" w:rsidRPr="006C25A0" w:rsidRDefault="002C0348" w:rsidP="006C25A0">
      <w:pPr>
        <w:pStyle w:val="CM27"/>
        <w:spacing w:after="0"/>
        <w:rPr>
          <w:noProof/>
          <w:sz w:val="22"/>
          <w:szCs w:val="22"/>
          <w:u w:val="single"/>
          <w:lang w:val="sk-SK"/>
        </w:rPr>
      </w:pPr>
    </w:p>
    <w:p w14:paraId="40F6FB2D" w14:textId="77777777" w:rsidR="00FC40AA" w:rsidRPr="00C03C74" w:rsidRDefault="00FC40AA" w:rsidP="00C03C74">
      <w:pPr>
        <w:pStyle w:val="CM27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Pomocné látky</w:t>
      </w:r>
      <w:r>
        <w:rPr>
          <w:sz w:val="22"/>
          <w:szCs w:val="22"/>
          <w:u w:val="single"/>
          <w:lang w:val="sk-SK"/>
        </w:rPr>
        <w:t xml:space="preserve"> </w:t>
      </w:r>
      <w:r>
        <w:rPr>
          <w:sz w:val="22"/>
          <w:u w:val="single"/>
          <w:lang w:val="sk-SK"/>
        </w:rPr>
        <w:t>so známym účinkom</w:t>
      </w:r>
      <w:r>
        <w:rPr>
          <w:sz w:val="22"/>
          <w:szCs w:val="22"/>
          <w:u w:val="single"/>
          <w:lang w:val="sk-SK"/>
        </w:rPr>
        <w:t>:</w:t>
      </w:r>
    </w:p>
    <w:p w14:paraId="5E0EBC8C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Každá 200 mg injekčná liekovka obsahuje 3,5 mg (&lt; 1 mmol) sodíka.</w:t>
      </w:r>
    </w:p>
    <w:p w14:paraId="76642078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Každá 1 000 mg injekčná liekovka obsahuje 17,5 mg (&lt; 1 mmol) sodíka.</w:t>
      </w:r>
    </w:p>
    <w:p w14:paraId="7A3EA515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Každá 1 500 mg injekčná liekovka obsahuje 26,3 mg (&gt; 1 mmol) sodíka.</w:t>
      </w:r>
    </w:p>
    <w:p w14:paraId="505022D2" w14:textId="77777777" w:rsidR="00FC40AA" w:rsidRPr="00C03C74" w:rsidRDefault="00FC40AA" w:rsidP="00FC40AA">
      <w:pPr>
        <w:pStyle w:val="CM28"/>
        <w:spacing w:after="0"/>
        <w:rPr>
          <w:sz w:val="22"/>
          <w:szCs w:val="22"/>
          <w:lang w:val="sk-SK"/>
        </w:rPr>
      </w:pPr>
    </w:p>
    <w:p w14:paraId="2D54A66F" w14:textId="77777777" w:rsidR="00FC40AA" w:rsidRPr="00C03C74" w:rsidRDefault="00FC40AA" w:rsidP="00C03C74">
      <w:pPr>
        <w:pStyle w:val="CM28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Úplný zoznam pomocných látok, pozri časť 6.1.</w:t>
      </w:r>
    </w:p>
    <w:p w14:paraId="2381C97E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451BA018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4FD990D5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3.</w:t>
      </w:r>
      <w:r w:rsidRPr="00C03C74">
        <w:rPr>
          <w:b/>
          <w:sz w:val="22"/>
          <w:szCs w:val="22"/>
          <w:lang w:val="sk-SK"/>
        </w:rPr>
        <w:tab/>
        <w:t>LIEKOVÁ FORMA</w:t>
      </w:r>
    </w:p>
    <w:p w14:paraId="68962C98" w14:textId="77777777" w:rsidR="00FC40AA" w:rsidRPr="00C03C74" w:rsidRDefault="00FC40AA" w:rsidP="00FC40AA">
      <w:pPr>
        <w:pStyle w:val="CM28"/>
        <w:spacing w:after="0"/>
        <w:rPr>
          <w:sz w:val="22"/>
          <w:szCs w:val="22"/>
          <w:lang w:val="sk-SK"/>
        </w:rPr>
      </w:pPr>
    </w:p>
    <w:p w14:paraId="6439AEAA" w14:textId="77777777" w:rsidR="00FC40AA" w:rsidRPr="00C03C74" w:rsidRDefault="00FC40AA" w:rsidP="00C03C74">
      <w:pPr>
        <w:pStyle w:val="CM28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Prášok na infúzny roztok</w:t>
      </w:r>
    </w:p>
    <w:p w14:paraId="13EE9BBC" w14:textId="77777777" w:rsidR="00FC40AA" w:rsidRPr="00C03C74" w:rsidRDefault="00FC40AA" w:rsidP="00FC40AA">
      <w:pPr>
        <w:pStyle w:val="CM28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Biely až takmer biely prášok.</w:t>
      </w:r>
    </w:p>
    <w:p w14:paraId="43D924F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C6BA48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89444A8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</w:t>
      </w:r>
      <w:r w:rsidRPr="00C03C74">
        <w:rPr>
          <w:b/>
          <w:sz w:val="22"/>
          <w:szCs w:val="22"/>
          <w:lang w:val="sk-SK"/>
        </w:rPr>
        <w:tab/>
        <w:t>KLINICKÉ ÚDAJE</w:t>
      </w:r>
    </w:p>
    <w:p w14:paraId="7B1ACAE7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4DE6F302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4.1</w:t>
      </w:r>
      <w:r w:rsidRPr="00C03C74">
        <w:rPr>
          <w:b/>
          <w:sz w:val="22"/>
          <w:szCs w:val="22"/>
          <w:lang w:val="sk-SK"/>
        </w:rPr>
        <w:tab/>
        <w:t>Terapeutické indikácie</w:t>
      </w:r>
    </w:p>
    <w:p w14:paraId="30056D91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5B492559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je indikovaný na liečbu lokálne pokročilého alebo </w:t>
      </w:r>
      <w:proofErr w:type="spellStart"/>
      <w:r w:rsidRPr="00C03C74">
        <w:rPr>
          <w:sz w:val="22"/>
          <w:szCs w:val="22"/>
          <w:lang w:val="sk-SK"/>
        </w:rPr>
        <w:t>metastazujúceho</w:t>
      </w:r>
      <w:proofErr w:type="spellEnd"/>
      <w:r w:rsidRPr="00C03C74">
        <w:rPr>
          <w:sz w:val="22"/>
          <w:szCs w:val="22"/>
          <w:lang w:val="sk-SK"/>
        </w:rPr>
        <w:t xml:space="preserve"> karcinómu močového mechúra v kombinácii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202AA0B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E64A76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je indikovaný na liečbu pacientov s lokálne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adenokarcinómom</w:t>
      </w:r>
      <w:proofErr w:type="spellEnd"/>
      <w:r w:rsidRPr="00C03C74">
        <w:rPr>
          <w:sz w:val="22"/>
          <w:szCs w:val="22"/>
          <w:lang w:val="sk-SK"/>
        </w:rPr>
        <w:t xml:space="preserve"> pankreasu.</w:t>
      </w:r>
    </w:p>
    <w:p w14:paraId="1678191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866E03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, v kombinácii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 xml:space="preserve">, je indikovaný ako liečba prvej voľby u pacientov s lokálne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nemalobunkovým karcinómom pľúc (NSCLC). </w:t>
      </w:r>
      <w:proofErr w:type="spellStart"/>
      <w:r w:rsidRPr="00C03C74">
        <w:rPr>
          <w:sz w:val="22"/>
          <w:szCs w:val="22"/>
          <w:lang w:val="sk-SK"/>
        </w:rPr>
        <w:t>Monoterapia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sa môže zvážiť u starších pacientov alebo u pacientov s výkonnostným stavom 2.</w:t>
      </w:r>
    </w:p>
    <w:p w14:paraId="3DB58B68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8B1E94C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je indikovaný na liečbu </w:t>
      </w:r>
      <w:proofErr w:type="spellStart"/>
      <w:r w:rsidRPr="00C03C74">
        <w:rPr>
          <w:sz w:val="22"/>
          <w:szCs w:val="22"/>
          <w:lang w:val="sk-SK"/>
        </w:rPr>
        <w:t>pacientok</w:t>
      </w:r>
      <w:proofErr w:type="spellEnd"/>
      <w:r w:rsidRPr="00C03C74">
        <w:rPr>
          <w:sz w:val="22"/>
          <w:szCs w:val="22"/>
          <w:lang w:val="sk-SK"/>
        </w:rPr>
        <w:t xml:space="preserve"> s lokálne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epiteliálnym</w:t>
      </w:r>
      <w:proofErr w:type="spellEnd"/>
      <w:r w:rsidRPr="00C03C74">
        <w:rPr>
          <w:sz w:val="22"/>
          <w:szCs w:val="22"/>
          <w:lang w:val="sk-SK"/>
        </w:rPr>
        <w:t xml:space="preserve"> karcinómom vaječníkov, v kombinácii s </w:t>
      </w:r>
      <w:proofErr w:type="spellStart"/>
      <w:r w:rsidRPr="00C03C74">
        <w:rPr>
          <w:sz w:val="22"/>
          <w:szCs w:val="22"/>
          <w:lang w:val="sk-SK"/>
        </w:rPr>
        <w:t>karboplatinou</w:t>
      </w:r>
      <w:proofErr w:type="spellEnd"/>
      <w:r w:rsidRPr="00C03C74">
        <w:rPr>
          <w:sz w:val="22"/>
          <w:szCs w:val="22"/>
          <w:lang w:val="sk-SK"/>
        </w:rPr>
        <w:t xml:space="preserve">, u </w:t>
      </w:r>
      <w:proofErr w:type="spellStart"/>
      <w:r w:rsidRPr="00C03C74">
        <w:rPr>
          <w:sz w:val="22"/>
          <w:szCs w:val="22"/>
          <w:lang w:val="sk-SK"/>
        </w:rPr>
        <w:t>pacientok</w:t>
      </w:r>
      <w:proofErr w:type="spellEnd"/>
      <w:r w:rsidRPr="00C03C74">
        <w:rPr>
          <w:sz w:val="22"/>
          <w:szCs w:val="22"/>
          <w:lang w:val="sk-SK"/>
        </w:rPr>
        <w:t xml:space="preserve"> s </w:t>
      </w:r>
      <w:proofErr w:type="spellStart"/>
      <w:r w:rsidRPr="00C03C74">
        <w:rPr>
          <w:sz w:val="22"/>
          <w:szCs w:val="22"/>
          <w:lang w:val="sk-SK"/>
        </w:rPr>
        <w:t>relapsom</w:t>
      </w:r>
      <w:proofErr w:type="spellEnd"/>
      <w:r w:rsidRPr="00C03C74">
        <w:rPr>
          <w:sz w:val="22"/>
          <w:szCs w:val="22"/>
          <w:lang w:val="sk-SK"/>
        </w:rPr>
        <w:t xml:space="preserve"> po minimálne 6</w:t>
      </w:r>
      <w:r w:rsidRPr="00C03C74">
        <w:rPr>
          <w:sz w:val="22"/>
          <w:szCs w:val="22"/>
          <w:lang w:val="sk-SK"/>
        </w:rPr>
        <w:noBreakHyphen/>
        <w:t>mesačnom období bez recidívy po liečbe prvej línie platinou.</w:t>
      </w:r>
    </w:p>
    <w:p w14:paraId="5C50049D" w14:textId="2D55F74D" w:rsidR="00084C2F" w:rsidRDefault="00084C2F" w:rsidP="00FC40AA">
      <w:pPr>
        <w:pStyle w:val="Default"/>
        <w:rPr>
          <w:sz w:val="22"/>
          <w:szCs w:val="22"/>
          <w:lang w:val="sk-SK"/>
        </w:rPr>
      </w:pPr>
    </w:p>
    <w:p w14:paraId="7C49A20C" w14:textId="77777777" w:rsidR="00084C2F" w:rsidRPr="00084C2F" w:rsidRDefault="00084C2F" w:rsidP="00084C2F">
      <w:pPr>
        <w:rPr>
          <w:lang w:val="sk-SK"/>
        </w:rPr>
      </w:pPr>
    </w:p>
    <w:p w14:paraId="6F4C357A" w14:textId="77777777" w:rsidR="00084C2F" w:rsidRPr="00084C2F" w:rsidRDefault="00084C2F" w:rsidP="00084C2F">
      <w:pPr>
        <w:rPr>
          <w:lang w:val="sk-SK"/>
        </w:rPr>
      </w:pPr>
    </w:p>
    <w:p w14:paraId="55FD063C" w14:textId="2FDA9328" w:rsidR="00FC40AA" w:rsidRPr="00084C2F" w:rsidRDefault="00FC40AA" w:rsidP="00084C2F">
      <w:pPr>
        <w:rPr>
          <w:lang w:val="sk-SK"/>
        </w:rPr>
      </w:pPr>
    </w:p>
    <w:p w14:paraId="04CDEC8E" w14:textId="77777777" w:rsidR="00FC40AA" w:rsidRPr="00C03C74" w:rsidRDefault="00FC40AA" w:rsidP="00FC40AA">
      <w:pPr>
        <w:pStyle w:val="CM6"/>
        <w:keepNext/>
        <w:keepLines/>
        <w:widowControl/>
        <w:spacing w:line="240" w:lineRule="auto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lastRenderedPageBreak/>
        <w:t>Gemcitabín</w:t>
      </w:r>
      <w:proofErr w:type="spellEnd"/>
      <w:r w:rsidRPr="00C03C74">
        <w:rPr>
          <w:sz w:val="22"/>
          <w:szCs w:val="22"/>
          <w:lang w:val="sk-SK"/>
        </w:rPr>
        <w:t xml:space="preserve">, v kombinácii s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 xml:space="preserve">, je indikovaný na liečbu </w:t>
      </w:r>
      <w:proofErr w:type="spellStart"/>
      <w:r w:rsidRPr="00C03C74">
        <w:rPr>
          <w:sz w:val="22"/>
          <w:szCs w:val="22"/>
          <w:lang w:val="sk-SK"/>
        </w:rPr>
        <w:t>pacientok</w:t>
      </w:r>
      <w:proofErr w:type="spellEnd"/>
      <w:r w:rsidRPr="00C03C74">
        <w:rPr>
          <w:sz w:val="22"/>
          <w:szCs w:val="22"/>
          <w:lang w:val="sk-SK"/>
        </w:rPr>
        <w:t xml:space="preserve"> s </w:t>
      </w:r>
      <w:proofErr w:type="spellStart"/>
      <w:r w:rsidRPr="00C03C74">
        <w:rPr>
          <w:sz w:val="22"/>
          <w:szCs w:val="22"/>
          <w:lang w:val="sk-SK"/>
        </w:rPr>
        <w:t>neresekovateľným</w:t>
      </w:r>
      <w:proofErr w:type="spellEnd"/>
      <w:r w:rsidRPr="00C03C74">
        <w:rPr>
          <w:sz w:val="22"/>
          <w:szCs w:val="22"/>
          <w:lang w:val="sk-SK"/>
        </w:rPr>
        <w:t xml:space="preserve">, lokálne </w:t>
      </w:r>
      <w:proofErr w:type="spellStart"/>
      <w:r w:rsidRPr="00C03C74">
        <w:rPr>
          <w:sz w:val="22"/>
          <w:szCs w:val="22"/>
          <w:lang w:val="sk-SK"/>
        </w:rPr>
        <w:t>rekurentným</w:t>
      </w:r>
      <w:proofErr w:type="spellEnd"/>
      <w:r w:rsidRPr="00C03C74">
        <w:rPr>
          <w:sz w:val="22"/>
          <w:szCs w:val="22"/>
          <w:lang w:val="sk-SK"/>
        </w:rPr>
        <w:t xml:space="preserve">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karcinómom prsníka, s </w:t>
      </w:r>
      <w:proofErr w:type="spellStart"/>
      <w:r w:rsidRPr="00C03C74">
        <w:rPr>
          <w:sz w:val="22"/>
          <w:szCs w:val="22"/>
          <w:lang w:val="sk-SK"/>
        </w:rPr>
        <w:t>relapsom</w:t>
      </w:r>
      <w:proofErr w:type="spellEnd"/>
      <w:r w:rsidRPr="00C03C74">
        <w:rPr>
          <w:sz w:val="22"/>
          <w:szCs w:val="22"/>
          <w:lang w:val="sk-SK"/>
        </w:rPr>
        <w:t xml:space="preserve"> po </w:t>
      </w:r>
      <w:proofErr w:type="spellStart"/>
      <w:r w:rsidRPr="00C03C74">
        <w:rPr>
          <w:sz w:val="22"/>
          <w:szCs w:val="22"/>
          <w:lang w:val="sk-SK"/>
        </w:rPr>
        <w:t>adjuvantnej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neoadjuvantnej</w:t>
      </w:r>
      <w:proofErr w:type="spellEnd"/>
      <w:r w:rsidRPr="00C03C74">
        <w:rPr>
          <w:sz w:val="22"/>
          <w:szCs w:val="22"/>
          <w:lang w:val="sk-SK"/>
        </w:rPr>
        <w:t xml:space="preserve"> chemoterapii. Predchádzajúca chemoterapia by mala obsahovať </w:t>
      </w:r>
      <w:proofErr w:type="spellStart"/>
      <w:r w:rsidRPr="00C03C74">
        <w:rPr>
          <w:sz w:val="22"/>
          <w:szCs w:val="22"/>
          <w:lang w:val="sk-SK"/>
        </w:rPr>
        <w:t>antracyklíny</w:t>
      </w:r>
      <w:proofErr w:type="spellEnd"/>
      <w:r w:rsidRPr="00C03C74">
        <w:rPr>
          <w:sz w:val="22"/>
          <w:szCs w:val="22"/>
          <w:lang w:val="sk-SK"/>
        </w:rPr>
        <w:t>, pokiaľ nie sú klinicky kontraindikované.</w:t>
      </w:r>
    </w:p>
    <w:p w14:paraId="6AF8BE2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3A4C632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4.2</w:t>
      </w:r>
      <w:r w:rsidRPr="00C03C74">
        <w:rPr>
          <w:b/>
          <w:sz w:val="22"/>
          <w:szCs w:val="22"/>
          <w:lang w:val="sk-SK"/>
        </w:rPr>
        <w:tab/>
        <w:t>Dávkovanie a spôsob podávania</w:t>
      </w:r>
    </w:p>
    <w:p w14:paraId="43546420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</w:p>
    <w:p w14:paraId="1791F20D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má</w:t>
      </w:r>
      <w:r w:rsidRPr="00C03C74">
        <w:rPr>
          <w:sz w:val="22"/>
          <w:szCs w:val="22"/>
          <w:lang w:val="sk-SK"/>
        </w:rPr>
        <w:t xml:space="preserve"> predpísať len lekár vyškolený v používaní protirakovinovej chemoterapie.</w:t>
      </w:r>
    </w:p>
    <w:p w14:paraId="54FF88B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A2C5321" w14:textId="77777777" w:rsidR="00FC40AA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Dávkovanie</w:t>
      </w:r>
    </w:p>
    <w:p w14:paraId="417E0ED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C0C9052" w14:textId="77777777" w:rsidR="003E3307" w:rsidRDefault="00FC40AA" w:rsidP="00FC40AA">
      <w:pPr>
        <w:pStyle w:val="CM7"/>
        <w:spacing w:line="240" w:lineRule="auto"/>
        <w:rPr>
          <w:i/>
          <w:sz w:val="22"/>
          <w:szCs w:val="22"/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Karcinóm močového mechúra</w:t>
      </w:r>
    </w:p>
    <w:p w14:paraId="29096C70" w14:textId="77777777" w:rsidR="003E3307" w:rsidRDefault="00FC40AA" w:rsidP="00C03C74">
      <w:pPr>
        <w:pStyle w:val="CM7"/>
        <w:spacing w:line="240" w:lineRule="auto"/>
        <w:rPr>
          <w:lang w:val="sk-SK"/>
        </w:rPr>
      </w:pPr>
      <w:r w:rsidRPr="00C03C74">
        <w:rPr>
          <w:i/>
          <w:sz w:val="22"/>
          <w:szCs w:val="22"/>
          <w:lang w:val="sk-SK"/>
        </w:rPr>
        <w:t>Používanie v kombinácii</w:t>
      </w:r>
    </w:p>
    <w:p w14:paraId="6991C593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Odporúčaná dávka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je 1 000 mg/m² podávaná formou 30</w:t>
      </w:r>
      <w:r w:rsidRPr="00C03C74">
        <w:rPr>
          <w:sz w:val="22"/>
          <w:szCs w:val="22"/>
          <w:lang w:val="sk-SK"/>
        </w:rPr>
        <w:noBreakHyphen/>
        <w:t xml:space="preserve">minútovej infúzie. Dávka sa má podávať 1., 8. a 15. deň každého 28dňového cyklu v kombinácii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 xml:space="preserve">. 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sa podáva v odporúčanej dávke 70 mg/m² 1. deň po </w:t>
      </w:r>
      <w:proofErr w:type="spellStart"/>
      <w:r w:rsidRPr="00C03C74">
        <w:rPr>
          <w:sz w:val="22"/>
          <w:szCs w:val="22"/>
          <w:lang w:val="sk-SK"/>
        </w:rPr>
        <w:t>gemcitabíne</w:t>
      </w:r>
      <w:proofErr w:type="spellEnd"/>
      <w:r w:rsidRPr="00C03C74">
        <w:rPr>
          <w:sz w:val="22"/>
          <w:szCs w:val="22"/>
          <w:lang w:val="sk-SK"/>
        </w:rPr>
        <w:t xml:space="preserve"> alebo 2. deň každého 28dňového cyklu. Tento 4týždňový cyklus sa potom opakuje. Dávkovanie vo všetkých cykloch alebo v jednom z cyklov sa môže znížiť v závislosti od miery toxicity pozorovanej u pacienta.</w:t>
      </w:r>
    </w:p>
    <w:p w14:paraId="18557DC8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2C73248" w14:textId="77777777" w:rsidR="003E3307" w:rsidRDefault="00FC40AA" w:rsidP="00C03C74">
      <w:pPr>
        <w:pStyle w:val="CM3"/>
        <w:spacing w:line="240" w:lineRule="auto"/>
        <w:rPr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Karcinóm pankreasu</w:t>
      </w:r>
    </w:p>
    <w:p w14:paraId="4EE0B8B7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Odporúčaná dávka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je 1 000 mg/m² podávaná formou 30minútovej </w:t>
      </w:r>
      <w:proofErr w:type="spellStart"/>
      <w:r w:rsidRPr="00C03C74">
        <w:rPr>
          <w:sz w:val="22"/>
          <w:szCs w:val="22"/>
          <w:lang w:val="sk-SK"/>
        </w:rPr>
        <w:t>vnútrožilovej</w:t>
      </w:r>
      <w:proofErr w:type="spellEnd"/>
      <w:r w:rsidRPr="00C03C74">
        <w:rPr>
          <w:sz w:val="22"/>
          <w:szCs w:val="22"/>
          <w:lang w:val="sk-SK"/>
        </w:rPr>
        <w:t xml:space="preserve"> infúzie. Toto sa má opakovať raz za týždeň počas 7 týždňov, potom nasleduje jednotýždňová prestávka. Ďalšie cykly majú pozostávať z injekcií raz týždenne počas 3 po sebe nasledujúcich týždňov, pričom každý 4. týždeň je bez liečby. Dávkovanie vo všetkých cykloch alebo v jednom z cyklov sa môže znížiť v závislosti od miery toxicity pozorovanej u pacienta.</w:t>
      </w:r>
    </w:p>
    <w:p w14:paraId="1E1B260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28F1425" w14:textId="77777777" w:rsidR="003E3307" w:rsidRDefault="00FC40AA" w:rsidP="00FC40AA">
      <w:pPr>
        <w:pStyle w:val="Default"/>
        <w:rPr>
          <w:i/>
          <w:color w:val="auto"/>
          <w:sz w:val="22"/>
          <w:szCs w:val="22"/>
          <w:lang w:val="sk-SK"/>
        </w:rPr>
      </w:pPr>
      <w:r w:rsidRPr="00C03C74">
        <w:rPr>
          <w:i/>
          <w:color w:val="auto"/>
          <w:sz w:val="22"/>
          <w:szCs w:val="22"/>
          <w:u w:val="single"/>
          <w:lang w:val="sk-SK"/>
        </w:rPr>
        <w:t>Nemalobunkový karcinóm pľúc</w:t>
      </w:r>
    </w:p>
    <w:p w14:paraId="16047FFF" w14:textId="77777777" w:rsidR="003E3307" w:rsidRDefault="00FC40AA" w:rsidP="00C03C74">
      <w:pPr>
        <w:pStyle w:val="Default"/>
        <w:rPr>
          <w:lang w:val="sk-SK"/>
        </w:rPr>
      </w:pPr>
      <w:proofErr w:type="spellStart"/>
      <w:r w:rsidRPr="00C03C74">
        <w:rPr>
          <w:i/>
          <w:color w:val="auto"/>
          <w:sz w:val="22"/>
          <w:szCs w:val="22"/>
          <w:lang w:val="sk-SK"/>
        </w:rPr>
        <w:t>Monoterapia</w:t>
      </w:r>
      <w:proofErr w:type="spellEnd"/>
    </w:p>
    <w:p w14:paraId="45AF2816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Odporúčaná dávka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je 1 000 mg/m² podávaná formou 30minútovej </w:t>
      </w:r>
      <w:proofErr w:type="spellStart"/>
      <w:r w:rsidRPr="00C03C74">
        <w:rPr>
          <w:sz w:val="22"/>
          <w:szCs w:val="22"/>
          <w:lang w:val="sk-SK"/>
        </w:rPr>
        <w:t>vnútrožilovej</w:t>
      </w:r>
      <w:proofErr w:type="spellEnd"/>
      <w:r w:rsidRPr="00C03C74">
        <w:rPr>
          <w:sz w:val="22"/>
          <w:szCs w:val="22"/>
          <w:lang w:val="sk-SK"/>
        </w:rPr>
        <w:t xml:space="preserve"> infúzie. Toto sa má opakovať raz za týždeň počas 3 týždňov a potom nasleduje jednotýždňová prestávka. Tento 4týždňový cyklus sa potom opakuje. Dávkovanie vo všetkých cykloch alebo v jednom z cyklov sa môže znížiť v závislosti od miery toxicity pozorovanej u pacienta.</w:t>
      </w:r>
    </w:p>
    <w:p w14:paraId="6BA1B4A6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59C2A48" w14:textId="77777777" w:rsidR="003E3307" w:rsidRDefault="00FC40AA" w:rsidP="00C03C74">
      <w:pPr>
        <w:pStyle w:val="CM3"/>
        <w:spacing w:line="240" w:lineRule="auto"/>
        <w:rPr>
          <w:lang w:val="sk-SK"/>
        </w:rPr>
      </w:pPr>
      <w:r w:rsidRPr="00C03C74">
        <w:rPr>
          <w:i/>
          <w:sz w:val="22"/>
          <w:szCs w:val="22"/>
          <w:lang w:val="sk-SK"/>
        </w:rPr>
        <w:t>Používanie v kombinácii</w:t>
      </w:r>
    </w:p>
    <w:p w14:paraId="430EEE3D" w14:textId="77777777" w:rsidR="00FC40AA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Odporúčaná dávka </w:t>
      </w:r>
      <w:proofErr w:type="spellStart"/>
      <w:r>
        <w:rPr>
          <w:sz w:val="22"/>
          <w:szCs w:val="22"/>
          <w:lang w:val="sk-SK"/>
        </w:rPr>
        <w:t>gemcitabínu</w:t>
      </w:r>
      <w:proofErr w:type="spellEnd"/>
      <w:r>
        <w:rPr>
          <w:sz w:val="22"/>
          <w:szCs w:val="22"/>
          <w:lang w:val="sk-SK"/>
        </w:rPr>
        <w:t xml:space="preserve"> je</w:t>
      </w:r>
      <w:r w:rsidRPr="00C03C74">
        <w:rPr>
          <w:sz w:val="22"/>
          <w:szCs w:val="22"/>
          <w:lang w:val="sk-SK"/>
        </w:rPr>
        <w:t xml:space="preserve"> 1 250 mg/m</w:t>
      </w:r>
      <w:r>
        <w:rPr>
          <w:sz w:val="22"/>
          <w:szCs w:val="22"/>
          <w:lang w:val="sk-SK"/>
        </w:rPr>
        <w:t xml:space="preserve">² povrchovej plochy tela podávaná formou 30minútovej </w:t>
      </w:r>
      <w:proofErr w:type="spellStart"/>
      <w:r>
        <w:rPr>
          <w:sz w:val="22"/>
          <w:szCs w:val="22"/>
          <w:lang w:val="sk-SK"/>
        </w:rPr>
        <w:t>vnútrožilovej</w:t>
      </w:r>
      <w:proofErr w:type="spellEnd"/>
      <w:r w:rsidRPr="00C03C74">
        <w:rPr>
          <w:sz w:val="22"/>
          <w:szCs w:val="22"/>
          <w:lang w:val="sk-SK"/>
        </w:rPr>
        <w:t xml:space="preserve"> infúzie 1. a 8. deň </w:t>
      </w:r>
      <w:r>
        <w:rPr>
          <w:sz w:val="22"/>
          <w:szCs w:val="22"/>
          <w:lang w:val="sk-SK"/>
        </w:rPr>
        <w:t>liečebného cyklu (</w:t>
      </w:r>
      <w:r w:rsidRPr="00C03C74">
        <w:rPr>
          <w:sz w:val="22"/>
          <w:szCs w:val="22"/>
          <w:lang w:val="sk-SK"/>
        </w:rPr>
        <w:t>21</w:t>
      </w:r>
      <w:r>
        <w:rPr>
          <w:sz w:val="22"/>
          <w:szCs w:val="22"/>
          <w:lang w:val="sk-SK"/>
        </w:rPr>
        <w:t> dní). Dávkovanie</w:t>
      </w:r>
      <w:r w:rsidRPr="00C03C74">
        <w:rPr>
          <w:sz w:val="22"/>
          <w:szCs w:val="22"/>
          <w:lang w:val="sk-SK"/>
        </w:rPr>
        <w:t xml:space="preserve"> vo všetkých cykloch alebo v jednom z cyklov sa môže znížiť v závislosti od miery toxicity pozorovanej u pacienta.</w:t>
      </w:r>
    </w:p>
    <w:p w14:paraId="2ED66B16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Cisplatina</w:t>
      </w:r>
      <w:proofErr w:type="spellEnd"/>
      <w:r>
        <w:rPr>
          <w:sz w:val="22"/>
          <w:szCs w:val="22"/>
          <w:lang w:val="sk-SK"/>
        </w:rPr>
        <w:t xml:space="preserve"> sa používala v dávkach v rozmedzí 75–100 mg/m² každé 3 týždne</w:t>
      </w:r>
      <w:r w:rsidRPr="00C03C74">
        <w:rPr>
          <w:sz w:val="22"/>
          <w:szCs w:val="22"/>
          <w:lang w:val="sk-SK"/>
        </w:rPr>
        <w:t>.</w:t>
      </w:r>
    </w:p>
    <w:p w14:paraId="72D6E50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91E67E3" w14:textId="77777777" w:rsidR="003E3307" w:rsidRDefault="00FC40AA" w:rsidP="00FC40AA">
      <w:pPr>
        <w:pStyle w:val="Default"/>
        <w:keepNext/>
        <w:keepLines/>
        <w:widowControl/>
        <w:rPr>
          <w:i/>
          <w:color w:val="auto"/>
          <w:sz w:val="22"/>
          <w:szCs w:val="22"/>
          <w:lang w:val="sk-SK"/>
        </w:rPr>
      </w:pPr>
      <w:r w:rsidRPr="00C03C74">
        <w:rPr>
          <w:i/>
          <w:color w:val="auto"/>
          <w:sz w:val="22"/>
          <w:szCs w:val="22"/>
          <w:u w:val="single"/>
          <w:lang w:val="sk-SK"/>
        </w:rPr>
        <w:t xml:space="preserve">Karcinóm </w:t>
      </w:r>
      <w:r>
        <w:rPr>
          <w:i/>
          <w:color w:val="auto"/>
          <w:sz w:val="22"/>
          <w:szCs w:val="22"/>
          <w:u w:val="single"/>
          <w:lang w:val="sk-SK"/>
        </w:rPr>
        <w:t>prsníka</w:t>
      </w:r>
    </w:p>
    <w:p w14:paraId="5E843778" w14:textId="77777777" w:rsidR="003E3307" w:rsidRDefault="00FC40AA" w:rsidP="00C03C74">
      <w:pPr>
        <w:pStyle w:val="Default"/>
        <w:keepNext/>
        <w:keepLines/>
        <w:widowControl/>
        <w:rPr>
          <w:lang w:val="sk-SK"/>
        </w:rPr>
      </w:pPr>
      <w:r w:rsidRPr="00C03C74">
        <w:rPr>
          <w:i/>
          <w:color w:val="auto"/>
          <w:sz w:val="22"/>
          <w:szCs w:val="22"/>
          <w:lang w:val="sk-SK"/>
        </w:rPr>
        <w:t>Používanie v kombinácii</w:t>
      </w:r>
    </w:p>
    <w:p w14:paraId="1150E5CA" w14:textId="77777777" w:rsidR="00FC40AA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Odporúča sa </w:t>
      </w:r>
      <w:proofErr w:type="spellStart"/>
      <w:r>
        <w:rPr>
          <w:sz w:val="22"/>
          <w:szCs w:val="22"/>
          <w:lang w:val="sk-SK"/>
        </w:rPr>
        <w:t>gemcitabín</w:t>
      </w:r>
      <w:proofErr w:type="spellEnd"/>
      <w:r>
        <w:rPr>
          <w:sz w:val="22"/>
          <w:szCs w:val="22"/>
          <w:lang w:val="sk-SK"/>
        </w:rPr>
        <w:t xml:space="preserve"> v kombinácii s </w:t>
      </w:r>
      <w:proofErr w:type="spellStart"/>
      <w:r>
        <w:rPr>
          <w:sz w:val="22"/>
          <w:szCs w:val="22"/>
          <w:lang w:val="sk-SK"/>
        </w:rPr>
        <w:t>paklitaxelom</w:t>
      </w:r>
      <w:proofErr w:type="spellEnd"/>
      <w:r>
        <w:rPr>
          <w:sz w:val="22"/>
          <w:szCs w:val="22"/>
          <w:lang w:val="sk-SK"/>
        </w:rPr>
        <w:t xml:space="preserve">, pričom </w:t>
      </w:r>
      <w:proofErr w:type="spellStart"/>
      <w:r>
        <w:rPr>
          <w:sz w:val="22"/>
          <w:szCs w:val="22"/>
          <w:lang w:val="sk-SK"/>
        </w:rPr>
        <w:t>paklitaxel</w:t>
      </w:r>
      <w:proofErr w:type="spellEnd"/>
      <w:r>
        <w:rPr>
          <w:sz w:val="22"/>
          <w:szCs w:val="22"/>
          <w:lang w:val="sk-SK"/>
        </w:rPr>
        <w:t xml:space="preserve"> (175 mg/m²) sa podáva 1. deň počas cca 3 hodín vo forme intravenóznej infúzie, nasledovaný </w:t>
      </w:r>
      <w:proofErr w:type="spellStart"/>
      <w:r>
        <w:rPr>
          <w:sz w:val="22"/>
          <w:szCs w:val="22"/>
          <w:lang w:val="sk-SK"/>
        </w:rPr>
        <w:t>gemcitabínom</w:t>
      </w:r>
      <w:proofErr w:type="spellEnd"/>
      <w:r>
        <w:rPr>
          <w:sz w:val="22"/>
          <w:szCs w:val="22"/>
          <w:lang w:val="sk-SK"/>
        </w:rPr>
        <w:t xml:space="preserve"> (1 250 mg/m²) vo forme 30minútovej intravenóznej infúzie 1. a 8. deň každého 21dňového cyklu. Dávka vo všetkých cykloch alebo v jednom z cyklov sa môže znížiť v závislosti od miery toxicity pozorovanej u pacienta. Pred začatím podávania kombinácie </w:t>
      </w:r>
      <w:proofErr w:type="spellStart"/>
      <w:r>
        <w:rPr>
          <w:sz w:val="22"/>
          <w:szCs w:val="22"/>
          <w:lang w:val="sk-SK"/>
        </w:rPr>
        <w:t>gemcitabínu</w:t>
      </w:r>
      <w:proofErr w:type="spellEnd"/>
      <w:r>
        <w:rPr>
          <w:sz w:val="22"/>
          <w:szCs w:val="22"/>
          <w:lang w:val="sk-SK"/>
        </w:rPr>
        <w:t xml:space="preserve"> s </w:t>
      </w:r>
      <w:proofErr w:type="spellStart"/>
      <w:r>
        <w:rPr>
          <w:sz w:val="22"/>
          <w:szCs w:val="22"/>
          <w:lang w:val="sk-SK"/>
        </w:rPr>
        <w:t>paklitaxelom</w:t>
      </w:r>
      <w:proofErr w:type="spellEnd"/>
      <w:r>
        <w:rPr>
          <w:sz w:val="22"/>
          <w:szCs w:val="22"/>
          <w:lang w:val="sk-SK"/>
        </w:rPr>
        <w:t xml:space="preserve"> majú mať pacientky absolútny počet </w:t>
      </w:r>
      <w:proofErr w:type="spellStart"/>
      <w:r>
        <w:rPr>
          <w:sz w:val="22"/>
          <w:szCs w:val="22"/>
          <w:lang w:val="sk-SK"/>
        </w:rPr>
        <w:t>granulocytov</w:t>
      </w:r>
      <w:proofErr w:type="spellEnd"/>
      <w:r>
        <w:rPr>
          <w:sz w:val="22"/>
          <w:szCs w:val="22"/>
          <w:lang w:val="sk-SK"/>
        </w:rPr>
        <w:t xml:space="preserve"> minimálne 1 500 (x 10</w:t>
      </w:r>
      <w:r>
        <w:rPr>
          <w:sz w:val="22"/>
          <w:szCs w:val="22"/>
          <w:vertAlign w:val="superscript"/>
          <w:lang w:val="sk-SK"/>
        </w:rPr>
        <w:t>6</w:t>
      </w:r>
      <w:r>
        <w:rPr>
          <w:sz w:val="22"/>
          <w:szCs w:val="22"/>
          <w:lang w:val="sk-SK"/>
        </w:rPr>
        <w:t>/l).</w:t>
      </w:r>
    </w:p>
    <w:p w14:paraId="678C3F23" w14:textId="77777777" w:rsidR="00FC40AA" w:rsidRDefault="00FC40AA" w:rsidP="00FC40AA">
      <w:pPr>
        <w:pStyle w:val="Default"/>
        <w:rPr>
          <w:sz w:val="22"/>
          <w:szCs w:val="22"/>
          <w:lang w:val="sk-SK"/>
        </w:rPr>
      </w:pPr>
    </w:p>
    <w:p w14:paraId="0A5F09DE" w14:textId="77777777" w:rsidR="003E3307" w:rsidRDefault="00FC40AA" w:rsidP="00FC40AA">
      <w:pPr>
        <w:pStyle w:val="CM9"/>
        <w:keepNext/>
        <w:keepLines/>
        <w:widowControl/>
        <w:spacing w:line="240" w:lineRule="auto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u w:val="single"/>
          <w:lang w:val="sk-SK"/>
        </w:rPr>
        <w:lastRenderedPageBreak/>
        <w:t>Karcinóm vaječníkov</w:t>
      </w:r>
    </w:p>
    <w:p w14:paraId="7B0A4F8E" w14:textId="77777777" w:rsidR="003E3307" w:rsidRDefault="00FC40AA" w:rsidP="00C03C74">
      <w:pPr>
        <w:pStyle w:val="CM9"/>
        <w:keepNext/>
        <w:keepLines/>
        <w:widowControl/>
        <w:spacing w:line="240" w:lineRule="auto"/>
        <w:rPr>
          <w:lang w:val="sk-SK"/>
        </w:rPr>
      </w:pPr>
      <w:r>
        <w:rPr>
          <w:i/>
          <w:sz w:val="22"/>
          <w:szCs w:val="22"/>
          <w:lang w:val="sk-SK"/>
        </w:rPr>
        <w:t>Používanie v kombinácii</w:t>
      </w:r>
    </w:p>
    <w:p w14:paraId="559AE67B" w14:textId="77777777" w:rsidR="00FC40AA" w:rsidRPr="00C03C74" w:rsidRDefault="00FC40AA" w:rsidP="00FC40AA">
      <w:pPr>
        <w:pStyle w:val="CM6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Odporúča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kombinácii s </w:t>
      </w:r>
      <w:proofErr w:type="spellStart"/>
      <w:r w:rsidRPr="00C03C74">
        <w:rPr>
          <w:sz w:val="22"/>
          <w:szCs w:val="22"/>
          <w:lang w:val="sk-SK"/>
        </w:rPr>
        <w:t>karboplatinou</w:t>
      </w:r>
      <w:proofErr w:type="spellEnd"/>
      <w:r w:rsidRPr="00C03C74">
        <w:rPr>
          <w:sz w:val="22"/>
          <w:szCs w:val="22"/>
          <w:lang w:val="sk-SK"/>
        </w:rPr>
        <w:t xml:space="preserve">, pričom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1 000 mg/m² sa podáva 1. a 8. deň každého 21</w:t>
      </w:r>
      <w:r w:rsidR="00B451E5">
        <w:rPr>
          <w:sz w:val="22"/>
          <w:szCs w:val="22"/>
          <w:lang w:val="sk-SK"/>
        </w:rPr>
        <w:t xml:space="preserve"> </w:t>
      </w:r>
      <w:r w:rsidRPr="00C03C74">
        <w:rPr>
          <w:sz w:val="22"/>
          <w:szCs w:val="22"/>
          <w:lang w:val="sk-SK"/>
        </w:rPr>
        <w:t xml:space="preserve">dňového cyklu formou 30minútovej </w:t>
      </w:r>
      <w:proofErr w:type="spellStart"/>
      <w:r w:rsidRPr="00C03C74">
        <w:rPr>
          <w:sz w:val="22"/>
          <w:szCs w:val="22"/>
          <w:lang w:val="sk-SK"/>
        </w:rPr>
        <w:t>vnútrožilovej</w:t>
      </w:r>
      <w:proofErr w:type="spellEnd"/>
      <w:r w:rsidRPr="00C03C74">
        <w:rPr>
          <w:sz w:val="22"/>
          <w:szCs w:val="22"/>
          <w:lang w:val="sk-SK"/>
        </w:rPr>
        <w:t xml:space="preserve"> infúzie. Po </w:t>
      </w:r>
      <w:proofErr w:type="spellStart"/>
      <w:r w:rsidRPr="00C03C74">
        <w:rPr>
          <w:sz w:val="22"/>
          <w:szCs w:val="22"/>
          <w:lang w:val="sk-SK"/>
        </w:rPr>
        <w:t>gemcitabíne</w:t>
      </w:r>
      <w:proofErr w:type="spellEnd"/>
      <w:r w:rsidRPr="00C03C74">
        <w:rPr>
          <w:sz w:val="22"/>
          <w:szCs w:val="22"/>
          <w:lang w:val="sk-SK"/>
        </w:rPr>
        <w:t xml:space="preserve"> sa podáva </w:t>
      </w:r>
      <w:proofErr w:type="spellStart"/>
      <w:r w:rsidRPr="00C03C74">
        <w:rPr>
          <w:sz w:val="22"/>
          <w:szCs w:val="22"/>
          <w:lang w:val="sk-SK"/>
        </w:rPr>
        <w:t>karboplatina</w:t>
      </w:r>
      <w:proofErr w:type="spellEnd"/>
      <w:r w:rsidRPr="00C03C74">
        <w:rPr>
          <w:sz w:val="22"/>
          <w:szCs w:val="22"/>
          <w:lang w:val="sk-SK"/>
        </w:rPr>
        <w:t xml:space="preserve"> 1. deň do dosiahnutia hodnoty plochy pod krivkou (AUC) 4,0 mg/ml min. Dávkovanie vo všetkých cykloch alebo v jednom z cyklov sa môže znížiť v závislosti od miery toxicity pozorovanej u pacientky.</w:t>
      </w:r>
    </w:p>
    <w:p w14:paraId="3288EC1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9D67F1B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Monitorovanie toxicity a úprava dávky z dôvodu toxicity</w:t>
      </w:r>
    </w:p>
    <w:p w14:paraId="44D70A9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8BE569E" w14:textId="77777777" w:rsidR="003E3307" w:rsidRDefault="00FC40AA" w:rsidP="00C03C74">
      <w:pPr>
        <w:pStyle w:val="Default"/>
        <w:rPr>
          <w:lang w:val="sk-SK"/>
        </w:rPr>
      </w:pPr>
      <w:r w:rsidRPr="00C03C74">
        <w:rPr>
          <w:i/>
          <w:color w:val="auto"/>
          <w:sz w:val="22"/>
          <w:szCs w:val="22"/>
          <w:u w:val="single"/>
          <w:lang w:val="sk-SK"/>
        </w:rPr>
        <w:t>Úprava dávky z dôvodu nehematologickej toxicity</w:t>
      </w:r>
    </w:p>
    <w:p w14:paraId="090DA65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Na odhalenie nehematologickej toxicity sú potrebné pravidelné </w:t>
      </w:r>
      <w:r>
        <w:rPr>
          <w:sz w:val="22"/>
          <w:szCs w:val="22"/>
          <w:lang w:val="sk-SK"/>
        </w:rPr>
        <w:t>lekárske</w:t>
      </w:r>
      <w:r w:rsidRPr="00C03C74">
        <w:rPr>
          <w:sz w:val="22"/>
          <w:szCs w:val="22"/>
          <w:lang w:val="sk-SK"/>
        </w:rPr>
        <w:t xml:space="preserve"> vyšetrenia a kontroly obličkových a pečeňových funkcií. Dávkovanie vo všetkých cykloch alebo v jednom z cyklov sa môže znížiť v závislosti od miery toxicity pozorovanej u pacienta. Vo všeobecnosti pri závažnej (3. alebo 4. stupeň) nehematologickej toxicite, s výnimkou nevoľnosti/vracania, sa liečba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má prerušiť alebo znížiť v závislosti od posúdenia ošetrujúceho lekára. Dávky sa nemajú podávať, až kým podľa názoru lekára toxicita nevymizne.</w:t>
      </w:r>
    </w:p>
    <w:p w14:paraId="6BB43C1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C7307D0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Úpravu dávkovania </w:t>
      </w:r>
      <w:proofErr w:type="spellStart"/>
      <w:r w:rsidRPr="00C03C74">
        <w:rPr>
          <w:sz w:val="22"/>
          <w:szCs w:val="22"/>
          <w:lang w:val="sk-SK"/>
        </w:rPr>
        <w:t>cisplatiny</w:t>
      </w:r>
      <w:proofErr w:type="spellEnd"/>
      <w:r w:rsidRPr="00C03C74">
        <w:rPr>
          <w:sz w:val="22"/>
          <w:szCs w:val="22"/>
          <w:lang w:val="sk-SK"/>
        </w:rPr>
        <w:t xml:space="preserve">, </w:t>
      </w:r>
      <w:proofErr w:type="spellStart"/>
      <w:r w:rsidRPr="00C03C74">
        <w:rPr>
          <w:sz w:val="22"/>
          <w:szCs w:val="22"/>
          <w:lang w:val="sk-SK"/>
        </w:rPr>
        <w:t>karboplatiny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paklitaxelu</w:t>
      </w:r>
      <w:proofErr w:type="spellEnd"/>
      <w:r w:rsidRPr="00C03C74">
        <w:rPr>
          <w:sz w:val="22"/>
          <w:szCs w:val="22"/>
          <w:lang w:val="sk-SK"/>
        </w:rPr>
        <w:t xml:space="preserve"> pri kombinovanej liečbe nájdete v príslušnom Súhrne charakteristických vlastností lieku.</w:t>
      </w:r>
    </w:p>
    <w:p w14:paraId="63FFAA53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236246B" w14:textId="77777777" w:rsidR="003E3307" w:rsidRDefault="00FC40AA" w:rsidP="00FC40AA">
      <w:pPr>
        <w:pStyle w:val="Default"/>
        <w:rPr>
          <w:i/>
          <w:color w:val="auto"/>
          <w:sz w:val="22"/>
          <w:szCs w:val="22"/>
          <w:lang w:val="sk-SK"/>
        </w:rPr>
      </w:pPr>
      <w:r w:rsidRPr="00C03C74">
        <w:rPr>
          <w:i/>
          <w:color w:val="auto"/>
          <w:sz w:val="22"/>
          <w:szCs w:val="22"/>
          <w:u w:val="single"/>
          <w:lang w:val="sk-SK"/>
        </w:rPr>
        <w:t>Úprava dávky z dôvodu hematologickej toxicity</w:t>
      </w:r>
    </w:p>
    <w:p w14:paraId="521FF6C9" w14:textId="77777777" w:rsidR="003E3307" w:rsidRDefault="00FC40AA" w:rsidP="00C03C74">
      <w:pPr>
        <w:pStyle w:val="Default"/>
        <w:rPr>
          <w:lang w:val="sk-SK"/>
        </w:rPr>
      </w:pPr>
      <w:r w:rsidRPr="00C03C74">
        <w:rPr>
          <w:i/>
          <w:color w:val="auto"/>
          <w:sz w:val="22"/>
          <w:szCs w:val="22"/>
          <w:lang w:val="sk-SK"/>
        </w:rPr>
        <w:t>Začiatok cyklu</w:t>
      </w:r>
    </w:p>
    <w:p w14:paraId="2F4B55A9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Pri všetkých indikáciách sa pred každou dávkou musí u pacienta sledovať počet krvných doštičiek a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. Pred začiatkom cyklu majú mať pacienti absolútny počet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 minimálne 1 500 (</w:t>
      </w:r>
      <w:r>
        <w:rPr>
          <w:sz w:val="22"/>
          <w:szCs w:val="22"/>
          <w:lang w:val="sk-SK"/>
        </w:rPr>
        <w:t>x </w:t>
      </w:r>
      <w:r w:rsidRPr="00C03C74">
        <w:rPr>
          <w:sz w:val="22"/>
          <w:szCs w:val="22"/>
          <w:lang w:val="sk-SK"/>
        </w:rPr>
        <w:t>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 a krvných doštičiek 100 000 (</w:t>
      </w:r>
      <w:r>
        <w:rPr>
          <w:sz w:val="22"/>
          <w:szCs w:val="22"/>
          <w:lang w:val="sk-SK"/>
        </w:rPr>
        <w:t>x </w:t>
      </w:r>
      <w:r w:rsidRPr="00C03C74">
        <w:rPr>
          <w:sz w:val="22"/>
          <w:szCs w:val="22"/>
          <w:lang w:val="sk-SK"/>
        </w:rPr>
        <w:t>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/l).</w:t>
      </w:r>
    </w:p>
    <w:p w14:paraId="782209A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CD98D5B" w14:textId="77777777" w:rsidR="003E3307" w:rsidRDefault="00FC40AA" w:rsidP="00C03C74">
      <w:pPr>
        <w:pStyle w:val="CM3"/>
        <w:keepNext/>
        <w:keepLines/>
        <w:widowControl/>
        <w:spacing w:line="240" w:lineRule="auto"/>
        <w:rPr>
          <w:lang w:val="sk-SK"/>
        </w:rPr>
      </w:pPr>
      <w:r w:rsidRPr="00C03C74">
        <w:rPr>
          <w:i/>
          <w:sz w:val="22"/>
          <w:szCs w:val="22"/>
          <w:lang w:val="sk-SK"/>
        </w:rPr>
        <w:t>V priebehu cyklu</w:t>
      </w:r>
    </w:p>
    <w:p w14:paraId="5110CABA" w14:textId="77777777" w:rsidR="00FC40AA" w:rsidRPr="00C03C74" w:rsidRDefault="00FC40AA" w:rsidP="00FC40AA">
      <w:pPr>
        <w:pStyle w:val="CM29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Dávky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sa v priebehu cyklu majú upravovať podľa nasledujúcich tabuliek:</w:t>
      </w:r>
    </w:p>
    <w:p w14:paraId="0C3E2647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709"/>
      </w:tblGrid>
      <w:tr w:rsidR="00FC40AA" w:rsidRPr="00A30CD6" w14:paraId="430D9176" w14:textId="77777777" w:rsidTr="00C03C74">
        <w:trPr>
          <w:trHeight w:val="783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2A10" w14:textId="77777777" w:rsidR="00FC40AA" w:rsidRPr="004D1E58" w:rsidRDefault="00FC40AA" w:rsidP="000F2368">
            <w:pPr>
              <w:pStyle w:val="Default"/>
              <w:keepNext/>
              <w:keepLines/>
              <w:widowControl/>
              <w:rPr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Úprava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v priebehu cyklu pri karcinóme močového mechúra, nemalobunkovom karcinóme pľúc a karcinóme pankreasu, podávaného v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monoterapii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alebo v kombinácii s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cisplatinou</w:t>
            </w:r>
            <w:proofErr w:type="spellEnd"/>
          </w:p>
        </w:tc>
      </w:tr>
      <w:tr w:rsidR="00FC40AA" w14:paraId="0EDEC5DF" w14:textId="77777777" w:rsidTr="00C03C74">
        <w:trPr>
          <w:trHeight w:val="51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23A0C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Absolútny počet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granulocytov</w:t>
            </w:r>
            <w:proofErr w:type="spellEnd"/>
          </w:p>
          <w:p w14:paraId="56C9EAEC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56A6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Počet krvných doštičiek 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DBE5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Percento štandardnej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(%)</w:t>
            </w:r>
          </w:p>
        </w:tc>
      </w:tr>
      <w:tr w:rsidR="00FC40AA" w14:paraId="0094A3D0" w14:textId="77777777" w:rsidTr="00C03C74">
        <w:trPr>
          <w:trHeight w:val="2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9C239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20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&gt; 1 000 </w:t>
            </w:r>
            <w:r w:rsidRPr="00C03C74">
              <w:rPr>
                <w:sz w:val="22"/>
                <w:szCs w:val="22"/>
                <w:lang w:val="sk-SK"/>
              </w:rPr>
              <w:tab/>
              <w:t xml:space="preserve">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CBFBF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&gt; 100 000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07AF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100</w:t>
            </w:r>
          </w:p>
        </w:tc>
      </w:tr>
      <w:tr w:rsidR="00FC40AA" w14:paraId="369AA805" w14:textId="77777777" w:rsidTr="00C03C74">
        <w:trPr>
          <w:trHeight w:val="2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D10DE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20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500 – 1 000 </w:t>
            </w:r>
            <w:r w:rsidRPr="00C03C74">
              <w:rPr>
                <w:sz w:val="22"/>
                <w:szCs w:val="22"/>
                <w:lang w:val="sk-SK"/>
              </w:rPr>
              <w:tab/>
              <w:t xml:space="preserve">alebo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CF83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50 000 – 100 000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BDB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75</w:t>
            </w:r>
          </w:p>
        </w:tc>
      </w:tr>
      <w:tr w:rsidR="00FC40AA" w14:paraId="39447338" w14:textId="77777777" w:rsidTr="00C03C74">
        <w:trPr>
          <w:trHeight w:val="2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C8FAC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20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&lt; 500 </w:t>
            </w:r>
            <w:r w:rsidRPr="00C03C74">
              <w:rPr>
                <w:sz w:val="22"/>
                <w:szCs w:val="22"/>
                <w:lang w:val="sk-SK"/>
              </w:rPr>
              <w:tab/>
              <w:t xml:space="preserve">alebo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09ABE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&lt; 50 000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3C06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Vynechajte dávku*</w:t>
            </w:r>
          </w:p>
        </w:tc>
      </w:tr>
    </w:tbl>
    <w:p w14:paraId="1204F84C" w14:textId="77777777" w:rsidR="00FC40AA" w:rsidRPr="00C03C74" w:rsidRDefault="00FC40AA" w:rsidP="00FC40AA">
      <w:pPr>
        <w:pStyle w:val="CM29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*Vynechaná liečba sa v priebehu cyklu neobnoví, kým absolútny počet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 nedosiahne minimálne 500 (</w:t>
      </w:r>
      <w:r>
        <w:rPr>
          <w:sz w:val="22"/>
          <w:szCs w:val="22"/>
          <w:lang w:val="sk-SK"/>
        </w:rPr>
        <w:t>x </w:t>
      </w:r>
      <w:r w:rsidRPr="00C03C74">
        <w:rPr>
          <w:sz w:val="22"/>
          <w:szCs w:val="22"/>
          <w:lang w:val="sk-SK"/>
        </w:rPr>
        <w:t>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 a počet krvných doštičiek nedosiahne 50 000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/l).</w:t>
      </w:r>
    </w:p>
    <w:p w14:paraId="63B643F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510"/>
        <w:gridCol w:w="2818"/>
        <w:gridCol w:w="2670"/>
      </w:tblGrid>
      <w:tr w:rsidR="00FC40AA" w:rsidRPr="00A30CD6" w14:paraId="5ECA2AA4" w14:textId="77777777" w:rsidTr="00C03C74">
        <w:trPr>
          <w:trHeight w:val="530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2C95" w14:textId="77777777" w:rsidR="00FC40AA" w:rsidRPr="004D1E58" w:rsidRDefault="00FC40AA" w:rsidP="000F2368">
            <w:pPr>
              <w:pStyle w:val="Default"/>
              <w:keepNext/>
              <w:keepLines/>
              <w:widowControl/>
              <w:rPr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lastRenderedPageBreak/>
              <w:t xml:space="preserve">Úprava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v priebehu cyklu pri karcinóme prsníka, podávaného v kombinácii s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paklitaxelom</w:t>
            </w:r>
            <w:proofErr w:type="spellEnd"/>
          </w:p>
        </w:tc>
      </w:tr>
      <w:tr w:rsidR="00FC40AA" w14:paraId="1F7F49C2" w14:textId="77777777" w:rsidTr="00C03C74">
        <w:trPr>
          <w:trHeight w:val="5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2BF9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Absolútny počet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granulocytov</w:t>
            </w:r>
            <w:proofErr w:type="spellEnd"/>
          </w:p>
          <w:p w14:paraId="0C0D519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09F44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Počet krvných doštičiek 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EC7E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Percento štandardnej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(%)</w:t>
            </w:r>
          </w:p>
        </w:tc>
      </w:tr>
      <w:tr w:rsidR="00FC40AA" w14:paraId="422522EB" w14:textId="77777777" w:rsidTr="00C03C74">
        <w:trPr>
          <w:trHeight w:val="2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D62DA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≥ 1 200 </w:t>
            </w:r>
            <w:r w:rsidRPr="00C03C74">
              <w:rPr>
                <w:sz w:val="22"/>
                <w:szCs w:val="22"/>
                <w:lang w:val="sk-SK"/>
              </w:rPr>
              <w:tab/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63B0E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&gt; 75 000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7DA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100</w:t>
            </w:r>
          </w:p>
        </w:tc>
      </w:tr>
      <w:tr w:rsidR="00FC40AA" w14:paraId="6D075CCC" w14:textId="77777777" w:rsidTr="00C03C74">
        <w:trPr>
          <w:trHeight w:val="2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7481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1 000 – &lt; 1 200 </w:t>
            </w:r>
            <w:r w:rsidRPr="00C03C74">
              <w:rPr>
                <w:sz w:val="22"/>
                <w:szCs w:val="22"/>
                <w:lang w:val="sk-SK"/>
              </w:rPr>
              <w:tab/>
              <w:t>alebo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73840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50 000 – 75 000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E2B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75</w:t>
            </w:r>
          </w:p>
        </w:tc>
      </w:tr>
      <w:tr w:rsidR="00FC40AA" w14:paraId="3519CF31" w14:textId="77777777" w:rsidTr="00C03C74">
        <w:trPr>
          <w:trHeight w:val="2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FE18A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700 – &lt; 1 000 </w:t>
            </w:r>
            <w:r w:rsidRPr="00C03C74">
              <w:rPr>
                <w:sz w:val="22"/>
                <w:szCs w:val="22"/>
                <w:lang w:val="sk-SK"/>
              </w:rPr>
              <w:tab/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4679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≥ 50 000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538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50</w:t>
            </w:r>
          </w:p>
        </w:tc>
      </w:tr>
      <w:tr w:rsidR="00FC40AA" w14:paraId="257C17A7" w14:textId="77777777" w:rsidTr="00C03C74">
        <w:trPr>
          <w:trHeight w:val="2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6085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&lt; 700 </w:t>
            </w:r>
            <w:r w:rsidRPr="00C03C74">
              <w:rPr>
                <w:sz w:val="22"/>
                <w:szCs w:val="22"/>
                <w:lang w:val="sk-SK"/>
              </w:rPr>
              <w:tab/>
              <w:t>alebo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9A05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&lt; 50 000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E5A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 xml:space="preserve">Vynechajte dávku* </w:t>
            </w:r>
          </w:p>
        </w:tc>
      </w:tr>
    </w:tbl>
    <w:p w14:paraId="24A42F4C" w14:textId="77777777" w:rsidR="00FC40AA" w:rsidRPr="00C03C74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*Vynechaná liečba sa v priebehu cyklu neobnoví. Liečba sa začne 1. deň nasledujúceho cyklu, ak absolútny počet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 dosiahne minimálne 1 500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 a počet krvných doštičiek dosiahne 100 000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/l).</w:t>
      </w:r>
    </w:p>
    <w:p w14:paraId="49B730F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709"/>
      </w:tblGrid>
      <w:tr w:rsidR="00FC40AA" w:rsidRPr="00A30CD6" w14:paraId="666EE416" w14:textId="77777777" w:rsidTr="00C03C74">
        <w:trPr>
          <w:trHeight w:val="530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D3C5" w14:textId="77777777" w:rsidR="00FC40AA" w:rsidRPr="004D1E58" w:rsidRDefault="00FC40AA" w:rsidP="000F2368">
            <w:pPr>
              <w:pStyle w:val="Default"/>
              <w:rPr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Úprava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v priebehu cyklu pri karcinóme vaječníkov, podávaného v kombinácii s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karboplatinou</w:t>
            </w:r>
            <w:proofErr w:type="spellEnd"/>
          </w:p>
        </w:tc>
      </w:tr>
      <w:tr w:rsidR="00FC40AA" w14:paraId="76959022" w14:textId="77777777" w:rsidTr="00C03C74">
        <w:trPr>
          <w:trHeight w:val="51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110AF" w14:textId="77777777" w:rsidR="00FC40AA" w:rsidRPr="00C03C74" w:rsidRDefault="00FC40AA" w:rsidP="000F2368">
            <w:pPr>
              <w:pStyle w:val="Default"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Absolútny počet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granulocytov</w:t>
            </w:r>
            <w:proofErr w:type="spellEnd"/>
          </w:p>
          <w:p w14:paraId="4059EA9B" w14:textId="77777777" w:rsidR="00FC40AA" w:rsidRPr="00C03C74" w:rsidRDefault="00FC40AA" w:rsidP="000F2368">
            <w:pPr>
              <w:pStyle w:val="Default"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1EC3" w14:textId="77777777" w:rsidR="00FC40AA" w:rsidRPr="00C03C74" w:rsidRDefault="00FC40AA" w:rsidP="000F2368">
            <w:pPr>
              <w:pStyle w:val="Default"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Počet krvných doštičiek 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129A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Percento štandardnej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(%)</w:t>
            </w:r>
          </w:p>
        </w:tc>
      </w:tr>
      <w:tr w:rsidR="00FC40AA" w14:paraId="21A4CD9D" w14:textId="77777777" w:rsidTr="00C03C74">
        <w:trPr>
          <w:trHeight w:val="2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761A9" w14:textId="77777777" w:rsidR="00FC40AA" w:rsidRPr="00C03C74" w:rsidRDefault="00FC40AA" w:rsidP="000F2368">
            <w:pPr>
              <w:pStyle w:val="Default"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&gt; 1 500 </w:t>
            </w:r>
            <w:r w:rsidRPr="00C03C74">
              <w:rPr>
                <w:sz w:val="22"/>
                <w:szCs w:val="22"/>
                <w:lang w:val="sk-SK"/>
              </w:rPr>
              <w:tab/>
              <w:t>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A6D3C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≥ 100 000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4C4C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100</w:t>
            </w:r>
          </w:p>
        </w:tc>
      </w:tr>
      <w:tr w:rsidR="00FC40AA" w14:paraId="04022E4A" w14:textId="77777777" w:rsidTr="00C03C74">
        <w:trPr>
          <w:trHeight w:val="2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B6E2" w14:textId="77777777" w:rsidR="00FC40AA" w:rsidRPr="00C03C74" w:rsidRDefault="00FC40AA" w:rsidP="000F2368">
            <w:pPr>
              <w:pStyle w:val="Default"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1 000 – 1 500 </w:t>
            </w:r>
            <w:r w:rsidRPr="00C03C74">
              <w:rPr>
                <w:sz w:val="22"/>
                <w:szCs w:val="22"/>
                <w:lang w:val="sk-SK"/>
              </w:rPr>
              <w:tab/>
              <w:t>alebo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4D471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75 000 – 100 000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D2CF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50</w:t>
            </w:r>
          </w:p>
        </w:tc>
      </w:tr>
      <w:tr w:rsidR="00FC40AA" w14:paraId="2AD5B9B1" w14:textId="77777777" w:rsidTr="00C03C74">
        <w:trPr>
          <w:trHeight w:val="2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66D40" w14:textId="77777777" w:rsidR="00FC40AA" w:rsidRPr="00C03C74" w:rsidRDefault="00FC40AA" w:rsidP="000F2368">
            <w:pPr>
              <w:pStyle w:val="Default"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&lt; 1 000 </w:t>
            </w:r>
            <w:r w:rsidRPr="00C03C74">
              <w:rPr>
                <w:sz w:val="22"/>
                <w:szCs w:val="22"/>
                <w:lang w:val="sk-SK"/>
              </w:rPr>
              <w:tab/>
              <w:t>alebo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1C13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&lt; 75 000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C6FD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Vynechajte dávku*</w:t>
            </w:r>
          </w:p>
        </w:tc>
      </w:tr>
    </w:tbl>
    <w:p w14:paraId="644196B6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*Vynechaná liečba sa v priebehu cyklu neobnoví. Liečba sa začne 1. deň nasledujúceho cyklu, ak absolútny počet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 dosiahne minimálne 1 500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 a počet krvných doštičiek dosiahne 100 000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/l).</w:t>
      </w:r>
    </w:p>
    <w:p w14:paraId="433FB50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E10E9D7" w14:textId="77777777" w:rsidR="00FC40AA" w:rsidRPr="00C03C74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i/>
          <w:sz w:val="22"/>
          <w:szCs w:val="22"/>
          <w:lang w:val="sk-SK"/>
        </w:rPr>
        <w:t>Úprava dávkovania z dôvodu hematologickej toxicity v nasledujúcich cykloch, pre všetky indikácie</w:t>
      </w:r>
    </w:p>
    <w:p w14:paraId="69E7D98F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Dávka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sa má znížiť na 75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počiatočnej dávky pôvodného cyklu v prípade nasledujúcich hematologických toxicít:</w:t>
      </w:r>
    </w:p>
    <w:p w14:paraId="7E9237E9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p w14:paraId="4A77D43D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 xml:space="preserve">absolútny počet </w:t>
      </w:r>
      <w:proofErr w:type="spellStart"/>
      <w:r w:rsidRPr="00C03C74">
        <w:rPr>
          <w:color w:val="auto"/>
          <w:sz w:val="22"/>
          <w:szCs w:val="22"/>
          <w:lang w:val="sk-SK"/>
        </w:rPr>
        <w:t>granulocytov</w:t>
      </w:r>
      <w:proofErr w:type="spellEnd"/>
      <w:r w:rsidRPr="00C03C74">
        <w:rPr>
          <w:color w:val="auto"/>
          <w:sz w:val="22"/>
          <w:szCs w:val="22"/>
          <w:lang w:val="sk-SK"/>
        </w:rPr>
        <w:t xml:space="preserve"> &lt; 500 x 10</w:t>
      </w:r>
      <w:r w:rsidRPr="00C03C74">
        <w:rPr>
          <w:color w:val="auto"/>
          <w:sz w:val="22"/>
          <w:szCs w:val="22"/>
          <w:vertAlign w:val="superscript"/>
          <w:lang w:val="sk-SK"/>
        </w:rPr>
        <w:t>6</w:t>
      </w:r>
      <w:r w:rsidRPr="00C03C74">
        <w:rPr>
          <w:color w:val="auto"/>
          <w:sz w:val="22"/>
          <w:szCs w:val="22"/>
          <w:lang w:val="sk-SK"/>
        </w:rPr>
        <w:t>/l viac ako 5 dní</w:t>
      </w:r>
    </w:p>
    <w:p w14:paraId="721605E5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 xml:space="preserve">absolútny počet </w:t>
      </w:r>
      <w:proofErr w:type="spellStart"/>
      <w:r w:rsidRPr="00C03C74">
        <w:rPr>
          <w:color w:val="auto"/>
          <w:sz w:val="22"/>
          <w:szCs w:val="22"/>
          <w:lang w:val="sk-SK"/>
        </w:rPr>
        <w:t>granulocytov</w:t>
      </w:r>
      <w:proofErr w:type="spellEnd"/>
      <w:r w:rsidRPr="00C03C74">
        <w:rPr>
          <w:color w:val="auto"/>
          <w:sz w:val="22"/>
          <w:szCs w:val="22"/>
          <w:lang w:val="sk-SK"/>
        </w:rPr>
        <w:t xml:space="preserve"> &lt; 100 x 10</w:t>
      </w:r>
      <w:r w:rsidRPr="00C03C74">
        <w:rPr>
          <w:color w:val="auto"/>
          <w:sz w:val="22"/>
          <w:szCs w:val="22"/>
          <w:vertAlign w:val="superscript"/>
          <w:lang w:val="sk-SK"/>
        </w:rPr>
        <w:t>6</w:t>
      </w:r>
      <w:r w:rsidRPr="00C03C74">
        <w:rPr>
          <w:color w:val="auto"/>
          <w:sz w:val="22"/>
          <w:szCs w:val="22"/>
          <w:lang w:val="sk-SK"/>
        </w:rPr>
        <w:t>/l viac ako 3 dni</w:t>
      </w:r>
    </w:p>
    <w:p w14:paraId="51ED04F2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proofErr w:type="spellStart"/>
      <w:r w:rsidRPr="00C03C74">
        <w:rPr>
          <w:color w:val="auto"/>
          <w:sz w:val="22"/>
          <w:szCs w:val="22"/>
          <w:lang w:val="sk-SK"/>
        </w:rPr>
        <w:t>febrilná</w:t>
      </w:r>
      <w:proofErr w:type="spellEnd"/>
      <w:r w:rsidRPr="00C03C74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C03C74">
        <w:rPr>
          <w:color w:val="auto"/>
          <w:sz w:val="22"/>
          <w:szCs w:val="22"/>
          <w:lang w:val="sk-SK"/>
        </w:rPr>
        <w:t>neutropénia</w:t>
      </w:r>
      <w:proofErr w:type="spellEnd"/>
    </w:p>
    <w:p w14:paraId="0CE3A131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>krvné doštičky &lt; 25 000 x 10</w:t>
      </w:r>
      <w:r w:rsidRPr="00C03C74">
        <w:rPr>
          <w:color w:val="auto"/>
          <w:sz w:val="22"/>
          <w:szCs w:val="22"/>
          <w:vertAlign w:val="superscript"/>
          <w:lang w:val="sk-SK"/>
        </w:rPr>
        <w:t>6</w:t>
      </w:r>
      <w:r w:rsidRPr="00C03C74">
        <w:rPr>
          <w:color w:val="auto"/>
          <w:sz w:val="22"/>
          <w:szCs w:val="22"/>
          <w:lang w:val="sk-SK"/>
        </w:rPr>
        <w:t>/l</w:t>
      </w:r>
    </w:p>
    <w:p w14:paraId="13AB9026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>odklad cyklu o viac ako 1 týždeň kvôli toxicite</w:t>
      </w:r>
    </w:p>
    <w:p w14:paraId="37C5AFE3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35F96624" w14:textId="77777777" w:rsidR="00FC40AA" w:rsidRPr="00C03C74" w:rsidRDefault="00FC40AA" w:rsidP="00C03C74">
      <w:pPr>
        <w:pStyle w:val="Default"/>
        <w:rPr>
          <w:color w:val="auto"/>
          <w:sz w:val="22"/>
          <w:szCs w:val="22"/>
          <w:u w:val="single"/>
          <w:lang w:val="sk-SK"/>
        </w:rPr>
      </w:pPr>
      <w:r w:rsidRPr="00C03C74">
        <w:rPr>
          <w:color w:val="auto"/>
          <w:sz w:val="22"/>
          <w:szCs w:val="22"/>
          <w:u w:val="single"/>
          <w:lang w:val="sk-SK"/>
        </w:rPr>
        <w:t>Spôsob podávania</w:t>
      </w:r>
    </w:p>
    <w:p w14:paraId="3BD04247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u w:val="single"/>
          <w:lang w:val="sk-SK"/>
        </w:rPr>
      </w:pPr>
    </w:p>
    <w:p w14:paraId="3F8B7768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  <w:proofErr w:type="spellStart"/>
      <w:r w:rsidRPr="00C03C74">
        <w:rPr>
          <w:color w:val="auto"/>
          <w:sz w:val="22"/>
          <w:szCs w:val="22"/>
          <w:lang w:val="sk-SK"/>
        </w:rPr>
        <w:t>Gemcitab</w:t>
      </w:r>
      <w:r w:rsidRPr="00C03C74">
        <w:rPr>
          <w:sz w:val="22"/>
          <w:szCs w:val="22"/>
          <w:lang w:val="sk-SK"/>
        </w:rPr>
        <w:t>ín</w:t>
      </w:r>
      <w:proofErr w:type="spellEnd"/>
      <w:r w:rsidRPr="00C03C74">
        <w:rPr>
          <w:color w:val="auto"/>
          <w:sz w:val="22"/>
          <w:szCs w:val="22"/>
          <w:lang w:val="sk-SK"/>
        </w:rPr>
        <w:t xml:space="preserve"> sa počas infúzie dobre znáša a môže sa podávať ambulantne. Ak sa objaví </w:t>
      </w:r>
      <w:proofErr w:type="spellStart"/>
      <w:r w:rsidRPr="00C03C74">
        <w:rPr>
          <w:color w:val="auto"/>
          <w:sz w:val="22"/>
          <w:szCs w:val="22"/>
          <w:lang w:val="sk-SK"/>
        </w:rPr>
        <w:t>extravazácia</w:t>
      </w:r>
      <w:proofErr w:type="spellEnd"/>
      <w:r w:rsidRPr="00C03C74">
        <w:rPr>
          <w:color w:val="auto"/>
          <w:sz w:val="22"/>
          <w:szCs w:val="22"/>
          <w:lang w:val="sk-SK"/>
        </w:rPr>
        <w:t>, infúzia sa musí zvyčajne ihneď zastaviť a môže sa znovu aplikovať do inej krvnej cievy. Po podaní treba pacienta starostlivo sledovať.</w:t>
      </w:r>
    </w:p>
    <w:p w14:paraId="6470B3E9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52B2D765" w14:textId="77777777" w:rsidR="00FC40AA" w:rsidRPr="00C03C74" w:rsidRDefault="00FC40AA" w:rsidP="00C03C74">
      <w:pPr>
        <w:pStyle w:val="Default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>Pokyny na rekonštitúciu</w:t>
      </w:r>
      <w:r>
        <w:rPr>
          <w:color w:val="auto"/>
          <w:sz w:val="22"/>
          <w:szCs w:val="22"/>
          <w:lang w:val="sk-SK"/>
        </w:rPr>
        <w:t xml:space="preserve"> lieku pred podaním</w:t>
      </w:r>
      <w:r w:rsidRPr="00C03C74">
        <w:rPr>
          <w:color w:val="auto"/>
          <w:sz w:val="22"/>
          <w:szCs w:val="22"/>
          <w:lang w:val="sk-SK"/>
        </w:rPr>
        <w:t>, pozri časť 6.6.</w:t>
      </w:r>
    </w:p>
    <w:p w14:paraId="31FE3128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7FB0A1D8" w14:textId="77777777" w:rsidR="00FC40AA" w:rsidRPr="00C03C74" w:rsidRDefault="00FC40AA" w:rsidP="00C03C74">
      <w:pPr>
        <w:pStyle w:val="Default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u w:val="single"/>
          <w:lang w:val="sk-SK"/>
        </w:rPr>
        <w:t>Špeciálne skupiny pacientov</w:t>
      </w:r>
    </w:p>
    <w:p w14:paraId="363DE543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7F9116AD" w14:textId="77777777" w:rsidR="00FC40AA" w:rsidRPr="00C03C74" w:rsidRDefault="00FC40AA" w:rsidP="00C03C74">
      <w:pPr>
        <w:pStyle w:val="CM2"/>
        <w:spacing w:line="240" w:lineRule="auto"/>
        <w:rPr>
          <w:sz w:val="22"/>
          <w:szCs w:val="22"/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Pacienti s poškodením obličiek alebo pečene</w:t>
      </w:r>
    </w:p>
    <w:p w14:paraId="7C1FD4CB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sa má používať opatrne u pacientov s </w:t>
      </w:r>
      <w:proofErr w:type="spellStart"/>
      <w:r w:rsidRPr="00C03C74">
        <w:rPr>
          <w:sz w:val="22"/>
          <w:szCs w:val="22"/>
          <w:lang w:val="sk-SK"/>
        </w:rPr>
        <w:t>insuficienciou</w:t>
      </w:r>
      <w:proofErr w:type="spellEnd"/>
      <w:r w:rsidRPr="00C03C74">
        <w:rPr>
          <w:sz w:val="22"/>
          <w:szCs w:val="22"/>
          <w:lang w:val="sk-SK"/>
        </w:rPr>
        <w:t xml:space="preserve"> pečene alebo obličiek, pretože nedostatok informácií z klinických štúdií nedovoľuje odporučiť presné dávkovanie pre tieto skupiny pacientov (pozri časti 4.4 a 5.2).</w:t>
      </w:r>
    </w:p>
    <w:p w14:paraId="6C3369C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B6ED9A2" w14:textId="77777777" w:rsidR="00FC40AA" w:rsidRPr="00C03C74" w:rsidRDefault="00FC40AA" w:rsidP="00C03C74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Starší pacienti (&gt; 65 rokov)</w:t>
      </w:r>
    </w:p>
    <w:p w14:paraId="369FCE94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Pacienti vo veku nad 65 rokov znášali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dobre. Neexistuje žiadny dôkaz o nutnosti úpravy dávok u starších pacientov, s výnimkou tých, ktoré sa odporúčajú u všetkých pacientov (pozri časť 5.2).</w:t>
      </w:r>
    </w:p>
    <w:p w14:paraId="2BC4DC7B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A4B36EC" w14:textId="77777777" w:rsidR="00FC40AA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>
        <w:rPr>
          <w:i/>
          <w:iCs/>
          <w:sz w:val="22"/>
          <w:szCs w:val="22"/>
          <w:u w:val="single"/>
          <w:lang w:val="sk-SK"/>
        </w:rPr>
        <w:lastRenderedPageBreak/>
        <w:t>Pediatrická populácia</w:t>
      </w:r>
    </w:p>
    <w:p w14:paraId="7286C636" w14:textId="77777777" w:rsidR="00FC40AA" w:rsidRDefault="00FC40AA" w:rsidP="00FC40AA">
      <w:pPr>
        <w:pStyle w:val="Defaul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Gemcitabín</w:t>
      </w:r>
      <w:proofErr w:type="spellEnd"/>
      <w:r>
        <w:rPr>
          <w:sz w:val="22"/>
          <w:szCs w:val="22"/>
          <w:lang w:val="sk-SK"/>
        </w:rPr>
        <w:t xml:space="preserve"> sa skúmal v obmedzených štúdiách fázy I a II u detí s rôznymi typmi tumorov. </w:t>
      </w:r>
    </w:p>
    <w:p w14:paraId="376EF496" w14:textId="77777777" w:rsidR="00FC40AA" w:rsidRPr="00C03C74" w:rsidRDefault="00FC40AA" w:rsidP="00FC40AA">
      <w:pPr>
        <w:pStyle w:val="Default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Tieto štúdie </w:t>
      </w:r>
      <w:proofErr w:type="spellStart"/>
      <w:r>
        <w:rPr>
          <w:sz w:val="22"/>
          <w:szCs w:val="22"/>
          <w:lang w:val="sk-SK"/>
        </w:rPr>
        <w:t>neposkytili</w:t>
      </w:r>
      <w:proofErr w:type="spellEnd"/>
      <w:r>
        <w:rPr>
          <w:sz w:val="22"/>
          <w:szCs w:val="22"/>
          <w:lang w:val="sk-SK"/>
        </w:rPr>
        <w:t xml:space="preserve"> dostatočné údaje na stanovenie účinnosti a bezpečnosti </w:t>
      </w:r>
      <w:proofErr w:type="spellStart"/>
      <w:r>
        <w:rPr>
          <w:sz w:val="22"/>
          <w:szCs w:val="22"/>
          <w:lang w:val="sk-SK"/>
        </w:rPr>
        <w:t>gemcitabínu</w:t>
      </w:r>
      <w:proofErr w:type="spellEnd"/>
      <w:r>
        <w:rPr>
          <w:sz w:val="22"/>
          <w:szCs w:val="22"/>
          <w:lang w:val="sk-SK"/>
        </w:rPr>
        <w:t xml:space="preserve"> u detí.</w:t>
      </w:r>
    </w:p>
    <w:p w14:paraId="36A9F8C8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31B9E5C7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4.3</w:t>
      </w:r>
      <w:r w:rsidRPr="00C03C74">
        <w:rPr>
          <w:b/>
          <w:sz w:val="22"/>
          <w:szCs w:val="22"/>
          <w:lang w:val="sk-SK"/>
        </w:rPr>
        <w:tab/>
        <w:t>Kontraindikácie</w:t>
      </w:r>
    </w:p>
    <w:p w14:paraId="43B0C3F5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6F5A5E79" w14:textId="77777777" w:rsidR="00FC40AA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Precitlivenosť na liečivo alebo na </w:t>
      </w:r>
      <w:r>
        <w:rPr>
          <w:sz w:val="22"/>
          <w:szCs w:val="22"/>
          <w:lang w:val="sk-SK"/>
        </w:rPr>
        <w:t>ktorúkoľvek</w:t>
      </w:r>
      <w:r w:rsidRPr="00C03C74">
        <w:rPr>
          <w:sz w:val="22"/>
          <w:szCs w:val="22"/>
          <w:lang w:val="sk-SK"/>
        </w:rPr>
        <w:t xml:space="preserve"> z pomocných látok</w:t>
      </w:r>
      <w:r>
        <w:rPr>
          <w:sz w:val="22"/>
          <w:szCs w:val="22"/>
          <w:lang w:val="sk-SK"/>
        </w:rPr>
        <w:t xml:space="preserve"> </w:t>
      </w:r>
      <w:r w:rsidRPr="004D1E58">
        <w:rPr>
          <w:sz w:val="22"/>
          <w:szCs w:val="22"/>
          <w:lang w:val="sk-SK"/>
        </w:rPr>
        <w:t>uvedených v časti 6.1.</w:t>
      </w:r>
    </w:p>
    <w:p w14:paraId="78E74B4E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</w:p>
    <w:p w14:paraId="5C40D935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Dojčenie (pozri </w:t>
      </w:r>
      <w:r>
        <w:rPr>
          <w:sz w:val="22"/>
          <w:szCs w:val="22"/>
          <w:lang w:val="sk-SK"/>
        </w:rPr>
        <w:t>časť </w:t>
      </w:r>
      <w:r w:rsidRPr="00C03C74">
        <w:rPr>
          <w:sz w:val="22"/>
          <w:szCs w:val="22"/>
          <w:lang w:val="sk-SK"/>
        </w:rPr>
        <w:t>4.6).</w:t>
      </w:r>
    </w:p>
    <w:p w14:paraId="3ED9B96B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1AB1EAE" w14:textId="77777777" w:rsidR="00FC40AA" w:rsidRPr="00C03C74" w:rsidRDefault="00FC40AA" w:rsidP="00C03C74">
      <w:pPr>
        <w:pStyle w:val="CM2"/>
        <w:keepNext/>
        <w:keepLines/>
        <w:widowControl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4.4</w:t>
      </w:r>
      <w:r w:rsidRPr="00C03C74">
        <w:rPr>
          <w:b/>
          <w:sz w:val="22"/>
          <w:szCs w:val="22"/>
          <w:lang w:val="sk-SK"/>
        </w:rPr>
        <w:tab/>
        <w:t>Osobitné upozornenia a opatrenia pri používaní</w:t>
      </w:r>
    </w:p>
    <w:p w14:paraId="5CC4C6C3" w14:textId="77777777" w:rsidR="00FC40AA" w:rsidRPr="00C03C74" w:rsidRDefault="00FC40AA" w:rsidP="00FC40AA">
      <w:pPr>
        <w:pStyle w:val="Default"/>
        <w:keepNext/>
        <w:keepLines/>
        <w:widowControl/>
        <w:rPr>
          <w:color w:val="auto"/>
          <w:sz w:val="22"/>
          <w:szCs w:val="22"/>
          <w:lang w:val="sk-SK"/>
        </w:rPr>
      </w:pPr>
    </w:p>
    <w:p w14:paraId="040A009C" w14:textId="77777777" w:rsidR="00FC40AA" w:rsidRPr="00C03C74" w:rsidRDefault="00FC40AA" w:rsidP="00C03C74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Ukázalo sa, že predĺženie doby infúzie a zvýšená frekvencia dávok zvyšujú toxicitu.</w:t>
      </w:r>
    </w:p>
    <w:p w14:paraId="0EC60504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p w14:paraId="5DBB2199" w14:textId="77777777" w:rsidR="003E3307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Hematologická toxicita</w:t>
      </w:r>
    </w:p>
    <w:p w14:paraId="6F04DECB" w14:textId="77777777" w:rsidR="00FC40AA" w:rsidRPr="00C03C74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môže potlačiť funkciu kostnej drene, čo sa prejavuje </w:t>
      </w:r>
      <w:proofErr w:type="spellStart"/>
      <w:r w:rsidRPr="00C03C74">
        <w:rPr>
          <w:sz w:val="22"/>
          <w:szCs w:val="22"/>
          <w:lang w:val="sk-SK"/>
        </w:rPr>
        <w:t>leukopéniou</w:t>
      </w:r>
      <w:proofErr w:type="spellEnd"/>
      <w:r w:rsidRPr="00C03C74">
        <w:rPr>
          <w:sz w:val="22"/>
          <w:szCs w:val="22"/>
          <w:lang w:val="sk-SK"/>
        </w:rPr>
        <w:t xml:space="preserve">, </w:t>
      </w:r>
      <w:proofErr w:type="spellStart"/>
      <w:r w:rsidRPr="00C03C74">
        <w:rPr>
          <w:sz w:val="22"/>
          <w:szCs w:val="22"/>
          <w:lang w:val="sk-SK"/>
        </w:rPr>
        <w:t>trombocytopéniou</w:t>
      </w:r>
      <w:proofErr w:type="spellEnd"/>
      <w:r w:rsidRPr="00C03C74">
        <w:rPr>
          <w:sz w:val="22"/>
          <w:szCs w:val="22"/>
          <w:lang w:val="sk-SK"/>
        </w:rPr>
        <w:t xml:space="preserve"> a anémiou.</w:t>
      </w:r>
    </w:p>
    <w:p w14:paraId="28E40763" w14:textId="77777777" w:rsidR="00FC40AA" w:rsidRPr="00C03C74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Pred každou dávkou sa u pacientov užívajúcich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má sledovať počet krvných doštičiek, leukocytov a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. Ak sa potvrdí depresia kostnej drene vyvolaná liekom, má sa uvažovať o prerušení alebo úprave liečby (pozri časť 4.2). </w:t>
      </w:r>
      <w:proofErr w:type="spellStart"/>
      <w:r w:rsidRPr="00C03C74">
        <w:rPr>
          <w:sz w:val="22"/>
          <w:szCs w:val="22"/>
          <w:lang w:val="sk-SK"/>
        </w:rPr>
        <w:t>Myelosupresia</w:t>
      </w:r>
      <w:proofErr w:type="spellEnd"/>
      <w:r w:rsidRPr="00C03C74">
        <w:rPr>
          <w:sz w:val="22"/>
          <w:szCs w:val="22"/>
          <w:lang w:val="sk-SK"/>
        </w:rPr>
        <w:t xml:space="preserve"> je však krátkodobá a zvyčajne nevyžaduje zníženie dávky a zriedkavo je potrebné prerušenie liečby.</w:t>
      </w:r>
    </w:p>
    <w:p w14:paraId="4EFC1B2F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Po skončení podávania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môže periférny krvný obraz aj naďalej klesať. U pacientov s poruchou funkcie kostnej drene sa má liečba začať opatrne. Rovnako ako pri iných </w:t>
      </w:r>
      <w:proofErr w:type="spellStart"/>
      <w:r w:rsidRPr="00C03C74">
        <w:rPr>
          <w:sz w:val="22"/>
          <w:szCs w:val="22"/>
          <w:lang w:val="sk-SK"/>
        </w:rPr>
        <w:t>cytotoxických</w:t>
      </w:r>
      <w:proofErr w:type="spellEnd"/>
      <w:r w:rsidRPr="00C03C74">
        <w:rPr>
          <w:sz w:val="22"/>
          <w:szCs w:val="22"/>
          <w:lang w:val="sk-SK"/>
        </w:rPr>
        <w:t xml:space="preserve"> látkach, keď sa liečba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podáva spolu s inou chemoterapiou, musí sa zobrať do úvahy riziko kumulatívnej </w:t>
      </w:r>
      <w:proofErr w:type="spellStart"/>
      <w:r w:rsidRPr="00C03C74">
        <w:rPr>
          <w:sz w:val="22"/>
          <w:szCs w:val="22"/>
          <w:lang w:val="sk-SK"/>
        </w:rPr>
        <w:t>supresie</w:t>
      </w:r>
      <w:proofErr w:type="spellEnd"/>
      <w:r w:rsidRPr="00C03C74">
        <w:rPr>
          <w:sz w:val="22"/>
          <w:szCs w:val="22"/>
          <w:lang w:val="sk-SK"/>
        </w:rPr>
        <w:t xml:space="preserve"> kostnej drene.</w:t>
      </w:r>
    </w:p>
    <w:p w14:paraId="38ABB916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EE840C2" w14:textId="77777777" w:rsidR="003E3307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Nedostatočná funkcia pečene</w:t>
      </w:r>
    </w:p>
    <w:p w14:paraId="1F091C0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Podávanie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pacientom s prítomnými pečeňovými metastázami alebo s anamnézou prekonanej hepatitídy, alkoholizmu alebo pečeňovej cirhózy môže viesť k zhoršeniu existujúcej nedostatočnosti pečene.</w:t>
      </w:r>
    </w:p>
    <w:p w14:paraId="3B862D2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57F6333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Laboratórne hodnotenie funkcie obličiek a pečene (vrátane virologických testov) sa má vykonávať pravidelne.</w:t>
      </w:r>
    </w:p>
    <w:p w14:paraId="230D652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3EF84C1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sa má používať opatrne u pacientov s </w:t>
      </w:r>
      <w:proofErr w:type="spellStart"/>
      <w:r w:rsidRPr="00C03C74">
        <w:rPr>
          <w:sz w:val="22"/>
          <w:szCs w:val="22"/>
          <w:lang w:val="sk-SK"/>
        </w:rPr>
        <w:t>insuficienciou</w:t>
      </w:r>
      <w:proofErr w:type="spellEnd"/>
      <w:r w:rsidRPr="00C03C74">
        <w:rPr>
          <w:sz w:val="22"/>
          <w:szCs w:val="22"/>
          <w:lang w:val="sk-SK"/>
        </w:rPr>
        <w:t xml:space="preserve"> pečene alebo s poruchou funkcie obličiek, pretože nedostatok informácií z klinických štúdií nedovoľuje odporučiť presné dávkovanie pre túto skupinu pacientov (pozri časti 4.2).</w:t>
      </w:r>
    </w:p>
    <w:p w14:paraId="26C4C14C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5384AA3" w14:textId="77777777" w:rsidR="003E3307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Súbežná rádioterapia</w:t>
      </w:r>
    </w:p>
    <w:p w14:paraId="3B943ABD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Súbežná rádioterapia (podávaná súčasne alebo s odstupom ≤7 dní): Bola hlásená toxicita (pozri časť 4.5, kde sú podrobnosti a odporúčania na používanie).</w:t>
      </w:r>
    </w:p>
    <w:p w14:paraId="409E313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FD3BD11" w14:textId="77777777" w:rsidR="003E3307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Živé vakcíny</w:t>
      </w:r>
    </w:p>
    <w:p w14:paraId="4908E8BA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Vakcína proti žltej zimnici a iné živé oslabené vakcíny sa neodporúčajú u pacientov liečených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(pozri časť 4.5).</w:t>
      </w:r>
    </w:p>
    <w:p w14:paraId="75D5003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775ECE4" w14:textId="77777777" w:rsidR="003E3307" w:rsidRDefault="006A2C66" w:rsidP="00C03C74">
      <w:pPr>
        <w:pStyle w:val="CM23"/>
        <w:spacing w:line="240" w:lineRule="auto"/>
        <w:ind w:left="567" w:hanging="567"/>
        <w:rPr>
          <w:lang w:val="sk-SK"/>
        </w:rPr>
      </w:pPr>
      <w:r>
        <w:rPr>
          <w:sz w:val="22"/>
          <w:szCs w:val="22"/>
          <w:u w:val="single"/>
          <w:lang w:val="sk-SK"/>
        </w:rPr>
        <w:t xml:space="preserve">Syndróm </w:t>
      </w:r>
      <w:r w:rsidR="004D5420">
        <w:rPr>
          <w:sz w:val="22"/>
          <w:szCs w:val="22"/>
          <w:u w:val="single"/>
          <w:lang w:val="sk-SK"/>
        </w:rPr>
        <w:t>r</w:t>
      </w:r>
      <w:r w:rsidR="00FC40AA">
        <w:rPr>
          <w:sz w:val="22"/>
          <w:szCs w:val="22"/>
          <w:u w:val="single"/>
          <w:lang w:val="sk-SK"/>
        </w:rPr>
        <w:t>everzibiln</w:t>
      </w:r>
      <w:r w:rsidR="004D5420">
        <w:rPr>
          <w:sz w:val="22"/>
          <w:szCs w:val="22"/>
          <w:u w:val="single"/>
          <w:lang w:val="sk-SK"/>
        </w:rPr>
        <w:t xml:space="preserve">ej </w:t>
      </w:r>
      <w:proofErr w:type="spellStart"/>
      <w:r w:rsidR="004D5420">
        <w:rPr>
          <w:sz w:val="22"/>
          <w:szCs w:val="22"/>
          <w:u w:val="single"/>
          <w:lang w:val="sk-SK"/>
        </w:rPr>
        <w:t>posteriórnej</w:t>
      </w:r>
      <w:proofErr w:type="spellEnd"/>
      <w:r w:rsidR="00FC40AA">
        <w:rPr>
          <w:sz w:val="22"/>
          <w:szCs w:val="22"/>
          <w:u w:val="single"/>
          <w:lang w:val="sk-SK"/>
        </w:rPr>
        <w:t xml:space="preserve"> </w:t>
      </w:r>
      <w:proofErr w:type="spellStart"/>
      <w:r w:rsidR="00FC40AA">
        <w:rPr>
          <w:sz w:val="22"/>
          <w:szCs w:val="22"/>
          <w:u w:val="single"/>
          <w:lang w:val="sk-SK"/>
        </w:rPr>
        <w:t>encefalopati</w:t>
      </w:r>
      <w:r w:rsidR="004D5420">
        <w:rPr>
          <w:sz w:val="22"/>
          <w:szCs w:val="22"/>
          <w:u w:val="single"/>
          <w:lang w:val="sk-SK"/>
        </w:rPr>
        <w:t>e</w:t>
      </w:r>
      <w:proofErr w:type="spellEnd"/>
    </w:p>
    <w:p w14:paraId="520D8F10" w14:textId="2BDF0B04" w:rsidR="00FC40AA" w:rsidRDefault="00FC40AA" w:rsidP="00FC40A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 pacientov </w:t>
      </w:r>
      <w:r w:rsidR="004D5420">
        <w:rPr>
          <w:sz w:val="22"/>
          <w:szCs w:val="22"/>
          <w:lang w:val="sk-SK"/>
        </w:rPr>
        <w:t>liečených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gemcitabín</w:t>
      </w:r>
      <w:r w:rsidR="004D5420">
        <w:rPr>
          <w:sz w:val="22"/>
          <w:szCs w:val="22"/>
          <w:lang w:val="sk-SK"/>
        </w:rPr>
        <w:t>om</w:t>
      </w:r>
      <w:proofErr w:type="spellEnd"/>
      <w:r>
        <w:rPr>
          <w:sz w:val="22"/>
          <w:szCs w:val="22"/>
          <w:lang w:val="sk-SK"/>
        </w:rPr>
        <w:t xml:space="preserve"> v </w:t>
      </w:r>
      <w:proofErr w:type="spellStart"/>
      <w:r>
        <w:rPr>
          <w:sz w:val="22"/>
          <w:szCs w:val="22"/>
          <w:lang w:val="sk-SK"/>
        </w:rPr>
        <w:t>monoterapii</w:t>
      </w:r>
      <w:proofErr w:type="spellEnd"/>
      <w:r>
        <w:rPr>
          <w:sz w:val="22"/>
          <w:szCs w:val="22"/>
          <w:lang w:val="sk-SK"/>
        </w:rPr>
        <w:t xml:space="preserve"> alebo v kombinácii s inými </w:t>
      </w:r>
      <w:proofErr w:type="spellStart"/>
      <w:r>
        <w:rPr>
          <w:sz w:val="22"/>
          <w:szCs w:val="22"/>
          <w:lang w:val="sk-SK"/>
        </w:rPr>
        <w:t>chemoterapeutikami</w:t>
      </w:r>
      <w:proofErr w:type="spellEnd"/>
      <w:r>
        <w:rPr>
          <w:sz w:val="22"/>
          <w:szCs w:val="22"/>
          <w:lang w:val="sk-SK"/>
        </w:rPr>
        <w:t xml:space="preserve"> boli hlásené prípady reverzibilnej </w:t>
      </w:r>
      <w:proofErr w:type="spellStart"/>
      <w:r w:rsidR="006A2C66">
        <w:rPr>
          <w:sz w:val="22"/>
          <w:szCs w:val="22"/>
          <w:lang w:val="sk-SK"/>
        </w:rPr>
        <w:t>posteriórnej</w:t>
      </w:r>
      <w:proofErr w:type="spellEnd"/>
      <w:r w:rsidR="006A2C66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encefalopatie</w:t>
      </w:r>
      <w:proofErr w:type="spellEnd"/>
      <w:r>
        <w:rPr>
          <w:sz w:val="22"/>
          <w:szCs w:val="22"/>
          <w:lang w:val="sk-SK"/>
        </w:rPr>
        <w:t xml:space="preserve"> (PRES) s potenciálne vážnymi následkami. U väčšiny pacientov liečených </w:t>
      </w:r>
      <w:proofErr w:type="spellStart"/>
      <w:r>
        <w:rPr>
          <w:sz w:val="22"/>
          <w:szCs w:val="22"/>
          <w:lang w:val="sk-SK"/>
        </w:rPr>
        <w:t>gemcitabínom</w:t>
      </w:r>
      <w:proofErr w:type="spellEnd"/>
      <w:r>
        <w:rPr>
          <w:sz w:val="22"/>
          <w:szCs w:val="22"/>
          <w:lang w:val="sk-SK"/>
        </w:rPr>
        <w:t xml:space="preserve"> s PRES bola hlásená akútna hypertenzia a záchvaty, ale môžu byť tiež prítomné aj ďalšie príznaky, ako je bolesť hlavy, letargia, zmätenosť a slepota. Diagnóza je optimálne potvrdená pomocou magnetickej rezonancie (MRI). Pri vhodných podporných opatreniach bola PRES obvykle reverzibilná. Pokiaľ sa počas liečby rozvinie PRES, </w:t>
      </w:r>
      <w:proofErr w:type="spellStart"/>
      <w:r>
        <w:rPr>
          <w:sz w:val="22"/>
          <w:szCs w:val="22"/>
          <w:lang w:val="sk-SK"/>
        </w:rPr>
        <w:t>gemcitabín</w:t>
      </w:r>
      <w:proofErr w:type="spellEnd"/>
      <w:r>
        <w:rPr>
          <w:sz w:val="22"/>
          <w:szCs w:val="22"/>
          <w:lang w:val="sk-SK"/>
        </w:rPr>
        <w:t xml:space="preserve"> by mal byť trvale vysadený </w:t>
      </w:r>
      <w:r>
        <w:rPr>
          <w:sz w:val="22"/>
          <w:szCs w:val="22"/>
          <w:lang w:val="sk-SK"/>
        </w:rPr>
        <w:lastRenderedPageBreak/>
        <w:t xml:space="preserve">a mali by sa implementovať podporné opatrenia, vrátane kontroly krvného tlaku a </w:t>
      </w:r>
      <w:proofErr w:type="spellStart"/>
      <w:r>
        <w:rPr>
          <w:sz w:val="22"/>
          <w:szCs w:val="22"/>
          <w:lang w:val="sk-SK"/>
        </w:rPr>
        <w:t>protizáchvatovej</w:t>
      </w:r>
      <w:proofErr w:type="spellEnd"/>
      <w:r>
        <w:rPr>
          <w:sz w:val="22"/>
          <w:szCs w:val="22"/>
          <w:lang w:val="sk-SK"/>
        </w:rPr>
        <w:t xml:space="preserve"> terapie.</w:t>
      </w:r>
    </w:p>
    <w:p w14:paraId="6D364767" w14:textId="77777777" w:rsidR="00FC40AA" w:rsidRDefault="00FC40AA" w:rsidP="00FC40AA">
      <w:pPr>
        <w:rPr>
          <w:sz w:val="22"/>
          <w:szCs w:val="22"/>
          <w:lang w:val="sk-SK"/>
        </w:rPr>
      </w:pPr>
    </w:p>
    <w:p w14:paraId="565E3E84" w14:textId="77777777" w:rsidR="003E3307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Kardiovaskulárne</w:t>
      </w:r>
    </w:p>
    <w:p w14:paraId="789130C8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Z dôvodu rizika srdcových a/alebo cievnych porúch v súvislosti s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je potrebná špeciálna opatrnosť u pacientov s kardiovaskulárnymi príhodami v anamnéze.</w:t>
      </w:r>
    </w:p>
    <w:p w14:paraId="750958E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2A44D25" w14:textId="77777777" w:rsidR="003E3307" w:rsidRDefault="00FC40AA" w:rsidP="00FC40AA">
      <w:pPr>
        <w:rPr>
          <w:sz w:val="22"/>
          <w:szCs w:val="22"/>
          <w:lang w:val="sk-SK"/>
        </w:rPr>
      </w:pPr>
      <w:r w:rsidRPr="004D1E58">
        <w:rPr>
          <w:sz w:val="22"/>
          <w:u w:val="single"/>
          <w:lang w:val="sk-SK"/>
        </w:rPr>
        <w:t>Syndróm kapilárneho úniku</w:t>
      </w:r>
    </w:p>
    <w:p w14:paraId="743032F8" w14:textId="26B6512D" w:rsidR="00FC40AA" w:rsidRPr="004D1E58" w:rsidRDefault="00FC40AA" w:rsidP="00FC40AA">
      <w:pPr>
        <w:rPr>
          <w:lang w:val="sk-SK"/>
        </w:rPr>
      </w:pPr>
      <w:r>
        <w:rPr>
          <w:sz w:val="22"/>
          <w:szCs w:val="22"/>
          <w:lang w:val="sk-SK"/>
        </w:rPr>
        <w:t xml:space="preserve">U pacientov </w:t>
      </w:r>
      <w:r w:rsidR="006A2C66">
        <w:rPr>
          <w:sz w:val="22"/>
          <w:szCs w:val="22"/>
          <w:lang w:val="sk-SK"/>
        </w:rPr>
        <w:t xml:space="preserve">liečených </w:t>
      </w:r>
      <w:proofErr w:type="spellStart"/>
      <w:r>
        <w:rPr>
          <w:sz w:val="22"/>
          <w:szCs w:val="22"/>
          <w:lang w:val="sk-SK"/>
        </w:rPr>
        <w:t>gemcitabín</w:t>
      </w:r>
      <w:r w:rsidR="006A2C66">
        <w:rPr>
          <w:sz w:val="22"/>
          <w:szCs w:val="22"/>
          <w:lang w:val="sk-SK"/>
        </w:rPr>
        <w:t>om</w:t>
      </w:r>
      <w:proofErr w:type="spellEnd"/>
      <w:r>
        <w:rPr>
          <w:sz w:val="22"/>
          <w:szCs w:val="22"/>
          <w:lang w:val="sk-SK"/>
        </w:rPr>
        <w:t xml:space="preserve"> v </w:t>
      </w:r>
      <w:proofErr w:type="spellStart"/>
      <w:r>
        <w:rPr>
          <w:sz w:val="22"/>
          <w:szCs w:val="22"/>
          <w:lang w:val="sk-SK"/>
        </w:rPr>
        <w:t>monoterapii</w:t>
      </w:r>
      <w:proofErr w:type="spellEnd"/>
      <w:r>
        <w:rPr>
          <w:sz w:val="22"/>
          <w:szCs w:val="22"/>
          <w:lang w:val="sk-SK"/>
        </w:rPr>
        <w:t xml:space="preserve"> alebo v kombinácii s inými </w:t>
      </w:r>
      <w:proofErr w:type="spellStart"/>
      <w:r>
        <w:rPr>
          <w:sz w:val="22"/>
          <w:szCs w:val="22"/>
          <w:lang w:val="sk-SK"/>
        </w:rPr>
        <w:t>chemoterapeutikami</w:t>
      </w:r>
      <w:proofErr w:type="spellEnd"/>
      <w:r>
        <w:rPr>
          <w:sz w:val="22"/>
          <w:szCs w:val="22"/>
          <w:lang w:val="sk-SK"/>
        </w:rPr>
        <w:t xml:space="preserve"> bol hlásený s</w:t>
      </w:r>
      <w:r w:rsidRPr="004D1E58">
        <w:rPr>
          <w:sz w:val="22"/>
          <w:lang w:val="sk-SK"/>
        </w:rPr>
        <w:t xml:space="preserve">yndróm kapilárneho úniku </w:t>
      </w:r>
      <w:r>
        <w:rPr>
          <w:sz w:val="22"/>
          <w:szCs w:val="22"/>
          <w:lang w:val="sk-SK"/>
        </w:rPr>
        <w:t xml:space="preserve">(pozri časť 4.8). Stav je zvyčajne liečiteľný, ak je rozpoznaný čoskoro a vhodne liečený, ale boli hlásené i fatálne prípady. Stav zahŕňa systémovú kapilárnu </w:t>
      </w:r>
      <w:proofErr w:type="spellStart"/>
      <w:r>
        <w:rPr>
          <w:sz w:val="22"/>
          <w:szCs w:val="22"/>
          <w:lang w:val="sk-SK"/>
        </w:rPr>
        <w:t>hyperpermeabilitu</w:t>
      </w:r>
      <w:proofErr w:type="spellEnd"/>
      <w:r>
        <w:rPr>
          <w:sz w:val="22"/>
          <w:szCs w:val="22"/>
          <w:lang w:val="sk-SK"/>
        </w:rPr>
        <w:t xml:space="preserve">, počas ktorej tekutina a proteíny z </w:t>
      </w:r>
      <w:proofErr w:type="spellStart"/>
      <w:r>
        <w:rPr>
          <w:sz w:val="22"/>
          <w:szCs w:val="22"/>
          <w:lang w:val="sk-SK"/>
        </w:rPr>
        <w:t>intravaskulárneho</w:t>
      </w:r>
      <w:proofErr w:type="spellEnd"/>
      <w:r>
        <w:rPr>
          <w:sz w:val="22"/>
          <w:szCs w:val="22"/>
          <w:lang w:val="sk-SK"/>
        </w:rPr>
        <w:t xml:space="preserve"> priestoru unikajú do </w:t>
      </w:r>
      <w:proofErr w:type="spellStart"/>
      <w:r>
        <w:rPr>
          <w:sz w:val="22"/>
          <w:szCs w:val="22"/>
          <w:lang w:val="sk-SK"/>
        </w:rPr>
        <w:t>interstícia</w:t>
      </w:r>
      <w:proofErr w:type="spellEnd"/>
      <w:r>
        <w:rPr>
          <w:sz w:val="22"/>
          <w:szCs w:val="22"/>
          <w:lang w:val="sk-SK"/>
        </w:rPr>
        <w:t xml:space="preserve">. Medzi klinické znaky patria generalizovaný edém, priberanie na váhe, </w:t>
      </w:r>
      <w:proofErr w:type="spellStart"/>
      <w:r>
        <w:rPr>
          <w:sz w:val="22"/>
          <w:szCs w:val="22"/>
          <w:lang w:val="sk-SK"/>
        </w:rPr>
        <w:t>hypoalbuminémia</w:t>
      </w:r>
      <w:proofErr w:type="spellEnd"/>
      <w:r>
        <w:rPr>
          <w:sz w:val="22"/>
          <w:szCs w:val="22"/>
          <w:lang w:val="sk-SK"/>
        </w:rPr>
        <w:t xml:space="preserve">, ťažká hypotenzia, akútna porucha funkcie obličiek a pľúcny edém. Pokiaľ sa počas liečby rozvinie syndróm kapilárneho úniku, </w:t>
      </w:r>
      <w:proofErr w:type="spellStart"/>
      <w:r>
        <w:rPr>
          <w:sz w:val="22"/>
          <w:szCs w:val="22"/>
          <w:lang w:val="sk-SK"/>
        </w:rPr>
        <w:t>gemcitabín</w:t>
      </w:r>
      <w:proofErr w:type="spellEnd"/>
      <w:r>
        <w:rPr>
          <w:sz w:val="22"/>
          <w:szCs w:val="22"/>
          <w:lang w:val="sk-SK"/>
        </w:rPr>
        <w:t xml:space="preserve"> by mal byť vysadený a mali by sa implementovať podporné opatrenia. Syndróm kapilárneho úniku </w:t>
      </w:r>
      <w:bookmarkStart w:id="0" w:name="result_box"/>
      <w:bookmarkEnd w:id="0"/>
      <w:r>
        <w:rPr>
          <w:sz w:val="22"/>
          <w:szCs w:val="22"/>
          <w:lang w:val="sk-SK"/>
        </w:rPr>
        <w:t>sa môže vyskytnúť v neskorších cykloch a v literatúre bol spojený so syndrómom respiračnej tiesne dospelých.</w:t>
      </w:r>
    </w:p>
    <w:p w14:paraId="78204C94" w14:textId="77777777" w:rsidR="00FC40AA" w:rsidRDefault="00FC40AA" w:rsidP="00FC40AA">
      <w:pPr>
        <w:pStyle w:val="Default"/>
        <w:rPr>
          <w:sz w:val="22"/>
          <w:szCs w:val="22"/>
          <w:lang w:val="sk-SK"/>
        </w:rPr>
      </w:pPr>
    </w:p>
    <w:p w14:paraId="0A26BD89" w14:textId="77777777" w:rsidR="003E3307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Pľúcne</w:t>
      </w:r>
    </w:p>
    <w:p w14:paraId="0B41D650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súvislosti s liečbou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boli hlásené </w:t>
      </w:r>
      <w:proofErr w:type="spellStart"/>
      <w:r w:rsidRPr="00C03C74">
        <w:rPr>
          <w:sz w:val="22"/>
          <w:szCs w:val="22"/>
          <w:lang w:val="sk-SK"/>
        </w:rPr>
        <w:t>pulmonálne</w:t>
      </w:r>
      <w:proofErr w:type="spellEnd"/>
      <w:r w:rsidRPr="00C03C74">
        <w:rPr>
          <w:sz w:val="22"/>
          <w:szCs w:val="22"/>
          <w:lang w:val="sk-SK"/>
        </w:rPr>
        <w:t xml:space="preserve"> účinky, niekedy závažného charakteru (ako sú edém pľúc, </w:t>
      </w:r>
      <w:proofErr w:type="spellStart"/>
      <w:r w:rsidRPr="00C03C74">
        <w:rPr>
          <w:sz w:val="22"/>
          <w:szCs w:val="22"/>
          <w:lang w:val="sk-SK"/>
        </w:rPr>
        <w:t>intersticiálna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pneumonitída</w:t>
      </w:r>
      <w:proofErr w:type="spellEnd"/>
      <w:r w:rsidRPr="00C03C74">
        <w:rPr>
          <w:sz w:val="22"/>
          <w:szCs w:val="22"/>
          <w:lang w:val="sk-SK"/>
        </w:rPr>
        <w:t xml:space="preserve"> alebo syndróm respiračnej tiesne u dospelých (ARDS)). Etiológia týchto účinkov nie je známa. Ak sa takéto účinky objavia, treba zvážiť ukončenie liečby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>. Rýchle nasadenie podpornej liečby môže pomôcť k zlepšeniu zdravotného stavu.</w:t>
      </w:r>
    </w:p>
    <w:p w14:paraId="77C76E9C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8EB55AD" w14:textId="77777777" w:rsidR="003E3307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t>Renálne</w:t>
      </w:r>
      <w:proofErr w:type="spellEnd"/>
    </w:p>
    <w:p w14:paraId="3742A331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U pacientov užívajúcich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boli veľmi zriedkavo hlásené klinické nálezy zodpovedajúce </w:t>
      </w:r>
      <w:proofErr w:type="spellStart"/>
      <w:r w:rsidRPr="00C03C74">
        <w:rPr>
          <w:sz w:val="22"/>
          <w:szCs w:val="22"/>
          <w:lang w:val="sk-SK"/>
        </w:rPr>
        <w:t>hemolytickému</w:t>
      </w:r>
      <w:proofErr w:type="spellEnd"/>
      <w:r w:rsidRPr="00C03C74">
        <w:rPr>
          <w:sz w:val="22"/>
          <w:szCs w:val="22"/>
          <w:lang w:val="sk-SK"/>
        </w:rPr>
        <w:t xml:space="preserve"> uremickému syndrómu (HUS) (pozri časť 4.8).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sa má vysadiť pri prvých znakoch </w:t>
      </w:r>
      <w:proofErr w:type="spellStart"/>
      <w:r w:rsidRPr="00C03C74">
        <w:rPr>
          <w:sz w:val="22"/>
          <w:szCs w:val="22"/>
          <w:lang w:val="sk-SK"/>
        </w:rPr>
        <w:t>mikroangiopatickej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hemolytickej</w:t>
      </w:r>
      <w:proofErr w:type="spellEnd"/>
      <w:r w:rsidRPr="00C03C74">
        <w:rPr>
          <w:sz w:val="22"/>
          <w:szCs w:val="22"/>
          <w:lang w:val="sk-SK"/>
        </w:rPr>
        <w:t xml:space="preserve"> anémie, ako sú náhly pokles hemoglobínu súčasne s </w:t>
      </w:r>
      <w:proofErr w:type="spellStart"/>
      <w:r w:rsidRPr="00C03C74">
        <w:rPr>
          <w:sz w:val="22"/>
          <w:szCs w:val="22"/>
          <w:lang w:val="sk-SK"/>
        </w:rPr>
        <w:t>trombocytopéniou</w:t>
      </w:r>
      <w:proofErr w:type="spellEnd"/>
      <w:r w:rsidRPr="00C03C74">
        <w:rPr>
          <w:sz w:val="22"/>
          <w:szCs w:val="22"/>
          <w:lang w:val="sk-SK"/>
        </w:rPr>
        <w:t xml:space="preserve">, zvýšenie sérového </w:t>
      </w:r>
      <w:proofErr w:type="spellStart"/>
      <w:r w:rsidRPr="00C03C74">
        <w:rPr>
          <w:sz w:val="22"/>
          <w:szCs w:val="22"/>
          <w:lang w:val="sk-SK"/>
        </w:rPr>
        <w:t>bilirubínu</w:t>
      </w:r>
      <w:proofErr w:type="spellEnd"/>
      <w:r w:rsidRPr="00C03C74">
        <w:rPr>
          <w:sz w:val="22"/>
          <w:szCs w:val="22"/>
          <w:lang w:val="sk-SK"/>
        </w:rPr>
        <w:t xml:space="preserve">, sérového </w:t>
      </w:r>
      <w:proofErr w:type="spellStart"/>
      <w:r w:rsidRPr="00C03C74">
        <w:rPr>
          <w:sz w:val="22"/>
          <w:szCs w:val="22"/>
          <w:lang w:val="sk-SK"/>
        </w:rPr>
        <w:t>kreatinínu</w:t>
      </w:r>
      <w:proofErr w:type="spellEnd"/>
      <w:r w:rsidRPr="00C03C74">
        <w:rPr>
          <w:sz w:val="22"/>
          <w:szCs w:val="22"/>
          <w:lang w:val="sk-SK"/>
        </w:rPr>
        <w:t xml:space="preserve">, dusíka močoviny v krvi alebo LDH. </w:t>
      </w:r>
      <w:proofErr w:type="spellStart"/>
      <w:r w:rsidRPr="00C03C74">
        <w:rPr>
          <w:sz w:val="22"/>
          <w:szCs w:val="22"/>
          <w:lang w:val="sk-SK"/>
        </w:rPr>
        <w:t>Renálne</w:t>
      </w:r>
      <w:proofErr w:type="spellEnd"/>
      <w:r w:rsidRPr="00C03C74">
        <w:rPr>
          <w:sz w:val="22"/>
          <w:szCs w:val="22"/>
          <w:lang w:val="sk-SK"/>
        </w:rPr>
        <w:t xml:space="preserve"> zlyhanie nemusí byť reverzibilné ani po skončení liečby a možno bude potrebná dialýza.</w:t>
      </w:r>
    </w:p>
    <w:p w14:paraId="127B645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2C654A0" w14:textId="77777777" w:rsidR="003E3307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t>Fertilita</w:t>
      </w:r>
      <w:proofErr w:type="spellEnd"/>
    </w:p>
    <w:p w14:paraId="2DA935E0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reprodukčných štúdiách spôsoboval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hypospermatogenézu</w:t>
      </w:r>
      <w:proofErr w:type="spellEnd"/>
      <w:r w:rsidRPr="00C03C74">
        <w:rPr>
          <w:sz w:val="22"/>
          <w:szCs w:val="22"/>
          <w:lang w:val="sk-SK"/>
        </w:rPr>
        <w:t xml:space="preserve"> u myších samcov (pozri časť 5.3). Preto mužov, ktorí budú liečení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, treba upozorniť, aby nesplodili dieťa počas liečby a ešte 6 mesiacov po jej skončení a aby sa informovali o možnosti </w:t>
      </w:r>
      <w:proofErr w:type="spellStart"/>
      <w:r w:rsidRPr="00C03C74">
        <w:rPr>
          <w:sz w:val="22"/>
          <w:szCs w:val="22"/>
          <w:lang w:val="sk-SK"/>
        </w:rPr>
        <w:t>kryokonzervácie</w:t>
      </w:r>
      <w:proofErr w:type="spellEnd"/>
      <w:r w:rsidRPr="00C03C74">
        <w:rPr>
          <w:sz w:val="22"/>
          <w:szCs w:val="22"/>
          <w:lang w:val="sk-SK"/>
        </w:rPr>
        <w:t xml:space="preserve"> spermií pred liečbou z dôvodu možnej neplodnosti spôsobenej liečbou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(pozri časť 4.6).</w:t>
      </w:r>
    </w:p>
    <w:p w14:paraId="4F848B3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ADEC48F" w14:textId="77777777" w:rsidR="003E3307" w:rsidRDefault="00FC40AA" w:rsidP="00FC40AA">
      <w:pPr>
        <w:pStyle w:val="CM29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Sodík</w:t>
      </w:r>
    </w:p>
    <w:p w14:paraId="3F275F2A" w14:textId="77777777" w:rsidR="00FC40AA" w:rsidRPr="00C03C74" w:rsidRDefault="00FC40AA" w:rsidP="00FC40AA">
      <w:pPr>
        <w:pStyle w:val="CM29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Injekčná liekovka </w:t>
      </w:r>
      <w:proofErr w:type="spellStart"/>
      <w:r w:rsidRPr="00C03C74">
        <w:rPr>
          <w:sz w:val="22"/>
          <w:szCs w:val="22"/>
          <w:lang w:val="sk-SK"/>
        </w:rPr>
        <w:t>Gemcitabine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medac</w:t>
      </w:r>
      <w:proofErr w:type="spellEnd"/>
      <w:r w:rsidRPr="00C03C74">
        <w:rPr>
          <w:sz w:val="22"/>
          <w:szCs w:val="22"/>
          <w:lang w:val="sk-SK"/>
        </w:rPr>
        <w:t xml:space="preserve"> 200 mg obsahuje 3,5 mg (&lt; 1 mmol) sodíka v injekčnej liekovke </w:t>
      </w:r>
    </w:p>
    <w:p w14:paraId="647AB775" w14:textId="77777777" w:rsidR="00FC40AA" w:rsidRPr="00C03C74" w:rsidRDefault="00FC40AA" w:rsidP="00FC40AA">
      <w:pPr>
        <w:pStyle w:val="CM29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Injekčná liekovka </w:t>
      </w:r>
      <w:proofErr w:type="spellStart"/>
      <w:r w:rsidRPr="00C03C74">
        <w:rPr>
          <w:sz w:val="22"/>
          <w:szCs w:val="22"/>
          <w:lang w:val="sk-SK"/>
        </w:rPr>
        <w:t>Gemcitabine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medac</w:t>
      </w:r>
      <w:proofErr w:type="spellEnd"/>
      <w:r w:rsidRPr="00C03C74">
        <w:rPr>
          <w:sz w:val="22"/>
          <w:szCs w:val="22"/>
          <w:lang w:val="sk-SK"/>
        </w:rPr>
        <w:t xml:space="preserve"> 1 000 mg obsahuje 17,5 mg (&lt; 1 mmol) sodíka v injekčnej liekovke.</w:t>
      </w:r>
    </w:p>
    <w:p w14:paraId="52DCDE3E" w14:textId="77777777" w:rsidR="00FC40AA" w:rsidRPr="00C03C74" w:rsidRDefault="00FC40AA" w:rsidP="00FC40AA">
      <w:pPr>
        <w:pStyle w:val="CM29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Injekčná liekovka </w:t>
      </w:r>
      <w:proofErr w:type="spellStart"/>
      <w:r w:rsidRPr="00C03C74">
        <w:rPr>
          <w:sz w:val="22"/>
          <w:szCs w:val="22"/>
          <w:lang w:val="sk-SK"/>
        </w:rPr>
        <w:t>Gemcitabine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medac</w:t>
      </w:r>
      <w:proofErr w:type="spellEnd"/>
      <w:r w:rsidRPr="00C03C74">
        <w:rPr>
          <w:sz w:val="22"/>
          <w:szCs w:val="22"/>
          <w:lang w:val="sk-SK"/>
        </w:rPr>
        <w:t xml:space="preserve"> 1 500 mg obsahuje 26,3 mg (&gt; 1 mmol) sodíka v injekčnej liekovke.</w:t>
      </w:r>
    </w:p>
    <w:p w14:paraId="7E46C916" w14:textId="77777777" w:rsidR="00FC40AA" w:rsidRPr="00C03C74" w:rsidRDefault="00FC40AA" w:rsidP="00FC40AA">
      <w:pPr>
        <w:pStyle w:val="CM29"/>
        <w:spacing w:after="0"/>
        <w:rPr>
          <w:b/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Pacienti s diétou s obmedzeným príjmom sodíka to musia vziať do úvahy.</w:t>
      </w:r>
    </w:p>
    <w:p w14:paraId="7C9D45A7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388610D4" w14:textId="77777777" w:rsidR="00FC40AA" w:rsidRPr="00C03C74" w:rsidRDefault="00FC40AA" w:rsidP="00C03C74">
      <w:pPr>
        <w:pStyle w:val="CM2"/>
        <w:keepNext/>
        <w:keepLines/>
        <w:widowControl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lastRenderedPageBreak/>
        <w:t>4.5</w:t>
      </w:r>
      <w:r w:rsidRPr="00C03C74">
        <w:rPr>
          <w:b/>
          <w:sz w:val="22"/>
          <w:szCs w:val="22"/>
          <w:lang w:val="sk-SK"/>
        </w:rPr>
        <w:tab/>
        <w:t>Liekové a iné interakcie</w:t>
      </w:r>
    </w:p>
    <w:p w14:paraId="0A4063EB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</w:p>
    <w:p w14:paraId="6345EC1C" w14:textId="77777777" w:rsidR="00FC40AA" w:rsidRPr="00C03C74" w:rsidRDefault="00FC40AA" w:rsidP="00C03C74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Neuskutočnili sa žiadne interakčné štúdie.</w:t>
      </w:r>
    </w:p>
    <w:p w14:paraId="0C7FE1CA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p w14:paraId="2105C047" w14:textId="77777777" w:rsidR="003E3307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Rádioterapia</w:t>
      </w:r>
    </w:p>
    <w:p w14:paraId="74AE189D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Súbežná (podávaná súčasne alebo s odstupom ≤ 7 dní) – toxicita spojená s touto </w:t>
      </w:r>
      <w:proofErr w:type="spellStart"/>
      <w:r w:rsidRPr="00C03C74">
        <w:rPr>
          <w:sz w:val="22"/>
          <w:szCs w:val="22"/>
          <w:lang w:val="sk-SK"/>
        </w:rPr>
        <w:t>multimodalitnou</w:t>
      </w:r>
      <w:proofErr w:type="spellEnd"/>
      <w:r w:rsidRPr="00C03C74">
        <w:rPr>
          <w:sz w:val="22"/>
          <w:szCs w:val="22"/>
          <w:lang w:val="sk-SK"/>
        </w:rPr>
        <w:t xml:space="preserve"> liečbou je závislá na mnohých faktoroch, vrátane dávky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, frekvencie podania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, dávky ožiarenia, rádioterapeutickej plánovacej techniky, cieľového tkaniva a cieľového objemu. Predklinické a klinické štúdie ukázali </w:t>
      </w:r>
      <w:proofErr w:type="spellStart"/>
      <w:r w:rsidRPr="00C03C74">
        <w:rPr>
          <w:sz w:val="22"/>
          <w:szCs w:val="22"/>
          <w:lang w:val="sk-SK"/>
        </w:rPr>
        <w:t>rádiosenzibilizačnú</w:t>
      </w:r>
      <w:proofErr w:type="spellEnd"/>
      <w:r w:rsidRPr="00C03C74">
        <w:rPr>
          <w:sz w:val="22"/>
          <w:szCs w:val="22"/>
          <w:lang w:val="sk-SK"/>
        </w:rPr>
        <w:t xml:space="preserve"> aktivitu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. V jedinej štúdii, kde bol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dávke 1 000 mg/m² podaný súbežne po dobu až 6 po sebe idúcich týždňov s liečebným hrudným ožiarením pacientov s nemalobunkovým karcinómom pľúc, bola pozorovaná významná toxicita vo forme závažnej a potenciálne život ohrozujúcej </w:t>
      </w:r>
      <w:proofErr w:type="spellStart"/>
      <w:r w:rsidRPr="00C03C74">
        <w:rPr>
          <w:sz w:val="22"/>
          <w:szCs w:val="22"/>
          <w:lang w:val="sk-SK"/>
        </w:rPr>
        <w:t>mukozitídy</w:t>
      </w:r>
      <w:proofErr w:type="spellEnd"/>
      <w:r w:rsidRPr="00C03C74">
        <w:rPr>
          <w:sz w:val="22"/>
          <w:szCs w:val="22"/>
          <w:lang w:val="sk-SK"/>
        </w:rPr>
        <w:t xml:space="preserve">, hlavne </w:t>
      </w:r>
      <w:proofErr w:type="spellStart"/>
      <w:r w:rsidRPr="00C03C74">
        <w:rPr>
          <w:sz w:val="22"/>
          <w:szCs w:val="22"/>
          <w:lang w:val="sk-SK"/>
        </w:rPr>
        <w:t>ezofagitídy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pneumonitídy</w:t>
      </w:r>
      <w:proofErr w:type="spellEnd"/>
      <w:r w:rsidRPr="00C03C74">
        <w:rPr>
          <w:sz w:val="22"/>
          <w:szCs w:val="22"/>
          <w:lang w:val="sk-SK"/>
        </w:rPr>
        <w:t xml:space="preserve">, zvlášť u pacientov s veľkými ožarovanými objemami [medián ožarovaného objemu 4 795 cm³]. Následne vykonané štúdie naznačili, že je možné podať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nižších dávkach súbežne s rádioterapiou s predvídateľnou toxicitou, ako napr. v štúdii fázy II u nemalobunkového karcinómu pľúc, kde dávky ožiarenia hrudníku 66 </w:t>
      </w:r>
      <w:proofErr w:type="spellStart"/>
      <w:r w:rsidRPr="00C03C74">
        <w:rPr>
          <w:sz w:val="22"/>
          <w:szCs w:val="22"/>
          <w:lang w:val="sk-SK"/>
        </w:rPr>
        <w:t>Gy</w:t>
      </w:r>
      <w:proofErr w:type="spellEnd"/>
      <w:r w:rsidRPr="00C03C74">
        <w:rPr>
          <w:sz w:val="22"/>
          <w:szCs w:val="22"/>
          <w:lang w:val="sk-SK"/>
        </w:rPr>
        <w:t xml:space="preserve"> boli aplikované súčasne s podaním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(600 mg/m², štyrikrát) a </w:t>
      </w:r>
      <w:proofErr w:type="spellStart"/>
      <w:r w:rsidRPr="00C03C74">
        <w:rPr>
          <w:sz w:val="22"/>
          <w:szCs w:val="22"/>
          <w:lang w:val="sk-SK"/>
        </w:rPr>
        <w:t>cisplatiny</w:t>
      </w:r>
      <w:proofErr w:type="spellEnd"/>
      <w:r w:rsidRPr="00C03C74">
        <w:rPr>
          <w:sz w:val="22"/>
          <w:szCs w:val="22"/>
          <w:lang w:val="sk-SK"/>
        </w:rPr>
        <w:t xml:space="preserve"> (80 mg/m², dvakrát) v priebehu 6 týždňov. Optimálny režim pre bezpečné podanie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súčasne s terapeutickými dávkami radiácie ešte nebol určený pre všetky typy nádoru.</w:t>
      </w:r>
    </w:p>
    <w:p w14:paraId="55F3416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0213514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Nesúbežné (podané s odstupom &gt; 7 dní) – analýza dát neukazuje žiadne zvýraznenie toxicity, pokiaľ je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podaný viac ako 7 dní pred alebo po ožarovaní, s výnimkou návratu reakcie z ožiarenia. Údaje napovedajú, že liečba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môže začať po odznení akútnych účinkov ožiarenia alebo najmenej jeden týždeň po ožiarení.</w:t>
      </w:r>
    </w:p>
    <w:p w14:paraId="44FE3B9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84135AB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súvislosti so súbežným aj nesúbežným podaním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bolo hlásené radiačné poškodenie v cieľových tkanivách (napr. </w:t>
      </w:r>
      <w:proofErr w:type="spellStart"/>
      <w:r w:rsidRPr="00C03C74">
        <w:rPr>
          <w:sz w:val="22"/>
          <w:szCs w:val="22"/>
          <w:lang w:val="sk-SK"/>
        </w:rPr>
        <w:t>ezofagitída</w:t>
      </w:r>
      <w:proofErr w:type="spellEnd"/>
      <w:r w:rsidRPr="00C03C74">
        <w:rPr>
          <w:sz w:val="22"/>
          <w:szCs w:val="22"/>
          <w:lang w:val="sk-SK"/>
        </w:rPr>
        <w:t xml:space="preserve">, </w:t>
      </w:r>
      <w:proofErr w:type="spellStart"/>
      <w:r w:rsidRPr="00C03C74">
        <w:rPr>
          <w:sz w:val="22"/>
          <w:szCs w:val="22"/>
          <w:lang w:val="sk-SK"/>
        </w:rPr>
        <w:t>kolitída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pneumonitída</w:t>
      </w:r>
      <w:proofErr w:type="spellEnd"/>
      <w:r w:rsidRPr="00C03C74">
        <w:rPr>
          <w:sz w:val="22"/>
          <w:szCs w:val="22"/>
          <w:lang w:val="sk-SK"/>
        </w:rPr>
        <w:t>).</w:t>
      </w:r>
    </w:p>
    <w:p w14:paraId="28B4E03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E09E0C4" w14:textId="77777777" w:rsidR="003E3307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Iné</w:t>
      </w:r>
    </w:p>
    <w:p w14:paraId="1C0089A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Vakcína proti žltej zimnici a iné živé oslabené vakcíny sa neodporúčajú z dôvodu rizika systémového, možného fatálneho ochorenia, najmä u pacientov s potlačenou imunitou.</w:t>
      </w:r>
    </w:p>
    <w:p w14:paraId="5BAEC72E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B1C09EC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4.6</w:t>
      </w:r>
      <w:r w:rsidRPr="00C03C74">
        <w:rPr>
          <w:b/>
          <w:sz w:val="22"/>
          <w:szCs w:val="22"/>
          <w:lang w:val="sk-SK"/>
        </w:rPr>
        <w:tab/>
      </w:r>
      <w:proofErr w:type="spellStart"/>
      <w:r w:rsidR="003E3307" w:rsidRPr="003E3307">
        <w:rPr>
          <w:b/>
          <w:sz w:val="22"/>
          <w:szCs w:val="22"/>
          <w:lang w:val="sk-SK"/>
        </w:rPr>
        <w:t>Fertilita</w:t>
      </w:r>
      <w:proofErr w:type="spellEnd"/>
      <w:r w:rsidR="003E3307" w:rsidRPr="003E3307">
        <w:rPr>
          <w:b/>
          <w:sz w:val="22"/>
          <w:szCs w:val="22"/>
          <w:lang w:val="sk-SK"/>
        </w:rPr>
        <w:t>, gravidita</w:t>
      </w:r>
      <w:r w:rsidR="003E3307" w:rsidRPr="00C03C74">
        <w:rPr>
          <w:b/>
          <w:sz w:val="22"/>
          <w:szCs w:val="22"/>
          <w:lang w:val="sk-SK"/>
        </w:rPr>
        <w:t xml:space="preserve"> a laktácia</w:t>
      </w:r>
    </w:p>
    <w:p w14:paraId="5DB5973F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u w:val="single"/>
          <w:lang w:val="sk-SK"/>
        </w:rPr>
      </w:pPr>
    </w:p>
    <w:p w14:paraId="1A783709" w14:textId="77777777" w:rsidR="003E3307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Gravidita</w:t>
      </w:r>
    </w:p>
    <w:p w14:paraId="10E4245F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Nie sú k dispozícii dostatočné údaje o použití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u gravidných žien. Štúdie na zvieratách preukázali reprodukčnú toxicitu (pozri časť 5.3). Na základe výsledkov zo štúdií na zvieratách a mechanizmu účinku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sa táto látka nemá používať počas gravidity, pokiaľ to nie je evidentne nevyhnutné. Ženy treba informovať, aby neotehotneli počas liečby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a aby ihneď upozornili svojho lekára, ak predsa otehotnejú.</w:t>
      </w:r>
    </w:p>
    <w:p w14:paraId="1B540AA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229A713" w14:textId="77777777" w:rsidR="003E3307" w:rsidRPr="00C03C74" w:rsidRDefault="006A2C66" w:rsidP="00C03C74">
      <w:pPr>
        <w:pStyle w:val="CM26"/>
        <w:spacing w:after="0"/>
        <w:rPr>
          <w:sz w:val="22"/>
          <w:szCs w:val="22"/>
          <w:lang w:val="sk-SK"/>
        </w:rPr>
      </w:pPr>
      <w:r>
        <w:rPr>
          <w:noProof/>
          <w:sz w:val="22"/>
          <w:szCs w:val="22"/>
          <w:u w:val="single"/>
          <w:lang w:val="sk-SK"/>
        </w:rPr>
        <w:t>Dojčenie</w:t>
      </w:r>
    </w:p>
    <w:p w14:paraId="12FB47CA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Nie je známe, či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vylučuje do materského mlieka u ľudí a nežiaduce účinky na dojčené dieťa sa nedajú vylúčiť. Počas </w:t>
      </w:r>
      <w:r w:rsidRPr="00B47C82">
        <w:rPr>
          <w:noProof/>
          <w:sz w:val="22"/>
          <w:szCs w:val="22"/>
          <w:lang w:val="sk-SK"/>
        </w:rPr>
        <w:t xml:space="preserve">liečby gemcitabínom </w:t>
      </w:r>
      <w:r w:rsidR="00E86ED7" w:rsidRPr="006C25A0">
        <w:rPr>
          <w:noProof/>
          <w:sz w:val="22"/>
          <w:szCs w:val="22"/>
          <w:lang w:val="sk-SK"/>
        </w:rPr>
        <w:t>sa musí</w:t>
      </w:r>
      <w:r w:rsidRPr="00B47C82">
        <w:rPr>
          <w:noProof/>
          <w:sz w:val="22"/>
          <w:szCs w:val="22"/>
          <w:lang w:val="sk-SK"/>
        </w:rPr>
        <w:t xml:space="preserve"> dojčenie ukončiť.</w:t>
      </w:r>
    </w:p>
    <w:p w14:paraId="4CFDD997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1915218" w14:textId="77777777" w:rsidR="003E3307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t>Fertilita</w:t>
      </w:r>
      <w:proofErr w:type="spellEnd"/>
    </w:p>
    <w:p w14:paraId="7F072D32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reprodukčných štúdiách spôsoboval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hypospermatogenézu</w:t>
      </w:r>
      <w:proofErr w:type="spellEnd"/>
      <w:r w:rsidRPr="00C03C74">
        <w:rPr>
          <w:sz w:val="22"/>
          <w:szCs w:val="22"/>
          <w:lang w:val="sk-SK"/>
        </w:rPr>
        <w:t xml:space="preserve"> u myších samcov (pozri časť 5.3). Preto mužov, ktorí budú liečení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, treba upozorniť, aby nesplodili dieťa počas liečby a ešte 6 mesiacov po jej skončení a aby sa informovali o možnosti </w:t>
      </w:r>
      <w:proofErr w:type="spellStart"/>
      <w:r w:rsidRPr="00C03C74">
        <w:rPr>
          <w:sz w:val="22"/>
          <w:szCs w:val="22"/>
          <w:lang w:val="sk-SK"/>
        </w:rPr>
        <w:t>kryokonzervácie</w:t>
      </w:r>
      <w:proofErr w:type="spellEnd"/>
      <w:r w:rsidRPr="00C03C74">
        <w:rPr>
          <w:sz w:val="22"/>
          <w:szCs w:val="22"/>
          <w:lang w:val="sk-SK"/>
        </w:rPr>
        <w:t xml:space="preserve"> spermií pred liečbou z dôvodu možnej neplodnosti spôsobenej liečbou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515DC622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586E0A5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4.7</w:t>
      </w:r>
      <w:r w:rsidRPr="00C03C74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7264C8B2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</w:p>
    <w:p w14:paraId="1F743BB1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Neuskutočnili sa žiadne štúdie o účinkoch na schopnosť viesť vozidlá a obsluhovať stroje. Ukázalo sa </w:t>
      </w:r>
      <w:r w:rsidRPr="00C03C74">
        <w:rPr>
          <w:sz w:val="22"/>
          <w:szCs w:val="22"/>
          <w:lang w:val="sk-SK"/>
        </w:rPr>
        <w:lastRenderedPageBreak/>
        <w:t xml:space="preserve">však, že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spôsobuje miernu až stredne závažnú ospalosť, obzvlášť v kombinácii s požívaním alkoholu. Pacientov treba upozorniť, aby neviedli motorové vozidlá ani neobsluhovali stroje, pokiaľ na sebe po podaní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pozorujú príznaky ospalosti.</w:t>
      </w:r>
    </w:p>
    <w:p w14:paraId="4922C5D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60CF9C9" w14:textId="77777777" w:rsidR="00FC40AA" w:rsidRPr="00C03C74" w:rsidRDefault="00FC40AA" w:rsidP="00C03C74">
      <w:pPr>
        <w:pStyle w:val="CM2"/>
        <w:keepNext/>
        <w:keepLines/>
        <w:widowControl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4.8</w:t>
      </w:r>
      <w:r w:rsidRPr="00C03C74">
        <w:rPr>
          <w:b/>
          <w:sz w:val="22"/>
          <w:szCs w:val="22"/>
          <w:lang w:val="sk-SK"/>
        </w:rPr>
        <w:tab/>
        <w:t>Nežiaduce účinky</w:t>
      </w:r>
    </w:p>
    <w:p w14:paraId="4AD779B2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</w:p>
    <w:p w14:paraId="47648E29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Najčastejšie hlásené nežiaduce liekové reakcie v súvislosti s liečbou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sú: nevoľnosť s vracaním alebo bez neho, zvýšenie pečeňových </w:t>
      </w:r>
      <w:proofErr w:type="spellStart"/>
      <w:r w:rsidRPr="00C03C74">
        <w:rPr>
          <w:sz w:val="22"/>
          <w:szCs w:val="22"/>
          <w:lang w:val="sk-SK"/>
        </w:rPr>
        <w:t>transamináz</w:t>
      </w:r>
      <w:proofErr w:type="spellEnd"/>
      <w:r w:rsidRPr="00C03C74">
        <w:rPr>
          <w:sz w:val="22"/>
          <w:szCs w:val="22"/>
          <w:lang w:val="sk-SK"/>
        </w:rPr>
        <w:t xml:space="preserve"> (AST/ALT) a alkalickej </w:t>
      </w:r>
      <w:proofErr w:type="spellStart"/>
      <w:r w:rsidRPr="00C03C74">
        <w:rPr>
          <w:sz w:val="22"/>
          <w:szCs w:val="22"/>
          <w:lang w:val="sk-SK"/>
        </w:rPr>
        <w:t>fosfatázy</w:t>
      </w:r>
      <w:proofErr w:type="spellEnd"/>
      <w:r w:rsidRPr="00C03C74">
        <w:rPr>
          <w:sz w:val="22"/>
          <w:szCs w:val="22"/>
          <w:lang w:val="sk-SK"/>
        </w:rPr>
        <w:t>, hlásené u približne 60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pacientov; </w:t>
      </w:r>
      <w:proofErr w:type="spellStart"/>
      <w:r w:rsidRPr="00C03C74">
        <w:rPr>
          <w:sz w:val="22"/>
          <w:szCs w:val="22"/>
          <w:lang w:val="sk-SK"/>
        </w:rPr>
        <w:t>proteinúria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hematúria</w:t>
      </w:r>
      <w:proofErr w:type="spellEnd"/>
      <w:r w:rsidRPr="00C03C74">
        <w:rPr>
          <w:sz w:val="22"/>
          <w:szCs w:val="22"/>
          <w:lang w:val="sk-SK"/>
        </w:rPr>
        <w:t xml:space="preserve"> boli hlásené u približne 50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pacientov; dýchavičnosť bola hlásená u 10</w:t>
      </w:r>
      <w:r>
        <w:rPr>
          <w:sz w:val="22"/>
          <w:szCs w:val="22"/>
          <w:lang w:val="sk-SK"/>
        </w:rPr>
        <w:t>–</w:t>
      </w:r>
      <w:r w:rsidRPr="00C03C74">
        <w:rPr>
          <w:sz w:val="22"/>
          <w:szCs w:val="22"/>
          <w:lang w:val="sk-SK"/>
        </w:rPr>
        <w:t>40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 (najvyšší výskyt u pacientov s karcinómom pľúc); alergické kožné vyrážky sa objavujú u približne 25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 a sú spojené so svrbením u 10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pacientov.</w:t>
      </w:r>
    </w:p>
    <w:p w14:paraId="77AE955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FA3C0EE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Dávka, rýchlosť infúzie a intervaly medzi dávkami môžu ovplyvňovať frekvenciu a závažnosť nežiaducich reakcií (pozri časť 4.4). Nežiaduce reakcie, ako sú zníženie počtu trombocytov, leukocytov a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>, obmedzujú veľkosť dávky (pozri časť 4.2).</w:t>
      </w:r>
    </w:p>
    <w:p w14:paraId="482D6F9C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21F84F9" w14:textId="77777777" w:rsidR="003E3307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Údaje z klinických štúdií</w:t>
      </w:r>
    </w:p>
    <w:p w14:paraId="5E3CFB01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Frekvencie sú definované ako: Veľmi časté (≥ 1/10), Časté (≥ 1/100 až &lt; 1/10), Menej časté (≥ 1/1 000 až &lt; 1/100), Zriedkavé (≥ 1/10 000 až &lt; 1/1 000), Veľmi zriedkavé (&lt; 1/10 000).</w:t>
      </w:r>
    </w:p>
    <w:p w14:paraId="64763831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p w14:paraId="2656A00C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Nasledujúca tabuľka nežiaducich účinkov a frekvencií vychádza z údajov z klinických štúdií. V rámci jednotlivých skupín frekvencií sú nežiaduce účinky usporiadané v poradí klesajúcej závažnosti.</w:t>
      </w:r>
    </w:p>
    <w:p w14:paraId="6446A39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4163"/>
        <w:gridCol w:w="4167"/>
      </w:tblGrid>
      <w:tr w:rsidR="00FC40AA" w14:paraId="62B734EB" w14:textId="77777777" w:rsidTr="00C03C74">
        <w:trPr>
          <w:trHeight w:val="278"/>
          <w:tblHeader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E5FF4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B86F" w14:textId="77777777" w:rsidR="00FC40AA" w:rsidRPr="00C03C74" w:rsidRDefault="00FC40AA" w:rsidP="000F2368">
            <w:pPr>
              <w:pStyle w:val="Default"/>
            </w:pPr>
            <w:r w:rsidRPr="00C03C74">
              <w:rPr>
                <w:sz w:val="22"/>
                <w:szCs w:val="22"/>
                <w:lang w:val="sk-SK"/>
              </w:rPr>
              <w:t>Skupina frekvencie</w:t>
            </w:r>
          </w:p>
        </w:tc>
      </w:tr>
      <w:tr w:rsidR="00FC40AA" w14:paraId="106A5DEC" w14:textId="77777777" w:rsidTr="00C03C74">
        <w:trPr>
          <w:trHeight w:val="139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F6DC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shd w:val="clear" w:color="auto" w:fill="FFFF00"/>
              </w:rPr>
            </w:pPr>
            <w:r>
              <w:rPr>
                <w:iCs/>
                <w:color w:val="auto"/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2772" w14:textId="77777777" w:rsidR="00FC40AA" w:rsidRPr="00FC40AA" w:rsidRDefault="00FC40AA" w:rsidP="000F2368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proofErr w:type="spellStart"/>
            <w:r w:rsidRPr="00FC40AA">
              <w:rPr>
                <w:sz w:val="22"/>
                <w:szCs w:val="22"/>
              </w:rPr>
              <w:t>Časté</w:t>
            </w:r>
            <w:proofErr w:type="spellEnd"/>
            <w:r w:rsidRPr="00FC40AA">
              <w:rPr>
                <w:sz w:val="22"/>
                <w:szCs w:val="22"/>
                <w:shd w:val="clear" w:color="auto" w:fill="FFFF00"/>
              </w:rPr>
              <w:t xml:space="preserve"> </w:t>
            </w:r>
          </w:p>
          <w:p w14:paraId="74D20BDD" w14:textId="77777777" w:rsidR="00FC40AA" w:rsidRPr="00FC40AA" w:rsidRDefault="00FC40AA" w:rsidP="00FC40AA">
            <w:pPr>
              <w:widowControl w:val="0"/>
              <w:numPr>
                <w:ilvl w:val="0"/>
                <w:numId w:val="21"/>
              </w:numPr>
              <w:suppressAutoHyphens/>
              <w:rPr>
                <w:sz w:val="22"/>
                <w:szCs w:val="22"/>
                <w:shd w:val="clear" w:color="auto" w:fill="FFFF00"/>
              </w:rPr>
            </w:pPr>
            <w:proofErr w:type="spellStart"/>
            <w:r w:rsidRPr="00FC40AA">
              <w:rPr>
                <w:sz w:val="22"/>
                <w:szCs w:val="22"/>
              </w:rPr>
              <w:t>Infekcie</w:t>
            </w:r>
            <w:proofErr w:type="spellEnd"/>
          </w:p>
          <w:p w14:paraId="391E1A1E" w14:textId="77777777" w:rsidR="00FC40AA" w:rsidRPr="00FC40AA" w:rsidRDefault="00FC40AA" w:rsidP="000F2368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</w:p>
          <w:p w14:paraId="52DCBBE7" w14:textId="77777777" w:rsidR="00FC40AA" w:rsidRPr="00C03C74" w:rsidRDefault="00FC40AA" w:rsidP="00C03C74">
            <w:pPr>
              <w:widowControl w:val="0"/>
              <w:rPr>
                <w:sz w:val="22"/>
                <w:szCs w:val="22"/>
                <w:shd w:val="clear" w:color="auto" w:fill="FFFF00"/>
                <w:lang w:val="sk-SK"/>
              </w:rPr>
            </w:pPr>
            <w:proofErr w:type="spellStart"/>
            <w:r w:rsidRPr="00FC40AA">
              <w:rPr>
                <w:sz w:val="22"/>
                <w:szCs w:val="22"/>
              </w:rPr>
              <w:t>Menej</w:t>
            </w:r>
            <w:proofErr w:type="spellEnd"/>
            <w:r w:rsidRPr="00C03C74">
              <w:rPr>
                <w:sz w:val="22"/>
                <w:szCs w:val="22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</w:rPr>
              <w:t>časté</w:t>
            </w:r>
            <w:proofErr w:type="spellEnd"/>
          </w:p>
          <w:p w14:paraId="79215FEF" w14:textId="77777777" w:rsidR="00FC40AA" w:rsidRPr="00C03C74" w:rsidRDefault="00FC40AA" w:rsidP="00C03C74">
            <w:pPr>
              <w:pStyle w:val="Default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ind w:left="657" w:hanging="284"/>
            </w:pPr>
            <w:r w:rsidRPr="00FC40AA">
              <w:rPr>
                <w:color w:val="auto"/>
                <w:sz w:val="22"/>
                <w:szCs w:val="22"/>
                <w:lang w:val="sk-SK"/>
              </w:rPr>
              <w:t>Sepsa</w:t>
            </w:r>
          </w:p>
        </w:tc>
      </w:tr>
      <w:tr w:rsidR="00FC40AA" w14:paraId="5C0507F4" w14:textId="77777777">
        <w:trPr>
          <w:trHeight w:val="139"/>
        </w:trPr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1D138" w14:textId="77777777" w:rsidR="00FC40AA" w:rsidRDefault="00FC40AA" w:rsidP="000F2368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iCs/>
                <w:color w:val="auto"/>
                <w:sz w:val="22"/>
                <w:szCs w:val="22"/>
                <w:lang w:val="sk-SK"/>
              </w:rPr>
              <w:t xml:space="preserve">Poruchy </w:t>
            </w:r>
            <w:r>
              <w:rPr>
                <w:color w:val="auto"/>
                <w:sz w:val="22"/>
                <w:szCs w:val="22"/>
                <w:lang w:val="sk-SK"/>
              </w:rPr>
              <w:t>krvi a lymfatického systému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42ACE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color w:val="auto"/>
                <w:sz w:val="22"/>
                <w:szCs w:val="22"/>
                <w:lang w:val="sk-SK"/>
              </w:rPr>
              <w:t>Veľmi časté</w:t>
            </w:r>
          </w:p>
          <w:p w14:paraId="714B1C64" w14:textId="77777777" w:rsidR="00FC40AA" w:rsidRDefault="00FC40AA" w:rsidP="00FC40AA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Leukopénia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sk-SK"/>
              </w:rPr>
              <w:t>neutropénia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3. stupeň = 19,3 %; 4. stupeň = 6 %).</w:t>
            </w:r>
          </w:p>
          <w:p w14:paraId="698D1652" w14:textId="77777777" w:rsidR="00FC40AA" w:rsidRDefault="00FC40AA" w:rsidP="000F2368">
            <w:pPr>
              <w:pStyle w:val="CM18"/>
              <w:spacing w:line="240" w:lineRule="auto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Supresia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kostnej drene je zvyčajne mierna až stredne závažná a väčšinou ovplyvňuje počet </w:t>
            </w:r>
            <w:proofErr w:type="spellStart"/>
            <w:r>
              <w:rPr>
                <w:sz w:val="22"/>
                <w:szCs w:val="22"/>
                <w:lang w:val="sk-SK"/>
              </w:rPr>
              <w:t>granulocytov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(pozri časť 4.2)</w:t>
            </w:r>
          </w:p>
          <w:p w14:paraId="649E3A81" w14:textId="77777777" w:rsidR="00FC40AA" w:rsidRDefault="00FC40AA" w:rsidP="00FC40AA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  <w:p w14:paraId="2537443A" w14:textId="77777777" w:rsidR="00FC40AA" w:rsidRDefault="00FC40AA" w:rsidP="00FC40AA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Anémia</w:t>
            </w:r>
          </w:p>
          <w:p w14:paraId="544124FC" w14:textId="77777777" w:rsidR="00FC40AA" w:rsidRDefault="00FC40AA" w:rsidP="000F2368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</w:p>
          <w:p w14:paraId="6234AF10" w14:textId="77777777" w:rsidR="00FC40AA" w:rsidRDefault="00FC40AA" w:rsidP="000F2368">
            <w:pPr>
              <w:pStyle w:val="CM19"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Časté</w:t>
            </w:r>
          </w:p>
          <w:p w14:paraId="1A2CD8A6" w14:textId="77777777" w:rsidR="00FC40AA" w:rsidRDefault="00FC40AA" w:rsidP="00FC40AA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Febrilná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  <w:p w14:paraId="458017FE" w14:textId="77777777" w:rsidR="00FC40AA" w:rsidRDefault="00FC40AA" w:rsidP="000F2368">
            <w:pPr>
              <w:pStyle w:val="Default"/>
              <w:tabs>
                <w:tab w:val="left" w:pos="657"/>
              </w:tabs>
              <w:ind w:left="657" w:hanging="284"/>
              <w:rPr>
                <w:sz w:val="22"/>
                <w:szCs w:val="22"/>
                <w:lang w:val="sk-SK"/>
              </w:rPr>
            </w:pPr>
          </w:p>
          <w:p w14:paraId="5E25543F" w14:textId="77777777" w:rsidR="00FC40AA" w:rsidRDefault="00FC40AA" w:rsidP="000F2368">
            <w:pPr>
              <w:widowControl w:val="0"/>
              <w:rPr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</w:rPr>
              <w:t>Menej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časté</w:t>
            </w:r>
            <w:proofErr w:type="spellEnd"/>
          </w:p>
          <w:p w14:paraId="591DE115" w14:textId="77777777" w:rsidR="00FC40AA" w:rsidRDefault="00FC40AA" w:rsidP="00FC40AA">
            <w:pPr>
              <w:keepNext/>
              <w:keepLines/>
              <w:numPr>
                <w:ilvl w:val="0"/>
                <w:numId w:val="22"/>
              </w:numPr>
              <w:suppressAutoHyphens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iCs/>
                <w:sz w:val="22"/>
                <w:szCs w:val="22"/>
                <w:lang w:val="sk-SK"/>
              </w:rPr>
              <w:t>Trombotická</w:t>
            </w:r>
            <w:proofErr w:type="spellEnd"/>
            <w:r>
              <w:rPr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sk-SK"/>
              </w:rPr>
              <w:t>mikroangiopatia</w:t>
            </w:r>
            <w:proofErr w:type="spellEnd"/>
          </w:p>
          <w:p w14:paraId="6A50C78E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38048620" w14:textId="77777777" w:rsidR="00FC40AA" w:rsidRDefault="00FC40AA" w:rsidP="000F2368">
            <w:pPr>
              <w:pStyle w:val="CM17"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zriedkavé</w:t>
            </w:r>
          </w:p>
          <w:p w14:paraId="209A56EA" w14:textId="77777777" w:rsidR="00FC40AA" w:rsidRDefault="00FC40AA" w:rsidP="00FC40AA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</w:pPr>
            <w:proofErr w:type="spellStart"/>
            <w:r>
              <w:rPr>
                <w:sz w:val="22"/>
                <w:szCs w:val="22"/>
                <w:lang w:val="sk-SK"/>
              </w:rPr>
              <w:t>Trombocytóza</w:t>
            </w:r>
            <w:proofErr w:type="spellEnd"/>
          </w:p>
        </w:tc>
      </w:tr>
      <w:tr w:rsidR="00FC40AA" w14:paraId="55C8A3DE" w14:textId="77777777" w:rsidTr="00C03C74">
        <w:trPr>
          <w:trHeight w:val="55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F747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13E41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Veľmi zriedkavé</w:t>
            </w:r>
          </w:p>
          <w:p w14:paraId="592E06D3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Anafylaktoidná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reakcia</w:t>
            </w:r>
          </w:p>
        </w:tc>
      </w:tr>
      <w:tr w:rsidR="00FC40AA" w14:paraId="537F6AAC" w14:textId="77777777" w:rsidTr="00C03C74">
        <w:trPr>
          <w:trHeight w:val="57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37170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39DD7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Časté</w:t>
            </w:r>
          </w:p>
          <w:p w14:paraId="5BAB3E3C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Anorexia</w:t>
            </w:r>
            <w:proofErr w:type="spellEnd"/>
          </w:p>
        </w:tc>
      </w:tr>
      <w:tr w:rsidR="00FC40AA" w:rsidRPr="00A30CD6" w14:paraId="2A3E5D40" w14:textId="77777777" w:rsidTr="00C03C74">
        <w:trPr>
          <w:trHeight w:val="109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2C3162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F61D4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Časté</w:t>
            </w:r>
          </w:p>
          <w:p w14:paraId="0808EB12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Bolesť hlavy </w:t>
            </w:r>
          </w:p>
          <w:p w14:paraId="592EB7FA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Nespavosť </w:t>
            </w:r>
          </w:p>
          <w:p w14:paraId="7054D2A0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Somnolencia</w:t>
            </w:r>
            <w:proofErr w:type="spellEnd"/>
          </w:p>
          <w:p w14:paraId="0121380B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726FB178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 časté</w:t>
            </w:r>
          </w:p>
          <w:p w14:paraId="41F840A1" w14:textId="77777777" w:rsidR="00FC40AA" w:rsidRDefault="00FC40AA" w:rsidP="00FC40AA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príhoda</w:t>
            </w:r>
          </w:p>
          <w:p w14:paraId="6BD4456A" w14:textId="77777777" w:rsidR="00FC40AA" w:rsidRDefault="00FC40AA" w:rsidP="000F2368">
            <w:pPr>
              <w:pStyle w:val="Default"/>
              <w:tabs>
                <w:tab w:val="left" w:pos="657"/>
              </w:tabs>
              <w:ind w:left="657" w:hanging="284"/>
            </w:pPr>
          </w:p>
          <w:p w14:paraId="4977E70C" w14:textId="77777777" w:rsidR="00FC40AA" w:rsidRDefault="00FC40AA" w:rsidP="000F2368">
            <w:pPr>
              <w:pStyle w:val="CM17"/>
              <w:spacing w:line="240" w:lineRule="auto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zriedkavé</w:t>
            </w:r>
          </w:p>
          <w:p w14:paraId="17E794A6" w14:textId="44D7D516" w:rsidR="00FC40AA" w:rsidRPr="004D1E58" w:rsidRDefault="006A2C66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Syndróm r</w:t>
            </w:r>
            <w:r w:rsidR="00FC40AA">
              <w:rPr>
                <w:sz w:val="22"/>
                <w:szCs w:val="22"/>
                <w:lang w:val="sk-SK"/>
              </w:rPr>
              <w:t>everzibiln</w:t>
            </w:r>
            <w:r>
              <w:rPr>
                <w:sz w:val="22"/>
                <w:szCs w:val="22"/>
                <w:lang w:val="sk-SK"/>
              </w:rPr>
              <w:t>ej</w:t>
            </w:r>
            <w:r w:rsidR="00FC40A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F4325B">
              <w:rPr>
                <w:sz w:val="22"/>
                <w:szCs w:val="22"/>
                <w:lang w:val="sk-SK"/>
              </w:rPr>
              <w:t>posteriórnej</w:t>
            </w:r>
            <w:proofErr w:type="spellEnd"/>
            <w:r w:rsidR="00F4325B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FC40AA">
              <w:rPr>
                <w:sz w:val="22"/>
                <w:szCs w:val="22"/>
                <w:lang w:val="sk-SK"/>
              </w:rPr>
              <w:t>encefalopati</w:t>
            </w:r>
            <w:r w:rsidR="00F4325B">
              <w:rPr>
                <w:sz w:val="22"/>
                <w:szCs w:val="22"/>
                <w:lang w:val="sk-SK"/>
              </w:rPr>
              <w:t>e</w:t>
            </w:r>
            <w:proofErr w:type="spellEnd"/>
            <w:r w:rsidR="00F4325B">
              <w:rPr>
                <w:sz w:val="22"/>
                <w:szCs w:val="22"/>
                <w:lang w:val="sk-SK"/>
              </w:rPr>
              <w:t xml:space="preserve"> </w:t>
            </w:r>
            <w:r w:rsidR="00FC40AA">
              <w:rPr>
                <w:sz w:val="22"/>
                <w:szCs w:val="22"/>
                <w:lang w:val="sk-SK"/>
              </w:rPr>
              <w:t>(pozri časť 4.4)</w:t>
            </w:r>
          </w:p>
        </w:tc>
      </w:tr>
      <w:tr w:rsidR="00FC40AA" w14:paraId="48564072" w14:textId="77777777" w:rsidTr="00C03C74">
        <w:trPr>
          <w:trHeight w:val="57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8C3BE3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E252EC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 časté</w:t>
            </w:r>
          </w:p>
          <w:p w14:paraId="08941150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Arytmie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, predovšetkým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supraventrikulárnej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povahy</w:t>
            </w:r>
          </w:p>
          <w:p w14:paraId="3368DAEB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Zlyhanie srdca</w:t>
            </w:r>
          </w:p>
          <w:p w14:paraId="58A32D54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70EE60E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Zriedkavé</w:t>
            </w:r>
          </w:p>
          <w:p w14:paraId="619C6832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</w:pPr>
            <w:r w:rsidRPr="00C03C74">
              <w:rPr>
                <w:sz w:val="22"/>
                <w:szCs w:val="22"/>
                <w:lang w:val="sk-SK"/>
              </w:rPr>
              <w:t>Infarkt myokardu</w:t>
            </w:r>
          </w:p>
        </w:tc>
      </w:tr>
      <w:tr w:rsidR="00FC40AA" w:rsidRPr="00A30CD6" w14:paraId="0BAF6B84" w14:textId="77777777" w:rsidTr="00C03C74">
        <w:trPr>
          <w:trHeight w:val="55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3400A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8551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Zriedkavé</w:t>
            </w:r>
          </w:p>
          <w:p w14:paraId="09C34B6C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Klinické znaky periférnej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vaskulitídy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a gangrény</w:t>
            </w:r>
          </w:p>
          <w:p w14:paraId="24311D4B" w14:textId="77777777" w:rsidR="00FC40AA" w:rsidRDefault="00FC40AA" w:rsidP="00FC40AA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Hypotenzia</w:t>
            </w:r>
          </w:p>
          <w:p w14:paraId="0B3D7C6C" w14:textId="77777777" w:rsidR="00FC40AA" w:rsidRDefault="00FC40AA" w:rsidP="000F2368">
            <w:pPr>
              <w:pStyle w:val="Default"/>
              <w:tabs>
                <w:tab w:val="left" w:pos="657"/>
              </w:tabs>
              <w:ind w:left="657" w:hanging="284"/>
              <w:rPr>
                <w:sz w:val="22"/>
                <w:szCs w:val="22"/>
                <w:lang w:val="sk-SK"/>
              </w:rPr>
            </w:pPr>
          </w:p>
          <w:p w14:paraId="50DAFB39" w14:textId="77777777" w:rsidR="00FC40AA" w:rsidRDefault="00FC40AA" w:rsidP="000F2368">
            <w:pPr>
              <w:pStyle w:val="CM17"/>
              <w:spacing w:line="240" w:lineRule="auto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zriedkavé</w:t>
            </w:r>
          </w:p>
          <w:p w14:paraId="7BE49830" w14:textId="77777777" w:rsidR="00FC40AA" w:rsidRPr="004D1E58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Syndróm kapilárneho úniku (pozri časť 4.4)</w:t>
            </w:r>
          </w:p>
        </w:tc>
      </w:tr>
      <w:tr w:rsidR="00FC40AA" w:rsidRPr="00A30CD6" w14:paraId="442D054D" w14:textId="77777777" w:rsidTr="00C03C74">
        <w:trPr>
          <w:trHeight w:val="3612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6704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color w:val="auto"/>
                <w:sz w:val="22"/>
                <w:szCs w:val="22"/>
                <w:lang w:val="sk-SK"/>
              </w:rPr>
              <w:t xml:space="preserve">Poruchy </w:t>
            </w:r>
            <w:r w:rsidRPr="00C03C74">
              <w:rPr>
                <w:sz w:val="22"/>
                <w:szCs w:val="22"/>
                <w:lang w:val="sk-SK"/>
              </w:rPr>
              <w:t xml:space="preserve">dýchacej sústavy, hrudníka 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E9E8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Veľmi časté</w:t>
            </w:r>
          </w:p>
          <w:p w14:paraId="2FC240E0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Dýchavičnosť – zvyčajne mierna a ustupuje rýchlo bez liečby</w:t>
            </w:r>
          </w:p>
          <w:p w14:paraId="4A3F91D0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3C9BA7F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Časté</w:t>
            </w:r>
          </w:p>
          <w:p w14:paraId="6D045D1F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Kašeľ</w:t>
            </w:r>
          </w:p>
          <w:p w14:paraId="5B7556EF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Rinitída</w:t>
            </w:r>
            <w:proofErr w:type="spellEnd"/>
          </w:p>
          <w:p w14:paraId="3F950596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53042182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Menej časté</w:t>
            </w:r>
          </w:p>
          <w:p w14:paraId="60866625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Intersticiálna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pneumonitída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(pozri časť 4.4)</w:t>
            </w:r>
          </w:p>
          <w:p w14:paraId="1F098531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Bronchospazmus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 – zvyčajne mierny a prechodný, môže však vyžadovať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parenterálnu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liečbu</w:t>
            </w:r>
          </w:p>
          <w:p w14:paraId="4B4763EB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CD11447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  <w:p w14:paraId="4C039C78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Pľúcny </w:t>
            </w:r>
            <w:r w:rsidRPr="00C03C74">
              <w:rPr>
                <w:sz w:val="22"/>
                <w:szCs w:val="22"/>
                <w:lang w:val="sk-SK"/>
              </w:rPr>
              <w:t>edém</w:t>
            </w:r>
          </w:p>
          <w:p w14:paraId="419675AB" w14:textId="77777777" w:rsidR="00FC40AA" w:rsidRPr="004D1E58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Syndróm respiračnej tiesne u dospelých (pozri </w:t>
            </w:r>
            <w:r>
              <w:rPr>
                <w:sz w:val="22"/>
                <w:szCs w:val="22"/>
                <w:lang w:val="sk-SK"/>
              </w:rPr>
              <w:t>časť 4.4)</w:t>
            </w:r>
          </w:p>
        </w:tc>
      </w:tr>
      <w:tr w:rsidR="00FC40AA" w14:paraId="37D38FC8" w14:textId="77777777" w:rsidTr="00C03C74">
        <w:trPr>
          <w:trHeight w:val="213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12F32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lastRenderedPageBreak/>
              <w:t xml:space="preserve">Poruchy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4AF0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Veľmi časté</w:t>
            </w:r>
          </w:p>
          <w:p w14:paraId="77038E62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Vracanie</w:t>
            </w:r>
          </w:p>
          <w:p w14:paraId="5E7A4474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Nevoľnosť</w:t>
            </w:r>
          </w:p>
          <w:p w14:paraId="13A103EA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231FDF75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Časté</w:t>
            </w:r>
          </w:p>
          <w:p w14:paraId="18CC4EDE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Hnačka</w:t>
            </w:r>
          </w:p>
          <w:p w14:paraId="70FA5970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Stomatitída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ulcerácia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v ústach</w:t>
            </w:r>
          </w:p>
          <w:p w14:paraId="4F45FFC5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Zápcha</w:t>
            </w:r>
          </w:p>
          <w:p w14:paraId="4B71F990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6E7FF0B6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zriedkavé</w:t>
            </w:r>
          </w:p>
          <w:p w14:paraId="3D42696F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</w:pPr>
            <w:r w:rsidRPr="00C03C74">
              <w:rPr>
                <w:sz w:val="22"/>
                <w:szCs w:val="22"/>
                <w:lang w:val="sk-SK"/>
              </w:rPr>
              <w:t>Ischemická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kolitída</w:t>
            </w:r>
            <w:proofErr w:type="spellEnd"/>
          </w:p>
        </w:tc>
      </w:tr>
      <w:tr w:rsidR="00FC40AA" w:rsidRPr="000E5843" w14:paraId="35B795BF" w14:textId="77777777" w:rsidTr="00C03C74">
        <w:trPr>
          <w:trHeight w:val="261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FB7EF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color w:val="auto"/>
                <w:sz w:val="22"/>
                <w:szCs w:val="22"/>
                <w:lang w:val="sk-SK"/>
              </w:rPr>
              <w:t>Poruchy</w:t>
            </w:r>
            <w:r w:rsidRPr="00C03C74">
              <w:rPr>
                <w:sz w:val="22"/>
                <w:szCs w:val="22"/>
                <w:lang w:val="sk-SK"/>
              </w:rPr>
              <w:t xml:space="preserve"> pečene a žlčových ciest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2238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Veľmi časté</w:t>
            </w:r>
          </w:p>
          <w:p w14:paraId="13AD8262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Zvýšenie pečeňových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transamináz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(AST a ALT) a alkalickej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fosfatázy</w:t>
            </w:r>
            <w:proofErr w:type="spellEnd"/>
          </w:p>
          <w:p w14:paraId="026F9A62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E825E99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Časté</w:t>
            </w:r>
          </w:p>
          <w:p w14:paraId="3A73C184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bilirubínu</w:t>
            </w:r>
            <w:proofErr w:type="spellEnd"/>
          </w:p>
          <w:p w14:paraId="05D3BCB3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26FAC70A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Menej časté</w:t>
            </w:r>
          </w:p>
          <w:p w14:paraId="7DB2A452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Závažná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hepatotoxicita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>, vrátane zlyhania pečene a úmrtia</w:t>
            </w:r>
          </w:p>
          <w:p w14:paraId="4956C7E3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213F3119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Zriedkavé</w:t>
            </w:r>
          </w:p>
          <w:p w14:paraId="104B5990" w14:textId="77777777" w:rsidR="00FC40AA" w:rsidRPr="004D1E58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gamma-glutamyl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transferázy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(GGT)</w:t>
            </w:r>
          </w:p>
        </w:tc>
      </w:tr>
      <w:tr w:rsidR="00FC40AA" w14:paraId="236E78FE" w14:textId="77777777" w:rsidTr="00C03C74">
        <w:trPr>
          <w:trHeight w:val="475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F88F36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AE7C2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Veľmi časté</w:t>
            </w:r>
          </w:p>
          <w:p w14:paraId="51B9A87C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Alergická kožná vyrážka často spojená so svrbením</w:t>
            </w:r>
          </w:p>
          <w:p w14:paraId="5A8180ED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Alopécia</w:t>
            </w:r>
            <w:proofErr w:type="spellEnd"/>
          </w:p>
          <w:p w14:paraId="353BEE46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5730B5AA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Časté</w:t>
            </w:r>
          </w:p>
          <w:p w14:paraId="02B62A7B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Svrbenie</w:t>
            </w:r>
          </w:p>
          <w:p w14:paraId="21885D7E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Potenie</w:t>
            </w:r>
          </w:p>
          <w:p w14:paraId="07777615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CF9BCCD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Zriedkavé</w:t>
            </w:r>
          </w:p>
          <w:p w14:paraId="63CCCEA6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Závažné kožné reakcie, vrátane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deskvamácie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bulóznych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kožných erupcií</w:t>
            </w:r>
          </w:p>
          <w:p w14:paraId="4320AFC3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Ulcerácia</w:t>
            </w:r>
            <w:proofErr w:type="spellEnd"/>
          </w:p>
          <w:p w14:paraId="5803B689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Tvorba pľuzgierov a rán</w:t>
            </w:r>
          </w:p>
          <w:p w14:paraId="217E98C9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Tvorba šupín</w:t>
            </w:r>
          </w:p>
          <w:p w14:paraId="10B829E5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42BE5A0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Veľmi zriedkavé</w:t>
            </w:r>
          </w:p>
          <w:p w14:paraId="2314DDC7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Toxická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epidermálna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nekrolýza</w:t>
            </w:r>
            <w:proofErr w:type="spellEnd"/>
          </w:p>
          <w:p w14:paraId="728CED09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</w:pPr>
            <w:proofErr w:type="spellStart"/>
            <w:r>
              <w:rPr>
                <w:sz w:val="22"/>
                <w:szCs w:val="22"/>
                <w:lang w:val="sk-SK"/>
              </w:rPr>
              <w:t>Stevensov</w:t>
            </w:r>
            <w:r>
              <w:rPr>
                <w:sz w:val="22"/>
                <w:szCs w:val="22"/>
                <w:lang w:val="sk-SK"/>
              </w:rPr>
              <w:noBreakHyphen/>
              <w:t>Johnsonov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syndróm</w:t>
            </w:r>
          </w:p>
        </w:tc>
      </w:tr>
      <w:tr w:rsidR="00FC40AA" w14:paraId="68AE67D4" w14:textId="77777777" w:rsidTr="00C03C74">
        <w:trPr>
          <w:trHeight w:val="82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47260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BF5D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Časté</w:t>
            </w:r>
          </w:p>
          <w:p w14:paraId="756E419A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Bolesť chrbta</w:t>
            </w:r>
          </w:p>
          <w:p w14:paraId="21D7A3AA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Myalgia</w:t>
            </w:r>
            <w:proofErr w:type="spellEnd"/>
          </w:p>
        </w:tc>
      </w:tr>
      <w:tr w:rsidR="00FC40AA" w:rsidRPr="00A30CD6" w14:paraId="67933CCA" w14:textId="77777777" w:rsidTr="00C03C74">
        <w:trPr>
          <w:trHeight w:val="84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1D44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lastRenderedPageBreak/>
              <w:t xml:space="preserve">Poruchy obličiek </w:t>
            </w:r>
            <w:r>
              <w:rPr>
                <w:sz w:val="22"/>
                <w:szCs w:val="22"/>
                <w:lang w:val="sk-SK"/>
              </w:rPr>
              <w:t>a</w:t>
            </w:r>
            <w:r w:rsidRPr="00C03C74">
              <w:rPr>
                <w:sz w:val="22"/>
                <w:szCs w:val="22"/>
                <w:lang w:val="sk-SK"/>
              </w:rPr>
              <w:t> </w:t>
            </w:r>
            <w:r>
              <w:rPr>
                <w:sz w:val="22"/>
                <w:szCs w:val="22"/>
                <w:lang w:val="sk-SK"/>
              </w:rPr>
              <w:t>močových ciest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66BC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Veľmi časté</w:t>
            </w:r>
          </w:p>
          <w:p w14:paraId="2BA71A82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Hematúria</w:t>
            </w:r>
            <w:proofErr w:type="spellEnd"/>
          </w:p>
          <w:p w14:paraId="44B0A965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Mierna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proteinúria</w:t>
            </w:r>
            <w:proofErr w:type="spellEnd"/>
          </w:p>
          <w:p w14:paraId="485F5C0F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D5B9986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 časté</w:t>
            </w:r>
          </w:p>
          <w:p w14:paraId="0E1D56A4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Zlyhanie obličiek (pozri </w:t>
            </w:r>
            <w:r>
              <w:rPr>
                <w:sz w:val="22"/>
                <w:szCs w:val="22"/>
                <w:lang w:val="sk-SK"/>
              </w:rPr>
              <w:t>časť </w:t>
            </w:r>
            <w:r w:rsidRPr="00C03C74">
              <w:rPr>
                <w:sz w:val="22"/>
                <w:szCs w:val="22"/>
                <w:lang w:val="sk-SK"/>
              </w:rPr>
              <w:t>4.4)</w:t>
            </w:r>
          </w:p>
          <w:p w14:paraId="16918475" w14:textId="77777777" w:rsidR="00FC40AA" w:rsidRPr="004D1E58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Hemolytický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uremický syndróm (pozri </w:t>
            </w:r>
            <w:r>
              <w:rPr>
                <w:sz w:val="22"/>
                <w:szCs w:val="22"/>
                <w:lang w:val="sk-SK"/>
              </w:rPr>
              <w:t>časť </w:t>
            </w:r>
            <w:r w:rsidRPr="00C03C74">
              <w:rPr>
                <w:sz w:val="22"/>
                <w:szCs w:val="22"/>
                <w:lang w:val="sk-SK"/>
              </w:rPr>
              <w:t>4.4)</w:t>
            </w:r>
          </w:p>
        </w:tc>
      </w:tr>
      <w:tr w:rsidR="00FC40AA" w:rsidRPr="000E5843" w14:paraId="69DB8E6C" w14:textId="77777777" w:rsidTr="00C03C74">
        <w:trPr>
          <w:trHeight w:val="266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0BBE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Celkové poruchy</w:t>
            </w:r>
            <w:r w:rsidRPr="00C03C74">
              <w:rPr>
                <w:sz w:val="22"/>
                <w:szCs w:val="22"/>
                <w:lang w:val="sk-SK"/>
              </w:rPr>
              <w:t xml:space="preserve"> a reakcie v mieste podania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4341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Veľmi časté</w:t>
            </w:r>
          </w:p>
          <w:p w14:paraId="5D63D62D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Príznaky podobné chrípke – najčastejšie príznaky sú horúčka, bolesť hlavy, zimnica,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myalgia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, asténia 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anorexia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. Boli tiež hlásené kašeľ,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rinitída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>, malátnosť, potenie a problémy so spánkom.</w:t>
            </w:r>
          </w:p>
          <w:p w14:paraId="5A1C53B6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Edém/periférny edém – vrátane edému tváre. Edém je zvyčajne reverzibilný po skončení liečby.</w:t>
            </w:r>
          </w:p>
          <w:p w14:paraId="0BC46561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872022C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Časté</w:t>
            </w:r>
          </w:p>
          <w:p w14:paraId="18CA13D9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Horúčka</w:t>
            </w:r>
          </w:p>
          <w:p w14:paraId="1B6838B6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Asténia</w:t>
            </w:r>
          </w:p>
          <w:p w14:paraId="08545F89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Zimnica</w:t>
            </w:r>
          </w:p>
          <w:p w14:paraId="27E1ADD6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17D6C4E2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Zriedkavé</w:t>
            </w:r>
          </w:p>
          <w:p w14:paraId="254BD949" w14:textId="77777777" w:rsidR="00FC40AA" w:rsidRPr="004D1E58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lang w:val="pl-PL"/>
              </w:rPr>
            </w:pPr>
            <w:r w:rsidRPr="00C03C74">
              <w:rPr>
                <w:sz w:val="22"/>
                <w:szCs w:val="22"/>
                <w:lang w:val="sk-SK"/>
              </w:rPr>
              <w:t>Reakcie v mieste vpichu – prevažne mierneho charakteru</w:t>
            </w:r>
          </w:p>
        </w:tc>
      </w:tr>
      <w:tr w:rsidR="00FC40AA" w:rsidRPr="000E5843" w14:paraId="68F6FC52" w14:textId="77777777" w:rsidTr="00C03C74">
        <w:trPr>
          <w:trHeight w:val="57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BB53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1CD1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Zriedkavé</w:t>
            </w:r>
          </w:p>
          <w:p w14:paraId="3B6C6A93" w14:textId="77777777" w:rsidR="00FC40AA" w:rsidRPr="00C03C74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Radiačná toxicita (pozri časť 4.5)</w:t>
            </w:r>
          </w:p>
          <w:p w14:paraId="49414B6A" w14:textId="77777777" w:rsidR="00FC40AA" w:rsidRPr="004D1E58" w:rsidRDefault="00FC40AA" w:rsidP="00C03C74">
            <w:pPr>
              <w:pStyle w:val="CM18"/>
              <w:numPr>
                <w:ilvl w:val="0"/>
                <w:numId w:val="19"/>
              </w:numPr>
              <w:tabs>
                <w:tab w:val="left" w:pos="657"/>
              </w:tabs>
              <w:suppressAutoHyphens/>
              <w:autoSpaceDN/>
              <w:adjustRightInd/>
              <w:spacing w:line="240" w:lineRule="auto"/>
              <w:ind w:left="657" w:hanging="284"/>
              <w:rPr>
                <w:lang w:val="pl-PL"/>
              </w:rPr>
            </w:pPr>
            <w:r w:rsidRPr="00C03C74">
              <w:rPr>
                <w:sz w:val="22"/>
                <w:szCs w:val="22"/>
                <w:lang w:val="sk-SK"/>
              </w:rPr>
              <w:t>Návrat reakcie na ožarovanie („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recall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>“ reakcia)</w:t>
            </w:r>
          </w:p>
        </w:tc>
      </w:tr>
    </w:tbl>
    <w:p w14:paraId="663AB552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754AFB54" w14:textId="77777777" w:rsidR="00FC40AA" w:rsidRPr="00C03C74" w:rsidRDefault="00FC40AA" w:rsidP="00C03C74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Používanie v kombinácii pri karcinóme prsníka</w:t>
      </w:r>
    </w:p>
    <w:p w14:paraId="5898BEF9" w14:textId="77777777" w:rsidR="00FC40AA" w:rsidRPr="00C03C74" w:rsidRDefault="00FC40AA" w:rsidP="00FC40AA">
      <w:pPr>
        <w:pStyle w:val="CM29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Frekvencia hematologickej toxicity 3. a 4. stupňa, najmä </w:t>
      </w:r>
      <w:proofErr w:type="spellStart"/>
      <w:r w:rsidRPr="00C03C74">
        <w:rPr>
          <w:sz w:val="22"/>
          <w:szCs w:val="22"/>
          <w:lang w:val="sk-SK"/>
        </w:rPr>
        <w:t>neutropénie</w:t>
      </w:r>
      <w:proofErr w:type="spellEnd"/>
      <w:r w:rsidRPr="00C03C74">
        <w:rPr>
          <w:sz w:val="22"/>
          <w:szCs w:val="22"/>
          <w:lang w:val="sk-SK"/>
        </w:rPr>
        <w:t xml:space="preserve">, sa zvyšuje, keď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používa v kombinácii s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 xml:space="preserve">. Zvýšenie týchto nežiaducich reakcií nie je však spojené so zvýšeným výskytom infekcií alebo </w:t>
      </w:r>
      <w:proofErr w:type="spellStart"/>
      <w:r w:rsidRPr="00C03C74">
        <w:rPr>
          <w:sz w:val="22"/>
          <w:szCs w:val="22"/>
          <w:lang w:val="sk-SK"/>
        </w:rPr>
        <w:t>hemoragických</w:t>
      </w:r>
      <w:proofErr w:type="spellEnd"/>
      <w:r w:rsidRPr="00C03C74">
        <w:rPr>
          <w:sz w:val="22"/>
          <w:szCs w:val="22"/>
          <w:lang w:val="sk-SK"/>
        </w:rPr>
        <w:t xml:space="preserve"> príhod. Únava a </w:t>
      </w:r>
      <w:proofErr w:type="spellStart"/>
      <w:r w:rsidRPr="00C03C74">
        <w:rPr>
          <w:sz w:val="22"/>
          <w:szCs w:val="22"/>
          <w:lang w:val="sk-SK"/>
        </w:rPr>
        <w:t>febrilná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neutropénia</w:t>
      </w:r>
      <w:proofErr w:type="spellEnd"/>
      <w:r w:rsidRPr="00C03C74">
        <w:rPr>
          <w:sz w:val="22"/>
          <w:szCs w:val="22"/>
          <w:lang w:val="sk-SK"/>
        </w:rPr>
        <w:t xml:space="preserve"> sa vyskytujú častejšie, keď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používa v kombinácii s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>. Únava, ktorá nie je spojená s anémiou, zvyčajne ustúpi po prvom cykle.</w:t>
      </w:r>
    </w:p>
    <w:p w14:paraId="76E3413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083"/>
        <w:gridCol w:w="1347"/>
        <w:gridCol w:w="1347"/>
        <w:gridCol w:w="1347"/>
        <w:gridCol w:w="1363"/>
      </w:tblGrid>
      <w:tr w:rsidR="00FC40AA" w:rsidRPr="00A30CD6" w14:paraId="6E5B5AE8" w14:textId="77777777" w:rsidTr="00C03C74">
        <w:trPr>
          <w:trHeight w:val="419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480F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lastRenderedPageBreak/>
              <w:t>Nežiaduce reakcie 3. a 4. stupňa</w:t>
            </w:r>
          </w:p>
          <w:p w14:paraId="47BB0FD6" w14:textId="77777777" w:rsidR="00FC40AA" w:rsidRPr="004D1E58" w:rsidRDefault="00FC40AA" w:rsidP="000F2368">
            <w:pPr>
              <w:pStyle w:val="Default"/>
              <w:keepNext/>
              <w:keepLines/>
              <w:jc w:val="center"/>
              <w:rPr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Paklitaxel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verzus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paklitaxel</w:t>
            </w:r>
            <w:proofErr w:type="spellEnd"/>
          </w:p>
        </w:tc>
      </w:tr>
      <w:tr w:rsidR="00FC40AA" w14:paraId="2F110272" w14:textId="77777777" w:rsidTr="00C03C74">
        <w:trPr>
          <w:trHeight w:val="263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B7223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5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8C4B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Počet (%) pacientov</w:t>
            </w:r>
          </w:p>
        </w:tc>
      </w:tr>
      <w:tr w:rsidR="00FC40AA" w14:paraId="2B68BC32" w14:textId="77777777" w:rsidTr="00C03C74">
        <w:trPr>
          <w:trHeight w:val="513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7AA27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72BB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Paklitaxelové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rameno (N=259)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649A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paklitaxel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</w:p>
          <w:p w14:paraId="2B85144E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(N=262)</w:t>
            </w:r>
          </w:p>
        </w:tc>
      </w:tr>
      <w:tr w:rsidR="00FC40AA" w14:paraId="29CCE5C6" w14:textId="77777777" w:rsidTr="00C03C74">
        <w:trPr>
          <w:trHeight w:val="263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850E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56173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 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839E5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4. 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B3C0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 stupeň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9103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4. stupeň</w:t>
            </w:r>
          </w:p>
        </w:tc>
      </w:tr>
      <w:tr w:rsidR="00FC40AA" w14:paraId="77C0E6F0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7B3EC" w14:textId="77777777" w:rsidR="00FC40AA" w:rsidRPr="00C03C74" w:rsidRDefault="00FC40AA" w:rsidP="000F2368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E3A27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9C6B3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CDBE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D082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3143D223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86B9D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Anémia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54B90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 (1,9)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B1DF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9AB1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15 (5,7)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5A9A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3 (1,1)</w:t>
            </w:r>
          </w:p>
        </w:tc>
      </w:tr>
      <w:tr w:rsidR="00FC40AA" w14:paraId="7B8C9D93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15CDD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3D1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854AD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48F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14 (5,3)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F695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</w:tr>
      <w:tr w:rsidR="00FC40AA" w14:paraId="48CB6F21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FC5F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BEFA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11 (4,2)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36F8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17 (6,6)*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F79C5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82 (31,3)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64D2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45 (17,2)*</w:t>
            </w:r>
          </w:p>
        </w:tc>
      </w:tr>
      <w:tr w:rsidR="00FC40AA" w14:paraId="74572018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3096" w14:textId="77777777" w:rsidR="00FC40AA" w:rsidRPr="00C03C74" w:rsidRDefault="00FC40AA" w:rsidP="000F2368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BE0A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4D6A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4B5CB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283B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65024C2F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72F8E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Febrilná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3792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 (1,2)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8C5D6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8EDD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12 (4,6)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923F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</w:tr>
      <w:tr w:rsidR="00FC40AA" w14:paraId="5B48DCCD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83FD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13D61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 (1,2)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C7C1E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2687B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15 (5,7)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31DE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2 (0,8)</w:t>
            </w:r>
          </w:p>
        </w:tc>
      </w:tr>
      <w:tr w:rsidR="00FC40AA" w14:paraId="0D55792F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856F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A874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 (1,9)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D154E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6F66D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8 (3,1)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8A11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</w:tr>
      <w:tr w:rsidR="00FC40AA" w14:paraId="1FB7F20E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6ACBC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Motorická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D65AA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(0,8)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FB88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B62E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6 (2,3)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E113B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</w:tr>
      <w:tr w:rsidR="00FC40AA" w14:paraId="218B08C4" w14:textId="77777777" w:rsidTr="00C03C74">
        <w:trPr>
          <w:trHeight w:val="268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DD308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Senzorická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D2D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9 (3,5)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66263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597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14 (5,3)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FA7A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</w:tr>
    </w:tbl>
    <w:p w14:paraId="6DDC1700" w14:textId="77777777" w:rsidR="00FC40AA" w:rsidRPr="00C03C74" w:rsidRDefault="00FC40AA" w:rsidP="00FC40AA">
      <w:pPr>
        <w:pStyle w:val="CM12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* </w:t>
      </w:r>
      <w:proofErr w:type="spellStart"/>
      <w:r w:rsidRPr="00C03C74">
        <w:rPr>
          <w:sz w:val="22"/>
          <w:szCs w:val="22"/>
          <w:lang w:val="sk-SK"/>
        </w:rPr>
        <w:t>Neutropénia</w:t>
      </w:r>
      <w:proofErr w:type="spellEnd"/>
      <w:r w:rsidRPr="00C03C74">
        <w:rPr>
          <w:sz w:val="22"/>
          <w:szCs w:val="22"/>
          <w:lang w:val="sk-SK"/>
        </w:rPr>
        <w:t xml:space="preserve"> 4. stupňa trvajúca viac ako 7 dní sa vyskytovala u 12,6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 v kombinovanom ramene a u 5,0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pacientov v </w:t>
      </w:r>
      <w:proofErr w:type="spellStart"/>
      <w:r w:rsidRPr="00C03C74">
        <w:rPr>
          <w:sz w:val="22"/>
          <w:szCs w:val="22"/>
          <w:lang w:val="sk-SK"/>
        </w:rPr>
        <w:t>paklitaxelovom</w:t>
      </w:r>
      <w:proofErr w:type="spellEnd"/>
      <w:r w:rsidRPr="00C03C74">
        <w:rPr>
          <w:sz w:val="22"/>
          <w:szCs w:val="22"/>
          <w:lang w:val="sk-SK"/>
        </w:rPr>
        <w:t xml:space="preserve"> ramene.</w:t>
      </w:r>
    </w:p>
    <w:p w14:paraId="2F6B4600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1693029" w14:textId="77777777" w:rsidR="00FC40AA" w:rsidRPr="00C03C74" w:rsidRDefault="00FC40AA" w:rsidP="00C03C74">
      <w:pPr>
        <w:pStyle w:val="CM29"/>
        <w:spacing w:after="0"/>
        <w:rPr>
          <w:sz w:val="22"/>
          <w:szCs w:val="22"/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Používanie v kombinácii pri karcinóme močového mechúra</w:t>
      </w:r>
    </w:p>
    <w:p w14:paraId="7B697DA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083"/>
        <w:gridCol w:w="1347"/>
        <w:gridCol w:w="1347"/>
        <w:gridCol w:w="1347"/>
        <w:gridCol w:w="1363"/>
      </w:tblGrid>
      <w:tr w:rsidR="00FC40AA" w:rsidRPr="00A30CD6" w14:paraId="43087D7E" w14:textId="77777777" w:rsidTr="00C03C74">
        <w:trPr>
          <w:trHeight w:val="403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FA3C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Nežiaduce reakcie 3. a 4. stupňa</w:t>
            </w:r>
          </w:p>
          <w:p w14:paraId="155D9ACE" w14:textId="77777777" w:rsidR="00FC40AA" w:rsidRPr="004D1E58" w:rsidRDefault="00FC40AA" w:rsidP="000F2368">
            <w:pPr>
              <w:pStyle w:val="Default"/>
              <w:jc w:val="center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MVAC verzus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cisplatina</w:t>
            </w:r>
            <w:proofErr w:type="spellEnd"/>
          </w:p>
        </w:tc>
      </w:tr>
      <w:tr w:rsidR="00FC40AA" w14:paraId="6E85CEB5" w14:textId="77777777" w:rsidTr="00C03C74">
        <w:trPr>
          <w:trHeight w:val="263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32E81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5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DBA3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Počet (%) pacientov</w:t>
            </w:r>
          </w:p>
        </w:tc>
      </w:tr>
      <w:tr w:rsidR="00FC40AA" w14:paraId="7424C079" w14:textId="77777777" w:rsidTr="00C03C74">
        <w:trPr>
          <w:trHeight w:val="1060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7F56F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6A95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Rameno MVAC (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metotrexát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vinblastín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doxorubicín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cisplatina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>)</w:t>
            </w:r>
          </w:p>
          <w:p w14:paraId="6058A600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(N=196)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3FF7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cisplatina</w:t>
            </w:r>
            <w:proofErr w:type="spellEnd"/>
          </w:p>
          <w:p w14:paraId="4CD3CB22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(N=200)</w:t>
            </w:r>
          </w:p>
        </w:tc>
      </w:tr>
      <w:tr w:rsidR="00FC40AA" w14:paraId="025E458B" w14:textId="77777777" w:rsidTr="00C03C74">
        <w:trPr>
          <w:trHeight w:val="263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8DC17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03B0B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 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5E2EC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4. 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F4DFA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 stupeň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4C48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4. stupeň</w:t>
            </w:r>
          </w:p>
        </w:tc>
      </w:tr>
      <w:tr w:rsidR="00FC40AA" w14:paraId="770531D3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EA1BC" w14:textId="77777777" w:rsidR="00FC40AA" w:rsidRPr="00C03C74" w:rsidRDefault="00FC40AA" w:rsidP="000F2368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FAB00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FF997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E07C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CB97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66CE51C7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560EB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Anémia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3D52F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30 (16)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666A8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 (2)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D1B2A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47 (24)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F5D3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7 (4)</w:t>
            </w:r>
          </w:p>
        </w:tc>
      </w:tr>
      <w:tr w:rsidR="00FC40AA" w14:paraId="2E3373B0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42CFE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EBCC0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15 (8)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BFF98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25 (13)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94F00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57 (29)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723D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57 (29)</w:t>
            </w:r>
          </w:p>
        </w:tc>
      </w:tr>
      <w:tr w:rsidR="00FC40AA" w14:paraId="7BFD4856" w14:textId="77777777" w:rsidTr="00C03C74">
        <w:trPr>
          <w:trHeight w:val="26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0580" w14:textId="77777777" w:rsidR="00FC40AA" w:rsidRPr="00C03C74" w:rsidRDefault="00FC40AA" w:rsidP="000F2368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BBD1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233C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77444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0269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6C340819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1569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Nevoľnosť a vracanie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B34E2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37 (19)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8B6D8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 (2)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B2FCC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44 (22)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68D9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0 (0)</w:t>
            </w:r>
          </w:p>
        </w:tc>
      </w:tr>
      <w:tr w:rsidR="00FC40AA" w14:paraId="1AA05007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9AEC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F2288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15 (8)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C8A3B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 (1)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FD692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6 (3)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7069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0 (0)</w:t>
            </w:r>
          </w:p>
        </w:tc>
      </w:tr>
      <w:tr w:rsidR="00FC40AA" w14:paraId="171F328E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D4E4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5F914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19 (10)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174B1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10 (5)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0E1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 (2)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D4C4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1 (1)</w:t>
            </w:r>
          </w:p>
        </w:tc>
      </w:tr>
      <w:tr w:rsidR="00FC40AA" w14:paraId="7C8EA4E8" w14:textId="77777777" w:rsidTr="00C03C74">
        <w:trPr>
          <w:trHeight w:val="268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332C7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Stomatitída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FB0D2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34 (18)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286E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8 (4)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ECA06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00C0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0 (0)</w:t>
            </w:r>
          </w:p>
        </w:tc>
      </w:tr>
    </w:tbl>
    <w:p w14:paraId="07594C59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07D2B3C0" w14:textId="77777777" w:rsidR="00FC40AA" w:rsidRPr="00C03C74" w:rsidRDefault="00FC40AA" w:rsidP="00C03C74">
      <w:pPr>
        <w:pStyle w:val="CM29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lastRenderedPageBreak/>
        <w:t>Používanie v kombinácii pri karcinóme vaječníkov</w:t>
      </w:r>
    </w:p>
    <w:p w14:paraId="39466FD1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082"/>
        <w:gridCol w:w="1347"/>
        <w:gridCol w:w="1348"/>
        <w:gridCol w:w="1347"/>
        <w:gridCol w:w="1363"/>
      </w:tblGrid>
      <w:tr w:rsidR="00FC40AA" w:rsidRPr="00A30CD6" w14:paraId="1E407054" w14:textId="77777777" w:rsidTr="00C03C74">
        <w:trPr>
          <w:trHeight w:val="528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7F10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Nežiaduce reakcie 3. a 4. stupňa </w:t>
            </w:r>
          </w:p>
          <w:p w14:paraId="51E3765B" w14:textId="77777777" w:rsidR="00FC40AA" w:rsidRPr="004D1E58" w:rsidRDefault="00FC40AA" w:rsidP="000F2368">
            <w:pPr>
              <w:pStyle w:val="Default"/>
              <w:keepNext/>
              <w:keepLines/>
              <w:widowControl/>
              <w:jc w:val="center"/>
              <w:rPr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Karboplatina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verzus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karboplatina</w:t>
            </w:r>
            <w:proofErr w:type="spellEnd"/>
          </w:p>
        </w:tc>
      </w:tr>
      <w:tr w:rsidR="00FC40AA" w14:paraId="17464C16" w14:textId="77777777" w:rsidTr="00C03C74">
        <w:trPr>
          <w:trHeight w:val="263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163E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0631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Počet (%) pacientov</w:t>
            </w:r>
          </w:p>
        </w:tc>
      </w:tr>
      <w:tr w:rsidR="00FC40AA" w14:paraId="0373B6F4" w14:textId="77777777" w:rsidTr="00C03C74">
        <w:trPr>
          <w:trHeight w:val="765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AA00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3C32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Karboplatinové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rameno</w:t>
            </w:r>
          </w:p>
          <w:p w14:paraId="6CA374E1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(N=174)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7CC48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karboplatina</w:t>
            </w:r>
            <w:proofErr w:type="spellEnd"/>
          </w:p>
          <w:p w14:paraId="6CF4B940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(N=175)</w:t>
            </w:r>
          </w:p>
        </w:tc>
      </w:tr>
      <w:tr w:rsidR="00FC40AA" w14:paraId="4440D33F" w14:textId="77777777" w:rsidTr="00C03C74">
        <w:trPr>
          <w:trHeight w:val="263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54EF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0155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 stupeň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8EFA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4. 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F7280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 stupeň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6A3F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4. stupeň</w:t>
            </w:r>
          </w:p>
        </w:tc>
      </w:tr>
      <w:tr w:rsidR="00FC40AA" w14:paraId="652D73D8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E1FF" w14:textId="77777777" w:rsidR="00FC40AA" w:rsidRPr="00C03C74" w:rsidRDefault="00FC40AA" w:rsidP="000F2368">
            <w:pPr>
              <w:pStyle w:val="Default"/>
              <w:keepNext/>
              <w:keepLines/>
              <w:widowControl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E9967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FCCDF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379A8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D210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3FB95509" w14:textId="77777777" w:rsidTr="00C03C74">
        <w:trPr>
          <w:trHeight w:val="26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222FA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Anémia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48DD1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10 (5,7)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138D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 (2,3)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10AA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39 (22,3)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11C4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9 (5,1)</w:t>
            </w:r>
          </w:p>
        </w:tc>
      </w:tr>
      <w:tr w:rsidR="00FC40AA" w14:paraId="2C278C42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00306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E554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19 (10,9)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AB3CA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(1,1)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011E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73 (41,7)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C2D6C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50 (28,6)</w:t>
            </w:r>
          </w:p>
        </w:tc>
      </w:tr>
      <w:tr w:rsidR="00FC40AA" w14:paraId="41DCA310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C9BC5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0753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18 (10,3)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6020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(1,1)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AA9F5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53 (30,3)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D8E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8 (4,6)</w:t>
            </w:r>
          </w:p>
        </w:tc>
      </w:tr>
      <w:tr w:rsidR="00FC40AA" w14:paraId="79DD43CE" w14:textId="77777777" w:rsidTr="00C03C74">
        <w:trPr>
          <w:trHeight w:val="26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861AC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Leukopénia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7DA8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11 (6,3)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2F9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 (0,6)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74C16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84 (48,0)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CEB8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9 (5,1)</w:t>
            </w:r>
          </w:p>
        </w:tc>
      </w:tr>
      <w:tr w:rsidR="00FC40AA" w14:paraId="3017A13C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F234F" w14:textId="77777777" w:rsidR="00FC40AA" w:rsidRPr="00C03C74" w:rsidRDefault="00FC40AA" w:rsidP="000F2368">
            <w:pPr>
              <w:pStyle w:val="Default"/>
              <w:keepNext/>
              <w:keepLines/>
              <w:widowControl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A4FB7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0D3ED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F3100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7C48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09A589B9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54CA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Hemorágia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82A2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62BA3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4DB31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 (1,8)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AB82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(0,0)</w:t>
            </w:r>
          </w:p>
        </w:tc>
      </w:tr>
      <w:tr w:rsidR="00FC40AA" w14:paraId="44D4644E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13C79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Febrilná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9C59F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F528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E094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(1,1)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4CA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(0,0)</w:t>
            </w:r>
          </w:p>
        </w:tc>
      </w:tr>
      <w:tr w:rsidR="00FC40AA" w14:paraId="06185F21" w14:textId="77777777" w:rsidTr="00C03C74">
        <w:trPr>
          <w:trHeight w:val="26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E2AC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Infekcia bez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neutropénie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CAE43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608A5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686A4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(0,0)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4693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(0,6)</w:t>
            </w:r>
          </w:p>
        </w:tc>
      </w:tr>
    </w:tbl>
    <w:p w14:paraId="700633DA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Senzorická </w:t>
      </w:r>
      <w:proofErr w:type="spellStart"/>
      <w:r w:rsidRPr="00C03C74">
        <w:rPr>
          <w:sz w:val="22"/>
          <w:szCs w:val="22"/>
          <w:lang w:val="sk-SK"/>
        </w:rPr>
        <w:t>neuropatia</w:t>
      </w:r>
      <w:proofErr w:type="spellEnd"/>
      <w:r w:rsidRPr="00C03C74">
        <w:rPr>
          <w:sz w:val="22"/>
          <w:szCs w:val="22"/>
          <w:lang w:val="sk-SK"/>
        </w:rPr>
        <w:t xml:space="preserve"> bola tiež častejšia v kombinovanom ramene ako pri samotnej </w:t>
      </w:r>
      <w:proofErr w:type="spellStart"/>
      <w:r w:rsidRPr="00C03C74">
        <w:rPr>
          <w:sz w:val="22"/>
          <w:szCs w:val="22"/>
          <w:lang w:val="sk-SK"/>
        </w:rPr>
        <w:t>karboplatine</w:t>
      </w:r>
      <w:proofErr w:type="spellEnd"/>
      <w:r w:rsidRPr="00C03C74">
        <w:rPr>
          <w:sz w:val="22"/>
          <w:szCs w:val="22"/>
          <w:lang w:val="sk-SK"/>
        </w:rPr>
        <w:t xml:space="preserve">. </w:t>
      </w:r>
    </w:p>
    <w:p w14:paraId="39001B3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4220CB0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94D9CBF" w14:textId="77777777" w:rsidR="00FC40AA" w:rsidRPr="00C03C74" w:rsidRDefault="00FC40AA" w:rsidP="00C03C74">
      <w:pPr>
        <w:autoSpaceDE w:val="0"/>
        <w:rPr>
          <w:sz w:val="22"/>
          <w:lang w:val="sk-SK"/>
        </w:rPr>
      </w:pPr>
      <w:r w:rsidRPr="00C03C74">
        <w:rPr>
          <w:sz w:val="22"/>
          <w:u w:val="single"/>
          <w:lang w:val="sk-SK"/>
        </w:rPr>
        <w:t>Hlásenie podozrení na nežiaduce reakcie</w:t>
      </w:r>
    </w:p>
    <w:p w14:paraId="4D6088F3" w14:textId="10F8D6B3" w:rsidR="00FC40AA" w:rsidRDefault="00FC40AA" w:rsidP="00A23960">
      <w:pPr>
        <w:widowControl w:val="0"/>
        <w:rPr>
          <w:sz w:val="22"/>
          <w:lang w:val="sk-SK"/>
        </w:rPr>
      </w:pPr>
      <w:r w:rsidRPr="00C03C74">
        <w:rPr>
          <w:sz w:val="22"/>
          <w:lang w:val="sk-SK"/>
        </w:rPr>
        <w:t>Hlásenie podozrení na nežiaduce reakcie po registrácii lieku je dôležité.</w:t>
      </w:r>
      <w:r>
        <w:rPr>
          <w:sz w:val="22"/>
          <w:lang w:val="sk-SK"/>
        </w:rPr>
        <w:t xml:space="preserve"> </w:t>
      </w:r>
      <w:r w:rsidRPr="00C03C74">
        <w:rPr>
          <w:sz w:val="22"/>
          <w:lang w:val="sk-SK"/>
        </w:rPr>
        <w:t>Umožňuje priebežné monitorovanie pomeru prínosu</w:t>
      </w:r>
      <w:r>
        <w:rPr>
          <w:sz w:val="22"/>
          <w:lang w:val="sk-SK"/>
        </w:rPr>
        <w:t xml:space="preserve"> a</w:t>
      </w:r>
      <w:r w:rsidRPr="00C03C74">
        <w:rPr>
          <w:sz w:val="22"/>
          <w:lang w:val="sk-SK"/>
        </w:rPr>
        <w:t> rizika lieku.</w:t>
      </w:r>
      <w:r>
        <w:rPr>
          <w:sz w:val="22"/>
          <w:lang w:val="sk-SK"/>
        </w:rPr>
        <w:t xml:space="preserve"> Od zdravotníckych pracovníkov sa vyžaduje, aby hlásili akékoľvek podozrenia na </w:t>
      </w:r>
      <w:r w:rsidR="00A23960" w:rsidRPr="00DB4DB8">
        <w:rPr>
          <w:noProof/>
          <w:sz w:val="22"/>
          <w:szCs w:val="22"/>
          <w:highlight w:val="lightGray"/>
          <w:lang w:val="sk-SK" w:eastAsia="sk-SK"/>
        </w:rPr>
        <w:t>národné</w:t>
      </w:r>
      <w:r w:rsidR="00A23960">
        <w:rPr>
          <w:noProof/>
          <w:sz w:val="22"/>
          <w:szCs w:val="22"/>
          <w:highlight w:val="lightGray"/>
          <w:lang w:val="sk-SK" w:eastAsia="sk-SK"/>
        </w:rPr>
        <w:t xml:space="preserve"> centrum</w:t>
      </w:r>
      <w:r w:rsidR="00A23960" w:rsidRPr="00DB4DB8">
        <w:rPr>
          <w:noProof/>
          <w:sz w:val="22"/>
          <w:szCs w:val="22"/>
          <w:highlight w:val="lightGray"/>
          <w:lang w:val="sk-SK" w:eastAsia="sk-SK"/>
        </w:rPr>
        <w:t xml:space="preserve"> hlásenia uvedené v </w:t>
      </w:r>
      <w:hyperlink r:id="rId7" w:history="1">
        <w:r w:rsidR="00A23960" w:rsidRPr="00DB4DB8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A23960" w:rsidRPr="007006B0">
        <w:rPr>
          <w:bCs/>
          <w:sz w:val="22"/>
          <w:szCs w:val="22"/>
          <w:lang w:val="sk-SK"/>
        </w:rPr>
        <w:t>.</w:t>
      </w:r>
    </w:p>
    <w:p w14:paraId="102C5D26" w14:textId="77777777" w:rsidR="008F1E3A" w:rsidRDefault="008F1E3A" w:rsidP="008F1E3A">
      <w:pPr>
        <w:widowControl w:val="0"/>
        <w:rPr>
          <w:sz w:val="22"/>
          <w:lang w:val="sk-SK"/>
        </w:rPr>
      </w:pPr>
    </w:p>
    <w:p w14:paraId="0B72C35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CBCE47B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4.9</w:t>
      </w:r>
      <w:r w:rsidRPr="00C03C74">
        <w:rPr>
          <w:b/>
          <w:sz w:val="22"/>
          <w:szCs w:val="22"/>
          <w:lang w:val="sk-SK"/>
        </w:rPr>
        <w:tab/>
        <w:t>Predávkovanie</w:t>
      </w:r>
    </w:p>
    <w:p w14:paraId="0596108A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</w:p>
    <w:p w14:paraId="6905270B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Nie je známe žiadne </w:t>
      </w:r>
      <w:proofErr w:type="spellStart"/>
      <w:r w:rsidRPr="00C03C74">
        <w:rPr>
          <w:sz w:val="22"/>
          <w:szCs w:val="22"/>
          <w:lang w:val="sk-SK"/>
        </w:rPr>
        <w:t>antidotum</w:t>
      </w:r>
      <w:proofErr w:type="spellEnd"/>
      <w:r w:rsidRPr="00C03C74">
        <w:rPr>
          <w:sz w:val="22"/>
          <w:szCs w:val="22"/>
          <w:lang w:val="sk-SK"/>
        </w:rPr>
        <w:t xml:space="preserve"> pri predávkovaní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. Dávky vo výške 5 700 mg/m² sa podávali formou intravenóznej infúzie po dobu 30 minút každé 2 týždne s klinicky prijateľnou toxicitou. V prípade podozrenia na predávkovanie sa má pacient sledovať, kontrolovať krvný obraz a v prípade potreby poskytnúť podpornú liečbu. </w:t>
      </w:r>
    </w:p>
    <w:p w14:paraId="05B7B19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32459C6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494E70E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5.</w:t>
      </w:r>
      <w:r w:rsidRPr="00C03C74">
        <w:rPr>
          <w:b/>
          <w:sz w:val="22"/>
          <w:szCs w:val="22"/>
          <w:lang w:val="sk-SK"/>
        </w:rPr>
        <w:tab/>
        <w:t>FARMAKOLOGICKÉ VLASTNOSTI</w:t>
      </w:r>
    </w:p>
    <w:p w14:paraId="6F70F41A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5B51787D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5.1</w:t>
      </w:r>
      <w:r w:rsidRPr="00C03C74">
        <w:rPr>
          <w:b/>
          <w:sz w:val="22"/>
          <w:szCs w:val="22"/>
          <w:lang w:val="sk-SK"/>
        </w:rPr>
        <w:tab/>
      </w:r>
      <w:proofErr w:type="spellStart"/>
      <w:r w:rsidRPr="00C03C74">
        <w:rPr>
          <w:b/>
          <w:sz w:val="22"/>
          <w:szCs w:val="22"/>
          <w:lang w:val="sk-SK"/>
        </w:rPr>
        <w:t>Farmakodynamické</w:t>
      </w:r>
      <w:proofErr w:type="spellEnd"/>
      <w:r w:rsidRPr="00C03C74">
        <w:rPr>
          <w:b/>
          <w:sz w:val="22"/>
          <w:szCs w:val="22"/>
          <w:lang w:val="sk-SK"/>
        </w:rPr>
        <w:t xml:space="preserve"> vlastnosti</w:t>
      </w:r>
    </w:p>
    <w:p w14:paraId="5F883497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07567540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Farmakoterapeutická</w:t>
      </w:r>
      <w:proofErr w:type="spellEnd"/>
      <w:r w:rsidRPr="00C03C74">
        <w:rPr>
          <w:sz w:val="22"/>
          <w:szCs w:val="22"/>
          <w:lang w:val="sk-SK"/>
        </w:rPr>
        <w:t xml:space="preserve"> skupina: </w:t>
      </w:r>
      <w:proofErr w:type="spellStart"/>
      <w:r w:rsidRPr="00C03C74">
        <w:rPr>
          <w:sz w:val="22"/>
          <w:szCs w:val="22"/>
          <w:lang w:val="sk-SK"/>
        </w:rPr>
        <w:t>analógy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pyrimidínu</w:t>
      </w:r>
      <w:proofErr w:type="spellEnd"/>
      <w:r w:rsidRPr="00C03C74">
        <w:rPr>
          <w:sz w:val="22"/>
          <w:szCs w:val="22"/>
          <w:lang w:val="sk-SK"/>
        </w:rPr>
        <w:t xml:space="preserve">, ATC </w:t>
      </w:r>
      <w:r>
        <w:rPr>
          <w:sz w:val="22"/>
          <w:szCs w:val="22"/>
          <w:lang w:val="sk-SK"/>
        </w:rPr>
        <w:t>kód: </w:t>
      </w:r>
      <w:r w:rsidRPr="00C03C74">
        <w:rPr>
          <w:sz w:val="22"/>
          <w:szCs w:val="22"/>
          <w:lang w:val="sk-SK"/>
        </w:rPr>
        <w:t>L01BC05</w:t>
      </w:r>
    </w:p>
    <w:p w14:paraId="1ADCDD6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626D1B9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t>Cytotoxická</w:t>
      </w:r>
      <w:proofErr w:type="spellEnd"/>
      <w:r w:rsidRPr="00C03C74">
        <w:rPr>
          <w:sz w:val="22"/>
          <w:szCs w:val="22"/>
          <w:u w:val="single"/>
          <w:lang w:val="sk-SK"/>
        </w:rPr>
        <w:t xml:space="preserve"> aktivita v bunkových kultúrach</w:t>
      </w:r>
    </w:p>
    <w:p w14:paraId="3A48721C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vykazuje významné </w:t>
      </w:r>
      <w:proofErr w:type="spellStart"/>
      <w:r w:rsidRPr="00C03C74">
        <w:rPr>
          <w:sz w:val="22"/>
          <w:szCs w:val="22"/>
          <w:lang w:val="sk-SK"/>
        </w:rPr>
        <w:t>cytotoxické</w:t>
      </w:r>
      <w:proofErr w:type="spellEnd"/>
      <w:r w:rsidRPr="00C03C74">
        <w:rPr>
          <w:sz w:val="22"/>
          <w:szCs w:val="22"/>
          <w:lang w:val="sk-SK"/>
        </w:rPr>
        <w:t xml:space="preserve"> účinky proti veľkému počtu kultivovaných myších a ľudských nádorových buniek. Jeho účinok je fázovo špecifický,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primárne zabíja bunky, v ktorých prebieha syntéza DNA (S</w:t>
      </w:r>
      <w:r w:rsidRPr="00C03C74">
        <w:rPr>
          <w:sz w:val="22"/>
          <w:szCs w:val="22"/>
          <w:lang w:val="sk-SK"/>
        </w:rPr>
        <w:noBreakHyphen/>
        <w:t xml:space="preserve">fáza) a za určitých okolností blokuje progresiu buniek z G1 do S fázy. </w:t>
      </w:r>
      <w:r w:rsidRPr="00C03C74">
        <w:rPr>
          <w:i/>
          <w:sz w:val="22"/>
          <w:szCs w:val="22"/>
          <w:lang w:val="sk-SK"/>
        </w:rPr>
        <w:t>In vitro</w:t>
      </w:r>
      <w:r w:rsidRPr="00C03C74">
        <w:rPr>
          <w:sz w:val="22"/>
          <w:szCs w:val="22"/>
          <w:lang w:val="sk-SK"/>
        </w:rPr>
        <w:t xml:space="preserve"> je </w:t>
      </w:r>
      <w:proofErr w:type="spellStart"/>
      <w:r w:rsidRPr="00C03C74">
        <w:rPr>
          <w:sz w:val="22"/>
          <w:szCs w:val="22"/>
          <w:lang w:val="sk-SK"/>
        </w:rPr>
        <w:t>cytotoxický</w:t>
      </w:r>
      <w:proofErr w:type="spellEnd"/>
      <w:r w:rsidRPr="00C03C74">
        <w:rPr>
          <w:sz w:val="22"/>
          <w:szCs w:val="22"/>
          <w:lang w:val="sk-SK"/>
        </w:rPr>
        <w:t xml:space="preserve"> účinok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závislý od koncentrácie aj času.</w:t>
      </w:r>
    </w:p>
    <w:p w14:paraId="084E7617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51502A2" w14:textId="77777777" w:rsidR="00FC40AA" w:rsidRPr="00C03C74" w:rsidRDefault="00FC40AA" w:rsidP="00C03C74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lastRenderedPageBreak/>
        <w:t>Protinádorová</w:t>
      </w:r>
      <w:proofErr w:type="spellEnd"/>
      <w:r w:rsidRPr="00C03C74">
        <w:rPr>
          <w:sz w:val="22"/>
          <w:szCs w:val="22"/>
          <w:u w:val="single"/>
          <w:lang w:val="sk-SK"/>
        </w:rPr>
        <w:t xml:space="preserve"> aktivita na predklinických modeloch</w:t>
      </w:r>
    </w:p>
    <w:p w14:paraId="5212D61F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Na zvieracích modeloch nádorov je </w:t>
      </w:r>
      <w:proofErr w:type="spellStart"/>
      <w:r w:rsidRPr="00C03C74">
        <w:rPr>
          <w:sz w:val="22"/>
          <w:szCs w:val="22"/>
          <w:lang w:val="sk-SK"/>
        </w:rPr>
        <w:t>protinádorová</w:t>
      </w:r>
      <w:proofErr w:type="spellEnd"/>
      <w:r w:rsidRPr="00C03C74">
        <w:rPr>
          <w:sz w:val="22"/>
          <w:szCs w:val="22"/>
          <w:lang w:val="sk-SK"/>
        </w:rPr>
        <w:t xml:space="preserve"> aktivita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závislá na frekvencii podávania. Keď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podáva denne, pozoruje sa vysoká mortalita zvierat, ale minimálna </w:t>
      </w:r>
      <w:proofErr w:type="spellStart"/>
      <w:r w:rsidRPr="00C03C74">
        <w:rPr>
          <w:sz w:val="22"/>
          <w:szCs w:val="22"/>
          <w:lang w:val="sk-SK"/>
        </w:rPr>
        <w:t>protinádorová</w:t>
      </w:r>
      <w:proofErr w:type="spellEnd"/>
      <w:r w:rsidRPr="00C03C74">
        <w:rPr>
          <w:sz w:val="22"/>
          <w:szCs w:val="22"/>
          <w:lang w:val="sk-SK"/>
        </w:rPr>
        <w:t xml:space="preserve"> aktivita. Ak sa však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podáva každý tretí alebo štvrtý deň, je možné ho podávať v neletálnych dávkach s významnou </w:t>
      </w:r>
      <w:proofErr w:type="spellStart"/>
      <w:r w:rsidRPr="00C03C74">
        <w:rPr>
          <w:sz w:val="22"/>
          <w:szCs w:val="22"/>
          <w:lang w:val="sk-SK"/>
        </w:rPr>
        <w:t>protinádorovou</w:t>
      </w:r>
      <w:proofErr w:type="spellEnd"/>
      <w:r w:rsidRPr="00C03C74">
        <w:rPr>
          <w:sz w:val="22"/>
          <w:szCs w:val="22"/>
          <w:lang w:val="sk-SK"/>
        </w:rPr>
        <w:t xml:space="preserve"> aktivitou proti širokému spektru myších nádorov.</w:t>
      </w:r>
    </w:p>
    <w:p w14:paraId="37AD31D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A5EB385" w14:textId="77777777" w:rsidR="00FC40AA" w:rsidRPr="00C03C74" w:rsidRDefault="00FC40AA" w:rsidP="00C03C74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Mechanizmus účinku</w:t>
      </w:r>
    </w:p>
    <w:p w14:paraId="6E19ACB0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Bunkový metabolizmus a mechanizmus účinku: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dFdC</w:t>
      </w:r>
      <w:proofErr w:type="spellEnd"/>
      <w:r w:rsidRPr="00C03C74">
        <w:rPr>
          <w:sz w:val="22"/>
          <w:szCs w:val="22"/>
          <w:lang w:val="sk-SK"/>
        </w:rPr>
        <w:t xml:space="preserve">), ktorý je </w:t>
      </w:r>
      <w:proofErr w:type="spellStart"/>
      <w:r w:rsidRPr="00C03C74">
        <w:rPr>
          <w:sz w:val="22"/>
          <w:szCs w:val="22"/>
          <w:lang w:val="sk-SK"/>
        </w:rPr>
        <w:t>antimetabolitom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pyrimidínu</w:t>
      </w:r>
      <w:proofErr w:type="spellEnd"/>
      <w:r w:rsidRPr="00C03C74">
        <w:rPr>
          <w:sz w:val="22"/>
          <w:szCs w:val="22"/>
          <w:lang w:val="sk-SK"/>
        </w:rPr>
        <w:t xml:space="preserve">, sa intracelulárne metabolizuje pomocou </w:t>
      </w:r>
      <w:proofErr w:type="spellStart"/>
      <w:r w:rsidRPr="00C03C74">
        <w:rPr>
          <w:sz w:val="22"/>
          <w:szCs w:val="22"/>
          <w:lang w:val="sk-SK"/>
        </w:rPr>
        <w:t>nukleozidkinázy</w:t>
      </w:r>
      <w:proofErr w:type="spellEnd"/>
      <w:r w:rsidRPr="00C03C74">
        <w:rPr>
          <w:sz w:val="22"/>
          <w:szCs w:val="22"/>
          <w:lang w:val="sk-SK"/>
        </w:rPr>
        <w:t xml:space="preserve"> na aktívny </w:t>
      </w:r>
      <w:proofErr w:type="spellStart"/>
      <w:r w:rsidRPr="00C03C74">
        <w:rPr>
          <w:sz w:val="22"/>
          <w:szCs w:val="22"/>
          <w:lang w:val="sk-SK"/>
        </w:rPr>
        <w:t>nukleoziddifosfát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dFdCDP</w:t>
      </w:r>
      <w:proofErr w:type="spellEnd"/>
      <w:r w:rsidRPr="00C03C74">
        <w:rPr>
          <w:sz w:val="22"/>
          <w:szCs w:val="22"/>
          <w:lang w:val="sk-SK"/>
        </w:rPr>
        <w:t xml:space="preserve">) a </w:t>
      </w:r>
      <w:proofErr w:type="spellStart"/>
      <w:r w:rsidRPr="00C03C74">
        <w:rPr>
          <w:sz w:val="22"/>
          <w:szCs w:val="22"/>
          <w:lang w:val="sk-SK"/>
        </w:rPr>
        <w:t>nukleozidtrifosfát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dFdCTP</w:t>
      </w:r>
      <w:proofErr w:type="spellEnd"/>
      <w:r w:rsidRPr="00C03C74">
        <w:rPr>
          <w:sz w:val="22"/>
          <w:szCs w:val="22"/>
          <w:lang w:val="sk-SK"/>
        </w:rPr>
        <w:t xml:space="preserve">). </w:t>
      </w:r>
      <w:proofErr w:type="spellStart"/>
      <w:r w:rsidRPr="00C03C74">
        <w:rPr>
          <w:sz w:val="22"/>
          <w:szCs w:val="22"/>
          <w:lang w:val="sk-SK"/>
        </w:rPr>
        <w:t>Cytotoxický</w:t>
      </w:r>
      <w:proofErr w:type="spellEnd"/>
      <w:r w:rsidRPr="00C03C74">
        <w:rPr>
          <w:sz w:val="22"/>
          <w:szCs w:val="22"/>
          <w:lang w:val="sk-SK"/>
        </w:rPr>
        <w:t xml:space="preserve"> účinok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spočíva v inhibícii syntézy DNA dvomi mechanizmami účinku prostredníctvom </w:t>
      </w:r>
      <w:proofErr w:type="spellStart"/>
      <w:r w:rsidRPr="00C03C74">
        <w:rPr>
          <w:sz w:val="22"/>
          <w:szCs w:val="22"/>
          <w:lang w:val="sk-SK"/>
        </w:rPr>
        <w:t>dFdCDP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dFdCTP</w:t>
      </w:r>
      <w:proofErr w:type="spellEnd"/>
      <w:r w:rsidRPr="00C03C74">
        <w:rPr>
          <w:sz w:val="22"/>
          <w:szCs w:val="22"/>
          <w:lang w:val="sk-SK"/>
        </w:rPr>
        <w:t xml:space="preserve">. Pri prvom </w:t>
      </w:r>
      <w:proofErr w:type="spellStart"/>
      <w:r w:rsidRPr="00C03C74">
        <w:rPr>
          <w:sz w:val="22"/>
          <w:szCs w:val="22"/>
          <w:lang w:val="sk-SK"/>
        </w:rPr>
        <w:t>dFdCDP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inhibuje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ribonukleotid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reduktázu</w:t>
      </w:r>
      <w:proofErr w:type="spellEnd"/>
      <w:r w:rsidRPr="00C03C74">
        <w:rPr>
          <w:sz w:val="22"/>
          <w:szCs w:val="22"/>
          <w:lang w:val="sk-SK"/>
        </w:rPr>
        <w:t xml:space="preserve">, ktorá jediná zodpovedá za katalýzu reakcií generujúcich </w:t>
      </w:r>
      <w:proofErr w:type="spellStart"/>
      <w:r w:rsidRPr="00C03C74">
        <w:rPr>
          <w:sz w:val="22"/>
          <w:szCs w:val="22"/>
          <w:lang w:val="sk-SK"/>
        </w:rPr>
        <w:t>deoxynukleozidtrifosfáty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dCTP</w:t>
      </w:r>
      <w:proofErr w:type="spellEnd"/>
      <w:r w:rsidRPr="00C03C74">
        <w:rPr>
          <w:sz w:val="22"/>
          <w:szCs w:val="22"/>
          <w:lang w:val="sk-SK"/>
        </w:rPr>
        <w:t xml:space="preserve">) na syntézu DNA. Inhibícia tohoto enzýmu pomocou </w:t>
      </w:r>
      <w:proofErr w:type="spellStart"/>
      <w:r w:rsidRPr="00C03C74">
        <w:rPr>
          <w:sz w:val="22"/>
          <w:szCs w:val="22"/>
          <w:lang w:val="sk-SK"/>
        </w:rPr>
        <w:t>dFdCDP</w:t>
      </w:r>
      <w:proofErr w:type="spellEnd"/>
      <w:r w:rsidRPr="00C03C74">
        <w:rPr>
          <w:sz w:val="22"/>
          <w:szCs w:val="22"/>
          <w:lang w:val="sk-SK"/>
        </w:rPr>
        <w:t xml:space="preserve"> všeobecne znižuje koncentráciu </w:t>
      </w:r>
      <w:proofErr w:type="spellStart"/>
      <w:r w:rsidRPr="00C03C74">
        <w:rPr>
          <w:sz w:val="22"/>
          <w:szCs w:val="22"/>
          <w:lang w:val="sk-SK"/>
        </w:rPr>
        <w:t>deoxynukleozidov</w:t>
      </w:r>
      <w:proofErr w:type="spellEnd"/>
      <w:r w:rsidRPr="00C03C74">
        <w:rPr>
          <w:sz w:val="22"/>
          <w:szCs w:val="22"/>
          <w:lang w:val="sk-SK"/>
        </w:rPr>
        <w:t xml:space="preserve">, a predovšetkým koncentrácie </w:t>
      </w:r>
      <w:proofErr w:type="spellStart"/>
      <w:r w:rsidRPr="00C03C74">
        <w:rPr>
          <w:sz w:val="22"/>
          <w:szCs w:val="22"/>
          <w:lang w:val="sk-SK"/>
        </w:rPr>
        <w:t>dCTP</w:t>
      </w:r>
      <w:proofErr w:type="spellEnd"/>
      <w:r w:rsidRPr="00C03C74">
        <w:rPr>
          <w:sz w:val="22"/>
          <w:szCs w:val="22"/>
          <w:lang w:val="sk-SK"/>
        </w:rPr>
        <w:t xml:space="preserve">. Pri druhom </w:t>
      </w:r>
      <w:proofErr w:type="spellStart"/>
      <w:r w:rsidRPr="00C03C74">
        <w:rPr>
          <w:sz w:val="22"/>
          <w:szCs w:val="22"/>
          <w:lang w:val="sk-SK"/>
        </w:rPr>
        <w:t>dFdCTP</w:t>
      </w:r>
      <w:proofErr w:type="spellEnd"/>
      <w:r w:rsidRPr="00C03C74">
        <w:rPr>
          <w:sz w:val="22"/>
          <w:szCs w:val="22"/>
          <w:lang w:val="sk-SK"/>
        </w:rPr>
        <w:t xml:space="preserve"> súťaží s </w:t>
      </w:r>
      <w:proofErr w:type="spellStart"/>
      <w:r w:rsidRPr="00C03C74">
        <w:rPr>
          <w:sz w:val="22"/>
          <w:szCs w:val="22"/>
          <w:lang w:val="sk-SK"/>
        </w:rPr>
        <w:t>dCTP</w:t>
      </w:r>
      <w:proofErr w:type="spellEnd"/>
      <w:r w:rsidRPr="00C03C74">
        <w:rPr>
          <w:sz w:val="22"/>
          <w:szCs w:val="22"/>
          <w:lang w:val="sk-SK"/>
        </w:rPr>
        <w:t xml:space="preserve"> o zaradenie do reťazca DNA (</w:t>
      </w:r>
      <w:proofErr w:type="spellStart"/>
      <w:r w:rsidRPr="00C03C74">
        <w:rPr>
          <w:sz w:val="22"/>
          <w:szCs w:val="22"/>
          <w:lang w:val="sk-SK"/>
        </w:rPr>
        <w:t>autopotenciácia</w:t>
      </w:r>
      <w:proofErr w:type="spellEnd"/>
      <w:r w:rsidRPr="00C03C74">
        <w:rPr>
          <w:sz w:val="22"/>
          <w:szCs w:val="22"/>
          <w:lang w:val="sk-SK"/>
        </w:rPr>
        <w:t>).</w:t>
      </w:r>
    </w:p>
    <w:p w14:paraId="6A02BEB1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65A7594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Rovnako môže byť malé množstvo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zaradené do RNA. Týmto spôsobom teda znížená intracelulárna koncentrácia </w:t>
      </w:r>
      <w:proofErr w:type="spellStart"/>
      <w:r w:rsidRPr="00C03C74">
        <w:rPr>
          <w:sz w:val="22"/>
          <w:szCs w:val="22"/>
          <w:lang w:val="sk-SK"/>
        </w:rPr>
        <w:t>dCTP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potencuje</w:t>
      </w:r>
      <w:proofErr w:type="spellEnd"/>
      <w:r w:rsidRPr="00C03C74">
        <w:rPr>
          <w:sz w:val="22"/>
          <w:szCs w:val="22"/>
          <w:lang w:val="sk-SK"/>
        </w:rPr>
        <w:t xml:space="preserve"> zaradenie </w:t>
      </w:r>
      <w:proofErr w:type="spellStart"/>
      <w:r w:rsidRPr="00C03C74">
        <w:rPr>
          <w:sz w:val="22"/>
          <w:szCs w:val="22"/>
          <w:lang w:val="sk-SK"/>
        </w:rPr>
        <w:t>dFdCTP</w:t>
      </w:r>
      <w:proofErr w:type="spellEnd"/>
      <w:r w:rsidRPr="00C03C74">
        <w:rPr>
          <w:sz w:val="22"/>
          <w:szCs w:val="22"/>
          <w:lang w:val="sk-SK"/>
        </w:rPr>
        <w:t xml:space="preserve"> do DNA. DNA </w:t>
      </w:r>
      <w:proofErr w:type="spellStart"/>
      <w:r w:rsidRPr="00C03C74">
        <w:rPr>
          <w:sz w:val="22"/>
          <w:szCs w:val="22"/>
          <w:lang w:val="sk-SK"/>
        </w:rPr>
        <w:t>polymeráza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epsilon</w:t>
      </w:r>
      <w:proofErr w:type="spellEnd"/>
      <w:r w:rsidRPr="00C03C74">
        <w:rPr>
          <w:sz w:val="22"/>
          <w:szCs w:val="22"/>
          <w:lang w:val="sk-SK"/>
        </w:rPr>
        <w:t xml:space="preserve"> nie je schopná odstraňovať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a opraviť vytvárané reťazce DNA. Po zaradení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do DNA sa do vytváraného reťazca pridá ďalší </w:t>
      </w:r>
      <w:proofErr w:type="spellStart"/>
      <w:r w:rsidRPr="00C03C74">
        <w:rPr>
          <w:sz w:val="22"/>
          <w:szCs w:val="22"/>
          <w:lang w:val="sk-SK"/>
        </w:rPr>
        <w:t>nukleotid</w:t>
      </w:r>
      <w:proofErr w:type="spellEnd"/>
      <w:r w:rsidRPr="00C03C74">
        <w:rPr>
          <w:sz w:val="22"/>
          <w:szCs w:val="22"/>
          <w:lang w:val="sk-SK"/>
        </w:rPr>
        <w:t xml:space="preserve">. Po tomto pridaní dôjde v podstate k úplnej inhibícii ďalšej syntézy DNA (skryté ukončenie reťazca). Po zaradení do DNA sa zdá, že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indukuje programovú bunkovú smrť známu ako </w:t>
      </w:r>
      <w:proofErr w:type="spellStart"/>
      <w:r w:rsidRPr="00C03C74">
        <w:rPr>
          <w:sz w:val="22"/>
          <w:szCs w:val="22"/>
          <w:lang w:val="sk-SK"/>
        </w:rPr>
        <w:t>apoptóza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575D6A1C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5BC889E" w14:textId="77777777" w:rsidR="00FC40AA" w:rsidRPr="00C03C74" w:rsidRDefault="00FC40AA" w:rsidP="00C03C74">
      <w:pPr>
        <w:pStyle w:val="CM3"/>
        <w:spacing w:line="240" w:lineRule="auto"/>
        <w:rPr>
          <w:i/>
          <w:sz w:val="22"/>
          <w:szCs w:val="22"/>
          <w:u w:val="single"/>
          <w:lang w:val="sk-SK"/>
        </w:rPr>
      </w:pPr>
      <w:r w:rsidRPr="00C03C74">
        <w:rPr>
          <w:sz w:val="22"/>
          <w:szCs w:val="22"/>
          <w:u w:val="single"/>
          <w:lang w:val="sk-SK"/>
        </w:rPr>
        <w:t>Klinické údaje</w:t>
      </w:r>
    </w:p>
    <w:p w14:paraId="1CD1E413" w14:textId="77777777" w:rsidR="003E3307" w:rsidRDefault="003E3307" w:rsidP="00FC40AA">
      <w:pPr>
        <w:pStyle w:val="CM3"/>
        <w:spacing w:line="240" w:lineRule="auto"/>
        <w:rPr>
          <w:i/>
          <w:sz w:val="22"/>
          <w:szCs w:val="22"/>
          <w:u w:val="single"/>
          <w:lang w:val="sk-SK"/>
        </w:rPr>
      </w:pPr>
    </w:p>
    <w:p w14:paraId="3B277C1A" w14:textId="77777777" w:rsidR="00FC40AA" w:rsidRPr="00C03C74" w:rsidRDefault="00FC40AA" w:rsidP="00C03C74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Karcinóm močového mechúra</w:t>
      </w:r>
    </w:p>
    <w:p w14:paraId="74D0CB0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Randomizovaná</w:t>
      </w:r>
      <w:proofErr w:type="spellEnd"/>
      <w:r w:rsidRPr="00C03C74">
        <w:rPr>
          <w:sz w:val="22"/>
          <w:szCs w:val="22"/>
          <w:lang w:val="sk-SK"/>
        </w:rPr>
        <w:t xml:space="preserve"> štúdia fázy III na 405 pacientoch s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karcinómom močového mechúra z prechodného epitelu nepreukázala žiadny rozdiel medzi oboma liečebnými ramenami,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oproti </w:t>
      </w:r>
      <w:proofErr w:type="spellStart"/>
      <w:r w:rsidRPr="00C03C74">
        <w:rPr>
          <w:sz w:val="22"/>
          <w:szCs w:val="22"/>
          <w:lang w:val="sk-SK"/>
        </w:rPr>
        <w:t>metotrexát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vinblastín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adriamycín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(MVAC) v zmysle mediánu prežitia (12,8 a 14,8 mesiaca, p=0,547), času do progresie ochorenia (7,4 a 7,6 mesiaca, p=0,842) a početnosti odpovedí (49,4% a 45,7%, p=0,512). Kombinácia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 xml:space="preserve"> mala však lepší profil toxicity ako MVAC.</w:t>
      </w:r>
    </w:p>
    <w:p w14:paraId="090AE19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17CD099" w14:textId="77777777" w:rsidR="003E3307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Karcinóm pankreasu</w:t>
      </w:r>
    </w:p>
    <w:p w14:paraId="2C5B2B4A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na 126 pacientoch s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karcinómom pankreasu preukázal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štatisticky významne vyššiu početnosť odpovedí v zmysle klinického zlepšenia ako 5</w:t>
      </w:r>
      <w:r w:rsidRPr="00C03C74">
        <w:rPr>
          <w:sz w:val="22"/>
          <w:szCs w:val="22"/>
          <w:lang w:val="sk-SK"/>
        </w:rPr>
        <w:noBreakHyphen/>
        <w:t>fluorouracil (23,8% a 4,8%, p=0,0022). Taktiež bolo pozorované štatisticky významné predĺženie času do progresie z 0,9 na 2,3 mesiaca (log</w:t>
      </w:r>
      <w:r w:rsidRPr="00C03C74">
        <w:rPr>
          <w:sz w:val="22"/>
          <w:szCs w:val="22"/>
          <w:lang w:val="sk-SK"/>
        </w:rPr>
        <w:noBreakHyphen/>
      </w:r>
      <w:proofErr w:type="spellStart"/>
      <w:r w:rsidRPr="00C03C74">
        <w:rPr>
          <w:sz w:val="22"/>
          <w:szCs w:val="22"/>
          <w:lang w:val="sk-SK"/>
        </w:rPr>
        <w:t>rank</w:t>
      </w:r>
      <w:proofErr w:type="spellEnd"/>
      <w:r w:rsidRPr="00C03C74">
        <w:rPr>
          <w:sz w:val="22"/>
          <w:szCs w:val="22"/>
          <w:lang w:val="sk-SK"/>
        </w:rPr>
        <w:t xml:space="preserve"> p&lt;0,0002) a štatisticky významné predĺženie mediánu prežitia zo 4,4 na 5,7 mesiaca (log</w:t>
      </w:r>
      <w:r w:rsidRPr="00C03C74">
        <w:rPr>
          <w:sz w:val="22"/>
          <w:szCs w:val="22"/>
          <w:lang w:val="sk-SK"/>
        </w:rPr>
        <w:noBreakHyphen/>
      </w:r>
      <w:proofErr w:type="spellStart"/>
      <w:r w:rsidRPr="00C03C74">
        <w:rPr>
          <w:sz w:val="22"/>
          <w:szCs w:val="22"/>
          <w:lang w:val="sk-SK"/>
        </w:rPr>
        <w:t>rank</w:t>
      </w:r>
      <w:proofErr w:type="spellEnd"/>
      <w:r w:rsidRPr="00C03C74">
        <w:rPr>
          <w:sz w:val="22"/>
          <w:szCs w:val="22"/>
          <w:lang w:val="sk-SK"/>
        </w:rPr>
        <w:t xml:space="preserve"> p&lt;0,0024) u pacientov liečených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v porovnaní s pacientami liečenými 5</w:t>
      </w:r>
      <w:r w:rsidRPr="00C03C74">
        <w:rPr>
          <w:sz w:val="22"/>
          <w:szCs w:val="22"/>
          <w:lang w:val="sk-SK"/>
        </w:rPr>
        <w:noBreakHyphen/>
        <w:t>fluorouracilom.</w:t>
      </w:r>
    </w:p>
    <w:p w14:paraId="4098881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6A95693" w14:textId="77777777" w:rsidR="003E3307" w:rsidRDefault="00FC40AA" w:rsidP="00C03C74">
      <w:pPr>
        <w:pStyle w:val="CM3"/>
        <w:keepNext/>
        <w:keepLines/>
        <w:widowControl/>
        <w:spacing w:line="240" w:lineRule="auto"/>
        <w:rPr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Nemalobunkový karcinóm pľúc</w:t>
      </w:r>
    </w:p>
    <w:p w14:paraId="196B0578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na 522 pacientoch s lokálne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nemalobunkovým karcinómom pľúc, u ktorých nebola možná operácia, preukázal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kombinácii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 xml:space="preserve"> štatisticky signifikantne vyššiu početnosť odpovedí ako 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samotná (31,0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a 12,0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%, p&lt;0,0001). Pozorovalo sa tiež štatisticky významné predĺženie času do progresie z 3,7 na 5,6 mesiaca (log</w:t>
      </w:r>
      <w:r w:rsidRPr="00C03C74">
        <w:rPr>
          <w:sz w:val="22"/>
          <w:szCs w:val="22"/>
          <w:lang w:val="sk-SK"/>
        </w:rPr>
        <w:noBreakHyphen/>
      </w:r>
      <w:proofErr w:type="spellStart"/>
      <w:r w:rsidRPr="00C03C74">
        <w:rPr>
          <w:sz w:val="22"/>
          <w:szCs w:val="22"/>
          <w:lang w:val="sk-SK"/>
        </w:rPr>
        <w:t>rank</w:t>
      </w:r>
      <w:proofErr w:type="spellEnd"/>
      <w:r w:rsidRPr="00C03C74">
        <w:rPr>
          <w:sz w:val="22"/>
          <w:szCs w:val="22"/>
          <w:lang w:val="sk-SK"/>
        </w:rPr>
        <w:t xml:space="preserve"> p&lt;0,0012) a štatisticky významné predĺženie mediánu prežitia zo 7,6 mesiaca na 9,1 mesiaca (log</w:t>
      </w:r>
      <w:r w:rsidRPr="00C03C74">
        <w:rPr>
          <w:sz w:val="22"/>
          <w:szCs w:val="22"/>
          <w:lang w:val="sk-SK"/>
        </w:rPr>
        <w:noBreakHyphen/>
      </w:r>
      <w:proofErr w:type="spellStart"/>
      <w:r w:rsidRPr="00C03C74">
        <w:rPr>
          <w:sz w:val="22"/>
          <w:szCs w:val="22"/>
          <w:lang w:val="sk-SK"/>
        </w:rPr>
        <w:t>rank</w:t>
      </w:r>
      <w:proofErr w:type="spellEnd"/>
      <w:r w:rsidRPr="00C03C74">
        <w:rPr>
          <w:sz w:val="22"/>
          <w:szCs w:val="22"/>
          <w:lang w:val="sk-SK"/>
        </w:rPr>
        <w:t xml:space="preserve"> p&lt;0,004) u pacientov liečených kombináciou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v porovnaní s pacientami liečenými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39BD8BA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ďalšej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na 135 pacientoch s nemalobunkovým karcinómom pľúc v štádiu </w:t>
      </w:r>
      <w:proofErr w:type="spellStart"/>
      <w:r w:rsidRPr="00C03C74">
        <w:rPr>
          <w:sz w:val="22"/>
          <w:szCs w:val="22"/>
          <w:lang w:val="sk-SK"/>
        </w:rPr>
        <w:t>IIIb</w:t>
      </w:r>
      <w:proofErr w:type="spellEnd"/>
      <w:r w:rsidRPr="00C03C74">
        <w:rPr>
          <w:sz w:val="22"/>
          <w:szCs w:val="22"/>
          <w:lang w:val="sk-SK"/>
        </w:rPr>
        <w:t xml:space="preserve"> alebo IV preukázala kombinácia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cisplatiny</w:t>
      </w:r>
      <w:proofErr w:type="spellEnd"/>
      <w:r w:rsidRPr="00C03C74">
        <w:rPr>
          <w:sz w:val="22"/>
          <w:szCs w:val="22"/>
          <w:lang w:val="sk-SK"/>
        </w:rPr>
        <w:t xml:space="preserve"> štatisticky významne vyššiu početnosť odpovedí ako kombinácia 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etopozid</w:t>
      </w:r>
      <w:proofErr w:type="spellEnd"/>
      <w:r w:rsidRPr="00C03C74">
        <w:rPr>
          <w:sz w:val="22"/>
          <w:szCs w:val="22"/>
          <w:lang w:val="sk-SK"/>
        </w:rPr>
        <w:t xml:space="preserve"> (40,6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a 21,2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%, p=0,025). Pozorovalo sa štatisticky významné predĺženie času do progresie zo 4,3 na 6,9 mesiaca (p=0,014) u pacientov liečených </w:t>
      </w:r>
      <w:r w:rsidRPr="00C03C74">
        <w:rPr>
          <w:sz w:val="22"/>
          <w:szCs w:val="22"/>
          <w:lang w:val="sk-SK"/>
        </w:rPr>
        <w:lastRenderedPageBreak/>
        <w:t xml:space="preserve">kombináciou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v porovnaní s pacientami liečenými kombináciou </w:t>
      </w:r>
      <w:proofErr w:type="spellStart"/>
      <w:r w:rsidRPr="00C03C74">
        <w:rPr>
          <w:sz w:val="22"/>
          <w:szCs w:val="22"/>
          <w:lang w:val="sk-SK"/>
        </w:rPr>
        <w:t>etopozid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37A4902B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oboch štúdiách sa zistilo, že </w:t>
      </w:r>
      <w:proofErr w:type="spellStart"/>
      <w:r w:rsidRPr="00C03C74">
        <w:rPr>
          <w:sz w:val="22"/>
          <w:szCs w:val="22"/>
          <w:lang w:val="sk-SK"/>
        </w:rPr>
        <w:t>tolerabilita</w:t>
      </w:r>
      <w:proofErr w:type="spellEnd"/>
      <w:r w:rsidRPr="00C03C74">
        <w:rPr>
          <w:sz w:val="22"/>
          <w:szCs w:val="22"/>
          <w:lang w:val="sk-SK"/>
        </w:rPr>
        <w:t xml:space="preserve"> bola podobná v oboch liečebných ramenách.</w:t>
      </w:r>
    </w:p>
    <w:p w14:paraId="3F3B820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8F95B61" w14:textId="77777777" w:rsidR="003E3307" w:rsidRDefault="00FC40AA" w:rsidP="00C03C74">
      <w:pPr>
        <w:pStyle w:val="CM3"/>
        <w:keepNext/>
        <w:keepLines/>
        <w:widowControl/>
        <w:spacing w:line="240" w:lineRule="auto"/>
        <w:rPr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Karcinóm vaječníkov</w:t>
      </w:r>
    </w:p>
    <w:p w14:paraId="41338196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bolo 356 pacientiek s pokročilým </w:t>
      </w:r>
      <w:proofErr w:type="spellStart"/>
      <w:r w:rsidRPr="00C03C74">
        <w:rPr>
          <w:sz w:val="22"/>
          <w:szCs w:val="22"/>
          <w:lang w:val="sk-SK"/>
        </w:rPr>
        <w:t>epiteliálnym</w:t>
      </w:r>
      <w:proofErr w:type="spellEnd"/>
      <w:r w:rsidRPr="00C03C74">
        <w:rPr>
          <w:sz w:val="22"/>
          <w:szCs w:val="22"/>
          <w:lang w:val="sk-SK"/>
        </w:rPr>
        <w:t xml:space="preserve"> karcinómom vaječníkov s </w:t>
      </w:r>
      <w:proofErr w:type="spellStart"/>
      <w:r w:rsidRPr="00C03C74">
        <w:rPr>
          <w:sz w:val="22"/>
          <w:szCs w:val="22"/>
          <w:lang w:val="sk-SK"/>
        </w:rPr>
        <w:t>relapsom</w:t>
      </w:r>
      <w:proofErr w:type="spellEnd"/>
      <w:r w:rsidRPr="00C03C74">
        <w:rPr>
          <w:sz w:val="22"/>
          <w:szCs w:val="22"/>
          <w:lang w:val="sk-SK"/>
        </w:rPr>
        <w:t xml:space="preserve"> najmenej 6 mesiacov po ukončení liečby platinou </w:t>
      </w:r>
      <w:proofErr w:type="spellStart"/>
      <w:r w:rsidRPr="00C03C74">
        <w:rPr>
          <w:sz w:val="22"/>
          <w:szCs w:val="22"/>
          <w:lang w:val="sk-SK"/>
        </w:rPr>
        <w:t>randomizovaných</w:t>
      </w:r>
      <w:proofErr w:type="spellEnd"/>
      <w:r w:rsidRPr="00C03C74">
        <w:rPr>
          <w:sz w:val="22"/>
          <w:szCs w:val="22"/>
          <w:lang w:val="sk-SK"/>
        </w:rPr>
        <w:t xml:space="preserve"> na liečbu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s </w:t>
      </w:r>
      <w:proofErr w:type="spellStart"/>
      <w:r w:rsidRPr="00C03C74">
        <w:rPr>
          <w:sz w:val="22"/>
          <w:szCs w:val="22"/>
          <w:lang w:val="sk-SK"/>
        </w:rPr>
        <w:t>karboplatinou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 xml:space="preserve">) alebo liečbu </w:t>
      </w:r>
      <w:proofErr w:type="spellStart"/>
      <w:r w:rsidRPr="00C03C74">
        <w:rPr>
          <w:sz w:val="22"/>
          <w:szCs w:val="22"/>
          <w:lang w:val="sk-SK"/>
        </w:rPr>
        <w:t>karboplatinou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Cb</w:t>
      </w:r>
      <w:proofErr w:type="spellEnd"/>
      <w:r w:rsidRPr="00C03C74">
        <w:rPr>
          <w:sz w:val="22"/>
          <w:szCs w:val="22"/>
          <w:lang w:val="sk-SK"/>
        </w:rPr>
        <w:t>). Štatisticky významné predĺženie času do progresie ochorenia z 5,8 na 8,6 mesiaca (log</w:t>
      </w:r>
      <w:r w:rsidRPr="00C03C74">
        <w:rPr>
          <w:sz w:val="22"/>
          <w:szCs w:val="22"/>
          <w:lang w:val="sk-SK"/>
        </w:rPr>
        <w:noBreakHyphen/>
      </w:r>
      <w:proofErr w:type="spellStart"/>
      <w:r w:rsidRPr="00C03C74">
        <w:rPr>
          <w:sz w:val="22"/>
          <w:szCs w:val="22"/>
          <w:lang w:val="sk-SK"/>
        </w:rPr>
        <w:t>rank</w:t>
      </w:r>
      <w:proofErr w:type="spellEnd"/>
      <w:r w:rsidRPr="00C03C74">
        <w:rPr>
          <w:sz w:val="22"/>
          <w:szCs w:val="22"/>
          <w:lang w:val="sk-SK"/>
        </w:rPr>
        <w:t xml:space="preserve"> p=0,0038) sa pozorovalo u pacientiek liečených s 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 xml:space="preserve"> v porovnaní s pacientkami liečenými s </w:t>
      </w:r>
      <w:proofErr w:type="spellStart"/>
      <w:r w:rsidRPr="00C03C74">
        <w:rPr>
          <w:sz w:val="22"/>
          <w:szCs w:val="22"/>
          <w:lang w:val="sk-SK"/>
        </w:rPr>
        <w:t>Cb</w:t>
      </w:r>
      <w:proofErr w:type="spellEnd"/>
      <w:r w:rsidRPr="00C03C74">
        <w:rPr>
          <w:sz w:val="22"/>
          <w:szCs w:val="22"/>
          <w:lang w:val="sk-SK"/>
        </w:rPr>
        <w:t>. Rozdiely v početnosti odpovedí 47,2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v 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 xml:space="preserve"> ramene verzus 30,9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v </w:t>
      </w:r>
      <w:proofErr w:type="spellStart"/>
      <w:r w:rsidRPr="00C03C74">
        <w:rPr>
          <w:sz w:val="22"/>
          <w:szCs w:val="22"/>
          <w:lang w:val="sk-SK"/>
        </w:rPr>
        <w:t>Cb</w:t>
      </w:r>
      <w:proofErr w:type="spellEnd"/>
      <w:r w:rsidRPr="00C03C74">
        <w:rPr>
          <w:sz w:val="22"/>
          <w:szCs w:val="22"/>
          <w:lang w:val="sk-SK"/>
        </w:rPr>
        <w:t xml:space="preserve"> ramene (p=0,0016) a v mediáne prežitia 18 mesiacov (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>) verzus 17,3 (</w:t>
      </w:r>
      <w:proofErr w:type="spellStart"/>
      <w:r w:rsidRPr="00C03C74">
        <w:rPr>
          <w:sz w:val="22"/>
          <w:szCs w:val="22"/>
          <w:lang w:val="sk-SK"/>
        </w:rPr>
        <w:t>Cb</w:t>
      </w:r>
      <w:proofErr w:type="spellEnd"/>
      <w:r w:rsidRPr="00C03C74">
        <w:rPr>
          <w:sz w:val="22"/>
          <w:szCs w:val="22"/>
          <w:lang w:val="sk-SK"/>
        </w:rPr>
        <w:t xml:space="preserve">) (p=0,73) pre 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 xml:space="preserve"> rameno.</w:t>
      </w:r>
    </w:p>
    <w:p w14:paraId="6FFF402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E4D81F2" w14:textId="77777777" w:rsidR="003E3307" w:rsidRDefault="00FC40AA" w:rsidP="00C03C74">
      <w:pPr>
        <w:pStyle w:val="CM3"/>
        <w:spacing w:line="240" w:lineRule="auto"/>
        <w:rPr>
          <w:lang w:val="sk-SK"/>
        </w:rPr>
      </w:pPr>
      <w:r w:rsidRPr="00C03C74">
        <w:rPr>
          <w:i/>
          <w:sz w:val="22"/>
          <w:szCs w:val="22"/>
          <w:u w:val="single"/>
          <w:lang w:val="sk-SK"/>
        </w:rPr>
        <w:t>Karcinóm prsníka</w:t>
      </w:r>
    </w:p>
    <w:p w14:paraId="6E7EEFF6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na 529 </w:t>
      </w:r>
      <w:proofErr w:type="spellStart"/>
      <w:r w:rsidRPr="00C03C74">
        <w:rPr>
          <w:sz w:val="22"/>
          <w:szCs w:val="22"/>
          <w:lang w:val="sk-SK"/>
        </w:rPr>
        <w:t>pacientkách</w:t>
      </w:r>
      <w:proofErr w:type="spellEnd"/>
      <w:r w:rsidRPr="00C03C74">
        <w:rPr>
          <w:sz w:val="22"/>
          <w:szCs w:val="22"/>
          <w:lang w:val="sk-SK"/>
        </w:rPr>
        <w:t xml:space="preserve"> s </w:t>
      </w:r>
      <w:proofErr w:type="spellStart"/>
      <w:r w:rsidRPr="00C03C74">
        <w:rPr>
          <w:sz w:val="22"/>
          <w:szCs w:val="22"/>
          <w:lang w:val="sk-SK"/>
        </w:rPr>
        <w:t>inoperabilným</w:t>
      </w:r>
      <w:proofErr w:type="spellEnd"/>
      <w:r w:rsidRPr="00C03C74">
        <w:rPr>
          <w:sz w:val="22"/>
          <w:szCs w:val="22"/>
          <w:lang w:val="sk-SK"/>
        </w:rPr>
        <w:t xml:space="preserve">, lokálne recidivujúcim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karcinómom prsníka s </w:t>
      </w:r>
      <w:proofErr w:type="spellStart"/>
      <w:r w:rsidRPr="00C03C74">
        <w:rPr>
          <w:sz w:val="22"/>
          <w:szCs w:val="22"/>
          <w:lang w:val="sk-SK"/>
        </w:rPr>
        <w:t>relapsom</w:t>
      </w:r>
      <w:proofErr w:type="spellEnd"/>
      <w:r w:rsidRPr="00C03C74">
        <w:rPr>
          <w:sz w:val="22"/>
          <w:szCs w:val="22"/>
          <w:lang w:val="sk-SK"/>
        </w:rPr>
        <w:t xml:space="preserve"> po </w:t>
      </w:r>
      <w:proofErr w:type="spellStart"/>
      <w:r w:rsidRPr="00C03C74">
        <w:rPr>
          <w:sz w:val="22"/>
          <w:szCs w:val="22"/>
          <w:lang w:val="sk-SK"/>
        </w:rPr>
        <w:t>adjuvantnej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neoadjuvantnej</w:t>
      </w:r>
      <w:proofErr w:type="spellEnd"/>
      <w:r w:rsidRPr="00C03C74">
        <w:rPr>
          <w:sz w:val="22"/>
          <w:szCs w:val="22"/>
          <w:lang w:val="sk-SK"/>
        </w:rPr>
        <w:t xml:space="preserve"> chemoterapii preukázal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kombinácii s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 xml:space="preserve"> štatisticky významné predĺženie času do dokumentovanej progresie ochorenia z 3,98 na 6,14 mesiaca (log</w:t>
      </w:r>
      <w:r w:rsidRPr="00C03C74">
        <w:rPr>
          <w:sz w:val="22"/>
          <w:szCs w:val="22"/>
          <w:lang w:val="sk-SK"/>
        </w:rPr>
        <w:noBreakHyphen/>
      </w:r>
      <w:proofErr w:type="spellStart"/>
      <w:r w:rsidRPr="00C03C74">
        <w:rPr>
          <w:sz w:val="22"/>
          <w:szCs w:val="22"/>
          <w:lang w:val="sk-SK"/>
        </w:rPr>
        <w:t>rank</w:t>
      </w:r>
      <w:proofErr w:type="spellEnd"/>
      <w:r w:rsidRPr="00C03C74">
        <w:rPr>
          <w:sz w:val="22"/>
          <w:szCs w:val="22"/>
          <w:lang w:val="sk-SK"/>
        </w:rPr>
        <w:t xml:space="preserve"> p=0,0002) u pacientiek liečených kombináciou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paklitaxel</w:t>
      </w:r>
      <w:proofErr w:type="spellEnd"/>
      <w:r w:rsidRPr="00C03C74">
        <w:rPr>
          <w:sz w:val="22"/>
          <w:szCs w:val="22"/>
          <w:lang w:val="sk-SK"/>
        </w:rPr>
        <w:t xml:space="preserve"> v porovnaní s pacientkami liečenými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>. Po 377 úmrtiach bolo celkové prežitie 18,6 mesiacov verzus 15,8 mesiacov (log</w:t>
      </w:r>
      <w:r w:rsidRPr="00C03C74">
        <w:rPr>
          <w:sz w:val="22"/>
          <w:szCs w:val="22"/>
          <w:lang w:val="sk-SK"/>
        </w:rPr>
        <w:noBreakHyphen/>
      </w:r>
      <w:proofErr w:type="spellStart"/>
      <w:r w:rsidRPr="00C03C74">
        <w:rPr>
          <w:sz w:val="22"/>
          <w:szCs w:val="22"/>
          <w:lang w:val="sk-SK"/>
        </w:rPr>
        <w:t>rank</w:t>
      </w:r>
      <w:proofErr w:type="spellEnd"/>
      <w:r w:rsidRPr="00C03C74">
        <w:rPr>
          <w:sz w:val="22"/>
          <w:szCs w:val="22"/>
          <w:lang w:val="sk-SK"/>
        </w:rPr>
        <w:t xml:space="preserve"> p=0,0489, HR 0,82) u pacientiek liečených kombináciou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paklitaxel</w:t>
      </w:r>
      <w:proofErr w:type="spellEnd"/>
      <w:r w:rsidRPr="00C03C74">
        <w:rPr>
          <w:sz w:val="22"/>
          <w:szCs w:val="22"/>
          <w:lang w:val="sk-SK"/>
        </w:rPr>
        <w:t xml:space="preserve"> v porovnaní s pacientkami liečenými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 xml:space="preserve"> a celková početnosť odpovedí bola 41,4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a 26,2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(p=0,0002).</w:t>
      </w:r>
    </w:p>
    <w:p w14:paraId="16C8A26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A0B5B28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5.2</w:t>
      </w:r>
      <w:r w:rsidRPr="00C03C74">
        <w:rPr>
          <w:b/>
          <w:sz w:val="22"/>
          <w:szCs w:val="22"/>
          <w:lang w:val="sk-SK"/>
        </w:rPr>
        <w:tab/>
      </w:r>
      <w:proofErr w:type="spellStart"/>
      <w:r w:rsidRPr="00C03C74">
        <w:rPr>
          <w:b/>
          <w:sz w:val="22"/>
          <w:szCs w:val="22"/>
          <w:lang w:val="sk-SK"/>
        </w:rPr>
        <w:t>Farmakokinetické</w:t>
      </w:r>
      <w:proofErr w:type="spellEnd"/>
      <w:r w:rsidRPr="00C03C74">
        <w:rPr>
          <w:b/>
          <w:sz w:val="22"/>
          <w:szCs w:val="22"/>
          <w:lang w:val="sk-SK"/>
        </w:rPr>
        <w:t xml:space="preserve"> vlastnosti</w:t>
      </w:r>
    </w:p>
    <w:p w14:paraId="10B4CC2D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</w:p>
    <w:p w14:paraId="03098822" w14:textId="77777777" w:rsidR="00E86ED7" w:rsidRPr="006C25A0" w:rsidRDefault="00FC40AA" w:rsidP="00FC40AA">
      <w:pPr>
        <w:pStyle w:val="CM26"/>
        <w:spacing w:after="0"/>
        <w:rPr>
          <w:noProof/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Farmakokinetika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sa sledovala v siedmich štúdiách s 353 pacientmi. Vek 121 žien a 232 mužov sa pohyboval v rozmedzí 29 až 79 rokov. Približne 45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z týchto pacientov trpelo nemalobunkovým karcinómom pľúc a 35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karcinómom pankreasu. Pre dávky v rozmedzí 500 až 2 592 mg/m², ktoré boli podávané infúziou trvajúcou od 0,4 do 1,2 hodiny, sa získali nasledovné </w:t>
      </w:r>
      <w:proofErr w:type="spellStart"/>
      <w:r w:rsidRPr="00C03C74">
        <w:rPr>
          <w:sz w:val="22"/>
          <w:szCs w:val="22"/>
          <w:lang w:val="sk-SK"/>
        </w:rPr>
        <w:t>farmakokinetické</w:t>
      </w:r>
      <w:proofErr w:type="spellEnd"/>
      <w:r w:rsidRPr="00C03C74">
        <w:rPr>
          <w:sz w:val="22"/>
          <w:szCs w:val="22"/>
          <w:lang w:val="sk-SK"/>
        </w:rPr>
        <w:t xml:space="preserve"> parametre.</w:t>
      </w:r>
    </w:p>
    <w:p w14:paraId="1FB83328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788F3EDA" w14:textId="77777777" w:rsidR="00E86ED7" w:rsidRPr="006C25A0" w:rsidRDefault="00E86ED7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Maximálne plazmatické koncentrácie (dosiahnuté v priebehu 5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 po skončení infúzie) boli 3,2 až 45,5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 xml:space="preserve">/ml. Plazmatické koncentrácie východiskovej látky po podaní dávky </w:t>
      </w:r>
      <w:r w:rsidR="00FC41A5" w:rsidRPr="006C25A0">
        <w:rPr>
          <w:noProof/>
          <w:sz w:val="22"/>
          <w:szCs w:val="22"/>
          <w:lang w:val="sk-SK"/>
        </w:rPr>
        <w:t>1 000 mg</w:t>
      </w:r>
      <w:r w:rsidRPr="006C25A0">
        <w:rPr>
          <w:noProof/>
          <w:sz w:val="22"/>
          <w:szCs w:val="22"/>
          <w:lang w:val="sk-SK"/>
        </w:rPr>
        <w:t>/</w:t>
      </w:r>
      <w:r w:rsidR="00FC41A5" w:rsidRPr="006C25A0">
        <w:rPr>
          <w:noProof/>
          <w:sz w:val="22"/>
          <w:szCs w:val="22"/>
          <w:lang w:val="sk-SK"/>
        </w:rPr>
        <w:t>m</w:t>
      </w:r>
      <w:r w:rsidR="00F94706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/30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 sú</w:t>
      </w:r>
      <w:r w:rsidR="005A0342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vyššie ako 5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 počas približne 30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 po skončení infúzie a vyššie ako 0,4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 počas ďalšej hodiny.</w:t>
      </w:r>
    </w:p>
    <w:p w14:paraId="2A6B2051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6AC38549" w14:textId="77777777" w:rsidR="003E3307" w:rsidRDefault="00E86ED7" w:rsidP="00C03C74">
      <w:pPr>
        <w:pStyle w:val="CM3"/>
        <w:spacing w:line="240" w:lineRule="auto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Distribúcia</w:t>
      </w:r>
    </w:p>
    <w:p w14:paraId="69DD34C2" w14:textId="77777777" w:rsidR="005A0342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Distribučný objem v centrálnom kompartmente bol 12,4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753F44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u žien a 17,5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753F44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u mužov (interindividuálna variabilita bola 91,9%). Distribučný objem v periférnom kompartmente bol 47,4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753F44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. Objem v periférnom kompartmente nezávisel na pohlaví.</w:t>
      </w:r>
    </w:p>
    <w:p w14:paraId="663DDE40" w14:textId="77777777" w:rsidR="00E86ED7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Väzba na plazmatické proteíny bola považovaná za zanedbateľnú.</w:t>
      </w:r>
    </w:p>
    <w:p w14:paraId="6E842D0A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Polčas: Pohybuje sa od 42 do 94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út, v závislosti na veku a pohlaví. Pri odporúčanom dávkovacom režime sa gemcitabín takmer úplne eliminuje v priebehu 5 až 11</w:t>
      </w:r>
      <w:r w:rsidR="00F7555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 od začiatku infúzie. Pri podávaní raz týždenne sa gemcitabín nekumuluje.</w:t>
      </w:r>
    </w:p>
    <w:p w14:paraId="5FC0D922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0456DAFA" w14:textId="77777777" w:rsidR="003E3307" w:rsidRDefault="00E86ED7" w:rsidP="00C03C74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Metabolizmus</w:t>
      </w:r>
    </w:p>
    <w:p w14:paraId="131B5255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Gemcitabín sa rýchle metabolizuje cytidíndeaminázou v pečeni, obličkách, krvi a iných tkanivách. V rámci intracelulárneho metabolizmu vytvára gemcitabín monofosfáty, difosfáty a trifosfáty (dFdCMP, dFdCDP a dFdCTP), z ktorých difosfáty a trifosfáty sa považujú za aktívne. Tieto intracelulárne metabolity sa v plazme ani v moči nenašli. Primárny metabolit 2’-deoxy-2’, 2’-difluorouridín (dFdU) nie je aktívny a nachádza sa v plazme a v moči.</w:t>
      </w:r>
    </w:p>
    <w:p w14:paraId="1A32527C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17931D17" w14:textId="77777777" w:rsidR="003E3307" w:rsidRDefault="003E3307" w:rsidP="00C03C74">
      <w:pPr>
        <w:pStyle w:val="CM26"/>
        <w:keepNext/>
        <w:keepLines/>
        <w:widowControl/>
        <w:spacing w:after="0"/>
        <w:outlineLvl w:val="0"/>
        <w:rPr>
          <w:noProof/>
          <w:sz w:val="22"/>
          <w:szCs w:val="22"/>
          <w:lang w:val="sk-SK"/>
        </w:rPr>
      </w:pPr>
      <w:r w:rsidRPr="003E3307">
        <w:rPr>
          <w:noProof/>
          <w:sz w:val="22"/>
          <w:szCs w:val="22"/>
          <w:u w:val="single"/>
          <w:lang w:val="sk-SK"/>
        </w:rPr>
        <w:lastRenderedPageBreak/>
        <w:t>Eliminácia</w:t>
      </w:r>
    </w:p>
    <w:p w14:paraId="01CFBE1F" w14:textId="77777777" w:rsidR="005A0342" w:rsidRPr="006C25A0" w:rsidRDefault="00E86ED7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Systémový klírens sa pohyboval od 29,2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hod/</w:t>
      </w:r>
      <w:r w:rsidR="00FC41A5" w:rsidRPr="006C25A0">
        <w:rPr>
          <w:noProof/>
          <w:sz w:val="22"/>
          <w:szCs w:val="22"/>
          <w:lang w:val="sk-SK"/>
        </w:rPr>
        <w:t>m</w:t>
      </w:r>
      <w:r w:rsidR="006C205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do 92,2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hod/</w:t>
      </w:r>
      <w:r w:rsidR="00FC41A5" w:rsidRPr="006C25A0">
        <w:rPr>
          <w:noProof/>
          <w:sz w:val="22"/>
          <w:szCs w:val="22"/>
          <w:lang w:val="sk-SK"/>
        </w:rPr>
        <w:t>m</w:t>
      </w:r>
      <w:r w:rsidR="006C205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, v závislosti na pohlaví a veku (interindividuálna variabilita bola 52,2%). Klírens u žien bol asi o</w:t>
      </w:r>
      <w:r w:rsidR="00F7555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 xml:space="preserve">25% nižší ako hodnoty u mužov. Ukazuje sa pokles klírensu s vekom u mužov aj žien, stále však zostáva rýchly. Pri odporúčanej dávke gemcitabínu </w:t>
      </w:r>
      <w:r w:rsidR="00FC41A5" w:rsidRPr="006C25A0">
        <w:rPr>
          <w:noProof/>
          <w:sz w:val="22"/>
          <w:szCs w:val="22"/>
          <w:lang w:val="sk-SK"/>
        </w:rPr>
        <w:t>1 000 mg</w:t>
      </w:r>
      <w:r w:rsidRPr="006C25A0">
        <w:rPr>
          <w:noProof/>
          <w:sz w:val="22"/>
          <w:szCs w:val="22"/>
          <w:lang w:val="sk-SK"/>
        </w:rPr>
        <w:t>/</w:t>
      </w:r>
      <w:r w:rsidR="00FC41A5" w:rsidRPr="006C25A0">
        <w:rPr>
          <w:noProof/>
          <w:sz w:val="22"/>
          <w:szCs w:val="22"/>
          <w:lang w:val="sk-SK"/>
        </w:rPr>
        <w:t>m</w:t>
      </w:r>
      <w:r w:rsidR="00FF061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, podanej vo forme 30</w:t>
      </w:r>
      <w:r w:rsidR="00F7555D" w:rsidRPr="006C25A0">
        <w:rPr>
          <w:noProof/>
          <w:sz w:val="22"/>
          <w:szCs w:val="22"/>
          <w:lang w:val="sk-SK"/>
        </w:rPr>
        <w:noBreakHyphen/>
      </w:r>
      <w:r w:rsidRPr="006C25A0">
        <w:rPr>
          <w:noProof/>
          <w:sz w:val="22"/>
          <w:szCs w:val="22"/>
          <w:lang w:val="sk-SK"/>
        </w:rPr>
        <w:t>minútovej infúzie, nižšie hodnoty klírensu u žien ani u mužov si nemusia vyžadovať zníženie dávky gemcitabínu.</w:t>
      </w:r>
    </w:p>
    <w:p w14:paraId="19BD58AC" w14:textId="77777777" w:rsidR="005A0342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Eliminácia močom: Menej ako 10% sa vylúči v nezmenenej forme.</w:t>
      </w:r>
    </w:p>
    <w:p w14:paraId="0FFF74D0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Renálny klírens bol 2 až 7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hod/</w:t>
      </w:r>
      <w:r w:rsidR="00FC41A5" w:rsidRPr="006C25A0">
        <w:rPr>
          <w:noProof/>
          <w:sz w:val="22"/>
          <w:szCs w:val="22"/>
          <w:lang w:val="sk-SK"/>
        </w:rPr>
        <w:t>m</w:t>
      </w:r>
      <w:r w:rsidR="00E64800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.</w:t>
      </w:r>
    </w:p>
    <w:p w14:paraId="56310E20" w14:textId="77777777" w:rsidR="005A0342" w:rsidRPr="006C25A0" w:rsidRDefault="005A0342" w:rsidP="006C25A0">
      <w:pPr>
        <w:pStyle w:val="CM26"/>
        <w:spacing w:after="0"/>
        <w:rPr>
          <w:noProof/>
          <w:sz w:val="22"/>
          <w:szCs w:val="22"/>
          <w:lang w:val="sk-SK"/>
        </w:rPr>
      </w:pPr>
    </w:p>
    <w:p w14:paraId="32F7D52A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 priebehu týždňa po podaní sa vylúči 92 až 98% dávky podaného gemcitabínu, 99% močom, prevažne vo forme dFdU a</w:t>
      </w:r>
      <w:r w:rsidR="00DE1054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1% dávky sa vylučuje stolicou.</w:t>
      </w:r>
    </w:p>
    <w:p w14:paraId="68B9898B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30DE78CE" w14:textId="77777777" w:rsidR="003E3307" w:rsidRDefault="00E86ED7" w:rsidP="00C03C74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Kinetika dFdCTP</w:t>
      </w:r>
    </w:p>
    <w:p w14:paraId="61CD5279" w14:textId="77777777" w:rsidR="007D76B8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Tento metabolit sa môže nachádzať v mononukleárnych bunkách v periférnej krvi a nižšie uvedené informácie sa týkajú týchto buniek. Intracelulárne koncentrácie sa zvyšujú proporcionálne s dávkami gemcitabínu 35</w:t>
      </w:r>
      <w:r w:rsidR="001A3C70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350</w:t>
      </w:r>
      <w:r w:rsidR="00FC41A5" w:rsidRPr="006C25A0">
        <w:rPr>
          <w:noProof/>
          <w:sz w:val="22"/>
          <w:szCs w:val="22"/>
          <w:lang w:val="sk-SK"/>
        </w:rPr>
        <w:t> mg</w:t>
      </w:r>
      <w:r w:rsidRPr="006C25A0">
        <w:rPr>
          <w:noProof/>
          <w:sz w:val="22"/>
          <w:szCs w:val="22"/>
          <w:lang w:val="sk-SK"/>
        </w:rPr>
        <w:t>/</w:t>
      </w:r>
      <w:r w:rsidR="00FC41A5" w:rsidRPr="006C25A0">
        <w:rPr>
          <w:noProof/>
          <w:sz w:val="22"/>
          <w:szCs w:val="22"/>
          <w:lang w:val="sk-SK"/>
        </w:rPr>
        <w:t>m</w:t>
      </w:r>
      <w:r w:rsidR="001A3C70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/30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út, čoho výsledkom sú koncentrácie</w:t>
      </w:r>
      <w:r w:rsidR="00FC77CF" w:rsidRPr="006C25A0">
        <w:rPr>
          <w:noProof/>
          <w:sz w:val="22"/>
          <w:szCs w:val="22"/>
          <w:lang w:val="sk-SK"/>
        </w:rPr>
        <w:t xml:space="preserve"> v rovnovážnom stave 0,4 – </w:t>
      </w:r>
      <w:r w:rsidRPr="006C25A0">
        <w:rPr>
          <w:noProof/>
          <w:sz w:val="22"/>
          <w:szCs w:val="22"/>
          <w:lang w:val="sk-SK"/>
        </w:rPr>
        <w:t>5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/ml. Pri plazmatických koncentráciách gemcitabínu vyšších ako 5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 sa hladiny dFdCTP nezvyšujú, čo naznačuje saturáciu v týchto bunkách.</w:t>
      </w:r>
    </w:p>
    <w:p w14:paraId="1CE1CB6B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Polčas terminálnej eliminácie: 0,7</w:t>
      </w:r>
      <w:r w:rsidR="00FC77CF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12</w:t>
      </w:r>
      <w:r w:rsidR="00BA2964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hodín.</w:t>
      </w:r>
    </w:p>
    <w:p w14:paraId="1D458B16" w14:textId="77777777" w:rsidR="007D76B8" w:rsidRPr="006C25A0" w:rsidRDefault="007D76B8" w:rsidP="006C25A0">
      <w:pPr>
        <w:pStyle w:val="Default"/>
        <w:rPr>
          <w:noProof/>
          <w:sz w:val="22"/>
          <w:szCs w:val="22"/>
          <w:lang w:val="sk-SK"/>
        </w:rPr>
      </w:pPr>
    </w:p>
    <w:p w14:paraId="0FF57BD9" w14:textId="77777777" w:rsidR="003E3307" w:rsidRDefault="00E86ED7" w:rsidP="00C03C74">
      <w:pPr>
        <w:pStyle w:val="CM3"/>
        <w:keepNext/>
        <w:keepLines/>
        <w:widowControl/>
        <w:spacing w:line="240" w:lineRule="auto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Kinetika dFdU</w:t>
      </w:r>
    </w:p>
    <w:p w14:paraId="579CF7CA" w14:textId="77777777" w:rsidR="007D76B8" w:rsidRPr="006C25A0" w:rsidRDefault="00E86ED7" w:rsidP="006C25A0">
      <w:pPr>
        <w:pStyle w:val="CM3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Maximálne plazmatické koncentrácie (3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15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 po skončení 30</w:t>
      </w:r>
      <w:r w:rsidR="00BA2964" w:rsidRPr="006C25A0">
        <w:rPr>
          <w:noProof/>
          <w:sz w:val="22"/>
          <w:szCs w:val="22"/>
          <w:lang w:val="sk-SK"/>
        </w:rPr>
        <w:noBreakHyphen/>
      </w:r>
      <w:r w:rsidRPr="006C25A0">
        <w:rPr>
          <w:noProof/>
          <w:sz w:val="22"/>
          <w:szCs w:val="22"/>
          <w:lang w:val="sk-SK"/>
        </w:rPr>
        <w:t xml:space="preserve">minútovej infúzie dávky </w:t>
      </w:r>
      <w:r w:rsidR="00FC41A5" w:rsidRPr="006C25A0">
        <w:rPr>
          <w:noProof/>
          <w:sz w:val="22"/>
          <w:szCs w:val="22"/>
          <w:lang w:val="sk-SK"/>
        </w:rPr>
        <w:t>1 000 mg</w:t>
      </w:r>
      <w:r w:rsidRPr="006C25A0">
        <w:rPr>
          <w:noProof/>
          <w:sz w:val="22"/>
          <w:szCs w:val="22"/>
          <w:lang w:val="sk-SK"/>
        </w:rPr>
        <w:t>/</w:t>
      </w:r>
      <w:r w:rsidR="00FC41A5" w:rsidRPr="006C25A0">
        <w:rPr>
          <w:noProof/>
          <w:sz w:val="22"/>
          <w:szCs w:val="22"/>
          <w:lang w:val="sk-SK"/>
        </w:rPr>
        <w:t>m</w:t>
      </w:r>
      <w:r w:rsidR="00910DB8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): </w:t>
      </w:r>
      <w:r w:rsidR="00BA2964" w:rsidRPr="006C25A0">
        <w:rPr>
          <w:noProof/>
          <w:sz w:val="22"/>
          <w:szCs w:val="22"/>
          <w:lang w:val="sk-SK"/>
        </w:rPr>
        <w:t>28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52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/ml.</w:t>
      </w:r>
    </w:p>
    <w:p w14:paraId="3BDAF6EC" w14:textId="77777777" w:rsidR="007D76B8" w:rsidRPr="006C25A0" w:rsidRDefault="00E86ED7" w:rsidP="006C25A0">
      <w:pPr>
        <w:pStyle w:val="CM3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Najnižšia koncentrácia po podávaní raz týždenne: 0,07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1,12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/ml, bez zjavnej kumulácie.</w:t>
      </w:r>
    </w:p>
    <w:p w14:paraId="5A3F7CD9" w14:textId="77777777" w:rsidR="007D76B8" w:rsidRPr="006C25A0" w:rsidRDefault="00E86ED7" w:rsidP="006C25A0">
      <w:pPr>
        <w:pStyle w:val="CM3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Trojfázový graf plazmatickej koncentrácie a času, stredný polčas terminálnej fázy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65</w:t>
      </w:r>
      <w:r w:rsidR="00451AE6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 (rozmedzie</w:t>
      </w:r>
      <w:r w:rsidR="007D76B8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33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84</w:t>
      </w:r>
      <w:r w:rsidR="000B25D2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hodín).</w:t>
      </w:r>
    </w:p>
    <w:p w14:paraId="50A564C0" w14:textId="77777777" w:rsidR="007D76B8" w:rsidRPr="006C25A0" w:rsidRDefault="00E86ED7" w:rsidP="006C25A0">
      <w:pPr>
        <w:pStyle w:val="CM3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Tvorba dFdU z východiskovej látky: 91%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98%.</w:t>
      </w:r>
    </w:p>
    <w:p w14:paraId="7417045F" w14:textId="77777777" w:rsidR="007D76B8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Stredný distribučný objem v centrálnom kompartmente: 18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13288B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(rozmedzie 11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22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451AE6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).</w:t>
      </w:r>
    </w:p>
    <w:p w14:paraId="320F9C8F" w14:textId="77777777" w:rsidR="007D76B8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Stredný distribučný objem v rovnovážnom stave (V</w:t>
      </w:r>
      <w:r w:rsidRPr="006C25A0">
        <w:rPr>
          <w:noProof/>
          <w:sz w:val="22"/>
          <w:szCs w:val="22"/>
          <w:vertAlign w:val="subscript"/>
          <w:lang w:val="sk-SK"/>
        </w:rPr>
        <w:t>ss</w:t>
      </w:r>
      <w:r w:rsidRPr="006C25A0">
        <w:rPr>
          <w:noProof/>
          <w:sz w:val="22"/>
          <w:szCs w:val="22"/>
          <w:lang w:val="sk-SK"/>
        </w:rPr>
        <w:t>): 150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13288B" w:rsidRPr="006C25A0">
        <w:rPr>
          <w:noProof/>
          <w:sz w:val="22"/>
          <w:szCs w:val="22"/>
          <w:lang w:val="sk-SK"/>
        </w:rPr>
        <w:t>²</w:t>
      </w:r>
      <w:r w:rsidR="000B25D2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(rozmedzie 96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228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451AE6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).</w:t>
      </w:r>
    </w:p>
    <w:p w14:paraId="1BF5F0F2" w14:textId="77777777" w:rsidR="00E86ED7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Distribúcia v tkanivách: rozsiahla.</w:t>
      </w:r>
    </w:p>
    <w:p w14:paraId="452922F8" w14:textId="77777777" w:rsidR="00BC61C0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Stredný zjavný klírens: 2,5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h/</w:t>
      </w:r>
      <w:r w:rsidR="00FC41A5" w:rsidRPr="006C25A0">
        <w:rPr>
          <w:noProof/>
          <w:sz w:val="22"/>
          <w:szCs w:val="22"/>
          <w:lang w:val="sk-SK"/>
        </w:rPr>
        <w:t>m</w:t>
      </w:r>
      <w:r w:rsidR="003E244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(rozmedzie 1</w:t>
      </w:r>
      <w:r w:rsidR="003E244F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4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h/m</w:t>
      </w:r>
      <w:r w:rsidR="003E244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)</w:t>
      </w:r>
      <w:r w:rsidR="00BC61C0" w:rsidRPr="006C25A0">
        <w:rPr>
          <w:noProof/>
          <w:sz w:val="22"/>
          <w:szCs w:val="22"/>
          <w:lang w:val="sk-SK"/>
        </w:rPr>
        <w:t>.</w:t>
      </w:r>
    </w:p>
    <w:p w14:paraId="562F60A1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Vylučovanie močom: úplné.</w:t>
      </w:r>
    </w:p>
    <w:p w14:paraId="729AE6D6" w14:textId="77777777" w:rsidR="00BC61C0" w:rsidRPr="006C25A0" w:rsidRDefault="00BC61C0" w:rsidP="006C25A0">
      <w:pPr>
        <w:pStyle w:val="Default"/>
        <w:rPr>
          <w:noProof/>
          <w:sz w:val="22"/>
          <w:szCs w:val="22"/>
          <w:lang w:val="sk-SK"/>
        </w:rPr>
      </w:pPr>
    </w:p>
    <w:p w14:paraId="3B96A497" w14:textId="77777777" w:rsidR="003E3307" w:rsidRDefault="00E86ED7" w:rsidP="006C25A0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Kombinovaná liečba gemcitabínom a</w:t>
      </w:r>
      <w:r w:rsidR="00BC61C0" w:rsidRPr="006C25A0">
        <w:rPr>
          <w:noProof/>
          <w:sz w:val="22"/>
          <w:szCs w:val="22"/>
          <w:u w:val="single"/>
          <w:lang w:val="sk-SK"/>
        </w:rPr>
        <w:t> </w:t>
      </w:r>
      <w:r w:rsidRPr="006C25A0">
        <w:rPr>
          <w:noProof/>
          <w:sz w:val="22"/>
          <w:szCs w:val="22"/>
          <w:u w:val="single"/>
          <w:lang w:val="sk-SK"/>
        </w:rPr>
        <w:t>paklitaxelom</w:t>
      </w:r>
    </w:p>
    <w:p w14:paraId="1D3510A5" w14:textId="77777777" w:rsidR="00E86ED7" w:rsidRPr="006C25A0" w:rsidRDefault="00E86ED7" w:rsidP="006C25A0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Kombinovaná liečba neovplyvňovala farmakokinetiku gemcitabínu ani paklitaxelu.</w:t>
      </w:r>
    </w:p>
    <w:p w14:paraId="17CC50FA" w14:textId="77777777" w:rsidR="00BC61C0" w:rsidRPr="006C25A0" w:rsidRDefault="00BC61C0" w:rsidP="006C25A0">
      <w:pPr>
        <w:pStyle w:val="Default"/>
        <w:rPr>
          <w:noProof/>
          <w:sz w:val="22"/>
          <w:szCs w:val="22"/>
          <w:lang w:val="sk-SK"/>
        </w:rPr>
      </w:pPr>
    </w:p>
    <w:p w14:paraId="144B41CB" w14:textId="77777777" w:rsidR="003E3307" w:rsidRDefault="00E86ED7" w:rsidP="006C25A0">
      <w:pPr>
        <w:pStyle w:val="CM3"/>
        <w:spacing w:line="240" w:lineRule="auto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Kombinovaná liečba gemcitabínom a</w:t>
      </w:r>
      <w:r w:rsidR="00BC61C0" w:rsidRPr="006C25A0">
        <w:rPr>
          <w:noProof/>
          <w:sz w:val="22"/>
          <w:szCs w:val="22"/>
          <w:u w:val="single"/>
          <w:lang w:val="sk-SK"/>
        </w:rPr>
        <w:t> </w:t>
      </w:r>
      <w:r w:rsidRPr="006C25A0">
        <w:rPr>
          <w:noProof/>
          <w:sz w:val="22"/>
          <w:szCs w:val="22"/>
          <w:u w:val="single"/>
          <w:lang w:val="sk-SK"/>
        </w:rPr>
        <w:t>karboplatinou</w:t>
      </w:r>
    </w:p>
    <w:p w14:paraId="2627BA5A" w14:textId="77777777" w:rsidR="00E86ED7" w:rsidRPr="006C25A0" w:rsidRDefault="00E86ED7" w:rsidP="006C25A0">
      <w:pPr>
        <w:pStyle w:val="CM3"/>
        <w:spacing w:line="240" w:lineRule="auto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Pri podávaní kombinácie s karboplatinou nebola farmakokinetika gemcitabínu ovplyvnená.</w:t>
      </w:r>
    </w:p>
    <w:p w14:paraId="5D24CB9C" w14:textId="77777777" w:rsidR="00BC61C0" w:rsidRPr="006C25A0" w:rsidRDefault="00BC61C0" w:rsidP="006C25A0">
      <w:pPr>
        <w:pStyle w:val="Default"/>
        <w:rPr>
          <w:noProof/>
          <w:sz w:val="22"/>
          <w:szCs w:val="22"/>
          <w:lang w:val="sk-SK"/>
        </w:rPr>
      </w:pPr>
    </w:p>
    <w:p w14:paraId="67A4135C" w14:textId="77777777" w:rsidR="003E3307" w:rsidRDefault="00E86ED7" w:rsidP="00C03C74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Porucha funkcie obličiek</w:t>
      </w:r>
    </w:p>
    <w:p w14:paraId="1C879BA6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Mierna až stredne závažná obličková nedostatočnosť (GFR</w:t>
      </w:r>
      <w:r w:rsidR="00BC61C0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od 30</w:t>
      </w:r>
      <w:r w:rsidR="00FC41A5" w:rsidRPr="006C25A0">
        <w:rPr>
          <w:noProof/>
          <w:sz w:val="22"/>
          <w:szCs w:val="22"/>
          <w:lang w:val="sk-SK"/>
        </w:rPr>
        <w:t> ml</w:t>
      </w:r>
      <w:r w:rsidRPr="006C25A0">
        <w:rPr>
          <w:noProof/>
          <w:sz w:val="22"/>
          <w:szCs w:val="22"/>
          <w:lang w:val="sk-SK"/>
        </w:rPr>
        <w:t>/min do 80</w:t>
      </w:r>
      <w:r w:rsidR="00FC41A5" w:rsidRPr="006C25A0">
        <w:rPr>
          <w:noProof/>
          <w:sz w:val="22"/>
          <w:szCs w:val="22"/>
          <w:lang w:val="sk-SK"/>
        </w:rPr>
        <w:t> ml</w:t>
      </w:r>
      <w:r w:rsidRPr="006C25A0">
        <w:rPr>
          <w:noProof/>
          <w:sz w:val="22"/>
          <w:szCs w:val="22"/>
          <w:lang w:val="sk-SK"/>
        </w:rPr>
        <w:t>/min) nemala žiadny trvalý, významný vplyv na farmakokinetiku gemcitabínu.</w:t>
      </w:r>
    </w:p>
    <w:p w14:paraId="196AE003" w14:textId="77777777" w:rsidR="00015C5D" w:rsidRPr="006C25A0" w:rsidRDefault="00015C5D" w:rsidP="006C25A0">
      <w:pPr>
        <w:pStyle w:val="Default"/>
        <w:rPr>
          <w:noProof/>
          <w:sz w:val="22"/>
          <w:szCs w:val="22"/>
          <w:lang w:val="sk-SK"/>
        </w:rPr>
      </w:pPr>
    </w:p>
    <w:p w14:paraId="3420891D" w14:textId="77777777" w:rsidR="00E86ED7" w:rsidRPr="006C25A0" w:rsidRDefault="00015C5D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5.3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Predklinické údaje o bezpečnosti</w:t>
      </w:r>
    </w:p>
    <w:p w14:paraId="5F38F5F3" w14:textId="77777777" w:rsidR="00015C5D" w:rsidRPr="006C25A0" w:rsidRDefault="00015C5D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</w:p>
    <w:p w14:paraId="27405202" w14:textId="77777777" w:rsidR="00E86ED7" w:rsidRPr="006C25A0" w:rsidRDefault="00E86ED7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 štúdiách toxicity po opakovanom podaní trvajúcich až do 6</w:t>
      </w:r>
      <w:r w:rsidR="0072341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mesiacov u myší a psov bol hlavným nálezom supresia hematopoézy závislá na dávkovaní a dávke a ktorá bola reverzibilná.</w:t>
      </w:r>
    </w:p>
    <w:p w14:paraId="6996CB53" w14:textId="77777777" w:rsidR="0088238F" w:rsidRPr="006C25A0" w:rsidRDefault="0088238F" w:rsidP="006C25A0">
      <w:pPr>
        <w:pStyle w:val="Default"/>
        <w:keepNext/>
        <w:keepLines/>
        <w:widowControl/>
        <w:rPr>
          <w:noProof/>
          <w:sz w:val="22"/>
          <w:szCs w:val="22"/>
          <w:lang w:val="sk-SK"/>
        </w:rPr>
      </w:pPr>
    </w:p>
    <w:p w14:paraId="59031C9F" w14:textId="77777777" w:rsidR="00E86ED7" w:rsidRPr="006C25A0" w:rsidRDefault="00E86ED7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Gemcitabín je mutagénny v </w:t>
      </w:r>
      <w:r w:rsidRPr="006C25A0">
        <w:rPr>
          <w:i/>
          <w:iCs/>
          <w:noProof/>
          <w:sz w:val="22"/>
          <w:szCs w:val="22"/>
          <w:lang w:val="sk-SK"/>
        </w:rPr>
        <w:t>in vitro</w:t>
      </w:r>
      <w:r w:rsidRPr="006C25A0">
        <w:rPr>
          <w:noProof/>
          <w:sz w:val="22"/>
          <w:szCs w:val="22"/>
          <w:lang w:val="sk-SK"/>
        </w:rPr>
        <w:t xml:space="preserve"> teste na mutagenitu a </w:t>
      </w:r>
      <w:r w:rsidRPr="006C25A0">
        <w:rPr>
          <w:i/>
          <w:iCs/>
          <w:noProof/>
          <w:sz w:val="22"/>
          <w:szCs w:val="22"/>
          <w:lang w:val="sk-SK"/>
        </w:rPr>
        <w:t>in vivo</w:t>
      </w:r>
      <w:r w:rsidRPr="006C25A0">
        <w:rPr>
          <w:noProof/>
          <w:sz w:val="22"/>
          <w:szCs w:val="22"/>
          <w:lang w:val="sk-SK"/>
        </w:rPr>
        <w:t xml:space="preserve"> mikronukleus teste kostnej drene. Dlhodobé štúdie na zvieratách na hodnotenie karcinogénneho potenciálu gemcitabínu sa neuskutočnili.</w:t>
      </w:r>
    </w:p>
    <w:p w14:paraId="676DE80F" w14:textId="77777777" w:rsidR="0088238F" w:rsidRPr="006C25A0" w:rsidRDefault="0088238F" w:rsidP="006C25A0">
      <w:pPr>
        <w:pStyle w:val="Default"/>
        <w:rPr>
          <w:noProof/>
          <w:sz w:val="22"/>
          <w:szCs w:val="22"/>
          <w:lang w:val="sk-SK"/>
        </w:rPr>
      </w:pPr>
    </w:p>
    <w:p w14:paraId="7E6C81A7" w14:textId="77777777" w:rsidR="00E86ED7" w:rsidRPr="006C25A0" w:rsidRDefault="00E86ED7" w:rsidP="00143829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lastRenderedPageBreak/>
        <w:t xml:space="preserve">V štúdiách na hodnotenie fertility spôsoboval gemcitabín reverzibilnú hypospermatogenézu u myších samcov. Vplyv na </w:t>
      </w:r>
      <w:r w:rsidR="00BC1C0B" w:rsidRPr="006C25A0">
        <w:rPr>
          <w:noProof/>
          <w:sz w:val="22"/>
          <w:szCs w:val="22"/>
          <w:lang w:val="sk-SK"/>
        </w:rPr>
        <w:t>plodnosť</w:t>
      </w:r>
      <w:r w:rsidR="005F4C4A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samíc sa nepozoroval.</w:t>
      </w:r>
    </w:p>
    <w:p w14:paraId="23B6EDB0" w14:textId="77777777" w:rsidR="0088238F" w:rsidRPr="006C25A0" w:rsidRDefault="0088238F" w:rsidP="006C25A0">
      <w:pPr>
        <w:pStyle w:val="Default"/>
        <w:rPr>
          <w:noProof/>
          <w:sz w:val="22"/>
          <w:szCs w:val="22"/>
          <w:lang w:val="sk-SK"/>
        </w:rPr>
      </w:pPr>
    </w:p>
    <w:p w14:paraId="3BC942BE" w14:textId="77777777" w:rsidR="00E86ED7" w:rsidRPr="006C25A0" w:rsidRDefault="00E86ED7" w:rsidP="006C25A0">
      <w:pPr>
        <w:pStyle w:val="CM28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Zhodnotenie experimentálnych štúdií na zvieratách preukázalo reprodukčnú toxicitu, napr. vrodené chyby a iné účinky na vývoj embrya alebo plodu, priebeh gravidity alebo peri-</w:t>
      </w:r>
      <w:r w:rsidR="00372B25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a postnatálny vývoj.</w:t>
      </w:r>
    </w:p>
    <w:p w14:paraId="331249A4" w14:textId="77777777" w:rsidR="00015C5D" w:rsidRPr="006C25A0" w:rsidRDefault="00015C5D" w:rsidP="006C25A0">
      <w:pPr>
        <w:pStyle w:val="Default"/>
        <w:rPr>
          <w:noProof/>
          <w:sz w:val="22"/>
          <w:szCs w:val="22"/>
          <w:lang w:val="sk-SK"/>
        </w:rPr>
      </w:pPr>
    </w:p>
    <w:p w14:paraId="5F9FF184" w14:textId="77777777" w:rsidR="00015C5D" w:rsidRPr="006C25A0" w:rsidRDefault="00015C5D" w:rsidP="006C25A0">
      <w:pPr>
        <w:pStyle w:val="Default"/>
        <w:rPr>
          <w:noProof/>
          <w:sz w:val="22"/>
          <w:szCs w:val="22"/>
          <w:lang w:val="sk-SK"/>
        </w:rPr>
      </w:pPr>
    </w:p>
    <w:p w14:paraId="16014619" w14:textId="77777777" w:rsidR="00E86ED7" w:rsidRPr="006C25A0" w:rsidRDefault="00015C5D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b/>
          <w:bCs/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 xml:space="preserve">FARMACEUTICKÉ </w:t>
      </w:r>
      <w:r w:rsidR="00FE1680" w:rsidRPr="006C25A0">
        <w:rPr>
          <w:b/>
          <w:sz w:val="22"/>
          <w:szCs w:val="22"/>
          <w:lang w:val="sk-SK"/>
        </w:rPr>
        <w:t>INFORMÁCIE</w:t>
      </w:r>
    </w:p>
    <w:p w14:paraId="49EAEB33" w14:textId="77777777" w:rsidR="00015C5D" w:rsidRPr="006C25A0" w:rsidRDefault="00015C5D" w:rsidP="006C25A0">
      <w:pPr>
        <w:pStyle w:val="CM2"/>
        <w:keepNext/>
        <w:keepLines/>
        <w:widowControl/>
        <w:spacing w:line="240" w:lineRule="auto"/>
        <w:ind w:left="567" w:hanging="567"/>
        <w:rPr>
          <w:b/>
          <w:bCs/>
          <w:noProof/>
          <w:sz w:val="22"/>
          <w:szCs w:val="22"/>
          <w:lang w:val="sk-SK"/>
        </w:rPr>
      </w:pPr>
    </w:p>
    <w:p w14:paraId="544DCD42" w14:textId="77777777" w:rsidR="00E86ED7" w:rsidRPr="006C25A0" w:rsidRDefault="00015C5D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6.1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Zoznam pomocných látok</w:t>
      </w:r>
    </w:p>
    <w:p w14:paraId="47C82CA0" w14:textId="77777777" w:rsidR="00E86ED7" w:rsidRPr="006C25A0" w:rsidRDefault="00E86ED7" w:rsidP="006C25A0">
      <w:pPr>
        <w:pStyle w:val="Default"/>
        <w:keepNext/>
        <w:keepLines/>
        <w:widowControl/>
        <w:rPr>
          <w:noProof/>
          <w:color w:val="auto"/>
          <w:sz w:val="22"/>
          <w:szCs w:val="22"/>
          <w:lang w:val="sk-SK"/>
        </w:rPr>
      </w:pPr>
    </w:p>
    <w:p w14:paraId="6564D32F" w14:textId="77777777" w:rsidR="00650C07" w:rsidRPr="006C25A0" w:rsidRDefault="00E86ED7" w:rsidP="006C25A0">
      <w:pPr>
        <w:pStyle w:val="CM29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G</w:t>
      </w:r>
      <w:r w:rsidR="00650C07" w:rsidRPr="006C25A0">
        <w:rPr>
          <w:noProof/>
          <w:sz w:val="22"/>
          <w:szCs w:val="22"/>
          <w:lang w:val="sk-SK"/>
        </w:rPr>
        <w:t>emcitabine medac 38</w:t>
      </w:r>
      <w:r w:rsidR="00FC41A5" w:rsidRPr="006C25A0">
        <w:rPr>
          <w:noProof/>
          <w:sz w:val="22"/>
          <w:szCs w:val="22"/>
          <w:lang w:val="sk-SK"/>
        </w:rPr>
        <w:t> mg</w:t>
      </w:r>
      <w:r w:rsidR="00650C07" w:rsidRPr="006C25A0">
        <w:rPr>
          <w:noProof/>
          <w:sz w:val="22"/>
          <w:szCs w:val="22"/>
          <w:lang w:val="sk-SK"/>
        </w:rPr>
        <w:t>/ml</w:t>
      </w:r>
      <w:r w:rsidRPr="006C25A0">
        <w:rPr>
          <w:noProof/>
          <w:sz w:val="22"/>
          <w:szCs w:val="22"/>
          <w:lang w:val="sk-SK"/>
        </w:rPr>
        <w:t xml:space="preserve"> obsahuje:</w:t>
      </w:r>
    </w:p>
    <w:p w14:paraId="6806A2D7" w14:textId="77777777" w:rsidR="0088238F" w:rsidRPr="006C25A0" w:rsidRDefault="00BC1C0B" w:rsidP="006C25A0">
      <w:pPr>
        <w:pStyle w:val="CM29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M</w:t>
      </w:r>
      <w:r w:rsidR="00E86ED7" w:rsidRPr="006C25A0">
        <w:rPr>
          <w:noProof/>
          <w:sz w:val="22"/>
          <w:szCs w:val="22"/>
          <w:lang w:val="sk-SK"/>
        </w:rPr>
        <w:t>anitol (E421)</w:t>
      </w:r>
    </w:p>
    <w:p w14:paraId="61A1FA1B" w14:textId="77777777" w:rsidR="0088238F" w:rsidRPr="006C25A0" w:rsidRDefault="00BC1C0B" w:rsidP="006C25A0">
      <w:pPr>
        <w:pStyle w:val="CM29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Trihydrát </w:t>
      </w:r>
      <w:r w:rsidR="00E86ED7" w:rsidRPr="006C25A0">
        <w:rPr>
          <w:noProof/>
          <w:sz w:val="22"/>
          <w:szCs w:val="22"/>
          <w:lang w:val="sk-SK"/>
        </w:rPr>
        <w:t>octan</w:t>
      </w:r>
      <w:r w:rsidRPr="006C25A0">
        <w:rPr>
          <w:noProof/>
          <w:sz w:val="22"/>
          <w:szCs w:val="22"/>
          <w:lang w:val="sk-SK"/>
        </w:rPr>
        <w:t>u</w:t>
      </w:r>
      <w:r w:rsidR="00E86ED7" w:rsidRPr="006C25A0">
        <w:rPr>
          <w:noProof/>
          <w:sz w:val="22"/>
          <w:szCs w:val="22"/>
          <w:lang w:val="sk-SK"/>
        </w:rPr>
        <w:t xml:space="preserve"> sodn</w:t>
      </w:r>
      <w:r w:rsidRPr="006C25A0">
        <w:rPr>
          <w:noProof/>
          <w:sz w:val="22"/>
          <w:szCs w:val="22"/>
          <w:lang w:val="sk-SK"/>
        </w:rPr>
        <w:t>ého</w:t>
      </w:r>
      <w:r w:rsidR="00E86ED7" w:rsidRPr="006C25A0">
        <w:rPr>
          <w:noProof/>
          <w:sz w:val="22"/>
          <w:szCs w:val="22"/>
          <w:lang w:val="sk-SK"/>
        </w:rPr>
        <w:t xml:space="preserve"> (E262)</w:t>
      </w:r>
    </w:p>
    <w:p w14:paraId="1E04BC25" w14:textId="77777777" w:rsidR="0088238F" w:rsidRPr="006C25A0" w:rsidRDefault="00BC1C0B" w:rsidP="006C25A0">
      <w:pPr>
        <w:pStyle w:val="CM29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K</w:t>
      </w:r>
      <w:r w:rsidR="00E86ED7" w:rsidRPr="006C25A0">
        <w:rPr>
          <w:noProof/>
          <w:sz w:val="22"/>
          <w:szCs w:val="22"/>
          <w:lang w:val="sk-SK"/>
        </w:rPr>
        <w:t>yselina chlorovodíková (E507) (na úpravu pH)</w:t>
      </w:r>
    </w:p>
    <w:p w14:paraId="36B2A538" w14:textId="77777777" w:rsidR="00E86ED7" w:rsidRPr="006C25A0" w:rsidRDefault="00BC1C0B" w:rsidP="006C25A0">
      <w:pPr>
        <w:pStyle w:val="CM29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H</w:t>
      </w:r>
      <w:r w:rsidR="00E86ED7" w:rsidRPr="006C25A0">
        <w:rPr>
          <w:noProof/>
          <w:sz w:val="22"/>
          <w:szCs w:val="22"/>
          <w:lang w:val="sk-SK"/>
        </w:rPr>
        <w:t>ydroxid sodný (E524) (na úpravu pH)</w:t>
      </w:r>
    </w:p>
    <w:p w14:paraId="7E791DA5" w14:textId="77777777" w:rsidR="0088238F" w:rsidRPr="006C25A0" w:rsidRDefault="0088238F" w:rsidP="006C25A0">
      <w:pPr>
        <w:pStyle w:val="Default"/>
        <w:rPr>
          <w:noProof/>
          <w:sz w:val="22"/>
          <w:szCs w:val="22"/>
          <w:lang w:val="sk-SK"/>
        </w:rPr>
      </w:pPr>
    </w:p>
    <w:p w14:paraId="07734E03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6.2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Inkompatibility</w:t>
      </w:r>
    </w:p>
    <w:p w14:paraId="6D84815C" w14:textId="77777777" w:rsidR="00BB3A2F" w:rsidRPr="006C25A0" w:rsidRDefault="00BB3A2F" w:rsidP="006C25A0">
      <w:pPr>
        <w:pStyle w:val="CM26"/>
        <w:spacing w:after="0"/>
        <w:rPr>
          <w:noProof/>
          <w:sz w:val="22"/>
          <w:szCs w:val="22"/>
          <w:lang w:val="sk-SK"/>
        </w:rPr>
      </w:pPr>
    </w:p>
    <w:p w14:paraId="0F639013" w14:textId="77777777" w:rsidR="00E86ED7" w:rsidRPr="006C25A0" w:rsidRDefault="00E86ED7" w:rsidP="006C25A0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Tento liek sa nesmie miešať s inými liekmi okrem tých, ktoré sú uvedené v</w:t>
      </w:r>
      <w:r w:rsidR="0088238F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časti</w:t>
      </w:r>
      <w:r w:rsidR="0088238F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6.6.</w:t>
      </w:r>
    </w:p>
    <w:p w14:paraId="799AE0B9" w14:textId="77777777" w:rsidR="00BB3A2F" w:rsidRPr="006C25A0" w:rsidRDefault="00BB3A2F" w:rsidP="006C25A0">
      <w:pPr>
        <w:pStyle w:val="CM26"/>
        <w:spacing w:after="0"/>
        <w:rPr>
          <w:b/>
          <w:bCs/>
          <w:noProof/>
          <w:sz w:val="22"/>
          <w:szCs w:val="22"/>
          <w:lang w:val="sk-SK"/>
        </w:rPr>
      </w:pPr>
    </w:p>
    <w:p w14:paraId="45ABFF69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6.3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Čas použiteľnosti</w:t>
      </w:r>
    </w:p>
    <w:p w14:paraId="72722FB1" w14:textId="77777777" w:rsidR="00BB3A2F" w:rsidRPr="006C25A0" w:rsidRDefault="00BB3A2F" w:rsidP="006C25A0">
      <w:pPr>
        <w:pStyle w:val="CM26"/>
        <w:spacing w:after="0"/>
        <w:rPr>
          <w:noProof/>
          <w:sz w:val="22"/>
          <w:szCs w:val="22"/>
          <w:lang w:val="sk-SK"/>
        </w:rPr>
      </w:pPr>
    </w:p>
    <w:p w14:paraId="219C7D42" w14:textId="27169572" w:rsidR="00E86ED7" w:rsidRPr="006C25A0" w:rsidRDefault="00082F17" w:rsidP="006C25A0">
      <w:pPr>
        <w:pStyle w:val="CM26"/>
        <w:spacing w:after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5</w:t>
      </w:r>
      <w:r w:rsidR="00D65806" w:rsidRPr="006C25A0">
        <w:rPr>
          <w:noProof/>
          <w:sz w:val="22"/>
          <w:szCs w:val="22"/>
          <w:lang w:val="sk-SK"/>
        </w:rPr>
        <w:t xml:space="preserve"> rok</w:t>
      </w:r>
      <w:r w:rsidR="00B838E8">
        <w:rPr>
          <w:noProof/>
          <w:sz w:val="22"/>
          <w:szCs w:val="22"/>
          <w:lang w:val="sk-SK"/>
        </w:rPr>
        <w:t>ov</w:t>
      </w:r>
    </w:p>
    <w:p w14:paraId="0B7E0C4B" w14:textId="77777777" w:rsidR="00BB3A2F" w:rsidRPr="006C25A0" w:rsidRDefault="00BB3A2F" w:rsidP="006C25A0">
      <w:pPr>
        <w:pStyle w:val="CM26"/>
        <w:spacing w:after="0"/>
        <w:rPr>
          <w:noProof/>
          <w:sz w:val="22"/>
          <w:szCs w:val="22"/>
          <w:u w:val="single"/>
          <w:lang w:val="sk-SK"/>
        </w:rPr>
      </w:pPr>
    </w:p>
    <w:p w14:paraId="7DAA5F60" w14:textId="77777777" w:rsidR="003E3307" w:rsidRDefault="00863993" w:rsidP="00C03C74">
      <w:pPr>
        <w:pStyle w:val="CM26"/>
        <w:keepNext/>
        <w:keepLines/>
        <w:spacing w:after="0"/>
        <w:outlineLvl w:val="0"/>
        <w:rPr>
          <w:noProof/>
          <w:lang w:val="sk-SK"/>
        </w:rPr>
      </w:pPr>
      <w:r w:rsidRPr="006C25A0">
        <w:rPr>
          <w:i/>
          <w:iCs/>
          <w:noProof/>
          <w:sz w:val="22"/>
          <w:szCs w:val="22"/>
          <w:u w:val="single"/>
          <w:lang w:val="sk-SK"/>
        </w:rPr>
        <w:t>Po rekonštitúcii:</w:t>
      </w:r>
    </w:p>
    <w:p w14:paraId="0C19E6AE" w14:textId="77777777" w:rsidR="00863993" w:rsidRPr="006C25A0" w:rsidRDefault="00863993" w:rsidP="006C25A0">
      <w:pPr>
        <w:pStyle w:val="Default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Chemická a fyzikálna stabilita pri používaní sa stanovila na 35</w:t>
      </w:r>
      <w:r w:rsidR="0072239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dní pri 25</w:t>
      </w:r>
      <w:r w:rsidR="0072239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sym w:font="Symbol" w:char="F0B0"/>
      </w:r>
      <w:r w:rsidRPr="006C25A0">
        <w:rPr>
          <w:noProof/>
          <w:sz w:val="22"/>
          <w:szCs w:val="22"/>
          <w:lang w:val="sk-SK"/>
        </w:rPr>
        <w:t>C. Z mikrobiologického hľadiska sa liek má použiť ihneď.</w:t>
      </w:r>
    </w:p>
    <w:p w14:paraId="58B35DFA" w14:textId="77777777" w:rsidR="00863993" w:rsidRPr="006C25A0" w:rsidRDefault="00863993" w:rsidP="006C25A0">
      <w:pPr>
        <w:pStyle w:val="Default"/>
        <w:rPr>
          <w:noProof/>
          <w:sz w:val="22"/>
          <w:szCs w:val="22"/>
          <w:lang w:val="sk-SK"/>
        </w:rPr>
      </w:pPr>
    </w:p>
    <w:p w14:paraId="74292592" w14:textId="77777777" w:rsidR="00863993" w:rsidRPr="006C25A0" w:rsidRDefault="00863993" w:rsidP="006C25A0">
      <w:pPr>
        <w:pStyle w:val="Default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Ak sa nepoužije ihneď, za čas použiteľnosti a podmienky pred použitím je zodpovedný používateľ a nemali by byť za normálnych okolností dlhšie ako 24</w:t>
      </w:r>
      <w:r w:rsidR="0072239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 pri 25</w:t>
      </w:r>
      <w:r w:rsidR="0072239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°C, pokiaľ sa rekonštitúcia / riedenie nevykoná za kontrolovaných a validovaných aseptických podmienok.</w:t>
      </w:r>
    </w:p>
    <w:p w14:paraId="69934580" w14:textId="77777777" w:rsidR="00863993" w:rsidRPr="006C25A0" w:rsidRDefault="00863993" w:rsidP="006C25A0">
      <w:pPr>
        <w:pStyle w:val="Default"/>
        <w:rPr>
          <w:noProof/>
          <w:sz w:val="22"/>
          <w:szCs w:val="22"/>
          <w:lang w:val="sk-SK"/>
        </w:rPr>
      </w:pPr>
    </w:p>
    <w:p w14:paraId="51DE3C41" w14:textId="77777777" w:rsidR="00863993" w:rsidRPr="006C25A0" w:rsidRDefault="00863993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6.4</w:t>
      </w:r>
      <w:r w:rsidRPr="006C25A0">
        <w:rPr>
          <w:b/>
          <w:bCs/>
          <w:noProof/>
          <w:sz w:val="22"/>
          <w:szCs w:val="22"/>
          <w:lang w:val="sk-SK"/>
        </w:rPr>
        <w:tab/>
        <w:t>Špeciálne upozornenia na uchovávanie</w:t>
      </w:r>
    </w:p>
    <w:p w14:paraId="55BA7403" w14:textId="77777777" w:rsidR="00863993" w:rsidRPr="006C25A0" w:rsidRDefault="00863993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</w:p>
    <w:p w14:paraId="6D016E3B" w14:textId="77777777" w:rsidR="00863993" w:rsidRPr="006C25A0" w:rsidRDefault="00863993" w:rsidP="006C25A0">
      <w:pPr>
        <w:keepNext/>
        <w:keepLines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Tento liek nevyžaduje žiadne zvláštne podmienky na uchovávanie.</w:t>
      </w:r>
    </w:p>
    <w:p w14:paraId="6AEEB0C9" w14:textId="77777777" w:rsidR="00863993" w:rsidRPr="006C25A0" w:rsidRDefault="00863993" w:rsidP="006C25A0">
      <w:pPr>
        <w:keepNext/>
        <w:keepLines/>
        <w:rPr>
          <w:noProof/>
          <w:sz w:val="22"/>
          <w:szCs w:val="22"/>
          <w:lang w:val="sk-SK"/>
        </w:rPr>
      </w:pPr>
    </w:p>
    <w:p w14:paraId="620109AD" w14:textId="77777777" w:rsidR="003E3307" w:rsidRDefault="00E86ED7" w:rsidP="00C03C74">
      <w:pPr>
        <w:pStyle w:val="CM26"/>
        <w:keepNext/>
        <w:keepLines/>
        <w:widowControl/>
        <w:spacing w:after="0"/>
        <w:rPr>
          <w:noProof/>
          <w:lang w:val="sk-SK"/>
        </w:rPr>
      </w:pPr>
      <w:r w:rsidRPr="006C25A0">
        <w:rPr>
          <w:i/>
          <w:iCs/>
          <w:noProof/>
          <w:sz w:val="22"/>
          <w:szCs w:val="22"/>
          <w:lang w:val="sk-SK"/>
        </w:rPr>
        <w:t>Rekonštituovaný roztok:</w:t>
      </w:r>
    </w:p>
    <w:p w14:paraId="5CDD1906" w14:textId="77777777" w:rsidR="00E86ED7" w:rsidRPr="006C25A0" w:rsidRDefault="00863993" w:rsidP="006C25A0">
      <w:pPr>
        <w:pStyle w:val="CM16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Neuchovávajte </w:t>
      </w:r>
      <w:r w:rsidR="00E86ED7" w:rsidRPr="006C25A0">
        <w:rPr>
          <w:noProof/>
          <w:sz w:val="22"/>
          <w:szCs w:val="22"/>
          <w:lang w:val="sk-SK"/>
        </w:rPr>
        <w:t xml:space="preserve">v chladničke </w:t>
      </w:r>
      <w:r w:rsidRPr="006C25A0">
        <w:rPr>
          <w:noProof/>
          <w:sz w:val="22"/>
          <w:szCs w:val="22"/>
          <w:lang w:val="sk-SK"/>
        </w:rPr>
        <w:t>(</w:t>
      </w:r>
      <w:r w:rsidR="00E86ED7" w:rsidRPr="006C25A0">
        <w:rPr>
          <w:noProof/>
          <w:sz w:val="22"/>
          <w:szCs w:val="22"/>
          <w:lang w:val="sk-SK"/>
        </w:rPr>
        <w:t xml:space="preserve">môžu </w:t>
      </w:r>
      <w:r w:rsidRPr="006C25A0">
        <w:rPr>
          <w:noProof/>
          <w:sz w:val="22"/>
          <w:szCs w:val="22"/>
          <w:lang w:val="sk-SK"/>
        </w:rPr>
        <w:t xml:space="preserve">sa </w:t>
      </w:r>
      <w:r w:rsidR="00E86ED7" w:rsidRPr="006C25A0">
        <w:rPr>
          <w:noProof/>
          <w:sz w:val="22"/>
          <w:szCs w:val="22"/>
          <w:lang w:val="sk-SK"/>
        </w:rPr>
        <w:t>tvoriť kryštály</w:t>
      </w:r>
      <w:r w:rsidRPr="006C25A0">
        <w:rPr>
          <w:noProof/>
          <w:sz w:val="22"/>
          <w:szCs w:val="22"/>
          <w:lang w:val="sk-SK"/>
        </w:rPr>
        <w:t>)</w:t>
      </w:r>
      <w:r w:rsidR="00E86ED7" w:rsidRPr="006C25A0">
        <w:rPr>
          <w:noProof/>
          <w:sz w:val="22"/>
          <w:szCs w:val="22"/>
          <w:lang w:val="sk-SK"/>
        </w:rPr>
        <w:t>.</w:t>
      </w:r>
    </w:p>
    <w:p w14:paraId="2915D997" w14:textId="77777777" w:rsidR="00E86ED7" w:rsidRPr="006C25A0" w:rsidRDefault="00E86ED7" w:rsidP="0097539D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Podmienky na uchovávanie </w:t>
      </w:r>
      <w:r w:rsidR="00AB634A" w:rsidRPr="006C25A0">
        <w:rPr>
          <w:noProof/>
          <w:sz w:val="22"/>
          <w:szCs w:val="22"/>
          <w:lang w:val="sk-SK"/>
        </w:rPr>
        <w:t xml:space="preserve">pripraveného </w:t>
      </w:r>
      <w:r w:rsidRPr="006C25A0">
        <w:rPr>
          <w:noProof/>
          <w:sz w:val="22"/>
          <w:szCs w:val="22"/>
          <w:lang w:val="sk-SK"/>
        </w:rPr>
        <w:t>lieku, pozri časť</w:t>
      </w:r>
      <w:r w:rsidR="00A037E2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6.3.</w:t>
      </w:r>
    </w:p>
    <w:p w14:paraId="46494A99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04BFBA22" w14:textId="77777777" w:rsidR="00E86ED7" w:rsidRPr="006C25A0" w:rsidRDefault="00BB3A2F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6.5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Druh obalu a obsah balenia</w:t>
      </w:r>
    </w:p>
    <w:p w14:paraId="4A546911" w14:textId="77777777" w:rsidR="00BB3A2F" w:rsidRPr="006C25A0" w:rsidRDefault="00BB3A2F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</w:p>
    <w:p w14:paraId="234F8C4A" w14:textId="77777777" w:rsidR="00E86ED7" w:rsidRPr="006C25A0" w:rsidRDefault="00BC1C0B" w:rsidP="0097539D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I</w:t>
      </w:r>
      <w:r w:rsidR="00145E6A" w:rsidRPr="006C25A0">
        <w:rPr>
          <w:noProof/>
          <w:sz w:val="22"/>
          <w:szCs w:val="22"/>
          <w:lang w:val="sk-SK"/>
        </w:rPr>
        <w:t>njekčné liekovky z</w:t>
      </w:r>
      <w:r w:rsidRPr="006C25A0">
        <w:rPr>
          <w:noProof/>
          <w:sz w:val="22"/>
          <w:szCs w:val="22"/>
          <w:lang w:val="sk-SK"/>
        </w:rPr>
        <w:t xml:space="preserve"> číreho</w:t>
      </w:r>
      <w:r w:rsidR="00145E6A" w:rsidRPr="006C25A0">
        <w:rPr>
          <w:noProof/>
          <w:sz w:val="22"/>
          <w:szCs w:val="22"/>
          <w:lang w:val="sk-SK"/>
        </w:rPr>
        <w:t xml:space="preserve"> skla typu I s objemom 10 ml, 50 ml alebo 100 ml, uzatvorené chlorobutylovými gumovými uzávermi.</w:t>
      </w:r>
    </w:p>
    <w:p w14:paraId="3DC5C7ED" w14:textId="77777777" w:rsidR="005E44DA" w:rsidRPr="006C25A0" w:rsidRDefault="005E44DA" w:rsidP="006C25A0">
      <w:pPr>
        <w:pStyle w:val="Default"/>
        <w:keepNext/>
        <w:keepLines/>
        <w:widowControl/>
        <w:rPr>
          <w:noProof/>
          <w:sz w:val="22"/>
          <w:szCs w:val="22"/>
          <w:lang w:val="sk-SK"/>
        </w:rPr>
      </w:pPr>
    </w:p>
    <w:p w14:paraId="6793AF27" w14:textId="77777777" w:rsidR="00E86ED7" w:rsidRPr="006C25A0" w:rsidRDefault="00145E6A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Veľkosti balenia: škatuľa obsahujúc</w:t>
      </w:r>
      <w:r w:rsidR="00A8596E" w:rsidRPr="006C25A0">
        <w:rPr>
          <w:noProof/>
          <w:sz w:val="22"/>
          <w:szCs w:val="22"/>
          <w:lang w:val="sk-SK"/>
        </w:rPr>
        <w:t>a</w:t>
      </w:r>
      <w:r w:rsidRPr="006C25A0">
        <w:rPr>
          <w:noProof/>
          <w:sz w:val="22"/>
          <w:szCs w:val="22"/>
          <w:lang w:val="sk-SK"/>
        </w:rPr>
        <w:t xml:space="preserve"> jednu injekčnú liekovku s obsahom 200 mg, 1 000 mg alebo 1 500 mg gemcitabínu.</w:t>
      </w:r>
    </w:p>
    <w:p w14:paraId="27B36621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2861B63D" w14:textId="77777777" w:rsidR="00E86ED7" w:rsidRPr="006C25A0" w:rsidRDefault="00BB3A2F" w:rsidP="00143829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lastRenderedPageBreak/>
        <w:t>6.6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Špeciálne opatrenia na likvidáciu a iné zaobchádzanie s liekom</w:t>
      </w:r>
    </w:p>
    <w:p w14:paraId="4799091E" w14:textId="77777777" w:rsidR="00BB3A2F" w:rsidRPr="006C25A0" w:rsidRDefault="00BB3A2F" w:rsidP="00143829">
      <w:pPr>
        <w:pStyle w:val="Default"/>
        <w:keepNext/>
        <w:keepLines/>
        <w:widowControl/>
        <w:rPr>
          <w:noProof/>
          <w:sz w:val="22"/>
          <w:szCs w:val="22"/>
          <w:lang w:val="sk-SK"/>
        </w:rPr>
      </w:pPr>
    </w:p>
    <w:p w14:paraId="54FF9E43" w14:textId="77777777" w:rsidR="003E3307" w:rsidRDefault="00A8596E" w:rsidP="00C03C74">
      <w:pPr>
        <w:pStyle w:val="CM26"/>
        <w:keepNext/>
        <w:keepLines/>
        <w:widowControl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i/>
          <w:iCs/>
          <w:noProof/>
          <w:sz w:val="22"/>
          <w:szCs w:val="22"/>
          <w:u w:val="single"/>
          <w:lang w:val="sk-SK"/>
        </w:rPr>
        <w:t>Rekonštitúcia:</w:t>
      </w:r>
    </w:p>
    <w:p w14:paraId="6D674C6D" w14:textId="77777777" w:rsidR="00A8596E" w:rsidRPr="006C25A0" w:rsidRDefault="00A8596E" w:rsidP="00143829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Len na jednorazové použitie.</w:t>
      </w:r>
    </w:p>
    <w:p w14:paraId="2EEBD481" w14:textId="77777777" w:rsidR="00A8596E" w:rsidRPr="006C25A0" w:rsidRDefault="00A8596E" w:rsidP="00143829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Dokázalo sa, že tento liek je kompatibilný len s injekčným roztokom chloridu sodného 9 mg/ml (0,9%). Takže len toto rozpúšťadlo sa má používať na rekonštitúciu. Kompatibilita s inými liečivami sa neskúmala. Preto sa neodporúča miešať tento liek s inými liečivami pri rekonštitúcii.</w:t>
      </w:r>
    </w:p>
    <w:p w14:paraId="284429B6" w14:textId="77777777" w:rsidR="00E5220C" w:rsidRPr="006C25A0" w:rsidRDefault="00E5220C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Pri rekonštitúcii v koncentráciách vyšších ako </w:t>
      </w:r>
      <w:r w:rsidR="001848B6" w:rsidRPr="006C25A0">
        <w:rPr>
          <w:noProof/>
          <w:sz w:val="22"/>
          <w:szCs w:val="22"/>
          <w:lang w:val="sk-SK"/>
        </w:rPr>
        <w:t>38 </w:t>
      </w:r>
      <w:r w:rsidRPr="006C25A0">
        <w:rPr>
          <w:noProof/>
          <w:sz w:val="22"/>
          <w:szCs w:val="22"/>
          <w:lang w:val="sk-SK"/>
        </w:rPr>
        <w:t>mg/ml môže dôjsť k neúplnému rozpusteniu a tomu sa treba vyhýbať.</w:t>
      </w:r>
    </w:p>
    <w:p w14:paraId="5A010495" w14:textId="77777777" w:rsidR="00E5220C" w:rsidRPr="006C25A0" w:rsidRDefault="00BC1C0B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Za účelom rekonštitúcie</w:t>
      </w:r>
      <w:r w:rsidR="00E5220C" w:rsidRPr="006C25A0">
        <w:rPr>
          <w:noProof/>
          <w:color w:val="auto"/>
          <w:sz w:val="22"/>
          <w:szCs w:val="22"/>
          <w:lang w:val="sk-SK"/>
        </w:rPr>
        <w:t xml:space="preserve"> </w:t>
      </w:r>
      <w:r w:rsidR="001848B6" w:rsidRPr="006C25A0">
        <w:rPr>
          <w:noProof/>
          <w:color w:val="auto"/>
          <w:sz w:val="22"/>
          <w:szCs w:val="22"/>
          <w:lang w:val="sk-SK"/>
        </w:rPr>
        <w:t xml:space="preserve">pomaly </w:t>
      </w:r>
      <w:r w:rsidR="00E5220C" w:rsidRPr="006C25A0">
        <w:rPr>
          <w:noProof/>
          <w:color w:val="auto"/>
          <w:sz w:val="22"/>
          <w:szCs w:val="22"/>
          <w:lang w:val="sk-SK"/>
        </w:rPr>
        <w:t xml:space="preserve">pridajte </w:t>
      </w:r>
      <w:r w:rsidR="001848B6" w:rsidRPr="006C25A0">
        <w:rPr>
          <w:noProof/>
          <w:color w:val="auto"/>
          <w:sz w:val="22"/>
          <w:szCs w:val="22"/>
          <w:lang w:val="sk-SK"/>
        </w:rPr>
        <w:t>primeraný objem</w:t>
      </w:r>
      <w:r w:rsidR="00E5220C" w:rsidRPr="006C25A0">
        <w:rPr>
          <w:noProof/>
          <w:color w:val="auto"/>
          <w:sz w:val="22"/>
          <w:szCs w:val="22"/>
          <w:lang w:val="sk-SK"/>
        </w:rPr>
        <w:t xml:space="preserve"> injekčného roztoku chloridu sodného </w:t>
      </w:r>
      <w:r w:rsidR="001848B6" w:rsidRPr="006C25A0">
        <w:rPr>
          <w:noProof/>
          <w:color w:val="auto"/>
          <w:sz w:val="22"/>
          <w:szCs w:val="22"/>
          <w:lang w:val="sk-SK"/>
        </w:rPr>
        <w:t>9 </w:t>
      </w:r>
      <w:r w:rsidR="00E5220C" w:rsidRPr="006C25A0">
        <w:rPr>
          <w:noProof/>
          <w:color w:val="auto"/>
          <w:sz w:val="22"/>
          <w:szCs w:val="22"/>
          <w:lang w:val="sk-SK"/>
        </w:rPr>
        <w:t xml:space="preserve">mg/ml (0,9%) </w:t>
      </w:r>
      <w:r w:rsidR="001848B6" w:rsidRPr="006C25A0">
        <w:rPr>
          <w:noProof/>
          <w:color w:val="auto"/>
          <w:sz w:val="22"/>
          <w:szCs w:val="22"/>
          <w:lang w:val="sk-SK"/>
        </w:rPr>
        <w:t>(ako je to uvedené v tabuľke nižšie) a</w:t>
      </w:r>
      <w:r w:rsidRPr="006C25A0">
        <w:rPr>
          <w:noProof/>
          <w:color w:val="auto"/>
          <w:sz w:val="22"/>
          <w:szCs w:val="22"/>
          <w:lang w:val="sk-SK"/>
        </w:rPr>
        <w:t> pretrepte</w:t>
      </w:r>
      <w:r w:rsidR="001848B6" w:rsidRPr="006C25A0">
        <w:rPr>
          <w:noProof/>
          <w:color w:val="auto"/>
          <w:sz w:val="22"/>
          <w:szCs w:val="22"/>
          <w:lang w:val="sk-SK"/>
        </w:rPr>
        <w:t>, aby sa</w:t>
      </w:r>
      <w:r w:rsidRPr="006C25A0">
        <w:rPr>
          <w:noProof/>
          <w:color w:val="auto"/>
          <w:sz w:val="22"/>
          <w:szCs w:val="22"/>
          <w:lang w:val="sk-SK"/>
        </w:rPr>
        <w:t xml:space="preserve"> prášok</w:t>
      </w:r>
      <w:r w:rsidR="001848B6" w:rsidRPr="006C25A0">
        <w:rPr>
          <w:noProof/>
          <w:color w:val="auto"/>
          <w:sz w:val="22"/>
          <w:szCs w:val="22"/>
          <w:lang w:val="sk-SK"/>
        </w:rPr>
        <w:t xml:space="preserve"> rozpustil.</w:t>
      </w:r>
    </w:p>
    <w:p w14:paraId="74199D52" w14:textId="77777777" w:rsidR="001848B6" w:rsidRPr="006C25A0" w:rsidRDefault="001848B6" w:rsidP="006C25A0">
      <w:pPr>
        <w:pStyle w:val="Default"/>
        <w:ind w:left="567" w:hanging="567"/>
        <w:rPr>
          <w:noProof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626"/>
        <w:gridCol w:w="2365"/>
        <w:gridCol w:w="2387"/>
      </w:tblGrid>
      <w:tr w:rsidR="001848B6" w:rsidRPr="006C25A0" w14:paraId="31D4D37A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0C9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Lieková forma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B5F" w14:textId="77777777" w:rsidR="001848B6" w:rsidRPr="006C25A0" w:rsidRDefault="001848B6" w:rsidP="0097539D">
            <w:pPr>
              <w:pStyle w:val="Default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Objem injekčného roztoku chloridu sodného 9 mg/ml (0,9%), ktorý sa má pridať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8DF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Rekonštituovaný objem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94B" w14:textId="77777777" w:rsidR="001848B6" w:rsidRPr="006C25A0" w:rsidRDefault="00BC1C0B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Konečná</w:t>
            </w:r>
            <w:r w:rsidR="001848B6" w:rsidRPr="006C25A0">
              <w:rPr>
                <w:noProof/>
                <w:sz w:val="22"/>
                <w:szCs w:val="22"/>
                <w:lang w:val="sk-SK"/>
              </w:rPr>
              <w:t xml:space="preserve"> koncentrácia</w:t>
            </w:r>
          </w:p>
        </w:tc>
      </w:tr>
      <w:tr w:rsidR="001848B6" w:rsidRPr="006C25A0" w14:paraId="0D1BD61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FC2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200 mg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769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5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8A22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5,26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CAA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38 mg/ml</w:t>
            </w:r>
          </w:p>
        </w:tc>
      </w:tr>
      <w:tr w:rsidR="001848B6" w:rsidRPr="006C25A0" w14:paraId="60A12088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2AD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1 000 mg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8E3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25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D7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26,3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1BF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38 mg/ml</w:t>
            </w:r>
          </w:p>
        </w:tc>
      </w:tr>
      <w:tr w:rsidR="001848B6" w:rsidRPr="006C25A0" w14:paraId="61AF13CF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A93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1 500 mg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2BA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37,5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7B52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39,5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A02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38 mg/ml</w:t>
            </w:r>
          </w:p>
        </w:tc>
      </w:tr>
    </w:tbl>
    <w:p w14:paraId="1497D82D" w14:textId="77777777" w:rsidR="001848B6" w:rsidRPr="006C25A0" w:rsidRDefault="001848B6" w:rsidP="006C25A0">
      <w:pPr>
        <w:pStyle w:val="Default"/>
        <w:ind w:left="567" w:hanging="567"/>
        <w:rPr>
          <w:noProof/>
          <w:sz w:val="22"/>
          <w:szCs w:val="22"/>
          <w:lang w:val="sk-SK"/>
        </w:rPr>
      </w:pPr>
    </w:p>
    <w:p w14:paraId="204CE003" w14:textId="77777777" w:rsidR="001848B6" w:rsidRPr="006C25A0" w:rsidRDefault="00BC1C0B" w:rsidP="006C25A0">
      <w:pPr>
        <w:pStyle w:val="Default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Potrebné</w:t>
      </w:r>
      <w:r w:rsidR="00582733" w:rsidRPr="006C25A0">
        <w:rPr>
          <w:noProof/>
          <w:sz w:val="22"/>
          <w:szCs w:val="22"/>
          <w:lang w:val="sk-SK"/>
        </w:rPr>
        <w:t xml:space="preserve"> množstvo lieku sa môže </w:t>
      </w:r>
      <w:r w:rsidR="001848B6" w:rsidRPr="006C25A0">
        <w:rPr>
          <w:noProof/>
          <w:sz w:val="22"/>
          <w:szCs w:val="22"/>
          <w:lang w:val="sk-SK"/>
        </w:rPr>
        <w:t>ďalej riediť injekčným roztokom chloridu sodného 9 mg/ml (0,9%).</w:t>
      </w:r>
    </w:p>
    <w:p w14:paraId="403A8644" w14:textId="77777777" w:rsidR="00E5220C" w:rsidRPr="006C25A0" w:rsidRDefault="00E5220C" w:rsidP="006C25A0">
      <w:pPr>
        <w:pStyle w:val="Default"/>
        <w:ind w:left="567" w:hanging="567"/>
        <w:rPr>
          <w:noProof/>
          <w:color w:val="auto"/>
          <w:sz w:val="22"/>
          <w:szCs w:val="22"/>
          <w:lang w:val="sk-SK"/>
        </w:rPr>
      </w:pPr>
    </w:p>
    <w:p w14:paraId="203DBADE" w14:textId="77777777" w:rsidR="00E5220C" w:rsidRPr="006C25A0" w:rsidRDefault="00E5220C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Parenterálne lieky sa majú pred podaním vizuálne skontrolovať, či sa v nich nevyskytujú častice alebo či nedošlo ku zmene farby</w:t>
      </w:r>
      <w:r w:rsidR="00494756" w:rsidRPr="006C25A0">
        <w:rPr>
          <w:noProof/>
          <w:color w:val="auto"/>
          <w:sz w:val="22"/>
          <w:szCs w:val="22"/>
          <w:lang w:val="sk-SK"/>
        </w:rPr>
        <w:t>, pokiaľ to roztok a obal dovoľuje</w:t>
      </w:r>
      <w:r w:rsidRPr="006C25A0">
        <w:rPr>
          <w:noProof/>
          <w:color w:val="auto"/>
          <w:sz w:val="22"/>
          <w:szCs w:val="22"/>
          <w:lang w:val="sk-SK"/>
        </w:rPr>
        <w:t>.</w:t>
      </w:r>
    </w:p>
    <w:p w14:paraId="7B369A28" w14:textId="77777777" w:rsidR="00E5220C" w:rsidRPr="006C25A0" w:rsidRDefault="00494756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Nepoužitý roztok sa má zlikvidovať spôsobom, ktorý je opísaný nižšie.</w:t>
      </w:r>
    </w:p>
    <w:p w14:paraId="78C4E39E" w14:textId="77777777" w:rsidR="00494756" w:rsidRPr="006C25A0" w:rsidRDefault="00494756" w:rsidP="006C25A0">
      <w:pPr>
        <w:pStyle w:val="Default"/>
        <w:rPr>
          <w:noProof/>
          <w:color w:val="auto"/>
          <w:sz w:val="22"/>
          <w:szCs w:val="22"/>
          <w:lang w:val="sk-SK"/>
        </w:rPr>
      </w:pPr>
    </w:p>
    <w:p w14:paraId="345D249A" w14:textId="77777777" w:rsidR="003E3307" w:rsidRDefault="00494756" w:rsidP="00C03C74">
      <w:pPr>
        <w:outlineLvl w:val="0"/>
        <w:rPr>
          <w:noProof/>
          <w:lang w:val="sk-SK"/>
        </w:rPr>
      </w:pPr>
      <w:r w:rsidRPr="006C25A0">
        <w:rPr>
          <w:i/>
          <w:iCs/>
          <w:noProof/>
          <w:sz w:val="22"/>
          <w:szCs w:val="22"/>
          <w:lang w:val="sk-SK" w:bidi="si-LK"/>
        </w:rPr>
        <w:t xml:space="preserve">Pokyny pre bezpečné zaobchádzanie s cytotoxickými </w:t>
      </w:r>
      <w:r w:rsidR="00582733" w:rsidRPr="006C25A0">
        <w:rPr>
          <w:i/>
          <w:iCs/>
          <w:noProof/>
          <w:sz w:val="22"/>
          <w:szCs w:val="22"/>
          <w:lang w:val="sk-SK" w:bidi="si-LK"/>
        </w:rPr>
        <w:t>liekmi</w:t>
      </w:r>
      <w:r w:rsidRPr="006C25A0">
        <w:rPr>
          <w:i/>
          <w:iCs/>
          <w:noProof/>
          <w:sz w:val="22"/>
          <w:szCs w:val="22"/>
          <w:lang w:val="sk-SK" w:bidi="si-LK"/>
        </w:rPr>
        <w:t>:</w:t>
      </w:r>
    </w:p>
    <w:p w14:paraId="7451F9B0" w14:textId="77777777" w:rsidR="002806C8" w:rsidRPr="006C25A0" w:rsidRDefault="007B6581" w:rsidP="006C25A0">
      <w:pPr>
        <w:pStyle w:val="Default"/>
        <w:rPr>
          <w:noProof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Miestne pokyny pre bezpečnú prípravu a zaobchádzanie s cytotoxickými liekmi sa musia tiež dodržiavať</w:t>
      </w:r>
      <w:r w:rsidR="00FE4D7E" w:rsidRPr="006C25A0">
        <w:rPr>
          <w:noProof/>
          <w:color w:val="auto"/>
          <w:sz w:val="22"/>
          <w:szCs w:val="22"/>
          <w:lang w:val="sk-SK"/>
        </w:rPr>
        <w:t xml:space="preserve">. </w:t>
      </w:r>
      <w:r w:rsidR="00FE4D7E" w:rsidRPr="006C25A0">
        <w:rPr>
          <w:noProof/>
          <w:sz w:val="22"/>
          <w:szCs w:val="22"/>
          <w:lang w:val="sk-SK"/>
        </w:rPr>
        <w:t xml:space="preserve">Tehotný personál nemá zaobchádzať s cytotoxickými liekmi. Prípravu injekčných roztokov cytotoxických látok musí vykonať vyškolený odborný personál so znalosťou používaných liekov. Príprava sa má uskutočniť </w:t>
      </w:r>
      <w:r w:rsidR="002806C8" w:rsidRPr="006C25A0">
        <w:rPr>
          <w:noProof/>
          <w:sz w:val="22"/>
          <w:szCs w:val="22"/>
          <w:lang w:val="sk-SK"/>
        </w:rPr>
        <w:t>vo vyhradenom priestore. Pracovný povrch sa má pokryť jednorazovým absorpčným papierom potiahnutým fóliou z plastickej hmoty.</w:t>
      </w:r>
    </w:p>
    <w:p w14:paraId="07E4DBAA" w14:textId="77777777" w:rsidR="002C23BE" w:rsidRPr="006C25A0" w:rsidRDefault="002C23BE" w:rsidP="0097539D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Je potrebné používať vhodnú ochranu očí, jednorazové rukavice, ochrannú masku a zásteru</w:t>
      </w:r>
      <w:r w:rsidR="00BC1C0B" w:rsidRPr="006C25A0">
        <w:rPr>
          <w:noProof/>
          <w:color w:val="auto"/>
          <w:sz w:val="22"/>
          <w:szCs w:val="22"/>
          <w:lang w:val="sk-SK"/>
        </w:rPr>
        <w:t xml:space="preserve"> na jednorazové použitie</w:t>
      </w:r>
      <w:r w:rsidRPr="006C25A0">
        <w:rPr>
          <w:noProof/>
          <w:color w:val="auto"/>
          <w:sz w:val="22"/>
          <w:szCs w:val="22"/>
          <w:lang w:val="sk-SK"/>
        </w:rPr>
        <w:t>. Na zabránenie náhodnému kontaktu s očami je potrebné dodržiavať preventívne opatrenia. Ak dôjde k náhodnej kontaminácii, oči sa majú dôkladne a ihneď prepláchnuť vodou.</w:t>
      </w:r>
    </w:p>
    <w:p w14:paraId="71CBAC7F" w14:textId="77777777" w:rsidR="002C23BE" w:rsidRPr="006C25A0" w:rsidRDefault="002C23BE" w:rsidP="0097539D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 xml:space="preserve">Injekčné striekačky a infúzne sety sa majú zbierať </w:t>
      </w:r>
      <w:r w:rsidR="002806C8" w:rsidRPr="006C25A0">
        <w:rPr>
          <w:noProof/>
          <w:color w:val="auto"/>
          <w:sz w:val="22"/>
          <w:szCs w:val="22"/>
          <w:lang w:val="sk-SK"/>
        </w:rPr>
        <w:t xml:space="preserve">opatrne, aby sa zabránilo vytekaniu (odporúča sa používanie Luer lock konektorov). Na minimalizáciu tlaku a možnej tvorby aerosólov </w:t>
      </w:r>
      <w:r w:rsidR="0005088C" w:rsidRPr="006C25A0">
        <w:rPr>
          <w:noProof/>
          <w:color w:val="auto"/>
          <w:sz w:val="22"/>
          <w:szCs w:val="22"/>
          <w:lang w:val="sk-SK"/>
        </w:rPr>
        <w:t xml:space="preserve">sa majú používať ihly s veľkým priemerom. Tvorba aerosólu sa môže znížiť tiež používaním </w:t>
      </w:r>
      <w:r w:rsidR="00E87DC3" w:rsidRPr="006C25A0">
        <w:rPr>
          <w:noProof/>
          <w:color w:val="auto"/>
          <w:sz w:val="22"/>
          <w:szCs w:val="22"/>
          <w:lang w:val="sk-SK"/>
        </w:rPr>
        <w:t>odvetrávacej</w:t>
      </w:r>
      <w:r w:rsidR="0005088C" w:rsidRPr="006C25A0">
        <w:rPr>
          <w:noProof/>
          <w:color w:val="auto"/>
          <w:sz w:val="22"/>
          <w:szCs w:val="22"/>
          <w:lang w:val="sk-SK"/>
        </w:rPr>
        <w:t xml:space="preserve"> ihly.</w:t>
      </w:r>
    </w:p>
    <w:p w14:paraId="2DA576A1" w14:textId="77777777" w:rsidR="0005088C" w:rsidRPr="006C25A0" w:rsidRDefault="0005088C" w:rsidP="0097539D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Pri skutočnom rozliatí alebo vytekaní</w:t>
      </w:r>
      <w:r w:rsidR="00B46650" w:rsidRPr="006C25A0">
        <w:rPr>
          <w:noProof/>
          <w:color w:val="auto"/>
          <w:sz w:val="22"/>
          <w:szCs w:val="22"/>
          <w:lang w:val="sk-SK"/>
        </w:rPr>
        <w:t xml:space="preserve"> sa má roztok zotrieť </w:t>
      </w:r>
      <w:r w:rsidR="00D255E0" w:rsidRPr="006C25A0">
        <w:rPr>
          <w:color w:val="auto"/>
          <w:sz w:val="22"/>
          <w:szCs w:val="22"/>
          <w:lang w:val="sk-SK"/>
        </w:rPr>
        <w:t xml:space="preserve">s použitím </w:t>
      </w:r>
      <w:r w:rsidR="00B46650" w:rsidRPr="006C25A0">
        <w:rPr>
          <w:noProof/>
          <w:color w:val="auto"/>
          <w:sz w:val="22"/>
          <w:szCs w:val="22"/>
          <w:lang w:val="sk-SK"/>
        </w:rPr>
        <w:t>ochranný</w:t>
      </w:r>
      <w:r w:rsidR="00A03478" w:rsidRPr="006C25A0">
        <w:rPr>
          <w:noProof/>
          <w:color w:val="auto"/>
          <w:sz w:val="22"/>
          <w:szCs w:val="22"/>
          <w:lang w:val="sk-SK"/>
        </w:rPr>
        <w:t>ch</w:t>
      </w:r>
      <w:r w:rsidR="00B46650" w:rsidRPr="006C25A0">
        <w:rPr>
          <w:noProof/>
          <w:color w:val="auto"/>
          <w:sz w:val="22"/>
          <w:szCs w:val="22"/>
          <w:lang w:val="sk-SK"/>
        </w:rPr>
        <w:t xml:space="preserve"> rukav</w:t>
      </w:r>
      <w:r w:rsidR="00D255E0" w:rsidRPr="006C25A0">
        <w:rPr>
          <w:noProof/>
          <w:color w:val="auto"/>
          <w:sz w:val="22"/>
          <w:szCs w:val="22"/>
          <w:lang w:val="sk-SK"/>
        </w:rPr>
        <w:t>í</w:t>
      </w:r>
      <w:r w:rsidR="00B46650" w:rsidRPr="006C25A0">
        <w:rPr>
          <w:noProof/>
          <w:color w:val="auto"/>
          <w:sz w:val="22"/>
          <w:szCs w:val="22"/>
          <w:lang w:val="sk-SK"/>
        </w:rPr>
        <w:t>c. S výkalmi a zvratkami sa musí zaobchádzať opatrne.</w:t>
      </w:r>
    </w:p>
    <w:p w14:paraId="3FC4C6F2" w14:textId="77777777" w:rsidR="00E87DC3" w:rsidRPr="006C25A0" w:rsidRDefault="00E87DC3" w:rsidP="0097539D">
      <w:pPr>
        <w:pStyle w:val="Default"/>
        <w:rPr>
          <w:noProof/>
          <w:color w:val="auto"/>
          <w:sz w:val="22"/>
          <w:szCs w:val="22"/>
          <w:lang w:val="sk-SK"/>
        </w:rPr>
      </w:pPr>
    </w:p>
    <w:p w14:paraId="7B10FE30" w14:textId="77777777" w:rsidR="003E3307" w:rsidRDefault="00E87DC3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i/>
          <w:iCs/>
          <w:noProof/>
          <w:color w:val="auto"/>
          <w:sz w:val="22"/>
          <w:szCs w:val="22"/>
          <w:lang w:val="sk-SK"/>
        </w:rPr>
        <w:t>Likvidácia:</w:t>
      </w:r>
    </w:p>
    <w:p w14:paraId="55F47431" w14:textId="77777777" w:rsidR="00E5220C" w:rsidRPr="006C25A0" w:rsidRDefault="00DC2EB5" w:rsidP="006C25A0">
      <w:pPr>
        <w:pStyle w:val="Default"/>
        <w:rPr>
          <w:noProof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L</w:t>
      </w:r>
      <w:r w:rsidR="00E87DC3" w:rsidRPr="006C25A0">
        <w:rPr>
          <w:noProof/>
          <w:color w:val="auto"/>
          <w:sz w:val="22"/>
          <w:szCs w:val="22"/>
          <w:lang w:val="sk-SK"/>
        </w:rPr>
        <w:t>ikvidácii predmetov používaných na rekonštitúciu tohto lieku sa m</w:t>
      </w:r>
      <w:r w:rsidRPr="006C25A0">
        <w:rPr>
          <w:noProof/>
          <w:color w:val="auto"/>
          <w:sz w:val="22"/>
          <w:szCs w:val="22"/>
          <w:lang w:val="sk-SK"/>
        </w:rPr>
        <w:t xml:space="preserve">á venovať primeraná pozornosť a opatrnosť. Nepoužitý suchý liek alebo kontaminované materiály sa majú umiestniť do </w:t>
      </w:r>
      <w:r w:rsidR="00536B89" w:rsidRPr="006C25A0">
        <w:rPr>
          <w:noProof/>
          <w:color w:val="auto"/>
          <w:sz w:val="22"/>
          <w:szCs w:val="22"/>
          <w:lang w:val="sk-SK"/>
        </w:rPr>
        <w:t>nádoby</w:t>
      </w:r>
      <w:r w:rsidRPr="006C25A0">
        <w:rPr>
          <w:noProof/>
          <w:color w:val="auto"/>
          <w:sz w:val="22"/>
          <w:szCs w:val="22"/>
          <w:lang w:val="sk-SK"/>
        </w:rPr>
        <w:t xml:space="preserve"> </w:t>
      </w:r>
      <w:r w:rsidR="00536B89" w:rsidRPr="006C25A0">
        <w:rPr>
          <w:noProof/>
          <w:color w:val="auto"/>
          <w:sz w:val="22"/>
          <w:szCs w:val="22"/>
          <w:lang w:val="sk-SK"/>
        </w:rPr>
        <w:t xml:space="preserve">pre </w:t>
      </w:r>
      <w:r w:rsidRPr="006C25A0">
        <w:rPr>
          <w:noProof/>
          <w:color w:val="auto"/>
          <w:sz w:val="22"/>
          <w:szCs w:val="22"/>
          <w:lang w:val="sk-SK"/>
        </w:rPr>
        <w:t>vysoko rizikový odpad.</w:t>
      </w:r>
      <w:r w:rsidR="00536B89" w:rsidRPr="006C25A0">
        <w:rPr>
          <w:noProof/>
          <w:color w:val="auto"/>
          <w:sz w:val="22"/>
          <w:szCs w:val="22"/>
          <w:lang w:val="sk-SK"/>
        </w:rPr>
        <w:t xml:space="preserve"> Ostré predmety (ihly, injekčné striekačky, injekčné liekovky, atď.) sa majú umiestniť do vhodnej pevnej nádoby. Personál, ktorý zbiera a likviduje tento odpad, treba poučiť o jeho nebezpečenstve. Odpadový materiál sa má zlikvidovať spálením. </w:t>
      </w:r>
      <w:r w:rsidR="00494756" w:rsidRPr="006C25A0">
        <w:rPr>
          <w:noProof/>
          <w:color w:val="auto"/>
          <w:sz w:val="22"/>
          <w:szCs w:val="22"/>
          <w:lang w:val="sk-SK"/>
        </w:rPr>
        <w:t>Nepoužitý liek alebo odpad vzniknutý z lieku má byť zlikvidovaný v súlade s národnými požiadavkami.</w:t>
      </w:r>
    </w:p>
    <w:p w14:paraId="1E1A6647" w14:textId="77777777" w:rsidR="00565062" w:rsidRPr="006C25A0" w:rsidRDefault="00565062" w:rsidP="006C25A0">
      <w:pPr>
        <w:pStyle w:val="Default"/>
        <w:rPr>
          <w:noProof/>
          <w:sz w:val="22"/>
          <w:szCs w:val="22"/>
          <w:lang w:val="sk-SK"/>
        </w:rPr>
      </w:pPr>
    </w:p>
    <w:p w14:paraId="75D26989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2427B25E" w14:textId="77777777" w:rsidR="00E86ED7" w:rsidRPr="006C25A0" w:rsidRDefault="00BB3A2F" w:rsidP="00143829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lastRenderedPageBreak/>
        <w:t>7.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 xml:space="preserve">DRŽITEĽ ROZHODNUTIA O REGISTRÁCII </w:t>
      </w:r>
    </w:p>
    <w:p w14:paraId="21F294E5" w14:textId="77777777" w:rsidR="00BB3A2F" w:rsidRPr="006C25A0" w:rsidRDefault="00BB3A2F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</w:p>
    <w:p w14:paraId="7246D960" w14:textId="77777777" w:rsidR="00145E6A" w:rsidRPr="006C25A0" w:rsidRDefault="00145E6A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medac</w:t>
      </w:r>
    </w:p>
    <w:p w14:paraId="230E1CF5" w14:textId="77777777" w:rsidR="00145E6A" w:rsidRPr="006C25A0" w:rsidRDefault="00145E6A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Gesellschaft für klinische</w:t>
      </w:r>
    </w:p>
    <w:p w14:paraId="6F7997D3" w14:textId="77777777" w:rsidR="00145E6A" w:rsidRPr="006C25A0" w:rsidRDefault="00145E6A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Spezialpräparate mbH</w:t>
      </w:r>
    </w:p>
    <w:p w14:paraId="26C27C08" w14:textId="77777777" w:rsidR="00145DDE" w:rsidRPr="004D1E58" w:rsidRDefault="00145DDE" w:rsidP="00145DDE">
      <w:pPr>
        <w:rPr>
          <w:noProof/>
          <w:sz w:val="22"/>
          <w:szCs w:val="22"/>
          <w:lang w:val="sk-SK"/>
        </w:rPr>
      </w:pPr>
      <w:r w:rsidRPr="004D1E58">
        <w:rPr>
          <w:noProof/>
          <w:sz w:val="22"/>
          <w:szCs w:val="22"/>
          <w:lang w:val="sk-SK"/>
        </w:rPr>
        <w:t>Theaterstr. 6</w:t>
      </w:r>
    </w:p>
    <w:p w14:paraId="0E1CF47C" w14:textId="77777777" w:rsidR="00145E6A" w:rsidRPr="006C25A0" w:rsidRDefault="00145DDE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4D1E58">
        <w:rPr>
          <w:noProof/>
          <w:sz w:val="22"/>
          <w:szCs w:val="22"/>
          <w:lang w:val="sk-SK"/>
        </w:rPr>
        <w:t>22880 Wedel</w:t>
      </w:r>
    </w:p>
    <w:p w14:paraId="07DBE7A8" w14:textId="77777777" w:rsidR="00145E6A" w:rsidRPr="006C25A0" w:rsidRDefault="004B4F67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Nemecko</w:t>
      </w:r>
    </w:p>
    <w:p w14:paraId="1A52CAC3" w14:textId="77777777" w:rsidR="00145E6A" w:rsidRPr="006C25A0" w:rsidRDefault="00145E6A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Tel.: </w:t>
      </w:r>
      <w:r w:rsidRPr="006C25A0">
        <w:rPr>
          <w:noProof/>
          <w:sz w:val="22"/>
          <w:szCs w:val="22"/>
          <w:lang w:val="sk-SK"/>
        </w:rPr>
        <w:tab/>
        <w:t>+49 4103 8006-0</w:t>
      </w:r>
    </w:p>
    <w:p w14:paraId="75394D30" w14:textId="77777777" w:rsidR="00145E6A" w:rsidRPr="006C25A0" w:rsidRDefault="00145E6A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Fax: </w:t>
      </w:r>
      <w:r w:rsidRPr="006C25A0">
        <w:rPr>
          <w:noProof/>
          <w:sz w:val="22"/>
          <w:szCs w:val="22"/>
          <w:lang w:val="sk-SK"/>
        </w:rPr>
        <w:tab/>
        <w:t>+49 4103 8006-100</w:t>
      </w:r>
    </w:p>
    <w:p w14:paraId="32532D0A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3BF3A330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0CC83804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8.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 xml:space="preserve">REGISTRAČNÉ </w:t>
      </w:r>
      <w:r w:rsidR="00145E6A" w:rsidRPr="006C25A0">
        <w:rPr>
          <w:b/>
          <w:bCs/>
          <w:noProof/>
          <w:sz w:val="22"/>
          <w:szCs w:val="22"/>
          <w:lang w:val="sk-SK"/>
        </w:rPr>
        <w:t>ČÍSLA</w:t>
      </w:r>
    </w:p>
    <w:p w14:paraId="7819A12E" w14:textId="77777777" w:rsidR="00BB3A2F" w:rsidRPr="006C25A0" w:rsidRDefault="00BB3A2F" w:rsidP="006C25A0">
      <w:pPr>
        <w:pStyle w:val="CM28"/>
        <w:spacing w:after="0"/>
        <w:jc w:val="both"/>
        <w:rPr>
          <w:noProof/>
          <w:sz w:val="22"/>
          <w:szCs w:val="22"/>
          <w:lang w:val="sk-SK"/>
        </w:rPr>
      </w:pPr>
    </w:p>
    <w:p w14:paraId="0A49569A" w14:textId="77777777" w:rsidR="00E44855" w:rsidRPr="006C25A0" w:rsidRDefault="00E44855" w:rsidP="006C25A0">
      <w:pPr>
        <w:pStyle w:val="Default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44/0296/09-S</w:t>
      </w:r>
      <w:r w:rsidRPr="006C25A0" w:rsidDel="00E44855">
        <w:rPr>
          <w:noProof/>
          <w:sz w:val="22"/>
          <w:szCs w:val="22"/>
          <w:lang w:val="sk-SK"/>
        </w:rPr>
        <w:t xml:space="preserve"> </w:t>
      </w:r>
    </w:p>
    <w:p w14:paraId="3A8C1335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2AC9BA1D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17F5A68E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9.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 xml:space="preserve">DÁTUM PRVEJ REGISTRÁCIE/ PREDĹŽENIA REGISTRÁCIE </w:t>
      </w:r>
    </w:p>
    <w:p w14:paraId="46035C05" w14:textId="77777777" w:rsidR="00BB3A2F" w:rsidRPr="006C25A0" w:rsidRDefault="00BB3A2F" w:rsidP="006C25A0">
      <w:pPr>
        <w:pStyle w:val="CM28"/>
        <w:spacing w:after="0"/>
        <w:jc w:val="both"/>
        <w:rPr>
          <w:noProof/>
          <w:sz w:val="22"/>
          <w:szCs w:val="22"/>
          <w:lang w:val="sk-SK"/>
        </w:rPr>
      </w:pPr>
    </w:p>
    <w:p w14:paraId="09EDFBC5" w14:textId="77777777" w:rsidR="00E86ED7" w:rsidRPr="00607362" w:rsidRDefault="00A007D7" w:rsidP="006C25A0">
      <w:pPr>
        <w:pStyle w:val="CM28"/>
        <w:spacing w:after="0"/>
        <w:jc w:val="both"/>
        <w:rPr>
          <w:noProof/>
          <w:sz w:val="22"/>
          <w:szCs w:val="22"/>
          <w:lang w:val="sk-SK"/>
        </w:rPr>
      </w:pPr>
      <w:r w:rsidRPr="00607362">
        <w:rPr>
          <w:noProof/>
          <w:sz w:val="22"/>
          <w:szCs w:val="22"/>
          <w:lang w:val="sk-SK"/>
        </w:rPr>
        <w:t xml:space="preserve">Dátum prvej registrácie: </w:t>
      </w:r>
      <w:r w:rsidR="00D042E9" w:rsidRPr="00607362">
        <w:rPr>
          <w:noProof/>
          <w:sz w:val="22"/>
          <w:szCs w:val="22"/>
          <w:lang w:val="sk-SK"/>
        </w:rPr>
        <w:t>06.06.2009</w:t>
      </w:r>
    </w:p>
    <w:p w14:paraId="3DFB11CC" w14:textId="2C8A286F" w:rsidR="00A23960" w:rsidRPr="00607362" w:rsidRDefault="00A23960" w:rsidP="00A23960">
      <w:pPr>
        <w:pStyle w:val="Default"/>
        <w:rPr>
          <w:sz w:val="22"/>
          <w:szCs w:val="22"/>
          <w:lang w:val="sk-SK"/>
        </w:rPr>
      </w:pPr>
      <w:r w:rsidRPr="00A30CD6">
        <w:rPr>
          <w:noProof/>
          <w:sz w:val="22"/>
          <w:szCs w:val="22"/>
          <w:lang w:val="pt-PT"/>
        </w:rPr>
        <w:t>Dátum posledného predĺženia registrácie:</w:t>
      </w:r>
    </w:p>
    <w:p w14:paraId="09E060C7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7FED6C35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525D3D1E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10.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DÁTUM REVÍZIE TEXTU</w:t>
      </w:r>
    </w:p>
    <w:p w14:paraId="5DFE7825" w14:textId="77777777" w:rsidR="00BB3A2F" w:rsidRPr="006C25A0" w:rsidRDefault="00BB3A2F" w:rsidP="006C25A0">
      <w:pPr>
        <w:pStyle w:val="CM22"/>
        <w:jc w:val="both"/>
        <w:rPr>
          <w:noProof/>
          <w:sz w:val="22"/>
          <w:szCs w:val="22"/>
          <w:lang w:val="sk-SK"/>
        </w:rPr>
      </w:pPr>
    </w:p>
    <w:p w14:paraId="065411E4" w14:textId="5F5AEA4D" w:rsidR="00E86ED7" w:rsidRPr="006C25A0" w:rsidRDefault="00B427BC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>
        <w:rPr>
          <w:noProof/>
          <w:color w:val="auto"/>
          <w:sz w:val="22"/>
          <w:szCs w:val="22"/>
          <w:lang w:val="sk-SK"/>
        </w:rPr>
        <w:t>01/2018</w:t>
      </w:r>
    </w:p>
    <w:sectPr w:rsidR="00E86ED7" w:rsidRPr="006C25A0" w:rsidSect="00771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BE9A8" w14:textId="77777777" w:rsidR="004B0FAD" w:rsidRDefault="004B0FAD">
      <w:r>
        <w:separator/>
      </w:r>
    </w:p>
  </w:endnote>
  <w:endnote w:type="continuationSeparator" w:id="0">
    <w:p w14:paraId="79330094" w14:textId="77777777" w:rsidR="004B0FAD" w:rsidRDefault="004B0FAD">
      <w:r>
        <w:continuationSeparator/>
      </w:r>
    </w:p>
  </w:endnote>
  <w:endnote w:type="continuationNotice" w:id="1">
    <w:p w14:paraId="7F19FBC4" w14:textId="77777777" w:rsidR="004B0FAD" w:rsidRDefault="004B0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0B55" w14:textId="77777777" w:rsidR="00084C2F" w:rsidRDefault="00084C2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B4F1C" w14:textId="699A286C" w:rsidR="0014786F" w:rsidRPr="00DA3D13" w:rsidRDefault="0014786F">
    <w:pPr>
      <w:pStyle w:val="Pta"/>
      <w:rPr>
        <w:sz w:val="20"/>
        <w:szCs w:val="20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CA2B" w14:textId="77777777" w:rsidR="00084C2F" w:rsidRDefault="00084C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5365C" w14:textId="77777777" w:rsidR="004B0FAD" w:rsidRDefault="004B0FAD">
      <w:r>
        <w:separator/>
      </w:r>
    </w:p>
  </w:footnote>
  <w:footnote w:type="continuationSeparator" w:id="0">
    <w:p w14:paraId="0EA056B4" w14:textId="77777777" w:rsidR="004B0FAD" w:rsidRDefault="004B0FAD">
      <w:r>
        <w:continuationSeparator/>
      </w:r>
    </w:p>
  </w:footnote>
  <w:footnote w:type="continuationNotice" w:id="1">
    <w:p w14:paraId="62D16930" w14:textId="77777777" w:rsidR="004B0FAD" w:rsidRDefault="004B0F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DD80C" w14:textId="77777777" w:rsidR="00084C2F" w:rsidRDefault="00084C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537F7" w14:textId="623A361F" w:rsidR="0014786F" w:rsidRDefault="0014786F">
    <w:pPr>
      <w:pStyle w:val="Hlavika"/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text</w:t>
    </w:r>
    <w:proofErr w:type="spellEnd"/>
    <w:r>
      <w:rPr>
        <w:sz w:val="18"/>
        <w:szCs w:val="18"/>
      </w:rPr>
      <w:t xml:space="preserve"> k 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predĺžení</w:t>
    </w:r>
    <w:proofErr w:type="spellEnd"/>
    <w:r>
      <w:rPr>
        <w:sz w:val="18"/>
        <w:szCs w:val="18"/>
      </w:rPr>
      <w:t>, ev.</w:t>
    </w:r>
    <w:r w:rsidR="00B427BC">
      <w:rPr>
        <w:sz w:val="18"/>
        <w:szCs w:val="18"/>
      </w:rPr>
      <w:t xml:space="preserve"> </w:t>
    </w:r>
    <w:r>
      <w:rPr>
        <w:sz w:val="18"/>
        <w:szCs w:val="18"/>
      </w:rPr>
      <w:t>č.: 2013/01829-PRE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C02E0" w14:textId="77777777" w:rsidR="00084C2F" w:rsidRDefault="00084C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B35640"/>
    <w:multiLevelType w:val="hybridMultilevel"/>
    <w:tmpl w:val="E6EAA33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5B103C5"/>
    <w:multiLevelType w:val="hybridMultilevel"/>
    <w:tmpl w:val="D15F54D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8B31352"/>
    <w:multiLevelType w:val="hybridMultilevel"/>
    <w:tmpl w:val="FFDB1B2F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917A898"/>
    <w:multiLevelType w:val="hybridMultilevel"/>
    <w:tmpl w:val="F20F0CA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E1F29ED3"/>
    <w:multiLevelType w:val="hybridMultilevel"/>
    <w:tmpl w:val="841D3E3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F6D43FA2"/>
    <w:multiLevelType w:val="hybridMultilevel"/>
    <w:tmpl w:val="5FC46E1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  <w:lang w:val="de-DE"/>
      </w:rPr>
    </w:lvl>
  </w:abstractNum>
  <w:abstractNum w:abstractNumId="7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val="sk-SK"/>
      </w:rPr>
    </w:lvl>
  </w:abstractNum>
  <w:abstractNum w:abstractNumId="8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3"/>
        </w:tabs>
        <w:ind w:left="10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3"/>
        </w:tabs>
        <w:ind w:left="14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3"/>
        </w:tabs>
        <w:ind w:left="18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3"/>
        </w:tabs>
        <w:ind w:left="21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3"/>
        </w:tabs>
        <w:ind w:left="25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3"/>
        </w:tabs>
        <w:ind w:left="32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3"/>
        </w:tabs>
        <w:ind w:left="3613" w:hanging="360"/>
      </w:pPr>
      <w:rPr>
        <w:rFonts w:ascii="OpenSymbol" w:hAnsi="OpenSymbol" w:cs="OpenSymbol"/>
      </w:rPr>
    </w:lvl>
  </w:abstractNum>
  <w:abstractNum w:abstractNumId="10" w15:restartNumberingAfterBreak="0">
    <w:nsid w:val="00874325"/>
    <w:multiLevelType w:val="hybridMultilevel"/>
    <w:tmpl w:val="3A6003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9153243"/>
    <w:multiLevelType w:val="hybridMultilevel"/>
    <w:tmpl w:val="08013F06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BC24744"/>
    <w:multiLevelType w:val="hybridMultilevel"/>
    <w:tmpl w:val="1D8791E5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F462FD1"/>
    <w:multiLevelType w:val="hybridMultilevel"/>
    <w:tmpl w:val="6E54BF7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1962761"/>
    <w:multiLevelType w:val="hybridMultilevel"/>
    <w:tmpl w:val="D64627C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2463659"/>
    <w:multiLevelType w:val="hybridMultilevel"/>
    <w:tmpl w:val="48DA398A"/>
    <w:lvl w:ilvl="0" w:tplc="0518A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20E66B"/>
    <w:multiLevelType w:val="hybridMultilevel"/>
    <w:tmpl w:val="E168B62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1AF108F"/>
    <w:multiLevelType w:val="hybridMultilevel"/>
    <w:tmpl w:val="6690AEC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75609FE"/>
    <w:multiLevelType w:val="hybridMultilevel"/>
    <w:tmpl w:val="F3C0BF9C"/>
    <w:lvl w:ilvl="0" w:tplc="0518A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6E65F"/>
    <w:multiLevelType w:val="hybridMultilevel"/>
    <w:tmpl w:val="7C29D09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C37B09D"/>
    <w:multiLevelType w:val="hybridMultilevel"/>
    <w:tmpl w:val="809156D9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B28336F"/>
    <w:multiLevelType w:val="hybridMultilevel"/>
    <w:tmpl w:val="1DD49063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D234F12"/>
    <w:multiLevelType w:val="hybridMultilevel"/>
    <w:tmpl w:val="C3AB37A7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9"/>
  </w:num>
  <w:num w:numId="5">
    <w:abstractNumId w:val="4"/>
  </w:num>
  <w:num w:numId="6">
    <w:abstractNumId w:val="20"/>
  </w:num>
  <w:num w:numId="7">
    <w:abstractNumId w:val="3"/>
  </w:num>
  <w:num w:numId="8">
    <w:abstractNumId w:val="0"/>
  </w:num>
  <w:num w:numId="9">
    <w:abstractNumId w:val="13"/>
  </w:num>
  <w:num w:numId="10">
    <w:abstractNumId w:val="21"/>
  </w:num>
  <w:num w:numId="11">
    <w:abstractNumId w:val="14"/>
  </w:num>
  <w:num w:numId="12">
    <w:abstractNumId w:val="11"/>
  </w:num>
  <w:num w:numId="13">
    <w:abstractNumId w:val="17"/>
  </w:num>
  <w:num w:numId="14">
    <w:abstractNumId w:val="5"/>
  </w:num>
  <w:num w:numId="15">
    <w:abstractNumId w:val="22"/>
  </w:num>
  <w:num w:numId="16">
    <w:abstractNumId w:val="16"/>
  </w:num>
  <w:num w:numId="17">
    <w:abstractNumId w:val="18"/>
  </w:num>
  <w:num w:numId="18">
    <w:abstractNumId w:val="1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E1"/>
    <w:rsid w:val="00004C30"/>
    <w:rsid w:val="00005198"/>
    <w:rsid w:val="00006B19"/>
    <w:rsid w:val="0001178B"/>
    <w:rsid w:val="000134DC"/>
    <w:rsid w:val="00015C5D"/>
    <w:rsid w:val="00016298"/>
    <w:rsid w:val="0002534E"/>
    <w:rsid w:val="00032B46"/>
    <w:rsid w:val="0005088C"/>
    <w:rsid w:val="0006578A"/>
    <w:rsid w:val="00073712"/>
    <w:rsid w:val="00076F59"/>
    <w:rsid w:val="000778ED"/>
    <w:rsid w:val="00082F17"/>
    <w:rsid w:val="00084C2F"/>
    <w:rsid w:val="00085C3F"/>
    <w:rsid w:val="000919C8"/>
    <w:rsid w:val="000A76E4"/>
    <w:rsid w:val="000B25D2"/>
    <w:rsid w:val="000B25DF"/>
    <w:rsid w:val="000B2FC2"/>
    <w:rsid w:val="000C11FD"/>
    <w:rsid w:val="000D7BAA"/>
    <w:rsid w:val="000E2EE1"/>
    <w:rsid w:val="000E5666"/>
    <w:rsid w:val="000E5843"/>
    <w:rsid w:val="000F2368"/>
    <w:rsid w:val="000F797F"/>
    <w:rsid w:val="001030FB"/>
    <w:rsid w:val="001268FA"/>
    <w:rsid w:val="00126EA2"/>
    <w:rsid w:val="0013288B"/>
    <w:rsid w:val="001359AF"/>
    <w:rsid w:val="00141004"/>
    <w:rsid w:val="00143829"/>
    <w:rsid w:val="00145DDE"/>
    <w:rsid w:val="00145E6A"/>
    <w:rsid w:val="0014786F"/>
    <w:rsid w:val="00160A78"/>
    <w:rsid w:val="00163A67"/>
    <w:rsid w:val="001706DF"/>
    <w:rsid w:val="00182AF4"/>
    <w:rsid w:val="0018395E"/>
    <w:rsid w:val="00183A6F"/>
    <w:rsid w:val="001848B6"/>
    <w:rsid w:val="00184E85"/>
    <w:rsid w:val="00186FFB"/>
    <w:rsid w:val="001875D7"/>
    <w:rsid w:val="001A3A5C"/>
    <w:rsid w:val="001A3C70"/>
    <w:rsid w:val="001A4E22"/>
    <w:rsid w:val="001A7A5F"/>
    <w:rsid w:val="001B3AC1"/>
    <w:rsid w:val="001B49BB"/>
    <w:rsid w:val="001C4F4C"/>
    <w:rsid w:val="001C5E31"/>
    <w:rsid w:val="001D1690"/>
    <w:rsid w:val="001E19E5"/>
    <w:rsid w:val="001E5C25"/>
    <w:rsid w:val="001E7E4B"/>
    <w:rsid w:val="001F2BA3"/>
    <w:rsid w:val="0020580C"/>
    <w:rsid w:val="00235445"/>
    <w:rsid w:val="00263A31"/>
    <w:rsid w:val="002703BB"/>
    <w:rsid w:val="0027252A"/>
    <w:rsid w:val="002744A9"/>
    <w:rsid w:val="002806C8"/>
    <w:rsid w:val="00292CB3"/>
    <w:rsid w:val="00295BB5"/>
    <w:rsid w:val="002A1F20"/>
    <w:rsid w:val="002A2792"/>
    <w:rsid w:val="002B229B"/>
    <w:rsid w:val="002C0348"/>
    <w:rsid w:val="002C07D5"/>
    <w:rsid w:val="002C23BE"/>
    <w:rsid w:val="002C7A3E"/>
    <w:rsid w:val="002D2FC5"/>
    <w:rsid w:val="002D5BB9"/>
    <w:rsid w:val="002E6480"/>
    <w:rsid w:val="002F1D8C"/>
    <w:rsid w:val="003104B4"/>
    <w:rsid w:val="00310E3A"/>
    <w:rsid w:val="00313E4D"/>
    <w:rsid w:val="003310ED"/>
    <w:rsid w:val="0034360F"/>
    <w:rsid w:val="0034426C"/>
    <w:rsid w:val="0035452C"/>
    <w:rsid w:val="00372B25"/>
    <w:rsid w:val="0038404B"/>
    <w:rsid w:val="00392E38"/>
    <w:rsid w:val="003942D7"/>
    <w:rsid w:val="00396741"/>
    <w:rsid w:val="003A299D"/>
    <w:rsid w:val="003C25AF"/>
    <w:rsid w:val="003E244F"/>
    <w:rsid w:val="003E3307"/>
    <w:rsid w:val="003E5C39"/>
    <w:rsid w:val="003F2EE9"/>
    <w:rsid w:val="0041041D"/>
    <w:rsid w:val="004106CF"/>
    <w:rsid w:val="00415511"/>
    <w:rsid w:val="00416548"/>
    <w:rsid w:val="004172C3"/>
    <w:rsid w:val="00425763"/>
    <w:rsid w:val="004336A7"/>
    <w:rsid w:val="00450282"/>
    <w:rsid w:val="00451AE6"/>
    <w:rsid w:val="00471CF2"/>
    <w:rsid w:val="00473EF1"/>
    <w:rsid w:val="004803AC"/>
    <w:rsid w:val="00487C33"/>
    <w:rsid w:val="00494756"/>
    <w:rsid w:val="00496131"/>
    <w:rsid w:val="00496910"/>
    <w:rsid w:val="004A2F82"/>
    <w:rsid w:val="004A657F"/>
    <w:rsid w:val="004A6BC9"/>
    <w:rsid w:val="004B0FAD"/>
    <w:rsid w:val="004B35C6"/>
    <w:rsid w:val="004B4F67"/>
    <w:rsid w:val="004C2C70"/>
    <w:rsid w:val="004C648A"/>
    <w:rsid w:val="004D1E58"/>
    <w:rsid w:val="004D4E97"/>
    <w:rsid w:val="004D5420"/>
    <w:rsid w:val="004E0228"/>
    <w:rsid w:val="004F3401"/>
    <w:rsid w:val="004F43CE"/>
    <w:rsid w:val="00501299"/>
    <w:rsid w:val="00511BBE"/>
    <w:rsid w:val="00530C5C"/>
    <w:rsid w:val="00536B89"/>
    <w:rsid w:val="00551113"/>
    <w:rsid w:val="00554146"/>
    <w:rsid w:val="00555073"/>
    <w:rsid w:val="005604EA"/>
    <w:rsid w:val="00565062"/>
    <w:rsid w:val="005700F3"/>
    <w:rsid w:val="00576C64"/>
    <w:rsid w:val="0058055B"/>
    <w:rsid w:val="005807C1"/>
    <w:rsid w:val="00582733"/>
    <w:rsid w:val="005844C3"/>
    <w:rsid w:val="00593A03"/>
    <w:rsid w:val="005A0342"/>
    <w:rsid w:val="005A1C29"/>
    <w:rsid w:val="005A2359"/>
    <w:rsid w:val="005B2759"/>
    <w:rsid w:val="005B4C31"/>
    <w:rsid w:val="005C6740"/>
    <w:rsid w:val="005D3902"/>
    <w:rsid w:val="005D51F1"/>
    <w:rsid w:val="005E44DA"/>
    <w:rsid w:val="005F23B2"/>
    <w:rsid w:val="005F4C4A"/>
    <w:rsid w:val="006014FA"/>
    <w:rsid w:val="00607362"/>
    <w:rsid w:val="006102E5"/>
    <w:rsid w:val="00612332"/>
    <w:rsid w:val="006133C7"/>
    <w:rsid w:val="00614840"/>
    <w:rsid w:val="00621DA8"/>
    <w:rsid w:val="00622277"/>
    <w:rsid w:val="006318B2"/>
    <w:rsid w:val="00637BE8"/>
    <w:rsid w:val="00650A91"/>
    <w:rsid w:val="00650C07"/>
    <w:rsid w:val="00651794"/>
    <w:rsid w:val="00652A94"/>
    <w:rsid w:val="0065323C"/>
    <w:rsid w:val="00653CFE"/>
    <w:rsid w:val="00657C6C"/>
    <w:rsid w:val="0067046D"/>
    <w:rsid w:val="0067536C"/>
    <w:rsid w:val="0067613C"/>
    <w:rsid w:val="006867B3"/>
    <w:rsid w:val="006A2C66"/>
    <w:rsid w:val="006A6B75"/>
    <w:rsid w:val="006C205F"/>
    <w:rsid w:val="006C25A0"/>
    <w:rsid w:val="006F3412"/>
    <w:rsid w:val="00700C8D"/>
    <w:rsid w:val="00700E14"/>
    <w:rsid w:val="0070452F"/>
    <w:rsid w:val="0071576C"/>
    <w:rsid w:val="0072239D"/>
    <w:rsid w:val="0072341D"/>
    <w:rsid w:val="00723D0B"/>
    <w:rsid w:val="007260C6"/>
    <w:rsid w:val="0072716B"/>
    <w:rsid w:val="007339C4"/>
    <w:rsid w:val="007451A8"/>
    <w:rsid w:val="0074641F"/>
    <w:rsid w:val="00751D86"/>
    <w:rsid w:val="00752BDA"/>
    <w:rsid w:val="00753F44"/>
    <w:rsid w:val="00767191"/>
    <w:rsid w:val="00770665"/>
    <w:rsid w:val="00770A2C"/>
    <w:rsid w:val="0077112D"/>
    <w:rsid w:val="00774257"/>
    <w:rsid w:val="00793C55"/>
    <w:rsid w:val="0079451A"/>
    <w:rsid w:val="00794864"/>
    <w:rsid w:val="0079713D"/>
    <w:rsid w:val="007B27E6"/>
    <w:rsid w:val="007B6581"/>
    <w:rsid w:val="007C2777"/>
    <w:rsid w:val="007D0127"/>
    <w:rsid w:val="007D3B1F"/>
    <w:rsid w:val="007D76B8"/>
    <w:rsid w:val="007E696E"/>
    <w:rsid w:val="007E7EAD"/>
    <w:rsid w:val="007F344E"/>
    <w:rsid w:val="007F7768"/>
    <w:rsid w:val="008051E1"/>
    <w:rsid w:val="008129B0"/>
    <w:rsid w:val="00813469"/>
    <w:rsid w:val="00817083"/>
    <w:rsid w:val="0082053B"/>
    <w:rsid w:val="00826C66"/>
    <w:rsid w:val="00837F22"/>
    <w:rsid w:val="00845E7F"/>
    <w:rsid w:val="00860F74"/>
    <w:rsid w:val="00862E1B"/>
    <w:rsid w:val="00863993"/>
    <w:rsid w:val="00865EA3"/>
    <w:rsid w:val="008700FC"/>
    <w:rsid w:val="00872BCE"/>
    <w:rsid w:val="008762ED"/>
    <w:rsid w:val="0088238F"/>
    <w:rsid w:val="00883514"/>
    <w:rsid w:val="00890180"/>
    <w:rsid w:val="008913A1"/>
    <w:rsid w:val="008A05AC"/>
    <w:rsid w:val="008A1B07"/>
    <w:rsid w:val="008B4338"/>
    <w:rsid w:val="008C73F3"/>
    <w:rsid w:val="008D34C9"/>
    <w:rsid w:val="008D66F8"/>
    <w:rsid w:val="008D7FA7"/>
    <w:rsid w:val="008E6AFF"/>
    <w:rsid w:val="008F1E3A"/>
    <w:rsid w:val="00905DF3"/>
    <w:rsid w:val="00910DB8"/>
    <w:rsid w:val="0091742D"/>
    <w:rsid w:val="009178D8"/>
    <w:rsid w:val="009265D1"/>
    <w:rsid w:val="00930DCA"/>
    <w:rsid w:val="0093110E"/>
    <w:rsid w:val="0093187A"/>
    <w:rsid w:val="009465C3"/>
    <w:rsid w:val="0095238F"/>
    <w:rsid w:val="00973D87"/>
    <w:rsid w:val="00974138"/>
    <w:rsid w:val="0097539D"/>
    <w:rsid w:val="0099146E"/>
    <w:rsid w:val="009A1024"/>
    <w:rsid w:val="009A4884"/>
    <w:rsid w:val="009B0DD4"/>
    <w:rsid w:val="009C3C3A"/>
    <w:rsid w:val="009C622B"/>
    <w:rsid w:val="009C757F"/>
    <w:rsid w:val="009F65CD"/>
    <w:rsid w:val="00A0001B"/>
    <w:rsid w:val="00A007D7"/>
    <w:rsid w:val="00A03478"/>
    <w:rsid w:val="00A037E2"/>
    <w:rsid w:val="00A2340D"/>
    <w:rsid w:val="00A23960"/>
    <w:rsid w:val="00A30560"/>
    <w:rsid w:val="00A30CD6"/>
    <w:rsid w:val="00A426BF"/>
    <w:rsid w:val="00A454EC"/>
    <w:rsid w:val="00A470CF"/>
    <w:rsid w:val="00A572E9"/>
    <w:rsid w:val="00A675D8"/>
    <w:rsid w:val="00A715F2"/>
    <w:rsid w:val="00A8596E"/>
    <w:rsid w:val="00AA13F3"/>
    <w:rsid w:val="00AA1877"/>
    <w:rsid w:val="00AB634A"/>
    <w:rsid w:val="00AC0C69"/>
    <w:rsid w:val="00AD11CA"/>
    <w:rsid w:val="00AD47FC"/>
    <w:rsid w:val="00AE3306"/>
    <w:rsid w:val="00AF0AEE"/>
    <w:rsid w:val="00AF28D2"/>
    <w:rsid w:val="00AF2C6B"/>
    <w:rsid w:val="00AF5191"/>
    <w:rsid w:val="00B006E6"/>
    <w:rsid w:val="00B00DCD"/>
    <w:rsid w:val="00B024DF"/>
    <w:rsid w:val="00B04D77"/>
    <w:rsid w:val="00B12EAF"/>
    <w:rsid w:val="00B14D13"/>
    <w:rsid w:val="00B21296"/>
    <w:rsid w:val="00B341CB"/>
    <w:rsid w:val="00B427BC"/>
    <w:rsid w:val="00B451E5"/>
    <w:rsid w:val="00B45EA3"/>
    <w:rsid w:val="00B46650"/>
    <w:rsid w:val="00B4691F"/>
    <w:rsid w:val="00B47C82"/>
    <w:rsid w:val="00B511F7"/>
    <w:rsid w:val="00B57770"/>
    <w:rsid w:val="00B713BF"/>
    <w:rsid w:val="00B72553"/>
    <w:rsid w:val="00B80CDA"/>
    <w:rsid w:val="00B838E8"/>
    <w:rsid w:val="00B96ACD"/>
    <w:rsid w:val="00BA2964"/>
    <w:rsid w:val="00BB0EAA"/>
    <w:rsid w:val="00BB3A2F"/>
    <w:rsid w:val="00BC1C0B"/>
    <w:rsid w:val="00BC4BF7"/>
    <w:rsid w:val="00BC61C0"/>
    <w:rsid w:val="00BE610D"/>
    <w:rsid w:val="00BE70C7"/>
    <w:rsid w:val="00BF475C"/>
    <w:rsid w:val="00C02B04"/>
    <w:rsid w:val="00C03C74"/>
    <w:rsid w:val="00C144BB"/>
    <w:rsid w:val="00C175A9"/>
    <w:rsid w:val="00C2081D"/>
    <w:rsid w:val="00C223B7"/>
    <w:rsid w:val="00C24BBD"/>
    <w:rsid w:val="00C273DE"/>
    <w:rsid w:val="00C31E5A"/>
    <w:rsid w:val="00C32B59"/>
    <w:rsid w:val="00C34713"/>
    <w:rsid w:val="00C56DE3"/>
    <w:rsid w:val="00C65DDB"/>
    <w:rsid w:val="00C71275"/>
    <w:rsid w:val="00C71D46"/>
    <w:rsid w:val="00C84C7F"/>
    <w:rsid w:val="00C92495"/>
    <w:rsid w:val="00C930C2"/>
    <w:rsid w:val="00C952B3"/>
    <w:rsid w:val="00CA2F36"/>
    <w:rsid w:val="00CA358F"/>
    <w:rsid w:val="00CB4567"/>
    <w:rsid w:val="00CC2FCF"/>
    <w:rsid w:val="00CD6141"/>
    <w:rsid w:val="00CE3AEA"/>
    <w:rsid w:val="00D00893"/>
    <w:rsid w:val="00D042E9"/>
    <w:rsid w:val="00D10C13"/>
    <w:rsid w:val="00D17759"/>
    <w:rsid w:val="00D254EA"/>
    <w:rsid w:val="00D255E0"/>
    <w:rsid w:val="00D2654E"/>
    <w:rsid w:val="00D3071C"/>
    <w:rsid w:val="00D3505D"/>
    <w:rsid w:val="00D35162"/>
    <w:rsid w:val="00D374DB"/>
    <w:rsid w:val="00D453CD"/>
    <w:rsid w:val="00D463A1"/>
    <w:rsid w:val="00D468B8"/>
    <w:rsid w:val="00D65806"/>
    <w:rsid w:val="00D71E2A"/>
    <w:rsid w:val="00D722F7"/>
    <w:rsid w:val="00D87188"/>
    <w:rsid w:val="00D90986"/>
    <w:rsid w:val="00D9327F"/>
    <w:rsid w:val="00DA3D13"/>
    <w:rsid w:val="00DA6BE9"/>
    <w:rsid w:val="00DB0C42"/>
    <w:rsid w:val="00DB296C"/>
    <w:rsid w:val="00DB4CA8"/>
    <w:rsid w:val="00DB4DB8"/>
    <w:rsid w:val="00DC294C"/>
    <w:rsid w:val="00DC2EB5"/>
    <w:rsid w:val="00DC2F7D"/>
    <w:rsid w:val="00DC53B5"/>
    <w:rsid w:val="00DE1054"/>
    <w:rsid w:val="00DE565A"/>
    <w:rsid w:val="00DF3590"/>
    <w:rsid w:val="00DF4D8B"/>
    <w:rsid w:val="00DF5C51"/>
    <w:rsid w:val="00E0207F"/>
    <w:rsid w:val="00E039B4"/>
    <w:rsid w:val="00E17F34"/>
    <w:rsid w:val="00E21A23"/>
    <w:rsid w:val="00E24DA0"/>
    <w:rsid w:val="00E27DDB"/>
    <w:rsid w:val="00E33F74"/>
    <w:rsid w:val="00E44855"/>
    <w:rsid w:val="00E5220C"/>
    <w:rsid w:val="00E551E5"/>
    <w:rsid w:val="00E563A3"/>
    <w:rsid w:val="00E64800"/>
    <w:rsid w:val="00E725E6"/>
    <w:rsid w:val="00E7636E"/>
    <w:rsid w:val="00E77E64"/>
    <w:rsid w:val="00E81397"/>
    <w:rsid w:val="00E86ED7"/>
    <w:rsid w:val="00E87DC3"/>
    <w:rsid w:val="00EA6B87"/>
    <w:rsid w:val="00EC3751"/>
    <w:rsid w:val="00EC4AAB"/>
    <w:rsid w:val="00EC7889"/>
    <w:rsid w:val="00EE1890"/>
    <w:rsid w:val="00EE21E9"/>
    <w:rsid w:val="00EE649C"/>
    <w:rsid w:val="00EF0CC1"/>
    <w:rsid w:val="00F02C63"/>
    <w:rsid w:val="00F072FA"/>
    <w:rsid w:val="00F16436"/>
    <w:rsid w:val="00F25458"/>
    <w:rsid w:val="00F30C62"/>
    <w:rsid w:val="00F34446"/>
    <w:rsid w:val="00F37AA9"/>
    <w:rsid w:val="00F41215"/>
    <w:rsid w:val="00F4325B"/>
    <w:rsid w:val="00F549E0"/>
    <w:rsid w:val="00F56256"/>
    <w:rsid w:val="00F7555D"/>
    <w:rsid w:val="00F856B2"/>
    <w:rsid w:val="00F94706"/>
    <w:rsid w:val="00FA41FE"/>
    <w:rsid w:val="00FB0FB9"/>
    <w:rsid w:val="00FB3335"/>
    <w:rsid w:val="00FB75A8"/>
    <w:rsid w:val="00FC159F"/>
    <w:rsid w:val="00FC40AA"/>
    <w:rsid w:val="00FC41A5"/>
    <w:rsid w:val="00FC7426"/>
    <w:rsid w:val="00FC77CF"/>
    <w:rsid w:val="00FD3F7E"/>
    <w:rsid w:val="00FE1680"/>
    <w:rsid w:val="00FE4D7E"/>
    <w:rsid w:val="00FF061F"/>
    <w:rsid w:val="00FF299A"/>
    <w:rsid w:val="00FF57EA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E67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506" w:lineRule="atLeast"/>
    </w:pPr>
    <w:rPr>
      <w:color w:val="auto"/>
    </w:rPr>
  </w:style>
  <w:style w:type="paragraph" w:customStyle="1" w:styleId="CM26">
    <w:name w:val="CM26"/>
    <w:basedOn w:val="Default"/>
    <w:next w:val="Default"/>
    <w:pPr>
      <w:spacing w:after="250"/>
    </w:pPr>
    <w:rPr>
      <w:color w:val="auto"/>
    </w:rPr>
  </w:style>
  <w:style w:type="paragraph" w:customStyle="1" w:styleId="CM27">
    <w:name w:val="CM27"/>
    <w:basedOn w:val="Default"/>
    <w:next w:val="Default"/>
    <w:pPr>
      <w:spacing w:after="260"/>
    </w:pPr>
    <w:rPr>
      <w:color w:val="auto"/>
    </w:rPr>
  </w:style>
  <w:style w:type="paragraph" w:customStyle="1" w:styleId="CM28">
    <w:name w:val="CM28"/>
    <w:basedOn w:val="Default"/>
    <w:next w:val="Default"/>
    <w:pPr>
      <w:spacing w:after="510"/>
    </w:pPr>
    <w:rPr>
      <w:color w:val="auto"/>
    </w:rPr>
  </w:style>
  <w:style w:type="paragraph" w:customStyle="1" w:styleId="CM3">
    <w:name w:val="CM3"/>
    <w:basedOn w:val="Default"/>
    <w:next w:val="Default"/>
    <w:pPr>
      <w:spacing w:line="251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258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color w:val="auto"/>
    </w:rPr>
  </w:style>
  <w:style w:type="paragraph" w:customStyle="1" w:styleId="CM11">
    <w:name w:val="CM11"/>
    <w:basedOn w:val="Default"/>
    <w:next w:val="Default"/>
    <w:pPr>
      <w:spacing w:line="251" w:lineRule="atLeast"/>
    </w:pPr>
    <w:rPr>
      <w:color w:val="auto"/>
    </w:rPr>
  </w:style>
  <w:style w:type="paragraph" w:customStyle="1" w:styleId="CM29">
    <w:name w:val="CM29"/>
    <w:basedOn w:val="Default"/>
    <w:next w:val="Default"/>
    <w:pPr>
      <w:spacing w:after="340"/>
    </w:pPr>
    <w:rPr>
      <w:color w:val="auto"/>
    </w:rPr>
  </w:style>
  <w:style w:type="paragraph" w:customStyle="1" w:styleId="CM12">
    <w:name w:val="CM12"/>
    <w:basedOn w:val="Default"/>
    <w:next w:val="Default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251" w:lineRule="atLeast"/>
    </w:pPr>
    <w:rPr>
      <w:color w:val="auto"/>
    </w:rPr>
  </w:style>
  <w:style w:type="paragraph" w:customStyle="1" w:styleId="CM16">
    <w:name w:val="CM16"/>
    <w:basedOn w:val="Default"/>
    <w:next w:val="Default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pPr>
      <w:spacing w:line="256" w:lineRule="atLeast"/>
    </w:pPr>
    <w:rPr>
      <w:color w:val="auto"/>
    </w:rPr>
  </w:style>
  <w:style w:type="paragraph" w:customStyle="1" w:styleId="CM19">
    <w:name w:val="CM19"/>
    <w:basedOn w:val="Default"/>
    <w:next w:val="Default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pPr>
      <w:spacing w:line="260" w:lineRule="atLeast"/>
    </w:pPr>
    <w:rPr>
      <w:color w:val="auto"/>
    </w:rPr>
  </w:style>
  <w:style w:type="paragraph" w:customStyle="1" w:styleId="CM22">
    <w:name w:val="CM22"/>
    <w:basedOn w:val="Default"/>
    <w:next w:val="Default"/>
    <w:rPr>
      <w:color w:val="auto"/>
    </w:rPr>
  </w:style>
  <w:style w:type="paragraph" w:customStyle="1" w:styleId="CM30">
    <w:name w:val="CM30"/>
    <w:basedOn w:val="Default"/>
    <w:next w:val="Default"/>
    <w:pPr>
      <w:spacing w:after="650"/>
    </w:pPr>
    <w:rPr>
      <w:color w:val="auto"/>
    </w:rPr>
  </w:style>
  <w:style w:type="paragraph" w:customStyle="1" w:styleId="CM23">
    <w:name w:val="CM23"/>
    <w:basedOn w:val="Default"/>
    <w:next w:val="Default"/>
    <w:pPr>
      <w:spacing w:line="251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rsid w:val="00DA3D1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A3D1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8D34C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DF4D8B"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sid w:val="00DF4D8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F4D8B"/>
    <w:rPr>
      <w:b/>
      <w:bCs/>
    </w:rPr>
  </w:style>
  <w:style w:type="table" w:styleId="Mriekatabuky">
    <w:name w:val="Table Grid"/>
    <w:basedOn w:val="Normlnatabuka"/>
    <w:uiPriority w:val="59"/>
    <w:rsid w:val="001848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sid w:val="0071576C"/>
    <w:rPr>
      <w:sz w:val="24"/>
      <w:szCs w:val="24"/>
    </w:rPr>
  </w:style>
  <w:style w:type="character" w:styleId="Siln">
    <w:name w:val="Strong"/>
    <w:qFormat/>
    <w:rsid w:val="001E7E4B"/>
    <w:rPr>
      <w:b/>
      <w:bCs/>
    </w:rPr>
  </w:style>
  <w:style w:type="paragraph" w:styleId="truktradokumentu">
    <w:name w:val="Document Map"/>
    <w:basedOn w:val="Normlny"/>
    <w:semiHidden/>
    <w:rsid w:val="00D722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3z1">
    <w:name w:val="WW8Num3z1"/>
    <w:rsid w:val="00FC40AA"/>
    <w:rPr>
      <w:rFonts w:cs="Times New Roman"/>
    </w:rPr>
  </w:style>
  <w:style w:type="paragraph" w:styleId="Revzia">
    <w:name w:val="Revision"/>
    <w:hidden/>
    <w:uiPriority w:val="99"/>
    <w:semiHidden/>
    <w:rsid w:val="000919C8"/>
    <w:rPr>
      <w:sz w:val="24"/>
      <w:szCs w:val="24"/>
    </w:rPr>
  </w:style>
  <w:style w:type="character" w:styleId="Hypertextovprepojenie">
    <w:name w:val="Hyperlink"/>
    <w:rsid w:val="00CD6141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A239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6145</Words>
  <Characters>35030</Characters>
  <Application>Microsoft Office Word</Application>
  <DocSecurity>0</DocSecurity>
  <Lines>291</Lines>
  <Paragraphs>82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41093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2018-01-16T14:18:00Z</dcterms:created>
  <dcterms:modified xsi:type="dcterms:W3CDTF">2018-01-16T14:30:00Z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11/9/2017 3:58:27 PM</vt:lpwstr>
  </property>
  <property fmtid="{D5CDD505-2E9C-101B-9397-08002B2CF9AE}" pid="3" name="OS_LastOpenUser">
    <vt:lpwstr>RECHENS</vt:lpwstr>
  </property>
</Properties>
</file>