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A4" w:rsidRPr="00C92EAF" w:rsidRDefault="005A00A4" w:rsidP="004A0BF0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C92EAF">
        <w:rPr>
          <w:b/>
          <w:caps/>
          <w:sz w:val="22"/>
          <w:szCs w:val="22"/>
        </w:rPr>
        <w:t>Súhrn charakteristických vlastností lieku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center"/>
        <w:rPr>
          <w:bCs/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92EAF">
        <w:rPr>
          <w:rFonts w:ascii="Times New Roman" w:hAnsi="Times New Roman"/>
          <w:i w:val="0"/>
          <w:sz w:val="22"/>
          <w:szCs w:val="22"/>
        </w:rPr>
        <w:t>Názov LIEKU</w:t>
      </w:r>
    </w:p>
    <w:p w:rsidR="005A00A4" w:rsidRPr="00C92EAF" w:rsidRDefault="005A00A4" w:rsidP="004A0BF0">
      <w:pPr>
        <w:pStyle w:val="Product"/>
        <w:spacing w:after="0" w:line="240" w:lineRule="auto"/>
        <w:ind w:left="0"/>
        <w:jc w:val="both"/>
        <w:rPr>
          <w:sz w:val="22"/>
          <w:szCs w:val="22"/>
        </w:rPr>
      </w:pPr>
    </w:p>
    <w:p w:rsidR="00B841C2" w:rsidRPr="00C92EAF" w:rsidRDefault="00214AB3" w:rsidP="004A0BF0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C92EAF">
        <w:rPr>
          <w:b w:val="0"/>
          <w:sz w:val="22"/>
          <w:szCs w:val="22"/>
        </w:rPr>
        <w:t>SPIRABEL 0,5 mg/ml perorálny roztok</w:t>
      </w:r>
    </w:p>
    <w:p w:rsidR="00B841C2" w:rsidRPr="00C92EAF" w:rsidRDefault="00B841C2" w:rsidP="004A0BF0">
      <w:pPr>
        <w:pStyle w:val="Product"/>
        <w:spacing w:after="0" w:line="240" w:lineRule="auto"/>
        <w:ind w:left="0"/>
        <w:jc w:val="both"/>
        <w:rPr>
          <w:iCs/>
          <w:sz w:val="22"/>
          <w:szCs w:val="22"/>
        </w:rPr>
      </w:pPr>
    </w:p>
    <w:p w:rsidR="00B37382" w:rsidRPr="00C92EAF" w:rsidRDefault="00B37382" w:rsidP="004A0BF0">
      <w:pPr>
        <w:pStyle w:val="Product"/>
        <w:spacing w:after="0" w:line="240" w:lineRule="auto"/>
        <w:ind w:left="0"/>
        <w:jc w:val="both"/>
        <w:rPr>
          <w:iCs/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B841C2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>Každ</w:t>
      </w:r>
      <w:r w:rsidR="00214AB3" w:rsidRPr="00C92EAF">
        <w:rPr>
          <w:sz w:val="22"/>
          <w:szCs w:val="22"/>
        </w:rPr>
        <w:t>ý</w:t>
      </w:r>
      <w:r w:rsidR="005A00A4" w:rsidRPr="00C92EAF">
        <w:rPr>
          <w:sz w:val="22"/>
          <w:szCs w:val="22"/>
        </w:rPr>
        <w:t xml:space="preserve"> </w:t>
      </w:r>
      <w:r w:rsidR="00214AB3" w:rsidRPr="00C92EAF">
        <w:rPr>
          <w:sz w:val="22"/>
          <w:szCs w:val="22"/>
        </w:rPr>
        <w:t xml:space="preserve">mililiter </w:t>
      </w:r>
      <w:r w:rsidR="0045774B" w:rsidRPr="00C92EAF">
        <w:rPr>
          <w:sz w:val="22"/>
          <w:szCs w:val="22"/>
        </w:rPr>
        <w:t>perorálneho</w:t>
      </w:r>
      <w:r w:rsidR="00214AB3" w:rsidRPr="00C92EAF">
        <w:rPr>
          <w:sz w:val="22"/>
          <w:szCs w:val="22"/>
        </w:rPr>
        <w:t xml:space="preserve"> roztoku</w:t>
      </w:r>
      <w:r w:rsidRPr="00C92EAF">
        <w:rPr>
          <w:sz w:val="22"/>
          <w:szCs w:val="22"/>
        </w:rPr>
        <w:t xml:space="preserve"> </w:t>
      </w:r>
      <w:r w:rsidR="005A00A4" w:rsidRPr="00C92EAF">
        <w:rPr>
          <w:sz w:val="22"/>
          <w:szCs w:val="22"/>
        </w:rPr>
        <w:t xml:space="preserve">obsahuje </w:t>
      </w:r>
      <w:r w:rsidR="00214AB3" w:rsidRPr="00C92EAF">
        <w:rPr>
          <w:sz w:val="22"/>
          <w:szCs w:val="22"/>
        </w:rPr>
        <w:t>0</w:t>
      </w:r>
      <w:r w:rsidRPr="00C92EAF">
        <w:rPr>
          <w:sz w:val="22"/>
          <w:szCs w:val="22"/>
        </w:rPr>
        <w:t xml:space="preserve">,5 </w:t>
      </w:r>
      <w:r w:rsidR="005A00A4" w:rsidRPr="00C92EAF">
        <w:rPr>
          <w:sz w:val="22"/>
          <w:szCs w:val="22"/>
        </w:rPr>
        <w:t>mg</w:t>
      </w:r>
      <w:r w:rsidRPr="00C92EAF">
        <w:rPr>
          <w:sz w:val="22"/>
          <w:szCs w:val="22"/>
        </w:rPr>
        <w:t xml:space="preserve"> </w:t>
      </w:r>
      <w:proofErr w:type="spellStart"/>
      <w:r w:rsidRPr="00C92EAF">
        <w:rPr>
          <w:sz w:val="22"/>
          <w:szCs w:val="22"/>
        </w:rPr>
        <w:t>desloratadínu</w:t>
      </w:r>
      <w:proofErr w:type="spellEnd"/>
      <w:r w:rsidR="005A00A4" w:rsidRPr="00C92EAF">
        <w:rPr>
          <w:sz w:val="22"/>
          <w:szCs w:val="22"/>
        </w:rPr>
        <w:t>.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jc w:val="both"/>
        <w:rPr>
          <w:sz w:val="22"/>
          <w:szCs w:val="22"/>
          <w:u w:val="single"/>
        </w:rPr>
      </w:pPr>
      <w:r w:rsidRPr="00C92EAF">
        <w:rPr>
          <w:sz w:val="22"/>
          <w:szCs w:val="22"/>
          <w:u w:val="single"/>
        </w:rPr>
        <w:t xml:space="preserve">Pomocné látky so známym účinkom: </w:t>
      </w:r>
    </w:p>
    <w:p w:rsidR="00214AB3" w:rsidRPr="00C92EAF" w:rsidRDefault="004A0BF0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 xml:space="preserve">tento liek obsahuje 150 mg/ml </w:t>
      </w:r>
      <w:proofErr w:type="spellStart"/>
      <w:r w:rsidRPr="00C92EAF">
        <w:rPr>
          <w:sz w:val="22"/>
          <w:szCs w:val="22"/>
        </w:rPr>
        <w:t>sorbitolu</w:t>
      </w:r>
      <w:proofErr w:type="spellEnd"/>
      <w:r w:rsidRPr="00C92EAF">
        <w:rPr>
          <w:sz w:val="22"/>
          <w:szCs w:val="22"/>
        </w:rPr>
        <w:t>.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>Úplný zoznam pomocných látok, pozri časť 6.1.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Lieková forma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630A1D" w:rsidRPr="00C92EAF" w:rsidRDefault="00214AB3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Perorálny roztok</w:t>
      </w:r>
    </w:p>
    <w:p w:rsidR="00B841C2" w:rsidRPr="00C92EAF" w:rsidRDefault="00B841C2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214AB3" w:rsidRPr="00C92EAF" w:rsidRDefault="00214AB3" w:rsidP="004A0BF0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5188B">
        <w:rPr>
          <w:rFonts w:ascii="Times New Roman" w:hAnsi="Times New Roman" w:cs="Times New Roman"/>
          <w:sz w:val="22"/>
          <w:szCs w:val="22"/>
          <w:lang w:val="sk-SK"/>
        </w:rPr>
        <w:t>SPIRABEL 0,5 mg/ml perorálny roztok je číry bezfarebný roztok.</w:t>
      </w:r>
    </w:p>
    <w:p w:rsidR="002C61E3" w:rsidRPr="00C92EAF" w:rsidRDefault="002C61E3" w:rsidP="004A0BF0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Klinické údaje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4.1</w:t>
      </w:r>
      <w:r w:rsidRPr="00C5188B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SPIRABEL perorálny roztok je </w:t>
      </w:r>
      <w:r w:rsidR="003900FF" w:rsidRPr="00C92EAF">
        <w:rPr>
          <w:sz w:val="22"/>
          <w:szCs w:val="22"/>
        </w:rPr>
        <w:t>indikovaný</w:t>
      </w:r>
      <w:r w:rsidRPr="00C92EAF">
        <w:rPr>
          <w:sz w:val="22"/>
          <w:szCs w:val="22"/>
        </w:rPr>
        <w:t xml:space="preserve"> </w:t>
      </w:r>
      <w:r w:rsidR="003900FF" w:rsidRPr="00C92EAF">
        <w:rPr>
          <w:sz w:val="22"/>
          <w:szCs w:val="22"/>
        </w:rPr>
        <w:t>u</w:t>
      </w:r>
      <w:r w:rsidRPr="00C92EAF">
        <w:rPr>
          <w:sz w:val="22"/>
          <w:szCs w:val="22"/>
        </w:rPr>
        <w:t xml:space="preserve"> dospelých, dospievajúcich a det</w:t>
      </w:r>
      <w:r w:rsidR="00785310" w:rsidRPr="00C92EAF">
        <w:rPr>
          <w:sz w:val="22"/>
          <w:szCs w:val="22"/>
        </w:rPr>
        <w:t>í</w:t>
      </w:r>
      <w:r w:rsidRPr="00C92EAF">
        <w:rPr>
          <w:sz w:val="22"/>
          <w:szCs w:val="22"/>
        </w:rPr>
        <w:t xml:space="preserve"> starš</w:t>
      </w:r>
      <w:r w:rsidR="00785310" w:rsidRPr="00C92EAF">
        <w:rPr>
          <w:sz w:val="22"/>
          <w:szCs w:val="22"/>
        </w:rPr>
        <w:t>ích</w:t>
      </w:r>
      <w:r w:rsidRPr="00C92EAF">
        <w:rPr>
          <w:sz w:val="22"/>
          <w:szCs w:val="22"/>
        </w:rPr>
        <w:t xml:space="preserve"> ako 1 rok na zmiernenie príznakov spojených s: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-</w:t>
      </w:r>
      <w:r w:rsidRPr="00C92EAF">
        <w:rPr>
          <w:sz w:val="22"/>
          <w:szCs w:val="22"/>
        </w:rPr>
        <w:tab/>
        <w:t xml:space="preserve">alergickou </w:t>
      </w:r>
      <w:proofErr w:type="spellStart"/>
      <w:r w:rsidRPr="00C92EAF">
        <w:rPr>
          <w:sz w:val="22"/>
          <w:szCs w:val="22"/>
        </w:rPr>
        <w:t>rinitídou</w:t>
      </w:r>
      <w:proofErr w:type="spellEnd"/>
      <w:r w:rsidRPr="00C92EAF">
        <w:rPr>
          <w:sz w:val="22"/>
          <w:szCs w:val="22"/>
        </w:rPr>
        <w:t xml:space="preserve"> (pozri časť 5.1)</w:t>
      </w:r>
    </w:p>
    <w:p w:rsidR="006B0D8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-</w:t>
      </w:r>
      <w:r w:rsidRPr="00C92EAF">
        <w:rPr>
          <w:sz w:val="22"/>
          <w:szCs w:val="22"/>
        </w:rPr>
        <w:tab/>
      </w:r>
      <w:proofErr w:type="spellStart"/>
      <w:r w:rsidRPr="00C92EAF">
        <w:rPr>
          <w:sz w:val="22"/>
          <w:szCs w:val="22"/>
        </w:rPr>
        <w:t>urtikáriou</w:t>
      </w:r>
      <w:proofErr w:type="spellEnd"/>
      <w:r w:rsidRPr="00C92EAF">
        <w:rPr>
          <w:sz w:val="22"/>
          <w:szCs w:val="22"/>
        </w:rPr>
        <w:t xml:space="preserve"> (pozri časť 5.1)</w:t>
      </w:r>
    </w:p>
    <w:p w:rsidR="004A0BF0" w:rsidRPr="00C92EAF" w:rsidRDefault="004A0BF0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4.2</w:t>
      </w:r>
      <w:r w:rsidRPr="00C5188B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  <w:u w:val="single"/>
        </w:rPr>
      </w:pPr>
      <w:r w:rsidRPr="00C92EAF">
        <w:rPr>
          <w:kern w:val="2"/>
          <w:sz w:val="22"/>
          <w:szCs w:val="22"/>
          <w:u w:val="single"/>
        </w:rPr>
        <w:t>Dávkovanie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i/>
          <w:kern w:val="2"/>
          <w:sz w:val="22"/>
          <w:szCs w:val="22"/>
        </w:rPr>
      </w:pPr>
      <w:r w:rsidRPr="00C92EAF">
        <w:rPr>
          <w:i/>
          <w:kern w:val="2"/>
          <w:sz w:val="22"/>
          <w:szCs w:val="22"/>
        </w:rPr>
        <w:t>Dospelí a dospievajúci vo veku 12 rokov a starší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>Odporúčaná dávka SPIRABEL</w:t>
      </w:r>
      <w:r w:rsidR="00785310" w:rsidRPr="00C92EAF">
        <w:rPr>
          <w:kern w:val="2"/>
          <w:sz w:val="22"/>
          <w:szCs w:val="22"/>
        </w:rPr>
        <w:t>U</w:t>
      </w:r>
      <w:r w:rsidRPr="00C92EAF">
        <w:rPr>
          <w:kern w:val="2"/>
          <w:sz w:val="22"/>
          <w:szCs w:val="22"/>
        </w:rPr>
        <w:t xml:space="preserve"> je 10 ml (5 mg) perorálneho roztoku raz denne.</w:t>
      </w:r>
    </w:p>
    <w:p w:rsidR="004A0BF0" w:rsidRPr="00C92EAF" w:rsidRDefault="004A0BF0" w:rsidP="004A0BF0">
      <w:pPr>
        <w:pStyle w:val="Bodytext"/>
        <w:spacing w:after="0" w:line="240" w:lineRule="auto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i/>
          <w:kern w:val="2"/>
          <w:sz w:val="22"/>
          <w:szCs w:val="22"/>
        </w:rPr>
      </w:pPr>
      <w:r w:rsidRPr="00C92EAF">
        <w:rPr>
          <w:i/>
          <w:kern w:val="2"/>
          <w:sz w:val="22"/>
          <w:szCs w:val="22"/>
        </w:rPr>
        <w:t>Pediatrická populácia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 xml:space="preserve">Predpisujúci </w:t>
      </w:r>
      <w:r w:rsidR="007B53DC">
        <w:rPr>
          <w:kern w:val="2"/>
          <w:sz w:val="22"/>
          <w:szCs w:val="22"/>
        </w:rPr>
        <w:t xml:space="preserve">lekár si </w:t>
      </w:r>
      <w:r w:rsidRPr="00C92EAF">
        <w:rPr>
          <w:kern w:val="2"/>
          <w:sz w:val="22"/>
          <w:szCs w:val="22"/>
        </w:rPr>
        <w:t>má byť vedomý toho, že väčšina prípadov nádchy u</w:t>
      </w:r>
      <w:r w:rsidR="00785310" w:rsidRPr="00C92EAF">
        <w:rPr>
          <w:kern w:val="2"/>
          <w:sz w:val="22"/>
          <w:szCs w:val="22"/>
        </w:rPr>
        <w:t xml:space="preserve"> detí </w:t>
      </w:r>
      <w:r w:rsidRPr="00C92EAF">
        <w:rPr>
          <w:kern w:val="2"/>
          <w:sz w:val="22"/>
          <w:szCs w:val="22"/>
        </w:rPr>
        <w:t xml:space="preserve">mladších ako 2 roky je infekčného pôvodu (pozri časť 4.4) a nie sú údaje, podporujúce liečbu infekčnej </w:t>
      </w:r>
      <w:proofErr w:type="spellStart"/>
      <w:r w:rsidRPr="00C92EAF">
        <w:rPr>
          <w:kern w:val="2"/>
          <w:sz w:val="22"/>
          <w:szCs w:val="22"/>
        </w:rPr>
        <w:t>rinitídy</w:t>
      </w:r>
      <w:proofErr w:type="spellEnd"/>
      <w:r w:rsidRPr="00C92EAF">
        <w:rPr>
          <w:kern w:val="2"/>
          <w:sz w:val="22"/>
          <w:szCs w:val="22"/>
        </w:rPr>
        <w:t xml:space="preserve"> SPIRABEL</w:t>
      </w:r>
      <w:r w:rsidR="00785310" w:rsidRPr="00C92EAF">
        <w:rPr>
          <w:kern w:val="2"/>
          <w:sz w:val="22"/>
          <w:szCs w:val="22"/>
        </w:rPr>
        <w:t>OM</w:t>
      </w:r>
      <w:r w:rsidRPr="00C92EAF">
        <w:rPr>
          <w:kern w:val="2"/>
          <w:sz w:val="22"/>
          <w:szCs w:val="22"/>
        </w:rPr>
        <w:t>.</w:t>
      </w:r>
    </w:p>
    <w:p w:rsidR="004A0BF0" w:rsidRPr="00C92EAF" w:rsidRDefault="004A0BF0" w:rsidP="004A0BF0">
      <w:pPr>
        <w:pStyle w:val="Bodytext"/>
        <w:spacing w:after="0" w:line="240" w:lineRule="auto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>Deti vo veku od 1 do 5 rokov: 2,5 ml (1,25 mg) perorálneho roztoku SPIRABEL raz denne.</w:t>
      </w:r>
    </w:p>
    <w:p w:rsidR="004A0BF0" w:rsidRPr="00C92EAF" w:rsidRDefault="004A0BF0" w:rsidP="004A0BF0">
      <w:pPr>
        <w:pStyle w:val="Bodytext"/>
        <w:spacing w:after="0" w:line="240" w:lineRule="auto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>Deti vo veku od 6 do 11 rokov: 5 ml (2,5 mg) perorálneho roztoku SPIRABEL raz denne.</w:t>
      </w:r>
    </w:p>
    <w:p w:rsidR="004A0BF0" w:rsidRPr="00C92EAF" w:rsidRDefault="004A0BF0" w:rsidP="004A0BF0">
      <w:pPr>
        <w:pStyle w:val="Bodytext"/>
        <w:spacing w:after="0" w:line="240" w:lineRule="auto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>Bezpečnosť a účinnosť lieku SPIRABEL 0,5 mg/ml perorálny roztok u detí mladších ako 1 rok neboli stanovené. K dispozícii nie sú žiadne údaje.</w:t>
      </w:r>
    </w:p>
    <w:p w:rsidR="004A0BF0" w:rsidRPr="00C92EAF" w:rsidRDefault="004A0BF0" w:rsidP="004A0BF0">
      <w:pPr>
        <w:pStyle w:val="Bodytext"/>
        <w:spacing w:after="0" w:line="240" w:lineRule="auto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 xml:space="preserve">Skúsenosti s používaním </w:t>
      </w:r>
      <w:proofErr w:type="spellStart"/>
      <w:r w:rsidRPr="00C92EAF">
        <w:rPr>
          <w:kern w:val="2"/>
          <w:sz w:val="22"/>
          <w:szCs w:val="22"/>
        </w:rPr>
        <w:t>desloratadínu</w:t>
      </w:r>
      <w:proofErr w:type="spellEnd"/>
      <w:r w:rsidRPr="00C92EAF">
        <w:rPr>
          <w:kern w:val="2"/>
          <w:sz w:val="22"/>
          <w:szCs w:val="22"/>
        </w:rPr>
        <w:t xml:space="preserve"> </w:t>
      </w:r>
      <w:r w:rsidR="00785310" w:rsidRPr="00C92EAF">
        <w:rPr>
          <w:kern w:val="2"/>
          <w:sz w:val="22"/>
          <w:szCs w:val="22"/>
        </w:rPr>
        <w:t xml:space="preserve">u </w:t>
      </w:r>
      <w:r w:rsidRPr="00C92EAF">
        <w:rPr>
          <w:kern w:val="2"/>
          <w:sz w:val="22"/>
          <w:szCs w:val="22"/>
        </w:rPr>
        <w:t>detí vo veku 1 až 11 rokov a u dospievajúcich vo veku 12 až 17 rokov, získané z klinických skúšaní účinnosti, sú obmedzené (pozri časti 4.8 a 5.1).</w:t>
      </w:r>
    </w:p>
    <w:p w:rsidR="003900FF" w:rsidRPr="00C92EAF" w:rsidRDefault="003900FF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proofErr w:type="spellStart"/>
      <w:r w:rsidRPr="00C92EAF">
        <w:rPr>
          <w:kern w:val="2"/>
          <w:sz w:val="22"/>
          <w:szCs w:val="22"/>
        </w:rPr>
        <w:lastRenderedPageBreak/>
        <w:t>Intermitentná</w:t>
      </w:r>
      <w:proofErr w:type="spellEnd"/>
      <w:r w:rsidRPr="00C92EAF">
        <w:rPr>
          <w:kern w:val="2"/>
          <w:sz w:val="22"/>
          <w:szCs w:val="22"/>
        </w:rPr>
        <w:t xml:space="preserve"> alergická </w:t>
      </w:r>
      <w:proofErr w:type="spellStart"/>
      <w:r w:rsidRPr="00C92EAF">
        <w:rPr>
          <w:kern w:val="2"/>
          <w:sz w:val="22"/>
          <w:szCs w:val="22"/>
        </w:rPr>
        <w:t>rinitída</w:t>
      </w:r>
      <w:proofErr w:type="spellEnd"/>
      <w:r w:rsidRPr="00C92EAF">
        <w:rPr>
          <w:kern w:val="2"/>
          <w:sz w:val="22"/>
          <w:szCs w:val="22"/>
        </w:rPr>
        <w:t xml:space="preserve"> (výskyt príznakov menej ako 4 dni v týždni alebo kratšie ako 4 týždne) sa má liečiť podľa zhodnotenia anamnézy pacientovho ochorenia. Liečbu možno prerušiť po tom, ako príznaky ustúpia, a začať znovu po ich opätovnom objavení sa.</w:t>
      </w:r>
    </w:p>
    <w:p w:rsidR="00840BBE" w:rsidRPr="00C92EAF" w:rsidRDefault="004A0BF0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  <w:r w:rsidRPr="00C92EAF">
        <w:rPr>
          <w:kern w:val="2"/>
          <w:sz w:val="22"/>
          <w:szCs w:val="22"/>
        </w:rPr>
        <w:t xml:space="preserve">V prípade perzistujúcej alergickej </w:t>
      </w:r>
      <w:proofErr w:type="spellStart"/>
      <w:r w:rsidRPr="00C92EAF">
        <w:rPr>
          <w:kern w:val="2"/>
          <w:sz w:val="22"/>
          <w:szCs w:val="22"/>
        </w:rPr>
        <w:t>rinitídy</w:t>
      </w:r>
      <w:proofErr w:type="spellEnd"/>
      <w:r w:rsidRPr="00C92EAF">
        <w:rPr>
          <w:kern w:val="2"/>
          <w:sz w:val="22"/>
          <w:szCs w:val="22"/>
        </w:rPr>
        <w:t xml:space="preserve"> (prítomnosť príznakov 4 alebo viacej dní v týždni alebo dlhšie ako 4 týždne) možno pacientovi navrhnúť pokračujúcu liečbu počas obdobia expozície alergénu.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</w:p>
    <w:p w:rsidR="00840BBE" w:rsidRPr="00C92EAF" w:rsidRDefault="00840BBE" w:rsidP="004A0BF0">
      <w:pPr>
        <w:pStyle w:val="Bodytext"/>
        <w:spacing w:after="0" w:line="240" w:lineRule="auto"/>
        <w:ind w:left="0"/>
        <w:rPr>
          <w:iCs/>
          <w:kern w:val="2"/>
          <w:sz w:val="22"/>
          <w:szCs w:val="22"/>
          <w:u w:val="single"/>
        </w:rPr>
      </w:pPr>
      <w:r w:rsidRPr="00C92EAF">
        <w:rPr>
          <w:iCs/>
          <w:kern w:val="2"/>
          <w:sz w:val="22"/>
          <w:szCs w:val="22"/>
          <w:u w:val="single"/>
        </w:rPr>
        <w:t xml:space="preserve">Spôsob podávania </w:t>
      </w:r>
    </w:p>
    <w:p w:rsidR="00840BBE" w:rsidRPr="00C92EAF" w:rsidRDefault="00840BBE" w:rsidP="004A0BF0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  <w:r w:rsidRPr="00C92EAF">
        <w:rPr>
          <w:iCs/>
          <w:kern w:val="2"/>
          <w:sz w:val="22"/>
          <w:szCs w:val="22"/>
        </w:rPr>
        <w:t>Perorálne použitie.</w:t>
      </w:r>
    </w:p>
    <w:p w:rsidR="00840BBE" w:rsidRPr="00C92EAF" w:rsidRDefault="00840BBE" w:rsidP="004A0BF0">
      <w:pPr>
        <w:pStyle w:val="Bodytext"/>
        <w:spacing w:after="0" w:line="240" w:lineRule="auto"/>
        <w:ind w:left="0"/>
        <w:rPr>
          <w:iCs/>
          <w:kern w:val="2"/>
          <w:sz w:val="22"/>
          <w:szCs w:val="22"/>
        </w:rPr>
      </w:pPr>
      <w:r w:rsidRPr="00C92EAF">
        <w:rPr>
          <w:iCs/>
          <w:kern w:val="2"/>
          <w:sz w:val="22"/>
          <w:szCs w:val="22"/>
        </w:rPr>
        <w:t>Dávka sa môže užiť s jedlom alebo bez jedla.</w:t>
      </w:r>
    </w:p>
    <w:p w:rsidR="00840BBE" w:rsidRPr="00C92EAF" w:rsidRDefault="00840BBE" w:rsidP="004A0BF0">
      <w:pPr>
        <w:pStyle w:val="Bodytext"/>
        <w:spacing w:after="0" w:line="240" w:lineRule="auto"/>
        <w:ind w:left="0"/>
        <w:rPr>
          <w:kern w:val="2"/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4.3</w:t>
      </w:r>
      <w:r w:rsidRPr="00C5188B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A00A4" w:rsidRPr="00C92EAF" w:rsidRDefault="005A00A4" w:rsidP="004A0BF0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Precitlivenosť na </w:t>
      </w:r>
      <w:r w:rsidR="003900FF" w:rsidRPr="00C92EAF">
        <w:rPr>
          <w:sz w:val="22"/>
          <w:szCs w:val="22"/>
        </w:rPr>
        <w:t>liečivo</w:t>
      </w:r>
      <w:r w:rsidR="00062F67" w:rsidRPr="00C92EAF">
        <w:rPr>
          <w:sz w:val="22"/>
          <w:szCs w:val="22"/>
        </w:rPr>
        <w:t xml:space="preserve"> </w:t>
      </w:r>
      <w:r w:rsidRPr="00C92EAF">
        <w:rPr>
          <w:sz w:val="22"/>
          <w:szCs w:val="22"/>
        </w:rPr>
        <w:t>alebo na ktorúkoľvek z pomocných látok uvedených v časti 6.1.</w:t>
      </w:r>
      <w:r w:rsidR="00690F8B" w:rsidRPr="00C92EAF">
        <w:rPr>
          <w:sz w:val="22"/>
          <w:szCs w:val="22"/>
        </w:rPr>
        <w:t xml:space="preserve"> alebo na </w:t>
      </w:r>
      <w:proofErr w:type="spellStart"/>
      <w:r w:rsidR="00690F8B" w:rsidRPr="00C92EAF">
        <w:rPr>
          <w:sz w:val="22"/>
          <w:szCs w:val="22"/>
        </w:rPr>
        <w:t>loratadín</w:t>
      </w:r>
      <w:proofErr w:type="spellEnd"/>
      <w:r w:rsidR="0045774B" w:rsidRPr="00C92EAF">
        <w:rPr>
          <w:sz w:val="22"/>
          <w:szCs w:val="22"/>
        </w:rPr>
        <w:t>.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 </w:t>
      </w: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4.4</w:t>
      </w:r>
      <w:r w:rsidRPr="00C5188B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8E5D79" w:rsidRPr="00C92EAF" w:rsidRDefault="008E5D79" w:rsidP="008E5D79">
      <w:pPr>
        <w:pStyle w:val="EUNormal"/>
      </w:pPr>
      <w:proofErr w:type="spellStart"/>
      <w:r w:rsidRPr="00C5188B">
        <w:rPr>
          <w:szCs w:val="22"/>
        </w:rPr>
        <w:t>Desloratadín</w:t>
      </w:r>
      <w:proofErr w:type="spellEnd"/>
      <w:r w:rsidRPr="00C5188B">
        <w:rPr>
          <w:szCs w:val="22"/>
        </w:rPr>
        <w:t xml:space="preserve"> sa má podávať s opatrnosťou u pacientov so zdravotnou alebo rodinnou anamnézou záchvatov kŕčov a predovšetkým u malých detí, ktoré sú náchylnejšie na výskyt nových záchvatov kŕčov počas liečby </w:t>
      </w:r>
      <w:proofErr w:type="spellStart"/>
      <w:r w:rsidRPr="00C5188B">
        <w:rPr>
          <w:szCs w:val="22"/>
        </w:rPr>
        <w:t>desloratadínom</w:t>
      </w:r>
      <w:proofErr w:type="spellEnd"/>
      <w:r w:rsidRPr="00C5188B">
        <w:rPr>
          <w:szCs w:val="22"/>
        </w:rPr>
        <w:t xml:space="preserve">. U pacientov, u ktorých sa počas liečby vyskytne záchvat kŕčov, môžu zdravotnícki pracovníci zvážiť ukončenie liečby </w:t>
      </w:r>
      <w:proofErr w:type="spellStart"/>
      <w:r w:rsidRPr="00C5188B">
        <w:rPr>
          <w:szCs w:val="22"/>
        </w:rPr>
        <w:t>desloratadínom</w:t>
      </w:r>
      <w:proofErr w:type="spellEnd"/>
      <w:r w:rsidRPr="00C5188B">
        <w:rPr>
          <w:szCs w:val="22"/>
        </w:rPr>
        <w:t>.</w:t>
      </w:r>
    </w:p>
    <w:p w:rsidR="008E5D79" w:rsidRPr="00C92EAF" w:rsidRDefault="008E5D79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U detí mladších ako 2 roky je obzvlášť ťažké rozlíšiť diagnózu alergickej </w:t>
      </w:r>
      <w:proofErr w:type="spellStart"/>
      <w:r w:rsidRPr="00C92EAF">
        <w:rPr>
          <w:sz w:val="22"/>
          <w:szCs w:val="22"/>
        </w:rPr>
        <w:t>rinitídy</w:t>
      </w:r>
      <w:proofErr w:type="spellEnd"/>
      <w:r w:rsidRPr="00C92EAF">
        <w:rPr>
          <w:sz w:val="22"/>
          <w:szCs w:val="22"/>
        </w:rPr>
        <w:t xml:space="preserve"> od iných foriem </w:t>
      </w:r>
      <w:proofErr w:type="spellStart"/>
      <w:r w:rsidRPr="00C92EAF">
        <w:rPr>
          <w:sz w:val="22"/>
          <w:szCs w:val="22"/>
        </w:rPr>
        <w:t>rinitídy</w:t>
      </w:r>
      <w:proofErr w:type="spellEnd"/>
      <w:r w:rsidRPr="00C92EAF">
        <w:rPr>
          <w:sz w:val="22"/>
          <w:szCs w:val="22"/>
        </w:rPr>
        <w:t>. Má sa zvážiť neprítomnosť infekcie horných ciest dýchacích alebo štrukturálnych abnormalít ako aj anamnéza pacienta, fyzikálne vyšetrenia a príslušné laboratórne a kožné testy.</w:t>
      </w:r>
    </w:p>
    <w:p w:rsidR="004A0BF0" w:rsidRPr="00C92EAF" w:rsidRDefault="004A0BF0" w:rsidP="004A0BF0">
      <w:pPr>
        <w:pStyle w:val="Bodytext"/>
        <w:spacing w:after="0" w:line="240" w:lineRule="auto"/>
        <w:rPr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Približne 6 % dospelých a detí vo veku 2 až 11 rokov sú fenotypy, ktoré slabo metabolizujú </w:t>
      </w:r>
      <w:proofErr w:type="spellStart"/>
      <w:r w:rsidRPr="00C92EAF">
        <w:rPr>
          <w:sz w:val="22"/>
          <w:szCs w:val="22"/>
        </w:rPr>
        <w:t>desloratadín</w:t>
      </w:r>
      <w:proofErr w:type="spellEnd"/>
      <w:r w:rsidRPr="00C92EAF">
        <w:rPr>
          <w:sz w:val="22"/>
          <w:szCs w:val="22"/>
        </w:rPr>
        <w:t xml:space="preserve"> a vykazujú vyššiu expozíciu (pozri časť 5.2). Bezpečnosť </w:t>
      </w:r>
      <w:proofErr w:type="spellStart"/>
      <w:r w:rsidRPr="00C92EAF">
        <w:rPr>
          <w:sz w:val="22"/>
          <w:szCs w:val="22"/>
        </w:rPr>
        <w:t>desloratadínu</w:t>
      </w:r>
      <w:proofErr w:type="spellEnd"/>
      <w:r w:rsidRPr="00C92EAF">
        <w:rPr>
          <w:sz w:val="22"/>
          <w:szCs w:val="22"/>
        </w:rPr>
        <w:t xml:space="preserve"> je u detí vo veku 2 až 11 rokov, ktoré slabo metabolizujú, rovnaká ako u detí, ktoré </w:t>
      </w:r>
      <w:proofErr w:type="spellStart"/>
      <w:r w:rsidRPr="00C92EAF">
        <w:rPr>
          <w:sz w:val="22"/>
          <w:szCs w:val="22"/>
        </w:rPr>
        <w:t>desloratadín</w:t>
      </w:r>
      <w:proofErr w:type="spellEnd"/>
      <w:r w:rsidRPr="00C92EAF">
        <w:rPr>
          <w:sz w:val="22"/>
          <w:szCs w:val="22"/>
        </w:rPr>
        <w:t xml:space="preserve"> metabolizujú normálne. Účinky </w:t>
      </w:r>
      <w:proofErr w:type="spellStart"/>
      <w:r w:rsidRPr="00C92EAF">
        <w:rPr>
          <w:sz w:val="22"/>
          <w:szCs w:val="22"/>
        </w:rPr>
        <w:t>desloratadínu</w:t>
      </w:r>
      <w:proofErr w:type="spellEnd"/>
      <w:r w:rsidRPr="00C92EAF">
        <w:rPr>
          <w:sz w:val="22"/>
          <w:szCs w:val="22"/>
        </w:rPr>
        <w:t xml:space="preserve"> u slabo metabolizujúcich detí mladších ako 2 roky neboli skúmané.</w:t>
      </w:r>
    </w:p>
    <w:p w:rsidR="004A0BF0" w:rsidRPr="00C92EAF" w:rsidRDefault="004A0BF0" w:rsidP="004A0BF0">
      <w:pPr>
        <w:pStyle w:val="Bodytext"/>
        <w:spacing w:after="0" w:line="240" w:lineRule="auto"/>
        <w:rPr>
          <w:sz w:val="22"/>
          <w:szCs w:val="22"/>
        </w:rPr>
      </w:pP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V prípade ťažkej </w:t>
      </w:r>
      <w:proofErr w:type="spellStart"/>
      <w:r w:rsidRPr="00C92EAF">
        <w:rPr>
          <w:sz w:val="22"/>
          <w:szCs w:val="22"/>
        </w:rPr>
        <w:t>renálnej</w:t>
      </w:r>
      <w:proofErr w:type="spellEnd"/>
      <w:r w:rsidRPr="00C92EAF">
        <w:rPr>
          <w:sz w:val="22"/>
          <w:szCs w:val="22"/>
        </w:rPr>
        <w:t xml:space="preserve"> </w:t>
      </w:r>
      <w:proofErr w:type="spellStart"/>
      <w:r w:rsidRPr="00C92EAF">
        <w:rPr>
          <w:sz w:val="22"/>
          <w:szCs w:val="22"/>
        </w:rPr>
        <w:t>insuficiencie</w:t>
      </w:r>
      <w:proofErr w:type="spellEnd"/>
      <w:r w:rsidRPr="00C92EAF">
        <w:rPr>
          <w:sz w:val="22"/>
          <w:szCs w:val="22"/>
        </w:rPr>
        <w:t xml:space="preserve"> sa musí SPIRABEL užívať s opatrnosťou (pozri časť 5.2).</w:t>
      </w:r>
    </w:p>
    <w:p w:rsidR="004A0BF0" w:rsidRPr="00C92EAF" w:rsidRDefault="004A0BF0" w:rsidP="004A0BF0">
      <w:pPr>
        <w:pStyle w:val="Bodytext"/>
        <w:spacing w:after="0" w:line="240" w:lineRule="auto"/>
        <w:rPr>
          <w:sz w:val="22"/>
          <w:szCs w:val="22"/>
        </w:rPr>
      </w:pPr>
    </w:p>
    <w:p w:rsidR="005A00A4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Tento liek obsahuje </w:t>
      </w:r>
      <w:proofErr w:type="spellStart"/>
      <w:r w:rsidRPr="00C92EAF">
        <w:rPr>
          <w:sz w:val="22"/>
          <w:szCs w:val="22"/>
        </w:rPr>
        <w:t>sorbitol</w:t>
      </w:r>
      <w:proofErr w:type="spellEnd"/>
      <w:r w:rsidRPr="00C92EAF">
        <w:rPr>
          <w:sz w:val="22"/>
          <w:szCs w:val="22"/>
        </w:rPr>
        <w:t xml:space="preserve">; preto pacienti so zriedkavými dedičnými problémami intolerancie fruktózy, </w:t>
      </w:r>
      <w:proofErr w:type="spellStart"/>
      <w:r w:rsidRPr="00C92EAF">
        <w:rPr>
          <w:sz w:val="22"/>
          <w:szCs w:val="22"/>
        </w:rPr>
        <w:t>glukózo-galaktózovej</w:t>
      </w:r>
      <w:proofErr w:type="spellEnd"/>
      <w:r w:rsidRPr="00C92EAF">
        <w:rPr>
          <w:sz w:val="22"/>
          <w:szCs w:val="22"/>
        </w:rPr>
        <w:t xml:space="preserve"> </w:t>
      </w:r>
      <w:proofErr w:type="spellStart"/>
      <w:r w:rsidRPr="00C92EAF">
        <w:rPr>
          <w:sz w:val="22"/>
          <w:szCs w:val="22"/>
        </w:rPr>
        <w:t>malabsorpcie</w:t>
      </w:r>
      <w:proofErr w:type="spellEnd"/>
      <w:r w:rsidRPr="00C92EAF">
        <w:rPr>
          <w:sz w:val="22"/>
          <w:szCs w:val="22"/>
        </w:rPr>
        <w:t xml:space="preserve"> alebo deficitu </w:t>
      </w:r>
      <w:proofErr w:type="spellStart"/>
      <w:r w:rsidRPr="00C92EAF">
        <w:rPr>
          <w:sz w:val="22"/>
          <w:szCs w:val="22"/>
        </w:rPr>
        <w:t>sacharázy</w:t>
      </w:r>
      <w:proofErr w:type="spellEnd"/>
      <w:r w:rsidRPr="00C92EAF">
        <w:rPr>
          <w:sz w:val="22"/>
          <w:szCs w:val="22"/>
        </w:rPr>
        <w:t xml:space="preserve"> a </w:t>
      </w:r>
      <w:proofErr w:type="spellStart"/>
      <w:r w:rsidRPr="00C92EAF">
        <w:rPr>
          <w:sz w:val="22"/>
          <w:szCs w:val="22"/>
        </w:rPr>
        <w:t>izomaltázy</w:t>
      </w:r>
      <w:proofErr w:type="spellEnd"/>
      <w:r w:rsidRPr="00C92EAF">
        <w:rPr>
          <w:sz w:val="22"/>
          <w:szCs w:val="22"/>
        </w:rPr>
        <w:t xml:space="preserve"> nesmú užívať tento liek.</w:t>
      </w:r>
    </w:p>
    <w:p w:rsidR="004A0BF0" w:rsidRPr="00C92EAF" w:rsidRDefault="004A0BF0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4.5</w:t>
      </w:r>
      <w:r w:rsidRPr="00C5188B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690F8B" w:rsidRPr="00C92EAF" w:rsidRDefault="00690F8B" w:rsidP="004A0BF0">
      <w:pPr>
        <w:rPr>
          <w:sz w:val="22"/>
          <w:szCs w:val="22"/>
        </w:rPr>
      </w:pPr>
      <w:r w:rsidRPr="00C92EAF">
        <w:rPr>
          <w:sz w:val="22"/>
          <w:szCs w:val="22"/>
        </w:rPr>
        <w:t xml:space="preserve">V klinických skúšaniach </w:t>
      </w:r>
      <w:r w:rsidR="00785310" w:rsidRPr="00C92EAF">
        <w:rPr>
          <w:sz w:val="22"/>
          <w:szCs w:val="22"/>
        </w:rPr>
        <w:t xml:space="preserve">s </w:t>
      </w:r>
      <w:r w:rsidRPr="00C92EAF">
        <w:rPr>
          <w:sz w:val="22"/>
          <w:szCs w:val="22"/>
        </w:rPr>
        <w:t>tablet</w:t>
      </w:r>
      <w:r w:rsidR="00785310" w:rsidRPr="00C92EAF">
        <w:rPr>
          <w:sz w:val="22"/>
          <w:szCs w:val="22"/>
        </w:rPr>
        <w:t>ami</w:t>
      </w:r>
      <w:r w:rsidRPr="00C92EAF">
        <w:rPr>
          <w:sz w:val="22"/>
          <w:szCs w:val="22"/>
        </w:rPr>
        <w:t xml:space="preserve"> </w:t>
      </w:r>
      <w:proofErr w:type="spellStart"/>
      <w:r w:rsidRPr="00C92EAF">
        <w:rPr>
          <w:sz w:val="22"/>
          <w:szCs w:val="22"/>
        </w:rPr>
        <w:t>desloratadínu</w:t>
      </w:r>
      <w:proofErr w:type="spellEnd"/>
      <w:r w:rsidRPr="00C92EAF">
        <w:rPr>
          <w:sz w:val="22"/>
          <w:szCs w:val="22"/>
        </w:rPr>
        <w:t xml:space="preserve">, v ktorých sa súbežne podával </w:t>
      </w:r>
      <w:proofErr w:type="spellStart"/>
      <w:r w:rsidRPr="00C92EAF">
        <w:rPr>
          <w:sz w:val="22"/>
          <w:szCs w:val="22"/>
        </w:rPr>
        <w:t>erytromycín</w:t>
      </w:r>
      <w:proofErr w:type="spellEnd"/>
      <w:r w:rsidRPr="00C92EAF">
        <w:rPr>
          <w:sz w:val="22"/>
          <w:szCs w:val="22"/>
        </w:rPr>
        <w:t xml:space="preserve"> alebo </w:t>
      </w:r>
      <w:proofErr w:type="spellStart"/>
      <w:r w:rsidRPr="00C92EAF">
        <w:rPr>
          <w:sz w:val="22"/>
          <w:szCs w:val="22"/>
        </w:rPr>
        <w:t>ketokonazol</w:t>
      </w:r>
      <w:proofErr w:type="spellEnd"/>
      <w:r w:rsidRPr="00C92EAF">
        <w:rPr>
          <w:sz w:val="22"/>
          <w:szCs w:val="22"/>
        </w:rPr>
        <w:t>, neboli pozorované žiadne klinicky relevantné interakcie (pozri časť 5.1).</w:t>
      </w:r>
    </w:p>
    <w:p w:rsidR="00690F8B" w:rsidRPr="00C92EAF" w:rsidRDefault="00690F8B" w:rsidP="004A0BF0">
      <w:pPr>
        <w:rPr>
          <w:sz w:val="22"/>
          <w:szCs w:val="22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Pediatrická populácia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Interakčné štúdie sa uskutočnili len u dospelých.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Súbežné užívanie tabliet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a alkoholu v klinickom farmakologickom skúšaní nezosilnilo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účinky alkoholu, ktoré znižujú výkonnosť (pozri časť 5.1). Počas užívania po uvedení na trh sa však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hlásili prípady neznášanlivosti alkoholu a intoxikácie alkoholom. V prípade súbežného požívania</w:t>
      </w:r>
    </w:p>
    <w:p w:rsidR="005A00A4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alkoholu sa preto odporúča opatrnosť.</w:t>
      </w:r>
    </w:p>
    <w:p w:rsidR="003900FF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4.6</w:t>
      </w:r>
      <w:r w:rsidRPr="00C5188B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C5188B">
        <w:rPr>
          <w:rFonts w:ascii="Times New Roman" w:hAnsi="Times New Roman"/>
          <w:i w:val="0"/>
          <w:sz w:val="22"/>
          <w:szCs w:val="22"/>
        </w:rPr>
        <w:t>Fertilita</w:t>
      </w:r>
      <w:proofErr w:type="spellEnd"/>
      <w:r w:rsidRPr="00C5188B">
        <w:rPr>
          <w:rFonts w:ascii="Times New Roman" w:hAnsi="Times New Roman"/>
          <w:i w:val="0"/>
          <w:sz w:val="22"/>
          <w:szCs w:val="22"/>
        </w:rPr>
        <w:t>, gravidita a laktácia</w:t>
      </w:r>
    </w:p>
    <w:p w:rsidR="00AA126E" w:rsidRPr="00C92EAF" w:rsidRDefault="00AA126E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AA126E" w:rsidP="004A0BF0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proofErr w:type="spellStart"/>
      <w:r w:rsidRPr="00C92EAF">
        <w:rPr>
          <w:sz w:val="22"/>
          <w:szCs w:val="22"/>
          <w:u w:val="single"/>
        </w:rPr>
        <w:t>Fertilita</w:t>
      </w:r>
      <w:proofErr w:type="spellEnd"/>
    </w:p>
    <w:p w:rsidR="00BD3859" w:rsidRPr="00C92EAF" w:rsidRDefault="00BD3859" w:rsidP="004A0BF0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C92EAF">
        <w:rPr>
          <w:sz w:val="22"/>
          <w:szCs w:val="22"/>
        </w:rPr>
        <w:t>K</w:t>
      </w:r>
      <w:r w:rsidRPr="00C92EAF">
        <w:rPr>
          <w:spacing w:val="1"/>
          <w:sz w:val="22"/>
          <w:szCs w:val="22"/>
        </w:rPr>
        <w:t xml:space="preserve"> </w:t>
      </w:r>
      <w:r w:rsidRPr="00C92EAF">
        <w:rPr>
          <w:spacing w:val="-1"/>
          <w:sz w:val="22"/>
          <w:szCs w:val="22"/>
        </w:rPr>
        <w:t>d</w:t>
      </w:r>
      <w:r w:rsidRPr="00C92EAF">
        <w:rPr>
          <w:sz w:val="22"/>
          <w:szCs w:val="22"/>
        </w:rPr>
        <w:t>ispo</w:t>
      </w:r>
      <w:r w:rsidRPr="00C92EAF">
        <w:rPr>
          <w:spacing w:val="-1"/>
          <w:sz w:val="22"/>
          <w:szCs w:val="22"/>
        </w:rPr>
        <w:t>z</w:t>
      </w:r>
      <w:r w:rsidRPr="00C92EAF">
        <w:rPr>
          <w:sz w:val="22"/>
          <w:szCs w:val="22"/>
        </w:rPr>
        <w:t>í</w:t>
      </w:r>
      <w:r w:rsidRPr="00C92EAF">
        <w:rPr>
          <w:spacing w:val="-1"/>
          <w:sz w:val="22"/>
          <w:szCs w:val="22"/>
        </w:rPr>
        <w:t>c</w:t>
      </w:r>
      <w:r w:rsidRPr="00C92EAF">
        <w:rPr>
          <w:sz w:val="22"/>
          <w:szCs w:val="22"/>
        </w:rPr>
        <w:t>ii n</w:t>
      </w:r>
      <w:r w:rsidRPr="00C92EAF">
        <w:rPr>
          <w:spacing w:val="-1"/>
          <w:sz w:val="22"/>
          <w:szCs w:val="22"/>
        </w:rPr>
        <w:t>i</w:t>
      </w:r>
      <w:r w:rsidRPr="00C92EAF">
        <w:rPr>
          <w:sz w:val="22"/>
          <w:szCs w:val="22"/>
        </w:rPr>
        <w:t xml:space="preserve">e sú </w:t>
      </w:r>
      <w:r w:rsidRPr="00C92EAF">
        <w:rPr>
          <w:spacing w:val="-1"/>
          <w:sz w:val="22"/>
          <w:szCs w:val="22"/>
        </w:rPr>
        <w:t>ž</w:t>
      </w:r>
      <w:r w:rsidRPr="00C92EAF">
        <w:rPr>
          <w:sz w:val="22"/>
          <w:szCs w:val="22"/>
        </w:rPr>
        <w:t>i</w:t>
      </w:r>
      <w:r w:rsidRPr="00C92EAF">
        <w:rPr>
          <w:spacing w:val="1"/>
          <w:sz w:val="22"/>
          <w:szCs w:val="22"/>
        </w:rPr>
        <w:t>a</w:t>
      </w:r>
      <w:r w:rsidRPr="00C92EAF">
        <w:rPr>
          <w:spacing w:val="-2"/>
          <w:sz w:val="22"/>
          <w:szCs w:val="22"/>
        </w:rPr>
        <w:t>d</w:t>
      </w:r>
      <w:r w:rsidRPr="00C92EAF">
        <w:rPr>
          <w:sz w:val="22"/>
          <w:szCs w:val="22"/>
        </w:rPr>
        <w:t xml:space="preserve">ne </w:t>
      </w:r>
      <w:r w:rsidRPr="00C92EAF">
        <w:rPr>
          <w:spacing w:val="-1"/>
          <w:sz w:val="22"/>
          <w:szCs w:val="22"/>
        </w:rPr>
        <w:t>ú</w:t>
      </w:r>
      <w:r w:rsidRPr="00C92EAF">
        <w:rPr>
          <w:sz w:val="22"/>
          <w:szCs w:val="22"/>
        </w:rPr>
        <w:t>d</w:t>
      </w:r>
      <w:r w:rsidRPr="00C92EAF">
        <w:rPr>
          <w:spacing w:val="-2"/>
          <w:sz w:val="22"/>
          <w:szCs w:val="22"/>
        </w:rPr>
        <w:t>a</w:t>
      </w:r>
      <w:r w:rsidRPr="00C92EAF">
        <w:rPr>
          <w:spacing w:val="2"/>
          <w:sz w:val="22"/>
          <w:szCs w:val="22"/>
        </w:rPr>
        <w:t>j</w:t>
      </w:r>
      <w:r w:rsidRPr="00C92EAF">
        <w:rPr>
          <w:sz w:val="22"/>
          <w:szCs w:val="22"/>
        </w:rPr>
        <w:t>e</w:t>
      </w:r>
      <w:r w:rsidRPr="00C92EAF">
        <w:rPr>
          <w:spacing w:val="-1"/>
          <w:sz w:val="22"/>
          <w:szCs w:val="22"/>
        </w:rPr>
        <w:t xml:space="preserve"> </w:t>
      </w:r>
      <w:r w:rsidRPr="00C92EAF">
        <w:rPr>
          <w:sz w:val="22"/>
          <w:szCs w:val="22"/>
        </w:rPr>
        <w:t xml:space="preserve">o </w:t>
      </w:r>
      <w:proofErr w:type="spellStart"/>
      <w:r w:rsidRPr="00C92EAF">
        <w:rPr>
          <w:sz w:val="22"/>
          <w:szCs w:val="22"/>
        </w:rPr>
        <w:t>f</w:t>
      </w:r>
      <w:r w:rsidRPr="00C92EAF">
        <w:rPr>
          <w:spacing w:val="-1"/>
          <w:sz w:val="22"/>
          <w:szCs w:val="22"/>
        </w:rPr>
        <w:t>e</w:t>
      </w:r>
      <w:r w:rsidRPr="00C92EAF">
        <w:rPr>
          <w:sz w:val="22"/>
          <w:szCs w:val="22"/>
        </w:rPr>
        <w:t>rtil</w:t>
      </w:r>
      <w:r w:rsidRPr="00C92EAF">
        <w:rPr>
          <w:spacing w:val="-2"/>
          <w:sz w:val="22"/>
          <w:szCs w:val="22"/>
        </w:rPr>
        <w:t>i</w:t>
      </w:r>
      <w:r w:rsidRPr="00C92EAF">
        <w:rPr>
          <w:sz w:val="22"/>
          <w:szCs w:val="22"/>
        </w:rPr>
        <w:t>te</w:t>
      </w:r>
      <w:proofErr w:type="spellEnd"/>
      <w:r w:rsidRPr="00C92EAF">
        <w:rPr>
          <w:spacing w:val="1"/>
          <w:sz w:val="22"/>
          <w:szCs w:val="22"/>
        </w:rPr>
        <w:t xml:space="preserve"> </w:t>
      </w:r>
      <w:r w:rsidRPr="00C92EAF">
        <w:rPr>
          <w:spacing w:val="-3"/>
          <w:sz w:val="22"/>
          <w:szCs w:val="22"/>
        </w:rPr>
        <w:t>m</w:t>
      </w:r>
      <w:r w:rsidRPr="00C92EAF">
        <w:rPr>
          <w:sz w:val="22"/>
          <w:szCs w:val="22"/>
        </w:rPr>
        <w:t>u</w:t>
      </w:r>
      <w:r w:rsidRPr="00C92EAF">
        <w:rPr>
          <w:spacing w:val="-2"/>
          <w:sz w:val="22"/>
          <w:szCs w:val="22"/>
        </w:rPr>
        <w:t>ž</w:t>
      </w:r>
      <w:r w:rsidRPr="00C92EAF">
        <w:rPr>
          <w:spacing w:val="2"/>
          <w:sz w:val="22"/>
          <w:szCs w:val="22"/>
        </w:rPr>
        <w:t>o</w:t>
      </w:r>
      <w:r w:rsidRPr="00C92EAF">
        <w:rPr>
          <w:sz w:val="22"/>
          <w:szCs w:val="22"/>
        </w:rPr>
        <w:t>v</w:t>
      </w:r>
      <w:r w:rsidRPr="00C92EAF">
        <w:rPr>
          <w:spacing w:val="-2"/>
          <w:sz w:val="22"/>
          <w:szCs w:val="22"/>
        </w:rPr>
        <w:t xml:space="preserve"> </w:t>
      </w:r>
      <w:r w:rsidRPr="00C92EAF">
        <w:rPr>
          <w:sz w:val="22"/>
          <w:szCs w:val="22"/>
        </w:rPr>
        <w:t xml:space="preserve">a </w:t>
      </w:r>
      <w:r w:rsidRPr="00C92EAF">
        <w:rPr>
          <w:spacing w:val="-2"/>
          <w:sz w:val="22"/>
          <w:szCs w:val="22"/>
        </w:rPr>
        <w:t>ž</w:t>
      </w:r>
      <w:r w:rsidRPr="00C92EAF">
        <w:rPr>
          <w:sz w:val="22"/>
          <w:szCs w:val="22"/>
        </w:rPr>
        <w:t>ien.</w:t>
      </w:r>
    </w:p>
    <w:p w:rsidR="005A00A4" w:rsidRPr="00C92EAF" w:rsidRDefault="005A00A4" w:rsidP="004A0BF0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C92EAF">
        <w:rPr>
          <w:sz w:val="22"/>
          <w:szCs w:val="22"/>
          <w:u w:val="single"/>
        </w:rPr>
        <w:lastRenderedPageBreak/>
        <w:t>Gravidita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Veľké množstvo údajov u gravidných žien (viac ako 1000 ukončených gravidít) nepoukazuje na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malformácie</w:t>
      </w:r>
      <w:proofErr w:type="spellEnd"/>
      <w:r w:rsidRPr="00C92EAF">
        <w:rPr>
          <w:rFonts w:eastAsiaTheme="minorHAnsi"/>
          <w:sz w:val="22"/>
          <w:szCs w:val="22"/>
        </w:rPr>
        <w:t xml:space="preserve"> ani </w:t>
      </w:r>
      <w:proofErr w:type="spellStart"/>
      <w:r w:rsidRPr="00C92EAF">
        <w:rPr>
          <w:rFonts w:eastAsiaTheme="minorHAnsi"/>
          <w:sz w:val="22"/>
          <w:szCs w:val="22"/>
        </w:rPr>
        <w:t>fetálnu</w:t>
      </w:r>
      <w:proofErr w:type="spellEnd"/>
      <w:r w:rsidRPr="00C92EAF">
        <w:rPr>
          <w:rFonts w:eastAsiaTheme="minorHAnsi"/>
          <w:sz w:val="22"/>
          <w:szCs w:val="22"/>
        </w:rPr>
        <w:t>/</w:t>
      </w:r>
      <w:proofErr w:type="spellStart"/>
      <w:r w:rsidRPr="00C92EAF">
        <w:rPr>
          <w:rFonts w:eastAsiaTheme="minorHAnsi"/>
          <w:sz w:val="22"/>
          <w:szCs w:val="22"/>
        </w:rPr>
        <w:t>neonatálnu</w:t>
      </w:r>
      <w:proofErr w:type="spellEnd"/>
      <w:r w:rsidRPr="00C92EAF">
        <w:rPr>
          <w:rFonts w:eastAsiaTheme="minorHAnsi"/>
          <w:sz w:val="22"/>
          <w:szCs w:val="22"/>
        </w:rPr>
        <w:t xml:space="preserve"> toxicitu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. Štúdie na zvieratách nepreukázali priame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alebo nepriame škodlivé účinky z hľadiska reprodukčnej toxicity (pozri časť 5.3). Ako preventívne</w:t>
      </w:r>
    </w:p>
    <w:p w:rsidR="005A00A4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opatrenie je vhodnejšie vyhnúť sa užívaniu SPIRABEL</w:t>
      </w:r>
      <w:r w:rsidR="00785310" w:rsidRPr="00C92EAF">
        <w:rPr>
          <w:rFonts w:eastAsiaTheme="minorHAnsi"/>
          <w:sz w:val="22"/>
          <w:szCs w:val="22"/>
        </w:rPr>
        <w:t>U</w:t>
      </w:r>
      <w:r w:rsidRPr="00C92EAF">
        <w:rPr>
          <w:rFonts w:eastAsiaTheme="minorHAnsi"/>
          <w:sz w:val="22"/>
          <w:szCs w:val="22"/>
        </w:rPr>
        <w:t xml:space="preserve"> počas gravidity.</w:t>
      </w:r>
    </w:p>
    <w:p w:rsidR="003900FF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7B5297" w:rsidRPr="00C92EAF" w:rsidRDefault="003900FF" w:rsidP="004A0BF0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C92EAF">
        <w:rPr>
          <w:sz w:val="22"/>
          <w:szCs w:val="22"/>
          <w:u w:val="single"/>
        </w:rPr>
        <w:t>Dojčenie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bol zistený u dojčených novorodencov/dojčiat liečených žien. Účinok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u dojčených novorodencov/dojčiat nie je známy. Rozhodnutie, či ukončiť dojčenie alebo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ukončiť/prerušiť liečbu SPIRABEL</w:t>
      </w:r>
      <w:r w:rsidR="00785310" w:rsidRPr="00C92EAF">
        <w:rPr>
          <w:rFonts w:eastAsiaTheme="minorHAnsi"/>
          <w:sz w:val="22"/>
          <w:szCs w:val="22"/>
        </w:rPr>
        <w:t>OM</w:t>
      </w:r>
      <w:r w:rsidRPr="00C92EAF">
        <w:rPr>
          <w:rFonts w:eastAsiaTheme="minorHAnsi"/>
          <w:sz w:val="22"/>
          <w:szCs w:val="22"/>
        </w:rPr>
        <w:t xml:space="preserve"> sa má urobiť po zvážení prínosu dojčenia pre dieťa a prínosu</w:t>
      </w:r>
    </w:p>
    <w:p w:rsidR="005A00A4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liečby pre ženu.</w:t>
      </w:r>
    </w:p>
    <w:p w:rsidR="003900FF" w:rsidRPr="00C92EAF" w:rsidRDefault="003900FF" w:rsidP="003900FF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4.7</w:t>
      </w:r>
      <w:r w:rsidRPr="00C5188B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Na základe klinických skúšaní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 nemá žiadny alebo má zanedbateľný vplyv na schopnosť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viesť vozidlá a obsluhovať stroje. Pacientov je potrebné informovať, že u väčšiny ľudí sa ospalosť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neobjaví. Napriek tomu, keďže existuje individuálna variabilita v odpovedi na všetky lieky, odporúča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sa, aby boli pacienti poučení, aby sa nevenovali činnostiam, ktoré vyžadujú psychickú pozornosť, ako</w:t>
      </w:r>
    </w:p>
    <w:p w:rsidR="00AA126E" w:rsidRPr="00C92EAF" w:rsidRDefault="003900FF" w:rsidP="003900FF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napr. vedenie vozidiel alebo obsluha strojov, pokým nezistia, ako reagujú na liek.</w:t>
      </w:r>
    </w:p>
    <w:p w:rsidR="003900FF" w:rsidRPr="00C92EAF" w:rsidRDefault="003900FF" w:rsidP="003900FF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4.8</w:t>
      </w:r>
      <w:r w:rsidRPr="00C5188B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A00A4" w:rsidRPr="00C92EAF" w:rsidRDefault="005A00A4" w:rsidP="004A0BF0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Súhrn bezpečnostného profilu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Pediatrická populácia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klinických skúšaniach v pediatrickej populácii sa sirupová forma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podávala celkovo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246 deťom vo veku od 6 mesiacov do 11 rokov. Celkový výskyt nežiaducich udalostí u detí od 2 do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11 rokov bol v skupine užívajúcej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a v skupine užívajúcej placebo podobný. U dojčiat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 batoliat vo veku 6 až 23 mesiacov boli oproti placebu najčastejšie navyše hlásené nežiaduce reakcie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hnačka (3,7 %), horúčka (2,3 %) a nespavosť (2,3 %). V dodatočnej štúdii u jedincov vo veku 6 až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11 rokov sa po podaní jednotlivej dávky 2,5 mg perorálneho roztoku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nepozorovali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žiadne nežiaduce účinky.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klinickom skúšaní, do ktorého bolo zaradených 578 dospievajúcich pacientov vo veku 12 až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17 rokov, bola najčastejšie hlásená nežiaduca udalosť bolesť hlavy; táto sa objavila u 5,9 % pacientov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liečených </w:t>
      </w: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a u 6,9 % pacientov, ktorí dostávali placebo.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Dospelí a dospievajúci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klinických skúšaniach u dospelých a dospievajúcich, v rade indikácií zahŕňajúcich alergickú </w:t>
      </w:r>
      <w:proofErr w:type="spellStart"/>
      <w:r w:rsidRPr="00C92EAF">
        <w:rPr>
          <w:rFonts w:eastAsiaTheme="minorHAnsi"/>
          <w:sz w:val="22"/>
          <w:szCs w:val="22"/>
        </w:rPr>
        <w:t>rinitídu</w:t>
      </w:r>
      <w:proofErr w:type="spellEnd"/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 chronickú </w:t>
      </w:r>
      <w:proofErr w:type="spellStart"/>
      <w:r w:rsidRPr="00C92EAF">
        <w:rPr>
          <w:rFonts w:eastAsiaTheme="minorHAnsi"/>
          <w:sz w:val="22"/>
          <w:szCs w:val="22"/>
        </w:rPr>
        <w:t>idiopatickú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urtikáriu</w:t>
      </w:r>
      <w:proofErr w:type="spellEnd"/>
      <w:r w:rsidRPr="00C92EAF">
        <w:rPr>
          <w:rFonts w:eastAsiaTheme="minorHAnsi"/>
          <w:sz w:val="22"/>
          <w:szCs w:val="22"/>
        </w:rPr>
        <w:t xml:space="preserve">, bol počet pacientov, ktorí užívali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v odporučenej dávke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 u ktorých boli hlásené nežiaduce účinky, o 3 % väčší ako počet pacientov, ktorí užívali placebo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 boli u nich hlásené nežiaduce účinky. Z nežiaducich reakcií, hlásených navyše oproti placebu, boli</w:t>
      </w:r>
    </w:p>
    <w:p w:rsidR="004A0BF0" w:rsidRPr="00C92EAF" w:rsidRDefault="003900FF" w:rsidP="003900FF">
      <w:pPr>
        <w:rPr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</w:rPr>
        <w:t>najčastejšie únava (1,2 %), sucho v ústach (0,8 %) a bolesť hlavy (0,6 %).</w:t>
      </w:r>
    </w:p>
    <w:p w:rsidR="003900FF" w:rsidRDefault="003900FF" w:rsidP="004A0BF0">
      <w:pPr>
        <w:rPr>
          <w:sz w:val="22"/>
          <w:szCs w:val="22"/>
          <w:u w:val="single"/>
        </w:rPr>
      </w:pPr>
    </w:p>
    <w:p w:rsidR="00A8685B" w:rsidRPr="00C92EAF" w:rsidRDefault="00A8685B" w:rsidP="004A0BF0">
      <w:pPr>
        <w:rPr>
          <w:sz w:val="22"/>
          <w:szCs w:val="22"/>
          <w:u w:val="single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Tabuľkový zoznam nežiaducich reakcií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Frekvencia nežiaducich reakcií z klinického skúšania, hlásených navyše oproti placebu a iné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nežiaduce účinky, hlásené v čase po uvedení na trh, sú vymenované v nasledujúcej tabuľke.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Frekvencie sú definované ako veľmi časté (≥ 1/10), časté (≥ 1/100 až &lt; 1/10), menej časté (≥ 1/1 000</w:t>
      </w: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až &lt; 1/100), zriedkavé (≥ 1/10 000 až &lt; 1/1 000), veľmi zriedkavé (&lt; 1/10 000) a neznáme</w:t>
      </w:r>
    </w:p>
    <w:p w:rsidR="00A50833" w:rsidRDefault="003900FF" w:rsidP="003900FF">
      <w:pPr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(z dostupných údajov).</w:t>
      </w:r>
    </w:p>
    <w:p w:rsidR="00A8685B" w:rsidRDefault="00A8685B" w:rsidP="003900FF">
      <w:pPr>
        <w:rPr>
          <w:rFonts w:eastAsiaTheme="minorHAnsi"/>
          <w:sz w:val="22"/>
          <w:szCs w:val="22"/>
        </w:rPr>
      </w:pPr>
    </w:p>
    <w:p w:rsidR="00A8685B" w:rsidRDefault="00A8685B" w:rsidP="003900FF">
      <w:pPr>
        <w:rPr>
          <w:rFonts w:eastAsiaTheme="minorHAnsi"/>
          <w:sz w:val="22"/>
          <w:szCs w:val="22"/>
        </w:rPr>
      </w:pPr>
    </w:p>
    <w:p w:rsidR="00A8685B" w:rsidRDefault="00A8685B" w:rsidP="003900FF">
      <w:pPr>
        <w:rPr>
          <w:rFonts w:eastAsiaTheme="minorHAnsi"/>
          <w:sz w:val="22"/>
          <w:szCs w:val="22"/>
        </w:rPr>
      </w:pPr>
    </w:p>
    <w:p w:rsidR="00A8685B" w:rsidRPr="00C92EAF" w:rsidRDefault="00A8685B" w:rsidP="003900FF">
      <w:pPr>
        <w:rPr>
          <w:sz w:val="22"/>
          <w:szCs w:val="22"/>
        </w:rPr>
      </w:pPr>
    </w:p>
    <w:p w:rsidR="008F60C8" w:rsidRPr="00C92EAF" w:rsidRDefault="008F60C8" w:rsidP="004A0BF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900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3"/>
        <w:gridCol w:w="1523"/>
        <w:gridCol w:w="3870"/>
      </w:tblGrid>
      <w:tr w:rsidR="0084689E" w:rsidRPr="00C92EAF" w:rsidTr="00CA3F5B">
        <w:trPr>
          <w:trHeight w:hRule="exact" w:val="508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2"/>
              </w:rPr>
            </w:pPr>
            <w:r w:rsidRPr="00C92EAF">
              <w:rPr>
                <w:b/>
                <w:bCs/>
                <w:sz w:val="22"/>
                <w:szCs w:val="22"/>
              </w:rPr>
              <w:lastRenderedPageBreak/>
              <w:t>Tri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e</w:t>
            </w:r>
            <w:r w:rsidRPr="00C92EAF">
              <w:rPr>
                <w:b/>
                <w:bCs/>
                <w:sz w:val="22"/>
                <w:szCs w:val="22"/>
              </w:rPr>
              <w:t>da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C92EAF">
              <w:rPr>
                <w:b/>
                <w:bCs/>
                <w:sz w:val="22"/>
                <w:szCs w:val="22"/>
              </w:rPr>
              <w:t>rgáno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v</w:t>
            </w:r>
            <w:r w:rsidRPr="00C92EAF">
              <w:rPr>
                <w:b/>
                <w:bCs/>
                <w:sz w:val="22"/>
                <w:szCs w:val="22"/>
              </w:rPr>
              <w:t>ých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C92EAF">
              <w:rPr>
                <w:b/>
                <w:bCs/>
                <w:sz w:val="22"/>
                <w:szCs w:val="22"/>
              </w:rPr>
              <w:t>s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t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é</w:t>
            </w:r>
            <w:r w:rsidRPr="00C92EAF">
              <w:rPr>
                <w:b/>
                <w:bCs/>
                <w:sz w:val="22"/>
                <w:szCs w:val="22"/>
              </w:rPr>
              <w:t>mov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-2"/>
                <w:sz w:val="22"/>
                <w:szCs w:val="22"/>
              </w:rPr>
              <w:t>Fr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3"/>
                <w:sz w:val="22"/>
                <w:szCs w:val="22"/>
              </w:rPr>
              <w:t>k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v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c</w:t>
            </w:r>
            <w:r w:rsidRPr="00C92EAF">
              <w:rPr>
                <w:b/>
                <w:bCs/>
                <w:spacing w:val="-4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815"/>
              <w:jc w:val="both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4"/>
                <w:sz w:val="22"/>
                <w:szCs w:val="22"/>
              </w:rPr>
              <w:t>ž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a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d</w:t>
            </w:r>
            <w:r w:rsidRPr="00C92EAF">
              <w:rPr>
                <w:b/>
                <w:bCs/>
                <w:spacing w:val="-3"/>
                <w:sz w:val="22"/>
                <w:szCs w:val="22"/>
              </w:rPr>
              <w:t>u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c</w:t>
            </w:r>
            <w:r w:rsidRPr="00C92EAF">
              <w:rPr>
                <w:b/>
                <w:bCs/>
                <w:sz w:val="22"/>
                <w:szCs w:val="22"/>
              </w:rPr>
              <w:t>e</w:t>
            </w:r>
            <w:r w:rsidRPr="00C92EAF">
              <w:rPr>
                <w:spacing w:val="-6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C92EAF">
              <w:rPr>
                <w:b/>
                <w:bCs/>
                <w:spacing w:val="-5"/>
                <w:sz w:val="22"/>
                <w:szCs w:val="22"/>
              </w:rPr>
              <w:t>k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C92EAF">
              <w:rPr>
                <w:b/>
                <w:bCs/>
                <w:spacing w:val="-4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e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84689E" w:rsidRPr="00C92EAF" w:rsidTr="00CA3F5B">
        <w:trPr>
          <w:trHeight w:hRule="exact" w:val="842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-20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Ps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C92EAF">
              <w:rPr>
                <w:b/>
                <w:bCs/>
                <w:sz w:val="22"/>
                <w:szCs w:val="22"/>
              </w:rPr>
              <w:t>ch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cké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p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C92EAF">
              <w:rPr>
                <w:b/>
                <w:bCs/>
                <w:sz w:val="22"/>
                <w:szCs w:val="22"/>
              </w:rPr>
              <w:t>ruchy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84689E" w:rsidRPr="00C92EAF" w:rsidRDefault="008E5D7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 xml:space="preserve">      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h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l</w:t>
            </w:r>
            <w:r w:rsidRPr="00C92EAF">
              <w:rPr>
                <w:spacing w:val="-4"/>
                <w:sz w:val="22"/>
                <w:szCs w:val="22"/>
              </w:rPr>
              <w:t>u</w:t>
            </w:r>
            <w:r w:rsidRPr="00C92EAF">
              <w:rPr>
                <w:spacing w:val="-5"/>
                <w:sz w:val="22"/>
                <w:szCs w:val="22"/>
              </w:rPr>
              <w:t>c</w:t>
            </w:r>
            <w:r w:rsidRPr="00C92EAF">
              <w:rPr>
                <w:spacing w:val="-1"/>
                <w:sz w:val="22"/>
                <w:szCs w:val="22"/>
              </w:rPr>
              <w:t>i</w:t>
            </w:r>
            <w:r w:rsidRPr="00C92EAF">
              <w:rPr>
                <w:spacing w:val="-3"/>
                <w:sz w:val="22"/>
                <w:szCs w:val="22"/>
              </w:rPr>
              <w:t>n</w:t>
            </w:r>
            <w:r w:rsidRPr="00C92EAF">
              <w:rPr>
                <w:spacing w:val="-4"/>
                <w:sz w:val="22"/>
                <w:szCs w:val="22"/>
              </w:rPr>
              <w:t>ác</w:t>
            </w:r>
            <w:r w:rsidRPr="00C92EAF">
              <w:rPr>
                <w:spacing w:val="-2"/>
                <w:sz w:val="22"/>
                <w:szCs w:val="22"/>
              </w:rPr>
              <w:t>i</w:t>
            </w:r>
            <w:r w:rsidRPr="00C92EAF">
              <w:rPr>
                <w:sz w:val="22"/>
                <w:szCs w:val="22"/>
              </w:rPr>
              <w:t>e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E5D79" w:rsidRPr="00C92EAF" w:rsidRDefault="007B53DC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napToGrid w:val="0"/>
                <w:spacing w:val="-3"/>
                <w:sz w:val="22"/>
                <w:szCs w:val="22"/>
              </w:rPr>
              <w:t xml:space="preserve">  </w:t>
            </w:r>
            <w:r w:rsidR="008E5D79" w:rsidRPr="00C92EAF">
              <w:rPr>
                <w:snapToGrid w:val="0"/>
                <w:spacing w:val="-3"/>
                <w:sz w:val="22"/>
                <w:szCs w:val="22"/>
              </w:rPr>
              <w:t>abnormálne správanie, agresivita</w:t>
            </w:r>
          </w:p>
        </w:tc>
      </w:tr>
      <w:tr w:rsidR="0084689E" w:rsidRPr="00C92EAF" w:rsidTr="00CA3F5B">
        <w:trPr>
          <w:trHeight w:hRule="exact" w:val="1819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-20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C92EAF">
              <w:rPr>
                <w:b/>
                <w:bCs/>
                <w:sz w:val="22"/>
                <w:szCs w:val="22"/>
              </w:rPr>
              <w:t>chy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C92EAF">
              <w:rPr>
                <w:b/>
                <w:bCs/>
                <w:sz w:val="22"/>
                <w:szCs w:val="22"/>
              </w:rPr>
              <w:t>rvov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é</w:t>
            </w:r>
            <w:r w:rsidRPr="00C92EAF">
              <w:rPr>
                <w:b/>
                <w:bCs/>
                <w:sz w:val="22"/>
                <w:szCs w:val="22"/>
              </w:rPr>
              <w:t>ho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C92EAF">
              <w:rPr>
                <w:b/>
                <w:bCs/>
                <w:sz w:val="22"/>
                <w:szCs w:val="22"/>
              </w:rPr>
              <w:t>st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é</w:t>
            </w:r>
            <w:r w:rsidRPr="00C92EAF">
              <w:rPr>
                <w:b/>
                <w:bCs/>
                <w:sz w:val="22"/>
                <w:szCs w:val="22"/>
              </w:rPr>
              <w:t>mu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 (deti do 2 rokov)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pacing w:val="-2"/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bolesť hlavy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pacing w:val="-2"/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nespavosť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221"/>
              <w:rPr>
                <w:spacing w:val="-4"/>
                <w:sz w:val="22"/>
                <w:szCs w:val="22"/>
              </w:rPr>
            </w:pP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221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z</w:t>
            </w:r>
            <w:r w:rsidRPr="00C92EAF">
              <w:rPr>
                <w:spacing w:val="-2"/>
                <w:sz w:val="22"/>
                <w:szCs w:val="22"/>
              </w:rPr>
              <w:t>á</w:t>
            </w:r>
            <w:r w:rsidRPr="00C92EAF">
              <w:rPr>
                <w:spacing w:val="-5"/>
                <w:sz w:val="22"/>
                <w:szCs w:val="22"/>
              </w:rPr>
              <w:t>v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5"/>
                <w:sz w:val="22"/>
                <w:szCs w:val="22"/>
              </w:rPr>
              <w:t>a</w:t>
            </w:r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r w:rsidRPr="00C92EAF">
              <w:rPr>
                <w:spacing w:val="-3"/>
                <w:sz w:val="22"/>
                <w:szCs w:val="22"/>
              </w:rPr>
              <w:t>o</w:t>
            </w:r>
            <w:r w:rsidRPr="00C92EAF">
              <w:rPr>
                <w:spacing w:val="-4"/>
                <w:sz w:val="22"/>
                <w:szCs w:val="22"/>
              </w:rPr>
              <w:t>s</w:t>
            </w:r>
            <w:r w:rsidRPr="00C92EAF">
              <w:rPr>
                <w:spacing w:val="-2"/>
                <w:sz w:val="22"/>
                <w:szCs w:val="22"/>
              </w:rPr>
              <w:t>p</w:t>
            </w:r>
            <w:r w:rsidRPr="00C92EAF">
              <w:rPr>
                <w:spacing w:val="-5"/>
                <w:sz w:val="22"/>
                <w:szCs w:val="22"/>
              </w:rPr>
              <w:t>a</w:t>
            </w:r>
            <w:r w:rsidR="007A1870" w:rsidRPr="00C92EAF">
              <w:rPr>
                <w:spacing w:val="-5"/>
                <w:sz w:val="22"/>
                <w:szCs w:val="22"/>
              </w:rPr>
              <w:t>l</w:t>
            </w:r>
            <w:r w:rsidRPr="00C92EAF">
              <w:rPr>
                <w:spacing w:val="-5"/>
                <w:sz w:val="22"/>
                <w:szCs w:val="22"/>
              </w:rPr>
              <w:t>o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r w:rsidRPr="00C92EAF">
              <w:rPr>
                <w:spacing w:val="-3"/>
                <w:sz w:val="22"/>
                <w:szCs w:val="22"/>
              </w:rPr>
              <w:t>ť</w:t>
            </w:r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r w:rsidRPr="00C92EAF">
              <w:rPr>
                <w:spacing w:val="-3"/>
                <w:sz w:val="22"/>
                <w:szCs w:val="22"/>
              </w:rPr>
              <w:t>n</w:t>
            </w:r>
            <w:r w:rsidRPr="00C92EAF">
              <w:rPr>
                <w:spacing w:val="-4"/>
                <w:sz w:val="22"/>
                <w:szCs w:val="22"/>
              </w:rPr>
              <w:t>e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5"/>
                <w:sz w:val="22"/>
                <w:szCs w:val="22"/>
              </w:rPr>
              <w:t>vo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r w:rsidRPr="00C92EAF">
              <w:rPr>
                <w:spacing w:val="-3"/>
                <w:sz w:val="22"/>
                <w:szCs w:val="22"/>
              </w:rPr>
              <w:t>ť</w:t>
            </w:r>
            <w:r w:rsidRPr="00C92EAF">
              <w:rPr>
                <w:sz w:val="22"/>
                <w:szCs w:val="22"/>
              </w:rPr>
              <w:t xml:space="preserve">, </w:t>
            </w:r>
            <w:proofErr w:type="spellStart"/>
            <w:r w:rsidRPr="00C92EAF">
              <w:rPr>
                <w:spacing w:val="-2"/>
                <w:sz w:val="22"/>
                <w:szCs w:val="22"/>
              </w:rPr>
              <w:t>ps</w:t>
            </w:r>
            <w:r w:rsidRPr="00C92EAF">
              <w:rPr>
                <w:spacing w:val="-5"/>
                <w:sz w:val="22"/>
                <w:szCs w:val="22"/>
              </w:rPr>
              <w:t>y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5"/>
                <w:sz w:val="22"/>
                <w:szCs w:val="22"/>
              </w:rPr>
              <w:t>h</w:t>
            </w:r>
            <w:r w:rsidRPr="00C92EAF">
              <w:rPr>
                <w:spacing w:val="-2"/>
                <w:sz w:val="22"/>
                <w:szCs w:val="22"/>
              </w:rPr>
              <w:t>o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pacing w:val="-3"/>
                <w:sz w:val="22"/>
                <w:szCs w:val="22"/>
              </w:rPr>
              <w:t>o</w:t>
            </w:r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pacing w:val="-5"/>
                <w:sz w:val="22"/>
                <w:szCs w:val="22"/>
              </w:rPr>
              <w:t>o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1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z w:val="22"/>
                <w:szCs w:val="22"/>
              </w:rPr>
              <w:t>á</w:t>
            </w:r>
            <w:proofErr w:type="spellEnd"/>
            <w:r w:rsidRPr="00C92EA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3"/>
                <w:sz w:val="22"/>
                <w:szCs w:val="22"/>
              </w:rPr>
              <w:t>h</w:t>
            </w:r>
            <w:r w:rsidRPr="00C92EAF">
              <w:rPr>
                <w:spacing w:val="-5"/>
                <w:sz w:val="22"/>
                <w:szCs w:val="22"/>
              </w:rPr>
              <w:t>y</w:t>
            </w:r>
            <w:r w:rsidRPr="00C92EAF">
              <w:rPr>
                <w:spacing w:val="-2"/>
                <w:sz w:val="22"/>
                <w:szCs w:val="22"/>
              </w:rPr>
              <w:t>p</w:t>
            </w:r>
            <w:r w:rsidRPr="00C92EAF">
              <w:rPr>
                <w:spacing w:val="-5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1"/>
                <w:sz w:val="22"/>
                <w:szCs w:val="22"/>
              </w:rPr>
              <w:t>a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4"/>
                <w:sz w:val="22"/>
                <w:szCs w:val="22"/>
              </w:rPr>
              <w:t>t</w:t>
            </w:r>
            <w:r w:rsidRPr="00C92EAF">
              <w:rPr>
                <w:spacing w:val="-1"/>
                <w:sz w:val="22"/>
                <w:szCs w:val="22"/>
              </w:rPr>
              <w:t>i</w:t>
            </w:r>
            <w:r w:rsidRPr="00C92EAF">
              <w:rPr>
                <w:spacing w:val="-5"/>
                <w:sz w:val="22"/>
                <w:szCs w:val="22"/>
              </w:rPr>
              <w:t>v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7"/>
                <w:sz w:val="22"/>
                <w:szCs w:val="22"/>
              </w:rPr>
              <w:t xml:space="preserve"> </w:t>
            </w:r>
            <w:r w:rsidRPr="00C92EAF">
              <w:rPr>
                <w:spacing w:val="-4"/>
                <w:sz w:val="22"/>
                <w:szCs w:val="22"/>
              </w:rPr>
              <w:t>z</w:t>
            </w:r>
            <w:r w:rsidRPr="00C92EAF">
              <w:rPr>
                <w:spacing w:val="-2"/>
                <w:sz w:val="22"/>
                <w:szCs w:val="22"/>
              </w:rPr>
              <w:t>ách</w:t>
            </w:r>
            <w:r w:rsidRPr="00C92EAF">
              <w:rPr>
                <w:spacing w:val="-5"/>
                <w:sz w:val="22"/>
                <w:szCs w:val="22"/>
              </w:rPr>
              <w:t>va</w:t>
            </w:r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z w:val="22"/>
                <w:szCs w:val="22"/>
              </w:rPr>
              <w:t>y</w:t>
            </w:r>
            <w:r w:rsidR="007A1870" w:rsidRPr="00C92EAF">
              <w:rPr>
                <w:sz w:val="22"/>
                <w:szCs w:val="22"/>
              </w:rPr>
              <w:t xml:space="preserve"> kŕčov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689E" w:rsidRPr="00C92EAF" w:rsidTr="00CA3F5B">
        <w:trPr>
          <w:trHeight w:hRule="exact" w:val="894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574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C92EAF">
              <w:rPr>
                <w:b/>
                <w:bCs/>
                <w:sz w:val="22"/>
                <w:szCs w:val="22"/>
              </w:rPr>
              <w:t>chy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s</w:t>
            </w:r>
            <w:r w:rsidRPr="00C92EAF">
              <w:rPr>
                <w:b/>
                <w:bCs/>
                <w:sz w:val="22"/>
                <w:szCs w:val="22"/>
              </w:rPr>
              <w:t>rdca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spacing w:val="-1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srd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C92EAF">
              <w:rPr>
                <w:b/>
                <w:bCs/>
                <w:sz w:val="22"/>
                <w:szCs w:val="22"/>
              </w:rPr>
              <w:t>ov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C92EAF">
              <w:rPr>
                <w:b/>
                <w:bCs/>
                <w:sz w:val="22"/>
                <w:szCs w:val="22"/>
              </w:rPr>
              <w:t>j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č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nno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s</w:t>
            </w:r>
            <w:r w:rsidRPr="00C92EAF">
              <w:rPr>
                <w:b/>
                <w:bCs/>
                <w:sz w:val="22"/>
                <w:szCs w:val="22"/>
              </w:rPr>
              <w:t>ti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neznáme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  <w:proofErr w:type="spellStart"/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3"/>
                <w:sz w:val="22"/>
                <w:szCs w:val="22"/>
              </w:rPr>
              <w:t>h</w:t>
            </w:r>
            <w:r w:rsidRPr="00C92EAF">
              <w:rPr>
                <w:spacing w:val="-5"/>
                <w:sz w:val="22"/>
                <w:szCs w:val="22"/>
              </w:rPr>
              <w:t>y</w:t>
            </w:r>
            <w:r w:rsidRPr="00C92EAF">
              <w:rPr>
                <w:spacing w:val="-4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5"/>
                <w:sz w:val="22"/>
                <w:szCs w:val="22"/>
              </w:rPr>
              <w:t>d</w:t>
            </w:r>
            <w:r w:rsidRPr="00C92EAF">
              <w:rPr>
                <w:spacing w:val="-2"/>
                <w:sz w:val="22"/>
                <w:szCs w:val="22"/>
              </w:rPr>
              <w:t>i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r w:rsidRPr="00C92EAF">
              <w:rPr>
                <w:spacing w:val="-1"/>
                <w:sz w:val="22"/>
                <w:szCs w:val="22"/>
              </w:rPr>
              <w:t>l</w:t>
            </w:r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1"/>
                <w:sz w:val="22"/>
                <w:szCs w:val="22"/>
              </w:rPr>
              <w:t>t</w:t>
            </w:r>
            <w:r w:rsidRPr="00C92EAF">
              <w:rPr>
                <w:spacing w:val="-5"/>
                <w:sz w:val="22"/>
                <w:szCs w:val="22"/>
              </w:rPr>
              <w:t>á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3"/>
                <w:sz w:val="22"/>
                <w:szCs w:val="22"/>
              </w:rPr>
              <w:t>i</w:t>
            </w:r>
            <w:r w:rsidRPr="00C92EAF">
              <w:rPr>
                <w:sz w:val="22"/>
                <w:szCs w:val="22"/>
              </w:rPr>
              <w:t>e</w:t>
            </w:r>
            <w:proofErr w:type="spellEnd"/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 xml:space="preserve">  </w:t>
            </w:r>
            <w:r w:rsidRPr="00C92EAF">
              <w:rPr>
                <w:rFonts w:eastAsiaTheme="minorHAnsi"/>
                <w:sz w:val="22"/>
                <w:szCs w:val="22"/>
              </w:rPr>
              <w:t>predĺženie QT intervalu</w:t>
            </w:r>
          </w:p>
        </w:tc>
      </w:tr>
      <w:tr w:rsidR="0084689E" w:rsidRPr="00C92EAF" w:rsidTr="00CA3F5B">
        <w:trPr>
          <w:trHeight w:hRule="exact" w:val="1340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194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C92EAF">
              <w:rPr>
                <w:b/>
                <w:bCs/>
                <w:sz w:val="22"/>
                <w:szCs w:val="22"/>
              </w:rPr>
              <w:t>chy</w:t>
            </w:r>
            <w:r w:rsidRPr="00C92EAF">
              <w:rPr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b/>
                <w:bCs/>
                <w:sz w:val="22"/>
                <w:szCs w:val="22"/>
              </w:rPr>
              <w:t>g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C92EAF">
              <w:rPr>
                <w:b/>
                <w:bCs/>
                <w:sz w:val="22"/>
                <w:szCs w:val="22"/>
              </w:rPr>
              <w:t>st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C92EAF">
              <w:rPr>
                <w:b/>
                <w:bCs/>
                <w:sz w:val="22"/>
                <w:szCs w:val="22"/>
              </w:rPr>
              <w:t>oi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C92EAF">
              <w:rPr>
                <w:b/>
                <w:bCs/>
                <w:sz w:val="22"/>
                <w:szCs w:val="22"/>
              </w:rPr>
              <w:t>t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C92EAF">
              <w:rPr>
                <w:b/>
                <w:bCs/>
                <w:sz w:val="22"/>
                <w:szCs w:val="22"/>
              </w:rPr>
              <w:t>t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á</w:t>
            </w:r>
            <w:r w:rsidRPr="00C92EAF">
              <w:rPr>
                <w:b/>
                <w:bCs/>
                <w:sz w:val="22"/>
                <w:szCs w:val="22"/>
              </w:rPr>
              <w:t>l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n</w:t>
            </w:r>
            <w:r w:rsidRPr="00C92EAF">
              <w:rPr>
                <w:b/>
                <w:bCs/>
                <w:sz w:val="22"/>
                <w:szCs w:val="22"/>
              </w:rPr>
              <w:t>eho</w:t>
            </w:r>
            <w:proofErr w:type="spellEnd"/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t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z w:val="22"/>
                <w:szCs w:val="22"/>
              </w:rPr>
              <w:t>aktu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 (deti do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2 rokov)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189"/>
              <w:rPr>
                <w:spacing w:val="-2"/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sucho v ústach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189"/>
              <w:rPr>
                <w:spacing w:val="-2"/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hnačka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189"/>
              <w:rPr>
                <w:spacing w:val="-2"/>
                <w:sz w:val="22"/>
                <w:szCs w:val="22"/>
              </w:rPr>
            </w:pP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189"/>
              <w:rPr>
                <w:sz w:val="22"/>
                <w:szCs w:val="22"/>
              </w:rPr>
            </w:pPr>
            <w:r w:rsidRPr="00C92EAF">
              <w:rPr>
                <w:spacing w:val="-2"/>
                <w:sz w:val="22"/>
                <w:szCs w:val="22"/>
              </w:rPr>
              <w:t>b</w:t>
            </w:r>
            <w:r w:rsidRPr="00C92EAF">
              <w:rPr>
                <w:spacing w:val="-5"/>
                <w:sz w:val="22"/>
                <w:szCs w:val="22"/>
              </w:rPr>
              <w:t>o</w:t>
            </w:r>
            <w:r w:rsidRPr="00C92EAF">
              <w:rPr>
                <w:spacing w:val="-1"/>
                <w:sz w:val="22"/>
                <w:szCs w:val="22"/>
              </w:rPr>
              <w:t>l</w:t>
            </w:r>
            <w:r w:rsidRPr="00C92EAF">
              <w:rPr>
                <w:spacing w:val="-4"/>
                <w:sz w:val="22"/>
                <w:szCs w:val="22"/>
              </w:rPr>
              <w:t>e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r w:rsidRPr="00C92EAF">
              <w:rPr>
                <w:sz w:val="22"/>
                <w:szCs w:val="22"/>
              </w:rPr>
              <w:t>ť</w:t>
            </w:r>
            <w:r w:rsidRPr="00C92EAF">
              <w:rPr>
                <w:spacing w:val="-3"/>
                <w:sz w:val="22"/>
                <w:szCs w:val="22"/>
              </w:rPr>
              <w:t xml:space="preserve"> b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2"/>
                <w:sz w:val="22"/>
                <w:szCs w:val="22"/>
              </w:rPr>
              <w:t>u</w:t>
            </w:r>
            <w:r w:rsidRPr="00C92EAF">
              <w:rPr>
                <w:spacing w:val="-5"/>
                <w:sz w:val="22"/>
                <w:szCs w:val="22"/>
              </w:rPr>
              <w:t>c</w:t>
            </w:r>
            <w:r w:rsidRPr="00C92EAF">
              <w:rPr>
                <w:spacing w:val="-2"/>
                <w:sz w:val="22"/>
                <w:szCs w:val="22"/>
              </w:rPr>
              <w:t>h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 xml:space="preserve">, </w:t>
            </w:r>
            <w:proofErr w:type="spellStart"/>
            <w:r w:rsidRPr="00C92EAF">
              <w:rPr>
                <w:spacing w:val="-5"/>
                <w:sz w:val="22"/>
                <w:szCs w:val="22"/>
              </w:rPr>
              <w:t>n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3"/>
                <w:sz w:val="22"/>
                <w:szCs w:val="22"/>
              </w:rPr>
              <w:t>u</w:t>
            </w:r>
            <w:r w:rsidRPr="00C92EAF">
              <w:rPr>
                <w:spacing w:val="-4"/>
                <w:sz w:val="22"/>
                <w:szCs w:val="22"/>
              </w:rPr>
              <w:t>ze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3"/>
                <w:sz w:val="22"/>
                <w:szCs w:val="22"/>
              </w:rPr>
              <w:t xml:space="preserve"> 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5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n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4"/>
                <w:sz w:val="22"/>
                <w:szCs w:val="22"/>
              </w:rPr>
              <w:t>y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4"/>
                <w:sz w:val="22"/>
                <w:szCs w:val="22"/>
              </w:rPr>
              <w:t>s</w:t>
            </w:r>
            <w:r w:rsidRPr="00C92EAF">
              <w:rPr>
                <w:spacing w:val="-2"/>
                <w:sz w:val="22"/>
                <w:szCs w:val="22"/>
              </w:rPr>
              <w:t>ia</w:t>
            </w:r>
            <w:proofErr w:type="spellEnd"/>
            <w:r w:rsidRPr="00C92EAF">
              <w:rPr>
                <w:sz w:val="22"/>
                <w:szCs w:val="22"/>
              </w:rPr>
              <w:t xml:space="preserve">, </w:t>
            </w:r>
            <w:r w:rsidRPr="00C92EAF">
              <w:rPr>
                <w:spacing w:val="-2"/>
                <w:sz w:val="22"/>
                <w:szCs w:val="22"/>
              </w:rPr>
              <w:t>hn</w:t>
            </w:r>
            <w:r w:rsidRPr="00C92EAF">
              <w:rPr>
                <w:spacing w:val="-5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č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z w:val="22"/>
                <w:szCs w:val="22"/>
              </w:rPr>
              <w:t>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689E" w:rsidRPr="00C92EAF" w:rsidTr="00CA3F5B">
        <w:trPr>
          <w:trHeight w:hRule="exact" w:val="894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441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C92EAF">
              <w:rPr>
                <w:b/>
                <w:bCs/>
                <w:sz w:val="22"/>
                <w:szCs w:val="22"/>
              </w:rPr>
              <w:t>chy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p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C92EAF">
              <w:rPr>
                <w:b/>
                <w:bCs/>
                <w:sz w:val="22"/>
                <w:szCs w:val="22"/>
              </w:rPr>
              <w:t>čene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ž</w:t>
            </w:r>
            <w:r w:rsidRPr="00C92EAF">
              <w:rPr>
                <w:b/>
                <w:bCs/>
                <w:sz w:val="22"/>
                <w:szCs w:val="22"/>
              </w:rPr>
              <w:t>lčov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ý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c</w:t>
            </w:r>
            <w:r w:rsidRPr="00C92EAF">
              <w:rPr>
                <w:b/>
                <w:bCs/>
                <w:sz w:val="22"/>
                <w:szCs w:val="22"/>
              </w:rPr>
              <w:t>h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c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est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>i</w:t>
            </w:r>
            <w:r w:rsidRPr="00C92EAF">
              <w:rPr>
                <w:spacing w:val="-3"/>
                <w:sz w:val="22"/>
                <w:szCs w:val="22"/>
              </w:rPr>
              <w:t xml:space="preserve"> </w:t>
            </w:r>
            <w:r w:rsidRPr="00C92EAF">
              <w:rPr>
                <w:spacing w:val="-5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5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84689E" w:rsidRPr="00C92EAF" w:rsidRDefault="007A1870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 xml:space="preserve">     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34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z</w:t>
            </w:r>
            <w:r w:rsidRPr="00C92EAF">
              <w:rPr>
                <w:spacing w:val="-2"/>
                <w:sz w:val="22"/>
                <w:szCs w:val="22"/>
              </w:rPr>
              <w:t>vý</w:t>
            </w:r>
            <w:r w:rsidRPr="00C92EAF">
              <w:rPr>
                <w:sz w:val="22"/>
                <w:szCs w:val="22"/>
              </w:rPr>
              <w:t>šen</w:t>
            </w:r>
            <w:r w:rsidRPr="00C92EAF">
              <w:rPr>
                <w:spacing w:val="1"/>
                <w:sz w:val="22"/>
                <w:szCs w:val="22"/>
              </w:rPr>
              <w:t>i</w:t>
            </w:r>
            <w:r w:rsidRPr="00C92EAF">
              <w:rPr>
                <w:sz w:val="22"/>
                <w:szCs w:val="22"/>
              </w:rPr>
              <w:t>a</w:t>
            </w:r>
            <w:r w:rsidRPr="00C92EAF">
              <w:rPr>
                <w:spacing w:val="1"/>
                <w:sz w:val="22"/>
                <w:szCs w:val="22"/>
              </w:rPr>
              <w:t xml:space="preserve"> </w:t>
            </w:r>
            <w:r w:rsidRPr="00C92EAF">
              <w:rPr>
                <w:sz w:val="22"/>
                <w:szCs w:val="22"/>
              </w:rPr>
              <w:t>pe</w:t>
            </w:r>
            <w:r w:rsidRPr="00C92EAF">
              <w:rPr>
                <w:spacing w:val="1"/>
                <w:sz w:val="22"/>
                <w:szCs w:val="22"/>
              </w:rPr>
              <w:t>č</w:t>
            </w:r>
            <w:r w:rsidRPr="00C92EAF">
              <w:rPr>
                <w:spacing w:val="-1"/>
                <w:sz w:val="22"/>
                <w:szCs w:val="22"/>
              </w:rPr>
              <w:t>e</w:t>
            </w:r>
            <w:r w:rsidRPr="00C92EAF">
              <w:rPr>
                <w:sz w:val="22"/>
                <w:szCs w:val="22"/>
              </w:rPr>
              <w:t>ňo</w:t>
            </w:r>
            <w:r w:rsidRPr="00C92EAF">
              <w:rPr>
                <w:spacing w:val="-3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ý</w:t>
            </w:r>
            <w:r w:rsidRPr="00C92EAF">
              <w:rPr>
                <w:sz w:val="22"/>
                <w:szCs w:val="22"/>
              </w:rPr>
              <w:t>ch en</w:t>
            </w:r>
            <w:r w:rsidRPr="00C92EAF">
              <w:rPr>
                <w:spacing w:val="-1"/>
                <w:sz w:val="22"/>
                <w:szCs w:val="22"/>
              </w:rPr>
              <w:t>z</w:t>
            </w:r>
            <w:r w:rsidRPr="00C92EAF">
              <w:rPr>
                <w:sz w:val="22"/>
                <w:szCs w:val="22"/>
              </w:rPr>
              <w:t>ý</w:t>
            </w:r>
            <w:r w:rsidRPr="00C92EAF">
              <w:rPr>
                <w:spacing w:val="-4"/>
                <w:sz w:val="22"/>
                <w:szCs w:val="22"/>
              </w:rPr>
              <w:t>m</w:t>
            </w:r>
            <w:r w:rsidRPr="00C92EAF">
              <w:rPr>
                <w:spacing w:val="1"/>
                <w:sz w:val="22"/>
                <w:szCs w:val="22"/>
              </w:rPr>
              <w:t>o</w:t>
            </w:r>
            <w:r w:rsidRPr="00C92EAF">
              <w:rPr>
                <w:spacing w:val="-1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2"/>
                <w:sz w:val="22"/>
                <w:szCs w:val="22"/>
              </w:rPr>
              <w:t xml:space="preserve"> </w:t>
            </w:r>
            <w:r w:rsidRPr="00C92EAF">
              <w:rPr>
                <w:spacing w:val="-1"/>
                <w:sz w:val="22"/>
                <w:szCs w:val="22"/>
              </w:rPr>
              <w:t>z</w:t>
            </w:r>
            <w:r w:rsidRPr="00C92EAF">
              <w:rPr>
                <w:sz w:val="22"/>
                <w:szCs w:val="22"/>
              </w:rPr>
              <w:t>v</w:t>
            </w:r>
            <w:r w:rsidRPr="00C92EAF">
              <w:rPr>
                <w:spacing w:val="-3"/>
                <w:sz w:val="22"/>
                <w:szCs w:val="22"/>
              </w:rPr>
              <w:t>ý</w:t>
            </w:r>
            <w:r w:rsidRPr="00C92EAF">
              <w:rPr>
                <w:sz w:val="22"/>
                <w:szCs w:val="22"/>
              </w:rPr>
              <w:t xml:space="preserve">šený </w:t>
            </w:r>
            <w:proofErr w:type="spellStart"/>
            <w:r w:rsidRPr="00C92EAF">
              <w:rPr>
                <w:sz w:val="22"/>
                <w:szCs w:val="22"/>
              </w:rPr>
              <w:t>b</w:t>
            </w:r>
            <w:r w:rsidRPr="00C92EAF">
              <w:rPr>
                <w:spacing w:val="1"/>
                <w:sz w:val="22"/>
                <w:szCs w:val="22"/>
              </w:rPr>
              <w:t>i</w:t>
            </w:r>
            <w:r w:rsidRPr="00C92EAF">
              <w:rPr>
                <w:spacing w:val="-1"/>
                <w:sz w:val="22"/>
                <w:szCs w:val="22"/>
              </w:rPr>
              <w:t>l</w:t>
            </w:r>
            <w:r w:rsidRPr="00C92EAF">
              <w:rPr>
                <w:sz w:val="22"/>
                <w:szCs w:val="22"/>
              </w:rPr>
              <w:t>i</w:t>
            </w:r>
            <w:r w:rsidRPr="00C92EAF">
              <w:rPr>
                <w:spacing w:val="1"/>
                <w:sz w:val="22"/>
                <w:szCs w:val="22"/>
              </w:rPr>
              <w:t>r</w:t>
            </w:r>
            <w:r w:rsidRPr="00C92EAF">
              <w:rPr>
                <w:spacing w:val="-1"/>
                <w:sz w:val="22"/>
                <w:szCs w:val="22"/>
              </w:rPr>
              <w:t>u</w:t>
            </w:r>
            <w:r w:rsidRPr="00C92EAF">
              <w:rPr>
                <w:sz w:val="22"/>
                <w:szCs w:val="22"/>
              </w:rPr>
              <w:t>bín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1"/>
                <w:sz w:val="22"/>
                <w:szCs w:val="22"/>
              </w:rPr>
              <w:t xml:space="preserve"> </w:t>
            </w:r>
            <w:r w:rsidRPr="00C92EAF">
              <w:rPr>
                <w:sz w:val="22"/>
                <w:szCs w:val="22"/>
              </w:rPr>
              <w:t>hep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>titída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34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žltačka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A1870" w:rsidRPr="00C92EAF" w:rsidTr="00CA3F5B">
        <w:trPr>
          <w:trHeight w:hRule="exact" w:val="894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07" w:right="156"/>
              <w:rPr>
                <w:b/>
                <w:bCs/>
                <w:spacing w:val="1"/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Poruchy kože a podkožného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07" w:right="156"/>
              <w:rPr>
                <w:b/>
                <w:bCs/>
                <w:spacing w:val="1"/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tkaniva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pacing w:val="-1"/>
                <w:sz w:val="22"/>
                <w:szCs w:val="22"/>
              </w:rPr>
            </w:pPr>
            <w:proofErr w:type="spellStart"/>
            <w:r w:rsidRPr="00C92EAF">
              <w:rPr>
                <w:spacing w:val="-1"/>
                <w:sz w:val="22"/>
                <w:szCs w:val="22"/>
              </w:rPr>
              <w:t>fotosenzitivita</w:t>
            </w:r>
            <w:proofErr w:type="spellEnd"/>
          </w:p>
        </w:tc>
      </w:tr>
      <w:tr w:rsidR="0084689E" w:rsidRPr="00C92EAF" w:rsidTr="00CA3F5B">
        <w:trPr>
          <w:trHeight w:hRule="exact" w:val="894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156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1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r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C92EAF">
              <w:rPr>
                <w:b/>
                <w:bCs/>
                <w:sz w:val="22"/>
                <w:szCs w:val="22"/>
              </w:rPr>
              <w:t>chy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k</w:t>
            </w:r>
            <w:r w:rsidRPr="00C92EAF">
              <w:rPr>
                <w:b/>
                <w:bCs/>
                <w:spacing w:val="-3"/>
                <w:sz w:val="22"/>
                <w:szCs w:val="22"/>
              </w:rPr>
              <w:t>o</w:t>
            </w:r>
            <w:r w:rsidRPr="00C92EAF">
              <w:rPr>
                <w:b/>
                <w:bCs/>
                <w:sz w:val="22"/>
                <w:szCs w:val="22"/>
              </w:rPr>
              <w:t>s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r</w:t>
            </w:r>
            <w:r w:rsidRPr="00C92EAF">
              <w:rPr>
                <w:b/>
                <w:bCs/>
                <w:sz w:val="22"/>
                <w:szCs w:val="22"/>
              </w:rPr>
              <w:t>ovej</w:t>
            </w:r>
            <w:r w:rsidRPr="00C92EAF">
              <w:rPr>
                <w:spacing w:val="-1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sv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C92EAF">
              <w:rPr>
                <w:b/>
                <w:bCs/>
                <w:sz w:val="22"/>
                <w:szCs w:val="22"/>
              </w:rPr>
              <w:t>l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o</w:t>
            </w:r>
            <w:r w:rsidRPr="00C92EAF">
              <w:rPr>
                <w:b/>
                <w:bCs/>
                <w:sz w:val="22"/>
                <w:szCs w:val="22"/>
              </w:rPr>
              <w:t>vej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sús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t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v</w:t>
            </w:r>
            <w:r w:rsidRPr="00C92EAF">
              <w:rPr>
                <w:b/>
                <w:bCs/>
                <w:sz w:val="22"/>
                <w:szCs w:val="22"/>
              </w:rPr>
              <w:t>y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sp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o</w:t>
            </w:r>
            <w:r w:rsidRPr="00C92EAF">
              <w:rPr>
                <w:b/>
                <w:bCs/>
                <w:sz w:val="22"/>
                <w:szCs w:val="22"/>
              </w:rPr>
              <w:t>j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vového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tk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va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  <w:proofErr w:type="spellStart"/>
            <w:r w:rsidRPr="00C92EAF">
              <w:rPr>
                <w:spacing w:val="-1"/>
                <w:sz w:val="22"/>
                <w:szCs w:val="22"/>
              </w:rPr>
              <w:t>m</w:t>
            </w:r>
            <w:r w:rsidRPr="00C92EAF">
              <w:rPr>
                <w:spacing w:val="-2"/>
                <w:sz w:val="22"/>
                <w:szCs w:val="22"/>
              </w:rPr>
              <w:t>y</w:t>
            </w:r>
            <w:r w:rsidRPr="00C92EAF">
              <w:rPr>
                <w:sz w:val="22"/>
                <w:szCs w:val="22"/>
              </w:rPr>
              <w:t>al</w:t>
            </w:r>
            <w:r w:rsidRPr="00C92EAF">
              <w:rPr>
                <w:spacing w:val="-1"/>
                <w:sz w:val="22"/>
                <w:szCs w:val="22"/>
              </w:rPr>
              <w:t>g</w:t>
            </w:r>
            <w:r w:rsidRPr="00C92EAF">
              <w:rPr>
                <w:sz w:val="22"/>
                <w:szCs w:val="22"/>
              </w:rPr>
              <w:t>ia</w:t>
            </w:r>
            <w:proofErr w:type="spellEnd"/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4689E" w:rsidRPr="00C92EAF" w:rsidTr="00CA3F5B">
        <w:trPr>
          <w:trHeight w:hRule="exact" w:val="2077"/>
        </w:trPr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</w:tcPr>
          <w:p w:rsidR="00483259" w:rsidRDefault="0084689E" w:rsidP="00483259">
            <w:pPr>
              <w:widowControl w:val="0"/>
              <w:autoSpaceDE w:val="0"/>
              <w:autoSpaceDN w:val="0"/>
              <w:adjustRightInd w:val="0"/>
              <w:ind w:left="107" w:right="451"/>
              <w:rPr>
                <w:sz w:val="22"/>
                <w:szCs w:val="22"/>
              </w:rPr>
            </w:pPr>
            <w:r w:rsidRPr="00C92EAF">
              <w:rPr>
                <w:b/>
                <w:bCs/>
                <w:spacing w:val="-1"/>
                <w:sz w:val="22"/>
                <w:szCs w:val="22"/>
              </w:rPr>
              <w:t>C</w:t>
            </w:r>
            <w:r w:rsidRPr="00C92EAF">
              <w:rPr>
                <w:b/>
                <w:bCs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l</w:t>
            </w:r>
            <w:r w:rsidRPr="00C92EAF">
              <w:rPr>
                <w:b/>
                <w:bCs/>
                <w:sz w:val="22"/>
                <w:szCs w:val="22"/>
              </w:rPr>
              <w:t>kové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C92EAF">
              <w:rPr>
                <w:b/>
                <w:bCs/>
                <w:sz w:val="22"/>
                <w:szCs w:val="22"/>
              </w:rPr>
              <w:t>oruchy</w:t>
            </w:r>
            <w:r w:rsidRPr="00C92EAF">
              <w:rPr>
                <w:spacing w:val="-2"/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rea</w:t>
            </w:r>
            <w:r w:rsidRPr="00C92EAF">
              <w:rPr>
                <w:b/>
                <w:bCs/>
                <w:spacing w:val="-2"/>
                <w:sz w:val="22"/>
                <w:szCs w:val="22"/>
              </w:rPr>
              <w:t>k</w:t>
            </w:r>
            <w:r w:rsidRPr="00C92EAF">
              <w:rPr>
                <w:b/>
                <w:bCs/>
                <w:sz w:val="22"/>
                <w:szCs w:val="22"/>
              </w:rPr>
              <w:t>c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e</w:t>
            </w:r>
            <w:r w:rsidRPr="00C92EAF">
              <w:rPr>
                <w:sz w:val="22"/>
                <w:szCs w:val="22"/>
              </w:rPr>
              <w:t xml:space="preserve"> 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07" w:right="451"/>
              <w:rPr>
                <w:sz w:val="22"/>
                <w:szCs w:val="22"/>
              </w:rPr>
            </w:pPr>
            <w:r w:rsidRPr="00C92EAF">
              <w:rPr>
                <w:b/>
                <w:bCs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m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e</w:t>
            </w:r>
            <w:r w:rsidRPr="00C92EAF">
              <w:rPr>
                <w:b/>
                <w:bCs/>
                <w:spacing w:val="-1"/>
                <w:sz w:val="22"/>
                <w:szCs w:val="22"/>
              </w:rPr>
              <w:t>s</w:t>
            </w:r>
            <w:r w:rsidRPr="00C92EAF">
              <w:rPr>
                <w:b/>
                <w:bCs/>
                <w:sz w:val="22"/>
                <w:szCs w:val="22"/>
              </w:rPr>
              <w:t>te</w:t>
            </w:r>
            <w:r w:rsidRPr="00C92EAF">
              <w:rPr>
                <w:sz w:val="22"/>
                <w:szCs w:val="22"/>
              </w:rPr>
              <w:t xml:space="preserve"> </w:t>
            </w:r>
            <w:r w:rsidRPr="00C92EAF">
              <w:rPr>
                <w:b/>
                <w:bCs/>
                <w:sz w:val="22"/>
                <w:szCs w:val="22"/>
              </w:rPr>
              <w:t>poda</w:t>
            </w:r>
            <w:r w:rsidRPr="00C92EAF">
              <w:rPr>
                <w:b/>
                <w:bCs/>
                <w:spacing w:val="-3"/>
                <w:sz w:val="22"/>
                <w:szCs w:val="22"/>
              </w:rPr>
              <w:t>n</w:t>
            </w:r>
            <w:r w:rsidRPr="00C92EAF">
              <w:rPr>
                <w:b/>
                <w:bCs/>
                <w:spacing w:val="1"/>
                <w:sz w:val="22"/>
                <w:szCs w:val="22"/>
              </w:rPr>
              <w:t>i</w:t>
            </w:r>
            <w:r w:rsidRPr="00C92EAF">
              <w:rPr>
                <w:b/>
                <w:bCs/>
                <w:sz w:val="22"/>
                <w:szCs w:val="22"/>
              </w:rPr>
              <w:t>a</w:t>
            </w:r>
          </w:p>
          <w:p w:rsidR="0084689E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časté (deti do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2 rokov)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ľ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r w:rsidRPr="00C92EAF">
              <w:rPr>
                <w:sz w:val="22"/>
                <w:szCs w:val="22"/>
              </w:rPr>
              <w:t xml:space="preserve">i </w:t>
            </w:r>
            <w:r w:rsidRPr="00C92EAF">
              <w:rPr>
                <w:spacing w:val="-3"/>
                <w:sz w:val="22"/>
                <w:szCs w:val="22"/>
              </w:rPr>
              <w:t>z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v</w:t>
            </w:r>
            <w:r w:rsidRPr="00C92EAF">
              <w:rPr>
                <w:sz w:val="22"/>
                <w:szCs w:val="22"/>
              </w:rPr>
              <w:t>é</w:t>
            </w:r>
          </w:p>
          <w:p w:rsidR="003236EA" w:rsidRPr="00C92EAF" w:rsidRDefault="003236EA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</w:p>
          <w:p w:rsidR="003236EA" w:rsidRPr="00C92EAF" w:rsidRDefault="003236EA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</w:p>
          <w:p w:rsidR="003236EA" w:rsidRPr="00C92EAF" w:rsidRDefault="003236EA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neznáme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</w:tcPr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48"/>
              <w:rPr>
                <w:spacing w:val="-1"/>
                <w:sz w:val="22"/>
                <w:szCs w:val="22"/>
              </w:rPr>
            </w:pPr>
            <w:r w:rsidRPr="00C92EAF">
              <w:rPr>
                <w:spacing w:val="-1"/>
                <w:sz w:val="22"/>
                <w:szCs w:val="22"/>
              </w:rPr>
              <w:t>únava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48"/>
              <w:rPr>
                <w:spacing w:val="-1"/>
                <w:sz w:val="22"/>
                <w:szCs w:val="22"/>
              </w:rPr>
            </w:pPr>
            <w:r w:rsidRPr="00C92EAF">
              <w:rPr>
                <w:spacing w:val="-1"/>
                <w:sz w:val="22"/>
                <w:szCs w:val="22"/>
              </w:rPr>
              <w:t>horúčka</w:t>
            </w:r>
          </w:p>
          <w:p w:rsidR="007A1870" w:rsidRPr="00C92EAF" w:rsidRDefault="007A1870" w:rsidP="00483259">
            <w:pPr>
              <w:widowControl w:val="0"/>
              <w:autoSpaceDE w:val="0"/>
              <w:autoSpaceDN w:val="0"/>
              <w:adjustRightInd w:val="0"/>
              <w:ind w:left="112" w:right="48"/>
              <w:rPr>
                <w:spacing w:val="-1"/>
                <w:sz w:val="22"/>
                <w:szCs w:val="22"/>
              </w:rPr>
            </w:pP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48"/>
              <w:rPr>
                <w:sz w:val="22"/>
                <w:szCs w:val="22"/>
              </w:rPr>
            </w:pP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e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5"/>
                <w:sz w:val="22"/>
                <w:szCs w:val="22"/>
              </w:rPr>
              <w:t>kc</w:t>
            </w:r>
            <w:r w:rsidRPr="00C92EAF">
              <w:rPr>
                <w:spacing w:val="-1"/>
                <w:sz w:val="22"/>
                <w:szCs w:val="22"/>
              </w:rPr>
              <w:t>i</w:t>
            </w:r>
            <w:r w:rsidRPr="00C92EAF">
              <w:rPr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 xml:space="preserve"> </w:t>
            </w:r>
            <w:r w:rsidRPr="00C92EAF">
              <w:rPr>
                <w:sz w:val="22"/>
                <w:szCs w:val="22"/>
              </w:rPr>
              <w:t>z</w:t>
            </w:r>
            <w:r w:rsidRPr="00C92EAF">
              <w:rPr>
                <w:spacing w:val="-9"/>
                <w:sz w:val="22"/>
                <w:szCs w:val="22"/>
              </w:rPr>
              <w:t xml:space="preserve"> </w:t>
            </w:r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2"/>
                <w:sz w:val="22"/>
                <w:szCs w:val="22"/>
              </w:rPr>
              <w:t>r</w:t>
            </w:r>
            <w:r w:rsidRPr="00C92EAF">
              <w:rPr>
                <w:spacing w:val="-4"/>
                <w:sz w:val="22"/>
                <w:szCs w:val="22"/>
              </w:rPr>
              <w:t>e</w:t>
            </w:r>
            <w:r w:rsidRPr="00C92EAF">
              <w:rPr>
                <w:spacing w:val="-2"/>
                <w:sz w:val="22"/>
                <w:szCs w:val="22"/>
              </w:rPr>
              <w:t>c</w:t>
            </w:r>
            <w:r w:rsidRPr="00C92EAF">
              <w:rPr>
                <w:spacing w:val="-4"/>
                <w:sz w:val="22"/>
                <w:szCs w:val="22"/>
              </w:rPr>
              <w:t>it</w:t>
            </w:r>
            <w:r w:rsidRPr="00C92EAF">
              <w:rPr>
                <w:spacing w:val="-3"/>
                <w:sz w:val="22"/>
                <w:szCs w:val="22"/>
              </w:rPr>
              <w:t>l</w:t>
            </w:r>
            <w:r w:rsidRPr="00C92EAF">
              <w:rPr>
                <w:spacing w:val="-2"/>
                <w:sz w:val="22"/>
                <w:szCs w:val="22"/>
              </w:rPr>
              <w:t>i</w:t>
            </w:r>
            <w:r w:rsidRPr="00C92EAF">
              <w:rPr>
                <w:spacing w:val="-5"/>
                <w:sz w:val="22"/>
                <w:szCs w:val="22"/>
              </w:rPr>
              <w:t>v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r w:rsidRPr="00C92EAF">
              <w:rPr>
                <w:spacing w:val="-4"/>
                <w:sz w:val="22"/>
                <w:szCs w:val="22"/>
              </w:rPr>
              <w:t>n</w:t>
            </w:r>
            <w:r w:rsidRPr="00C92EAF">
              <w:rPr>
                <w:spacing w:val="-3"/>
                <w:sz w:val="22"/>
                <w:szCs w:val="22"/>
              </w:rPr>
              <w:t>o</w:t>
            </w:r>
            <w:r w:rsidRPr="00C92EAF">
              <w:rPr>
                <w:spacing w:val="-4"/>
                <w:sz w:val="22"/>
                <w:szCs w:val="22"/>
              </w:rPr>
              <w:t>st</w:t>
            </w:r>
            <w:r w:rsidRPr="00C92EAF">
              <w:rPr>
                <w:sz w:val="22"/>
                <w:szCs w:val="22"/>
              </w:rPr>
              <w:t>i</w:t>
            </w:r>
            <w:r w:rsidRPr="00C92EAF">
              <w:rPr>
                <w:spacing w:val="-6"/>
                <w:sz w:val="22"/>
                <w:szCs w:val="22"/>
              </w:rPr>
              <w:t xml:space="preserve"> </w:t>
            </w:r>
            <w:r w:rsidRPr="00C92EAF">
              <w:rPr>
                <w:spacing w:val="-4"/>
                <w:sz w:val="22"/>
                <w:szCs w:val="22"/>
              </w:rPr>
              <w:t>(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z w:val="22"/>
                <w:szCs w:val="22"/>
              </w:rPr>
              <w:t>o</w:t>
            </w:r>
            <w:r w:rsidRPr="00C92EA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5"/>
                <w:sz w:val="22"/>
                <w:szCs w:val="22"/>
              </w:rPr>
              <w:t>a</w:t>
            </w:r>
            <w:r w:rsidRPr="00C92EAF">
              <w:rPr>
                <w:spacing w:val="-2"/>
                <w:sz w:val="22"/>
                <w:szCs w:val="22"/>
              </w:rPr>
              <w:t>n</w:t>
            </w:r>
            <w:r w:rsidRPr="00C92EAF">
              <w:rPr>
                <w:spacing w:val="-5"/>
                <w:sz w:val="22"/>
                <w:szCs w:val="22"/>
              </w:rPr>
              <w:t>a</w:t>
            </w:r>
            <w:r w:rsidRPr="00C92EAF">
              <w:rPr>
                <w:spacing w:val="-1"/>
                <w:sz w:val="22"/>
                <w:szCs w:val="22"/>
              </w:rPr>
              <w:t>f</w:t>
            </w:r>
            <w:r w:rsidRPr="00C92EAF">
              <w:rPr>
                <w:spacing w:val="-5"/>
                <w:sz w:val="22"/>
                <w:szCs w:val="22"/>
              </w:rPr>
              <w:t>y</w:t>
            </w:r>
            <w:r w:rsidRPr="00C92EAF">
              <w:rPr>
                <w:spacing w:val="-4"/>
                <w:sz w:val="22"/>
                <w:szCs w:val="22"/>
              </w:rPr>
              <w:t>l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>x</w:t>
            </w:r>
            <w:r w:rsidRPr="00C92EAF">
              <w:rPr>
                <w:spacing w:val="-2"/>
                <w:sz w:val="22"/>
                <w:szCs w:val="22"/>
              </w:rPr>
              <w:t>i</w:t>
            </w:r>
            <w:r w:rsidRPr="00C92EAF">
              <w:rPr>
                <w:spacing w:val="-4"/>
                <w:sz w:val="22"/>
                <w:szCs w:val="22"/>
              </w:rPr>
              <w:t>a</w:t>
            </w:r>
            <w:proofErr w:type="spellEnd"/>
            <w:r w:rsidRPr="00C92EAF">
              <w:rPr>
                <w:sz w:val="22"/>
                <w:szCs w:val="22"/>
              </w:rPr>
              <w:t xml:space="preserve">, </w:t>
            </w:r>
            <w:proofErr w:type="spellStart"/>
            <w:r w:rsidRPr="00C92EAF">
              <w:rPr>
                <w:spacing w:val="-1"/>
                <w:sz w:val="22"/>
                <w:szCs w:val="22"/>
              </w:rPr>
              <w:t>a</w:t>
            </w:r>
            <w:r w:rsidRPr="00C92EAF">
              <w:rPr>
                <w:spacing w:val="-3"/>
                <w:sz w:val="22"/>
                <w:szCs w:val="22"/>
              </w:rPr>
              <w:t>n</w:t>
            </w:r>
            <w:r w:rsidRPr="00C92EAF">
              <w:rPr>
                <w:spacing w:val="-5"/>
                <w:sz w:val="22"/>
                <w:szCs w:val="22"/>
              </w:rPr>
              <w:t>g</w:t>
            </w:r>
            <w:r w:rsidRPr="00C92EAF">
              <w:rPr>
                <w:spacing w:val="-4"/>
                <w:sz w:val="22"/>
                <w:szCs w:val="22"/>
              </w:rPr>
              <w:t>i</w:t>
            </w:r>
            <w:r w:rsidRPr="00C92EAF">
              <w:rPr>
                <w:spacing w:val="-2"/>
                <w:sz w:val="22"/>
                <w:szCs w:val="22"/>
              </w:rPr>
              <w:t>o</w:t>
            </w:r>
            <w:r w:rsidRPr="00C92EAF">
              <w:rPr>
                <w:spacing w:val="-4"/>
                <w:sz w:val="22"/>
                <w:szCs w:val="22"/>
              </w:rPr>
              <w:t>e</w:t>
            </w:r>
            <w:r w:rsidRPr="00C92EAF">
              <w:rPr>
                <w:spacing w:val="-3"/>
                <w:sz w:val="22"/>
                <w:szCs w:val="22"/>
              </w:rPr>
              <w:t>d</w:t>
            </w:r>
            <w:r w:rsidRPr="00C92EAF">
              <w:rPr>
                <w:spacing w:val="-2"/>
                <w:sz w:val="22"/>
                <w:szCs w:val="22"/>
              </w:rPr>
              <w:t>é</w:t>
            </w:r>
            <w:r w:rsidRPr="00C92EAF">
              <w:rPr>
                <w:spacing w:val="-6"/>
                <w:sz w:val="22"/>
                <w:szCs w:val="22"/>
              </w:rPr>
              <w:t>m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2"/>
                <w:sz w:val="22"/>
                <w:szCs w:val="22"/>
              </w:rPr>
              <w:t>d</w:t>
            </w:r>
            <w:r w:rsidRPr="00C92EAF">
              <w:rPr>
                <w:spacing w:val="-5"/>
                <w:sz w:val="22"/>
                <w:szCs w:val="22"/>
              </w:rPr>
              <w:t>y</w:t>
            </w:r>
            <w:r w:rsidRPr="00C92EAF">
              <w:rPr>
                <w:spacing w:val="-4"/>
                <w:sz w:val="22"/>
                <w:szCs w:val="22"/>
              </w:rPr>
              <w:t>s</w:t>
            </w:r>
            <w:r w:rsidRPr="00C92EAF">
              <w:rPr>
                <w:spacing w:val="-3"/>
                <w:sz w:val="22"/>
                <w:szCs w:val="22"/>
              </w:rPr>
              <w:t>p</w:t>
            </w:r>
            <w:r w:rsidRPr="00C92EAF">
              <w:rPr>
                <w:spacing w:val="-2"/>
                <w:sz w:val="22"/>
                <w:szCs w:val="22"/>
              </w:rPr>
              <w:t>n</w:t>
            </w:r>
            <w:r w:rsidRPr="00C92EAF">
              <w:rPr>
                <w:spacing w:val="-5"/>
                <w:sz w:val="22"/>
                <w:szCs w:val="22"/>
              </w:rPr>
              <w:t>o</w:t>
            </w:r>
            <w:r w:rsidRPr="00C92EAF">
              <w:rPr>
                <w:spacing w:val="-2"/>
                <w:sz w:val="22"/>
                <w:szCs w:val="22"/>
              </w:rPr>
              <w:t>e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5"/>
                <w:sz w:val="22"/>
                <w:szCs w:val="22"/>
              </w:rPr>
              <w:t>p</w:t>
            </w:r>
            <w:r w:rsidRPr="00C92EAF">
              <w:rPr>
                <w:spacing w:val="-1"/>
                <w:sz w:val="22"/>
                <w:szCs w:val="22"/>
              </w:rPr>
              <w:t>r</w:t>
            </w:r>
            <w:r w:rsidRPr="00C92EAF">
              <w:rPr>
                <w:spacing w:val="-5"/>
                <w:sz w:val="22"/>
                <w:szCs w:val="22"/>
              </w:rPr>
              <w:t>u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1"/>
                <w:sz w:val="22"/>
                <w:szCs w:val="22"/>
              </w:rPr>
              <w:t>i</w:t>
            </w:r>
            <w:r w:rsidRPr="00C92EAF">
              <w:rPr>
                <w:spacing w:val="-4"/>
                <w:sz w:val="22"/>
                <w:szCs w:val="22"/>
              </w:rPr>
              <w:t>t</w:t>
            </w:r>
            <w:r w:rsidRPr="00C92EAF">
              <w:rPr>
                <w:spacing w:val="-5"/>
                <w:sz w:val="22"/>
                <w:szCs w:val="22"/>
              </w:rPr>
              <w:t>u</w:t>
            </w:r>
            <w:r w:rsidRPr="00C92EAF">
              <w:rPr>
                <w:spacing w:val="-2"/>
                <w:sz w:val="22"/>
                <w:szCs w:val="22"/>
              </w:rPr>
              <w:t>s</w:t>
            </w:r>
            <w:proofErr w:type="spellEnd"/>
            <w:r w:rsidRPr="00C92EAF">
              <w:rPr>
                <w:sz w:val="22"/>
                <w:szCs w:val="22"/>
              </w:rPr>
              <w:t>,</w:t>
            </w:r>
            <w:r w:rsidRPr="00C92EAF">
              <w:rPr>
                <w:spacing w:val="-5"/>
                <w:sz w:val="22"/>
                <w:szCs w:val="22"/>
              </w:rPr>
              <w:t xml:space="preserve"> v</w:t>
            </w:r>
            <w:r w:rsidRPr="00C92EAF">
              <w:rPr>
                <w:spacing w:val="-4"/>
                <w:sz w:val="22"/>
                <w:szCs w:val="22"/>
              </w:rPr>
              <w:t>y</w:t>
            </w:r>
            <w:r w:rsidRPr="00C92EAF">
              <w:rPr>
                <w:spacing w:val="-2"/>
                <w:sz w:val="22"/>
                <w:szCs w:val="22"/>
              </w:rPr>
              <w:t>rá</w:t>
            </w:r>
            <w:r w:rsidRPr="00C92EAF">
              <w:rPr>
                <w:spacing w:val="-4"/>
                <w:sz w:val="22"/>
                <w:szCs w:val="22"/>
              </w:rPr>
              <w:t>ž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z w:val="22"/>
                <w:szCs w:val="22"/>
              </w:rPr>
              <w:t>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a</w:t>
            </w:r>
            <w:r w:rsidRPr="00C92EA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92EAF">
              <w:rPr>
                <w:spacing w:val="-5"/>
                <w:sz w:val="22"/>
                <w:szCs w:val="22"/>
              </w:rPr>
              <w:t>u</w:t>
            </w:r>
            <w:r w:rsidRPr="00C92EAF">
              <w:rPr>
                <w:spacing w:val="-4"/>
                <w:sz w:val="22"/>
                <w:szCs w:val="22"/>
              </w:rPr>
              <w:t>r</w:t>
            </w:r>
            <w:r w:rsidRPr="00C92EAF">
              <w:rPr>
                <w:spacing w:val="-3"/>
                <w:sz w:val="22"/>
                <w:szCs w:val="22"/>
              </w:rPr>
              <w:t>t</w:t>
            </w:r>
            <w:r w:rsidRPr="00C92EAF">
              <w:rPr>
                <w:spacing w:val="-2"/>
                <w:sz w:val="22"/>
                <w:szCs w:val="22"/>
              </w:rPr>
              <w:t>i</w:t>
            </w:r>
            <w:r w:rsidRPr="00C92EAF">
              <w:rPr>
                <w:spacing w:val="-5"/>
                <w:sz w:val="22"/>
                <w:szCs w:val="22"/>
              </w:rPr>
              <w:t>k</w:t>
            </w:r>
            <w:r w:rsidRPr="00C92EAF">
              <w:rPr>
                <w:spacing w:val="-1"/>
                <w:sz w:val="22"/>
                <w:szCs w:val="22"/>
              </w:rPr>
              <w:t>á</w:t>
            </w:r>
            <w:r w:rsidRPr="00C92EAF">
              <w:rPr>
                <w:spacing w:val="-4"/>
                <w:sz w:val="22"/>
                <w:szCs w:val="22"/>
              </w:rPr>
              <w:t>ri</w:t>
            </w:r>
            <w:r w:rsidRPr="00C92EAF">
              <w:rPr>
                <w:spacing w:val="-2"/>
                <w:sz w:val="22"/>
                <w:szCs w:val="22"/>
              </w:rPr>
              <w:t>a</w:t>
            </w:r>
            <w:proofErr w:type="spellEnd"/>
            <w:r w:rsidRPr="00C92EAF">
              <w:rPr>
                <w:sz w:val="22"/>
                <w:szCs w:val="22"/>
              </w:rPr>
              <w:t>)</w:t>
            </w:r>
          </w:p>
          <w:p w:rsidR="00086E22" w:rsidRPr="00C92EAF" w:rsidRDefault="00086E22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</w:p>
          <w:p w:rsidR="003236EA" w:rsidRPr="00C92EAF" w:rsidRDefault="003236EA" w:rsidP="00483259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asténia</w:t>
            </w:r>
          </w:p>
          <w:p w:rsidR="0084689E" w:rsidRPr="00C92EAF" w:rsidRDefault="0084689E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3259" w:rsidRPr="00C92EAF" w:rsidTr="00CA3F5B">
        <w:trPr>
          <w:trHeight w:hRule="exact" w:val="610"/>
        </w:trPr>
        <w:tc>
          <w:tcPr>
            <w:tcW w:w="0" w:type="auto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ind w:left="107" w:right="451"/>
              <w:rPr>
                <w:b/>
                <w:bCs/>
                <w:spacing w:val="-1"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Laboratórne a funkčné vyšetrenia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</w:tcPr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neznáme</w:t>
            </w:r>
          </w:p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</w:tcPr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ind w:left="112" w:right="48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zvýšená telesná hmotnosť</w:t>
            </w:r>
          </w:p>
        </w:tc>
      </w:tr>
      <w:tr w:rsidR="00483259" w:rsidTr="00CA3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3"/>
        </w:trPr>
        <w:tc>
          <w:tcPr>
            <w:tcW w:w="3613" w:type="dxa"/>
          </w:tcPr>
          <w:p w:rsidR="00236C66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Poruchy metabolizmu a výživy</w:t>
            </w:r>
          </w:p>
        </w:tc>
        <w:tc>
          <w:tcPr>
            <w:tcW w:w="1523" w:type="dxa"/>
          </w:tcPr>
          <w:p w:rsidR="00483259" w:rsidRPr="00C92EAF" w:rsidRDefault="00483259" w:rsidP="00483259">
            <w:pPr>
              <w:widowControl w:val="0"/>
              <w:autoSpaceDE w:val="0"/>
              <w:autoSpaceDN w:val="0"/>
              <w:adjustRightInd w:val="0"/>
              <w:ind w:left="297" w:right="-20"/>
              <w:rPr>
                <w:sz w:val="22"/>
                <w:szCs w:val="22"/>
              </w:rPr>
            </w:pPr>
            <w:r w:rsidRPr="00C92EAF">
              <w:rPr>
                <w:sz w:val="22"/>
                <w:szCs w:val="22"/>
              </w:rPr>
              <w:t>neznáme</w:t>
            </w:r>
          </w:p>
          <w:p w:rsidR="00483259" w:rsidRDefault="00483259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483259" w:rsidRDefault="00236C66" w:rsidP="004832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zvýšená chuť do jedla</w:t>
            </w:r>
          </w:p>
        </w:tc>
      </w:tr>
    </w:tbl>
    <w:p w:rsidR="00483259" w:rsidRDefault="00483259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3900FF" w:rsidRPr="00C92EAF" w:rsidRDefault="003900FF" w:rsidP="003900FF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Pediatrická populácia</w:t>
      </w:r>
    </w:p>
    <w:p w:rsidR="007B66C7" w:rsidRPr="00C92EAF" w:rsidRDefault="007B66C7" w:rsidP="007B66C7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Ostatné nežiaduce účinky hlásené s neznámou frekvenciou u pediatrických pacientov počas obdobia</w:t>
      </w:r>
    </w:p>
    <w:p w:rsidR="007B66C7" w:rsidRPr="00C92EAF" w:rsidRDefault="007B66C7" w:rsidP="007B66C7">
      <w:pPr>
        <w:widowControl w:val="0"/>
        <w:autoSpaceDE w:val="0"/>
        <w:autoSpaceDN w:val="0"/>
        <w:adjustRightInd w:val="0"/>
        <w:spacing w:after="17" w:line="240" w:lineRule="exact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po uvedení na trh zahŕňali predĺženie QT intervalu, </w:t>
      </w:r>
      <w:proofErr w:type="spellStart"/>
      <w:r w:rsidRPr="00C92EAF">
        <w:rPr>
          <w:rFonts w:eastAsiaTheme="minorHAnsi"/>
          <w:sz w:val="22"/>
          <w:szCs w:val="22"/>
        </w:rPr>
        <w:t>arytmiu</w:t>
      </w:r>
      <w:proofErr w:type="spellEnd"/>
      <w:r w:rsidRPr="00C92EAF">
        <w:rPr>
          <w:rFonts w:eastAsiaTheme="minorHAnsi"/>
          <w:sz w:val="22"/>
          <w:szCs w:val="22"/>
        </w:rPr>
        <w:t>, abnormálne správanie</w:t>
      </w:r>
      <w:r w:rsidR="008E5D79" w:rsidRPr="00C92EAF">
        <w:rPr>
          <w:rFonts w:eastAsiaTheme="minorHAnsi"/>
          <w:sz w:val="22"/>
          <w:szCs w:val="22"/>
        </w:rPr>
        <w:t xml:space="preserve">, agresivitu </w:t>
      </w:r>
      <w:r w:rsidRPr="00C92EAF">
        <w:rPr>
          <w:rFonts w:eastAsiaTheme="minorHAnsi"/>
          <w:sz w:val="22"/>
          <w:szCs w:val="22"/>
        </w:rPr>
        <w:t>a bradykardiu.</w:t>
      </w:r>
    </w:p>
    <w:p w:rsidR="003900FF" w:rsidRPr="00C92EAF" w:rsidRDefault="003900FF" w:rsidP="004A0BF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B49CE" w:rsidRPr="00C92EAF" w:rsidRDefault="008B49CE" w:rsidP="004A0BF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92EAF">
        <w:rPr>
          <w:noProof/>
          <w:sz w:val="22"/>
          <w:szCs w:val="22"/>
          <w:u w:val="single"/>
        </w:rPr>
        <w:t>Hlásenie podozrení na nežiaduce reakcie</w:t>
      </w:r>
    </w:p>
    <w:p w:rsidR="008B49CE" w:rsidRPr="00C92EAF" w:rsidRDefault="008B49CE" w:rsidP="004A0BF0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C92EAF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 w:rsidR="00086E22" w:rsidRPr="00C92EAF">
        <w:rPr>
          <w:sz w:val="22"/>
          <w:szCs w:val="22"/>
        </w:rPr>
        <w:t xml:space="preserve">reakcie na </w:t>
      </w:r>
      <w:r w:rsidR="00086E22" w:rsidRPr="00C92EAF">
        <w:rPr>
          <w:rStyle w:val="ft4"/>
          <w:sz w:val="22"/>
          <w:highlight w:val="lightGray"/>
        </w:rPr>
        <w:t xml:space="preserve">národné centrum hlásenia uvedené v </w:t>
      </w:r>
      <w:hyperlink r:id="rId8" w:history="1">
        <w:r w:rsidR="00086E22" w:rsidRPr="00C92EAF">
          <w:rPr>
            <w:rStyle w:val="ft52"/>
            <w:color w:val="0000FF"/>
            <w:sz w:val="22"/>
            <w:highlight w:val="lightGray"/>
            <w:u w:val="single"/>
          </w:rPr>
          <w:t>Prílohe V</w:t>
        </w:r>
      </w:hyperlink>
      <w:r w:rsidRPr="00C92EAF">
        <w:rPr>
          <w:noProof/>
          <w:sz w:val="22"/>
          <w:szCs w:val="22"/>
        </w:rPr>
        <w:t>.</w:t>
      </w: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lastRenderedPageBreak/>
        <w:t>4.9</w:t>
      </w:r>
      <w:r w:rsidRPr="00C5188B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A00A4" w:rsidRPr="00C92EAF" w:rsidRDefault="005A00A4" w:rsidP="004A0BF0">
      <w:pPr>
        <w:jc w:val="both"/>
        <w:rPr>
          <w:iCs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Profil nežiaducich udalostí spojených s predávkovaním, pozorovaný počas užívania po uvedení na trh,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je podobný profilu pozorovanému pri terapeutických dávkach, intenzita účinkov však môže byť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väčšia.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Liečba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prípade predávkovania zvážte štandardné metódy na odstránenie neabsorbovaného liečiva.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Odporúča sa symptomatická a podporná liečba.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sa neodstraňuje hemodialýzou a nie je známe, či sa eliminuje </w:t>
      </w:r>
      <w:proofErr w:type="spellStart"/>
      <w:r w:rsidRPr="00C92EAF">
        <w:rPr>
          <w:rFonts w:eastAsiaTheme="minorHAnsi"/>
          <w:sz w:val="22"/>
          <w:szCs w:val="22"/>
        </w:rPr>
        <w:t>peritoneálnou</w:t>
      </w:r>
      <w:proofErr w:type="spellEnd"/>
      <w:r w:rsidRPr="00C92EAF">
        <w:rPr>
          <w:rFonts w:eastAsiaTheme="minorHAnsi"/>
          <w:sz w:val="22"/>
          <w:szCs w:val="22"/>
        </w:rPr>
        <w:t xml:space="preserve"> dialýzou.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Príznaky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klinickom skúšaní s viacnásobnou dávkou u dospelých a dospievajúcich, v ktorom bolo podaných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až do 45 mg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(deväťnásobok klinickej dávky), neboli pozorované žiadne klinicky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relevantné účinky.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Pediatrická populácia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Profil nežiaducich udalostí spojených s predávkovaním, pozorovaný počas užívania po uvedení na trh,</w:t>
      </w:r>
    </w:p>
    <w:p w:rsidR="005449A5" w:rsidRPr="00C92EAF" w:rsidRDefault="003236EA" w:rsidP="003236EA">
      <w:pPr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je podobný profilu pozorovanému pri terapeutických dávkach, rozsah účinkov však môže byť väčší.</w:t>
      </w:r>
    </w:p>
    <w:p w:rsidR="005449A5" w:rsidRPr="00C92EAF" w:rsidRDefault="005449A5" w:rsidP="004A0BF0">
      <w:pPr>
        <w:rPr>
          <w:sz w:val="22"/>
          <w:szCs w:val="22"/>
        </w:rPr>
      </w:pPr>
    </w:p>
    <w:p w:rsidR="003236EA" w:rsidRPr="00C92EAF" w:rsidRDefault="003236EA" w:rsidP="004A0BF0">
      <w:pPr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Farmakologické vlastnosti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BA6103" w:rsidRPr="00C92EAF" w:rsidRDefault="005A00A4" w:rsidP="00BA6103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5.1</w:t>
      </w:r>
      <w:r w:rsidRPr="00C5188B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C5188B">
        <w:rPr>
          <w:rFonts w:ascii="Times New Roman" w:hAnsi="Times New Roman"/>
          <w:i w:val="0"/>
          <w:sz w:val="22"/>
          <w:szCs w:val="22"/>
        </w:rPr>
        <w:t>Farmakodynamické</w:t>
      </w:r>
      <w:proofErr w:type="spellEnd"/>
      <w:r w:rsidRPr="00C5188B">
        <w:rPr>
          <w:rFonts w:ascii="Times New Roman" w:hAnsi="Times New Roman"/>
          <w:i w:val="0"/>
          <w:sz w:val="22"/>
          <w:szCs w:val="22"/>
        </w:rPr>
        <w:t xml:space="preserve"> vlastnosti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3236EA" w:rsidRPr="00C92EAF" w:rsidRDefault="00BA6103" w:rsidP="00BA6103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C5188B">
        <w:rPr>
          <w:rFonts w:ascii="Times New Roman" w:hAnsi="Times New Roman"/>
          <w:b w:val="0"/>
          <w:i w:val="0"/>
          <w:sz w:val="22"/>
          <w:szCs w:val="22"/>
        </w:rPr>
        <w:t>Farmakoterapeutická</w:t>
      </w:r>
      <w:proofErr w:type="spellEnd"/>
      <w:r w:rsidRPr="00C5188B">
        <w:rPr>
          <w:rFonts w:ascii="Times New Roman" w:hAnsi="Times New Roman"/>
          <w:b w:val="0"/>
          <w:i w:val="0"/>
          <w:sz w:val="22"/>
          <w:szCs w:val="22"/>
        </w:rPr>
        <w:t xml:space="preserve"> skupina: </w:t>
      </w:r>
      <w:r w:rsidR="00086E22" w:rsidRPr="00C5188B">
        <w:rPr>
          <w:rFonts w:ascii="Times New Roman" w:hAnsi="Times New Roman"/>
          <w:b w:val="0"/>
          <w:i w:val="0"/>
          <w:sz w:val="22"/>
          <w:szCs w:val="22"/>
        </w:rPr>
        <w:t xml:space="preserve">iné </w:t>
      </w:r>
      <w:proofErr w:type="spellStart"/>
      <w:r w:rsidRPr="00C5188B">
        <w:rPr>
          <w:rFonts w:ascii="Times New Roman" w:hAnsi="Times New Roman"/>
          <w:b w:val="0"/>
          <w:i w:val="0"/>
          <w:sz w:val="22"/>
          <w:szCs w:val="22"/>
        </w:rPr>
        <w:t>antihistaminiká</w:t>
      </w:r>
      <w:proofErr w:type="spellEnd"/>
      <w:r w:rsidRPr="00C5188B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86E22" w:rsidRPr="00C5188B">
        <w:rPr>
          <w:rFonts w:ascii="Times New Roman" w:hAnsi="Times New Roman"/>
          <w:b w:val="0"/>
          <w:i w:val="0"/>
          <w:sz w:val="22"/>
          <w:szCs w:val="22"/>
        </w:rPr>
        <w:t xml:space="preserve">na </w:t>
      </w:r>
      <w:r w:rsidR="0045774B" w:rsidRPr="00C5188B">
        <w:rPr>
          <w:rFonts w:ascii="Times New Roman" w:hAnsi="Times New Roman"/>
          <w:b w:val="0"/>
          <w:i w:val="0"/>
          <w:sz w:val="22"/>
          <w:szCs w:val="22"/>
        </w:rPr>
        <w:t>systémové</w:t>
      </w:r>
      <w:r w:rsidR="00086E22" w:rsidRPr="00C5188B">
        <w:rPr>
          <w:rFonts w:ascii="Times New Roman" w:hAnsi="Times New Roman"/>
          <w:b w:val="0"/>
          <w:i w:val="0"/>
          <w:sz w:val="22"/>
          <w:szCs w:val="22"/>
        </w:rPr>
        <w:t xml:space="preserve"> použitie</w:t>
      </w:r>
    </w:p>
    <w:p w:rsidR="005A00A4" w:rsidRPr="00C92EAF" w:rsidRDefault="00BA6103" w:rsidP="00BA6103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C5188B">
        <w:rPr>
          <w:rFonts w:ascii="Times New Roman" w:hAnsi="Times New Roman"/>
          <w:b w:val="0"/>
          <w:i w:val="0"/>
          <w:sz w:val="22"/>
          <w:szCs w:val="22"/>
        </w:rPr>
        <w:t>ATC kód: R06AX27</w:t>
      </w:r>
    </w:p>
    <w:p w:rsidR="00BA6103" w:rsidRPr="00C92EAF" w:rsidRDefault="00BA6103" w:rsidP="00BA6103">
      <w:pPr>
        <w:pStyle w:val="Bodytext"/>
        <w:spacing w:after="0" w:line="240" w:lineRule="auto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Mechanizmus účinku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je nesedatívny, dlho pôsobiaci antagonista histamínu so selektívnou periférnou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antagonistickou aktivitou na H1-receptor. Po perorálnom podaní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selektívne blokuje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periférne histamínové H1-receptory, pretože nevstupuje do centrálneho nervového systému.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preukázal antialergické vlastnosti v </w:t>
      </w:r>
      <w:r w:rsidRPr="00C92EAF">
        <w:rPr>
          <w:rFonts w:eastAsiaTheme="minorHAnsi"/>
          <w:i/>
          <w:iCs/>
          <w:sz w:val="22"/>
          <w:szCs w:val="22"/>
        </w:rPr>
        <w:t xml:space="preserve">in vitro </w:t>
      </w:r>
      <w:r w:rsidRPr="00C92EAF">
        <w:rPr>
          <w:rFonts w:eastAsiaTheme="minorHAnsi"/>
          <w:sz w:val="22"/>
          <w:szCs w:val="22"/>
        </w:rPr>
        <w:t xml:space="preserve">štúdiách. Tieto vlastnosti </w:t>
      </w:r>
      <w:r w:rsidR="007B53DC" w:rsidRPr="00C92EAF">
        <w:rPr>
          <w:rFonts w:eastAsiaTheme="minorHAnsi"/>
          <w:sz w:val="22"/>
          <w:szCs w:val="22"/>
        </w:rPr>
        <w:t>zah</w:t>
      </w:r>
      <w:r w:rsidR="007B53DC">
        <w:rPr>
          <w:rFonts w:eastAsiaTheme="minorHAnsi"/>
          <w:sz w:val="22"/>
          <w:szCs w:val="22"/>
        </w:rPr>
        <w:t>ŕňajú</w:t>
      </w:r>
      <w:r w:rsidR="007B53DC" w:rsidRPr="00C92EAF">
        <w:rPr>
          <w:rFonts w:eastAsiaTheme="minorHAnsi"/>
          <w:sz w:val="22"/>
          <w:szCs w:val="22"/>
        </w:rPr>
        <w:t xml:space="preserve"> </w:t>
      </w:r>
      <w:r w:rsidRPr="00C92EAF">
        <w:rPr>
          <w:rFonts w:eastAsiaTheme="minorHAnsi"/>
          <w:sz w:val="22"/>
          <w:szCs w:val="22"/>
        </w:rPr>
        <w:t>inhibíciu</w:t>
      </w:r>
      <w:r w:rsidR="007B53DC">
        <w:rPr>
          <w:rFonts w:eastAsiaTheme="minorHAnsi"/>
          <w:sz w:val="22"/>
          <w:szCs w:val="22"/>
        </w:rPr>
        <w:t xml:space="preserve"> </w:t>
      </w:r>
      <w:r w:rsidRPr="00C92EAF">
        <w:rPr>
          <w:rFonts w:eastAsiaTheme="minorHAnsi"/>
          <w:sz w:val="22"/>
          <w:szCs w:val="22"/>
        </w:rPr>
        <w:t xml:space="preserve">uvoľňovania </w:t>
      </w:r>
      <w:proofErr w:type="spellStart"/>
      <w:r w:rsidRPr="00C92EAF">
        <w:rPr>
          <w:rFonts w:eastAsiaTheme="minorHAnsi"/>
          <w:sz w:val="22"/>
          <w:szCs w:val="22"/>
        </w:rPr>
        <w:t>prozápalových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cytokínov</w:t>
      </w:r>
      <w:proofErr w:type="spellEnd"/>
      <w:r w:rsidRPr="00C92EAF">
        <w:rPr>
          <w:rFonts w:eastAsiaTheme="minorHAnsi"/>
          <w:sz w:val="22"/>
          <w:szCs w:val="22"/>
        </w:rPr>
        <w:t>, ako sú IL-4, IL-6, IL-8 a IL-13 z ľudských žírnych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buniek/</w:t>
      </w:r>
      <w:proofErr w:type="spellStart"/>
      <w:r w:rsidRPr="00C92EAF">
        <w:rPr>
          <w:rFonts w:eastAsiaTheme="minorHAnsi"/>
          <w:sz w:val="22"/>
          <w:szCs w:val="22"/>
        </w:rPr>
        <w:t>bazofilov</w:t>
      </w:r>
      <w:proofErr w:type="spellEnd"/>
      <w:r w:rsidRPr="00C92EAF">
        <w:rPr>
          <w:rFonts w:eastAsiaTheme="minorHAnsi"/>
          <w:sz w:val="22"/>
          <w:szCs w:val="22"/>
        </w:rPr>
        <w:t xml:space="preserve">, ako aj inhibíciu </w:t>
      </w:r>
      <w:proofErr w:type="spellStart"/>
      <w:r w:rsidRPr="00C92EAF">
        <w:rPr>
          <w:rFonts w:eastAsiaTheme="minorHAnsi"/>
          <w:sz w:val="22"/>
          <w:szCs w:val="22"/>
        </w:rPr>
        <w:t>expresie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adhezívnej</w:t>
      </w:r>
      <w:proofErr w:type="spellEnd"/>
      <w:r w:rsidRPr="00C92EAF">
        <w:rPr>
          <w:rFonts w:eastAsiaTheme="minorHAnsi"/>
          <w:sz w:val="22"/>
          <w:szCs w:val="22"/>
        </w:rPr>
        <w:t xml:space="preserve"> molekuly </w:t>
      </w:r>
      <w:proofErr w:type="spellStart"/>
      <w:r w:rsidRPr="00C92EAF">
        <w:rPr>
          <w:rFonts w:eastAsiaTheme="minorHAnsi"/>
          <w:sz w:val="22"/>
          <w:szCs w:val="22"/>
        </w:rPr>
        <w:t>P-selektínu</w:t>
      </w:r>
      <w:proofErr w:type="spellEnd"/>
      <w:r w:rsidRPr="00C92EAF">
        <w:rPr>
          <w:rFonts w:eastAsiaTheme="minorHAnsi"/>
          <w:sz w:val="22"/>
          <w:szCs w:val="22"/>
        </w:rPr>
        <w:t xml:space="preserve"> na </w:t>
      </w:r>
      <w:proofErr w:type="spellStart"/>
      <w:r w:rsidRPr="00C92EAF">
        <w:rPr>
          <w:rFonts w:eastAsiaTheme="minorHAnsi"/>
          <w:sz w:val="22"/>
          <w:szCs w:val="22"/>
        </w:rPr>
        <w:t>endotelových</w:t>
      </w:r>
      <w:proofErr w:type="spellEnd"/>
      <w:r w:rsidRPr="00C92EAF">
        <w:rPr>
          <w:rFonts w:eastAsiaTheme="minorHAnsi"/>
          <w:sz w:val="22"/>
          <w:szCs w:val="22"/>
        </w:rPr>
        <w:t xml:space="preserve"> bunkách.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Klinická významnosť týchto pozorovaní musí byť ešte potvrdená.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5449A5" w:rsidRPr="00C92EAF" w:rsidRDefault="003236EA" w:rsidP="003236EA">
      <w:pPr>
        <w:rPr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Klinická účinnosť a bezpečnosť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Pediatrická populácia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Účinnosť perorálneho roztoku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sa neskúmala v samostatných klinických skúšaniach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pediatrickej populácii. Bezpečnosť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vo forme sirupu, ktorý obsahuje rovnakú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koncentráciu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ako perorálny roztok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, však bola preukázaná v troch klinických</w:t>
      </w:r>
      <w:r w:rsidR="007B53DC">
        <w:rPr>
          <w:rFonts w:eastAsiaTheme="minorHAnsi"/>
          <w:sz w:val="22"/>
          <w:szCs w:val="22"/>
        </w:rPr>
        <w:t xml:space="preserve"> </w:t>
      </w:r>
      <w:r w:rsidRPr="00C92EAF">
        <w:rPr>
          <w:rFonts w:eastAsiaTheme="minorHAnsi"/>
          <w:sz w:val="22"/>
          <w:szCs w:val="22"/>
        </w:rPr>
        <w:t>skúšaniach v pediatrickej populácii. Deti vo veku 1 – 11 rokov, ktoré boli kandidátmi na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antihistamínovú</w:t>
      </w:r>
      <w:proofErr w:type="spellEnd"/>
      <w:r w:rsidRPr="00C92EAF">
        <w:rPr>
          <w:rFonts w:eastAsiaTheme="minorHAnsi"/>
          <w:sz w:val="22"/>
          <w:szCs w:val="22"/>
        </w:rPr>
        <w:t xml:space="preserve"> liečbu, dostávali dennú dávku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1,25 mg (vo veku od 1 do 5 rokov) alebo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2,5 mg (vo veku od 6 do 11 rokov). Liečba bola dobre znášaná, čo je dokladované klinickými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laboratórnymi vyšetreniami, vitálnymi znakmi a údajmi o intervaloch EKG vrátane </w:t>
      </w:r>
      <w:proofErr w:type="spellStart"/>
      <w:r w:rsidRPr="00C92EAF">
        <w:rPr>
          <w:rFonts w:eastAsiaTheme="minorHAnsi"/>
          <w:sz w:val="22"/>
          <w:szCs w:val="22"/>
        </w:rPr>
        <w:t>QTc</w:t>
      </w:r>
      <w:proofErr w:type="spellEnd"/>
      <w:r w:rsidRPr="00C92EAF">
        <w:rPr>
          <w:rFonts w:eastAsiaTheme="minorHAnsi"/>
          <w:sz w:val="22"/>
          <w:szCs w:val="22"/>
        </w:rPr>
        <w:t>. Ak sa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podával v odporúčaných dávkach, plazmatické koncentrácie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(pozri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časť 5.2) boli porovnateľné v dospelej a pediatrickej populácii. Keďže je priebeh alergickej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rinitídy</w:t>
      </w:r>
      <w:proofErr w:type="spellEnd"/>
      <w:r w:rsidRPr="00C92EAF">
        <w:rPr>
          <w:rFonts w:eastAsiaTheme="minorHAnsi"/>
          <w:sz w:val="22"/>
          <w:szCs w:val="22"/>
        </w:rPr>
        <w:t xml:space="preserve">/chronickej </w:t>
      </w:r>
      <w:proofErr w:type="spellStart"/>
      <w:r w:rsidRPr="00C92EAF">
        <w:rPr>
          <w:rFonts w:eastAsiaTheme="minorHAnsi"/>
          <w:sz w:val="22"/>
          <w:szCs w:val="22"/>
        </w:rPr>
        <w:t>idiopatickej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urtikárie</w:t>
      </w:r>
      <w:proofErr w:type="spellEnd"/>
      <w:r w:rsidRPr="00C92EAF">
        <w:rPr>
          <w:rFonts w:eastAsiaTheme="minorHAnsi"/>
          <w:sz w:val="22"/>
          <w:szCs w:val="22"/>
        </w:rPr>
        <w:t xml:space="preserve"> a profil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v dospelej a pediatrickej populácii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podobný, údaje o účinnosti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u dospelých sa môžu </w:t>
      </w:r>
      <w:proofErr w:type="spellStart"/>
      <w:r w:rsidRPr="00C92EAF">
        <w:rPr>
          <w:rFonts w:eastAsiaTheme="minorHAnsi"/>
          <w:sz w:val="22"/>
          <w:szCs w:val="22"/>
        </w:rPr>
        <w:t>extrapolovať</w:t>
      </w:r>
      <w:proofErr w:type="spellEnd"/>
      <w:r w:rsidRPr="00C92EAF">
        <w:rPr>
          <w:rFonts w:eastAsiaTheme="minorHAnsi"/>
          <w:sz w:val="22"/>
          <w:szCs w:val="22"/>
        </w:rPr>
        <w:t xml:space="preserve"> na pediatrickú populáciu.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Účinnosť sirupu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sa neskúmala v pediatrických skúšaniach u detí vo veku menej ako 12</w:t>
      </w:r>
    </w:p>
    <w:p w:rsidR="00E9662F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rokov.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lastRenderedPageBreak/>
        <w:t>Dospelí a dospievajúci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klinickom skúšaní s viacnásobnou dávkou </w:t>
      </w:r>
      <w:r w:rsidR="00086E22" w:rsidRPr="00C92EAF">
        <w:rPr>
          <w:rFonts w:eastAsiaTheme="minorHAnsi"/>
          <w:sz w:val="22"/>
          <w:szCs w:val="22"/>
        </w:rPr>
        <w:t>u</w:t>
      </w:r>
      <w:r w:rsidRPr="00C92EAF">
        <w:rPr>
          <w:rFonts w:eastAsiaTheme="minorHAnsi"/>
          <w:sz w:val="22"/>
          <w:szCs w:val="22"/>
        </w:rPr>
        <w:t xml:space="preserve"> dospelých a dospievajúcich, v ktorom bolo podaných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až do 20 mg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denne počas 14 dní, sa nepozorovali žiadne štatisticky alebo klinicky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významné kardiovaskulárne účinky. V klinickom farmakologickom skúšaní </w:t>
      </w:r>
      <w:r w:rsidR="00086E22" w:rsidRPr="00C92EAF">
        <w:rPr>
          <w:rFonts w:eastAsiaTheme="minorHAnsi"/>
          <w:sz w:val="22"/>
          <w:szCs w:val="22"/>
        </w:rPr>
        <w:t>u</w:t>
      </w:r>
      <w:r w:rsidRPr="00C92EAF">
        <w:rPr>
          <w:rFonts w:eastAsiaTheme="minorHAnsi"/>
          <w:sz w:val="22"/>
          <w:szCs w:val="22"/>
        </w:rPr>
        <w:t xml:space="preserve"> dospelých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 dospievajúcich, v ktorom bol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podávaný dospelým v dávke 45 mg denne (deväťnásobok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klinickej dávky) počas desiatich dní, sa nepozorovalo predĺženie </w:t>
      </w:r>
      <w:proofErr w:type="spellStart"/>
      <w:r w:rsidRPr="00C92EAF">
        <w:rPr>
          <w:rFonts w:eastAsiaTheme="minorHAnsi"/>
          <w:sz w:val="22"/>
          <w:szCs w:val="22"/>
        </w:rPr>
        <w:t>QTc</w:t>
      </w:r>
      <w:proofErr w:type="spellEnd"/>
      <w:r w:rsidRPr="00C92EAF">
        <w:rPr>
          <w:rFonts w:eastAsiaTheme="minorHAnsi"/>
          <w:sz w:val="22"/>
          <w:szCs w:val="22"/>
        </w:rPr>
        <w:t xml:space="preserve"> intervalu.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preniká v minimálnej miere do centrálneho nervového systému. V kontrolovaných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klinických skúšaniach pri odporúčanej dávke 5 mg denne pre dospelých a dospievajúcich nebola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porovnaní s </w:t>
      </w:r>
      <w:proofErr w:type="spellStart"/>
      <w:r w:rsidRPr="00C92EAF">
        <w:rPr>
          <w:rFonts w:eastAsiaTheme="minorHAnsi"/>
          <w:sz w:val="22"/>
          <w:szCs w:val="22"/>
        </w:rPr>
        <w:t>placebom</w:t>
      </w:r>
      <w:proofErr w:type="spellEnd"/>
      <w:r w:rsidRPr="00C92EAF">
        <w:rPr>
          <w:rFonts w:eastAsiaTheme="minorHAnsi"/>
          <w:sz w:val="22"/>
          <w:szCs w:val="22"/>
        </w:rPr>
        <w:t xml:space="preserve"> zvýšená </w:t>
      </w:r>
      <w:proofErr w:type="spellStart"/>
      <w:r w:rsidRPr="00C92EAF">
        <w:rPr>
          <w:rFonts w:eastAsiaTheme="minorHAnsi"/>
          <w:sz w:val="22"/>
          <w:szCs w:val="22"/>
        </w:rPr>
        <w:t>incidencia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somnolencie</w:t>
      </w:r>
      <w:proofErr w:type="spellEnd"/>
      <w:r w:rsidRPr="00C92EAF">
        <w:rPr>
          <w:rFonts w:eastAsiaTheme="minorHAnsi"/>
          <w:sz w:val="22"/>
          <w:szCs w:val="22"/>
        </w:rPr>
        <w:t xml:space="preserve">. Tablety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podávané v klinických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skúšaniach v jednorazovej dennej dávke 7,5 mg dospelým a dospievajúcim neovplyvnili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psychomotorickú výkonnosť. V štúdii u dospelých s jednorazovou dávkou 5 mg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neboli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ovplyvnené štandardné miery letovej výkonnosti vrátane </w:t>
      </w:r>
      <w:proofErr w:type="spellStart"/>
      <w:r w:rsidRPr="00C92EAF">
        <w:rPr>
          <w:rFonts w:eastAsiaTheme="minorHAnsi"/>
          <w:sz w:val="22"/>
          <w:szCs w:val="22"/>
        </w:rPr>
        <w:t>exacerbácie</w:t>
      </w:r>
      <w:proofErr w:type="spellEnd"/>
      <w:r w:rsidRPr="00C92EAF">
        <w:rPr>
          <w:rFonts w:eastAsiaTheme="minorHAnsi"/>
          <w:sz w:val="22"/>
          <w:szCs w:val="22"/>
        </w:rPr>
        <w:t xml:space="preserve"> subjektívnej ospalosti alebo úloh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súvisiacich s pilotovaním.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Súbežné podávanie alkoholu v klinických farmakologických skúšaniach u dospelých nezvýšilo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alkoholom vyvolanú poruchu výkonnosti alebo spavosť. Nenašli sa žiadne signifikantné rozdiely vo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výsledkoch psychomotorických testov medzi skupinami s </w:t>
      </w: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a </w:t>
      </w:r>
      <w:proofErr w:type="spellStart"/>
      <w:r w:rsidRPr="00C92EAF">
        <w:rPr>
          <w:rFonts w:eastAsiaTheme="minorHAnsi"/>
          <w:sz w:val="22"/>
          <w:szCs w:val="22"/>
        </w:rPr>
        <w:t>placebom</w:t>
      </w:r>
      <w:proofErr w:type="spellEnd"/>
      <w:r w:rsidRPr="00C92EAF">
        <w:rPr>
          <w:rFonts w:eastAsiaTheme="minorHAnsi"/>
          <w:sz w:val="22"/>
          <w:szCs w:val="22"/>
        </w:rPr>
        <w:t>, či už pri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samostatnom podávaní alebo pri podávaní spolu s alkoholom.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Nepozorovali sa žiadne klinicky významné zmeny plazmatických koncentrácií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skúšaniach s viacnásobnou dávkou, sledujúcich interakciu s </w:t>
      </w:r>
      <w:proofErr w:type="spellStart"/>
      <w:r w:rsidRPr="00C92EAF">
        <w:rPr>
          <w:rFonts w:eastAsiaTheme="minorHAnsi"/>
          <w:sz w:val="22"/>
          <w:szCs w:val="22"/>
        </w:rPr>
        <w:t>ketokonazolom</w:t>
      </w:r>
      <w:proofErr w:type="spellEnd"/>
      <w:r w:rsidRPr="00C92EAF">
        <w:rPr>
          <w:rFonts w:eastAsiaTheme="minorHAnsi"/>
          <w:sz w:val="22"/>
          <w:szCs w:val="22"/>
        </w:rPr>
        <w:t xml:space="preserve"> a </w:t>
      </w:r>
      <w:proofErr w:type="spellStart"/>
      <w:r w:rsidRPr="00C92EAF">
        <w:rPr>
          <w:rFonts w:eastAsiaTheme="minorHAnsi"/>
          <w:sz w:val="22"/>
          <w:szCs w:val="22"/>
        </w:rPr>
        <w:t>erytromycínom</w:t>
      </w:r>
      <w:proofErr w:type="spellEnd"/>
      <w:r w:rsidRPr="00C92EAF">
        <w:rPr>
          <w:rFonts w:eastAsiaTheme="minorHAnsi"/>
          <w:sz w:val="22"/>
          <w:szCs w:val="22"/>
        </w:rPr>
        <w:t>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U dospelých a dospievajúcich pacientov s alergickou </w:t>
      </w:r>
      <w:proofErr w:type="spellStart"/>
      <w:r w:rsidRPr="00C92EAF">
        <w:rPr>
          <w:rFonts w:eastAsiaTheme="minorHAnsi"/>
          <w:sz w:val="22"/>
          <w:szCs w:val="22"/>
        </w:rPr>
        <w:t>rinitídou</w:t>
      </w:r>
      <w:proofErr w:type="spellEnd"/>
      <w:r w:rsidRPr="00C92EAF">
        <w:rPr>
          <w:rFonts w:eastAsiaTheme="minorHAnsi"/>
          <w:sz w:val="22"/>
          <w:szCs w:val="22"/>
        </w:rPr>
        <w:t xml:space="preserve"> boli tablety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účinné pri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zmierňovaní príznakov ako kýchanie, exsudácia z nosa a svrbenie v nose, ako aj svrbenie očí, slzenie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 sčervenanie očí a svrbenie na podnebí.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účinne kontroloval príznaky počas 24 hodín.</w:t>
      </w:r>
    </w:p>
    <w:p w:rsidR="003236EA" w:rsidRPr="007B53DC" w:rsidRDefault="003236EA" w:rsidP="007B53DC">
      <w:pPr>
        <w:autoSpaceDE w:val="0"/>
        <w:autoSpaceDN w:val="0"/>
        <w:adjustRightInd w:val="0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Účinnosť tabliet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="00086E22" w:rsidRPr="00C92EAF">
        <w:rPr>
          <w:rFonts w:eastAsiaTheme="minorHAnsi"/>
          <w:sz w:val="22"/>
          <w:szCs w:val="22"/>
        </w:rPr>
        <w:t xml:space="preserve"> </w:t>
      </w:r>
      <w:r w:rsidRPr="00C92EAF">
        <w:rPr>
          <w:rFonts w:eastAsiaTheme="minorHAnsi"/>
          <w:sz w:val="22"/>
          <w:szCs w:val="22"/>
        </w:rPr>
        <w:t>nebola jasne dokázaná v skúšaniach u dospievajúcich pacientov vo veku</w:t>
      </w:r>
      <w:r w:rsidR="007B53DC">
        <w:rPr>
          <w:rFonts w:eastAsiaTheme="minorHAnsi"/>
          <w:sz w:val="22"/>
          <w:szCs w:val="22"/>
        </w:rPr>
        <w:t xml:space="preserve"> </w:t>
      </w:r>
      <w:r w:rsidRPr="007B53DC">
        <w:rPr>
          <w:rFonts w:eastAsiaTheme="minorHAnsi"/>
          <w:sz w:val="22"/>
          <w:szCs w:val="22"/>
        </w:rPr>
        <w:t>12 až 17 rokov.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Okrem zaužívanej klasifikácie na sezónnu a celoročnú, možno alergickú </w:t>
      </w:r>
      <w:proofErr w:type="spellStart"/>
      <w:r w:rsidRPr="00C92EAF">
        <w:rPr>
          <w:rFonts w:eastAsiaTheme="minorHAnsi"/>
          <w:sz w:val="22"/>
          <w:szCs w:val="22"/>
        </w:rPr>
        <w:t>rinitídu</w:t>
      </w:r>
      <w:proofErr w:type="spellEnd"/>
      <w:r w:rsidRPr="00C92EAF">
        <w:rPr>
          <w:rFonts w:eastAsiaTheme="minorHAnsi"/>
          <w:sz w:val="22"/>
          <w:szCs w:val="22"/>
        </w:rPr>
        <w:t xml:space="preserve"> alternatívne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klasifikovať podľa dĺžky trvania príznakov na </w:t>
      </w:r>
      <w:proofErr w:type="spellStart"/>
      <w:r w:rsidRPr="00C92EAF">
        <w:rPr>
          <w:rFonts w:eastAsiaTheme="minorHAnsi"/>
          <w:sz w:val="22"/>
          <w:szCs w:val="22"/>
        </w:rPr>
        <w:t>intermitent</w:t>
      </w:r>
      <w:r w:rsidR="00086E22" w:rsidRPr="00C92EAF">
        <w:rPr>
          <w:rFonts w:eastAsiaTheme="minorHAnsi"/>
          <w:sz w:val="22"/>
          <w:szCs w:val="22"/>
        </w:rPr>
        <w:t>n</w:t>
      </w:r>
      <w:r w:rsidRPr="00C92EAF">
        <w:rPr>
          <w:rFonts w:eastAsiaTheme="minorHAnsi"/>
          <w:sz w:val="22"/>
          <w:szCs w:val="22"/>
        </w:rPr>
        <w:t>ú</w:t>
      </w:r>
      <w:proofErr w:type="spellEnd"/>
      <w:r w:rsidRPr="00C92EAF">
        <w:rPr>
          <w:rFonts w:eastAsiaTheme="minorHAnsi"/>
          <w:sz w:val="22"/>
          <w:szCs w:val="22"/>
        </w:rPr>
        <w:t xml:space="preserve"> alergickú </w:t>
      </w:r>
      <w:proofErr w:type="spellStart"/>
      <w:r w:rsidRPr="00C92EAF">
        <w:rPr>
          <w:rFonts w:eastAsiaTheme="minorHAnsi"/>
          <w:sz w:val="22"/>
          <w:szCs w:val="22"/>
        </w:rPr>
        <w:t>rinitídu</w:t>
      </w:r>
      <w:proofErr w:type="spellEnd"/>
      <w:r w:rsidRPr="00C92EAF">
        <w:rPr>
          <w:rFonts w:eastAsiaTheme="minorHAnsi"/>
          <w:sz w:val="22"/>
          <w:szCs w:val="22"/>
        </w:rPr>
        <w:t xml:space="preserve"> a perzistujúcu alergickú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rinitídu</w:t>
      </w:r>
      <w:proofErr w:type="spellEnd"/>
      <w:r w:rsidRPr="00C92EAF">
        <w:rPr>
          <w:rFonts w:eastAsiaTheme="minorHAnsi"/>
          <w:sz w:val="22"/>
          <w:szCs w:val="22"/>
        </w:rPr>
        <w:t xml:space="preserve">. </w:t>
      </w:r>
      <w:proofErr w:type="spellStart"/>
      <w:r w:rsidRPr="00C92EAF">
        <w:rPr>
          <w:rFonts w:eastAsiaTheme="minorHAnsi"/>
          <w:sz w:val="22"/>
          <w:szCs w:val="22"/>
        </w:rPr>
        <w:t>Intermitentná</w:t>
      </w:r>
      <w:proofErr w:type="spellEnd"/>
      <w:r w:rsidRPr="00C92EAF">
        <w:rPr>
          <w:rFonts w:eastAsiaTheme="minorHAnsi"/>
          <w:sz w:val="22"/>
          <w:szCs w:val="22"/>
        </w:rPr>
        <w:t xml:space="preserve"> alergická </w:t>
      </w:r>
      <w:proofErr w:type="spellStart"/>
      <w:r w:rsidRPr="00C92EAF">
        <w:rPr>
          <w:rFonts w:eastAsiaTheme="minorHAnsi"/>
          <w:sz w:val="22"/>
          <w:szCs w:val="22"/>
        </w:rPr>
        <w:t>rinitída</w:t>
      </w:r>
      <w:proofErr w:type="spellEnd"/>
      <w:r w:rsidRPr="00C92EAF">
        <w:rPr>
          <w:rFonts w:eastAsiaTheme="minorHAnsi"/>
          <w:sz w:val="22"/>
          <w:szCs w:val="22"/>
        </w:rPr>
        <w:t xml:space="preserve"> je definovaná prítomnosťou príznakov menej ako 4 dni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týždni alebo kratšie ako 4 týždne. Perzistujúca alergická </w:t>
      </w:r>
      <w:proofErr w:type="spellStart"/>
      <w:r w:rsidRPr="00C92EAF">
        <w:rPr>
          <w:rFonts w:eastAsiaTheme="minorHAnsi"/>
          <w:sz w:val="22"/>
          <w:szCs w:val="22"/>
        </w:rPr>
        <w:t>rinitída</w:t>
      </w:r>
      <w:proofErr w:type="spellEnd"/>
      <w:r w:rsidRPr="00C92EAF">
        <w:rPr>
          <w:rFonts w:eastAsiaTheme="minorHAnsi"/>
          <w:sz w:val="22"/>
          <w:szCs w:val="22"/>
        </w:rPr>
        <w:t xml:space="preserve"> je definovaná prítomnosťou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príznakov 4 alebo viac dní v týždni alebo dlhšie ako 4 týždne.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Tablety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boli účinné pri zmierňovaní ťažkostí spôsobených sezónnou alergickou </w:t>
      </w:r>
      <w:proofErr w:type="spellStart"/>
      <w:r w:rsidRPr="00C92EAF">
        <w:rPr>
          <w:rFonts w:eastAsiaTheme="minorHAnsi"/>
          <w:sz w:val="22"/>
          <w:szCs w:val="22"/>
        </w:rPr>
        <w:t>rinitídou</w:t>
      </w:r>
      <w:proofErr w:type="spellEnd"/>
      <w:r w:rsidRPr="00C92EAF">
        <w:rPr>
          <w:rFonts w:eastAsiaTheme="minorHAnsi"/>
          <w:sz w:val="22"/>
          <w:szCs w:val="22"/>
        </w:rPr>
        <w:t>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ako to ukázalo celkové skóre dotazníka o kvalite života pri </w:t>
      </w:r>
      <w:proofErr w:type="spellStart"/>
      <w:r w:rsidRPr="00C92EAF">
        <w:rPr>
          <w:rFonts w:eastAsiaTheme="minorHAnsi"/>
          <w:sz w:val="22"/>
          <w:szCs w:val="22"/>
        </w:rPr>
        <w:t>rinokonjunktivitíde</w:t>
      </w:r>
      <w:proofErr w:type="spellEnd"/>
      <w:r w:rsidRPr="00C92EAF">
        <w:rPr>
          <w:rFonts w:eastAsiaTheme="minorHAnsi"/>
          <w:sz w:val="22"/>
          <w:szCs w:val="22"/>
        </w:rPr>
        <w:t>. Najväčšie zlepšenie sa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pozorovalo v oblastiach praktických problémov a denných aktivít, limitovaných príznakmi.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Chronická </w:t>
      </w:r>
      <w:proofErr w:type="spellStart"/>
      <w:r w:rsidRPr="00C92EAF">
        <w:rPr>
          <w:rFonts w:eastAsiaTheme="minorHAnsi"/>
          <w:sz w:val="22"/>
          <w:szCs w:val="22"/>
        </w:rPr>
        <w:t>idiopatická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urtikária</w:t>
      </w:r>
      <w:proofErr w:type="spellEnd"/>
      <w:r w:rsidRPr="00C92EAF">
        <w:rPr>
          <w:rFonts w:eastAsiaTheme="minorHAnsi"/>
          <w:sz w:val="22"/>
          <w:szCs w:val="22"/>
        </w:rPr>
        <w:t xml:space="preserve"> sa študovala ako klinický model pre stavy </w:t>
      </w:r>
      <w:proofErr w:type="spellStart"/>
      <w:r w:rsidRPr="00C92EAF">
        <w:rPr>
          <w:rFonts w:eastAsiaTheme="minorHAnsi"/>
          <w:sz w:val="22"/>
          <w:szCs w:val="22"/>
        </w:rPr>
        <w:t>urtikárie</w:t>
      </w:r>
      <w:proofErr w:type="spellEnd"/>
      <w:r w:rsidRPr="00C92EAF">
        <w:rPr>
          <w:rFonts w:eastAsiaTheme="minorHAnsi"/>
          <w:sz w:val="22"/>
          <w:szCs w:val="22"/>
        </w:rPr>
        <w:t>, keďže základná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patofyziológia</w:t>
      </w:r>
      <w:proofErr w:type="spellEnd"/>
      <w:r w:rsidRPr="00C92EAF">
        <w:rPr>
          <w:rFonts w:eastAsiaTheme="minorHAnsi"/>
          <w:sz w:val="22"/>
          <w:szCs w:val="22"/>
        </w:rPr>
        <w:t xml:space="preserve"> je podobná bez ohľadu na etiológiu a prípadne možno jednoduchšie získať chronických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pacientov. Keďže uvoľňovanie histamínu je príčinný faktor všetkých </w:t>
      </w:r>
      <w:proofErr w:type="spellStart"/>
      <w:r w:rsidRPr="00C92EAF">
        <w:rPr>
          <w:rFonts w:eastAsiaTheme="minorHAnsi"/>
          <w:sz w:val="22"/>
          <w:szCs w:val="22"/>
        </w:rPr>
        <w:t>urtikárnych</w:t>
      </w:r>
      <w:proofErr w:type="spellEnd"/>
      <w:r w:rsidRPr="00C92EAF">
        <w:rPr>
          <w:rFonts w:eastAsiaTheme="minorHAnsi"/>
          <w:sz w:val="22"/>
          <w:szCs w:val="22"/>
        </w:rPr>
        <w:t xml:space="preserve"> ochorení,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predpokladá sa, že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bude okrem chronickej </w:t>
      </w:r>
      <w:proofErr w:type="spellStart"/>
      <w:r w:rsidRPr="00C92EAF">
        <w:rPr>
          <w:rFonts w:eastAsiaTheme="minorHAnsi"/>
          <w:sz w:val="22"/>
          <w:szCs w:val="22"/>
        </w:rPr>
        <w:t>idiopatickej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urtikárie</w:t>
      </w:r>
      <w:proofErr w:type="spellEnd"/>
      <w:r w:rsidRPr="00C92EAF">
        <w:rPr>
          <w:rFonts w:eastAsiaTheme="minorHAnsi"/>
          <w:sz w:val="22"/>
          <w:szCs w:val="22"/>
        </w:rPr>
        <w:t xml:space="preserve"> účinný aj pri zmiernení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symptómov iných </w:t>
      </w:r>
      <w:proofErr w:type="spellStart"/>
      <w:r w:rsidRPr="00C92EAF">
        <w:rPr>
          <w:rFonts w:eastAsiaTheme="minorHAnsi"/>
          <w:sz w:val="22"/>
          <w:szCs w:val="22"/>
        </w:rPr>
        <w:t>urtikárnych</w:t>
      </w:r>
      <w:proofErr w:type="spellEnd"/>
      <w:r w:rsidRPr="00C92EAF">
        <w:rPr>
          <w:rFonts w:eastAsiaTheme="minorHAnsi"/>
          <w:sz w:val="22"/>
          <w:szCs w:val="22"/>
        </w:rPr>
        <w:t xml:space="preserve"> stavov podľa odporúčania v klinických usmerneniach.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dvoch placebom kontrolovaných šesťtýždňových skúšaniach u pacientov s chronickou </w:t>
      </w:r>
      <w:proofErr w:type="spellStart"/>
      <w:r w:rsidRPr="00C92EAF">
        <w:rPr>
          <w:rFonts w:eastAsiaTheme="minorHAnsi"/>
          <w:sz w:val="22"/>
          <w:szCs w:val="22"/>
        </w:rPr>
        <w:t>idiopatickou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urtikáriou</w:t>
      </w:r>
      <w:proofErr w:type="spellEnd"/>
      <w:r w:rsidRPr="00C92EAF">
        <w:rPr>
          <w:rFonts w:eastAsiaTheme="minorHAnsi"/>
          <w:sz w:val="22"/>
          <w:szCs w:val="22"/>
        </w:rPr>
        <w:t xml:space="preserve"> bol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účinný v zmierňovaní svrbenia a v zmenšovaní rozmeru a počtu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eflorescencií</w:t>
      </w:r>
      <w:proofErr w:type="spellEnd"/>
      <w:r w:rsidRPr="00C92EAF">
        <w:rPr>
          <w:rFonts w:eastAsiaTheme="minorHAnsi"/>
          <w:sz w:val="22"/>
          <w:szCs w:val="22"/>
        </w:rPr>
        <w:t xml:space="preserve"> žihľavky už koncom prvého dávkovacieho intervalu. V každom skúšaní účinky pretrvali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počas 24-hodinového dávkovacieho intervalu. Tak, ako v iných skúšaniach s </w:t>
      </w:r>
      <w:proofErr w:type="spellStart"/>
      <w:r w:rsidRPr="00C92EAF">
        <w:rPr>
          <w:rFonts w:eastAsiaTheme="minorHAnsi"/>
          <w:sz w:val="22"/>
          <w:szCs w:val="22"/>
        </w:rPr>
        <w:t>antihistaminikami</w:t>
      </w:r>
      <w:proofErr w:type="spellEnd"/>
      <w:r w:rsidRPr="00C92EAF">
        <w:rPr>
          <w:rFonts w:eastAsiaTheme="minorHAnsi"/>
          <w:sz w:val="22"/>
          <w:szCs w:val="22"/>
        </w:rPr>
        <w:t xml:space="preserve"> pri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chronickej </w:t>
      </w:r>
      <w:proofErr w:type="spellStart"/>
      <w:r w:rsidRPr="00C92EAF">
        <w:rPr>
          <w:rFonts w:eastAsiaTheme="minorHAnsi"/>
          <w:sz w:val="22"/>
          <w:szCs w:val="22"/>
        </w:rPr>
        <w:t>idiopatickej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urtikárii</w:t>
      </w:r>
      <w:proofErr w:type="spellEnd"/>
      <w:r w:rsidRPr="00C92EAF">
        <w:rPr>
          <w:rFonts w:eastAsiaTheme="minorHAnsi"/>
          <w:sz w:val="22"/>
          <w:szCs w:val="22"/>
        </w:rPr>
        <w:t>, bola vylúčená menšia časť pacientov, ktorí boli identifikovaní ako tí,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ktorí na </w:t>
      </w:r>
      <w:proofErr w:type="spellStart"/>
      <w:r w:rsidRPr="00C92EAF">
        <w:rPr>
          <w:rFonts w:eastAsiaTheme="minorHAnsi"/>
          <w:sz w:val="22"/>
          <w:szCs w:val="22"/>
        </w:rPr>
        <w:t>antihistaminiká</w:t>
      </w:r>
      <w:proofErr w:type="spellEnd"/>
      <w:r w:rsidRPr="00C92EAF">
        <w:rPr>
          <w:rFonts w:eastAsiaTheme="minorHAnsi"/>
          <w:sz w:val="22"/>
          <w:szCs w:val="22"/>
        </w:rPr>
        <w:t xml:space="preserve"> neodpovedajú. Zmiernenie svrbenia väčšie ako o 50 % sa pozorovalo u 55 %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pacientov, liečených </w:t>
      </w: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  <w:r w:rsidRPr="00C92EAF">
        <w:rPr>
          <w:rFonts w:eastAsiaTheme="minorHAnsi"/>
          <w:sz w:val="22"/>
          <w:szCs w:val="22"/>
        </w:rPr>
        <w:t>, oproti 19 % pacientov, ktorým bolo podávané placebo. Liečba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tiež významne redukovala interferenciu so spánkom a dennými funkciami, ako sa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nameralo štvorbodovou stupnicou na zisťovanie týchto premenných.</w:t>
      </w:r>
    </w:p>
    <w:p w:rsidR="003236EA" w:rsidRPr="00C92EAF" w:rsidRDefault="003236EA" w:rsidP="003236EA">
      <w:pPr>
        <w:pStyle w:val="Zarkazkladnhotextu3"/>
        <w:ind w:left="0"/>
        <w:jc w:val="left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5.2</w:t>
      </w:r>
      <w:r w:rsidRPr="00C5188B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C5188B">
        <w:rPr>
          <w:rFonts w:ascii="Times New Roman" w:hAnsi="Times New Roman"/>
          <w:i w:val="0"/>
          <w:sz w:val="22"/>
          <w:szCs w:val="22"/>
        </w:rPr>
        <w:t>Farmakokinetické</w:t>
      </w:r>
      <w:proofErr w:type="spellEnd"/>
      <w:r w:rsidRPr="00C5188B">
        <w:rPr>
          <w:rFonts w:ascii="Times New Roman" w:hAnsi="Times New Roman"/>
          <w:i w:val="0"/>
          <w:sz w:val="22"/>
          <w:szCs w:val="22"/>
        </w:rPr>
        <w:t xml:space="preserve"> vlastnosti</w:t>
      </w:r>
    </w:p>
    <w:p w:rsidR="002B4DC0" w:rsidRPr="00C92EAF" w:rsidRDefault="002B4DC0" w:rsidP="004A0BF0">
      <w:pPr>
        <w:ind w:left="708"/>
        <w:jc w:val="both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Absorpcia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Plazmatické koncentrácie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sa dajú zistiť v priebehu 30 minút po podaní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dospelým a dospievajúcim.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je dobre absorbovaný, pričom maximálna koncentrácia sa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dosahuje po približne 3 hodinách; polčas terminálnej fázy je približne 27 hodín. Stupeň akumulácie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bol v súlade s jeho polčasom (približne 27 hodín) a frekvenciou podávania raz </w:t>
      </w:r>
      <w:r w:rsidR="007B53DC">
        <w:rPr>
          <w:rFonts w:eastAsiaTheme="minorHAnsi"/>
          <w:sz w:val="22"/>
          <w:szCs w:val="22"/>
        </w:rPr>
        <w:t>denne</w:t>
      </w:r>
      <w:r w:rsidRPr="00C92EAF">
        <w:rPr>
          <w:rFonts w:eastAsiaTheme="minorHAnsi"/>
          <w:sz w:val="22"/>
          <w:szCs w:val="22"/>
        </w:rPr>
        <w:t>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Biologická dostupnosť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bola úmerná dávke v rozmedzí od 5 mg do 20 mg.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sérii </w:t>
      </w:r>
      <w:proofErr w:type="spellStart"/>
      <w:r w:rsidRPr="00C92EAF">
        <w:rPr>
          <w:rFonts w:eastAsiaTheme="minorHAnsi"/>
          <w:sz w:val="22"/>
          <w:szCs w:val="22"/>
        </w:rPr>
        <w:t>farmakokinetických</w:t>
      </w:r>
      <w:proofErr w:type="spellEnd"/>
      <w:r w:rsidRPr="00C92EAF">
        <w:rPr>
          <w:rFonts w:eastAsiaTheme="minorHAnsi"/>
          <w:sz w:val="22"/>
          <w:szCs w:val="22"/>
        </w:rPr>
        <w:t xml:space="preserve"> a klinických skúšaní sa u 6 % jedincov dosiahla vyššia koncentrácia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. Výskyt tohto slabo metabolizujúceho fenotypu bol porovnateľný u dospelých (6 %)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a pediatrických jedincov vo veku 2 až 11 rokov (6 %) a bol vyšší medzi jedincami čiernej pleti (18 %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dospelí, 16 % deti) ako u jedincov kaukazského typu (2 % dospelí, 3 % deti).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Vo </w:t>
      </w:r>
      <w:proofErr w:type="spellStart"/>
      <w:r w:rsidRPr="00C92EAF">
        <w:rPr>
          <w:rFonts w:eastAsiaTheme="minorHAnsi"/>
          <w:sz w:val="22"/>
          <w:szCs w:val="22"/>
        </w:rPr>
        <w:t>farmakokinetickej</w:t>
      </w:r>
      <w:proofErr w:type="spellEnd"/>
      <w:r w:rsidRPr="00C92EAF">
        <w:rPr>
          <w:rFonts w:eastAsiaTheme="minorHAnsi"/>
          <w:sz w:val="22"/>
          <w:szCs w:val="22"/>
        </w:rPr>
        <w:t xml:space="preserve"> štúdii s viacnásobnou dávkou uskutočnenej u zdravých dospelých jedincov boli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zistení štyria slabí </w:t>
      </w:r>
      <w:proofErr w:type="spellStart"/>
      <w:r w:rsidRPr="00C92EAF">
        <w:rPr>
          <w:rFonts w:eastAsiaTheme="minorHAnsi"/>
          <w:sz w:val="22"/>
          <w:szCs w:val="22"/>
        </w:rPr>
        <w:t>metabolizátori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; v štúdii sa používala </w:t>
      </w:r>
      <w:proofErr w:type="spellStart"/>
      <w:r w:rsidRPr="00C92EAF">
        <w:rPr>
          <w:rFonts w:eastAsiaTheme="minorHAnsi"/>
          <w:sz w:val="22"/>
          <w:szCs w:val="22"/>
        </w:rPr>
        <w:t>tabletová</w:t>
      </w:r>
      <w:proofErr w:type="spellEnd"/>
      <w:r w:rsidRPr="00C92EAF">
        <w:rPr>
          <w:rFonts w:eastAsiaTheme="minorHAnsi"/>
          <w:sz w:val="22"/>
          <w:szCs w:val="22"/>
        </w:rPr>
        <w:t xml:space="preserve"> forma. </w:t>
      </w:r>
      <w:proofErr w:type="spellStart"/>
      <w:r w:rsidRPr="00C92EAF">
        <w:rPr>
          <w:rFonts w:eastAsiaTheme="minorHAnsi"/>
          <w:sz w:val="22"/>
          <w:szCs w:val="22"/>
        </w:rPr>
        <w:t>C</w:t>
      </w:r>
      <w:r w:rsidRPr="00C92EAF">
        <w:rPr>
          <w:rFonts w:eastAsiaTheme="minorHAnsi"/>
          <w:sz w:val="22"/>
          <w:szCs w:val="22"/>
          <w:vertAlign w:val="subscript"/>
        </w:rPr>
        <w:t>max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koncentrácia nameraná u týchto jedincov po asi 7 hodinách bola približne 3-násobne vyššia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 terminálnym polčasom približne 89 hodín.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Podobné </w:t>
      </w:r>
      <w:proofErr w:type="spellStart"/>
      <w:r w:rsidRPr="00C92EAF">
        <w:rPr>
          <w:rFonts w:eastAsiaTheme="minorHAnsi"/>
          <w:sz w:val="22"/>
          <w:szCs w:val="22"/>
        </w:rPr>
        <w:t>farmakokinetické</w:t>
      </w:r>
      <w:proofErr w:type="spellEnd"/>
      <w:r w:rsidRPr="00C92EAF">
        <w:rPr>
          <w:rFonts w:eastAsiaTheme="minorHAnsi"/>
          <w:sz w:val="22"/>
          <w:szCs w:val="22"/>
        </w:rPr>
        <w:t xml:space="preserve"> parametre sa pozorovali vo </w:t>
      </w:r>
      <w:proofErr w:type="spellStart"/>
      <w:r w:rsidRPr="00C92EAF">
        <w:rPr>
          <w:rFonts w:eastAsiaTheme="minorHAnsi"/>
          <w:sz w:val="22"/>
          <w:szCs w:val="22"/>
        </w:rPr>
        <w:t>farmakokinetickej</w:t>
      </w:r>
      <w:proofErr w:type="spellEnd"/>
      <w:r w:rsidRPr="00C92EAF">
        <w:rPr>
          <w:rFonts w:eastAsiaTheme="minorHAnsi"/>
          <w:sz w:val="22"/>
          <w:szCs w:val="22"/>
        </w:rPr>
        <w:t xml:space="preserve"> štúdii s opakovanou dávkou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vykonanej so sirupovou formou u slabo metabolizujúcich pediatrických jedincov vo veku 2 až 11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rokov, u ktorých bola diagnostikovaná alergická </w:t>
      </w:r>
      <w:proofErr w:type="spellStart"/>
      <w:r w:rsidRPr="00C92EAF">
        <w:rPr>
          <w:rFonts w:eastAsiaTheme="minorHAnsi"/>
          <w:sz w:val="22"/>
          <w:szCs w:val="22"/>
        </w:rPr>
        <w:t>rinitída</w:t>
      </w:r>
      <w:proofErr w:type="spellEnd"/>
      <w:r w:rsidRPr="00C92EAF">
        <w:rPr>
          <w:rFonts w:eastAsiaTheme="minorHAnsi"/>
          <w:sz w:val="22"/>
          <w:szCs w:val="22"/>
        </w:rPr>
        <w:t xml:space="preserve">. Expozícia (AUC)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bola asi 6-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krát vyššia a </w:t>
      </w:r>
      <w:proofErr w:type="spellStart"/>
      <w:r w:rsidRPr="00C92EAF">
        <w:rPr>
          <w:rFonts w:eastAsiaTheme="minorHAnsi"/>
          <w:sz w:val="22"/>
          <w:szCs w:val="22"/>
        </w:rPr>
        <w:t>C</w:t>
      </w:r>
      <w:r w:rsidRPr="00C92EAF">
        <w:rPr>
          <w:rFonts w:eastAsiaTheme="minorHAnsi"/>
          <w:sz w:val="22"/>
          <w:szCs w:val="22"/>
          <w:vertAlign w:val="subscript"/>
        </w:rPr>
        <w:t>max</w:t>
      </w:r>
      <w:proofErr w:type="spellEnd"/>
      <w:r w:rsidRPr="00C92EAF">
        <w:rPr>
          <w:rFonts w:eastAsiaTheme="minorHAnsi"/>
          <w:sz w:val="22"/>
          <w:szCs w:val="22"/>
        </w:rPr>
        <w:t xml:space="preserve"> bola asi 3 až 4-krát vyššia po 3 - 6 hodinách s polčasom terminálnej fázy približne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120 hodín. Expozícia bola rovnaká u dospelých a u pediatrických slabo metabolizujúcich jedincov,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keď boli liečení dávkami prislúchajúcimi veku. Celkový profil bezpečnosti týchto jedincov nebol iný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ako vo všeobecnej populácii. Účinky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neboli skúmané u slabo metabolizujúcich vo veku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&lt; 2 roky.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samostatných štúdiách s jednorazovou dávkou v odporúčanom dávkovaní mali pediatrickí pacienti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porovnateľné hodnoty AUC a </w:t>
      </w:r>
      <w:proofErr w:type="spellStart"/>
      <w:r w:rsidRPr="00C92EAF">
        <w:rPr>
          <w:rFonts w:eastAsiaTheme="minorHAnsi"/>
          <w:sz w:val="22"/>
          <w:szCs w:val="22"/>
        </w:rPr>
        <w:t>C</w:t>
      </w:r>
      <w:r w:rsidRPr="00C92EAF">
        <w:rPr>
          <w:rFonts w:eastAsiaTheme="minorHAnsi"/>
          <w:sz w:val="22"/>
          <w:szCs w:val="22"/>
          <w:vertAlign w:val="subscript"/>
        </w:rPr>
        <w:t>max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 dospelými pacientmi, ktorí dostali dávku</w:t>
      </w:r>
    </w:p>
    <w:p w:rsidR="000A712B" w:rsidRPr="00C92EAF" w:rsidRDefault="003236EA" w:rsidP="003236EA">
      <w:pPr>
        <w:rPr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5 mg v sirupe.</w:t>
      </w:r>
    </w:p>
    <w:p w:rsidR="003236EA" w:rsidRPr="00C92EAF" w:rsidRDefault="003236EA" w:rsidP="003236EA">
      <w:pPr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Distribúcia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sa stredne (83 % - 87 %) viaže na plazmatické proteíny. Neexistujú žiadne dôkazy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o klinicky relevantnej akumulácii liečiva po podávaní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v dávke 5 mg – 20 mg raz denne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dospelým a dospievajúcim počas 14 dní.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skríženej štúdii s jednorazovou dávkou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sa zistilo, že </w:t>
      </w:r>
      <w:r w:rsidR="00A95F6B" w:rsidRPr="00C92EAF">
        <w:rPr>
          <w:rFonts w:eastAsiaTheme="minorHAnsi"/>
          <w:sz w:val="22"/>
          <w:szCs w:val="22"/>
        </w:rPr>
        <w:t>liekové</w:t>
      </w:r>
      <w:r w:rsidRPr="00C92EAF">
        <w:rPr>
          <w:rFonts w:eastAsiaTheme="minorHAnsi"/>
          <w:sz w:val="22"/>
          <w:szCs w:val="22"/>
        </w:rPr>
        <w:t xml:space="preserve"> formy tablet</w:t>
      </w:r>
      <w:r w:rsidR="00A95F6B" w:rsidRPr="00C92EAF">
        <w:rPr>
          <w:rFonts w:eastAsiaTheme="minorHAnsi"/>
          <w:sz w:val="22"/>
          <w:szCs w:val="22"/>
        </w:rPr>
        <w:t>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 sirup sú </w:t>
      </w:r>
      <w:proofErr w:type="spellStart"/>
      <w:r w:rsidRPr="00C92EAF">
        <w:rPr>
          <w:rFonts w:eastAsiaTheme="minorHAnsi"/>
          <w:sz w:val="22"/>
          <w:szCs w:val="22"/>
        </w:rPr>
        <w:t>bioekvivalentné</w:t>
      </w:r>
      <w:proofErr w:type="spellEnd"/>
      <w:r w:rsidRPr="00C92EAF">
        <w:rPr>
          <w:rFonts w:eastAsiaTheme="minorHAnsi"/>
          <w:sz w:val="22"/>
          <w:szCs w:val="22"/>
        </w:rPr>
        <w:t xml:space="preserve">. Pretože </w:t>
      </w:r>
      <w:proofErr w:type="spellStart"/>
      <w:r w:rsidRPr="00C92EAF">
        <w:rPr>
          <w:rFonts w:eastAsiaTheme="minorHAnsi"/>
          <w:sz w:val="22"/>
          <w:szCs w:val="22"/>
        </w:rPr>
        <w:t>deslorat</w:t>
      </w:r>
      <w:r w:rsidR="00A95F6B" w:rsidRPr="00C92EAF">
        <w:rPr>
          <w:rFonts w:eastAsiaTheme="minorHAnsi"/>
          <w:sz w:val="22"/>
          <w:szCs w:val="22"/>
        </w:rPr>
        <w:t>a</w:t>
      </w:r>
      <w:r w:rsidRPr="00C92EAF">
        <w:rPr>
          <w:rFonts w:eastAsiaTheme="minorHAnsi"/>
          <w:sz w:val="22"/>
          <w:szCs w:val="22"/>
        </w:rPr>
        <w:t>dín</w:t>
      </w:r>
      <w:proofErr w:type="spellEnd"/>
      <w:r w:rsidRPr="00C92EAF">
        <w:rPr>
          <w:rFonts w:eastAsiaTheme="minorHAnsi"/>
          <w:sz w:val="22"/>
          <w:szCs w:val="22"/>
        </w:rPr>
        <w:t xml:space="preserve"> perorálny roztok obsahuje rovnakú koncentráciu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, nebola potrebná žiadna </w:t>
      </w:r>
      <w:proofErr w:type="spellStart"/>
      <w:r w:rsidRPr="00C92EAF">
        <w:rPr>
          <w:rFonts w:eastAsiaTheme="minorHAnsi"/>
          <w:sz w:val="22"/>
          <w:szCs w:val="22"/>
        </w:rPr>
        <w:t>bioekvivalenčná</w:t>
      </w:r>
      <w:proofErr w:type="spellEnd"/>
      <w:r w:rsidRPr="00C92EAF">
        <w:rPr>
          <w:rFonts w:eastAsiaTheme="minorHAnsi"/>
          <w:sz w:val="22"/>
          <w:szCs w:val="22"/>
        </w:rPr>
        <w:t xml:space="preserve"> štúdia a predpokladá sa, že je ekvivalentný so</w:t>
      </w:r>
    </w:p>
    <w:p w:rsidR="003236EA" w:rsidRPr="00C92EAF" w:rsidRDefault="003236EA" w:rsidP="003236EA">
      <w:pPr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sirupom a tabletami</w:t>
      </w:r>
      <w:r w:rsidRPr="00C92EAF">
        <w:rPr>
          <w:sz w:val="22"/>
          <w:szCs w:val="22"/>
        </w:rPr>
        <w:t>.</w:t>
      </w:r>
    </w:p>
    <w:p w:rsidR="003236EA" w:rsidRPr="00C92EAF" w:rsidRDefault="003236EA" w:rsidP="003236EA">
      <w:pPr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proofErr w:type="spellStart"/>
      <w:r w:rsidRPr="00C92EAF">
        <w:rPr>
          <w:rFonts w:eastAsiaTheme="minorHAnsi"/>
          <w:sz w:val="22"/>
          <w:szCs w:val="22"/>
          <w:u w:val="single"/>
        </w:rPr>
        <w:t>Biotransformácia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Enzým, ktorý je zodpovedný za metabolizmus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, zatiaľ nebol identifikovaný, a preto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i/>
          <w:iCs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nemožno úplne vylúčiť interakcie s inými liekmi. </w:t>
      </w: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r w:rsidRPr="00C92EAF">
        <w:rPr>
          <w:rFonts w:eastAsiaTheme="minorHAnsi"/>
          <w:i/>
          <w:iCs/>
          <w:sz w:val="22"/>
          <w:szCs w:val="22"/>
        </w:rPr>
        <w:t xml:space="preserve">in </w:t>
      </w:r>
      <w:proofErr w:type="spellStart"/>
      <w:r w:rsidRPr="00C92EAF">
        <w:rPr>
          <w:rFonts w:eastAsiaTheme="minorHAnsi"/>
          <w:i/>
          <w:iCs/>
          <w:sz w:val="22"/>
          <w:szCs w:val="22"/>
        </w:rPr>
        <w:t>vivo</w:t>
      </w:r>
      <w:proofErr w:type="spellEnd"/>
      <w:r w:rsidRPr="00C92EAF">
        <w:rPr>
          <w:rFonts w:eastAsiaTheme="minorHAnsi"/>
          <w:i/>
          <w:iCs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neinhibuje</w:t>
      </w:r>
      <w:proofErr w:type="spellEnd"/>
      <w:r w:rsidRPr="00C92EAF">
        <w:rPr>
          <w:rFonts w:eastAsiaTheme="minorHAnsi"/>
          <w:sz w:val="22"/>
          <w:szCs w:val="22"/>
        </w:rPr>
        <w:t xml:space="preserve"> CYP3A4 a </w:t>
      </w:r>
      <w:r w:rsidRPr="00C92EAF">
        <w:rPr>
          <w:rFonts w:eastAsiaTheme="minorHAnsi"/>
          <w:i/>
          <w:iCs/>
          <w:sz w:val="22"/>
          <w:szCs w:val="22"/>
        </w:rPr>
        <w:t>in vitro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štúdie ukázali, že tento liek </w:t>
      </w:r>
      <w:proofErr w:type="spellStart"/>
      <w:r w:rsidRPr="00C92EAF">
        <w:rPr>
          <w:rFonts w:eastAsiaTheme="minorHAnsi"/>
          <w:sz w:val="22"/>
          <w:szCs w:val="22"/>
        </w:rPr>
        <w:t>neinhibuje</w:t>
      </w:r>
      <w:proofErr w:type="spellEnd"/>
      <w:r w:rsidRPr="00C92EAF">
        <w:rPr>
          <w:rFonts w:eastAsiaTheme="minorHAnsi"/>
          <w:sz w:val="22"/>
          <w:szCs w:val="22"/>
        </w:rPr>
        <w:t xml:space="preserve"> CYP2D6 a nie je substrátom ani inhibítorom </w:t>
      </w:r>
      <w:proofErr w:type="spellStart"/>
      <w:r w:rsidRPr="00C92EAF">
        <w:rPr>
          <w:rFonts w:eastAsiaTheme="minorHAnsi"/>
          <w:sz w:val="22"/>
          <w:szCs w:val="22"/>
        </w:rPr>
        <w:t>P-glykoproteínu</w:t>
      </w:r>
      <w:proofErr w:type="spellEnd"/>
      <w:r w:rsidRPr="00C92EAF">
        <w:rPr>
          <w:rFonts w:eastAsiaTheme="minorHAnsi"/>
          <w:sz w:val="22"/>
          <w:szCs w:val="22"/>
        </w:rPr>
        <w:t>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Eliminácia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skúšaní s jednorazovou dávkou sa po podaní 7,5 mg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nezistil žiadny vplyv potravy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(raňajky s vysokým podielom tuku a kalórií) na dostupnosť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. V inej štúdii nemal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grapefruitový džús vplyv na dostupnosť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>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  <w:u w:val="single"/>
        </w:rPr>
      </w:pPr>
      <w:r w:rsidRPr="00C92EAF">
        <w:rPr>
          <w:rFonts w:eastAsiaTheme="minorHAnsi"/>
          <w:sz w:val="22"/>
          <w:szCs w:val="22"/>
          <w:u w:val="single"/>
        </w:rPr>
        <w:t>Pacienti s poruchou funkcie obličiek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jednej štúdii s jednorazovou dávkou a jednej štúdii s viacnásobnou dávkou sa porovnávala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farmakokinetika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u pacientov s chronickou </w:t>
      </w:r>
      <w:proofErr w:type="spellStart"/>
      <w:r w:rsidRPr="00C92EAF">
        <w:rPr>
          <w:rFonts w:eastAsiaTheme="minorHAnsi"/>
          <w:sz w:val="22"/>
          <w:szCs w:val="22"/>
        </w:rPr>
        <w:t>renálnou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insuficienciou</w:t>
      </w:r>
      <w:proofErr w:type="spellEnd"/>
      <w:r w:rsidRPr="00C92EAF">
        <w:rPr>
          <w:rFonts w:eastAsiaTheme="minorHAnsi"/>
          <w:sz w:val="22"/>
          <w:szCs w:val="22"/>
        </w:rPr>
        <w:t xml:space="preserve"> (CRI) a zdravých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lastRenderedPageBreak/>
        <w:t xml:space="preserve">jedincov. V štúdii s jednorazovou dávkou bola expozícia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približne 2-násobne vyššia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u jedincov s miernou až stredne závažnou CRI a 2,5-násobne vyššia u jedincov so závažnou CRI,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v porovnaní so zdravými jedincami. V štúdii s viacnásobnou dávkou sa rovnovážny stav dosiahol po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11. dni a v porovnaní so zdravými jedincami bola expozícia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~ 1,5-násobne vyššia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u jedincov s miernou až stredne závažnou CRI a ~ 2,5-násobne vyššia u jedincov so závažnou CRI.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V oboch štúdiách neboli zmeny v expozícii (AUC a </w:t>
      </w:r>
      <w:proofErr w:type="spellStart"/>
      <w:r w:rsidRPr="00C92EAF">
        <w:rPr>
          <w:rFonts w:eastAsiaTheme="minorHAnsi"/>
          <w:sz w:val="22"/>
          <w:szCs w:val="22"/>
        </w:rPr>
        <w:t>C</w:t>
      </w:r>
      <w:r w:rsidRPr="00C92EAF">
        <w:rPr>
          <w:rFonts w:eastAsiaTheme="minorHAnsi"/>
          <w:sz w:val="22"/>
          <w:szCs w:val="22"/>
          <w:vertAlign w:val="subscript"/>
        </w:rPr>
        <w:t>max</w:t>
      </w:r>
      <w:proofErr w:type="spellEnd"/>
      <w:r w:rsidRPr="00C92EAF">
        <w:rPr>
          <w:rFonts w:eastAsiaTheme="minorHAnsi"/>
          <w:sz w:val="22"/>
          <w:szCs w:val="22"/>
        </w:rPr>
        <w:t xml:space="preserve">)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a 3-hydroxydesloratadínu</w:t>
      </w:r>
    </w:p>
    <w:p w:rsidR="003236EA" w:rsidRPr="00C92EAF" w:rsidRDefault="003236EA" w:rsidP="003236EA">
      <w:pPr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klinicky relevantné.</w:t>
      </w:r>
    </w:p>
    <w:p w:rsidR="003236EA" w:rsidRPr="00C92EAF" w:rsidRDefault="003236EA" w:rsidP="003236EA">
      <w:pPr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5.3</w:t>
      </w:r>
      <w:r w:rsidRPr="00C5188B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proofErr w:type="spellStart"/>
      <w:r w:rsidRPr="00C92EAF">
        <w:rPr>
          <w:rFonts w:eastAsiaTheme="minorHAnsi"/>
          <w:sz w:val="22"/>
          <w:szCs w:val="22"/>
        </w:rPr>
        <w:t>Desloratadín</w:t>
      </w:r>
      <w:proofErr w:type="spellEnd"/>
      <w:r w:rsidRPr="00C92EAF">
        <w:rPr>
          <w:rFonts w:eastAsiaTheme="minorHAnsi"/>
          <w:sz w:val="22"/>
          <w:szCs w:val="22"/>
        </w:rPr>
        <w:t xml:space="preserve"> je primárny aktívny </w:t>
      </w:r>
      <w:proofErr w:type="spellStart"/>
      <w:r w:rsidRPr="00C92EAF">
        <w:rPr>
          <w:rFonts w:eastAsiaTheme="minorHAnsi"/>
          <w:sz w:val="22"/>
          <w:szCs w:val="22"/>
        </w:rPr>
        <w:t>metabolit</w:t>
      </w:r>
      <w:proofErr w:type="spellEnd"/>
      <w:r w:rsidRPr="00C92EAF">
        <w:rPr>
          <w:rFonts w:eastAsiaTheme="minorHAnsi"/>
          <w:sz w:val="22"/>
          <w:szCs w:val="22"/>
        </w:rPr>
        <w:t xml:space="preserve"> </w:t>
      </w:r>
      <w:proofErr w:type="spellStart"/>
      <w:r w:rsidRPr="00C92EAF">
        <w:rPr>
          <w:rFonts w:eastAsiaTheme="minorHAnsi"/>
          <w:sz w:val="22"/>
          <w:szCs w:val="22"/>
        </w:rPr>
        <w:t>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. Predklinické štúdie s </w:t>
      </w: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a </w:t>
      </w:r>
      <w:proofErr w:type="spellStart"/>
      <w:r w:rsidRPr="00C92EAF">
        <w:rPr>
          <w:rFonts w:eastAsiaTheme="minorHAnsi"/>
          <w:sz w:val="22"/>
          <w:szCs w:val="22"/>
        </w:rPr>
        <w:t>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ukázali, že pri porovnateľných úrovniach expozície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sa nevyskytli žiadne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kvalitatívne alebo kvantitatívne rozdiely v profile toxicity </w:t>
      </w:r>
      <w:proofErr w:type="spellStart"/>
      <w:r w:rsidRPr="00C92EAF">
        <w:rPr>
          <w:rFonts w:eastAsiaTheme="minorHAnsi"/>
          <w:sz w:val="22"/>
          <w:szCs w:val="22"/>
        </w:rPr>
        <w:t>desloratadínu</w:t>
      </w:r>
      <w:proofErr w:type="spellEnd"/>
      <w:r w:rsidRPr="00C92EAF">
        <w:rPr>
          <w:rFonts w:eastAsiaTheme="minorHAnsi"/>
          <w:sz w:val="22"/>
          <w:szCs w:val="22"/>
        </w:rPr>
        <w:t xml:space="preserve"> a </w:t>
      </w:r>
      <w:proofErr w:type="spellStart"/>
      <w:r w:rsidRPr="00C92EAF">
        <w:rPr>
          <w:rFonts w:eastAsiaTheme="minorHAnsi"/>
          <w:sz w:val="22"/>
          <w:szCs w:val="22"/>
        </w:rPr>
        <w:t>loratadínu</w:t>
      </w:r>
      <w:proofErr w:type="spellEnd"/>
      <w:r w:rsidRPr="00C92EAF">
        <w:rPr>
          <w:rFonts w:eastAsiaTheme="minorHAnsi"/>
          <w:sz w:val="22"/>
          <w:szCs w:val="22"/>
        </w:rPr>
        <w:t>.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Predklinické údaje získané na základe obvyklých farmakologických štúdií bezpečnosti, toxicity po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opakovanom podávaní, </w:t>
      </w:r>
      <w:proofErr w:type="spellStart"/>
      <w:r w:rsidRPr="00C92EAF">
        <w:rPr>
          <w:rFonts w:eastAsiaTheme="minorHAnsi"/>
          <w:sz w:val="22"/>
          <w:szCs w:val="22"/>
        </w:rPr>
        <w:t>genotoxicity</w:t>
      </w:r>
      <w:proofErr w:type="spellEnd"/>
      <w:r w:rsidRPr="00C92EAF">
        <w:rPr>
          <w:rFonts w:eastAsiaTheme="minorHAnsi"/>
          <w:sz w:val="22"/>
          <w:szCs w:val="22"/>
        </w:rPr>
        <w:t>, karcinogénneho potenciálu, reprodukčnej toxicity a vývinu</w:t>
      </w:r>
    </w:p>
    <w:p w:rsidR="003236EA" w:rsidRPr="00C92EAF" w:rsidRDefault="003236EA" w:rsidP="003236E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 xml:space="preserve">neodhalili žiadne osobitné riziko pre ľudí. Štúdie s </w:t>
      </w:r>
      <w:proofErr w:type="spellStart"/>
      <w:r w:rsidRPr="00C92EAF">
        <w:rPr>
          <w:rFonts w:eastAsiaTheme="minorHAnsi"/>
          <w:sz w:val="22"/>
          <w:szCs w:val="22"/>
        </w:rPr>
        <w:t>desloratadínom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a </w:t>
      </w:r>
      <w:proofErr w:type="spellStart"/>
      <w:r w:rsidRPr="00C92EAF">
        <w:rPr>
          <w:rFonts w:eastAsiaTheme="minorHAnsi"/>
          <w:sz w:val="22"/>
          <w:szCs w:val="22"/>
        </w:rPr>
        <w:t>loratadínom</w:t>
      </w:r>
      <w:proofErr w:type="spellEnd"/>
      <w:r w:rsidRPr="00C92EAF">
        <w:rPr>
          <w:rFonts w:eastAsiaTheme="minorHAnsi"/>
          <w:sz w:val="22"/>
          <w:szCs w:val="22"/>
        </w:rPr>
        <w:t xml:space="preserve"> ukázali</w:t>
      </w:r>
    </w:p>
    <w:p w:rsidR="005A00A4" w:rsidRPr="00C92EAF" w:rsidRDefault="003236EA" w:rsidP="003236E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rFonts w:eastAsiaTheme="minorHAnsi"/>
          <w:sz w:val="22"/>
          <w:szCs w:val="22"/>
        </w:rPr>
        <w:t>neprítomnosť karcinogénneho potenciálu.</w:t>
      </w:r>
    </w:p>
    <w:p w:rsidR="003236EA" w:rsidRPr="00C92EAF" w:rsidRDefault="003236EA" w:rsidP="003236E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3236EA" w:rsidRPr="00C92EAF" w:rsidRDefault="003236EA" w:rsidP="003236EA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Farmaceutické informácie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6.1</w:t>
      </w:r>
      <w:r w:rsidRPr="00C5188B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 xml:space="preserve">tekutý nekryštalizujúci </w:t>
      </w:r>
      <w:proofErr w:type="spellStart"/>
      <w:r w:rsidRPr="00C92EAF">
        <w:rPr>
          <w:sz w:val="22"/>
          <w:szCs w:val="22"/>
        </w:rPr>
        <w:t>sorbitol</w:t>
      </w:r>
      <w:proofErr w:type="spellEnd"/>
      <w:r w:rsidRPr="00C92EAF">
        <w:rPr>
          <w:sz w:val="22"/>
          <w:szCs w:val="22"/>
        </w:rPr>
        <w:t xml:space="preserve"> (E420)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C92EAF">
        <w:rPr>
          <w:sz w:val="22"/>
          <w:szCs w:val="22"/>
        </w:rPr>
        <w:t>propylénglykol</w:t>
      </w:r>
      <w:proofErr w:type="spellEnd"/>
      <w:r w:rsidRPr="00C92EAF">
        <w:rPr>
          <w:sz w:val="22"/>
          <w:szCs w:val="22"/>
        </w:rPr>
        <w:t xml:space="preserve">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C92EAF">
        <w:rPr>
          <w:sz w:val="22"/>
          <w:szCs w:val="22"/>
        </w:rPr>
        <w:t>hypromelóza</w:t>
      </w:r>
      <w:proofErr w:type="spellEnd"/>
      <w:r w:rsidRPr="00C92EAF">
        <w:rPr>
          <w:sz w:val="22"/>
          <w:szCs w:val="22"/>
        </w:rPr>
        <w:t xml:space="preserve">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C92EAF">
        <w:rPr>
          <w:sz w:val="22"/>
          <w:szCs w:val="22"/>
        </w:rPr>
        <w:t>sukralóza</w:t>
      </w:r>
      <w:proofErr w:type="spellEnd"/>
      <w:r w:rsidRPr="00C92EAF">
        <w:rPr>
          <w:sz w:val="22"/>
          <w:szCs w:val="22"/>
        </w:rPr>
        <w:t xml:space="preserve">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C92EAF">
        <w:rPr>
          <w:sz w:val="22"/>
          <w:szCs w:val="22"/>
        </w:rPr>
        <w:t>citrónan</w:t>
      </w:r>
      <w:proofErr w:type="spellEnd"/>
      <w:r w:rsidRPr="00C92EAF">
        <w:rPr>
          <w:sz w:val="22"/>
          <w:szCs w:val="22"/>
        </w:rPr>
        <w:t xml:space="preserve"> sodný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>tekutá ovocná príchuť (</w:t>
      </w:r>
      <w:proofErr w:type="spellStart"/>
      <w:r w:rsidRPr="00C92EAF">
        <w:rPr>
          <w:sz w:val="22"/>
          <w:szCs w:val="22"/>
        </w:rPr>
        <w:t>tutti</w:t>
      </w:r>
      <w:proofErr w:type="spellEnd"/>
      <w:r w:rsidRPr="00C92EAF">
        <w:rPr>
          <w:sz w:val="22"/>
          <w:szCs w:val="22"/>
        </w:rPr>
        <w:t xml:space="preserve"> </w:t>
      </w:r>
      <w:proofErr w:type="spellStart"/>
      <w:r w:rsidRPr="00C92EAF">
        <w:rPr>
          <w:sz w:val="22"/>
          <w:szCs w:val="22"/>
        </w:rPr>
        <w:t>frutti</w:t>
      </w:r>
      <w:proofErr w:type="spellEnd"/>
      <w:r w:rsidRPr="00C92EAF">
        <w:rPr>
          <w:sz w:val="22"/>
          <w:szCs w:val="22"/>
        </w:rPr>
        <w:t xml:space="preserve">) 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 xml:space="preserve">bezvodá kyselina citrónová </w:t>
      </w:r>
    </w:p>
    <w:p w:rsidR="005A00A4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C92EAF">
        <w:rPr>
          <w:sz w:val="22"/>
          <w:szCs w:val="22"/>
        </w:rPr>
        <w:t>čistená voda</w:t>
      </w:r>
    </w:p>
    <w:p w:rsidR="00214AB3" w:rsidRPr="00C92EAF" w:rsidRDefault="00214AB3" w:rsidP="004A0BF0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6.2</w:t>
      </w:r>
      <w:r w:rsidRPr="00C5188B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 xml:space="preserve">Neaplikovateľné. 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6.3</w:t>
      </w:r>
      <w:r w:rsidRPr="00C5188B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A00A4" w:rsidRPr="00C92EAF" w:rsidRDefault="005A00A4" w:rsidP="004A0BF0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C92EAF" w:rsidRDefault="00022A1C" w:rsidP="004A0BF0">
      <w:pPr>
        <w:pStyle w:val="Zarkazkladnhotextu"/>
        <w:spacing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3</w:t>
      </w:r>
      <w:r w:rsidR="005A00A4" w:rsidRPr="00C92EAF">
        <w:rPr>
          <w:sz w:val="22"/>
          <w:szCs w:val="22"/>
        </w:rPr>
        <w:t xml:space="preserve"> </w:t>
      </w:r>
      <w:r w:rsidR="006D7981" w:rsidRPr="00C92EAF">
        <w:rPr>
          <w:sz w:val="22"/>
          <w:szCs w:val="22"/>
        </w:rPr>
        <w:t>roky</w:t>
      </w:r>
    </w:p>
    <w:p w:rsidR="005A00A4" w:rsidRPr="00C92EAF" w:rsidRDefault="005A00A4" w:rsidP="004A0BF0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6.4</w:t>
      </w:r>
      <w:r w:rsidRPr="00C5188B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5A00A4" w:rsidRPr="00C92EAF" w:rsidRDefault="00214AB3" w:rsidP="004A0BF0">
      <w:pPr>
        <w:jc w:val="both"/>
        <w:rPr>
          <w:noProof/>
          <w:sz w:val="22"/>
          <w:szCs w:val="22"/>
        </w:rPr>
      </w:pPr>
      <w:r w:rsidRPr="00C92EAF">
        <w:rPr>
          <w:noProof/>
          <w:sz w:val="22"/>
          <w:szCs w:val="22"/>
        </w:rPr>
        <w:t>Uchovávajte v pôvodnom obale.</w:t>
      </w:r>
    </w:p>
    <w:p w:rsidR="00892636" w:rsidRPr="00C92EAF" w:rsidRDefault="00892636" w:rsidP="004A0BF0">
      <w:pPr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6.5</w:t>
      </w:r>
      <w:r w:rsidRPr="00C5188B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C5188B">
        <w:rPr>
          <w:rFonts w:ascii="Times New Roman" w:hAnsi="Times New Roman"/>
          <w:i w:val="0"/>
          <w:sz w:val="22"/>
          <w:szCs w:val="22"/>
        </w:rPr>
        <w:br/>
      </w:r>
    </w:p>
    <w:p w:rsidR="00214AB3" w:rsidRPr="00C92EAF" w:rsidRDefault="00214AB3" w:rsidP="004A0BF0">
      <w:pPr>
        <w:pStyle w:val="Zarkazkladnhotextu"/>
        <w:spacing w:line="240" w:lineRule="auto"/>
        <w:ind w:left="0"/>
        <w:rPr>
          <w:rFonts w:eastAsiaTheme="minorEastAsia"/>
          <w:bCs/>
          <w:sz w:val="22"/>
          <w:szCs w:val="22"/>
        </w:rPr>
      </w:pPr>
      <w:r w:rsidRPr="00C92EAF">
        <w:rPr>
          <w:rFonts w:eastAsiaTheme="minorEastAsia"/>
          <w:bCs/>
          <w:sz w:val="22"/>
          <w:szCs w:val="22"/>
        </w:rPr>
        <w:t xml:space="preserve">60 alebo 150 ml </w:t>
      </w:r>
      <w:r w:rsidR="00A95F6B" w:rsidRPr="00C92EAF">
        <w:rPr>
          <w:rFonts w:eastAsiaTheme="minorEastAsia"/>
          <w:bCs/>
          <w:sz w:val="22"/>
          <w:szCs w:val="22"/>
        </w:rPr>
        <w:t xml:space="preserve">perorálneho roztoku v </w:t>
      </w:r>
      <w:r w:rsidRPr="00C92EAF">
        <w:rPr>
          <w:rFonts w:eastAsiaTheme="minorEastAsia"/>
          <w:bCs/>
          <w:sz w:val="22"/>
          <w:szCs w:val="22"/>
        </w:rPr>
        <w:t>sklenen</w:t>
      </w:r>
      <w:r w:rsidR="00A95F6B" w:rsidRPr="00C92EAF">
        <w:rPr>
          <w:rFonts w:eastAsiaTheme="minorEastAsia"/>
          <w:bCs/>
          <w:sz w:val="22"/>
          <w:szCs w:val="22"/>
        </w:rPr>
        <w:t>ej</w:t>
      </w:r>
      <w:r w:rsidRPr="00C92EAF">
        <w:rPr>
          <w:rFonts w:eastAsiaTheme="minorEastAsia"/>
          <w:bCs/>
          <w:sz w:val="22"/>
          <w:szCs w:val="22"/>
        </w:rPr>
        <w:t xml:space="preserve"> fľaš</w:t>
      </w:r>
      <w:r w:rsidR="00A95F6B" w:rsidRPr="00C92EAF">
        <w:rPr>
          <w:rFonts w:eastAsiaTheme="minorEastAsia"/>
          <w:bCs/>
          <w:sz w:val="22"/>
          <w:szCs w:val="22"/>
        </w:rPr>
        <w:t>i</w:t>
      </w:r>
      <w:r w:rsidRPr="00C92EAF">
        <w:rPr>
          <w:rFonts w:eastAsiaTheme="minorEastAsia"/>
          <w:bCs/>
          <w:sz w:val="22"/>
          <w:szCs w:val="22"/>
        </w:rPr>
        <w:t xml:space="preserve"> </w:t>
      </w:r>
      <w:r w:rsidR="00CC1044" w:rsidRPr="00C92EAF">
        <w:rPr>
          <w:rFonts w:eastAsiaTheme="minorEastAsia"/>
          <w:bCs/>
          <w:sz w:val="22"/>
          <w:szCs w:val="22"/>
        </w:rPr>
        <w:t xml:space="preserve">(fľaša z jantárového skla triedy III) </w:t>
      </w:r>
      <w:r w:rsidRPr="00C92EAF">
        <w:rPr>
          <w:rFonts w:eastAsiaTheme="minorEastAsia"/>
          <w:bCs/>
          <w:sz w:val="22"/>
          <w:szCs w:val="22"/>
        </w:rPr>
        <w:t xml:space="preserve">s plastovým </w:t>
      </w:r>
      <w:r w:rsidR="00CC1044" w:rsidRPr="00C92EAF">
        <w:rPr>
          <w:rFonts w:eastAsiaTheme="minorEastAsia"/>
          <w:bCs/>
          <w:sz w:val="22"/>
          <w:szCs w:val="22"/>
        </w:rPr>
        <w:t>závitovým</w:t>
      </w:r>
      <w:r w:rsidRPr="00C92EAF">
        <w:rPr>
          <w:rFonts w:eastAsiaTheme="minorEastAsia"/>
          <w:bCs/>
          <w:sz w:val="22"/>
          <w:szCs w:val="22"/>
        </w:rPr>
        <w:t xml:space="preserve"> uzáverom </w:t>
      </w:r>
      <w:r w:rsidR="007B53DC">
        <w:rPr>
          <w:rFonts w:eastAsiaTheme="minorEastAsia"/>
          <w:bCs/>
          <w:sz w:val="22"/>
          <w:szCs w:val="22"/>
        </w:rPr>
        <w:t>s detskou poistkou</w:t>
      </w:r>
      <w:r w:rsidRPr="00C92EAF">
        <w:rPr>
          <w:rFonts w:eastAsiaTheme="minorEastAsia"/>
          <w:bCs/>
          <w:sz w:val="22"/>
          <w:szCs w:val="22"/>
        </w:rPr>
        <w:t xml:space="preserve"> </w:t>
      </w:r>
      <w:r w:rsidR="00CC1044" w:rsidRPr="00C92EAF">
        <w:rPr>
          <w:rFonts w:eastAsiaTheme="minorEastAsia"/>
          <w:bCs/>
          <w:sz w:val="22"/>
          <w:szCs w:val="22"/>
        </w:rPr>
        <w:t xml:space="preserve">s trojvrstvovou polyetylénovou podložkou </w:t>
      </w:r>
      <w:r w:rsidRPr="00C92EAF">
        <w:rPr>
          <w:rFonts w:eastAsiaTheme="minorEastAsia"/>
          <w:bCs/>
          <w:sz w:val="22"/>
          <w:szCs w:val="22"/>
        </w:rPr>
        <w:t>v papierovej škatuli s písomnou informáciou pre používateľa.</w:t>
      </w:r>
    </w:p>
    <w:p w:rsidR="006D7981" w:rsidRPr="00C92EAF" w:rsidRDefault="00214AB3" w:rsidP="004A0BF0">
      <w:pPr>
        <w:pStyle w:val="Zarkazkladnhotextu"/>
        <w:spacing w:line="240" w:lineRule="auto"/>
        <w:ind w:left="0"/>
        <w:rPr>
          <w:rFonts w:eastAsiaTheme="minorEastAsia"/>
          <w:bCs/>
          <w:sz w:val="22"/>
          <w:szCs w:val="22"/>
        </w:rPr>
      </w:pPr>
      <w:r w:rsidRPr="00C92EAF">
        <w:rPr>
          <w:rFonts w:eastAsiaTheme="minorEastAsia"/>
          <w:bCs/>
          <w:sz w:val="22"/>
          <w:szCs w:val="22"/>
        </w:rPr>
        <w:t>Súčasťou balenia je odmerná lyžica s označením dávky 2,5 ml a 5 ml.</w:t>
      </w:r>
    </w:p>
    <w:p w:rsidR="00214AB3" w:rsidRPr="00C92EAF" w:rsidRDefault="0045774B" w:rsidP="004A0BF0">
      <w:pPr>
        <w:pStyle w:val="Zarkazkladnhotextu"/>
        <w:spacing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Na trh nemusia byť uvedené všetky veľkosti balenia.</w:t>
      </w:r>
    </w:p>
    <w:p w:rsidR="0045774B" w:rsidRPr="00C92EAF" w:rsidRDefault="0045774B" w:rsidP="004A0BF0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EF3C43" w:rsidRDefault="00EF3C43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</w:p>
    <w:p w:rsidR="005A00A4" w:rsidRPr="00C92EAF" w:rsidRDefault="005A00A4" w:rsidP="004A0BF0">
      <w:pPr>
        <w:pStyle w:val="Nadpis3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6.6</w:t>
      </w:r>
      <w:r w:rsidRPr="00C5188B">
        <w:rPr>
          <w:rFonts w:ascii="Times New Roman" w:hAnsi="Times New Roman"/>
          <w:i w:val="0"/>
          <w:sz w:val="22"/>
          <w:szCs w:val="22"/>
        </w:rPr>
        <w:tab/>
        <w:t> Špeciálne opatrenia na likvidáciu a iné zaobchádzanie s liekom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892636" w:rsidRPr="00C92EAF" w:rsidRDefault="00892636" w:rsidP="004A0BF0">
      <w:pPr>
        <w:tabs>
          <w:tab w:val="left" w:pos="630"/>
        </w:tabs>
        <w:ind w:right="180"/>
        <w:rPr>
          <w:bCs/>
          <w:sz w:val="22"/>
          <w:szCs w:val="22"/>
        </w:rPr>
      </w:pPr>
      <w:r w:rsidRPr="00C92EAF">
        <w:rPr>
          <w:sz w:val="22"/>
          <w:szCs w:val="22"/>
        </w:rPr>
        <w:t>Žiadne zvláštne požiadavky.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E012CD" w:rsidRPr="00C92EAF" w:rsidRDefault="00E012CD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Držiteľ rozhodnutia o registrácii</w:t>
      </w:r>
    </w:p>
    <w:p w:rsidR="005A00A4" w:rsidRPr="00C92EAF" w:rsidRDefault="005A00A4" w:rsidP="004A0BF0">
      <w:pPr>
        <w:jc w:val="both"/>
        <w:rPr>
          <w:sz w:val="22"/>
          <w:szCs w:val="22"/>
        </w:rPr>
      </w:pPr>
    </w:p>
    <w:p w:rsidR="005A00A4" w:rsidRDefault="004B65AA" w:rsidP="004A0BF0">
      <w:pPr>
        <w:jc w:val="both"/>
        <w:rPr>
          <w:sz w:val="22"/>
          <w:szCs w:val="22"/>
        </w:rPr>
      </w:pPr>
      <w:r w:rsidRPr="004B65AA">
        <w:rPr>
          <w:sz w:val="22"/>
          <w:szCs w:val="22"/>
        </w:rPr>
        <w:t xml:space="preserve">BELUPO, s.r.o., </w:t>
      </w:r>
      <w:r w:rsidR="008F5BF7">
        <w:rPr>
          <w:sz w:val="22"/>
          <w:szCs w:val="22"/>
        </w:rPr>
        <w:t xml:space="preserve">Cukrová 14, 811 08 </w:t>
      </w:r>
      <w:r w:rsidRPr="004B65AA">
        <w:rPr>
          <w:sz w:val="22"/>
          <w:szCs w:val="22"/>
        </w:rPr>
        <w:t>Bratislava, Slovenská republika</w:t>
      </w:r>
    </w:p>
    <w:p w:rsidR="008F5BF7" w:rsidRPr="00C92EAF" w:rsidRDefault="008F5BF7" w:rsidP="004A0BF0">
      <w:pPr>
        <w:jc w:val="both"/>
        <w:rPr>
          <w:sz w:val="22"/>
          <w:szCs w:val="22"/>
        </w:rPr>
      </w:pPr>
    </w:p>
    <w:p w:rsidR="005A00A4" w:rsidRPr="00C92EAF" w:rsidRDefault="005A00A4" w:rsidP="004A0BF0">
      <w:pPr>
        <w:jc w:val="both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RegistraČné číslo</w:t>
      </w: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C92EAF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 w:rsidRPr="00C92EAF">
        <w:rPr>
          <w:sz w:val="22"/>
          <w:szCs w:val="22"/>
        </w:rPr>
        <w:t>24/0130/17-S</w:t>
      </w:r>
    </w:p>
    <w:p w:rsidR="00B4192E" w:rsidRPr="00C92EAF" w:rsidRDefault="00B4192E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8F5BF7" w:rsidRDefault="008F5BF7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Default="008F5BF7" w:rsidP="004A0BF0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prvej registrácie: 22.5.2017</w:t>
      </w:r>
    </w:p>
    <w:p w:rsidR="008F5BF7" w:rsidRPr="00C92EAF" w:rsidRDefault="008F5BF7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A00A4" w:rsidRPr="00C92EAF" w:rsidRDefault="005A00A4" w:rsidP="004A0BF0">
      <w:pPr>
        <w:pStyle w:val="Nadpis2"/>
        <w:tabs>
          <w:tab w:val="clear" w:pos="360"/>
          <w:tab w:val="left" w:pos="708"/>
        </w:tabs>
        <w:spacing w:before="0" w:after="0"/>
        <w:ind w:left="0" w:firstLine="0"/>
        <w:rPr>
          <w:rFonts w:ascii="Times New Roman" w:hAnsi="Times New Roman"/>
          <w:i w:val="0"/>
          <w:sz w:val="22"/>
          <w:szCs w:val="22"/>
        </w:rPr>
      </w:pPr>
      <w:r w:rsidRPr="00C5188B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A00A4" w:rsidRDefault="005A00A4" w:rsidP="004A0BF0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D726F9" w:rsidRPr="00C92EAF" w:rsidRDefault="003D4BA2" w:rsidP="004A0BF0">
      <w:pPr>
        <w:rPr>
          <w:sz w:val="22"/>
          <w:szCs w:val="22"/>
        </w:rPr>
      </w:pPr>
      <w:r>
        <w:rPr>
          <w:sz w:val="22"/>
          <w:szCs w:val="22"/>
        </w:rPr>
        <w:t>Január 2018</w:t>
      </w:r>
    </w:p>
    <w:sectPr w:rsidR="00D726F9" w:rsidRPr="00C92EAF" w:rsidSect="00E91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D3" w:rsidRDefault="00FB5DD3" w:rsidP="003D4BA2">
      <w:r>
        <w:separator/>
      </w:r>
    </w:p>
  </w:endnote>
  <w:endnote w:type="continuationSeparator" w:id="0">
    <w:p w:rsidR="00FB5DD3" w:rsidRDefault="00FB5DD3" w:rsidP="003D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B2" w:rsidRDefault="00036C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B2" w:rsidRDefault="00036CB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B2" w:rsidRDefault="00036C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D3" w:rsidRDefault="00FB5DD3" w:rsidP="003D4BA2">
      <w:r>
        <w:separator/>
      </w:r>
    </w:p>
  </w:footnote>
  <w:footnote w:type="continuationSeparator" w:id="0">
    <w:p w:rsidR="00FB5DD3" w:rsidRDefault="00FB5DD3" w:rsidP="003D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B2" w:rsidRDefault="00036CB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2" w:rsidRPr="00CA3F5B" w:rsidRDefault="003D4BA2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 </w:t>
    </w:r>
    <w:r>
      <w:rPr>
        <w:sz w:val="18"/>
        <w:szCs w:val="18"/>
      </w:rPr>
      <w:t>2017/065</w:t>
    </w:r>
    <w:r w:rsidR="00036CB2">
      <w:rPr>
        <w:sz w:val="18"/>
        <w:szCs w:val="18"/>
      </w:rPr>
      <w:t>40</w:t>
    </w:r>
    <w:bookmarkStart w:id="0" w:name="_GoBack"/>
    <w:bookmarkEnd w:id="0"/>
    <w:r>
      <w:rPr>
        <w:sz w:val="18"/>
        <w:szCs w:val="18"/>
      </w:rPr>
      <w:t>-ZIA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B2" w:rsidRDefault="00036CB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9844CDE"/>
    <w:multiLevelType w:val="hybridMultilevel"/>
    <w:tmpl w:val="451E1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F6AFB"/>
    <w:multiLevelType w:val="hybridMultilevel"/>
    <w:tmpl w:val="DB549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3DDF"/>
    <w:multiLevelType w:val="hybridMultilevel"/>
    <w:tmpl w:val="83E0B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E0F8D"/>
    <w:multiLevelType w:val="hybridMultilevel"/>
    <w:tmpl w:val="6BE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06162"/>
    <w:multiLevelType w:val="hybridMultilevel"/>
    <w:tmpl w:val="6EC617FE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C67264"/>
    <w:multiLevelType w:val="hybridMultilevel"/>
    <w:tmpl w:val="84867D22"/>
    <w:lvl w:ilvl="0" w:tplc="1FF08B0C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5434E4"/>
    <w:multiLevelType w:val="hybridMultilevel"/>
    <w:tmpl w:val="9D2E7534"/>
    <w:lvl w:ilvl="0" w:tplc="4410764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A4"/>
    <w:rsid w:val="00022A1C"/>
    <w:rsid w:val="00036CB2"/>
    <w:rsid w:val="00054913"/>
    <w:rsid w:val="00062F67"/>
    <w:rsid w:val="00086E22"/>
    <w:rsid w:val="000A4965"/>
    <w:rsid w:val="000A712B"/>
    <w:rsid w:val="000E5CAA"/>
    <w:rsid w:val="000F4200"/>
    <w:rsid w:val="00104CA6"/>
    <w:rsid w:val="001769E1"/>
    <w:rsid w:val="001D0C39"/>
    <w:rsid w:val="001F358E"/>
    <w:rsid w:val="00214AB3"/>
    <w:rsid w:val="00236C66"/>
    <w:rsid w:val="0024138F"/>
    <w:rsid w:val="002A1E04"/>
    <w:rsid w:val="002A65D3"/>
    <w:rsid w:val="002B4DC0"/>
    <w:rsid w:val="002C3D8A"/>
    <w:rsid w:val="002C61E3"/>
    <w:rsid w:val="003029FB"/>
    <w:rsid w:val="00306C6C"/>
    <w:rsid w:val="003236EA"/>
    <w:rsid w:val="003601BC"/>
    <w:rsid w:val="003900FF"/>
    <w:rsid w:val="003B2063"/>
    <w:rsid w:val="003D4BA2"/>
    <w:rsid w:val="003D4D4E"/>
    <w:rsid w:val="0045774B"/>
    <w:rsid w:val="00483259"/>
    <w:rsid w:val="004A0BF0"/>
    <w:rsid w:val="004B65AA"/>
    <w:rsid w:val="004C75AA"/>
    <w:rsid w:val="00532817"/>
    <w:rsid w:val="005449A5"/>
    <w:rsid w:val="005A00A4"/>
    <w:rsid w:val="00630A1D"/>
    <w:rsid w:val="00684465"/>
    <w:rsid w:val="00690F8B"/>
    <w:rsid w:val="006B0D80"/>
    <w:rsid w:val="006D7981"/>
    <w:rsid w:val="006E3C50"/>
    <w:rsid w:val="006F1545"/>
    <w:rsid w:val="00722EAB"/>
    <w:rsid w:val="00737975"/>
    <w:rsid w:val="007731C3"/>
    <w:rsid w:val="00785310"/>
    <w:rsid w:val="007A0D93"/>
    <w:rsid w:val="007A1870"/>
    <w:rsid w:val="007B5297"/>
    <w:rsid w:val="007B53DC"/>
    <w:rsid w:val="007B66C7"/>
    <w:rsid w:val="00840BBE"/>
    <w:rsid w:val="008433AD"/>
    <w:rsid w:val="0084689E"/>
    <w:rsid w:val="008468B1"/>
    <w:rsid w:val="00880525"/>
    <w:rsid w:val="00892636"/>
    <w:rsid w:val="008A37A8"/>
    <w:rsid w:val="008A3F96"/>
    <w:rsid w:val="008B49CE"/>
    <w:rsid w:val="008D3E2F"/>
    <w:rsid w:val="008E5D79"/>
    <w:rsid w:val="008F5BF7"/>
    <w:rsid w:val="008F60C8"/>
    <w:rsid w:val="00962A4E"/>
    <w:rsid w:val="009A2051"/>
    <w:rsid w:val="009B05CC"/>
    <w:rsid w:val="00A14EF1"/>
    <w:rsid w:val="00A45A4A"/>
    <w:rsid w:val="00A50833"/>
    <w:rsid w:val="00A535E2"/>
    <w:rsid w:val="00A8685B"/>
    <w:rsid w:val="00A95F6B"/>
    <w:rsid w:val="00AA126E"/>
    <w:rsid w:val="00AC169D"/>
    <w:rsid w:val="00AE64FF"/>
    <w:rsid w:val="00B03AFE"/>
    <w:rsid w:val="00B37382"/>
    <w:rsid w:val="00B4192E"/>
    <w:rsid w:val="00B841C2"/>
    <w:rsid w:val="00BA6103"/>
    <w:rsid w:val="00BD3859"/>
    <w:rsid w:val="00BE0F1A"/>
    <w:rsid w:val="00BE1587"/>
    <w:rsid w:val="00BE263C"/>
    <w:rsid w:val="00C06ADA"/>
    <w:rsid w:val="00C5188B"/>
    <w:rsid w:val="00C92EAF"/>
    <w:rsid w:val="00CA3F5B"/>
    <w:rsid w:val="00CA486A"/>
    <w:rsid w:val="00CA4CBA"/>
    <w:rsid w:val="00CC1044"/>
    <w:rsid w:val="00D03ADC"/>
    <w:rsid w:val="00D36ED5"/>
    <w:rsid w:val="00D61AE6"/>
    <w:rsid w:val="00D726F9"/>
    <w:rsid w:val="00D74979"/>
    <w:rsid w:val="00D7549C"/>
    <w:rsid w:val="00D76AE6"/>
    <w:rsid w:val="00D80921"/>
    <w:rsid w:val="00DB27C2"/>
    <w:rsid w:val="00DB7981"/>
    <w:rsid w:val="00E012CD"/>
    <w:rsid w:val="00E24EEE"/>
    <w:rsid w:val="00E31F1B"/>
    <w:rsid w:val="00E91701"/>
    <w:rsid w:val="00E9662F"/>
    <w:rsid w:val="00EE61B0"/>
    <w:rsid w:val="00EF3C43"/>
    <w:rsid w:val="00F00941"/>
    <w:rsid w:val="00F0640D"/>
    <w:rsid w:val="00F521E8"/>
    <w:rsid w:val="00F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uiPriority w:val="99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Predvolenpsmoodseku"/>
    <w:rsid w:val="00AA126E"/>
  </w:style>
  <w:style w:type="table" w:styleId="Mriekatabuky">
    <w:name w:val="Table Grid"/>
    <w:basedOn w:val="Normlnatabuka"/>
    <w:uiPriority w:val="59"/>
    <w:rsid w:val="000A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character" w:customStyle="1" w:styleId="ft4">
    <w:name w:val="ft4"/>
    <w:rsid w:val="00086E22"/>
  </w:style>
  <w:style w:type="character" w:customStyle="1" w:styleId="ft52">
    <w:name w:val="ft52"/>
    <w:rsid w:val="00086E22"/>
  </w:style>
  <w:style w:type="paragraph" w:customStyle="1" w:styleId="EUNormal">
    <w:name w:val="EU Normal"/>
    <w:basedOn w:val="Normlny"/>
    <w:rsid w:val="008E5D79"/>
    <w:pPr>
      <w:tabs>
        <w:tab w:val="left" w:pos="567"/>
      </w:tabs>
    </w:pPr>
    <w:rPr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6E3C5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C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C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D4B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4B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A00A4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semiHidden/>
    <w:unhideWhenUsed/>
    <w:qFormat/>
    <w:rsid w:val="005A00A4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semiHidden/>
    <w:unhideWhenUsed/>
    <w:qFormat/>
    <w:rsid w:val="005A00A4"/>
    <w:pPr>
      <w:numPr>
        <w:ilvl w:val="2"/>
      </w:numPr>
      <w:tabs>
        <w:tab w:val="num" w:pos="360"/>
      </w:tabs>
      <w:spacing w:before="240"/>
      <w:ind w:left="360" w:hanging="36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semiHidden/>
    <w:unhideWhenUsed/>
    <w:qFormat/>
    <w:rsid w:val="005A00A4"/>
    <w:pPr>
      <w:numPr>
        <w:ilvl w:val="3"/>
      </w:numPr>
      <w:tabs>
        <w:tab w:val="num" w:pos="360"/>
      </w:tabs>
      <w:spacing w:before="180"/>
      <w:ind w:left="360" w:hanging="36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semiHidden/>
    <w:unhideWhenUsed/>
    <w:qFormat/>
    <w:rsid w:val="005A00A4"/>
    <w:pPr>
      <w:numPr>
        <w:ilvl w:val="4"/>
      </w:numPr>
      <w:tabs>
        <w:tab w:val="num" w:pos="360"/>
      </w:tabs>
      <w:spacing w:before="80"/>
      <w:ind w:left="360" w:hanging="36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semiHidden/>
    <w:unhideWhenUsed/>
    <w:qFormat/>
    <w:rsid w:val="005A00A4"/>
    <w:pPr>
      <w:numPr>
        <w:ilvl w:val="5"/>
      </w:numPr>
      <w:tabs>
        <w:tab w:val="num" w:pos="360"/>
      </w:tabs>
      <w:ind w:left="360" w:hanging="360"/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semiHidden/>
    <w:unhideWhenUsed/>
    <w:qFormat/>
    <w:rsid w:val="005A00A4"/>
    <w:pPr>
      <w:numPr>
        <w:ilvl w:val="6"/>
      </w:numPr>
      <w:tabs>
        <w:tab w:val="num" w:pos="360"/>
      </w:tabs>
      <w:spacing w:after="0"/>
      <w:ind w:left="360" w:hanging="36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semiHidden/>
    <w:unhideWhenUsed/>
    <w:qFormat/>
    <w:rsid w:val="005A00A4"/>
    <w:pPr>
      <w:numPr>
        <w:ilvl w:val="7"/>
      </w:numPr>
      <w:tabs>
        <w:tab w:val="num" w:pos="360"/>
      </w:tabs>
      <w:ind w:left="360" w:hanging="360"/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semiHidden/>
    <w:unhideWhenUsed/>
    <w:qFormat/>
    <w:rsid w:val="005A00A4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A00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5A00A4"/>
    <w:rPr>
      <w:rFonts w:ascii="Cambria" w:eastAsia="Times New Roman" w:hAnsi="Cambria" w:cs="Times New Roman"/>
      <w:b/>
      <w:i/>
      <w:iCs/>
      <w:caps/>
      <w:kern w:val="32"/>
      <w:sz w:val="32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5A00A4"/>
    <w:rPr>
      <w:rFonts w:ascii="Cambria" w:eastAsia="Times New Roman" w:hAnsi="Cambria" w:cs="Times New Roman"/>
      <w:b/>
      <w:bCs/>
      <w:i/>
      <w:iCs/>
      <w:kern w:val="32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5A00A4"/>
    <w:rPr>
      <w:rFonts w:ascii="Calibri" w:eastAsia="Times New Roman" w:hAnsi="Calibri" w:cs="Times New Roman"/>
      <w:b/>
      <w:i/>
      <w:iCs/>
      <w:kern w:val="32"/>
      <w:sz w:val="26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5A00A4"/>
    <w:rPr>
      <w:rFonts w:ascii="Calibri" w:eastAsia="Times New Roman" w:hAnsi="Calibri" w:cs="Times New Roman"/>
      <w:b/>
      <w:bCs/>
      <w:smallCaps/>
      <w:kern w:val="32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5A00A4"/>
    <w:rPr>
      <w:rFonts w:ascii="Calibri" w:eastAsia="Times New Roman" w:hAnsi="Calibri" w:cs="Times New Roman"/>
      <w:b/>
      <w:smallCaps/>
      <w:kern w:val="32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5A00A4"/>
    <w:rPr>
      <w:rFonts w:ascii="Calibri" w:eastAsia="Times New Roman" w:hAnsi="Calibri" w:cs="Times New Roman"/>
      <w:i/>
      <w:smallCaps/>
      <w:kern w:val="32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5A00A4"/>
    <w:rPr>
      <w:rFonts w:ascii="Calibri" w:eastAsia="Times New Roman" w:hAnsi="Calibri" w:cs="Times New Roman"/>
      <w:b/>
      <w:iCs/>
      <w:smallCaps/>
      <w:kern w:val="32"/>
      <w:sz w:val="24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5A00A4"/>
    <w:rPr>
      <w:rFonts w:ascii="Cambria" w:eastAsia="Times New Roman" w:hAnsi="Cambria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00A4"/>
    <w:rPr>
      <w:rFonts w:ascii="Times New Roman" w:hAnsi="Times New Roman" w:cs="Times New Roman" w:hint="default"/>
      <w:color w:val="0000FF"/>
      <w:u w:val="single"/>
    </w:rPr>
  </w:style>
  <w:style w:type="paragraph" w:customStyle="1" w:styleId="Bodytext">
    <w:name w:val="Bodytext"/>
    <w:basedOn w:val="Normlny"/>
    <w:uiPriority w:val="99"/>
    <w:rsid w:val="005A00A4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unhideWhenUsed/>
    <w:rsid w:val="005A00A4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A00A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A00A4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A00A4"/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A00A4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A00A4"/>
    <w:rPr>
      <w:rFonts w:ascii="Times New Roman" w:eastAsia="Times New Roman" w:hAnsi="Times New Roman" w:cs="Times New Roman"/>
      <w:sz w:val="16"/>
      <w:szCs w:val="16"/>
    </w:rPr>
  </w:style>
  <w:style w:type="paragraph" w:customStyle="1" w:styleId="Product">
    <w:name w:val="Product"/>
    <w:basedOn w:val="Bodytext"/>
    <w:uiPriority w:val="99"/>
    <w:rsid w:val="005A00A4"/>
    <w:rPr>
      <w:b/>
      <w:sz w:val="28"/>
    </w:rPr>
  </w:style>
  <w:style w:type="character" w:customStyle="1" w:styleId="TableTextChar">
    <w:name w:val="TableText Char"/>
    <w:link w:val="TableText"/>
    <w:uiPriority w:val="99"/>
    <w:locked/>
    <w:rsid w:val="005A00A4"/>
    <w:rPr>
      <w:lang w:val="en-US"/>
    </w:rPr>
  </w:style>
  <w:style w:type="paragraph" w:customStyle="1" w:styleId="TableText">
    <w:name w:val="TableText"/>
    <w:link w:val="TableTextChar"/>
    <w:uiPriority w:val="99"/>
    <w:rsid w:val="005A00A4"/>
    <w:pPr>
      <w:keepNext/>
      <w:spacing w:after="0" w:line="240" w:lineRule="auto"/>
    </w:pPr>
    <w:rPr>
      <w:lang w:val="en-US"/>
    </w:rPr>
  </w:style>
  <w:style w:type="paragraph" w:customStyle="1" w:styleId="CommentSubject1">
    <w:name w:val="Comment Subject1"/>
    <w:basedOn w:val="Textkomentra"/>
    <w:next w:val="Textkomentra"/>
    <w:semiHidden/>
    <w:rsid w:val="00054913"/>
    <w:pPr>
      <w:ind w:left="567" w:hanging="567"/>
    </w:pPr>
    <w:rPr>
      <w:b/>
      <w:bCs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49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491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062F6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BE263C"/>
    <w:rPr>
      <w:rFonts w:ascii="Tahoma" w:hAnsi="Tahoma" w:cs="Tahoma"/>
      <w:sz w:val="16"/>
      <w:szCs w:val="16"/>
      <w:lang w:val="hr-HR" w:eastAsia="hr-HR"/>
    </w:rPr>
  </w:style>
  <w:style w:type="character" w:customStyle="1" w:styleId="TextbublinyChar">
    <w:name w:val="Text bubliny Char"/>
    <w:basedOn w:val="Predvolenpsmoodseku"/>
    <w:link w:val="Textbubliny"/>
    <w:rsid w:val="00BE263C"/>
    <w:rPr>
      <w:rFonts w:ascii="Tahoma" w:eastAsia="Times New Roman" w:hAnsi="Tahoma" w:cs="Tahoma"/>
      <w:sz w:val="16"/>
      <w:szCs w:val="16"/>
      <w:lang w:val="hr-HR" w:eastAsia="hr-HR"/>
    </w:rPr>
  </w:style>
  <w:style w:type="paragraph" w:styleId="Normlnywebov">
    <w:name w:val="Normal (Web)"/>
    <w:basedOn w:val="Normlny"/>
    <w:uiPriority w:val="99"/>
    <w:unhideWhenUsed/>
    <w:rsid w:val="00BE263C"/>
    <w:pPr>
      <w:spacing w:before="100" w:beforeAutospacing="1" w:after="100" w:afterAutospacing="1"/>
    </w:pPr>
    <w:rPr>
      <w:lang w:val="hr-HR" w:eastAsia="hr-HR"/>
    </w:rPr>
  </w:style>
  <w:style w:type="character" w:customStyle="1" w:styleId="hps">
    <w:name w:val="hps"/>
    <w:basedOn w:val="Predvolenpsmoodseku"/>
    <w:rsid w:val="00AA126E"/>
  </w:style>
  <w:style w:type="table" w:styleId="Mriekatabuky">
    <w:name w:val="Table Grid"/>
    <w:basedOn w:val="Normlnatabuka"/>
    <w:uiPriority w:val="59"/>
    <w:rsid w:val="000A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1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s-CZ"/>
    </w:rPr>
  </w:style>
  <w:style w:type="character" w:customStyle="1" w:styleId="ft4">
    <w:name w:val="ft4"/>
    <w:rsid w:val="00086E22"/>
  </w:style>
  <w:style w:type="character" w:customStyle="1" w:styleId="ft52">
    <w:name w:val="ft52"/>
    <w:rsid w:val="00086E22"/>
  </w:style>
  <w:style w:type="paragraph" w:customStyle="1" w:styleId="EUNormal">
    <w:name w:val="EU Normal"/>
    <w:basedOn w:val="Normlny"/>
    <w:rsid w:val="008E5D79"/>
    <w:pPr>
      <w:tabs>
        <w:tab w:val="left" w:pos="567"/>
      </w:tabs>
    </w:pPr>
    <w:rPr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6E3C5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C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C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D4B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4B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3308</Words>
  <Characters>18857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EM</cp:lastModifiedBy>
  <cp:revision>29</cp:revision>
  <dcterms:created xsi:type="dcterms:W3CDTF">2016-05-23T13:08:00Z</dcterms:created>
  <dcterms:modified xsi:type="dcterms:W3CDTF">2018-01-18T08:17:00Z</dcterms:modified>
</cp:coreProperties>
</file>