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2A3" w:rsidRPr="007A4C44" w:rsidRDefault="00EC32A3" w:rsidP="007A4C44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7A4C44">
        <w:rPr>
          <w:rFonts w:ascii="Times New Roman" w:hAnsi="Times New Roman"/>
          <w:b/>
        </w:rPr>
        <w:t>SÚHRN CHARAKTERISTICKÝCH VLASTNOSTÍ LIEKU</w:t>
      </w: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EC32A3" w:rsidP="007A4C44">
      <w:pPr>
        <w:widowControl w:val="0"/>
        <w:tabs>
          <w:tab w:val="left" w:pos="6195"/>
        </w:tabs>
        <w:spacing w:after="0" w:line="240" w:lineRule="auto"/>
        <w:rPr>
          <w:rFonts w:ascii="Times New Roman" w:hAnsi="Times New Roman"/>
        </w:rPr>
      </w:pPr>
    </w:p>
    <w:p w:rsidR="00EC32A3" w:rsidRPr="007A4C44" w:rsidRDefault="00EC32A3" w:rsidP="007A4C44">
      <w:pPr>
        <w:pStyle w:val="Odsekzoznamu"/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/>
          <w:b/>
        </w:rPr>
      </w:pPr>
      <w:r w:rsidRPr="007A4C44">
        <w:rPr>
          <w:rFonts w:ascii="Times New Roman" w:hAnsi="Times New Roman"/>
          <w:b/>
        </w:rPr>
        <w:t>NÁZOV LIEKU</w:t>
      </w: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A56554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Anagrelide</w:t>
      </w:r>
      <w:r w:rsidR="00EC32A3" w:rsidRPr="007A4C44">
        <w:rPr>
          <w:rFonts w:ascii="Times New Roman" w:hAnsi="Times New Roman"/>
        </w:rPr>
        <w:t xml:space="preserve"> Glenmark </w:t>
      </w:r>
      <w:r w:rsidRPr="007A4C44">
        <w:rPr>
          <w:rFonts w:ascii="Times New Roman" w:hAnsi="Times New Roman"/>
        </w:rPr>
        <w:t>0,5</w:t>
      </w:r>
      <w:r w:rsidR="00EC32A3" w:rsidRPr="007A4C44">
        <w:rPr>
          <w:rFonts w:ascii="Times New Roman" w:hAnsi="Times New Roman"/>
        </w:rPr>
        <w:t xml:space="preserve"> mg</w:t>
      </w:r>
    </w:p>
    <w:p w:rsidR="00A56554" w:rsidRPr="007A4C44" w:rsidRDefault="00A56554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tvrdé kapsuly</w:t>
      </w: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EC32A3" w:rsidP="007A4C44">
      <w:pPr>
        <w:pStyle w:val="Odsekzoznamu"/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/>
          <w:b/>
        </w:rPr>
      </w:pPr>
      <w:r w:rsidRPr="007A4C44">
        <w:rPr>
          <w:rFonts w:ascii="Times New Roman" w:hAnsi="Times New Roman"/>
          <w:b/>
        </w:rPr>
        <w:t>KVALITATÍVNE A KVANTITATÍVNE ZLOŽENIE</w:t>
      </w: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91174A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Každá tvrdá kapsula obsahuje 0,5 mg anagrelidu (</w:t>
      </w:r>
      <w:r w:rsidR="00A56554" w:rsidRPr="007A4C44">
        <w:rPr>
          <w:rFonts w:ascii="Times New Roman" w:hAnsi="Times New Roman"/>
        </w:rPr>
        <w:t>vo forme</w:t>
      </w:r>
      <w:r w:rsidRPr="007A4C44">
        <w:rPr>
          <w:rFonts w:ascii="Times New Roman" w:hAnsi="Times New Roman"/>
        </w:rPr>
        <w:t xml:space="preserve"> anagrel</w:t>
      </w:r>
      <w:r w:rsidR="00A56554" w:rsidRPr="007A4C44">
        <w:rPr>
          <w:rFonts w:ascii="Times New Roman" w:hAnsi="Times New Roman"/>
        </w:rPr>
        <w:t>ídium</w:t>
      </w:r>
      <w:r w:rsidRPr="007A4C44">
        <w:rPr>
          <w:rFonts w:ascii="Times New Roman" w:hAnsi="Times New Roman"/>
        </w:rPr>
        <w:t>chlorid</w:t>
      </w:r>
      <w:r w:rsidR="00A56554" w:rsidRPr="007A4C44">
        <w:rPr>
          <w:rFonts w:ascii="Times New Roman" w:hAnsi="Times New Roman"/>
        </w:rPr>
        <w:t>u</w:t>
      </w:r>
      <w:r w:rsidRPr="007A4C44">
        <w:rPr>
          <w:rFonts w:ascii="Times New Roman" w:hAnsi="Times New Roman"/>
        </w:rPr>
        <w:t>).</w:t>
      </w:r>
    </w:p>
    <w:p w:rsidR="0091174A" w:rsidRPr="007A4C44" w:rsidRDefault="0091174A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91174A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Pomocné látky so známym účinkom</w:t>
      </w:r>
      <w:r w:rsidR="0091174A" w:rsidRPr="007A4C44">
        <w:rPr>
          <w:rFonts w:ascii="Times New Roman" w:hAnsi="Times New Roman"/>
          <w:u w:val="single"/>
        </w:rPr>
        <w:t>:</w:t>
      </w:r>
    </w:p>
    <w:p w:rsidR="00EC32A3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Každá tvrdá kapsula obsahuje monohydrát laktózy (5</w:t>
      </w:r>
      <w:r w:rsidR="0091174A" w:rsidRPr="007A4C44">
        <w:rPr>
          <w:rFonts w:ascii="Times New Roman" w:hAnsi="Times New Roman"/>
        </w:rPr>
        <w:t xml:space="preserve">0 mg) a bezvodú laktózu (37 </w:t>
      </w:r>
      <w:r w:rsidRPr="007A4C44">
        <w:rPr>
          <w:rFonts w:ascii="Times New Roman" w:hAnsi="Times New Roman"/>
        </w:rPr>
        <w:t>mg)</w:t>
      </w:r>
      <w:r w:rsidR="0091174A" w:rsidRPr="007A4C44">
        <w:rPr>
          <w:rFonts w:ascii="Times New Roman" w:hAnsi="Times New Roman"/>
        </w:rPr>
        <w:t>, čo je množstvo zodpovedajúce 85 mg laktózy</w:t>
      </w:r>
      <w:r w:rsidRPr="007A4C44">
        <w:rPr>
          <w:rFonts w:ascii="Times New Roman" w:hAnsi="Times New Roman"/>
        </w:rPr>
        <w:t>.</w:t>
      </w:r>
    </w:p>
    <w:p w:rsidR="008D5D67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Úplný zoznam pomocných látok, pozri časť 6.1.</w:t>
      </w: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EC32A3" w:rsidP="007A4C44">
      <w:pPr>
        <w:pStyle w:val="Odsekzoznamu"/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/>
          <w:b/>
        </w:rPr>
      </w:pPr>
      <w:r w:rsidRPr="007A4C44">
        <w:rPr>
          <w:rFonts w:ascii="Times New Roman" w:hAnsi="Times New Roman"/>
          <w:b/>
        </w:rPr>
        <w:t>LIEKOVÁ FORMA</w:t>
      </w: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91174A" w:rsidRPr="007A4C44" w:rsidRDefault="0091174A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eastAsia="TimesNewRomanPSMT" w:hAnsi="Times New Roman"/>
          <w:lang w:eastAsia="sk-SK"/>
        </w:rPr>
        <w:t>Biel</w:t>
      </w:r>
      <w:r w:rsidR="00311531" w:rsidRPr="007A4C44">
        <w:rPr>
          <w:rFonts w:ascii="Times New Roman" w:eastAsia="TimesNewRomanPSMT" w:hAnsi="Times New Roman"/>
          <w:lang w:eastAsia="sk-SK"/>
        </w:rPr>
        <w:t>e</w:t>
      </w:r>
      <w:r w:rsidRPr="007A4C44">
        <w:rPr>
          <w:rFonts w:ascii="Times New Roman" w:eastAsia="TimesNewRomanPSMT" w:hAnsi="Times New Roman"/>
          <w:lang w:eastAsia="sk-SK"/>
        </w:rPr>
        <w:t xml:space="preserve"> tvrd</w:t>
      </w:r>
      <w:r w:rsidR="00A56554" w:rsidRPr="007A4C44">
        <w:rPr>
          <w:rFonts w:ascii="Times New Roman" w:eastAsia="TimesNewRomanPSMT" w:hAnsi="Times New Roman"/>
          <w:lang w:eastAsia="sk-SK"/>
        </w:rPr>
        <w:t>é</w:t>
      </w:r>
      <w:r w:rsidRPr="007A4C44">
        <w:rPr>
          <w:rFonts w:ascii="Times New Roman" w:eastAsia="TimesNewRomanPSMT" w:hAnsi="Times New Roman"/>
          <w:lang w:eastAsia="sk-SK"/>
        </w:rPr>
        <w:t xml:space="preserve"> želatínová kapsul</w:t>
      </w:r>
      <w:r w:rsidR="00A56554" w:rsidRPr="007A4C44">
        <w:rPr>
          <w:rFonts w:ascii="Times New Roman" w:eastAsia="TimesNewRomanPSMT" w:hAnsi="Times New Roman"/>
          <w:lang w:eastAsia="sk-SK"/>
        </w:rPr>
        <w:t>y</w:t>
      </w:r>
      <w:r w:rsidRPr="007A4C44">
        <w:rPr>
          <w:rFonts w:ascii="Times New Roman" w:eastAsia="TimesNewRomanPSMT" w:hAnsi="Times New Roman"/>
          <w:lang w:eastAsia="sk-SK"/>
        </w:rPr>
        <w:t xml:space="preserve"> veľkosti č. 4 (14,4 mm) obsahujúc</w:t>
      </w:r>
      <w:r w:rsidR="00311531" w:rsidRPr="007A4C44">
        <w:rPr>
          <w:rFonts w:ascii="Times New Roman" w:eastAsia="TimesNewRomanPSMT" w:hAnsi="Times New Roman"/>
          <w:lang w:eastAsia="sk-SK"/>
        </w:rPr>
        <w:t>e</w:t>
      </w:r>
      <w:r w:rsidRPr="007A4C44">
        <w:rPr>
          <w:rFonts w:ascii="Times New Roman" w:eastAsia="TimesNewRomanPSMT" w:hAnsi="Times New Roman"/>
          <w:lang w:eastAsia="sk-SK"/>
        </w:rPr>
        <w:t xml:space="preserve"> biely až </w:t>
      </w:r>
      <w:r w:rsidR="00311531" w:rsidRPr="007A4C44">
        <w:rPr>
          <w:rFonts w:ascii="Times New Roman" w:eastAsia="TimesNewRomanPSMT" w:hAnsi="Times New Roman"/>
          <w:lang w:eastAsia="sk-SK"/>
        </w:rPr>
        <w:t>takmer</w:t>
      </w:r>
      <w:r w:rsidRPr="007A4C44">
        <w:rPr>
          <w:rFonts w:ascii="Times New Roman" w:eastAsia="TimesNewRomanPSMT" w:hAnsi="Times New Roman"/>
          <w:lang w:eastAsia="sk-SK"/>
        </w:rPr>
        <w:t xml:space="preserve"> biely jemný prášok.</w:t>
      </w:r>
    </w:p>
    <w:p w:rsidR="0091174A" w:rsidRPr="007A4C44" w:rsidRDefault="0091174A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881B76" w:rsidRPr="007A4C44" w:rsidRDefault="00881B76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EC32A3" w:rsidP="007A4C44">
      <w:pPr>
        <w:pStyle w:val="Odsekzoznamu"/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/>
        </w:rPr>
      </w:pPr>
      <w:r w:rsidRPr="007A4C44">
        <w:rPr>
          <w:rFonts w:ascii="Times New Roman" w:hAnsi="Times New Roman"/>
          <w:b/>
        </w:rPr>
        <w:t>KLINICKÉ ÚDAJE</w:t>
      </w: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EC32A3" w:rsidP="007A4C44">
      <w:pPr>
        <w:widowControl w:val="0"/>
        <w:spacing w:after="0" w:line="240" w:lineRule="auto"/>
        <w:ind w:left="567" w:hanging="567"/>
        <w:rPr>
          <w:rFonts w:ascii="Times New Roman" w:hAnsi="Times New Roman"/>
          <w:b/>
        </w:rPr>
      </w:pPr>
      <w:r w:rsidRPr="007A4C44">
        <w:rPr>
          <w:rFonts w:ascii="Times New Roman" w:hAnsi="Times New Roman"/>
          <w:b/>
        </w:rPr>
        <w:t>4.1</w:t>
      </w:r>
      <w:r w:rsidRPr="007A4C44">
        <w:rPr>
          <w:rFonts w:ascii="Times New Roman" w:hAnsi="Times New Roman"/>
          <w:b/>
        </w:rPr>
        <w:tab/>
        <w:t>Terapeutické indikácie</w:t>
      </w: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B00486" w:rsidRPr="007A4C44" w:rsidRDefault="0091174A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Anagrelide Glenmark</w:t>
      </w:r>
      <w:r w:rsidR="008D5D67" w:rsidRPr="007A4C44">
        <w:rPr>
          <w:rFonts w:ascii="Times New Roman" w:hAnsi="Times New Roman"/>
        </w:rPr>
        <w:t xml:space="preserve"> je indikovaný na redukciu zvýšeného počtu krvných doštičiek rizikový</w:t>
      </w:r>
      <w:r w:rsidR="00311531" w:rsidRPr="007A4C44">
        <w:rPr>
          <w:rFonts w:ascii="Times New Roman" w:hAnsi="Times New Roman"/>
        </w:rPr>
        <w:t>m</w:t>
      </w:r>
      <w:r w:rsidR="008D5D67" w:rsidRPr="007A4C44">
        <w:rPr>
          <w:rFonts w:ascii="Times New Roman" w:hAnsi="Times New Roman"/>
        </w:rPr>
        <w:t xml:space="preserve"> paciento</w:t>
      </w:r>
      <w:r w:rsidR="00311531" w:rsidRPr="007A4C44">
        <w:rPr>
          <w:rFonts w:ascii="Times New Roman" w:hAnsi="Times New Roman"/>
        </w:rPr>
        <w:t>m</w:t>
      </w:r>
      <w:r w:rsidR="008D5D67" w:rsidRPr="007A4C44">
        <w:rPr>
          <w:rFonts w:ascii="Times New Roman" w:hAnsi="Times New Roman"/>
        </w:rPr>
        <w:t xml:space="preserve"> </w:t>
      </w:r>
      <w:r w:rsidR="00311531" w:rsidRPr="007A4C44">
        <w:rPr>
          <w:rFonts w:ascii="Times New Roman" w:hAnsi="Times New Roman"/>
        </w:rPr>
        <w:t>s</w:t>
      </w:r>
      <w:r w:rsidR="008D5D67" w:rsidRPr="007A4C44">
        <w:rPr>
          <w:rFonts w:ascii="Times New Roman" w:hAnsi="Times New Roman"/>
        </w:rPr>
        <w:t xml:space="preserve"> esenciálnou trombocytémiou (ET), ktorí sú ne</w:t>
      </w:r>
      <w:r w:rsidR="00311531" w:rsidRPr="007A4C44">
        <w:rPr>
          <w:rFonts w:ascii="Times New Roman" w:hAnsi="Times New Roman"/>
        </w:rPr>
        <w:t>tolerujú</w:t>
      </w:r>
      <w:r w:rsidR="008D5D67" w:rsidRPr="007A4C44">
        <w:rPr>
          <w:rFonts w:ascii="Times New Roman" w:hAnsi="Times New Roman"/>
        </w:rPr>
        <w:t xml:space="preserve"> </w:t>
      </w:r>
      <w:r w:rsidR="00311531" w:rsidRPr="007A4C44">
        <w:rPr>
          <w:rFonts w:ascii="Times New Roman" w:hAnsi="Times New Roman"/>
        </w:rPr>
        <w:t>svoju súčasnú</w:t>
      </w:r>
      <w:r w:rsidR="008D5D67" w:rsidRPr="007A4C44">
        <w:rPr>
          <w:rFonts w:ascii="Times New Roman" w:hAnsi="Times New Roman"/>
        </w:rPr>
        <w:t xml:space="preserve"> liečb</w:t>
      </w:r>
      <w:r w:rsidR="00311531" w:rsidRPr="007A4C44">
        <w:rPr>
          <w:rFonts w:ascii="Times New Roman" w:hAnsi="Times New Roman"/>
        </w:rPr>
        <w:t>u</w:t>
      </w:r>
      <w:r w:rsidR="008D5D67" w:rsidRPr="007A4C44">
        <w:rPr>
          <w:rFonts w:ascii="Times New Roman" w:hAnsi="Times New Roman"/>
        </w:rPr>
        <w:t xml:space="preserve"> alebo </w:t>
      </w:r>
      <w:r w:rsidR="00311531" w:rsidRPr="007A4C44">
        <w:rPr>
          <w:rFonts w:ascii="Times New Roman" w:hAnsi="Times New Roman"/>
        </w:rPr>
        <w:t xml:space="preserve">u </w:t>
      </w:r>
      <w:r w:rsidR="008D5D67" w:rsidRPr="007A4C44">
        <w:rPr>
          <w:rFonts w:ascii="Times New Roman" w:hAnsi="Times New Roman"/>
        </w:rPr>
        <w:t xml:space="preserve">ktorých </w:t>
      </w:r>
      <w:r w:rsidR="00311531" w:rsidRPr="007A4C44">
        <w:rPr>
          <w:rFonts w:ascii="Times New Roman" w:hAnsi="Times New Roman"/>
        </w:rPr>
        <w:t xml:space="preserve">sa </w:t>
      </w:r>
      <w:r w:rsidR="008D5D67" w:rsidRPr="007A4C44">
        <w:rPr>
          <w:rFonts w:ascii="Times New Roman" w:hAnsi="Times New Roman"/>
        </w:rPr>
        <w:t xml:space="preserve">zvýšený počet krvných doštičiek nepodarilo znížiť </w:t>
      </w:r>
      <w:r w:rsidR="00311531" w:rsidRPr="007A4C44">
        <w:rPr>
          <w:rFonts w:ascii="Times New Roman" w:hAnsi="Times New Roman"/>
        </w:rPr>
        <w:t>súčasnou</w:t>
      </w:r>
      <w:r w:rsidR="008D5D67" w:rsidRPr="007A4C44">
        <w:rPr>
          <w:rFonts w:ascii="Times New Roman" w:hAnsi="Times New Roman"/>
        </w:rPr>
        <w:t xml:space="preserve"> liečbou na prijateľnú úroveň.</w:t>
      </w:r>
    </w:p>
    <w:p w:rsidR="00B00486" w:rsidRPr="007A4C44" w:rsidRDefault="00B00486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B00486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Rizikový pacient</w:t>
      </w:r>
    </w:p>
    <w:p w:rsidR="00B00486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 xml:space="preserve">Rizikový pacient </w:t>
      </w:r>
      <w:r w:rsidR="00311531" w:rsidRPr="007A4C44">
        <w:rPr>
          <w:rFonts w:ascii="Times New Roman" w:hAnsi="Times New Roman"/>
        </w:rPr>
        <w:t xml:space="preserve">s </w:t>
      </w:r>
      <w:r w:rsidRPr="007A4C44">
        <w:rPr>
          <w:rFonts w:ascii="Times New Roman" w:hAnsi="Times New Roman"/>
        </w:rPr>
        <w:t xml:space="preserve">esenciálnou trombocytémiou je charakterizovaný </w:t>
      </w:r>
      <w:r w:rsidRPr="007A4C44">
        <w:rPr>
          <w:rFonts w:ascii="Times New Roman" w:hAnsi="Times New Roman"/>
          <w:u w:val="single"/>
        </w:rPr>
        <w:t>jedným alebo viacerými</w:t>
      </w:r>
      <w:r w:rsidRPr="007A4C44">
        <w:rPr>
          <w:rFonts w:ascii="Times New Roman" w:hAnsi="Times New Roman"/>
        </w:rPr>
        <w:t xml:space="preserve"> z nasledovných znakov:</w:t>
      </w:r>
    </w:p>
    <w:p w:rsidR="00B00486" w:rsidRPr="007A4C44" w:rsidRDefault="008D5D67" w:rsidP="007A4C44">
      <w:pPr>
        <w:pStyle w:val="Odsekzoznamu"/>
        <w:widowControl w:val="0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/>
        </w:rPr>
      </w:pPr>
      <w:r w:rsidRPr="007A4C44">
        <w:rPr>
          <w:rFonts w:ascii="Times New Roman" w:hAnsi="Times New Roman"/>
        </w:rPr>
        <w:t>vek nad 60 rokov alebo</w:t>
      </w:r>
    </w:p>
    <w:p w:rsidR="00B00486" w:rsidRPr="007A4C44" w:rsidRDefault="008D5D67" w:rsidP="007A4C44">
      <w:pPr>
        <w:pStyle w:val="Odsekzoznamu"/>
        <w:widowControl w:val="0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/>
        </w:rPr>
      </w:pPr>
      <w:r w:rsidRPr="007A4C44">
        <w:rPr>
          <w:rFonts w:ascii="Times New Roman" w:hAnsi="Times New Roman"/>
        </w:rPr>
        <w:t>počet trombocytov väčší ako 1</w:t>
      </w:r>
      <w:r w:rsidR="00BC0EE6" w:rsidRPr="007A4C44">
        <w:rPr>
          <w:rFonts w:ascii="Times New Roman" w:hAnsi="Times New Roman"/>
        </w:rPr>
        <w:t xml:space="preserve"> </w:t>
      </w:r>
      <w:r w:rsidRPr="007A4C44">
        <w:rPr>
          <w:rFonts w:ascii="Times New Roman" w:hAnsi="Times New Roman"/>
        </w:rPr>
        <w:t>000 x 10</w:t>
      </w:r>
      <w:r w:rsidRPr="007A4C44">
        <w:rPr>
          <w:rFonts w:ascii="Times New Roman" w:hAnsi="Times New Roman"/>
          <w:vertAlign w:val="superscript"/>
        </w:rPr>
        <w:t>9</w:t>
      </w:r>
      <w:r w:rsidRPr="007A4C44">
        <w:rPr>
          <w:rFonts w:ascii="Times New Roman" w:hAnsi="Times New Roman"/>
        </w:rPr>
        <w:t>/l alebo</w:t>
      </w:r>
    </w:p>
    <w:p w:rsidR="00EC32A3" w:rsidRPr="007A4C44" w:rsidRDefault="008D5D67" w:rsidP="007A4C44">
      <w:pPr>
        <w:pStyle w:val="Odsekzoznamu"/>
        <w:widowControl w:val="0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/>
        </w:rPr>
      </w:pPr>
      <w:r w:rsidRPr="007A4C44">
        <w:rPr>
          <w:rFonts w:ascii="Times New Roman" w:hAnsi="Times New Roman"/>
        </w:rPr>
        <w:t>výskyt trombo-</w:t>
      </w:r>
      <w:r w:rsidR="00B00486" w:rsidRPr="007A4C44">
        <w:rPr>
          <w:rFonts w:ascii="Times New Roman" w:hAnsi="Times New Roman"/>
        </w:rPr>
        <w:t>hemoragických príhod v anamnéze</w:t>
      </w:r>
    </w:p>
    <w:p w:rsidR="008D5D67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EC32A3" w:rsidP="007A4C44">
      <w:pPr>
        <w:widowControl w:val="0"/>
        <w:spacing w:after="0" w:line="240" w:lineRule="auto"/>
        <w:ind w:left="567" w:hanging="567"/>
        <w:rPr>
          <w:rFonts w:ascii="Times New Roman" w:hAnsi="Times New Roman"/>
          <w:b/>
        </w:rPr>
      </w:pPr>
      <w:r w:rsidRPr="007A4C44">
        <w:rPr>
          <w:rFonts w:ascii="Times New Roman" w:hAnsi="Times New Roman"/>
          <w:b/>
        </w:rPr>
        <w:t>4.2</w:t>
      </w:r>
      <w:r w:rsidRPr="007A4C44">
        <w:rPr>
          <w:rFonts w:ascii="Times New Roman" w:hAnsi="Times New Roman"/>
          <w:b/>
        </w:rPr>
        <w:tab/>
        <w:t>Dávkovanie a spôsob podávania</w:t>
      </w: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BC0EE6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 xml:space="preserve">Liečbu </w:t>
      </w:r>
      <w:r w:rsidR="0091174A" w:rsidRPr="007A4C44">
        <w:rPr>
          <w:rFonts w:ascii="Times New Roman" w:hAnsi="Times New Roman"/>
        </w:rPr>
        <w:t>Anagrelid</w:t>
      </w:r>
      <w:r w:rsidR="00BC0EE6" w:rsidRPr="007A4C44">
        <w:rPr>
          <w:rFonts w:ascii="Times New Roman" w:hAnsi="Times New Roman"/>
        </w:rPr>
        <w:t>om</w:t>
      </w:r>
      <w:r w:rsidR="0091174A" w:rsidRPr="007A4C44">
        <w:rPr>
          <w:rFonts w:ascii="Times New Roman" w:hAnsi="Times New Roman"/>
        </w:rPr>
        <w:t xml:space="preserve"> Glenmark</w:t>
      </w:r>
      <w:r w:rsidRPr="007A4C44">
        <w:rPr>
          <w:rFonts w:ascii="Times New Roman" w:hAnsi="Times New Roman"/>
        </w:rPr>
        <w:t xml:space="preserve"> má začať lekár so skúsenosťami v </w:t>
      </w:r>
      <w:r w:rsidR="00BC0EE6" w:rsidRPr="007A4C44">
        <w:rPr>
          <w:rFonts w:ascii="Times New Roman" w:hAnsi="Times New Roman"/>
        </w:rPr>
        <w:t xml:space="preserve">liečbe </w:t>
      </w:r>
      <w:r w:rsidR="00311531" w:rsidRPr="007A4C44">
        <w:rPr>
          <w:rFonts w:ascii="Times New Roman" w:hAnsi="Times New Roman"/>
        </w:rPr>
        <w:t>esenciálnej</w:t>
      </w:r>
      <w:r w:rsidR="00BC0EE6" w:rsidRPr="007A4C44">
        <w:rPr>
          <w:rFonts w:ascii="Times New Roman" w:hAnsi="Times New Roman"/>
        </w:rPr>
        <w:t xml:space="preserve"> trombocytémie.</w:t>
      </w:r>
    </w:p>
    <w:p w:rsidR="00BC0EE6" w:rsidRPr="007A4C44" w:rsidRDefault="00BC0EE6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BC0EE6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Dávkovanie</w:t>
      </w:r>
    </w:p>
    <w:p w:rsidR="00BC0EE6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Odporúčaná počiatočná dávka anagrelidu je 1 mg/deň, ktorá by sa mala podávať perorálne v dvoch rozdelených dávkach (0,5 mg/dávk</w:t>
      </w:r>
      <w:r w:rsidR="00206C00" w:rsidRPr="007A4C44">
        <w:rPr>
          <w:rFonts w:ascii="Times New Roman" w:hAnsi="Times New Roman"/>
        </w:rPr>
        <w:t>a</w:t>
      </w:r>
      <w:r w:rsidRPr="007A4C44">
        <w:rPr>
          <w:rFonts w:ascii="Times New Roman" w:hAnsi="Times New Roman"/>
        </w:rPr>
        <w:t>).</w:t>
      </w:r>
    </w:p>
    <w:p w:rsidR="00BC0EE6" w:rsidRPr="007A4C44" w:rsidRDefault="00BC0EE6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BC0EE6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Počiatočná dávka by sa mala udržať najmenej jeden týždeň. Po týždni sa môže dávka individuálne titrovať, aby sa dosiahla najnižšia účinná dávka potrebná na zníženie a/alebo udržanie počtu krvných doštičiek pod hladinou 600 x 10</w:t>
      </w:r>
      <w:r w:rsidRPr="007A4C44">
        <w:rPr>
          <w:rFonts w:ascii="Times New Roman" w:hAnsi="Times New Roman"/>
          <w:vertAlign w:val="superscript"/>
        </w:rPr>
        <w:t>9</w:t>
      </w:r>
      <w:r w:rsidRPr="007A4C44">
        <w:rPr>
          <w:rFonts w:ascii="Times New Roman" w:hAnsi="Times New Roman"/>
        </w:rPr>
        <w:t xml:space="preserve">/l a v ideálnom prípade na úrovni medzi 150 </w:t>
      </w:r>
      <w:r w:rsidR="00206C00" w:rsidRPr="007A4C44">
        <w:rPr>
          <w:rFonts w:ascii="Times New Roman" w:hAnsi="Times New Roman"/>
        </w:rPr>
        <w:t>x 10</w:t>
      </w:r>
      <w:r w:rsidR="00206C00" w:rsidRPr="007A4C44">
        <w:rPr>
          <w:rFonts w:ascii="Times New Roman" w:hAnsi="Times New Roman"/>
          <w:vertAlign w:val="superscript"/>
        </w:rPr>
        <w:t>9</w:t>
      </w:r>
      <w:r w:rsidR="00206C00" w:rsidRPr="007A4C44">
        <w:rPr>
          <w:rFonts w:ascii="Times New Roman" w:hAnsi="Times New Roman"/>
        </w:rPr>
        <w:t xml:space="preserve">/l </w:t>
      </w:r>
      <w:r w:rsidRPr="007A4C44">
        <w:rPr>
          <w:rFonts w:ascii="Times New Roman" w:hAnsi="Times New Roman"/>
        </w:rPr>
        <w:t>až 400 x 10</w:t>
      </w:r>
      <w:r w:rsidRPr="007A4C44">
        <w:rPr>
          <w:rFonts w:ascii="Times New Roman" w:hAnsi="Times New Roman"/>
          <w:vertAlign w:val="superscript"/>
        </w:rPr>
        <w:t>9</w:t>
      </w:r>
      <w:r w:rsidRPr="007A4C44">
        <w:rPr>
          <w:rFonts w:ascii="Times New Roman" w:hAnsi="Times New Roman"/>
        </w:rPr>
        <w:t xml:space="preserve">/l. </w:t>
      </w:r>
      <w:r w:rsidR="00206C00" w:rsidRPr="007A4C44">
        <w:rPr>
          <w:rFonts w:ascii="Times New Roman" w:hAnsi="Times New Roman"/>
        </w:rPr>
        <w:t>D</w:t>
      </w:r>
      <w:r w:rsidRPr="007A4C44">
        <w:rPr>
          <w:rFonts w:ascii="Times New Roman" w:hAnsi="Times New Roman"/>
        </w:rPr>
        <w:t>áv</w:t>
      </w:r>
      <w:r w:rsidR="00206C00" w:rsidRPr="007A4C44">
        <w:rPr>
          <w:rFonts w:ascii="Times New Roman" w:hAnsi="Times New Roman"/>
        </w:rPr>
        <w:t>ka</w:t>
      </w:r>
      <w:r w:rsidRPr="007A4C44">
        <w:rPr>
          <w:rFonts w:ascii="Times New Roman" w:hAnsi="Times New Roman"/>
        </w:rPr>
        <w:t xml:space="preserve"> </w:t>
      </w:r>
      <w:r w:rsidR="00206C00" w:rsidRPr="007A4C44">
        <w:rPr>
          <w:rFonts w:ascii="Times New Roman" w:hAnsi="Times New Roman"/>
        </w:rPr>
        <w:t>sa nesmie zvýšiť o viac ako</w:t>
      </w:r>
      <w:r w:rsidRPr="007A4C44">
        <w:rPr>
          <w:rFonts w:ascii="Times New Roman" w:hAnsi="Times New Roman"/>
        </w:rPr>
        <w:t xml:space="preserve"> 0,5 mg/deň v</w:t>
      </w:r>
      <w:r w:rsidR="00720FBD" w:rsidRPr="007A4C44">
        <w:rPr>
          <w:rFonts w:ascii="Times New Roman" w:hAnsi="Times New Roman"/>
        </w:rPr>
        <w:t xml:space="preserve"> priebehu </w:t>
      </w:r>
      <w:r w:rsidRPr="007A4C44">
        <w:rPr>
          <w:rFonts w:ascii="Times New Roman" w:hAnsi="Times New Roman"/>
        </w:rPr>
        <w:t>ak</w:t>
      </w:r>
      <w:r w:rsidR="00720FBD" w:rsidRPr="007A4C44">
        <w:rPr>
          <w:rFonts w:ascii="Times New Roman" w:hAnsi="Times New Roman"/>
        </w:rPr>
        <w:t>ého</w:t>
      </w:r>
      <w:r w:rsidRPr="007A4C44">
        <w:rPr>
          <w:rFonts w:ascii="Times New Roman" w:hAnsi="Times New Roman"/>
        </w:rPr>
        <w:t>koľvek týžd</w:t>
      </w:r>
      <w:r w:rsidR="00720FBD" w:rsidRPr="007A4C44">
        <w:rPr>
          <w:rFonts w:ascii="Times New Roman" w:hAnsi="Times New Roman"/>
        </w:rPr>
        <w:t>ňa</w:t>
      </w:r>
      <w:r w:rsidRPr="007A4C44">
        <w:rPr>
          <w:rFonts w:ascii="Times New Roman" w:hAnsi="Times New Roman"/>
        </w:rPr>
        <w:t xml:space="preserve"> a maximálna odporúčaná jednorazová dávka by nemala prekročiť 2,5 mg (pozri časť 4.9). Počas klinického vývoj</w:t>
      </w:r>
      <w:r w:rsidR="00BC0EE6" w:rsidRPr="007A4C44">
        <w:rPr>
          <w:rFonts w:ascii="Times New Roman" w:hAnsi="Times New Roman"/>
        </w:rPr>
        <w:t>a boli použité dávky 10 mg/deň.</w:t>
      </w:r>
    </w:p>
    <w:p w:rsidR="00BC0EE6" w:rsidRPr="007A4C44" w:rsidRDefault="00BC0EE6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BC0EE6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 xml:space="preserve">Účinky liečby anagrelidom je potrebné pravidelne monitorovať (pozri časť 4.4). Ak je počiatočná </w:t>
      </w:r>
      <w:r w:rsidRPr="007A4C44">
        <w:rPr>
          <w:rFonts w:ascii="Times New Roman" w:hAnsi="Times New Roman"/>
        </w:rPr>
        <w:lastRenderedPageBreak/>
        <w:t>dávka vyššia ako 1 mg za deň, počet trombocytov by sa mal sledovať každé dva dni počas prvého týždňa liečby a potom minimálne raz do týždňa, až kým sa nedosiahne stabilná udržiavacia dávka. Charakteristické je zaznamenanie poklesu počtu krvných doštičiek do 14 až 21 dní od začatia liečby a u väčšiny pacientov sa pozoruje adekvátna odpoveď na liečbu, ktorá sa udržiava pri dávkach od 1 do 3 mg/deň (ďalšie informácie o klinických účinkoch nájdete v časti 5.1).</w:t>
      </w:r>
    </w:p>
    <w:p w:rsidR="00BC0EE6" w:rsidRPr="007A4C44" w:rsidRDefault="00BC0EE6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BC0EE6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Starší</w:t>
      </w:r>
    </w:p>
    <w:p w:rsidR="00BC0EE6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Pozorované rozdiely vo farmakokinetike medzi staršími a mladými pacientami s ET (pozri časť 5.2)</w:t>
      </w:r>
      <w:r w:rsidR="00720FBD" w:rsidRPr="007A4C44">
        <w:rPr>
          <w:rFonts w:ascii="Times New Roman" w:hAnsi="Times New Roman"/>
        </w:rPr>
        <w:t xml:space="preserve"> </w:t>
      </w:r>
    </w:p>
    <w:p w:rsidR="00BC0EE6" w:rsidRPr="007A4C44" w:rsidRDefault="00720FBD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nevyžadujú použitie odlišnej úvodnej dávkovacej schémy ani odlišný spôsob titrácie dávky na optimálne nastavenie liečby anagrelidom u jednotlivých pacientov.</w:t>
      </w:r>
    </w:p>
    <w:p w:rsidR="00720FBD" w:rsidRPr="007A4C44" w:rsidRDefault="00720FBD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BC0EE6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Počas klinického vývoja bolo približne 50% pacientov liečených anagrelidom vo veku nad 60 rokov a nevyžadovali si žiadne zvláštne úpravy dávok. Ako sa však očakávalo, u pacientov z tejto vekovej kategórie sa vyskytli závažné nežiaduce účinky (najmä srdcové) v dvojnásobnej miere.</w:t>
      </w:r>
    </w:p>
    <w:p w:rsidR="00BC0EE6" w:rsidRPr="007A4C44" w:rsidRDefault="00BC0EE6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01581A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Porucha funkcie obličiek</w:t>
      </w:r>
    </w:p>
    <w:p w:rsidR="00BC0EE6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Pre túto skupinu pacientov sú k dispozícii obmedzené farmakokinetické údaje. Pred začatím liečby sa majú najskôr stanoviť potenciálne riziká a prínosy liečby anagrelidom u pacientov s poru</w:t>
      </w:r>
      <w:r w:rsidR="00F841F0" w:rsidRPr="007A4C44">
        <w:rPr>
          <w:rFonts w:ascii="Times New Roman" w:hAnsi="Times New Roman"/>
        </w:rPr>
        <w:t>chou</w:t>
      </w:r>
      <w:r w:rsidRPr="007A4C44">
        <w:rPr>
          <w:rFonts w:ascii="Times New Roman" w:hAnsi="Times New Roman"/>
        </w:rPr>
        <w:t xml:space="preserve"> funkciou obličiek (pozri časť 4.3).</w:t>
      </w:r>
    </w:p>
    <w:p w:rsidR="00BC0EE6" w:rsidRPr="007A4C44" w:rsidRDefault="00BC0EE6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01581A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Porucha funkcie pečene</w:t>
      </w:r>
    </w:p>
    <w:p w:rsidR="0001581A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 xml:space="preserve">Pre túto skupinu pacientov sú k dispozícii obmedzené farmakokinetické údaje. Avšak pečeňový metabolizmus predstavuje hlavnú cestu vylučovania anagrelidu a preto sa môže predpokladať, že funkcia pečene ovplyvní tento proces. Preto sa neodporúča liečiť anagrelidom pacientov so stredne ťažkou alebo ťažkou poruchou funkcie pečene. Pred začatím liečby sa majú </w:t>
      </w:r>
      <w:r w:rsidR="00F841F0" w:rsidRPr="007A4C44">
        <w:rPr>
          <w:rFonts w:ascii="Times New Roman" w:hAnsi="Times New Roman"/>
        </w:rPr>
        <w:t xml:space="preserve">u pacientov s miernou poruchou funkcie pečene </w:t>
      </w:r>
      <w:r w:rsidRPr="007A4C44">
        <w:rPr>
          <w:rFonts w:ascii="Times New Roman" w:hAnsi="Times New Roman"/>
        </w:rPr>
        <w:t>najskôr stanoviť potenciálne riziká a prínosy liečby anagrelidom (pozri časti 4.3 a 4.4).</w:t>
      </w:r>
    </w:p>
    <w:p w:rsidR="0001581A" w:rsidRPr="007A4C44" w:rsidRDefault="0001581A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01581A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Pediatrická populácia</w:t>
      </w:r>
    </w:p>
    <w:p w:rsidR="0001581A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 xml:space="preserve">Bezpečnosť a účinnosť anagrelidu u detí neboli doteraz stanovené. Skúsenosti s použitím u detí a dospievajúcich sú veľmi obmedzené, anagrelid sa má u tejto skupiny pacientov používať s opatrnosťou. V prípade chýbania osobitných pediatrických pokynov sú diagnostické kritéria WHO pre diagnózu ET u dospelých považované za relevantné pre pediatrickú populáciu. Diagnostické pokyny pre esenciálnu trombocytémiu majú byť </w:t>
      </w:r>
      <w:r w:rsidR="00F841F0" w:rsidRPr="007A4C44">
        <w:rPr>
          <w:rFonts w:ascii="Times New Roman" w:hAnsi="Times New Roman"/>
        </w:rPr>
        <w:t>dôsledne dodržiavané</w:t>
      </w:r>
      <w:r w:rsidRPr="007A4C44">
        <w:rPr>
          <w:rFonts w:ascii="Times New Roman" w:hAnsi="Times New Roman"/>
        </w:rPr>
        <w:t xml:space="preserve"> a v prípade neistoty </w:t>
      </w:r>
      <w:r w:rsidR="00F841F0" w:rsidRPr="007A4C44">
        <w:rPr>
          <w:rFonts w:ascii="Times New Roman" w:hAnsi="Times New Roman"/>
        </w:rPr>
        <w:t xml:space="preserve">sa má </w:t>
      </w:r>
      <w:r w:rsidRPr="007A4C44">
        <w:rPr>
          <w:rFonts w:ascii="Times New Roman" w:hAnsi="Times New Roman"/>
        </w:rPr>
        <w:t>diagnóza pravidelne prehodno</w:t>
      </w:r>
      <w:r w:rsidR="00F841F0" w:rsidRPr="007A4C44">
        <w:rPr>
          <w:rFonts w:ascii="Times New Roman" w:hAnsi="Times New Roman"/>
        </w:rPr>
        <w:t>covať</w:t>
      </w:r>
      <w:r w:rsidRPr="007A4C44">
        <w:rPr>
          <w:rFonts w:ascii="Times New Roman" w:hAnsi="Times New Roman"/>
        </w:rPr>
        <w:t xml:space="preserve">, so snahou </w:t>
      </w:r>
      <w:r w:rsidR="00F841F0" w:rsidRPr="007A4C44">
        <w:rPr>
          <w:rFonts w:ascii="Times New Roman" w:hAnsi="Times New Roman"/>
        </w:rPr>
        <w:t xml:space="preserve">o jej </w:t>
      </w:r>
      <w:r w:rsidRPr="007A4C44">
        <w:rPr>
          <w:rFonts w:ascii="Times New Roman" w:hAnsi="Times New Roman"/>
        </w:rPr>
        <w:t>odlíš</w:t>
      </w:r>
      <w:r w:rsidR="00F841F0" w:rsidRPr="007A4C44">
        <w:rPr>
          <w:rFonts w:ascii="Times New Roman" w:hAnsi="Times New Roman"/>
        </w:rPr>
        <w:t>enie</w:t>
      </w:r>
      <w:r w:rsidRPr="007A4C44">
        <w:rPr>
          <w:rFonts w:ascii="Times New Roman" w:hAnsi="Times New Roman"/>
        </w:rPr>
        <w:t xml:space="preserve"> od hereditárnej alebo sekundárnej trombocytózy, čo môže zahŕňať genetickú analýzu a biopsiu kostnej drene.</w:t>
      </w:r>
    </w:p>
    <w:p w:rsidR="0001581A" w:rsidRPr="007A4C44" w:rsidRDefault="0001581A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01581A" w:rsidRPr="007A4C44" w:rsidRDefault="00F841F0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C</w:t>
      </w:r>
      <w:r w:rsidR="008D5D67" w:rsidRPr="007A4C44">
        <w:rPr>
          <w:rFonts w:ascii="Times New Roman" w:hAnsi="Times New Roman"/>
        </w:rPr>
        <w:t xml:space="preserve">ytoreduktívna terapia sa </w:t>
      </w:r>
      <w:r w:rsidRPr="007A4C44">
        <w:rPr>
          <w:rFonts w:ascii="Times New Roman" w:hAnsi="Times New Roman"/>
        </w:rPr>
        <w:t xml:space="preserve">zvyčajne </w:t>
      </w:r>
      <w:r w:rsidR="008D5D67" w:rsidRPr="007A4C44">
        <w:rPr>
          <w:rFonts w:ascii="Times New Roman" w:hAnsi="Times New Roman"/>
        </w:rPr>
        <w:t>zvažuje u vysoko rizikových pediatrických pacientov.</w:t>
      </w:r>
    </w:p>
    <w:p w:rsidR="0001581A" w:rsidRPr="007A4C44" w:rsidRDefault="0001581A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01581A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 xml:space="preserve">Liečba anagrelidom sa má začať len pokiaľ pacient vykazuje </w:t>
      </w:r>
      <w:r w:rsidR="00F841F0" w:rsidRPr="007A4C44">
        <w:rPr>
          <w:rFonts w:ascii="Times New Roman" w:hAnsi="Times New Roman"/>
        </w:rPr>
        <w:t>prejavy</w:t>
      </w:r>
      <w:r w:rsidRPr="007A4C44">
        <w:rPr>
          <w:rFonts w:ascii="Times New Roman" w:hAnsi="Times New Roman"/>
        </w:rPr>
        <w:t xml:space="preserve"> progresie ochorenia alebo trpí trombózou. Ak sa liečba začne, prínosy a riziká liečby anagrelidom musia byť pravidelne sledované a potreba pokračovania</w:t>
      </w:r>
      <w:r w:rsidR="0001581A" w:rsidRPr="007A4C44">
        <w:rPr>
          <w:rFonts w:ascii="Times New Roman" w:hAnsi="Times New Roman"/>
        </w:rPr>
        <w:t xml:space="preserve"> liečby pravidelne vyhodno</w:t>
      </w:r>
      <w:r w:rsidR="00F841F0" w:rsidRPr="007A4C44">
        <w:rPr>
          <w:rFonts w:ascii="Times New Roman" w:hAnsi="Times New Roman"/>
        </w:rPr>
        <w:t>cova</w:t>
      </w:r>
      <w:r w:rsidR="0001581A" w:rsidRPr="007A4C44">
        <w:rPr>
          <w:rFonts w:ascii="Times New Roman" w:hAnsi="Times New Roman"/>
        </w:rPr>
        <w:t>ná.</w:t>
      </w:r>
    </w:p>
    <w:p w:rsidR="0001581A" w:rsidRPr="007A4C44" w:rsidRDefault="0001581A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01581A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Cie</w:t>
      </w:r>
      <w:r w:rsidR="00F841F0" w:rsidRPr="007A4C44">
        <w:rPr>
          <w:rFonts w:ascii="Times New Roman" w:hAnsi="Times New Roman"/>
        </w:rPr>
        <w:t>ľové hodnoty</w:t>
      </w:r>
      <w:r w:rsidRPr="007A4C44">
        <w:rPr>
          <w:rFonts w:ascii="Times New Roman" w:hAnsi="Times New Roman"/>
        </w:rPr>
        <w:t xml:space="preserve"> počtu doštičiek </w:t>
      </w:r>
      <w:r w:rsidR="00F841F0" w:rsidRPr="007A4C44">
        <w:rPr>
          <w:rFonts w:ascii="Times New Roman" w:hAnsi="Times New Roman"/>
        </w:rPr>
        <w:t>stanoví</w:t>
      </w:r>
      <w:r w:rsidRPr="007A4C44">
        <w:rPr>
          <w:rFonts w:ascii="Times New Roman" w:hAnsi="Times New Roman"/>
        </w:rPr>
        <w:t xml:space="preserve"> individuálne každému pacientovi ošetrujúci lekár.</w:t>
      </w:r>
    </w:p>
    <w:p w:rsidR="0001581A" w:rsidRPr="007A4C44" w:rsidRDefault="0001581A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01581A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Prerušenie liečby sa má zvážiť u pediatrických pacientov, ktorí nemajú uspokojivé odpovede na liečbu po približne 3 mesiacoch.</w:t>
      </w:r>
    </w:p>
    <w:p w:rsidR="0001581A" w:rsidRPr="007A4C44" w:rsidRDefault="0001581A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01581A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V súčasnosti sú dostupné údaje opísané v časti 4.4, 4.8, 5.1 a 5.2, ale neumožňujú uviesť odporúčania na dávkovanie.</w:t>
      </w:r>
    </w:p>
    <w:p w:rsidR="0001581A" w:rsidRPr="007A4C44" w:rsidRDefault="0001581A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01581A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Spôsob podávania</w:t>
      </w:r>
    </w:p>
    <w:p w:rsidR="00EC32A3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Na perorálne použitie. Kapsuly sa musia prehltnúť celé. Nedrvte ani nerieďte obsah v kvapaline.</w:t>
      </w:r>
    </w:p>
    <w:p w:rsidR="008D5D67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EC32A3" w:rsidP="007A4C44">
      <w:pPr>
        <w:widowControl w:val="0"/>
        <w:spacing w:after="0" w:line="240" w:lineRule="auto"/>
        <w:ind w:left="567" w:hanging="567"/>
        <w:rPr>
          <w:rFonts w:ascii="Times New Roman" w:hAnsi="Times New Roman"/>
          <w:b/>
        </w:rPr>
      </w:pPr>
      <w:r w:rsidRPr="007A4C44">
        <w:rPr>
          <w:rFonts w:ascii="Times New Roman" w:hAnsi="Times New Roman"/>
          <w:b/>
        </w:rPr>
        <w:t>4.3</w:t>
      </w:r>
      <w:r w:rsidRPr="007A4C44">
        <w:rPr>
          <w:rFonts w:ascii="Times New Roman" w:hAnsi="Times New Roman"/>
          <w:b/>
        </w:rPr>
        <w:tab/>
        <w:t>Kontraindikácie</w:t>
      </w: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01581A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Precitlivenosť na anagrelid alebo na ktorúkoľvek z pomocných látok uvedených v časti 6.1.</w:t>
      </w:r>
    </w:p>
    <w:p w:rsidR="0001581A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lastRenderedPageBreak/>
        <w:t>Pacienti so stredne ťažk</w:t>
      </w:r>
      <w:r w:rsidR="0001581A" w:rsidRPr="007A4C44">
        <w:rPr>
          <w:rFonts w:ascii="Times New Roman" w:hAnsi="Times New Roman"/>
        </w:rPr>
        <w:t>ou</w:t>
      </w:r>
      <w:r w:rsidRPr="007A4C44">
        <w:rPr>
          <w:rFonts w:ascii="Times New Roman" w:hAnsi="Times New Roman"/>
        </w:rPr>
        <w:t xml:space="preserve"> alebo ťažkou poruchou funkcie pečene.</w:t>
      </w:r>
    </w:p>
    <w:p w:rsidR="00EC32A3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Pacienti so stredne ťažkou až ťažkou poruchou funkcie obličiek (klírens kreatinínu &lt; 50 ml/min).</w:t>
      </w:r>
    </w:p>
    <w:p w:rsidR="008D5D67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EC32A3" w:rsidP="007A4C44">
      <w:pPr>
        <w:widowControl w:val="0"/>
        <w:spacing w:after="0" w:line="240" w:lineRule="auto"/>
        <w:ind w:left="567" w:hanging="567"/>
        <w:rPr>
          <w:rFonts w:ascii="Times New Roman" w:hAnsi="Times New Roman"/>
          <w:b/>
        </w:rPr>
      </w:pPr>
      <w:r w:rsidRPr="007A4C44">
        <w:rPr>
          <w:rFonts w:ascii="Times New Roman" w:hAnsi="Times New Roman"/>
          <w:b/>
        </w:rPr>
        <w:t>4.4</w:t>
      </w:r>
      <w:r w:rsidRPr="007A4C44">
        <w:rPr>
          <w:rFonts w:ascii="Times New Roman" w:hAnsi="Times New Roman"/>
          <w:b/>
        </w:rPr>
        <w:tab/>
        <w:t>Osobitné upozornenia a opatrenia pri používaní</w:t>
      </w: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01581A" w:rsidRPr="007A4C44" w:rsidRDefault="0001581A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Porucha funkcie pečene</w:t>
      </w:r>
    </w:p>
    <w:p w:rsidR="0001581A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Pred začatím liečby sa m</w:t>
      </w:r>
      <w:r w:rsidR="00F841F0" w:rsidRPr="007A4C44">
        <w:rPr>
          <w:rFonts w:ascii="Times New Roman" w:hAnsi="Times New Roman"/>
        </w:rPr>
        <w:t>ajú</w:t>
      </w:r>
      <w:r w:rsidRPr="007A4C44">
        <w:rPr>
          <w:rFonts w:ascii="Times New Roman" w:hAnsi="Times New Roman"/>
        </w:rPr>
        <w:t xml:space="preserve"> </w:t>
      </w:r>
      <w:r w:rsidR="00F841F0" w:rsidRPr="007A4C44">
        <w:rPr>
          <w:rFonts w:ascii="Times New Roman" w:hAnsi="Times New Roman"/>
        </w:rPr>
        <w:t>naj</w:t>
      </w:r>
      <w:r w:rsidRPr="007A4C44">
        <w:rPr>
          <w:rFonts w:ascii="Times New Roman" w:hAnsi="Times New Roman"/>
        </w:rPr>
        <w:t xml:space="preserve">skôr stanoviť potenciálne riziká a prínosy liečby anagrelidom u pacientov s miernou poruchou funkcie pečene. </w:t>
      </w:r>
      <w:r w:rsidR="00F841F0" w:rsidRPr="007A4C44">
        <w:rPr>
          <w:rFonts w:ascii="Times New Roman" w:hAnsi="Times New Roman"/>
        </w:rPr>
        <w:t>Liečba sa n</w:t>
      </w:r>
      <w:r w:rsidRPr="007A4C44">
        <w:rPr>
          <w:rFonts w:ascii="Times New Roman" w:hAnsi="Times New Roman"/>
        </w:rPr>
        <w:t>eodporúča sa u pacientov so zvýšenou hladinou transamináz (viac ako 5-násobné množstvo hornej hranice normálnych hodnôt) (pozri časti 4.2 a 4.3).</w:t>
      </w:r>
    </w:p>
    <w:p w:rsidR="0001581A" w:rsidRPr="007A4C44" w:rsidRDefault="0001581A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01581A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Porucha funkcie obličiek</w:t>
      </w:r>
    </w:p>
    <w:p w:rsidR="0001581A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Pred začatím liečby sa majú najskôr stanoviť potenciálne riziká a prínosy liečby anagrelidom u pacientov s poru</w:t>
      </w:r>
      <w:r w:rsidR="00DA60FD" w:rsidRPr="007A4C44">
        <w:rPr>
          <w:rFonts w:ascii="Times New Roman" w:hAnsi="Times New Roman"/>
        </w:rPr>
        <w:t>chou</w:t>
      </w:r>
      <w:r w:rsidRPr="007A4C44">
        <w:rPr>
          <w:rFonts w:ascii="Times New Roman" w:hAnsi="Times New Roman"/>
        </w:rPr>
        <w:t xml:space="preserve"> funkciou obličiek (pozri časti 4.2 a 4.3).</w:t>
      </w:r>
    </w:p>
    <w:p w:rsidR="0001581A" w:rsidRPr="007A4C44" w:rsidRDefault="0001581A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01581A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Sledovanie</w:t>
      </w:r>
    </w:p>
    <w:p w:rsidR="0001581A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Liečba vyžaduje prísny klinický dozor nad pacientom, ktorý zahŕňa úplné vyšetrenie krvného obrazu (hemoglobín a počet leukocytov a krvných doštičiek), zhodnotenie výsledkov vyšetrení funkcie pečene (ALT a AST), funkcie obličiek (sérový kreatinín a močovina) a elektrolytov (draslík, horčík a vápnik).</w:t>
      </w:r>
    </w:p>
    <w:p w:rsidR="0001581A" w:rsidRPr="007A4C44" w:rsidRDefault="0001581A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01581A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Krvné doštičky</w:t>
      </w:r>
    </w:p>
    <w:p w:rsidR="0001581A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 xml:space="preserve">Počet krvných doštičiek sa do 4 dní po </w:t>
      </w:r>
      <w:r w:rsidR="00DA60FD" w:rsidRPr="007A4C44">
        <w:rPr>
          <w:rFonts w:ascii="Times New Roman" w:hAnsi="Times New Roman"/>
        </w:rPr>
        <w:t>ukončení</w:t>
      </w:r>
      <w:r w:rsidRPr="007A4C44">
        <w:rPr>
          <w:rFonts w:ascii="Times New Roman" w:hAnsi="Times New Roman"/>
        </w:rPr>
        <w:t xml:space="preserve"> liečby anagrelidom zvýši a vráti na úroveň pred začatím liečby do 10 až 14 dní, </w:t>
      </w:r>
      <w:r w:rsidR="00DA60FD" w:rsidRPr="007A4C44">
        <w:rPr>
          <w:rFonts w:ascii="Times New Roman" w:hAnsi="Times New Roman"/>
        </w:rPr>
        <w:t xml:space="preserve">pričom je </w:t>
      </w:r>
      <w:r w:rsidRPr="007A4C44">
        <w:rPr>
          <w:rFonts w:ascii="Times New Roman" w:hAnsi="Times New Roman"/>
        </w:rPr>
        <w:t>možn</w:t>
      </w:r>
      <w:r w:rsidR="00DA60FD" w:rsidRPr="007A4C44">
        <w:rPr>
          <w:rFonts w:ascii="Times New Roman" w:hAnsi="Times New Roman"/>
        </w:rPr>
        <w:t>é, že dôjde k zvýšeniu</w:t>
      </w:r>
      <w:r w:rsidRPr="007A4C44">
        <w:rPr>
          <w:rFonts w:ascii="Times New Roman" w:hAnsi="Times New Roman"/>
        </w:rPr>
        <w:t xml:space="preserve"> nad hodnoty pred začatím liečby. Preto sa má počet krvných doštičiek často monitorovať.</w:t>
      </w:r>
    </w:p>
    <w:p w:rsidR="0001581A" w:rsidRPr="007A4C44" w:rsidRDefault="0001581A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01581A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Kardiovaskulárne</w:t>
      </w:r>
    </w:p>
    <w:p w:rsidR="0001581A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 xml:space="preserve">Zaznamenali sa závažné kardiovaskulárne nežiaduce </w:t>
      </w:r>
      <w:r w:rsidR="00DA60FD" w:rsidRPr="007A4C44">
        <w:rPr>
          <w:rFonts w:ascii="Times New Roman" w:hAnsi="Times New Roman"/>
        </w:rPr>
        <w:t>udalosti</w:t>
      </w:r>
      <w:r w:rsidRPr="007A4C44">
        <w:rPr>
          <w:rFonts w:ascii="Times New Roman" w:hAnsi="Times New Roman"/>
        </w:rPr>
        <w:t xml:space="preserve"> vrátane prípadov torsade de pointes, ventrikulárnej tachykardie, kardiomyopatie, kardiomegálie a kongestívneho zlyhania srdca (pozri časť 4.8).</w:t>
      </w:r>
    </w:p>
    <w:p w:rsidR="0001581A" w:rsidRPr="007A4C44" w:rsidRDefault="0001581A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01581A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 xml:space="preserve">Anagrelid sa má používať s opatrnosťou u pacientov so známymi rizikovými faktormi, ktoré môžu predlžovať QT interval, ako napríklad kongenitálny syndróm dlhého intervalu QT, </w:t>
      </w:r>
      <w:r w:rsidR="00DA60FD" w:rsidRPr="007A4C44">
        <w:rPr>
          <w:rFonts w:ascii="Times New Roman" w:hAnsi="Times New Roman"/>
        </w:rPr>
        <w:t>získané predĺženie</w:t>
      </w:r>
      <w:r w:rsidRPr="007A4C44">
        <w:rPr>
          <w:rFonts w:ascii="Times New Roman" w:hAnsi="Times New Roman"/>
        </w:rPr>
        <w:t xml:space="preserve"> QTc intervalu</w:t>
      </w:r>
      <w:r w:rsidR="00DA60FD" w:rsidRPr="007A4C44">
        <w:rPr>
          <w:rFonts w:ascii="Times New Roman" w:hAnsi="Times New Roman"/>
        </w:rPr>
        <w:t xml:space="preserve"> v anamnéze</w:t>
      </w:r>
      <w:r w:rsidRPr="007A4C44">
        <w:rPr>
          <w:rFonts w:ascii="Times New Roman" w:hAnsi="Times New Roman"/>
        </w:rPr>
        <w:t>, lieky, ktoré môžu predĺžiť QTc interval a hypokaliémia.</w:t>
      </w:r>
    </w:p>
    <w:p w:rsidR="0001581A" w:rsidRPr="007A4C44" w:rsidRDefault="0001581A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01581A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Anagrelid sa má používať s opatrnosťou tiež u pacientov, ktorí môžu mať vyššiu maximálnu plazmatickú koncentráciu (C</w:t>
      </w:r>
      <w:r w:rsidRPr="007A4C44">
        <w:rPr>
          <w:rFonts w:ascii="Times New Roman" w:hAnsi="Times New Roman"/>
          <w:vertAlign w:val="subscript"/>
        </w:rPr>
        <w:t>max</w:t>
      </w:r>
      <w:r w:rsidRPr="007A4C44">
        <w:rPr>
          <w:rFonts w:ascii="Times New Roman" w:hAnsi="Times New Roman"/>
        </w:rPr>
        <w:t>) anagrelidu alebo jeho aktívneho metabolitu, 3-hydroxyanagrelidu, napr. pri poruche funkcie pečene alebo pri použití s CYP1A2 inhibítormi (pozri časť 4.5).</w:t>
      </w:r>
    </w:p>
    <w:p w:rsidR="0001581A" w:rsidRPr="007A4C44" w:rsidRDefault="0001581A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01581A" w:rsidRPr="007A4C44" w:rsidRDefault="00DA60FD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Odporúča sa</w:t>
      </w:r>
      <w:r w:rsidR="008D5D67" w:rsidRPr="007A4C44">
        <w:rPr>
          <w:rFonts w:ascii="Times New Roman" w:hAnsi="Times New Roman"/>
        </w:rPr>
        <w:t xml:space="preserve"> dôkladné monitorovanie </w:t>
      </w:r>
      <w:r w:rsidRPr="007A4C44">
        <w:rPr>
          <w:rFonts w:ascii="Times New Roman" w:hAnsi="Times New Roman"/>
        </w:rPr>
        <w:t>účinku</w:t>
      </w:r>
      <w:r w:rsidR="008D5D67" w:rsidRPr="007A4C44">
        <w:rPr>
          <w:rFonts w:ascii="Times New Roman" w:hAnsi="Times New Roman"/>
        </w:rPr>
        <w:t xml:space="preserve"> na QTc interval.</w:t>
      </w:r>
    </w:p>
    <w:p w:rsidR="0001581A" w:rsidRPr="007A4C44" w:rsidRDefault="0001581A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01581A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 xml:space="preserve">Pred začiatkom liečby anagrelidom sa u všetkých pacientov odporúča vykonať kardiovaskulárne vyšetrenie vrátane </w:t>
      </w:r>
      <w:r w:rsidR="00DA60FD" w:rsidRPr="007A4C44">
        <w:rPr>
          <w:rFonts w:ascii="Times New Roman" w:hAnsi="Times New Roman"/>
        </w:rPr>
        <w:t>východiskového vyšetrenia</w:t>
      </w:r>
      <w:r w:rsidRPr="007A4C44">
        <w:rPr>
          <w:rFonts w:ascii="Times New Roman" w:hAnsi="Times New Roman"/>
        </w:rPr>
        <w:t xml:space="preserve"> EKG a echokardiografie. Všetci pacienti sa majú počas liečby pravidelne monitorovať (napr. </w:t>
      </w:r>
      <w:r w:rsidR="00DA60FD" w:rsidRPr="007A4C44">
        <w:rPr>
          <w:rFonts w:ascii="Times New Roman" w:hAnsi="Times New Roman"/>
        </w:rPr>
        <w:t xml:space="preserve">pomocou </w:t>
      </w:r>
      <w:r w:rsidRPr="007A4C44">
        <w:rPr>
          <w:rFonts w:ascii="Times New Roman" w:hAnsi="Times New Roman"/>
        </w:rPr>
        <w:t>EKG alebo echokardiografi</w:t>
      </w:r>
      <w:r w:rsidR="00DA60FD" w:rsidRPr="007A4C44">
        <w:rPr>
          <w:rFonts w:ascii="Times New Roman" w:hAnsi="Times New Roman"/>
        </w:rPr>
        <w:t>e</w:t>
      </w:r>
      <w:r w:rsidRPr="007A4C44">
        <w:rPr>
          <w:rFonts w:ascii="Times New Roman" w:hAnsi="Times New Roman"/>
        </w:rPr>
        <w:t>) kvôli možným účinkom na kardiovaskulárny systém, ktoré môžu vyžadovať ďalšie kardiovaskulárne vyšetrenie. Hypokaliémia alebo hypomagneziémia sa musia pred podaním anagrelidu korigovať a v priebehu terapie pravidelne monitorovať.</w:t>
      </w:r>
    </w:p>
    <w:p w:rsidR="0001581A" w:rsidRPr="007A4C44" w:rsidRDefault="0001581A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01581A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 xml:space="preserve">Anagrelid je inhibítorom fosfodiesterázy III </w:t>
      </w:r>
      <w:r w:rsidR="00DA60FD" w:rsidRPr="007A4C44">
        <w:rPr>
          <w:rFonts w:ascii="Times New Roman" w:hAnsi="Times New Roman"/>
        </w:rPr>
        <w:t xml:space="preserve">cyklického AMP </w:t>
      </w:r>
      <w:r w:rsidRPr="007A4C44">
        <w:rPr>
          <w:rFonts w:ascii="Times New Roman" w:hAnsi="Times New Roman"/>
        </w:rPr>
        <w:t xml:space="preserve">a pre jeho pozitívne inotropné a chronotropné účinky sa anagrelid má používať opatrne u pacientov v akomkoľvek veku s diagnostikovaným ochorením srdca alebo s podozrením na toto ochorenie. Navyše sa vyskytli závažné kardiovaskulárne nežiaduce </w:t>
      </w:r>
      <w:r w:rsidR="00C928FD" w:rsidRPr="007A4C44">
        <w:rPr>
          <w:rFonts w:ascii="Times New Roman" w:hAnsi="Times New Roman"/>
        </w:rPr>
        <w:t>udalosti</w:t>
      </w:r>
      <w:r w:rsidRPr="007A4C44">
        <w:rPr>
          <w:rFonts w:ascii="Times New Roman" w:hAnsi="Times New Roman"/>
        </w:rPr>
        <w:t xml:space="preserve"> aj u pacientov bez podozrenia na ochorenie srdca a s normálnymi výsledkami kardiovaskulárneho vyšetrenia pred liečbou.</w:t>
      </w:r>
    </w:p>
    <w:p w:rsidR="0001581A" w:rsidRPr="007A4C44" w:rsidRDefault="0001581A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01581A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Anagrelid sa má používať len ak potenciálne prínosy lieč</w:t>
      </w:r>
      <w:r w:rsidR="0001581A" w:rsidRPr="007A4C44">
        <w:rPr>
          <w:rFonts w:ascii="Times New Roman" w:hAnsi="Times New Roman"/>
        </w:rPr>
        <w:t>by prevýšia potenciálne riziká.</w:t>
      </w:r>
    </w:p>
    <w:p w:rsidR="0001581A" w:rsidRPr="007A4C44" w:rsidRDefault="0001581A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01581A" w:rsidRPr="007A4C44" w:rsidRDefault="0001581A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Pulmonálna hypertenzia</w:t>
      </w:r>
    </w:p>
    <w:p w:rsidR="0001581A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lastRenderedPageBreak/>
        <w:t xml:space="preserve">U pacientov liečených anagrelidom boli hlásené prípady pulmonálnej hypertenzie. Pred začatím liečby a počas liečby anagrelidom majú byť pacienti sledovaní </w:t>
      </w:r>
      <w:r w:rsidR="00C928FD" w:rsidRPr="007A4C44">
        <w:rPr>
          <w:rFonts w:ascii="Times New Roman" w:hAnsi="Times New Roman"/>
        </w:rPr>
        <w:t>kvôli výskytu</w:t>
      </w:r>
      <w:r w:rsidRPr="007A4C44">
        <w:rPr>
          <w:rFonts w:ascii="Times New Roman" w:hAnsi="Times New Roman"/>
        </w:rPr>
        <w:t xml:space="preserve"> prejavov a príznakov základného kardiopulmonálneho ochorenia.</w:t>
      </w:r>
    </w:p>
    <w:p w:rsidR="0001581A" w:rsidRPr="007A4C44" w:rsidRDefault="0001581A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01581A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Pediatrická populácia</w:t>
      </w:r>
    </w:p>
    <w:p w:rsidR="0001581A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Dostupné sú len veľmi limitované údaje o používaní anagrelidu u pediatrickej populácie a anagrelid by sa mal používať u tejto skupiny pacientov s opatrnosťou (pozri časti 4.2, 4.8., 5.1 a 5.2).</w:t>
      </w:r>
    </w:p>
    <w:p w:rsidR="0001581A" w:rsidRPr="007A4C44" w:rsidRDefault="0001581A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01581A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 xml:space="preserve">Rovnako ako u dospelej populácie </w:t>
      </w:r>
      <w:r w:rsidR="00C928FD" w:rsidRPr="007A4C44">
        <w:rPr>
          <w:rFonts w:ascii="Times New Roman" w:hAnsi="Times New Roman"/>
        </w:rPr>
        <w:t xml:space="preserve">sa </w:t>
      </w:r>
      <w:r w:rsidRPr="007A4C44">
        <w:rPr>
          <w:rFonts w:ascii="Times New Roman" w:hAnsi="Times New Roman"/>
        </w:rPr>
        <w:t>má pred liečbou a pravidelne počas liečby vykona</w:t>
      </w:r>
      <w:r w:rsidR="00C928FD" w:rsidRPr="007A4C44">
        <w:rPr>
          <w:rFonts w:ascii="Times New Roman" w:hAnsi="Times New Roman"/>
        </w:rPr>
        <w:t>ť</w:t>
      </w:r>
      <w:r w:rsidRPr="007A4C44">
        <w:rPr>
          <w:rFonts w:ascii="Times New Roman" w:hAnsi="Times New Roman"/>
        </w:rPr>
        <w:t xml:space="preserve"> úplné vyšetrenie krvného obrazu a zhodnot</w:t>
      </w:r>
      <w:r w:rsidR="00C928FD" w:rsidRPr="007A4C44">
        <w:rPr>
          <w:rFonts w:ascii="Times New Roman" w:hAnsi="Times New Roman"/>
        </w:rPr>
        <w:t>iť</w:t>
      </w:r>
      <w:r w:rsidRPr="007A4C44">
        <w:rPr>
          <w:rFonts w:ascii="Times New Roman" w:hAnsi="Times New Roman"/>
        </w:rPr>
        <w:t xml:space="preserve"> funkci</w:t>
      </w:r>
      <w:r w:rsidR="00C928FD" w:rsidRPr="007A4C44">
        <w:rPr>
          <w:rFonts w:ascii="Times New Roman" w:hAnsi="Times New Roman"/>
        </w:rPr>
        <w:t>a</w:t>
      </w:r>
      <w:r w:rsidRPr="007A4C44">
        <w:rPr>
          <w:rFonts w:ascii="Times New Roman" w:hAnsi="Times New Roman"/>
        </w:rPr>
        <w:t xml:space="preserve"> srdca, pečene a obličiek. Ochorenie môže progredovať do myelofibrózy alebo </w:t>
      </w:r>
      <w:r w:rsidR="00C928FD" w:rsidRPr="007A4C44">
        <w:rPr>
          <w:rFonts w:ascii="Times New Roman" w:hAnsi="Times New Roman"/>
        </w:rPr>
        <w:t>akútnej myeloblastovej leukémie (</w:t>
      </w:r>
      <w:r w:rsidRPr="007A4C44">
        <w:rPr>
          <w:rFonts w:ascii="Times New Roman" w:hAnsi="Times New Roman"/>
        </w:rPr>
        <w:t>AML</w:t>
      </w:r>
      <w:r w:rsidR="00C928FD" w:rsidRPr="007A4C44">
        <w:rPr>
          <w:rFonts w:ascii="Times New Roman" w:hAnsi="Times New Roman"/>
        </w:rPr>
        <w:t>)</w:t>
      </w:r>
      <w:r w:rsidRPr="007A4C44">
        <w:rPr>
          <w:rFonts w:ascii="Times New Roman" w:hAnsi="Times New Roman"/>
        </w:rPr>
        <w:t>. Hoci miera takejto progresie nie je známa, u detí je priebeh ochorenia dlhší a preto je u nich zvýšené riziko malígnej transformácie v porovnaní s dospelými. Deti majú byť pravidelne monitorované kvôli progresii ochorenia v súlade so štandardnými klinickými postupmi ako sú fyzikálne vyšetrenie, zhodnotenie relevantných markerov ochorenia a biopsia kostnej drene.</w:t>
      </w:r>
    </w:p>
    <w:p w:rsidR="0001581A" w:rsidRPr="007A4C44" w:rsidRDefault="0001581A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01581A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Akékoľvek abnormality majú byť okamžite vyhodnotené a je potrebné urobiť vhodné opatrenia, ktoré môžu zahŕňať zníženie dávky, prerušenie alebo ukončenie</w:t>
      </w:r>
      <w:r w:rsidR="00C928FD" w:rsidRPr="007A4C44">
        <w:rPr>
          <w:rFonts w:ascii="Times New Roman" w:hAnsi="Times New Roman"/>
        </w:rPr>
        <w:t xml:space="preserve"> liečby</w:t>
      </w:r>
      <w:r w:rsidRPr="007A4C44">
        <w:rPr>
          <w:rFonts w:ascii="Times New Roman" w:hAnsi="Times New Roman"/>
        </w:rPr>
        <w:t xml:space="preserve">. </w:t>
      </w:r>
    </w:p>
    <w:p w:rsidR="0001581A" w:rsidRPr="007A4C44" w:rsidRDefault="0001581A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01581A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Klinicky relevantné interakcie</w:t>
      </w:r>
    </w:p>
    <w:p w:rsidR="0001581A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Anagrelid je inhibítorom fosfodiesterázy III (PDE III)</w:t>
      </w:r>
      <w:r w:rsidR="00C928FD" w:rsidRPr="007A4C44">
        <w:rPr>
          <w:rFonts w:ascii="Times New Roman" w:hAnsi="Times New Roman"/>
        </w:rPr>
        <w:t xml:space="preserve"> cyklického AMP</w:t>
      </w:r>
      <w:r w:rsidRPr="007A4C44">
        <w:rPr>
          <w:rFonts w:ascii="Times New Roman" w:hAnsi="Times New Roman"/>
        </w:rPr>
        <w:t>. Sú</w:t>
      </w:r>
      <w:r w:rsidR="00C928FD" w:rsidRPr="007A4C44">
        <w:rPr>
          <w:rFonts w:ascii="Times New Roman" w:hAnsi="Times New Roman"/>
        </w:rPr>
        <w:t>bežné</w:t>
      </w:r>
      <w:r w:rsidRPr="007A4C44">
        <w:rPr>
          <w:rFonts w:ascii="Times New Roman" w:hAnsi="Times New Roman"/>
        </w:rPr>
        <w:t xml:space="preserve"> používanie anagrelidu s inými inhibítormi PDE III ako napríklad </w:t>
      </w:r>
      <w:r w:rsidR="00C928FD" w:rsidRPr="007A4C44">
        <w:rPr>
          <w:rFonts w:ascii="Times New Roman" w:hAnsi="Times New Roman"/>
        </w:rPr>
        <w:t xml:space="preserve">s </w:t>
      </w:r>
      <w:r w:rsidRPr="007A4C44">
        <w:rPr>
          <w:rFonts w:ascii="Times New Roman" w:hAnsi="Times New Roman"/>
        </w:rPr>
        <w:t>milrin</w:t>
      </w:r>
      <w:r w:rsidR="00C928FD" w:rsidRPr="007A4C44">
        <w:rPr>
          <w:rFonts w:ascii="Times New Roman" w:hAnsi="Times New Roman"/>
        </w:rPr>
        <w:t>ó</w:t>
      </w:r>
      <w:r w:rsidRPr="007A4C44">
        <w:rPr>
          <w:rFonts w:ascii="Times New Roman" w:hAnsi="Times New Roman"/>
        </w:rPr>
        <w:t>n</w:t>
      </w:r>
      <w:r w:rsidR="00C928FD" w:rsidRPr="007A4C44">
        <w:rPr>
          <w:rFonts w:ascii="Times New Roman" w:hAnsi="Times New Roman"/>
        </w:rPr>
        <w:t>om</w:t>
      </w:r>
      <w:r w:rsidRPr="007A4C44">
        <w:rPr>
          <w:rFonts w:ascii="Times New Roman" w:hAnsi="Times New Roman"/>
        </w:rPr>
        <w:t>, amrin</w:t>
      </w:r>
      <w:r w:rsidR="00C928FD" w:rsidRPr="007A4C44">
        <w:rPr>
          <w:rFonts w:ascii="Times New Roman" w:hAnsi="Times New Roman"/>
        </w:rPr>
        <w:t>ó</w:t>
      </w:r>
      <w:r w:rsidRPr="007A4C44">
        <w:rPr>
          <w:rFonts w:ascii="Times New Roman" w:hAnsi="Times New Roman"/>
        </w:rPr>
        <w:t>n</w:t>
      </w:r>
      <w:r w:rsidR="00C928FD" w:rsidRPr="007A4C44">
        <w:rPr>
          <w:rFonts w:ascii="Times New Roman" w:hAnsi="Times New Roman"/>
        </w:rPr>
        <w:t>om</w:t>
      </w:r>
      <w:r w:rsidRPr="007A4C44">
        <w:rPr>
          <w:rFonts w:ascii="Times New Roman" w:hAnsi="Times New Roman"/>
        </w:rPr>
        <w:t>, enoxim</w:t>
      </w:r>
      <w:r w:rsidR="00C928FD" w:rsidRPr="007A4C44">
        <w:rPr>
          <w:rFonts w:ascii="Times New Roman" w:hAnsi="Times New Roman"/>
        </w:rPr>
        <w:t>ó</w:t>
      </w:r>
      <w:r w:rsidRPr="007A4C44">
        <w:rPr>
          <w:rFonts w:ascii="Times New Roman" w:hAnsi="Times New Roman"/>
        </w:rPr>
        <w:t>n</w:t>
      </w:r>
      <w:r w:rsidR="00C928FD" w:rsidRPr="007A4C44">
        <w:rPr>
          <w:rFonts w:ascii="Times New Roman" w:hAnsi="Times New Roman"/>
        </w:rPr>
        <w:t>om</w:t>
      </w:r>
      <w:r w:rsidRPr="007A4C44">
        <w:rPr>
          <w:rFonts w:ascii="Times New Roman" w:hAnsi="Times New Roman"/>
        </w:rPr>
        <w:t>, olprin</w:t>
      </w:r>
      <w:r w:rsidR="00550825" w:rsidRPr="007A4C44">
        <w:rPr>
          <w:rFonts w:ascii="Times New Roman" w:hAnsi="Times New Roman"/>
        </w:rPr>
        <w:t>ó</w:t>
      </w:r>
      <w:r w:rsidRPr="007A4C44">
        <w:rPr>
          <w:rFonts w:ascii="Times New Roman" w:hAnsi="Times New Roman"/>
        </w:rPr>
        <w:t>n</w:t>
      </w:r>
      <w:r w:rsidR="00550825" w:rsidRPr="007A4C44">
        <w:rPr>
          <w:rFonts w:ascii="Times New Roman" w:hAnsi="Times New Roman"/>
        </w:rPr>
        <w:t>on</w:t>
      </w:r>
      <w:r w:rsidRPr="007A4C44">
        <w:rPr>
          <w:rFonts w:ascii="Times New Roman" w:hAnsi="Times New Roman"/>
        </w:rPr>
        <w:t xml:space="preserve"> a cilostazol</w:t>
      </w:r>
      <w:r w:rsidR="00550825" w:rsidRPr="007A4C44">
        <w:rPr>
          <w:rFonts w:ascii="Times New Roman" w:hAnsi="Times New Roman"/>
        </w:rPr>
        <w:t>om</w:t>
      </w:r>
      <w:r w:rsidRPr="007A4C44">
        <w:rPr>
          <w:rFonts w:ascii="Times New Roman" w:hAnsi="Times New Roman"/>
        </w:rPr>
        <w:t xml:space="preserve"> sa neodporúča.</w:t>
      </w:r>
    </w:p>
    <w:p w:rsidR="0001581A" w:rsidRPr="007A4C44" w:rsidRDefault="0001581A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01581A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Sú</w:t>
      </w:r>
      <w:r w:rsidR="00550825" w:rsidRPr="007A4C44">
        <w:rPr>
          <w:rFonts w:ascii="Times New Roman" w:hAnsi="Times New Roman"/>
        </w:rPr>
        <w:t>bežné</w:t>
      </w:r>
      <w:r w:rsidRPr="007A4C44">
        <w:rPr>
          <w:rFonts w:ascii="Times New Roman" w:hAnsi="Times New Roman"/>
        </w:rPr>
        <w:t xml:space="preserve"> používanie anagrelidu a kyseliny acetylsalicylovej je spojené so závažnými hemoragickými príhodami (pozri časť 4.5).</w:t>
      </w:r>
    </w:p>
    <w:p w:rsidR="0001581A" w:rsidRPr="007A4C44" w:rsidRDefault="0001581A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01581A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Pomocné látky</w:t>
      </w:r>
    </w:p>
    <w:p w:rsidR="00EC32A3" w:rsidRPr="007A4C44" w:rsidRDefault="0091174A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Anagrelide Glenmark</w:t>
      </w:r>
      <w:r w:rsidR="008D5D67" w:rsidRPr="007A4C44">
        <w:rPr>
          <w:rFonts w:ascii="Times New Roman" w:hAnsi="Times New Roman"/>
        </w:rPr>
        <w:t xml:space="preserve"> obsahuje laktózu. Pacienti so zriedkavými dedičnými problémami galaktózovej intolerancie, </w:t>
      </w:r>
      <w:r w:rsidR="00550825" w:rsidRPr="007A4C44">
        <w:rPr>
          <w:rFonts w:ascii="Times New Roman" w:hAnsi="Times New Roman"/>
        </w:rPr>
        <w:t>celkovým</w:t>
      </w:r>
      <w:r w:rsidR="008D5D67" w:rsidRPr="007A4C44">
        <w:rPr>
          <w:rFonts w:ascii="Times New Roman" w:hAnsi="Times New Roman"/>
        </w:rPr>
        <w:t xml:space="preserve"> deficit</w:t>
      </w:r>
      <w:r w:rsidR="00550825" w:rsidRPr="007A4C44">
        <w:rPr>
          <w:rFonts w:ascii="Times New Roman" w:hAnsi="Times New Roman"/>
        </w:rPr>
        <w:t>om</w:t>
      </w:r>
      <w:r w:rsidR="008D5D67" w:rsidRPr="007A4C44">
        <w:rPr>
          <w:rFonts w:ascii="Times New Roman" w:hAnsi="Times New Roman"/>
        </w:rPr>
        <w:t xml:space="preserve"> laktázy alebo glukózo-galaktózov</w:t>
      </w:r>
      <w:r w:rsidR="00550825" w:rsidRPr="007A4C44">
        <w:rPr>
          <w:rFonts w:ascii="Times New Roman" w:hAnsi="Times New Roman"/>
        </w:rPr>
        <w:t>ou</w:t>
      </w:r>
      <w:r w:rsidR="008D5D67" w:rsidRPr="007A4C44">
        <w:rPr>
          <w:rFonts w:ascii="Times New Roman" w:hAnsi="Times New Roman"/>
        </w:rPr>
        <w:t xml:space="preserve"> malabsorpci</w:t>
      </w:r>
      <w:r w:rsidR="00550825" w:rsidRPr="007A4C44">
        <w:rPr>
          <w:rFonts w:ascii="Times New Roman" w:hAnsi="Times New Roman"/>
        </w:rPr>
        <w:t>ou</w:t>
      </w:r>
      <w:r w:rsidR="008D5D67" w:rsidRPr="007A4C44">
        <w:rPr>
          <w:rFonts w:ascii="Times New Roman" w:hAnsi="Times New Roman"/>
        </w:rPr>
        <w:t xml:space="preserve"> nesmú užívať tento liek.</w:t>
      </w:r>
    </w:p>
    <w:p w:rsidR="008D5D67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EC32A3" w:rsidP="007A4C44">
      <w:pPr>
        <w:widowControl w:val="0"/>
        <w:spacing w:after="0" w:line="240" w:lineRule="auto"/>
        <w:ind w:left="567" w:hanging="567"/>
        <w:rPr>
          <w:rFonts w:ascii="Times New Roman" w:hAnsi="Times New Roman"/>
        </w:rPr>
      </w:pPr>
      <w:r w:rsidRPr="007A4C44">
        <w:rPr>
          <w:rFonts w:ascii="Times New Roman" w:hAnsi="Times New Roman"/>
          <w:b/>
        </w:rPr>
        <w:t>4.5</w:t>
      </w:r>
      <w:r w:rsidRPr="007A4C44">
        <w:rPr>
          <w:rFonts w:ascii="Times New Roman" w:hAnsi="Times New Roman"/>
          <w:b/>
        </w:rPr>
        <w:tab/>
        <w:t>Liekové a iné interakcie</w:t>
      </w: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01581A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Uskutočnili sa limitované farmakokinetické a/alebo farmakodynamické štúdie, skúmajúce možné interakcie medzi anagrelidom a inými liekmi.</w:t>
      </w:r>
    </w:p>
    <w:p w:rsidR="0001581A" w:rsidRPr="007A4C44" w:rsidRDefault="0001581A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01581A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Účinky iných liečiv na anagrelid</w:t>
      </w:r>
    </w:p>
    <w:p w:rsidR="0001581A" w:rsidRPr="007A4C44" w:rsidRDefault="008D5D67" w:rsidP="007A4C44">
      <w:pPr>
        <w:pStyle w:val="Odsekzoznamu"/>
        <w:widowControl w:val="0"/>
        <w:numPr>
          <w:ilvl w:val="0"/>
          <w:numId w:val="23"/>
        </w:numPr>
        <w:spacing w:after="0" w:line="240" w:lineRule="auto"/>
        <w:ind w:left="567" w:hanging="567"/>
        <w:rPr>
          <w:rFonts w:ascii="Times New Roman" w:hAnsi="Times New Roman"/>
        </w:rPr>
      </w:pPr>
      <w:r w:rsidRPr="007A4C44">
        <w:rPr>
          <w:rFonts w:ascii="Times New Roman" w:hAnsi="Times New Roman"/>
        </w:rPr>
        <w:t xml:space="preserve">Štúdie interakcií </w:t>
      </w:r>
      <w:r w:rsidRPr="007A4C44">
        <w:rPr>
          <w:rFonts w:ascii="Times New Roman" w:hAnsi="Times New Roman"/>
          <w:i/>
        </w:rPr>
        <w:t>in vivo</w:t>
      </w:r>
      <w:r w:rsidRPr="007A4C44">
        <w:rPr>
          <w:rFonts w:ascii="Times New Roman" w:hAnsi="Times New Roman"/>
        </w:rPr>
        <w:t xml:space="preserve"> u ľudí preukázali, že digoxín a warfarín neovplyvňujú farmakokinetické vlastnosti anagrelidu.</w:t>
      </w:r>
    </w:p>
    <w:p w:rsidR="0001581A" w:rsidRPr="007A4C44" w:rsidRDefault="0001581A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01581A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Inhibítory CYP1A2</w:t>
      </w:r>
    </w:p>
    <w:p w:rsidR="0001581A" w:rsidRPr="007A4C44" w:rsidRDefault="008D5D67" w:rsidP="007A4C44">
      <w:pPr>
        <w:pStyle w:val="Odsekzoznamu"/>
        <w:widowControl w:val="0"/>
        <w:numPr>
          <w:ilvl w:val="0"/>
          <w:numId w:val="23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7A4C44">
        <w:rPr>
          <w:rFonts w:ascii="Times New Roman" w:hAnsi="Times New Roman"/>
        </w:rPr>
        <w:t xml:space="preserve">Anagrelid je primárne metabolizovaný </w:t>
      </w:r>
      <w:r w:rsidR="00550825" w:rsidRPr="007A4C44">
        <w:rPr>
          <w:rFonts w:ascii="Times New Roman" w:hAnsi="Times New Roman"/>
        </w:rPr>
        <w:t xml:space="preserve">prostredníctvom </w:t>
      </w:r>
      <w:r w:rsidRPr="007A4C44">
        <w:rPr>
          <w:rFonts w:ascii="Times New Roman" w:hAnsi="Times New Roman"/>
        </w:rPr>
        <w:t>CYP1A2. Je známe, že CYP1A2 je inhibovaný niekoľkými liekmi, vrátane fluvoxamínu a enoxacínu, a tieto lieky by teoreticky mohli nepriaznivo ovplyvniť klírens anagrelidu.</w:t>
      </w:r>
    </w:p>
    <w:p w:rsidR="0001581A" w:rsidRPr="007A4C44" w:rsidRDefault="0001581A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01581A" w:rsidRPr="007A4C44" w:rsidRDefault="0001581A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Induktory CYP1A2</w:t>
      </w:r>
    </w:p>
    <w:p w:rsidR="005F56D3" w:rsidRPr="007A4C44" w:rsidRDefault="008D5D67" w:rsidP="007A4C44">
      <w:pPr>
        <w:pStyle w:val="Odsekzoznamu"/>
        <w:widowControl w:val="0"/>
        <w:numPr>
          <w:ilvl w:val="0"/>
          <w:numId w:val="25"/>
        </w:numPr>
        <w:spacing w:after="0" w:line="240" w:lineRule="auto"/>
        <w:ind w:left="567" w:hanging="567"/>
        <w:rPr>
          <w:rFonts w:ascii="Times New Roman" w:hAnsi="Times New Roman"/>
        </w:rPr>
      </w:pPr>
      <w:r w:rsidRPr="007A4C44">
        <w:rPr>
          <w:rFonts w:ascii="Times New Roman" w:hAnsi="Times New Roman"/>
        </w:rPr>
        <w:t xml:space="preserve">Induktory CYP1A2 (ako </w:t>
      </w:r>
      <w:r w:rsidR="0001581A" w:rsidRPr="007A4C44">
        <w:rPr>
          <w:rFonts w:ascii="Times New Roman" w:hAnsi="Times New Roman"/>
        </w:rPr>
        <w:t>je</w:t>
      </w:r>
      <w:r w:rsidRPr="007A4C44">
        <w:rPr>
          <w:rFonts w:ascii="Times New Roman" w:hAnsi="Times New Roman"/>
        </w:rPr>
        <w:t xml:space="preserve"> omeprazol) môžu znížiť expozíciu anagrelidu zvýšením hladiny jeho hlavného aktívneho metabolitu. Dopad na profily bezpečnosti a účinnosti anagrelidu nebol stanovený. Z tohto dôvodu sa pacientom užívajúcim súbežne induktory CYP1A2 odporúča klinické a biologické sledovanie. Pokiaľ je to potrebné, môže sa upraviť dávka anagrelidu.</w:t>
      </w:r>
    </w:p>
    <w:p w:rsidR="005F56D3" w:rsidRPr="007A4C44" w:rsidRDefault="005F56D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5F56D3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Účinky anagrelidu na iné liečivá</w:t>
      </w:r>
    </w:p>
    <w:p w:rsidR="005F56D3" w:rsidRPr="007A4C44" w:rsidRDefault="008D5D67" w:rsidP="007A4C44">
      <w:pPr>
        <w:pStyle w:val="Odsekzoznamu"/>
        <w:widowControl w:val="0"/>
        <w:numPr>
          <w:ilvl w:val="0"/>
          <w:numId w:val="24"/>
        </w:numPr>
        <w:spacing w:after="0" w:line="240" w:lineRule="auto"/>
        <w:ind w:left="567" w:hanging="567"/>
        <w:rPr>
          <w:rFonts w:ascii="Times New Roman" w:hAnsi="Times New Roman"/>
        </w:rPr>
      </w:pPr>
      <w:r w:rsidRPr="007A4C44">
        <w:rPr>
          <w:rFonts w:ascii="Times New Roman" w:hAnsi="Times New Roman"/>
        </w:rPr>
        <w:t>Anagrelid preukazuje limitovanú inhibičnú aktivitu voči CYP1A2, čo môže predstavovať teoretickú možnosť interakcie s inými súbežne podávanými liekmi, ktoré zdieľajú rovnaký mechanizmus klírensu, napríklad teofylín.</w:t>
      </w:r>
    </w:p>
    <w:p w:rsidR="005F56D3" w:rsidRPr="007A4C44" w:rsidRDefault="008D5D67" w:rsidP="007A4C44">
      <w:pPr>
        <w:pStyle w:val="Odsekzoznamu"/>
        <w:widowControl w:val="0"/>
        <w:numPr>
          <w:ilvl w:val="0"/>
          <w:numId w:val="24"/>
        </w:numPr>
        <w:spacing w:after="0" w:line="240" w:lineRule="auto"/>
        <w:ind w:left="567" w:hanging="567"/>
        <w:rPr>
          <w:rFonts w:ascii="Times New Roman" w:hAnsi="Times New Roman"/>
        </w:rPr>
      </w:pPr>
      <w:r w:rsidRPr="007A4C44">
        <w:rPr>
          <w:rFonts w:ascii="Times New Roman" w:hAnsi="Times New Roman"/>
        </w:rPr>
        <w:t xml:space="preserve">Anagrelid je inhibítorom PDE III. Účinky liekov s podobnými vlastnosťami, ako sú inotropné </w:t>
      </w:r>
      <w:r w:rsidRPr="007A4C44">
        <w:rPr>
          <w:rFonts w:ascii="Times New Roman" w:hAnsi="Times New Roman"/>
        </w:rPr>
        <w:lastRenderedPageBreak/>
        <w:t>látky milrin</w:t>
      </w:r>
      <w:r w:rsidR="00550825" w:rsidRPr="007A4C44">
        <w:rPr>
          <w:rFonts w:ascii="Times New Roman" w:hAnsi="Times New Roman"/>
        </w:rPr>
        <w:t>ó</w:t>
      </w:r>
      <w:r w:rsidRPr="007A4C44">
        <w:rPr>
          <w:rFonts w:ascii="Times New Roman" w:hAnsi="Times New Roman"/>
        </w:rPr>
        <w:t>n, enoxim</w:t>
      </w:r>
      <w:r w:rsidR="00550825" w:rsidRPr="007A4C44">
        <w:rPr>
          <w:rFonts w:ascii="Times New Roman" w:hAnsi="Times New Roman"/>
        </w:rPr>
        <w:t>ó</w:t>
      </w:r>
      <w:r w:rsidRPr="007A4C44">
        <w:rPr>
          <w:rFonts w:ascii="Times New Roman" w:hAnsi="Times New Roman"/>
        </w:rPr>
        <w:t>n, amrin</w:t>
      </w:r>
      <w:r w:rsidR="00550825" w:rsidRPr="007A4C44">
        <w:rPr>
          <w:rFonts w:ascii="Times New Roman" w:hAnsi="Times New Roman"/>
        </w:rPr>
        <w:t>ó</w:t>
      </w:r>
      <w:r w:rsidRPr="007A4C44">
        <w:rPr>
          <w:rFonts w:ascii="Times New Roman" w:hAnsi="Times New Roman"/>
        </w:rPr>
        <w:t>n, olprin</w:t>
      </w:r>
      <w:r w:rsidR="00550825" w:rsidRPr="007A4C44">
        <w:rPr>
          <w:rFonts w:ascii="Times New Roman" w:hAnsi="Times New Roman"/>
        </w:rPr>
        <w:t>ó</w:t>
      </w:r>
      <w:r w:rsidRPr="007A4C44">
        <w:rPr>
          <w:rFonts w:ascii="Times New Roman" w:hAnsi="Times New Roman"/>
        </w:rPr>
        <w:t>n a cilostazol, môže anagrelid z</w:t>
      </w:r>
      <w:r w:rsidR="00550825" w:rsidRPr="007A4C44">
        <w:rPr>
          <w:rFonts w:ascii="Times New Roman" w:hAnsi="Times New Roman"/>
        </w:rPr>
        <w:t>výrazniť</w:t>
      </w:r>
      <w:r w:rsidRPr="007A4C44">
        <w:rPr>
          <w:rFonts w:ascii="Times New Roman" w:hAnsi="Times New Roman"/>
        </w:rPr>
        <w:t>.</w:t>
      </w:r>
    </w:p>
    <w:p w:rsidR="005F56D3" w:rsidRPr="007A4C44" w:rsidRDefault="008D5D67" w:rsidP="007A4C44">
      <w:pPr>
        <w:pStyle w:val="Odsekzoznamu"/>
        <w:widowControl w:val="0"/>
        <w:numPr>
          <w:ilvl w:val="0"/>
          <w:numId w:val="24"/>
        </w:numPr>
        <w:spacing w:after="0" w:line="240" w:lineRule="auto"/>
        <w:ind w:left="567" w:hanging="567"/>
        <w:rPr>
          <w:rFonts w:ascii="Times New Roman" w:hAnsi="Times New Roman"/>
        </w:rPr>
      </w:pPr>
      <w:r w:rsidRPr="007A4C44">
        <w:rPr>
          <w:rFonts w:ascii="Times New Roman" w:hAnsi="Times New Roman"/>
        </w:rPr>
        <w:t>Štúdie interakci</w:t>
      </w:r>
      <w:r w:rsidR="00550825" w:rsidRPr="007A4C44">
        <w:rPr>
          <w:rFonts w:ascii="Times New Roman" w:hAnsi="Times New Roman"/>
        </w:rPr>
        <w:t>í</w:t>
      </w:r>
      <w:r w:rsidRPr="007A4C44">
        <w:rPr>
          <w:rFonts w:ascii="Times New Roman" w:hAnsi="Times New Roman"/>
        </w:rPr>
        <w:t xml:space="preserve"> </w:t>
      </w:r>
      <w:r w:rsidRPr="007A4C44">
        <w:rPr>
          <w:rFonts w:ascii="Times New Roman" w:hAnsi="Times New Roman"/>
          <w:i/>
        </w:rPr>
        <w:t>in vivo</w:t>
      </w:r>
      <w:r w:rsidRPr="007A4C44">
        <w:rPr>
          <w:rFonts w:ascii="Times New Roman" w:hAnsi="Times New Roman"/>
        </w:rPr>
        <w:t xml:space="preserve"> u ľudí preukázali, že anagrelid neovplyvňuje farmakokinetické vlastnosti digoxínu alebo warfarínu.</w:t>
      </w:r>
    </w:p>
    <w:p w:rsidR="005F56D3" w:rsidRPr="007A4C44" w:rsidRDefault="00550825" w:rsidP="007A4C44">
      <w:pPr>
        <w:pStyle w:val="Odsekzoznamu"/>
        <w:widowControl w:val="0"/>
        <w:numPr>
          <w:ilvl w:val="0"/>
          <w:numId w:val="24"/>
        </w:numPr>
        <w:spacing w:after="0" w:line="240" w:lineRule="auto"/>
        <w:ind w:left="567" w:hanging="567"/>
        <w:rPr>
          <w:rFonts w:ascii="Times New Roman" w:hAnsi="Times New Roman"/>
        </w:rPr>
      </w:pPr>
      <w:r w:rsidRPr="007A4C44">
        <w:rPr>
          <w:rFonts w:ascii="Times New Roman" w:hAnsi="Times New Roman"/>
        </w:rPr>
        <w:t>Anagrelid podávaný v dávkach odporúčaných na liečbu esenciálnej</w:t>
      </w:r>
      <w:r w:rsidR="008D5D67" w:rsidRPr="007A4C44">
        <w:rPr>
          <w:rFonts w:ascii="Times New Roman" w:hAnsi="Times New Roman"/>
        </w:rPr>
        <w:t xml:space="preserve"> trombocytémie môže </w:t>
      </w:r>
      <w:r w:rsidRPr="007A4C44">
        <w:rPr>
          <w:rFonts w:ascii="Times New Roman" w:hAnsi="Times New Roman"/>
        </w:rPr>
        <w:t xml:space="preserve">zosilniť </w:t>
      </w:r>
      <w:r w:rsidR="008D5D67" w:rsidRPr="007A4C44">
        <w:rPr>
          <w:rFonts w:ascii="Times New Roman" w:hAnsi="Times New Roman"/>
        </w:rPr>
        <w:t xml:space="preserve">účinky iných liekov, ktoré </w:t>
      </w:r>
      <w:r w:rsidRPr="007A4C44">
        <w:rPr>
          <w:rFonts w:ascii="Times New Roman" w:hAnsi="Times New Roman"/>
        </w:rPr>
        <w:t>inhibujú</w:t>
      </w:r>
      <w:r w:rsidR="008D5D67" w:rsidRPr="007A4C44">
        <w:rPr>
          <w:rFonts w:ascii="Times New Roman" w:hAnsi="Times New Roman"/>
        </w:rPr>
        <w:t xml:space="preserve"> alebo pozmeňujú funkciu krvných doštičiek, napr. kyselin</w:t>
      </w:r>
      <w:r w:rsidRPr="007A4C44">
        <w:rPr>
          <w:rFonts w:ascii="Times New Roman" w:hAnsi="Times New Roman"/>
        </w:rPr>
        <w:t>y</w:t>
      </w:r>
      <w:r w:rsidR="008D5D67" w:rsidRPr="007A4C44">
        <w:rPr>
          <w:rFonts w:ascii="Times New Roman" w:hAnsi="Times New Roman"/>
        </w:rPr>
        <w:t xml:space="preserve"> acetylsalicylov</w:t>
      </w:r>
      <w:r w:rsidRPr="007A4C44">
        <w:rPr>
          <w:rFonts w:ascii="Times New Roman" w:hAnsi="Times New Roman"/>
        </w:rPr>
        <w:t>ej</w:t>
      </w:r>
      <w:r w:rsidR="008D5D67" w:rsidRPr="007A4C44">
        <w:rPr>
          <w:rFonts w:ascii="Times New Roman" w:hAnsi="Times New Roman"/>
        </w:rPr>
        <w:t>.</w:t>
      </w:r>
    </w:p>
    <w:p w:rsidR="005F56D3" w:rsidRPr="007A4C44" w:rsidRDefault="008D5D67" w:rsidP="007A4C44">
      <w:pPr>
        <w:pStyle w:val="Odsekzoznamu"/>
        <w:widowControl w:val="0"/>
        <w:numPr>
          <w:ilvl w:val="0"/>
          <w:numId w:val="24"/>
        </w:numPr>
        <w:spacing w:after="0" w:line="240" w:lineRule="auto"/>
        <w:ind w:left="567" w:hanging="567"/>
        <w:rPr>
          <w:rFonts w:ascii="Times New Roman" w:hAnsi="Times New Roman"/>
        </w:rPr>
      </w:pPr>
      <w:r w:rsidRPr="007A4C44">
        <w:rPr>
          <w:rFonts w:ascii="Times New Roman" w:hAnsi="Times New Roman"/>
        </w:rPr>
        <w:t>V klinickej interakčnej štúdii so zdravými jedincami sa preukázalo, že súbežné podávanie opakovanej dávky anagrelidu 1 mg jedenkrát denne a kyseliny acetylsalicylovej 75 mg jedenkrát denne m</w:t>
      </w:r>
      <w:r w:rsidR="00550825" w:rsidRPr="007A4C44">
        <w:rPr>
          <w:rFonts w:ascii="Times New Roman" w:hAnsi="Times New Roman"/>
        </w:rPr>
        <w:t>ôže zvýšiť</w:t>
      </w:r>
      <w:r w:rsidRPr="007A4C44">
        <w:rPr>
          <w:rFonts w:ascii="Times New Roman" w:hAnsi="Times New Roman"/>
        </w:rPr>
        <w:t xml:space="preserve"> antiagregačné účinky každého liečiva na krvné doštičky </w:t>
      </w:r>
      <w:r w:rsidR="00550825" w:rsidRPr="007A4C44">
        <w:rPr>
          <w:rFonts w:ascii="Times New Roman" w:hAnsi="Times New Roman"/>
        </w:rPr>
        <w:t>v porovnaní s</w:t>
      </w:r>
      <w:r w:rsidRPr="007A4C44">
        <w:rPr>
          <w:rFonts w:ascii="Times New Roman" w:hAnsi="Times New Roman"/>
        </w:rPr>
        <w:t xml:space="preserve"> podáva</w:t>
      </w:r>
      <w:r w:rsidR="00550825" w:rsidRPr="007A4C44">
        <w:rPr>
          <w:rFonts w:ascii="Times New Roman" w:hAnsi="Times New Roman"/>
        </w:rPr>
        <w:t>ním</w:t>
      </w:r>
      <w:r w:rsidRPr="007A4C44">
        <w:rPr>
          <w:rFonts w:ascii="Times New Roman" w:hAnsi="Times New Roman"/>
        </w:rPr>
        <w:t xml:space="preserve"> samotnej kyseliny acetylsalicylovej. U niektorých pacientov s ET súbežne liečených kyselinou acetylsalicylovou a anagrelidom sa vyskytli závažné hemorágie. Preto sa majú pred začatím liečby zhodnotiť potenciálne riziká súbežného používania anagrelidu s kyselinou acetylsalicylovou, predovšetkým u pacientov s vysok</w:t>
      </w:r>
      <w:r w:rsidR="00550825" w:rsidRPr="007A4C44">
        <w:rPr>
          <w:rFonts w:ascii="Times New Roman" w:hAnsi="Times New Roman"/>
        </w:rPr>
        <w:t>o</w:t>
      </w:r>
      <w:r w:rsidRPr="007A4C44">
        <w:rPr>
          <w:rFonts w:ascii="Times New Roman" w:hAnsi="Times New Roman"/>
        </w:rPr>
        <w:t xml:space="preserve"> rizikovým profilom pre krvácanie.</w:t>
      </w:r>
    </w:p>
    <w:p w:rsidR="005F56D3" w:rsidRPr="007A4C44" w:rsidRDefault="008D5D67" w:rsidP="007A4C44">
      <w:pPr>
        <w:pStyle w:val="Odsekzoznamu"/>
        <w:widowControl w:val="0"/>
        <w:numPr>
          <w:ilvl w:val="0"/>
          <w:numId w:val="24"/>
        </w:numPr>
        <w:spacing w:after="0" w:line="240" w:lineRule="auto"/>
        <w:ind w:left="567" w:hanging="567"/>
        <w:rPr>
          <w:rFonts w:ascii="Times New Roman" w:hAnsi="Times New Roman"/>
        </w:rPr>
      </w:pPr>
      <w:r w:rsidRPr="007A4C44">
        <w:rPr>
          <w:rFonts w:ascii="Times New Roman" w:hAnsi="Times New Roman"/>
        </w:rPr>
        <w:t>Anagrelid môže u niektorých pacientov spôsobovať črevné poruchy a zhoršiť vstrebávanie hormonálnej perorálnej antikoncepcie.</w:t>
      </w:r>
    </w:p>
    <w:p w:rsidR="005F56D3" w:rsidRPr="007A4C44" w:rsidRDefault="005F56D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5F56D3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Interakcie s</w:t>
      </w:r>
      <w:r w:rsidR="00916844" w:rsidRPr="007A4C44">
        <w:rPr>
          <w:rFonts w:ascii="Times New Roman" w:hAnsi="Times New Roman"/>
          <w:u w:val="single"/>
        </w:rPr>
        <w:t> </w:t>
      </w:r>
      <w:r w:rsidRPr="007A4C44">
        <w:rPr>
          <w:rFonts w:ascii="Times New Roman" w:hAnsi="Times New Roman"/>
          <w:u w:val="single"/>
        </w:rPr>
        <w:t>jedlom</w:t>
      </w:r>
    </w:p>
    <w:p w:rsidR="005F56D3" w:rsidRPr="007A4C44" w:rsidRDefault="008D5D67" w:rsidP="007A4C44">
      <w:pPr>
        <w:pStyle w:val="Odsekzoznamu"/>
        <w:widowControl w:val="0"/>
        <w:numPr>
          <w:ilvl w:val="0"/>
          <w:numId w:val="23"/>
        </w:numPr>
        <w:spacing w:after="0" w:line="240" w:lineRule="auto"/>
        <w:ind w:left="567" w:hanging="567"/>
        <w:rPr>
          <w:rFonts w:ascii="Times New Roman" w:hAnsi="Times New Roman"/>
        </w:rPr>
      </w:pPr>
      <w:r w:rsidRPr="007A4C44">
        <w:rPr>
          <w:rFonts w:ascii="Times New Roman" w:hAnsi="Times New Roman"/>
        </w:rPr>
        <w:t>Jedlo spomaľuje vstrebávanie anagrelidu, ale významne nemení systémovú expozíciu.</w:t>
      </w:r>
    </w:p>
    <w:p w:rsidR="005F56D3" w:rsidRPr="007A4C44" w:rsidRDefault="00CB2DC5" w:rsidP="007A4C44">
      <w:pPr>
        <w:pStyle w:val="Odsekzoznamu"/>
        <w:widowControl w:val="0"/>
        <w:numPr>
          <w:ilvl w:val="0"/>
          <w:numId w:val="23"/>
        </w:numPr>
        <w:spacing w:after="0" w:line="240" w:lineRule="auto"/>
        <w:ind w:left="567" w:hanging="567"/>
        <w:rPr>
          <w:rFonts w:ascii="Times New Roman" w:hAnsi="Times New Roman"/>
        </w:rPr>
      </w:pPr>
      <w:r w:rsidRPr="007A4C44">
        <w:rPr>
          <w:rFonts w:ascii="Times New Roman" w:hAnsi="Times New Roman"/>
        </w:rPr>
        <w:t>Vplyv</w:t>
      </w:r>
      <w:r w:rsidR="008D5D67" w:rsidRPr="007A4C44">
        <w:rPr>
          <w:rFonts w:ascii="Times New Roman" w:hAnsi="Times New Roman"/>
        </w:rPr>
        <w:t xml:space="preserve"> jedla na biologickú dostupnosť sa nepovažuj</w:t>
      </w:r>
      <w:r w:rsidRPr="007A4C44">
        <w:rPr>
          <w:rFonts w:ascii="Times New Roman" w:hAnsi="Times New Roman"/>
        </w:rPr>
        <w:t>e</w:t>
      </w:r>
      <w:r w:rsidR="008D5D67" w:rsidRPr="007A4C44">
        <w:rPr>
          <w:rFonts w:ascii="Times New Roman" w:hAnsi="Times New Roman"/>
        </w:rPr>
        <w:t xml:space="preserve"> za klinicky re</w:t>
      </w:r>
      <w:r w:rsidR="005F56D3" w:rsidRPr="007A4C44">
        <w:rPr>
          <w:rFonts w:ascii="Times New Roman" w:hAnsi="Times New Roman"/>
        </w:rPr>
        <w:t>levantn</w:t>
      </w:r>
      <w:r w:rsidRPr="007A4C44">
        <w:rPr>
          <w:rFonts w:ascii="Times New Roman" w:hAnsi="Times New Roman"/>
        </w:rPr>
        <w:t>ý</w:t>
      </w:r>
      <w:r w:rsidR="005F56D3" w:rsidRPr="007A4C44">
        <w:rPr>
          <w:rFonts w:ascii="Times New Roman" w:hAnsi="Times New Roman"/>
        </w:rPr>
        <w:t xml:space="preserve"> </w:t>
      </w:r>
      <w:r w:rsidRPr="007A4C44">
        <w:rPr>
          <w:rFonts w:ascii="Times New Roman" w:hAnsi="Times New Roman"/>
        </w:rPr>
        <w:t>pri</w:t>
      </w:r>
      <w:r w:rsidR="005F56D3" w:rsidRPr="007A4C44">
        <w:rPr>
          <w:rFonts w:ascii="Times New Roman" w:hAnsi="Times New Roman"/>
        </w:rPr>
        <w:t xml:space="preserve"> užívan</w:t>
      </w:r>
      <w:r w:rsidRPr="007A4C44">
        <w:rPr>
          <w:rFonts w:ascii="Times New Roman" w:hAnsi="Times New Roman"/>
        </w:rPr>
        <w:t>í</w:t>
      </w:r>
      <w:r w:rsidR="005F56D3" w:rsidRPr="007A4C44">
        <w:rPr>
          <w:rFonts w:ascii="Times New Roman" w:hAnsi="Times New Roman"/>
        </w:rPr>
        <w:t xml:space="preserve"> anagrelidu.</w:t>
      </w:r>
    </w:p>
    <w:p w:rsidR="005F56D3" w:rsidRPr="007A4C44" w:rsidRDefault="005F56D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5F56D3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Pediatrická populácia</w:t>
      </w:r>
    </w:p>
    <w:p w:rsidR="00EC32A3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Interakčné štúdie sa uskutočnili len u dospelých.</w:t>
      </w:r>
    </w:p>
    <w:p w:rsidR="008D5D67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EC32A3" w:rsidP="007A4C44">
      <w:pPr>
        <w:widowControl w:val="0"/>
        <w:spacing w:after="0" w:line="240" w:lineRule="auto"/>
        <w:ind w:left="567" w:hanging="567"/>
        <w:rPr>
          <w:rFonts w:ascii="Times New Roman" w:hAnsi="Times New Roman"/>
          <w:b/>
        </w:rPr>
      </w:pPr>
      <w:r w:rsidRPr="007A4C44">
        <w:rPr>
          <w:rFonts w:ascii="Times New Roman" w:hAnsi="Times New Roman"/>
          <w:b/>
        </w:rPr>
        <w:t>4.6</w:t>
      </w:r>
      <w:r w:rsidRPr="007A4C44">
        <w:rPr>
          <w:rFonts w:ascii="Times New Roman" w:hAnsi="Times New Roman"/>
          <w:b/>
        </w:rPr>
        <w:tab/>
        <w:t>Fertilita, gravidita a laktácia</w:t>
      </w:r>
    </w:p>
    <w:p w:rsidR="001149BD" w:rsidRPr="007A4C44" w:rsidRDefault="001149BD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5F56D3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Ženy vo fertilnom veku</w:t>
      </w:r>
    </w:p>
    <w:p w:rsidR="005F56D3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Ženy vo fertilnom veku m</w:t>
      </w:r>
      <w:r w:rsidR="00CB2DC5" w:rsidRPr="007A4C44">
        <w:rPr>
          <w:rFonts w:ascii="Times New Roman" w:hAnsi="Times New Roman"/>
        </w:rPr>
        <w:t>usia</w:t>
      </w:r>
      <w:r w:rsidRPr="007A4C44">
        <w:rPr>
          <w:rFonts w:ascii="Times New Roman" w:hAnsi="Times New Roman"/>
        </w:rPr>
        <w:t xml:space="preserve"> používať </w:t>
      </w:r>
      <w:r w:rsidR="00CB2DC5" w:rsidRPr="007A4C44">
        <w:rPr>
          <w:rFonts w:ascii="Times New Roman" w:hAnsi="Times New Roman"/>
        </w:rPr>
        <w:t xml:space="preserve">účinnú </w:t>
      </w:r>
      <w:r w:rsidR="005F56D3" w:rsidRPr="007A4C44">
        <w:rPr>
          <w:rFonts w:ascii="Times New Roman" w:hAnsi="Times New Roman"/>
        </w:rPr>
        <w:t>antikoncepci</w:t>
      </w:r>
      <w:r w:rsidR="00CB2DC5" w:rsidRPr="007A4C44">
        <w:rPr>
          <w:rFonts w:ascii="Times New Roman" w:hAnsi="Times New Roman"/>
        </w:rPr>
        <w:t>u počas liečby anagrelidom</w:t>
      </w:r>
      <w:r w:rsidR="005F56D3" w:rsidRPr="007A4C44">
        <w:rPr>
          <w:rFonts w:ascii="Times New Roman" w:hAnsi="Times New Roman"/>
        </w:rPr>
        <w:t>.</w:t>
      </w:r>
    </w:p>
    <w:p w:rsidR="005F56D3" w:rsidRPr="007A4C44" w:rsidRDefault="005F56D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5F56D3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Gravidita</w:t>
      </w:r>
    </w:p>
    <w:p w:rsidR="005F56D3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 xml:space="preserve">Nie sú k dispozícii </w:t>
      </w:r>
      <w:r w:rsidR="00CB2DC5" w:rsidRPr="007A4C44">
        <w:rPr>
          <w:rFonts w:ascii="Times New Roman" w:hAnsi="Times New Roman"/>
        </w:rPr>
        <w:t>dostatočné</w:t>
      </w:r>
      <w:r w:rsidRPr="007A4C44">
        <w:rPr>
          <w:rFonts w:ascii="Times New Roman" w:hAnsi="Times New Roman"/>
        </w:rPr>
        <w:t xml:space="preserve"> údaje o použití anagrelidu u gravidných žien. Štúdie na zvieratách preukázali reprodukčnú toxicitu (pozri časť 5.3). Nie je z</w:t>
      </w:r>
      <w:r w:rsidR="005F56D3" w:rsidRPr="007A4C44">
        <w:rPr>
          <w:rFonts w:ascii="Times New Roman" w:hAnsi="Times New Roman"/>
        </w:rPr>
        <w:t xml:space="preserve">náme potenciálne riziko u ľudí. </w:t>
      </w:r>
      <w:r w:rsidRPr="007A4C44">
        <w:rPr>
          <w:rFonts w:ascii="Times New Roman" w:hAnsi="Times New Roman"/>
        </w:rPr>
        <w:t xml:space="preserve">Preto sa </w:t>
      </w:r>
      <w:r w:rsidR="0091174A" w:rsidRPr="007A4C44">
        <w:rPr>
          <w:rFonts w:ascii="Times New Roman" w:hAnsi="Times New Roman"/>
        </w:rPr>
        <w:t>Anagrelide Glenmark</w:t>
      </w:r>
      <w:r w:rsidRPr="007A4C44">
        <w:rPr>
          <w:rFonts w:ascii="Times New Roman" w:hAnsi="Times New Roman"/>
        </w:rPr>
        <w:t xml:space="preserve"> neodporúča užívať počas gravidity.</w:t>
      </w:r>
    </w:p>
    <w:p w:rsidR="005F56D3" w:rsidRPr="007A4C44" w:rsidRDefault="005F56D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5F56D3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Ak sa anagrelid užíva počas gravidity alebo pacientka počas užívania lieku otehotnie, má byť upozornená na potenciálne riziko pre plod.</w:t>
      </w:r>
    </w:p>
    <w:p w:rsidR="005F56D3" w:rsidRPr="007A4C44" w:rsidRDefault="005F56D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5F56D3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Dojčenie</w:t>
      </w:r>
    </w:p>
    <w:p w:rsidR="005F56D3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 xml:space="preserve">Nie je známe, či sa anagrelid/metabolity vylučujú do ľudského mlieka. Dostupné údaje u zvierat preukázali vylučovanie anagrelidu/metabolitov do mlieka. Riziko u novorodencov/dojčiat nemôže byť vylúčené. Dojčenie má byť počas liečby anagrelidom </w:t>
      </w:r>
      <w:r w:rsidR="00686C82" w:rsidRPr="007A4C44">
        <w:rPr>
          <w:rFonts w:ascii="Times New Roman" w:hAnsi="Times New Roman"/>
        </w:rPr>
        <w:t>ukončené</w:t>
      </w:r>
      <w:r w:rsidRPr="007A4C44">
        <w:rPr>
          <w:rFonts w:ascii="Times New Roman" w:hAnsi="Times New Roman"/>
        </w:rPr>
        <w:t>.</w:t>
      </w:r>
    </w:p>
    <w:p w:rsidR="005F56D3" w:rsidRPr="007A4C44" w:rsidRDefault="005F56D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5F56D3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Fertilita</w:t>
      </w:r>
    </w:p>
    <w:p w:rsidR="00EC32A3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Nie sú k dispozícii žiadne údaje o vplyve anagrelidu na fertilitu</w:t>
      </w:r>
      <w:r w:rsidR="00686C82" w:rsidRPr="007A4C44">
        <w:rPr>
          <w:rFonts w:ascii="Times New Roman" w:hAnsi="Times New Roman"/>
        </w:rPr>
        <w:t xml:space="preserve"> u ľudí</w:t>
      </w:r>
      <w:r w:rsidRPr="007A4C44">
        <w:rPr>
          <w:rFonts w:ascii="Times New Roman" w:hAnsi="Times New Roman"/>
        </w:rPr>
        <w:t>. U samcov potkanov sa nepozoroval žiadny vplyv anagrelidu na fertilitu alebo reprodukčné schopnosti. U samíc potkanov pri použití dávok prevyšujúcich terapeutické rozmedzie narušil anagrelid implantáciu (pozri časť 5.3).</w:t>
      </w:r>
    </w:p>
    <w:p w:rsidR="008D5D67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EC32A3" w:rsidP="007A4C44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  <w:b/>
        </w:rPr>
        <w:t>4.7</w:t>
      </w:r>
      <w:r w:rsidRPr="007A4C44">
        <w:rPr>
          <w:rFonts w:ascii="Times New Roman" w:hAnsi="Times New Roman"/>
          <w:b/>
        </w:rPr>
        <w:tab/>
        <w:t>Ovplyvnenie schopnosti viesť vozidlá a obsluhovať stroje</w:t>
      </w: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 xml:space="preserve">Počas klinického vývoja boli </w:t>
      </w:r>
      <w:r w:rsidR="00686C82" w:rsidRPr="007A4C44">
        <w:rPr>
          <w:rFonts w:ascii="Times New Roman" w:hAnsi="Times New Roman"/>
        </w:rPr>
        <w:t>často</w:t>
      </w:r>
      <w:r w:rsidRPr="007A4C44">
        <w:rPr>
          <w:rFonts w:ascii="Times New Roman" w:hAnsi="Times New Roman"/>
        </w:rPr>
        <w:t xml:space="preserve"> hlásené závraty. </w:t>
      </w:r>
      <w:r w:rsidR="00686C82" w:rsidRPr="007A4C44">
        <w:rPr>
          <w:rFonts w:ascii="Times New Roman" w:hAnsi="Times New Roman"/>
        </w:rPr>
        <w:t>Pacientom sa</w:t>
      </w:r>
      <w:r w:rsidRPr="007A4C44">
        <w:rPr>
          <w:rFonts w:ascii="Times New Roman" w:hAnsi="Times New Roman"/>
        </w:rPr>
        <w:t xml:space="preserve"> neodporúča sa viesť vozidlá alebo obsluhovať stroje</w:t>
      </w:r>
      <w:r w:rsidR="00686C82" w:rsidRPr="007A4C44">
        <w:rPr>
          <w:rFonts w:ascii="Times New Roman" w:hAnsi="Times New Roman"/>
        </w:rPr>
        <w:t>, ak sa u nich počas liečby anagrelidom vyskytnú závraty</w:t>
      </w:r>
      <w:r w:rsidRPr="007A4C44">
        <w:rPr>
          <w:rFonts w:ascii="Times New Roman" w:hAnsi="Times New Roman"/>
        </w:rPr>
        <w:t>.</w:t>
      </w:r>
    </w:p>
    <w:p w:rsidR="008D5D67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EC32A3" w:rsidP="007A4C44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7A4C44">
        <w:rPr>
          <w:rFonts w:ascii="Times New Roman" w:hAnsi="Times New Roman"/>
          <w:b/>
        </w:rPr>
        <w:t>4.8</w:t>
      </w:r>
      <w:r w:rsidRPr="007A4C44">
        <w:rPr>
          <w:rFonts w:ascii="Times New Roman" w:hAnsi="Times New Roman"/>
          <w:b/>
        </w:rPr>
        <w:tab/>
        <w:t>Nežiaduce účinky</w:t>
      </w: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5F56D3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Súhrn bezpečnostného profilu</w:t>
      </w:r>
    </w:p>
    <w:p w:rsidR="005F56D3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 xml:space="preserve">Bezpečnosť anagrelidu sa skúmala v 4 otvorených klinických štúdiách. V troch z týchto štúdií u 942 </w:t>
      </w:r>
      <w:r w:rsidRPr="007A4C44">
        <w:rPr>
          <w:rFonts w:ascii="Times New Roman" w:hAnsi="Times New Roman"/>
        </w:rPr>
        <w:lastRenderedPageBreak/>
        <w:t>pacientov, ktorí dostávali anagrelid v priemernej dávke približne 2 mg/deň, sa zhodnotila bezpečnosť. V týchto štúdiách užívalo 22 pacientov anagrelid až po dobu 4 rokov.</w:t>
      </w:r>
    </w:p>
    <w:p w:rsidR="005F56D3" w:rsidRPr="007A4C44" w:rsidRDefault="005F56D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5F56D3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V neskoršej štúdii sa hodnotila bezpečnosť u</w:t>
      </w:r>
      <w:r w:rsidR="00686C82" w:rsidRPr="007A4C44">
        <w:rPr>
          <w:rFonts w:ascii="Times New Roman" w:hAnsi="Times New Roman"/>
        </w:rPr>
        <w:t> </w:t>
      </w:r>
      <w:r w:rsidRPr="007A4C44">
        <w:rPr>
          <w:rFonts w:ascii="Times New Roman" w:hAnsi="Times New Roman"/>
        </w:rPr>
        <w:t>3</w:t>
      </w:r>
      <w:r w:rsidR="00686C82" w:rsidRPr="007A4C44">
        <w:rPr>
          <w:rFonts w:ascii="Times New Roman" w:hAnsi="Times New Roman"/>
        </w:rPr>
        <w:t> </w:t>
      </w:r>
      <w:r w:rsidRPr="007A4C44">
        <w:rPr>
          <w:rFonts w:ascii="Times New Roman" w:hAnsi="Times New Roman"/>
        </w:rPr>
        <w:t>660 pacientov, ktorí užívali anagrelid v priemernej dávke približne 2 mg/deň. V tejto štúdii dostávalo 34 pacientov anagrelid až po dobu 5 rokov.</w:t>
      </w:r>
    </w:p>
    <w:p w:rsidR="005F56D3" w:rsidRPr="007A4C44" w:rsidRDefault="005F56D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5F56D3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 xml:space="preserve">Najčastejšie nežiaduce </w:t>
      </w:r>
      <w:r w:rsidR="00686C82" w:rsidRPr="007A4C44">
        <w:rPr>
          <w:rFonts w:ascii="Times New Roman" w:hAnsi="Times New Roman"/>
        </w:rPr>
        <w:t>reakcie</w:t>
      </w:r>
      <w:r w:rsidRPr="007A4C44">
        <w:rPr>
          <w:rFonts w:ascii="Times New Roman" w:hAnsi="Times New Roman"/>
        </w:rPr>
        <w:t xml:space="preserve"> hlásené v súvislosti s anagrelidom boli bolesti hlavy, ktoré sa objavili u približne 14%, búšenie srdca u približne 9%, retencia tekutín a nevoľnosť u približne 6% a hnačky objavujúce sa u 5% pacientov. Tieto nežiaduce účinky lieku sa predpokladajú na základe farmakológie anagrelidu (inhibícia PDE III). Po</w:t>
      </w:r>
      <w:r w:rsidR="00686C82" w:rsidRPr="007A4C44">
        <w:rPr>
          <w:rFonts w:ascii="Times New Roman" w:hAnsi="Times New Roman"/>
        </w:rPr>
        <w:t>stupná</w:t>
      </w:r>
      <w:r w:rsidRPr="007A4C44">
        <w:rPr>
          <w:rFonts w:ascii="Times New Roman" w:hAnsi="Times New Roman"/>
        </w:rPr>
        <w:t xml:space="preserve"> titrácia dávkovania môže pomôcť z</w:t>
      </w:r>
      <w:r w:rsidR="00686C82" w:rsidRPr="007A4C44">
        <w:rPr>
          <w:rFonts w:ascii="Times New Roman" w:hAnsi="Times New Roman"/>
        </w:rPr>
        <w:t>mierniť</w:t>
      </w:r>
      <w:r w:rsidRPr="007A4C44">
        <w:rPr>
          <w:rFonts w:ascii="Times New Roman" w:hAnsi="Times New Roman"/>
        </w:rPr>
        <w:t xml:space="preserve"> tieto účinky (pozri časť 4.2).</w:t>
      </w:r>
    </w:p>
    <w:p w:rsidR="005F56D3" w:rsidRPr="007A4C44" w:rsidRDefault="005F56D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5F56D3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Tabuľkový súhrn nežiaducich účinkov</w:t>
      </w:r>
    </w:p>
    <w:p w:rsidR="00EC32A3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 xml:space="preserve">Nežiaduce </w:t>
      </w:r>
      <w:r w:rsidR="00686C82" w:rsidRPr="007A4C44">
        <w:rPr>
          <w:rFonts w:ascii="Times New Roman" w:hAnsi="Times New Roman"/>
        </w:rPr>
        <w:t>reakcie</w:t>
      </w:r>
      <w:r w:rsidRPr="007A4C44">
        <w:rPr>
          <w:rFonts w:ascii="Times New Roman" w:hAnsi="Times New Roman"/>
        </w:rPr>
        <w:t xml:space="preserve">, ktoré sa objavili v klinických štúdiách, postregistračných bezpečnostných štúdiách a zo spontánnych hlásení, sú uvedené v tabuľke nižšie. V rámci tried orgánových systémov sú uvedené pod nasledovnými názvami: </w:t>
      </w:r>
      <w:r w:rsidR="002560C9" w:rsidRPr="007A4C44">
        <w:rPr>
          <w:rFonts w:ascii="Times New Roman" w:hAnsi="Times New Roman"/>
        </w:rPr>
        <w:t>V</w:t>
      </w:r>
      <w:r w:rsidRPr="007A4C44">
        <w:rPr>
          <w:rFonts w:ascii="Times New Roman" w:hAnsi="Times New Roman"/>
        </w:rPr>
        <w:t xml:space="preserve">eľmi časté (≥ 1/10); </w:t>
      </w:r>
      <w:r w:rsidR="002560C9" w:rsidRPr="007A4C44">
        <w:rPr>
          <w:rFonts w:ascii="Times New Roman" w:hAnsi="Times New Roman"/>
        </w:rPr>
        <w:t>Č</w:t>
      </w:r>
      <w:r w:rsidRPr="007A4C44">
        <w:rPr>
          <w:rFonts w:ascii="Times New Roman" w:hAnsi="Times New Roman"/>
        </w:rPr>
        <w:t xml:space="preserve">asté (≥ 1/100 až &lt; 1/10); </w:t>
      </w:r>
      <w:r w:rsidR="002560C9" w:rsidRPr="007A4C44">
        <w:rPr>
          <w:rFonts w:ascii="Times New Roman" w:hAnsi="Times New Roman"/>
        </w:rPr>
        <w:t>M</w:t>
      </w:r>
      <w:r w:rsidRPr="007A4C44">
        <w:rPr>
          <w:rFonts w:ascii="Times New Roman" w:hAnsi="Times New Roman"/>
        </w:rPr>
        <w:t xml:space="preserve">enej časté (≥ 1/1 000 až &lt; 1/100); </w:t>
      </w:r>
      <w:r w:rsidR="002560C9" w:rsidRPr="007A4C44">
        <w:rPr>
          <w:rFonts w:ascii="Times New Roman" w:hAnsi="Times New Roman"/>
        </w:rPr>
        <w:t>Z</w:t>
      </w:r>
      <w:r w:rsidRPr="007A4C44">
        <w:rPr>
          <w:rFonts w:ascii="Times New Roman" w:hAnsi="Times New Roman"/>
        </w:rPr>
        <w:t xml:space="preserve">riedkavé (≥ 1/10 000 až &lt; 1/1 000), </w:t>
      </w:r>
      <w:r w:rsidR="002560C9" w:rsidRPr="007A4C44">
        <w:rPr>
          <w:rFonts w:ascii="Times New Roman" w:hAnsi="Times New Roman"/>
        </w:rPr>
        <w:t>V</w:t>
      </w:r>
      <w:r w:rsidRPr="007A4C44">
        <w:rPr>
          <w:rFonts w:ascii="Times New Roman" w:hAnsi="Times New Roman"/>
        </w:rPr>
        <w:t xml:space="preserve">eľmi zriedkavé (&lt; 1/10 000), </w:t>
      </w:r>
      <w:r w:rsidR="002560C9" w:rsidRPr="007A4C44">
        <w:rPr>
          <w:rFonts w:ascii="Times New Roman" w:hAnsi="Times New Roman"/>
        </w:rPr>
        <w:t>N</w:t>
      </w:r>
      <w:r w:rsidRPr="007A4C44">
        <w:rPr>
          <w:rFonts w:ascii="Times New Roman" w:hAnsi="Times New Roman"/>
        </w:rPr>
        <w:t>eznáme (z dostupných údajov). V každej skupine frekvencií sú nežiaduce účinky uvedené v poradí podľa klesajúcej závažnosti.</w:t>
      </w:r>
    </w:p>
    <w:p w:rsidR="007522CC" w:rsidRPr="007A4C44" w:rsidRDefault="007522CC" w:rsidP="007A4C44">
      <w:pPr>
        <w:widowControl w:val="0"/>
        <w:spacing w:after="0" w:line="240" w:lineRule="auto"/>
        <w:rPr>
          <w:rFonts w:ascii="Times New Roman" w:hAnsi="Times New Roman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1244"/>
        <w:gridCol w:w="1417"/>
        <w:gridCol w:w="1559"/>
        <w:gridCol w:w="1559"/>
        <w:gridCol w:w="1418"/>
      </w:tblGrid>
      <w:tr w:rsidR="007522CC" w:rsidRPr="007A4C44" w:rsidTr="00916844">
        <w:trPr>
          <w:tblHeader/>
        </w:trPr>
        <w:tc>
          <w:tcPr>
            <w:tcW w:w="1870" w:type="dxa"/>
            <w:vMerge w:val="restart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  <w:r w:rsidRPr="007A4C44">
              <w:rPr>
                <w:rFonts w:ascii="Times New Roman" w:hAnsi="Times New Roman"/>
                <w:lang w:bidi="or-IN"/>
              </w:rPr>
              <w:t>MedDRA Trieda orgánových systémov</w:t>
            </w:r>
          </w:p>
        </w:tc>
        <w:tc>
          <w:tcPr>
            <w:tcW w:w="7197" w:type="dxa"/>
            <w:gridSpan w:val="5"/>
          </w:tcPr>
          <w:p w:rsidR="007522CC" w:rsidRPr="007A4C44" w:rsidRDefault="007522CC" w:rsidP="007A4C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bidi="or-IN"/>
              </w:rPr>
            </w:pPr>
            <w:r w:rsidRPr="007A4C44">
              <w:rPr>
                <w:rFonts w:ascii="Times New Roman" w:hAnsi="Times New Roman"/>
                <w:lang w:bidi="or-IN"/>
              </w:rPr>
              <w:t xml:space="preserve">Frekvencia </w:t>
            </w:r>
            <w:r w:rsidR="003B4082" w:rsidRPr="007A4C44">
              <w:rPr>
                <w:rFonts w:ascii="Times New Roman" w:hAnsi="Times New Roman"/>
                <w:lang w:bidi="or-IN"/>
              </w:rPr>
              <w:t xml:space="preserve">výskytu </w:t>
            </w:r>
            <w:r w:rsidRPr="007A4C44">
              <w:rPr>
                <w:rFonts w:ascii="Times New Roman" w:hAnsi="Times New Roman"/>
                <w:lang w:bidi="or-IN"/>
              </w:rPr>
              <w:t>nežiaducich reakcií</w:t>
            </w:r>
          </w:p>
        </w:tc>
      </w:tr>
      <w:tr w:rsidR="007522CC" w:rsidRPr="007A4C44" w:rsidTr="00916844">
        <w:trPr>
          <w:tblHeader/>
        </w:trPr>
        <w:tc>
          <w:tcPr>
            <w:tcW w:w="1870" w:type="dxa"/>
            <w:vMerge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</w:p>
        </w:tc>
        <w:tc>
          <w:tcPr>
            <w:tcW w:w="1244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lang w:bidi="or-IN"/>
              </w:rPr>
            </w:pPr>
            <w:r w:rsidRPr="007A4C44">
              <w:rPr>
                <w:rFonts w:ascii="Times New Roman" w:hAnsi="Times New Roman"/>
                <w:i/>
                <w:lang w:bidi="or-IN"/>
              </w:rPr>
              <w:t>Veľmi časté</w:t>
            </w:r>
          </w:p>
        </w:tc>
        <w:tc>
          <w:tcPr>
            <w:tcW w:w="1417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lang w:bidi="or-IN"/>
              </w:rPr>
            </w:pPr>
            <w:r w:rsidRPr="007A4C44">
              <w:rPr>
                <w:rFonts w:ascii="Times New Roman" w:hAnsi="Times New Roman"/>
                <w:i/>
                <w:lang w:bidi="or-IN"/>
              </w:rPr>
              <w:t>Časté</w:t>
            </w:r>
          </w:p>
        </w:tc>
        <w:tc>
          <w:tcPr>
            <w:tcW w:w="1559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lang w:bidi="or-IN"/>
              </w:rPr>
            </w:pPr>
            <w:r w:rsidRPr="007A4C44">
              <w:rPr>
                <w:rFonts w:ascii="Times New Roman" w:hAnsi="Times New Roman"/>
                <w:i/>
                <w:lang w:bidi="or-IN"/>
              </w:rPr>
              <w:t>Menej časté</w:t>
            </w:r>
          </w:p>
        </w:tc>
        <w:tc>
          <w:tcPr>
            <w:tcW w:w="1559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lang w:bidi="or-IN"/>
              </w:rPr>
            </w:pPr>
            <w:r w:rsidRPr="007A4C44">
              <w:rPr>
                <w:rFonts w:ascii="Times New Roman" w:hAnsi="Times New Roman"/>
                <w:i/>
                <w:lang w:bidi="or-IN"/>
              </w:rPr>
              <w:t>Zriedkavé</w:t>
            </w:r>
          </w:p>
        </w:tc>
        <w:tc>
          <w:tcPr>
            <w:tcW w:w="1418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lang w:bidi="or-IN"/>
              </w:rPr>
            </w:pPr>
            <w:r w:rsidRPr="007A4C44">
              <w:rPr>
                <w:rFonts w:ascii="Times New Roman" w:hAnsi="Times New Roman"/>
                <w:i/>
                <w:lang w:bidi="or-IN"/>
              </w:rPr>
              <w:t>Neznáme</w:t>
            </w:r>
          </w:p>
        </w:tc>
      </w:tr>
      <w:tr w:rsidR="002560C9" w:rsidRPr="007A4C44" w:rsidTr="00916844">
        <w:tc>
          <w:tcPr>
            <w:tcW w:w="1870" w:type="dxa"/>
          </w:tcPr>
          <w:p w:rsidR="007522CC" w:rsidRPr="007A4C44" w:rsidRDefault="006A1F2D" w:rsidP="007A4C4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lang w:bidi="or-IN"/>
              </w:rPr>
            </w:pPr>
            <w:r w:rsidRPr="007A4C44">
              <w:rPr>
                <w:rFonts w:ascii="Times New Roman" w:hAnsi="Times New Roman"/>
                <w:i/>
                <w:lang w:bidi="or-IN"/>
              </w:rPr>
              <w:t>Poruchy krvi a lymfatického systému</w:t>
            </w:r>
          </w:p>
        </w:tc>
        <w:tc>
          <w:tcPr>
            <w:tcW w:w="1244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</w:p>
        </w:tc>
        <w:tc>
          <w:tcPr>
            <w:tcW w:w="1417" w:type="dxa"/>
          </w:tcPr>
          <w:p w:rsidR="00D127FF" w:rsidRPr="007A4C44" w:rsidRDefault="00D127FF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  <w:r w:rsidRPr="007A4C44">
              <w:rPr>
                <w:rFonts w:ascii="Times New Roman" w:hAnsi="Times New Roman"/>
                <w:lang w:bidi="or-IN"/>
              </w:rPr>
              <w:t>Anémia</w:t>
            </w:r>
          </w:p>
        </w:tc>
        <w:tc>
          <w:tcPr>
            <w:tcW w:w="1559" w:type="dxa"/>
          </w:tcPr>
          <w:p w:rsidR="00D127FF" w:rsidRPr="007A4C44" w:rsidRDefault="00D127FF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Pancytopénia Trombocyto</w:t>
            </w:r>
            <w:r w:rsidR="00115895" w:rsidRPr="007A4C44">
              <w:rPr>
                <w:rFonts w:ascii="Times New Roman" w:hAnsi="Times New Roman"/>
              </w:rPr>
              <w:t>-pé</w:t>
            </w:r>
            <w:r w:rsidRPr="007A4C44">
              <w:rPr>
                <w:rFonts w:ascii="Times New Roman" w:hAnsi="Times New Roman"/>
              </w:rPr>
              <w:t>nia</w:t>
            </w:r>
          </w:p>
          <w:p w:rsidR="00D127FF" w:rsidRPr="007A4C44" w:rsidRDefault="00D127FF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Ekchymóza</w:t>
            </w:r>
          </w:p>
          <w:p w:rsidR="007522CC" w:rsidRPr="007A4C44" w:rsidRDefault="00D127FF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  <w:r w:rsidRPr="007A4C44">
              <w:rPr>
                <w:rFonts w:ascii="Times New Roman" w:hAnsi="Times New Roman"/>
              </w:rPr>
              <w:t>Hemorágia</w:t>
            </w:r>
          </w:p>
        </w:tc>
        <w:tc>
          <w:tcPr>
            <w:tcW w:w="1559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</w:p>
        </w:tc>
        <w:tc>
          <w:tcPr>
            <w:tcW w:w="1418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</w:p>
        </w:tc>
      </w:tr>
      <w:tr w:rsidR="002560C9" w:rsidRPr="007A4C44" w:rsidTr="00916844">
        <w:tc>
          <w:tcPr>
            <w:tcW w:w="1870" w:type="dxa"/>
          </w:tcPr>
          <w:p w:rsidR="007522CC" w:rsidRPr="007A4C44" w:rsidRDefault="006A1F2D" w:rsidP="007A4C4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lang w:bidi="or-IN"/>
              </w:rPr>
            </w:pPr>
            <w:r w:rsidRPr="007A4C44">
              <w:rPr>
                <w:rFonts w:ascii="Times New Roman" w:hAnsi="Times New Roman"/>
                <w:i/>
                <w:lang w:bidi="or-IN"/>
              </w:rPr>
              <w:t>Poruchy metabolizmu a výživy</w:t>
            </w:r>
          </w:p>
        </w:tc>
        <w:tc>
          <w:tcPr>
            <w:tcW w:w="1244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</w:p>
        </w:tc>
        <w:tc>
          <w:tcPr>
            <w:tcW w:w="1417" w:type="dxa"/>
          </w:tcPr>
          <w:p w:rsidR="007522CC" w:rsidRPr="007A4C44" w:rsidRDefault="00D127FF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  <w:r w:rsidRPr="007A4C44">
              <w:rPr>
                <w:rFonts w:ascii="Times New Roman" w:hAnsi="Times New Roman"/>
              </w:rPr>
              <w:t>Retencia tekutín</w:t>
            </w:r>
          </w:p>
        </w:tc>
        <w:tc>
          <w:tcPr>
            <w:tcW w:w="1559" w:type="dxa"/>
          </w:tcPr>
          <w:p w:rsidR="00D127FF" w:rsidRPr="007A4C44" w:rsidRDefault="00D127FF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Edém,</w:t>
            </w:r>
          </w:p>
          <w:p w:rsidR="007522CC" w:rsidRPr="007A4C44" w:rsidRDefault="00D127FF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  <w:r w:rsidRPr="007A4C44">
              <w:rPr>
                <w:rFonts w:ascii="Times New Roman" w:hAnsi="Times New Roman"/>
              </w:rPr>
              <w:t>Strata hmotnosti</w:t>
            </w:r>
          </w:p>
        </w:tc>
        <w:tc>
          <w:tcPr>
            <w:tcW w:w="1559" w:type="dxa"/>
          </w:tcPr>
          <w:p w:rsidR="007522CC" w:rsidRPr="007A4C44" w:rsidRDefault="00D127FF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  <w:r w:rsidRPr="007A4C44">
              <w:rPr>
                <w:rFonts w:ascii="Times New Roman" w:hAnsi="Times New Roman"/>
              </w:rPr>
              <w:t>Prírastok hmotnosti</w:t>
            </w:r>
          </w:p>
        </w:tc>
        <w:tc>
          <w:tcPr>
            <w:tcW w:w="1418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</w:p>
        </w:tc>
      </w:tr>
      <w:tr w:rsidR="002560C9" w:rsidRPr="007A4C44" w:rsidTr="00916844">
        <w:tc>
          <w:tcPr>
            <w:tcW w:w="1870" w:type="dxa"/>
          </w:tcPr>
          <w:p w:rsidR="007522CC" w:rsidRPr="007A4C44" w:rsidRDefault="006A1F2D" w:rsidP="007A4C4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lang w:bidi="or-IN"/>
              </w:rPr>
            </w:pPr>
            <w:r w:rsidRPr="007A4C44">
              <w:rPr>
                <w:rFonts w:ascii="Times New Roman" w:hAnsi="Times New Roman"/>
                <w:i/>
                <w:lang w:bidi="or-IN"/>
              </w:rPr>
              <w:t>Poruchy nervového systému</w:t>
            </w:r>
          </w:p>
        </w:tc>
        <w:tc>
          <w:tcPr>
            <w:tcW w:w="1244" w:type="dxa"/>
          </w:tcPr>
          <w:p w:rsidR="007522CC" w:rsidRPr="007A4C44" w:rsidRDefault="00D127FF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  <w:r w:rsidRPr="007A4C44">
              <w:rPr>
                <w:rFonts w:ascii="Times New Roman" w:hAnsi="Times New Roman"/>
              </w:rPr>
              <w:t>Bolesť hlavy</w:t>
            </w:r>
          </w:p>
        </w:tc>
        <w:tc>
          <w:tcPr>
            <w:tcW w:w="1417" w:type="dxa"/>
          </w:tcPr>
          <w:p w:rsidR="007522CC" w:rsidRPr="007A4C44" w:rsidRDefault="00D127FF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  <w:r w:rsidRPr="007A4C44">
              <w:rPr>
                <w:rFonts w:ascii="Times New Roman" w:hAnsi="Times New Roman"/>
              </w:rPr>
              <w:t>Závraty</w:t>
            </w:r>
          </w:p>
        </w:tc>
        <w:tc>
          <w:tcPr>
            <w:tcW w:w="1559" w:type="dxa"/>
          </w:tcPr>
          <w:p w:rsidR="00D127FF" w:rsidRPr="007A4C44" w:rsidRDefault="00D127FF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Depresia</w:t>
            </w:r>
          </w:p>
          <w:p w:rsidR="00D127FF" w:rsidRPr="007A4C44" w:rsidRDefault="00D127FF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Amnézia</w:t>
            </w:r>
          </w:p>
          <w:p w:rsidR="00620EFE" w:rsidRPr="007A4C44" w:rsidRDefault="00D127FF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Z</w:t>
            </w:r>
            <w:r w:rsidR="00620EFE" w:rsidRPr="007A4C44">
              <w:rPr>
                <w:rFonts w:ascii="Times New Roman" w:hAnsi="Times New Roman"/>
              </w:rPr>
              <w:t>mätenosť</w:t>
            </w:r>
          </w:p>
          <w:p w:rsidR="00620EFE" w:rsidRPr="007A4C44" w:rsidRDefault="00D127FF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N</w:t>
            </w:r>
            <w:r w:rsidR="00620EFE" w:rsidRPr="007A4C44">
              <w:rPr>
                <w:rFonts w:ascii="Times New Roman" w:hAnsi="Times New Roman"/>
              </w:rPr>
              <w:t>espavosť</w:t>
            </w:r>
          </w:p>
          <w:p w:rsidR="00D127FF" w:rsidRPr="007A4C44" w:rsidRDefault="00D127FF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Parestézia</w:t>
            </w:r>
          </w:p>
          <w:p w:rsidR="00620EFE" w:rsidRPr="007A4C44" w:rsidRDefault="00D127FF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Z</w:t>
            </w:r>
            <w:r w:rsidR="00620EFE" w:rsidRPr="007A4C44">
              <w:rPr>
                <w:rFonts w:ascii="Times New Roman" w:hAnsi="Times New Roman"/>
              </w:rPr>
              <w:t>nížená</w:t>
            </w:r>
            <w:r w:rsidR="003B4082" w:rsidRPr="007A4C44">
              <w:rPr>
                <w:rFonts w:ascii="Times New Roman" w:hAnsi="Times New Roman"/>
              </w:rPr>
              <w:t xml:space="preserve"> c</w:t>
            </w:r>
            <w:r w:rsidR="00620EFE" w:rsidRPr="007A4C44">
              <w:rPr>
                <w:rFonts w:ascii="Times New Roman" w:hAnsi="Times New Roman"/>
              </w:rPr>
              <w:t>itlivosť</w:t>
            </w:r>
          </w:p>
          <w:p w:rsidR="00D127FF" w:rsidRPr="007A4C44" w:rsidRDefault="00D127FF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Nervozita</w:t>
            </w:r>
          </w:p>
          <w:p w:rsidR="007522CC" w:rsidRPr="007A4C44" w:rsidRDefault="00D127FF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  <w:r w:rsidRPr="007A4C44">
              <w:rPr>
                <w:rFonts w:ascii="Times New Roman" w:hAnsi="Times New Roman"/>
              </w:rPr>
              <w:t>S</w:t>
            </w:r>
            <w:r w:rsidR="00620EFE" w:rsidRPr="007A4C44">
              <w:rPr>
                <w:rFonts w:ascii="Times New Roman" w:hAnsi="Times New Roman"/>
              </w:rPr>
              <w:t>ucho v ústach</w:t>
            </w:r>
          </w:p>
        </w:tc>
        <w:tc>
          <w:tcPr>
            <w:tcW w:w="1559" w:type="dxa"/>
          </w:tcPr>
          <w:p w:rsidR="00620EFE" w:rsidRPr="007A4C44" w:rsidRDefault="00620EFE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Migréna</w:t>
            </w:r>
          </w:p>
          <w:p w:rsidR="00620EFE" w:rsidRPr="007A4C44" w:rsidRDefault="00620EFE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Dyzartria</w:t>
            </w:r>
          </w:p>
          <w:p w:rsidR="00620EFE" w:rsidRPr="007A4C44" w:rsidRDefault="00620EFE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Somnolencia</w:t>
            </w:r>
          </w:p>
          <w:p w:rsidR="00620EFE" w:rsidRPr="007A4C44" w:rsidRDefault="003B4082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Poruchy</w:t>
            </w:r>
          </w:p>
          <w:p w:rsidR="007522CC" w:rsidRPr="007A4C44" w:rsidRDefault="00620EFE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  <w:r w:rsidRPr="007A4C44">
              <w:rPr>
                <w:rFonts w:ascii="Times New Roman" w:hAnsi="Times New Roman"/>
              </w:rPr>
              <w:t>koordináci</w:t>
            </w:r>
            <w:r w:rsidR="003B4082" w:rsidRPr="007A4C44">
              <w:rPr>
                <w:rFonts w:ascii="Times New Roman" w:hAnsi="Times New Roman"/>
              </w:rPr>
              <w:t>e</w:t>
            </w:r>
          </w:p>
        </w:tc>
        <w:tc>
          <w:tcPr>
            <w:tcW w:w="1418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</w:p>
        </w:tc>
      </w:tr>
      <w:tr w:rsidR="002560C9" w:rsidRPr="007A4C44" w:rsidTr="00916844">
        <w:tc>
          <w:tcPr>
            <w:tcW w:w="1870" w:type="dxa"/>
          </w:tcPr>
          <w:p w:rsidR="007522CC" w:rsidRPr="007A4C44" w:rsidRDefault="006A1F2D" w:rsidP="007A4C4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lang w:bidi="or-IN"/>
              </w:rPr>
            </w:pPr>
            <w:r w:rsidRPr="007A4C44">
              <w:rPr>
                <w:rFonts w:ascii="Times New Roman" w:hAnsi="Times New Roman"/>
                <w:i/>
                <w:lang w:bidi="or-IN"/>
              </w:rPr>
              <w:t>Poruchy oka</w:t>
            </w:r>
          </w:p>
        </w:tc>
        <w:tc>
          <w:tcPr>
            <w:tcW w:w="1244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</w:p>
        </w:tc>
        <w:tc>
          <w:tcPr>
            <w:tcW w:w="1417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</w:p>
        </w:tc>
        <w:tc>
          <w:tcPr>
            <w:tcW w:w="1559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</w:p>
        </w:tc>
        <w:tc>
          <w:tcPr>
            <w:tcW w:w="1559" w:type="dxa"/>
          </w:tcPr>
          <w:p w:rsidR="00620EFE" w:rsidRPr="007A4C44" w:rsidRDefault="00620EFE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Diplopia</w:t>
            </w:r>
          </w:p>
          <w:p w:rsidR="007522CC" w:rsidRPr="007A4C44" w:rsidRDefault="003B4082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  <w:r w:rsidRPr="007A4C44">
              <w:rPr>
                <w:rFonts w:ascii="Times New Roman" w:hAnsi="Times New Roman"/>
              </w:rPr>
              <w:t>Poruchy</w:t>
            </w:r>
            <w:r w:rsidR="00620EFE" w:rsidRPr="007A4C44">
              <w:rPr>
                <w:rFonts w:ascii="Times New Roman" w:hAnsi="Times New Roman"/>
              </w:rPr>
              <w:t xml:space="preserve"> videni</w:t>
            </w:r>
            <w:r w:rsidRPr="007A4C44">
              <w:rPr>
                <w:rFonts w:ascii="Times New Roman" w:hAnsi="Times New Roman"/>
              </w:rPr>
              <w:t>a</w:t>
            </w:r>
          </w:p>
        </w:tc>
        <w:tc>
          <w:tcPr>
            <w:tcW w:w="1418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</w:p>
        </w:tc>
      </w:tr>
      <w:tr w:rsidR="002560C9" w:rsidRPr="007A4C44" w:rsidTr="00916844">
        <w:tc>
          <w:tcPr>
            <w:tcW w:w="1870" w:type="dxa"/>
          </w:tcPr>
          <w:p w:rsidR="007522CC" w:rsidRPr="007A4C44" w:rsidRDefault="006A1F2D" w:rsidP="007A4C4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lang w:bidi="or-IN"/>
              </w:rPr>
            </w:pPr>
            <w:r w:rsidRPr="007A4C44">
              <w:rPr>
                <w:rFonts w:ascii="Times New Roman" w:hAnsi="Times New Roman"/>
                <w:i/>
                <w:lang w:bidi="or-IN"/>
              </w:rPr>
              <w:t>Poruchy ucha a labyrintu</w:t>
            </w:r>
          </w:p>
        </w:tc>
        <w:tc>
          <w:tcPr>
            <w:tcW w:w="1244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</w:p>
        </w:tc>
        <w:tc>
          <w:tcPr>
            <w:tcW w:w="1417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</w:p>
        </w:tc>
        <w:tc>
          <w:tcPr>
            <w:tcW w:w="1559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</w:p>
        </w:tc>
        <w:tc>
          <w:tcPr>
            <w:tcW w:w="1559" w:type="dxa"/>
          </w:tcPr>
          <w:p w:rsidR="007522CC" w:rsidRPr="007A4C44" w:rsidRDefault="00620EFE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  <w:r w:rsidRPr="007A4C44">
              <w:rPr>
                <w:rFonts w:ascii="Times New Roman" w:hAnsi="Times New Roman"/>
                <w:lang w:bidi="or-IN"/>
              </w:rPr>
              <w:t>Tinnitus</w:t>
            </w:r>
          </w:p>
        </w:tc>
        <w:tc>
          <w:tcPr>
            <w:tcW w:w="1418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</w:p>
        </w:tc>
      </w:tr>
      <w:tr w:rsidR="002560C9" w:rsidRPr="007A4C44" w:rsidTr="00916844">
        <w:tc>
          <w:tcPr>
            <w:tcW w:w="1870" w:type="dxa"/>
          </w:tcPr>
          <w:p w:rsidR="007522CC" w:rsidRPr="007A4C44" w:rsidRDefault="006A1F2D" w:rsidP="007A4C4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lang w:bidi="or-IN"/>
              </w:rPr>
            </w:pPr>
            <w:r w:rsidRPr="007A4C44">
              <w:rPr>
                <w:rFonts w:ascii="Times New Roman" w:hAnsi="Times New Roman"/>
                <w:i/>
                <w:lang w:bidi="or-IN"/>
              </w:rPr>
              <w:t>Poruchy srdca a srdcovej činnosti</w:t>
            </w:r>
          </w:p>
        </w:tc>
        <w:tc>
          <w:tcPr>
            <w:tcW w:w="1244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</w:p>
        </w:tc>
        <w:tc>
          <w:tcPr>
            <w:tcW w:w="1417" w:type="dxa"/>
          </w:tcPr>
          <w:p w:rsidR="00620EFE" w:rsidRPr="007A4C44" w:rsidRDefault="00620EFE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Tachykardia</w:t>
            </w:r>
          </w:p>
          <w:p w:rsidR="007522CC" w:rsidRPr="007A4C44" w:rsidRDefault="00620EFE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  <w:r w:rsidRPr="007A4C44">
              <w:rPr>
                <w:rFonts w:ascii="Times New Roman" w:hAnsi="Times New Roman"/>
              </w:rPr>
              <w:t>Palpitácie</w:t>
            </w:r>
          </w:p>
        </w:tc>
        <w:tc>
          <w:tcPr>
            <w:tcW w:w="1559" w:type="dxa"/>
          </w:tcPr>
          <w:p w:rsidR="00620EFE" w:rsidRPr="007A4C44" w:rsidRDefault="00620EFE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Komorová tachykardia</w:t>
            </w:r>
          </w:p>
          <w:p w:rsidR="00620EFE" w:rsidRPr="007A4C44" w:rsidRDefault="00620EFE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Kongestívne zlyhanie srdca</w:t>
            </w:r>
          </w:p>
          <w:p w:rsidR="00620EFE" w:rsidRPr="007A4C44" w:rsidRDefault="00620EFE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Fibrilácia predsiení</w:t>
            </w:r>
          </w:p>
          <w:p w:rsidR="00620EFE" w:rsidRPr="007A4C44" w:rsidRDefault="00620EFE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Supraventriku</w:t>
            </w:r>
            <w:r w:rsidR="002560C9" w:rsidRPr="007A4C44">
              <w:rPr>
                <w:rFonts w:ascii="Times New Roman" w:hAnsi="Times New Roman"/>
              </w:rPr>
              <w:t>-</w:t>
            </w:r>
            <w:r w:rsidRPr="007A4C44">
              <w:rPr>
                <w:rFonts w:ascii="Times New Roman" w:hAnsi="Times New Roman"/>
              </w:rPr>
              <w:t>lár</w:t>
            </w:r>
            <w:r w:rsidR="002560C9" w:rsidRPr="007A4C44">
              <w:rPr>
                <w:rFonts w:ascii="Times New Roman" w:hAnsi="Times New Roman"/>
              </w:rPr>
              <w:t>n</w:t>
            </w:r>
            <w:r w:rsidRPr="007A4C44">
              <w:rPr>
                <w:rFonts w:ascii="Times New Roman" w:hAnsi="Times New Roman"/>
              </w:rPr>
              <w:t>a tachykardia</w:t>
            </w:r>
          </w:p>
          <w:p w:rsidR="00620EFE" w:rsidRPr="007A4C44" w:rsidRDefault="00620EFE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Arytmia</w:t>
            </w:r>
          </w:p>
          <w:p w:rsidR="00620EFE" w:rsidRPr="007A4C44" w:rsidRDefault="00620EFE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Hypertenzia</w:t>
            </w:r>
          </w:p>
          <w:p w:rsidR="007522CC" w:rsidRPr="007A4C44" w:rsidRDefault="00620EFE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  <w:r w:rsidRPr="007A4C44">
              <w:rPr>
                <w:rFonts w:ascii="Times New Roman" w:hAnsi="Times New Roman"/>
              </w:rPr>
              <w:t>Synkopa</w:t>
            </w:r>
          </w:p>
        </w:tc>
        <w:tc>
          <w:tcPr>
            <w:tcW w:w="1559" w:type="dxa"/>
          </w:tcPr>
          <w:p w:rsidR="00620EFE" w:rsidRPr="007A4C44" w:rsidRDefault="00620EFE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Infarkt myokardu</w:t>
            </w:r>
          </w:p>
          <w:p w:rsidR="00620EFE" w:rsidRPr="007A4C44" w:rsidRDefault="00620EFE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Kardiomyo-patia</w:t>
            </w:r>
          </w:p>
          <w:p w:rsidR="002560C9" w:rsidRPr="007A4C44" w:rsidRDefault="00620EFE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Kardiomegália</w:t>
            </w:r>
          </w:p>
          <w:p w:rsidR="00620EFE" w:rsidRPr="007A4C44" w:rsidRDefault="00620EFE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Perikardiálny výpotok</w:t>
            </w:r>
          </w:p>
          <w:p w:rsidR="00620EFE" w:rsidRPr="007A4C44" w:rsidRDefault="00620EFE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Angina pectoris</w:t>
            </w:r>
          </w:p>
          <w:p w:rsidR="00620EFE" w:rsidRPr="007A4C44" w:rsidRDefault="00620EFE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Posturálna hypotenzia</w:t>
            </w:r>
          </w:p>
          <w:p w:rsidR="007522CC" w:rsidRPr="007A4C44" w:rsidRDefault="00620EFE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  <w:r w:rsidRPr="007A4C44">
              <w:rPr>
                <w:rFonts w:ascii="Times New Roman" w:hAnsi="Times New Roman"/>
              </w:rPr>
              <w:t>Vazodilatácia</w:t>
            </w:r>
          </w:p>
        </w:tc>
        <w:tc>
          <w:tcPr>
            <w:tcW w:w="1418" w:type="dxa"/>
          </w:tcPr>
          <w:p w:rsidR="007522CC" w:rsidRPr="007A4C44" w:rsidRDefault="00620EFE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  <w:r w:rsidRPr="007A4C44">
              <w:rPr>
                <w:rFonts w:ascii="Times New Roman" w:hAnsi="Times New Roman"/>
              </w:rPr>
              <w:t>Torsade de pointes</w:t>
            </w:r>
          </w:p>
        </w:tc>
      </w:tr>
      <w:tr w:rsidR="00620EFE" w:rsidRPr="007A4C44" w:rsidTr="00916844">
        <w:tc>
          <w:tcPr>
            <w:tcW w:w="1870" w:type="dxa"/>
          </w:tcPr>
          <w:p w:rsidR="00620EFE" w:rsidRPr="007A4C44" w:rsidRDefault="00620EFE" w:rsidP="007A4C4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lang w:bidi="or-IN"/>
              </w:rPr>
            </w:pPr>
            <w:r w:rsidRPr="007A4C44">
              <w:rPr>
                <w:rFonts w:ascii="Times New Roman" w:hAnsi="Times New Roman"/>
                <w:i/>
              </w:rPr>
              <w:lastRenderedPageBreak/>
              <w:t>Poruchy dýchacej sústavy, hrudníka a mediastína</w:t>
            </w:r>
          </w:p>
        </w:tc>
        <w:tc>
          <w:tcPr>
            <w:tcW w:w="1244" w:type="dxa"/>
          </w:tcPr>
          <w:p w:rsidR="00620EFE" w:rsidRPr="007A4C44" w:rsidRDefault="00620EFE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</w:p>
        </w:tc>
        <w:tc>
          <w:tcPr>
            <w:tcW w:w="1417" w:type="dxa"/>
          </w:tcPr>
          <w:p w:rsidR="00620EFE" w:rsidRPr="007A4C44" w:rsidRDefault="00620EFE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</w:p>
        </w:tc>
        <w:tc>
          <w:tcPr>
            <w:tcW w:w="1559" w:type="dxa"/>
          </w:tcPr>
          <w:p w:rsidR="00620EFE" w:rsidRPr="007A4C44" w:rsidRDefault="00620EFE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Pneumónia</w:t>
            </w:r>
          </w:p>
          <w:p w:rsidR="00620EFE" w:rsidRPr="007A4C44" w:rsidRDefault="00620EFE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Pleurálny výpotok</w:t>
            </w:r>
          </w:p>
          <w:p w:rsidR="00620EFE" w:rsidRPr="007A4C44" w:rsidRDefault="00620EFE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Dyspnoe</w:t>
            </w:r>
          </w:p>
          <w:p w:rsidR="00620EFE" w:rsidRPr="007A4C44" w:rsidRDefault="00620EFE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Epistaxa</w:t>
            </w:r>
          </w:p>
          <w:p w:rsidR="00620EFE" w:rsidRPr="007A4C44" w:rsidRDefault="00620EFE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  <w:r w:rsidRPr="007A4C44">
              <w:rPr>
                <w:rFonts w:ascii="Times New Roman" w:hAnsi="Times New Roman"/>
              </w:rPr>
              <w:t>Pulmonálna hypertenzia</w:t>
            </w:r>
          </w:p>
        </w:tc>
        <w:tc>
          <w:tcPr>
            <w:tcW w:w="1559" w:type="dxa"/>
          </w:tcPr>
          <w:p w:rsidR="00620EFE" w:rsidRPr="007A4C44" w:rsidRDefault="00620EFE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  <w:r w:rsidRPr="007A4C44">
              <w:rPr>
                <w:rFonts w:ascii="Times New Roman" w:hAnsi="Times New Roman"/>
              </w:rPr>
              <w:t>Pľúcne infiltráty</w:t>
            </w:r>
          </w:p>
        </w:tc>
        <w:tc>
          <w:tcPr>
            <w:tcW w:w="1418" w:type="dxa"/>
          </w:tcPr>
          <w:p w:rsidR="00620EFE" w:rsidRPr="007A4C44" w:rsidRDefault="003B4082" w:rsidP="007A4C4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lang w:bidi="or-IN"/>
              </w:rPr>
            </w:pPr>
            <w:r w:rsidRPr="007A4C44">
              <w:rPr>
                <w:rFonts w:ascii="Times New Roman" w:hAnsi="Times New Roman"/>
              </w:rPr>
              <w:t>Intersticiálnap</w:t>
            </w:r>
            <w:r w:rsidR="00620EFE" w:rsidRPr="007A4C44">
              <w:rPr>
                <w:rFonts w:ascii="Times New Roman" w:hAnsi="Times New Roman"/>
              </w:rPr>
              <w:t>ľúcna choroba vrátane pneu</w:t>
            </w:r>
            <w:r w:rsidR="00115895" w:rsidRPr="007A4C44">
              <w:rPr>
                <w:rFonts w:ascii="Times New Roman" w:hAnsi="Times New Roman"/>
              </w:rPr>
              <w:t>monití-dy a</w:t>
            </w:r>
            <w:r w:rsidRPr="007A4C44">
              <w:rPr>
                <w:rFonts w:ascii="Times New Roman" w:hAnsi="Times New Roman"/>
              </w:rPr>
              <w:t> </w:t>
            </w:r>
            <w:r w:rsidR="00115895" w:rsidRPr="007A4C44">
              <w:rPr>
                <w:rFonts w:ascii="Times New Roman" w:hAnsi="Times New Roman"/>
              </w:rPr>
              <w:t>aler</w:t>
            </w:r>
            <w:r w:rsidR="00620EFE" w:rsidRPr="007A4C44">
              <w:rPr>
                <w:rFonts w:ascii="Times New Roman" w:hAnsi="Times New Roman"/>
              </w:rPr>
              <w:t>gick</w:t>
            </w:r>
            <w:r w:rsidRPr="007A4C44">
              <w:rPr>
                <w:rFonts w:ascii="Times New Roman" w:hAnsi="Times New Roman"/>
              </w:rPr>
              <w:t>ej alveolitídy</w:t>
            </w:r>
          </w:p>
        </w:tc>
      </w:tr>
      <w:tr w:rsidR="002560C9" w:rsidRPr="007A4C44" w:rsidTr="00916844">
        <w:tc>
          <w:tcPr>
            <w:tcW w:w="1870" w:type="dxa"/>
          </w:tcPr>
          <w:p w:rsidR="007522CC" w:rsidRPr="007A4C44" w:rsidRDefault="00D127FF" w:rsidP="007A4C4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lang w:bidi="or-IN"/>
              </w:rPr>
            </w:pPr>
            <w:r w:rsidRPr="007A4C44">
              <w:rPr>
                <w:rFonts w:ascii="Times New Roman" w:hAnsi="Times New Roman"/>
                <w:i/>
                <w:lang w:bidi="or-IN"/>
              </w:rPr>
              <w:t>Poruchy gastrointestinál</w:t>
            </w:r>
            <w:r w:rsidR="00115895" w:rsidRPr="007A4C44">
              <w:rPr>
                <w:rFonts w:ascii="Times New Roman" w:hAnsi="Times New Roman"/>
                <w:i/>
                <w:lang w:bidi="or-IN"/>
              </w:rPr>
              <w:t>-</w:t>
            </w:r>
            <w:r w:rsidRPr="007A4C44">
              <w:rPr>
                <w:rFonts w:ascii="Times New Roman" w:hAnsi="Times New Roman"/>
                <w:i/>
                <w:lang w:bidi="or-IN"/>
              </w:rPr>
              <w:t>neho traktu</w:t>
            </w:r>
          </w:p>
        </w:tc>
        <w:tc>
          <w:tcPr>
            <w:tcW w:w="1244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</w:p>
        </w:tc>
        <w:tc>
          <w:tcPr>
            <w:tcW w:w="1417" w:type="dxa"/>
          </w:tcPr>
          <w:p w:rsidR="00620EFE" w:rsidRPr="007A4C44" w:rsidRDefault="00620EFE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Hnačka</w:t>
            </w:r>
          </w:p>
          <w:p w:rsidR="00620EFE" w:rsidRPr="007A4C44" w:rsidRDefault="00620EFE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Vracanie</w:t>
            </w:r>
          </w:p>
          <w:p w:rsidR="00620EFE" w:rsidRPr="007A4C44" w:rsidRDefault="00620EFE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Abdominálna bolesť</w:t>
            </w:r>
          </w:p>
          <w:p w:rsidR="002560C9" w:rsidRPr="007A4C44" w:rsidRDefault="00620EFE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Nevoľnosť</w:t>
            </w:r>
          </w:p>
          <w:p w:rsidR="007522CC" w:rsidRPr="007A4C44" w:rsidRDefault="002560C9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  <w:r w:rsidRPr="007A4C44">
              <w:rPr>
                <w:rFonts w:ascii="Times New Roman" w:hAnsi="Times New Roman"/>
              </w:rPr>
              <w:t>Plynatosť</w:t>
            </w:r>
          </w:p>
        </w:tc>
        <w:tc>
          <w:tcPr>
            <w:tcW w:w="1559" w:type="dxa"/>
          </w:tcPr>
          <w:p w:rsidR="002560C9" w:rsidRPr="007A4C44" w:rsidRDefault="002560C9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Gastrointesti-nálne krvácanie</w:t>
            </w:r>
          </w:p>
          <w:p w:rsidR="002560C9" w:rsidRPr="007A4C44" w:rsidRDefault="002560C9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Pankreatitída</w:t>
            </w:r>
          </w:p>
          <w:p w:rsidR="002560C9" w:rsidRPr="007A4C44" w:rsidRDefault="002560C9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Anorexia</w:t>
            </w:r>
          </w:p>
          <w:p w:rsidR="002560C9" w:rsidRPr="007A4C44" w:rsidRDefault="002560C9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Poruchy trávenia</w:t>
            </w:r>
          </w:p>
          <w:p w:rsidR="002560C9" w:rsidRPr="007A4C44" w:rsidRDefault="002560C9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Zápcha</w:t>
            </w:r>
          </w:p>
          <w:p w:rsidR="007522CC" w:rsidRPr="007A4C44" w:rsidRDefault="002560C9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  <w:r w:rsidRPr="007A4C44">
              <w:rPr>
                <w:rFonts w:ascii="Times New Roman" w:hAnsi="Times New Roman"/>
              </w:rPr>
              <w:t>Gastrointesti-nálne poruchy</w:t>
            </w:r>
          </w:p>
        </w:tc>
        <w:tc>
          <w:tcPr>
            <w:tcW w:w="1559" w:type="dxa"/>
          </w:tcPr>
          <w:p w:rsidR="002560C9" w:rsidRPr="007A4C44" w:rsidRDefault="002560C9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Kolitída</w:t>
            </w:r>
          </w:p>
          <w:p w:rsidR="002560C9" w:rsidRPr="007A4C44" w:rsidRDefault="002560C9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Gastritída</w:t>
            </w:r>
          </w:p>
          <w:p w:rsidR="007522CC" w:rsidRPr="007A4C44" w:rsidRDefault="002560C9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  <w:r w:rsidRPr="007A4C44">
              <w:rPr>
                <w:rFonts w:ascii="Times New Roman" w:hAnsi="Times New Roman"/>
              </w:rPr>
              <w:t>Krvácanie z ďasien</w:t>
            </w:r>
          </w:p>
        </w:tc>
        <w:tc>
          <w:tcPr>
            <w:tcW w:w="1418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</w:p>
        </w:tc>
      </w:tr>
      <w:tr w:rsidR="002560C9" w:rsidRPr="007A4C44" w:rsidTr="00916844">
        <w:tc>
          <w:tcPr>
            <w:tcW w:w="1870" w:type="dxa"/>
          </w:tcPr>
          <w:p w:rsidR="007522CC" w:rsidRPr="007A4C44" w:rsidRDefault="00D127FF" w:rsidP="007A4C4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lang w:bidi="or-IN"/>
              </w:rPr>
            </w:pPr>
            <w:r w:rsidRPr="007A4C44">
              <w:rPr>
                <w:rFonts w:ascii="Times New Roman" w:hAnsi="Times New Roman"/>
                <w:i/>
                <w:lang w:bidi="or-IN"/>
              </w:rPr>
              <w:t>Poruchy pečene a žlčových ciest</w:t>
            </w:r>
          </w:p>
        </w:tc>
        <w:tc>
          <w:tcPr>
            <w:tcW w:w="1244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</w:p>
        </w:tc>
        <w:tc>
          <w:tcPr>
            <w:tcW w:w="1417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</w:p>
        </w:tc>
        <w:tc>
          <w:tcPr>
            <w:tcW w:w="1559" w:type="dxa"/>
          </w:tcPr>
          <w:p w:rsidR="007522CC" w:rsidRPr="007A4C44" w:rsidRDefault="002560C9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  <w:r w:rsidRPr="007A4C44">
              <w:rPr>
                <w:rFonts w:ascii="Times New Roman" w:hAnsi="Times New Roman"/>
              </w:rPr>
              <w:t>Zvýšen</w:t>
            </w:r>
            <w:r w:rsidR="003B4082" w:rsidRPr="007A4C44">
              <w:rPr>
                <w:rFonts w:ascii="Times New Roman" w:hAnsi="Times New Roman"/>
              </w:rPr>
              <w:t>é</w:t>
            </w:r>
            <w:r w:rsidRPr="007A4C44">
              <w:rPr>
                <w:rFonts w:ascii="Times New Roman" w:hAnsi="Times New Roman"/>
              </w:rPr>
              <w:t xml:space="preserve"> hladin</w:t>
            </w:r>
            <w:r w:rsidR="003B4082" w:rsidRPr="007A4C44">
              <w:rPr>
                <w:rFonts w:ascii="Times New Roman" w:hAnsi="Times New Roman"/>
              </w:rPr>
              <w:t>y</w:t>
            </w:r>
            <w:r w:rsidRPr="007A4C44">
              <w:rPr>
                <w:rFonts w:ascii="Times New Roman" w:hAnsi="Times New Roman"/>
              </w:rPr>
              <w:t xml:space="preserve"> pečeňových enzýmov</w:t>
            </w:r>
          </w:p>
        </w:tc>
        <w:tc>
          <w:tcPr>
            <w:tcW w:w="1559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</w:p>
        </w:tc>
        <w:tc>
          <w:tcPr>
            <w:tcW w:w="1418" w:type="dxa"/>
          </w:tcPr>
          <w:p w:rsidR="007522CC" w:rsidRPr="007A4C44" w:rsidRDefault="00115895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  <w:r w:rsidRPr="007A4C44">
              <w:rPr>
                <w:rFonts w:ascii="Times New Roman" w:hAnsi="Times New Roman"/>
              </w:rPr>
              <w:t>Hepati</w:t>
            </w:r>
            <w:r w:rsidR="002560C9" w:rsidRPr="007A4C44">
              <w:rPr>
                <w:rFonts w:ascii="Times New Roman" w:hAnsi="Times New Roman"/>
              </w:rPr>
              <w:t>tída</w:t>
            </w:r>
          </w:p>
        </w:tc>
      </w:tr>
      <w:tr w:rsidR="002560C9" w:rsidRPr="007A4C44" w:rsidTr="00916844">
        <w:tc>
          <w:tcPr>
            <w:tcW w:w="1870" w:type="dxa"/>
          </w:tcPr>
          <w:p w:rsidR="007522CC" w:rsidRPr="007A4C44" w:rsidRDefault="00D127FF" w:rsidP="007A4C4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lang w:bidi="or-IN"/>
              </w:rPr>
            </w:pPr>
            <w:r w:rsidRPr="007A4C44">
              <w:rPr>
                <w:rFonts w:ascii="Times New Roman" w:hAnsi="Times New Roman"/>
                <w:i/>
                <w:lang w:bidi="or-IN"/>
              </w:rPr>
              <w:t>Poruchy kože a podkožného tkaniva</w:t>
            </w:r>
          </w:p>
        </w:tc>
        <w:tc>
          <w:tcPr>
            <w:tcW w:w="1244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</w:p>
        </w:tc>
        <w:tc>
          <w:tcPr>
            <w:tcW w:w="1417" w:type="dxa"/>
          </w:tcPr>
          <w:p w:rsidR="007522CC" w:rsidRPr="007A4C44" w:rsidRDefault="002560C9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  <w:r w:rsidRPr="007A4C44">
              <w:rPr>
                <w:rFonts w:ascii="Times New Roman" w:hAnsi="Times New Roman"/>
                <w:lang w:bidi="or-IN"/>
              </w:rPr>
              <w:t>Vyrážka</w:t>
            </w:r>
          </w:p>
        </w:tc>
        <w:tc>
          <w:tcPr>
            <w:tcW w:w="1559" w:type="dxa"/>
          </w:tcPr>
          <w:p w:rsidR="007522CC" w:rsidRPr="007A4C44" w:rsidRDefault="002560C9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  <w:r w:rsidRPr="007A4C44">
              <w:rPr>
                <w:rFonts w:ascii="Times New Roman" w:hAnsi="Times New Roman"/>
                <w:lang w:bidi="or-IN"/>
              </w:rPr>
              <w:t>Alopécia</w:t>
            </w:r>
          </w:p>
          <w:p w:rsidR="002560C9" w:rsidRPr="007A4C44" w:rsidRDefault="002560C9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  <w:r w:rsidRPr="007A4C44">
              <w:rPr>
                <w:rFonts w:ascii="Times New Roman" w:hAnsi="Times New Roman"/>
                <w:lang w:bidi="or-IN"/>
              </w:rPr>
              <w:t>Pruritus</w:t>
            </w:r>
          </w:p>
          <w:p w:rsidR="002560C9" w:rsidRPr="007A4C44" w:rsidRDefault="002560C9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  <w:r w:rsidRPr="007A4C44">
              <w:rPr>
                <w:rFonts w:ascii="Times New Roman" w:hAnsi="Times New Roman"/>
                <w:lang w:bidi="or-IN"/>
              </w:rPr>
              <w:t xml:space="preserve">Sfarbenie </w:t>
            </w:r>
            <w:r w:rsidR="003B4082" w:rsidRPr="007A4C44">
              <w:rPr>
                <w:rFonts w:ascii="Times New Roman" w:hAnsi="Times New Roman"/>
                <w:lang w:bidi="or-IN"/>
              </w:rPr>
              <w:t>kože</w:t>
            </w:r>
          </w:p>
        </w:tc>
        <w:tc>
          <w:tcPr>
            <w:tcW w:w="1559" w:type="dxa"/>
          </w:tcPr>
          <w:p w:rsidR="007522CC" w:rsidRPr="007A4C44" w:rsidRDefault="002560C9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  <w:r w:rsidRPr="007A4C44">
              <w:rPr>
                <w:rFonts w:ascii="Times New Roman" w:hAnsi="Times New Roman"/>
                <w:lang w:bidi="or-IN"/>
              </w:rPr>
              <w:t>Suchá koža</w:t>
            </w:r>
          </w:p>
        </w:tc>
        <w:tc>
          <w:tcPr>
            <w:tcW w:w="1418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</w:p>
        </w:tc>
      </w:tr>
      <w:tr w:rsidR="002560C9" w:rsidRPr="007A4C44" w:rsidTr="00916844">
        <w:tc>
          <w:tcPr>
            <w:tcW w:w="1870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  <w:r w:rsidRPr="007A4C44">
              <w:rPr>
                <w:rFonts w:ascii="Times New Roman" w:hAnsi="Times New Roman"/>
                <w:lang w:bidi="or-IN"/>
              </w:rPr>
              <w:t>Poruchy obličiek a močových ciest</w:t>
            </w:r>
          </w:p>
        </w:tc>
        <w:tc>
          <w:tcPr>
            <w:tcW w:w="1244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</w:p>
        </w:tc>
        <w:tc>
          <w:tcPr>
            <w:tcW w:w="1417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</w:p>
        </w:tc>
        <w:tc>
          <w:tcPr>
            <w:tcW w:w="1559" w:type="dxa"/>
          </w:tcPr>
          <w:p w:rsidR="002560C9" w:rsidRPr="007A4C44" w:rsidRDefault="002560C9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Artralgia</w:t>
            </w:r>
          </w:p>
          <w:p w:rsidR="002560C9" w:rsidRPr="007A4C44" w:rsidRDefault="002560C9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Myalgia</w:t>
            </w:r>
          </w:p>
          <w:p w:rsidR="007522CC" w:rsidRPr="007A4C44" w:rsidRDefault="002560C9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  <w:r w:rsidRPr="007A4C44">
              <w:rPr>
                <w:rFonts w:ascii="Times New Roman" w:hAnsi="Times New Roman"/>
              </w:rPr>
              <w:t>Bolesť chrbta</w:t>
            </w:r>
          </w:p>
        </w:tc>
        <w:tc>
          <w:tcPr>
            <w:tcW w:w="1559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</w:p>
        </w:tc>
        <w:tc>
          <w:tcPr>
            <w:tcW w:w="1418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</w:p>
        </w:tc>
      </w:tr>
      <w:tr w:rsidR="002560C9" w:rsidRPr="007A4C44" w:rsidTr="00916844">
        <w:tc>
          <w:tcPr>
            <w:tcW w:w="1870" w:type="dxa"/>
          </w:tcPr>
          <w:p w:rsidR="007522CC" w:rsidRPr="007A4C44" w:rsidRDefault="00D127FF" w:rsidP="007A4C4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lang w:bidi="or-IN"/>
              </w:rPr>
            </w:pPr>
            <w:r w:rsidRPr="007A4C44">
              <w:rPr>
                <w:rFonts w:ascii="Times New Roman" w:hAnsi="Times New Roman"/>
                <w:i/>
                <w:lang w:bidi="or-IN"/>
              </w:rPr>
              <w:t>Poruchy obličiek a močových ciest</w:t>
            </w:r>
          </w:p>
        </w:tc>
        <w:tc>
          <w:tcPr>
            <w:tcW w:w="1244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</w:p>
        </w:tc>
        <w:tc>
          <w:tcPr>
            <w:tcW w:w="1417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</w:p>
        </w:tc>
        <w:tc>
          <w:tcPr>
            <w:tcW w:w="1559" w:type="dxa"/>
          </w:tcPr>
          <w:p w:rsidR="007522CC" w:rsidRPr="007A4C44" w:rsidRDefault="002560C9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  <w:r w:rsidRPr="007A4C44">
              <w:rPr>
                <w:rFonts w:ascii="Times New Roman" w:hAnsi="Times New Roman"/>
                <w:lang w:bidi="or-IN"/>
              </w:rPr>
              <w:t>Impotencia</w:t>
            </w:r>
          </w:p>
        </w:tc>
        <w:tc>
          <w:tcPr>
            <w:tcW w:w="1559" w:type="dxa"/>
          </w:tcPr>
          <w:p w:rsidR="002560C9" w:rsidRPr="007A4C44" w:rsidRDefault="002560C9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  <w:r w:rsidRPr="007A4C44">
              <w:rPr>
                <w:rFonts w:ascii="Times New Roman" w:hAnsi="Times New Roman"/>
                <w:lang w:bidi="or-IN"/>
              </w:rPr>
              <w:t>Zlyhanie obličiek</w:t>
            </w:r>
          </w:p>
          <w:p w:rsidR="007522CC" w:rsidRPr="007A4C44" w:rsidRDefault="002560C9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  <w:r w:rsidRPr="007A4C44">
              <w:rPr>
                <w:rFonts w:ascii="Times New Roman" w:hAnsi="Times New Roman"/>
                <w:lang w:bidi="or-IN"/>
              </w:rPr>
              <w:t>Noktúria</w:t>
            </w:r>
          </w:p>
        </w:tc>
        <w:tc>
          <w:tcPr>
            <w:tcW w:w="1418" w:type="dxa"/>
          </w:tcPr>
          <w:p w:rsidR="007522CC" w:rsidRPr="007A4C44" w:rsidRDefault="00115895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  <w:r w:rsidRPr="007A4C44">
              <w:rPr>
                <w:rFonts w:ascii="Times New Roman" w:hAnsi="Times New Roman"/>
              </w:rPr>
              <w:t>Tubulointer-sti</w:t>
            </w:r>
            <w:r w:rsidR="002560C9" w:rsidRPr="007A4C44">
              <w:rPr>
                <w:rFonts w:ascii="Times New Roman" w:hAnsi="Times New Roman"/>
              </w:rPr>
              <w:t>ciálna nefritída</w:t>
            </w:r>
          </w:p>
        </w:tc>
      </w:tr>
      <w:tr w:rsidR="002560C9" w:rsidRPr="007A4C44" w:rsidTr="00916844">
        <w:tc>
          <w:tcPr>
            <w:tcW w:w="1870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lang w:bidi="or-IN"/>
              </w:rPr>
            </w:pPr>
            <w:r w:rsidRPr="007A4C44">
              <w:rPr>
                <w:rFonts w:ascii="Times New Roman" w:hAnsi="Times New Roman"/>
                <w:i/>
                <w:lang w:bidi="or-IN"/>
              </w:rPr>
              <w:t>Celkové poruchy a reakcie v mieste podania</w:t>
            </w:r>
          </w:p>
        </w:tc>
        <w:tc>
          <w:tcPr>
            <w:tcW w:w="1244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</w:p>
        </w:tc>
        <w:tc>
          <w:tcPr>
            <w:tcW w:w="1417" w:type="dxa"/>
          </w:tcPr>
          <w:p w:rsidR="007522CC" w:rsidRPr="007A4C44" w:rsidRDefault="002560C9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  <w:r w:rsidRPr="007A4C44">
              <w:rPr>
                <w:rFonts w:ascii="Times New Roman" w:hAnsi="Times New Roman"/>
                <w:lang w:bidi="or-IN"/>
              </w:rPr>
              <w:t>Únava</w:t>
            </w:r>
          </w:p>
        </w:tc>
        <w:tc>
          <w:tcPr>
            <w:tcW w:w="1559" w:type="dxa"/>
          </w:tcPr>
          <w:p w:rsidR="002560C9" w:rsidRPr="007A4C44" w:rsidRDefault="002560C9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Bolesť hrudníka</w:t>
            </w:r>
          </w:p>
          <w:p w:rsidR="002560C9" w:rsidRPr="007A4C44" w:rsidRDefault="002560C9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Horúčka triaška Nevoľnosť</w:t>
            </w:r>
          </w:p>
          <w:p w:rsidR="007522CC" w:rsidRPr="007A4C44" w:rsidRDefault="002560C9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  <w:r w:rsidRPr="007A4C44">
              <w:rPr>
                <w:rFonts w:ascii="Times New Roman" w:hAnsi="Times New Roman"/>
              </w:rPr>
              <w:t>Slabosť</w:t>
            </w:r>
          </w:p>
        </w:tc>
        <w:tc>
          <w:tcPr>
            <w:tcW w:w="1559" w:type="dxa"/>
          </w:tcPr>
          <w:p w:rsidR="002560C9" w:rsidRPr="007A4C44" w:rsidRDefault="002560C9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Príznaky podobné chrípke</w:t>
            </w:r>
          </w:p>
          <w:p w:rsidR="002560C9" w:rsidRPr="007A4C44" w:rsidRDefault="002560C9" w:rsidP="007A4C4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4C44">
              <w:rPr>
                <w:rFonts w:ascii="Times New Roman" w:hAnsi="Times New Roman"/>
              </w:rPr>
              <w:t>Bolesť</w:t>
            </w:r>
          </w:p>
          <w:p w:rsidR="007522CC" w:rsidRPr="007A4C44" w:rsidRDefault="002560C9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  <w:r w:rsidRPr="007A4C44">
              <w:rPr>
                <w:rFonts w:ascii="Times New Roman" w:hAnsi="Times New Roman"/>
              </w:rPr>
              <w:t>Asténia</w:t>
            </w:r>
          </w:p>
        </w:tc>
        <w:tc>
          <w:tcPr>
            <w:tcW w:w="1418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</w:p>
        </w:tc>
      </w:tr>
      <w:tr w:rsidR="002560C9" w:rsidRPr="007A4C44" w:rsidTr="00916844">
        <w:tc>
          <w:tcPr>
            <w:tcW w:w="1870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lang w:bidi="or-IN"/>
              </w:rPr>
            </w:pPr>
            <w:r w:rsidRPr="007A4C44">
              <w:rPr>
                <w:rFonts w:ascii="Times New Roman" w:hAnsi="Times New Roman"/>
                <w:i/>
                <w:lang w:bidi="or-IN"/>
              </w:rPr>
              <w:t>L</w:t>
            </w:r>
            <w:r w:rsidR="006A1F2D" w:rsidRPr="007A4C44">
              <w:rPr>
                <w:rFonts w:ascii="Times New Roman" w:hAnsi="Times New Roman"/>
                <w:i/>
                <w:lang w:bidi="or-IN"/>
              </w:rPr>
              <w:t>aboratórne a funkčné vyšetrenia</w:t>
            </w:r>
          </w:p>
        </w:tc>
        <w:tc>
          <w:tcPr>
            <w:tcW w:w="1244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</w:p>
        </w:tc>
        <w:tc>
          <w:tcPr>
            <w:tcW w:w="1417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</w:p>
        </w:tc>
        <w:tc>
          <w:tcPr>
            <w:tcW w:w="1559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</w:p>
        </w:tc>
        <w:tc>
          <w:tcPr>
            <w:tcW w:w="1559" w:type="dxa"/>
          </w:tcPr>
          <w:p w:rsidR="007522CC" w:rsidRPr="007A4C44" w:rsidRDefault="002560C9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  <w:r w:rsidRPr="007A4C44">
              <w:rPr>
                <w:rFonts w:ascii="Times New Roman" w:hAnsi="Times New Roman"/>
              </w:rPr>
              <w:t>Zvýšenie krvného kreatinínu</w:t>
            </w:r>
          </w:p>
        </w:tc>
        <w:tc>
          <w:tcPr>
            <w:tcW w:w="1418" w:type="dxa"/>
          </w:tcPr>
          <w:p w:rsidR="007522CC" w:rsidRPr="007A4C44" w:rsidRDefault="007522CC" w:rsidP="007A4C44">
            <w:pPr>
              <w:widowControl w:val="0"/>
              <w:spacing w:after="0" w:line="240" w:lineRule="auto"/>
              <w:rPr>
                <w:rFonts w:ascii="Times New Roman" w:hAnsi="Times New Roman"/>
                <w:lang w:bidi="or-IN"/>
              </w:rPr>
            </w:pPr>
          </w:p>
        </w:tc>
      </w:tr>
    </w:tbl>
    <w:p w:rsidR="007522CC" w:rsidRPr="007A4C44" w:rsidRDefault="007522CC" w:rsidP="007A4C44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7522CC" w:rsidRPr="007A4C44" w:rsidRDefault="008D5D67" w:rsidP="007A4C44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Pediatrická populácia</w:t>
      </w:r>
    </w:p>
    <w:p w:rsidR="00401503" w:rsidRPr="007A4C44" w:rsidRDefault="008D5D67" w:rsidP="007A4C44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48 pacientov vo veku 6</w:t>
      </w:r>
      <w:r w:rsidR="007522CC" w:rsidRPr="007A4C44">
        <w:rPr>
          <w:rFonts w:ascii="Times New Roman" w:hAnsi="Times New Roman"/>
        </w:rPr>
        <w:t xml:space="preserve"> </w:t>
      </w:r>
      <w:r w:rsidRPr="007A4C44">
        <w:rPr>
          <w:rFonts w:ascii="Times New Roman" w:hAnsi="Times New Roman"/>
        </w:rPr>
        <w:t>-</w:t>
      </w:r>
      <w:r w:rsidR="007522CC" w:rsidRPr="007A4C44">
        <w:rPr>
          <w:rFonts w:ascii="Times New Roman" w:hAnsi="Times New Roman"/>
        </w:rPr>
        <w:t xml:space="preserve"> </w:t>
      </w:r>
      <w:r w:rsidRPr="007A4C44">
        <w:rPr>
          <w:rFonts w:ascii="Times New Roman" w:hAnsi="Times New Roman"/>
        </w:rPr>
        <w:t xml:space="preserve">17 rokov (19 detí a 29 dospievajúcich) dostávalo anagrelid až 6,5 roka buď v klinických štúdiách alebo </w:t>
      </w:r>
      <w:r w:rsidR="003B4082" w:rsidRPr="007A4C44">
        <w:rPr>
          <w:rFonts w:ascii="Times New Roman" w:hAnsi="Times New Roman"/>
        </w:rPr>
        <w:t>boli</w:t>
      </w:r>
      <w:r w:rsidRPr="007A4C44">
        <w:rPr>
          <w:rFonts w:ascii="Times New Roman" w:hAnsi="Times New Roman"/>
        </w:rPr>
        <w:t xml:space="preserve"> súčasť</w:t>
      </w:r>
      <w:r w:rsidR="003B4082" w:rsidRPr="007A4C44">
        <w:rPr>
          <w:rFonts w:ascii="Times New Roman" w:hAnsi="Times New Roman"/>
        </w:rPr>
        <w:t>ou</w:t>
      </w:r>
      <w:r w:rsidRPr="007A4C44">
        <w:rPr>
          <w:rFonts w:ascii="Times New Roman" w:hAnsi="Times New Roman"/>
        </w:rPr>
        <w:t xml:space="preserve"> registra ochorenia (pozri časť 5.1). </w:t>
      </w:r>
    </w:p>
    <w:p w:rsidR="007522CC" w:rsidRPr="007A4C44" w:rsidRDefault="008D5D67" w:rsidP="007A4C44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 xml:space="preserve">Väčšina pozorovaných nežiaducich </w:t>
      </w:r>
      <w:r w:rsidR="003B4082" w:rsidRPr="007A4C44">
        <w:rPr>
          <w:rFonts w:ascii="Times New Roman" w:hAnsi="Times New Roman"/>
        </w:rPr>
        <w:t>udalostí</w:t>
      </w:r>
      <w:r w:rsidRPr="007A4C44">
        <w:rPr>
          <w:rFonts w:ascii="Times New Roman" w:hAnsi="Times New Roman"/>
        </w:rPr>
        <w:t xml:space="preserve"> je medzi tými, ktoré sú uvedené v SPC. Avšak údaje o bezpečnosti sú obmedzené a neumožňujú vykonať zmysluplné porovnanie medzi dospelými a pediatrickými pacientmi (pozri časť 4.4).</w:t>
      </w:r>
    </w:p>
    <w:p w:rsidR="008D5D67" w:rsidRPr="007A4C44" w:rsidRDefault="008D5D67" w:rsidP="007A4C44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7522CC" w:rsidRPr="007A4C44" w:rsidRDefault="007522CC" w:rsidP="007A4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noProof/>
          <w:u w:val="single"/>
        </w:rPr>
        <w:t>Hlásenie podozrení na nežiaduce reakcie</w:t>
      </w:r>
    </w:p>
    <w:p w:rsidR="007522CC" w:rsidRPr="007A4C44" w:rsidRDefault="007522CC" w:rsidP="007A4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  <w:r w:rsidRPr="007A4C44">
        <w:rPr>
          <w:rFonts w:ascii="Times New Roman" w:hAnsi="Times New Roman"/>
          <w:noProof/>
        </w:rPr>
        <w:t>Hlásenie podozrení na nežiaduce reakcie po registrácii lieku je dôležité.</w:t>
      </w:r>
      <w:r w:rsidRPr="007A4C44">
        <w:rPr>
          <w:rFonts w:ascii="Times New Roman" w:hAnsi="Times New Roman"/>
        </w:rPr>
        <w:t xml:space="preserve"> </w:t>
      </w:r>
      <w:r w:rsidRPr="007A4C44">
        <w:rPr>
          <w:rFonts w:ascii="Times New Roman" w:hAnsi="Times New Roman"/>
          <w:noProof/>
        </w:rPr>
        <w:t>Umožňuje priebežné monitorovanie pomeru prínosu a rizika lieku.</w:t>
      </w:r>
      <w:r w:rsidRPr="007A4C44">
        <w:rPr>
          <w:rFonts w:ascii="Times New Roman" w:hAnsi="Times New Roman"/>
        </w:rPr>
        <w:t xml:space="preserve"> Od </w:t>
      </w:r>
      <w:r w:rsidRPr="007A4C44">
        <w:rPr>
          <w:rFonts w:ascii="Times New Roman" w:hAnsi="Times New Roman"/>
          <w:noProof/>
        </w:rPr>
        <w:t xml:space="preserve">zdravotníckych pracovníkov sa vyžaduje, aby hlásili akékoľvek podozrenia na nežiaduce reakcie na </w:t>
      </w:r>
      <w:r w:rsidRPr="007A4C44">
        <w:rPr>
          <w:rFonts w:ascii="Times New Roman" w:hAnsi="Times New Roman"/>
          <w:noProof/>
          <w:highlight w:val="lightGray"/>
        </w:rPr>
        <w:t>národné centrum hlásenia uvedené v </w:t>
      </w:r>
      <w:hyperlink r:id="rId7" w:history="1">
        <w:r w:rsidRPr="007A4C44">
          <w:rPr>
            <w:rStyle w:val="Hypertextovprepojenie"/>
            <w:rFonts w:ascii="Times New Roman" w:hAnsi="Times New Roman"/>
            <w:noProof/>
            <w:highlight w:val="lightGray"/>
          </w:rPr>
          <w:t>Prílohe V</w:t>
        </w:r>
      </w:hyperlink>
      <w:r w:rsidRPr="007A4C44">
        <w:rPr>
          <w:rFonts w:ascii="Times New Roman" w:hAnsi="Times New Roman"/>
          <w:noProof/>
        </w:rPr>
        <w:t>.</w:t>
      </w:r>
    </w:p>
    <w:p w:rsidR="007522CC" w:rsidRPr="007A4C44" w:rsidRDefault="007522CC" w:rsidP="007A4C44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8D5D67" w:rsidRPr="007A4C44" w:rsidRDefault="008D5D67" w:rsidP="007A4C44">
      <w:pPr>
        <w:pStyle w:val="Odsekzoznamu"/>
        <w:widowControl w:val="0"/>
        <w:numPr>
          <w:ilvl w:val="1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 w:rsidRPr="007A4C44">
        <w:rPr>
          <w:rFonts w:ascii="Times New Roman" w:hAnsi="Times New Roman"/>
          <w:b/>
        </w:rPr>
        <w:t>Predávkovanie</w:t>
      </w:r>
    </w:p>
    <w:p w:rsidR="008D5D67" w:rsidRPr="007A4C44" w:rsidRDefault="008D5D67" w:rsidP="007A4C44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4D7943" w:rsidRPr="007A4C44" w:rsidRDefault="008D5D67" w:rsidP="007A4C44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 xml:space="preserve">Po </w:t>
      </w:r>
      <w:r w:rsidR="00401503" w:rsidRPr="007A4C44">
        <w:rPr>
          <w:rFonts w:ascii="Times New Roman" w:hAnsi="Times New Roman"/>
        </w:rPr>
        <w:t>uvedení lieku na trh</w:t>
      </w:r>
      <w:r w:rsidRPr="007A4C44">
        <w:rPr>
          <w:rFonts w:ascii="Times New Roman" w:hAnsi="Times New Roman"/>
        </w:rPr>
        <w:t xml:space="preserve"> boli hlásené prípady úmyselného predávkovania anagrelidom. Medzi </w:t>
      </w:r>
      <w:r w:rsidR="00401503" w:rsidRPr="007A4C44">
        <w:rPr>
          <w:rFonts w:ascii="Times New Roman" w:hAnsi="Times New Roman"/>
        </w:rPr>
        <w:t>hlásené</w:t>
      </w:r>
      <w:r w:rsidRPr="007A4C44">
        <w:rPr>
          <w:rFonts w:ascii="Times New Roman" w:hAnsi="Times New Roman"/>
        </w:rPr>
        <w:t xml:space="preserve"> príznaky patrili sínusová tachykardia a vracanie. Príznaky </w:t>
      </w:r>
      <w:r w:rsidR="00401503" w:rsidRPr="007A4C44">
        <w:rPr>
          <w:rFonts w:ascii="Times New Roman" w:hAnsi="Times New Roman"/>
        </w:rPr>
        <w:t>odzneli po zavedení</w:t>
      </w:r>
      <w:r w:rsidRPr="007A4C44">
        <w:rPr>
          <w:rFonts w:ascii="Times New Roman" w:hAnsi="Times New Roman"/>
        </w:rPr>
        <w:t xml:space="preserve"> konzervatívny</w:t>
      </w:r>
      <w:r w:rsidR="00401503" w:rsidRPr="007A4C44">
        <w:rPr>
          <w:rFonts w:ascii="Times New Roman" w:hAnsi="Times New Roman"/>
        </w:rPr>
        <w:t>ch</w:t>
      </w:r>
      <w:r w:rsidRPr="007A4C44">
        <w:rPr>
          <w:rFonts w:ascii="Times New Roman" w:hAnsi="Times New Roman"/>
        </w:rPr>
        <w:t xml:space="preserve"> </w:t>
      </w:r>
      <w:r w:rsidR="00401503" w:rsidRPr="007A4C44">
        <w:rPr>
          <w:rFonts w:ascii="Times New Roman" w:hAnsi="Times New Roman"/>
        </w:rPr>
        <w:t>opatrení</w:t>
      </w:r>
      <w:r w:rsidRPr="007A4C44">
        <w:rPr>
          <w:rFonts w:ascii="Times New Roman" w:hAnsi="Times New Roman"/>
        </w:rPr>
        <w:t>.</w:t>
      </w:r>
    </w:p>
    <w:p w:rsidR="004D7943" w:rsidRPr="007A4C44" w:rsidRDefault="004D7943" w:rsidP="007A4C44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4D7943" w:rsidRPr="007A4C44" w:rsidRDefault="008D5D67" w:rsidP="007A4C44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Ukázalo sa, že anagrelid pri dávkach vyšších ako sa odporúča, spôsobuje zníženie krvného tlaku s príležitostnými prípadmi hypotenzie. Jediná 5 mg dávka anagrelidu môže viesť k poklesu krvného tlaku, ktorý vo väčšine prípadov sprevádzajú závraty.</w:t>
      </w:r>
    </w:p>
    <w:p w:rsidR="004D7943" w:rsidRPr="007A4C44" w:rsidRDefault="004D7943" w:rsidP="007A4C44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8D5D67" w:rsidRPr="007A4C44" w:rsidRDefault="008D5D67" w:rsidP="007A4C44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Špecifická protilátka pre anagrelid n</w:t>
      </w:r>
      <w:r w:rsidR="00401503" w:rsidRPr="007A4C44">
        <w:rPr>
          <w:rFonts w:ascii="Times New Roman" w:hAnsi="Times New Roman"/>
        </w:rPr>
        <w:t>ie je známa</w:t>
      </w:r>
      <w:r w:rsidRPr="007A4C44">
        <w:rPr>
          <w:rFonts w:ascii="Times New Roman" w:hAnsi="Times New Roman"/>
        </w:rPr>
        <w:t>. V prípade predávkovania je potrebn</w:t>
      </w:r>
      <w:r w:rsidR="00401503" w:rsidRPr="007A4C44">
        <w:rPr>
          <w:rFonts w:ascii="Times New Roman" w:hAnsi="Times New Roman"/>
        </w:rPr>
        <w:t>é pozorné sledovanie klinického stavu pacienta,</w:t>
      </w:r>
      <w:r w:rsidR="00401503" w:rsidRPr="007A4C44" w:rsidDel="00401503">
        <w:rPr>
          <w:rFonts w:ascii="Times New Roman" w:hAnsi="Times New Roman"/>
        </w:rPr>
        <w:t xml:space="preserve"> </w:t>
      </w:r>
      <w:r w:rsidRPr="007A4C44">
        <w:rPr>
          <w:rFonts w:ascii="Times New Roman" w:hAnsi="Times New Roman"/>
        </w:rPr>
        <w:t>ktor</w:t>
      </w:r>
      <w:r w:rsidR="00401503" w:rsidRPr="007A4C44">
        <w:rPr>
          <w:rFonts w:ascii="Times New Roman" w:hAnsi="Times New Roman"/>
        </w:rPr>
        <w:t>é</w:t>
      </w:r>
      <w:r w:rsidRPr="007A4C44">
        <w:rPr>
          <w:rFonts w:ascii="Times New Roman" w:hAnsi="Times New Roman"/>
        </w:rPr>
        <w:t xml:space="preserve"> zahŕňa monitorovanie počtu krvných doštičiek pre možnú trombocytopéniu. Dávkovanie by sa malo znížiť, alebo ak je potrebné aj prerušiť, až kým sa počet trombocytov nevráti do </w:t>
      </w:r>
      <w:r w:rsidR="00401503" w:rsidRPr="007A4C44">
        <w:rPr>
          <w:rFonts w:ascii="Times New Roman" w:hAnsi="Times New Roman"/>
        </w:rPr>
        <w:t xml:space="preserve">rozmedzia </w:t>
      </w:r>
      <w:r w:rsidRPr="007A4C44">
        <w:rPr>
          <w:rFonts w:ascii="Times New Roman" w:hAnsi="Times New Roman"/>
        </w:rPr>
        <w:t>normálnych hodnôt.</w:t>
      </w: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8D5D67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EC32A3" w:rsidP="007A4C44">
      <w:pPr>
        <w:pStyle w:val="Odsekzoznamu"/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/>
          <w:b/>
        </w:rPr>
      </w:pPr>
      <w:r w:rsidRPr="007A4C44">
        <w:rPr>
          <w:rFonts w:ascii="Times New Roman" w:hAnsi="Times New Roman"/>
          <w:b/>
        </w:rPr>
        <w:t>FARMAKOLOGICKÉ VLASTNOSTI</w:t>
      </w: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EC32A3" w:rsidP="007A4C44">
      <w:pPr>
        <w:widowControl w:val="0"/>
        <w:spacing w:after="0" w:line="240" w:lineRule="auto"/>
        <w:ind w:left="567" w:hanging="567"/>
        <w:rPr>
          <w:rFonts w:ascii="Times New Roman" w:hAnsi="Times New Roman"/>
          <w:b/>
        </w:rPr>
      </w:pPr>
      <w:r w:rsidRPr="007A4C44">
        <w:rPr>
          <w:rFonts w:ascii="Times New Roman" w:hAnsi="Times New Roman"/>
          <w:b/>
        </w:rPr>
        <w:t>5.1</w:t>
      </w:r>
      <w:r w:rsidRPr="007A4C44">
        <w:rPr>
          <w:rFonts w:ascii="Times New Roman" w:hAnsi="Times New Roman"/>
          <w:b/>
        </w:rPr>
        <w:tab/>
        <w:t>Farmakodynamické vlastnosti</w:t>
      </w: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4D7943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 xml:space="preserve">Farmakoterapeutická skupina: </w:t>
      </w:r>
      <w:r w:rsidR="00401503" w:rsidRPr="007A4C44">
        <w:rPr>
          <w:rFonts w:ascii="Times New Roman" w:hAnsi="Times New Roman"/>
        </w:rPr>
        <w:t xml:space="preserve">Cytostatiká, </w:t>
      </w:r>
      <w:r w:rsidRPr="007A4C44">
        <w:rPr>
          <w:rFonts w:ascii="Times New Roman" w:hAnsi="Times New Roman"/>
        </w:rPr>
        <w:t>Iné cytostatiká, ATC kód: L01XX35.</w:t>
      </w:r>
    </w:p>
    <w:p w:rsidR="004D7943" w:rsidRPr="007A4C44" w:rsidRDefault="004D794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4D7943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Mechanizmus účinku</w:t>
      </w:r>
    </w:p>
    <w:p w:rsidR="004D7943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Presný mechanizmus účinku, ktorým anagrelid znižuje počet krvných doštičiek, nie je známy. V štúdiách s bunkovými kultúrami anagrelid tlmil expresiu transkripčných faktorov, vrátane GATA-1 a FOG-1 potrebných pre megakaryocytopoézu, čo nakoniec viedlo k zníženiu produkcie krvných doštičiek.</w:t>
      </w:r>
    </w:p>
    <w:p w:rsidR="004D7943" w:rsidRPr="007A4C44" w:rsidRDefault="004D794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4D7943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 xml:space="preserve">Štúdie ľudskej megakaryocytopoézy </w:t>
      </w:r>
      <w:r w:rsidRPr="007A4C44">
        <w:rPr>
          <w:rFonts w:ascii="Times New Roman" w:hAnsi="Times New Roman"/>
          <w:i/>
        </w:rPr>
        <w:t>in vitro</w:t>
      </w:r>
      <w:r w:rsidRPr="007A4C44">
        <w:rPr>
          <w:rFonts w:ascii="Times New Roman" w:hAnsi="Times New Roman"/>
        </w:rPr>
        <w:t xml:space="preserve"> potvrdili, že inhibičné pôsobenie anagrelidu na tvorbu krvných doštičiek u človeka je sprostredkované </w:t>
      </w:r>
      <w:r w:rsidR="00401503" w:rsidRPr="007A4C44">
        <w:rPr>
          <w:rFonts w:ascii="Times New Roman" w:hAnsi="Times New Roman"/>
        </w:rPr>
        <w:t>spomalením</w:t>
      </w:r>
      <w:r w:rsidRPr="007A4C44">
        <w:rPr>
          <w:rFonts w:ascii="Times New Roman" w:hAnsi="Times New Roman"/>
        </w:rPr>
        <w:t xml:space="preserve"> dozrievania megakaryocytov</w:t>
      </w:r>
      <w:r w:rsidR="00401503" w:rsidRPr="007A4C44">
        <w:rPr>
          <w:rFonts w:ascii="Times New Roman" w:hAnsi="Times New Roman"/>
        </w:rPr>
        <w:t>,</w:t>
      </w:r>
      <w:r w:rsidRPr="007A4C44">
        <w:rPr>
          <w:rFonts w:ascii="Times New Roman" w:hAnsi="Times New Roman"/>
        </w:rPr>
        <w:t xml:space="preserve"> zmenšovaním ich veľkosti</w:t>
      </w:r>
      <w:r w:rsidR="00401503" w:rsidRPr="007A4C44">
        <w:rPr>
          <w:rFonts w:ascii="Times New Roman" w:hAnsi="Times New Roman"/>
        </w:rPr>
        <w:t xml:space="preserve"> a znížením ploidity</w:t>
      </w:r>
      <w:r w:rsidRPr="007A4C44">
        <w:rPr>
          <w:rFonts w:ascii="Times New Roman" w:hAnsi="Times New Roman"/>
        </w:rPr>
        <w:t xml:space="preserve">. Dôkaz podobného pôsobenia </w:t>
      </w:r>
      <w:r w:rsidRPr="007A4C44">
        <w:rPr>
          <w:rFonts w:ascii="Times New Roman" w:hAnsi="Times New Roman"/>
          <w:i/>
        </w:rPr>
        <w:t>in vivo</w:t>
      </w:r>
      <w:r w:rsidRPr="007A4C44">
        <w:rPr>
          <w:rFonts w:ascii="Times New Roman" w:hAnsi="Times New Roman"/>
        </w:rPr>
        <w:t xml:space="preserve"> sa pozoroval </w:t>
      </w:r>
      <w:r w:rsidR="003337D0" w:rsidRPr="007A4C44">
        <w:rPr>
          <w:rFonts w:ascii="Times New Roman" w:hAnsi="Times New Roman"/>
        </w:rPr>
        <w:t>na</w:t>
      </w:r>
      <w:r w:rsidRPr="007A4C44">
        <w:rPr>
          <w:rFonts w:ascii="Times New Roman" w:hAnsi="Times New Roman"/>
        </w:rPr>
        <w:t xml:space="preserve"> bioptických vzorkách kostnej drene od liečených pacientov.</w:t>
      </w:r>
    </w:p>
    <w:p w:rsidR="004D7943" w:rsidRPr="007A4C44" w:rsidRDefault="004D794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4D7943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Anagrelid je inhibítorom fosfodiesterázy III</w:t>
      </w:r>
      <w:r w:rsidR="003337D0" w:rsidRPr="007A4C44">
        <w:rPr>
          <w:rFonts w:ascii="Times New Roman" w:hAnsi="Times New Roman"/>
        </w:rPr>
        <w:t xml:space="preserve"> cyklického AMP</w:t>
      </w:r>
      <w:r w:rsidRPr="007A4C44">
        <w:rPr>
          <w:rFonts w:ascii="Times New Roman" w:hAnsi="Times New Roman"/>
        </w:rPr>
        <w:t>.</w:t>
      </w:r>
    </w:p>
    <w:p w:rsidR="004D7943" w:rsidRPr="007A4C44" w:rsidRDefault="004D794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4D7943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Klinická účinnosť a</w:t>
      </w:r>
      <w:r w:rsidR="004D7943" w:rsidRPr="007A4C44">
        <w:rPr>
          <w:rFonts w:ascii="Times New Roman" w:hAnsi="Times New Roman"/>
          <w:u w:val="single"/>
        </w:rPr>
        <w:t> </w:t>
      </w:r>
      <w:r w:rsidRPr="007A4C44">
        <w:rPr>
          <w:rFonts w:ascii="Times New Roman" w:hAnsi="Times New Roman"/>
          <w:u w:val="single"/>
        </w:rPr>
        <w:t>bezpečnosť</w:t>
      </w:r>
    </w:p>
    <w:p w:rsidR="004D7943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 xml:space="preserve">Bezpečnosť a účinnosť anagrelidu ako látky znižujúcej </w:t>
      </w:r>
      <w:r w:rsidR="003337D0" w:rsidRPr="007A4C44">
        <w:rPr>
          <w:rFonts w:ascii="Times New Roman" w:hAnsi="Times New Roman"/>
        </w:rPr>
        <w:t xml:space="preserve">počet </w:t>
      </w:r>
      <w:r w:rsidRPr="007A4C44">
        <w:rPr>
          <w:rFonts w:ascii="Times New Roman" w:hAnsi="Times New Roman"/>
        </w:rPr>
        <w:t>krvn</w:t>
      </w:r>
      <w:r w:rsidR="003337D0" w:rsidRPr="007A4C44">
        <w:rPr>
          <w:rFonts w:ascii="Times New Roman" w:hAnsi="Times New Roman"/>
        </w:rPr>
        <w:t>ých</w:t>
      </w:r>
      <w:r w:rsidRPr="007A4C44">
        <w:rPr>
          <w:rFonts w:ascii="Times New Roman" w:hAnsi="Times New Roman"/>
        </w:rPr>
        <w:t xml:space="preserve"> doštič</w:t>
      </w:r>
      <w:r w:rsidR="003337D0" w:rsidRPr="007A4C44">
        <w:rPr>
          <w:rFonts w:ascii="Times New Roman" w:hAnsi="Times New Roman"/>
        </w:rPr>
        <w:t>iek</w:t>
      </w:r>
      <w:r w:rsidRPr="007A4C44">
        <w:rPr>
          <w:rFonts w:ascii="Times New Roman" w:hAnsi="Times New Roman"/>
        </w:rPr>
        <w:t xml:space="preserve"> sa hodnotili v štyroch otvorených, ne</w:t>
      </w:r>
      <w:r w:rsidR="003337D0" w:rsidRPr="007A4C44">
        <w:rPr>
          <w:rFonts w:ascii="Times New Roman" w:hAnsi="Times New Roman"/>
        </w:rPr>
        <w:t>kontrolovaných</w:t>
      </w:r>
      <w:r w:rsidRPr="007A4C44">
        <w:rPr>
          <w:rFonts w:ascii="Times New Roman" w:hAnsi="Times New Roman"/>
        </w:rPr>
        <w:t xml:space="preserve"> klinických štúdiách (čísla štúdií: 700-012, 700-014, 700-999 a 13970-301) a zahŕňali viac ako 4</w:t>
      </w:r>
      <w:r w:rsidR="003337D0" w:rsidRPr="007A4C44">
        <w:rPr>
          <w:rFonts w:ascii="Times New Roman" w:hAnsi="Times New Roman"/>
        </w:rPr>
        <w:t> </w:t>
      </w:r>
      <w:r w:rsidRPr="007A4C44">
        <w:rPr>
          <w:rFonts w:ascii="Times New Roman" w:hAnsi="Times New Roman"/>
        </w:rPr>
        <w:t>000 pacientov s myeloproliferatívnymi neoplazmami (MPN). U pacientov s esenciáln</w:t>
      </w:r>
      <w:r w:rsidR="003337D0" w:rsidRPr="007A4C44">
        <w:rPr>
          <w:rFonts w:ascii="Times New Roman" w:hAnsi="Times New Roman"/>
        </w:rPr>
        <w:t>ou</w:t>
      </w:r>
      <w:r w:rsidRPr="007A4C44">
        <w:rPr>
          <w:rFonts w:ascii="Times New Roman" w:hAnsi="Times New Roman"/>
        </w:rPr>
        <w:t xml:space="preserve"> trombocytémi</w:t>
      </w:r>
      <w:r w:rsidR="003337D0" w:rsidRPr="007A4C44">
        <w:rPr>
          <w:rFonts w:ascii="Times New Roman" w:hAnsi="Times New Roman"/>
        </w:rPr>
        <w:t>o</w:t>
      </w:r>
      <w:r w:rsidRPr="007A4C44">
        <w:rPr>
          <w:rFonts w:ascii="Times New Roman" w:hAnsi="Times New Roman"/>
        </w:rPr>
        <w:t>u bola úplná odpoveď definovaná ako zníženie počtu krvných doštičiek na hladinu pod 600 x 10</w:t>
      </w:r>
      <w:r w:rsidRPr="007A4C44">
        <w:rPr>
          <w:rFonts w:ascii="Times New Roman" w:hAnsi="Times New Roman"/>
          <w:vertAlign w:val="superscript"/>
        </w:rPr>
        <w:t>9</w:t>
      </w:r>
      <w:r w:rsidRPr="007A4C44">
        <w:rPr>
          <w:rFonts w:ascii="Times New Roman" w:hAnsi="Times New Roman"/>
        </w:rPr>
        <w:t xml:space="preserve"> /l alebo viac ako 50</w:t>
      </w:r>
      <w:r w:rsidR="00115895" w:rsidRPr="007A4C44">
        <w:rPr>
          <w:rFonts w:ascii="Times New Roman" w:hAnsi="Times New Roman"/>
        </w:rPr>
        <w:t xml:space="preserve"> </w:t>
      </w:r>
      <w:r w:rsidRPr="007A4C44">
        <w:rPr>
          <w:rFonts w:ascii="Times New Roman" w:hAnsi="Times New Roman"/>
        </w:rPr>
        <w:t>%</w:t>
      </w:r>
      <w:r w:rsidR="00115895" w:rsidRPr="007A4C44">
        <w:rPr>
          <w:rFonts w:ascii="Times New Roman" w:hAnsi="Times New Roman"/>
        </w:rPr>
        <w:t xml:space="preserve"> </w:t>
      </w:r>
      <w:r w:rsidRPr="007A4C44">
        <w:rPr>
          <w:rFonts w:ascii="Times New Roman" w:hAnsi="Times New Roman"/>
        </w:rPr>
        <w:t xml:space="preserve">zníženie </w:t>
      </w:r>
      <w:r w:rsidR="00E972A9" w:rsidRPr="007A4C44">
        <w:rPr>
          <w:rFonts w:ascii="Times New Roman" w:hAnsi="Times New Roman"/>
        </w:rPr>
        <w:t xml:space="preserve">ich počtu v porovnaní s </w:t>
      </w:r>
      <w:r w:rsidRPr="007A4C44">
        <w:rPr>
          <w:rFonts w:ascii="Times New Roman" w:hAnsi="Times New Roman"/>
        </w:rPr>
        <w:t>počiatočn</w:t>
      </w:r>
      <w:r w:rsidR="00E972A9" w:rsidRPr="007A4C44">
        <w:rPr>
          <w:rFonts w:ascii="Times New Roman" w:hAnsi="Times New Roman"/>
        </w:rPr>
        <w:t>ým</w:t>
      </w:r>
      <w:r w:rsidRPr="007A4C44">
        <w:rPr>
          <w:rFonts w:ascii="Times New Roman" w:hAnsi="Times New Roman"/>
        </w:rPr>
        <w:t xml:space="preserve"> stav</w:t>
      </w:r>
      <w:r w:rsidR="00E972A9" w:rsidRPr="007A4C44">
        <w:rPr>
          <w:rFonts w:ascii="Times New Roman" w:hAnsi="Times New Roman"/>
        </w:rPr>
        <w:t>om</w:t>
      </w:r>
      <w:r w:rsidRPr="007A4C44">
        <w:rPr>
          <w:rFonts w:ascii="Times New Roman" w:hAnsi="Times New Roman"/>
        </w:rPr>
        <w:t xml:space="preserve"> a udržanie tohto zníženia po dobu najmenej 4 týždňov. V štúdiách 700-012, 700-014, 700-999 a 13970-301 sa doba úplnej odpovede pohybovala od 4 do12 týždňov. Klinický prospech z hľadiska trombo-hemoragických príhod nebol presvedčivo dokázaný.</w:t>
      </w:r>
    </w:p>
    <w:p w:rsidR="004D7943" w:rsidRPr="007A4C44" w:rsidRDefault="004D794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4D7943" w:rsidRPr="007A4C44" w:rsidRDefault="00E972A9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Vplyv</w:t>
      </w:r>
      <w:r w:rsidR="008D5D67" w:rsidRPr="007A4C44">
        <w:rPr>
          <w:rFonts w:ascii="Times New Roman" w:hAnsi="Times New Roman"/>
          <w:u w:val="single"/>
        </w:rPr>
        <w:t xml:space="preserve"> na srdcovú frekvenciu a QTc interval</w:t>
      </w:r>
    </w:p>
    <w:p w:rsidR="004D7943" w:rsidRPr="007A4C44" w:rsidRDefault="00E972A9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 xml:space="preserve">Vplyv </w:t>
      </w:r>
      <w:r w:rsidR="008D5D67" w:rsidRPr="007A4C44">
        <w:rPr>
          <w:rFonts w:ascii="Times New Roman" w:hAnsi="Times New Roman"/>
        </w:rPr>
        <w:t xml:space="preserve">dvoch </w:t>
      </w:r>
      <w:r w:rsidRPr="007A4C44">
        <w:rPr>
          <w:rFonts w:ascii="Times New Roman" w:hAnsi="Times New Roman"/>
        </w:rPr>
        <w:t xml:space="preserve">veľkostí </w:t>
      </w:r>
      <w:r w:rsidR="008D5D67" w:rsidRPr="007A4C44">
        <w:rPr>
          <w:rFonts w:ascii="Times New Roman" w:hAnsi="Times New Roman"/>
        </w:rPr>
        <w:t>dávok anagrelidu (</w:t>
      </w:r>
      <w:r w:rsidRPr="007A4C44">
        <w:rPr>
          <w:rFonts w:ascii="Times New Roman" w:hAnsi="Times New Roman"/>
        </w:rPr>
        <w:t xml:space="preserve">jednorazové dávky </w:t>
      </w:r>
      <w:r w:rsidR="008D5D67" w:rsidRPr="007A4C44">
        <w:rPr>
          <w:rFonts w:ascii="Times New Roman" w:hAnsi="Times New Roman"/>
        </w:rPr>
        <w:t xml:space="preserve">0,5 mg a 2,5) na srdcovú frekvenciu a QTc interval bol hodnotený v dvojito zaslepenej, randomizovanej, placebom a </w:t>
      </w:r>
      <w:r w:rsidRPr="007A4C44">
        <w:rPr>
          <w:rFonts w:ascii="Times New Roman" w:hAnsi="Times New Roman"/>
        </w:rPr>
        <w:t>aktívnym komparátorom</w:t>
      </w:r>
      <w:r w:rsidR="008D5D67" w:rsidRPr="007A4C44">
        <w:rPr>
          <w:rFonts w:ascii="Times New Roman" w:hAnsi="Times New Roman"/>
        </w:rPr>
        <w:t xml:space="preserve"> kontrolovanej, skríženej štúdií u zdravých dospelých mužov a žien.</w:t>
      </w:r>
    </w:p>
    <w:p w:rsidR="004D7943" w:rsidRPr="007A4C44" w:rsidRDefault="004D794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4D7943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 xml:space="preserve">K vzostupu srdcovej frekvencie v závislosti </w:t>
      </w:r>
      <w:r w:rsidR="00E972A9" w:rsidRPr="007A4C44">
        <w:rPr>
          <w:rFonts w:ascii="Times New Roman" w:hAnsi="Times New Roman"/>
        </w:rPr>
        <w:t>od</w:t>
      </w:r>
      <w:r w:rsidRPr="007A4C44">
        <w:rPr>
          <w:rFonts w:ascii="Times New Roman" w:hAnsi="Times New Roman"/>
        </w:rPr>
        <w:t xml:space="preserve"> dávk</w:t>
      </w:r>
      <w:r w:rsidR="00E972A9" w:rsidRPr="007A4C44">
        <w:rPr>
          <w:rFonts w:ascii="Times New Roman" w:hAnsi="Times New Roman"/>
        </w:rPr>
        <w:t>y</w:t>
      </w:r>
      <w:r w:rsidRPr="007A4C44">
        <w:rPr>
          <w:rFonts w:ascii="Times New Roman" w:hAnsi="Times New Roman"/>
        </w:rPr>
        <w:t xml:space="preserve"> došlo v priebehu prvých 12 hodín, pričom maximálny vzostup sa objavil v čase maximálnej koncentrácie. Maximálna zmena priemernej tepovej frekvencie nastala za 2 hodiny po podaní lieku a bola +7,8 </w:t>
      </w:r>
      <w:r w:rsidR="00E972A9" w:rsidRPr="007A4C44">
        <w:rPr>
          <w:rFonts w:ascii="Times New Roman" w:hAnsi="Times New Roman"/>
        </w:rPr>
        <w:t>úderov</w:t>
      </w:r>
      <w:r w:rsidRPr="007A4C44">
        <w:rPr>
          <w:rFonts w:ascii="Times New Roman" w:hAnsi="Times New Roman"/>
        </w:rPr>
        <w:t xml:space="preserve"> za minútu pre dávku 0,5 mg a +29,1 </w:t>
      </w:r>
      <w:r w:rsidR="00E972A9" w:rsidRPr="007A4C44">
        <w:rPr>
          <w:rFonts w:ascii="Times New Roman" w:hAnsi="Times New Roman"/>
        </w:rPr>
        <w:t>úderov</w:t>
      </w:r>
      <w:r w:rsidRPr="007A4C44">
        <w:rPr>
          <w:rFonts w:ascii="Times New Roman" w:hAnsi="Times New Roman"/>
        </w:rPr>
        <w:t xml:space="preserve"> za minútu pre dávku 2,5 mg.</w:t>
      </w:r>
    </w:p>
    <w:p w:rsidR="004D7943" w:rsidRPr="007A4C44" w:rsidRDefault="004D794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4D7943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Prechodné predĺženie priemerného QTc bolo pozorované u oboch dávok v čase zrýchlenia tepovej frekvencie a maximálne zmeny priemerného QTcF (</w:t>
      </w:r>
      <w:r w:rsidR="00E972A9" w:rsidRPr="007A4C44">
        <w:rPr>
          <w:rFonts w:ascii="Times New Roman" w:hAnsi="Times New Roman"/>
        </w:rPr>
        <w:t>QT interval korigovaný metódou podľa Fridericia</w:t>
      </w:r>
      <w:r w:rsidRPr="007A4C44">
        <w:rPr>
          <w:rFonts w:ascii="Times New Roman" w:hAnsi="Times New Roman"/>
        </w:rPr>
        <w:t>) boli +5,0 ms po 2 hodinách pre dávku 0,5 mg a +10,0 ms po 1 h</w:t>
      </w:r>
      <w:r w:rsidR="004D7943" w:rsidRPr="007A4C44">
        <w:rPr>
          <w:rFonts w:ascii="Times New Roman" w:hAnsi="Times New Roman"/>
        </w:rPr>
        <w:t>odine pre dávku 2,5 mg.</w:t>
      </w:r>
    </w:p>
    <w:p w:rsidR="004D7943" w:rsidRPr="007A4C44" w:rsidRDefault="004D794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4D7943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Pediatrická populácia</w:t>
      </w:r>
    </w:p>
    <w:p w:rsidR="00E972A9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 xml:space="preserve">V otvorenej klinickej štúdii u 8 detí a 10 dospievajúcich (vrátane pacientov, ktorí </w:t>
      </w:r>
      <w:r w:rsidR="00E972A9" w:rsidRPr="007A4C44">
        <w:rPr>
          <w:rFonts w:ascii="Times New Roman" w:hAnsi="Times New Roman"/>
        </w:rPr>
        <w:t>predtým neboli</w:t>
      </w:r>
      <w:r w:rsidRPr="007A4C44">
        <w:rPr>
          <w:rFonts w:ascii="Times New Roman" w:hAnsi="Times New Roman"/>
        </w:rPr>
        <w:t xml:space="preserve"> lieč</w:t>
      </w:r>
      <w:r w:rsidR="00E972A9" w:rsidRPr="007A4C44">
        <w:rPr>
          <w:rFonts w:ascii="Times New Roman" w:hAnsi="Times New Roman"/>
        </w:rPr>
        <w:t>ení</w:t>
      </w:r>
      <w:r w:rsidRPr="007A4C44">
        <w:rPr>
          <w:rFonts w:ascii="Times New Roman" w:hAnsi="Times New Roman"/>
        </w:rPr>
        <w:t xml:space="preserve"> anagrelidom alebo boli pred</w:t>
      </w:r>
      <w:r w:rsidR="00E972A9" w:rsidRPr="007A4C44">
        <w:rPr>
          <w:rFonts w:ascii="Times New Roman" w:hAnsi="Times New Roman"/>
        </w:rPr>
        <w:t xml:space="preserve"> štúdiou</w:t>
      </w:r>
      <w:r w:rsidRPr="007A4C44">
        <w:rPr>
          <w:rFonts w:ascii="Times New Roman" w:hAnsi="Times New Roman"/>
        </w:rPr>
        <w:t xml:space="preserve"> liečení anagrelidom po dobu až 5 rokov) sa medián počtu krvných doštičiek znížil na kontrolované hladiny po 12 týždňoch liečby. Priemerná denná dávka mala tendenciu byť vyššia u dospievajúcich. </w:t>
      </w:r>
    </w:p>
    <w:p w:rsidR="004D7943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 xml:space="preserve">V štúdii pediatrického registra bol medián počtu krvných doštičiek </w:t>
      </w:r>
      <w:r w:rsidR="00E972A9" w:rsidRPr="007A4C44">
        <w:rPr>
          <w:rFonts w:ascii="Times New Roman" w:hAnsi="Times New Roman"/>
        </w:rPr>
        <w:t>v porovnaní s hodnotou zistenou v čase</w:t>
      </w:r>
      <w:r w:rsidRPr="007A4C44">
        <w:rPr>
          <w:rFonts w:ascii="Times New Roman" w:hAnsi="Times New Roman"/>
        </w:rPr>
        <w:t xml:space="preserve"> diagnózy znížený a bol udržiavaný až do 18 mesiacov u 14 pediatrických pacientov s ET liečených anagrelidom (4 deti, 10 dospievajúcich). V skorších otvorených štúdiách bolo pozorované zníženie mediánu počtu krvných doštičiek u 7 detí a 9 dospievajúcich liečených od 3 mesiacov do 6,5 roka.</w:t>
      </w:r>
    </w:p>
    <w:p w:rsidR="004D7943" w:rsidRPr="007A4C44" w:rsidRDefault="004D794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972A9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Priemerná celková denná dávka anagrelidu zo všetkých štúdií u pediatrických pacientov s ET bola značne variabilná, ale celkov</w:t>
      </w:r>
      <w:r w:rsidR="00E972A9" w:rsidRPr="007A4C44">
        <w:rPr>
          <w:rFonts w:ascii="Times New Roman" w:hAnsi="Times New Roman"/>
        </w:rPr>
        <w:t>é</w:t>
      </w:r>
      <w:r w:rsidRPr="007A4C44">
        <w:rPr>
          <w:rFonts w:ascii="Times New Roman" w:hAnsi="Times New Roman"/>
        </w:rPr>
        <w:t xml:space="preserve"> údaje naznačujú, že dospievajúci</w:t>
      </w:r>
      <w:r w:rsidR="00E972A9" w:rsidRPr="007A4C44">
        <w:rPr>
          <w:rFonts w:ascii="Times New Roman" w:hAnsi="Times New Roman"/>
        </w:rPr>
        <w:t>m</w:t>
      </w:r>
      <w:r w:rsidRPr="007A4C44">
        <w:rPr>
          <w:rFonts w:ascii="Times New Roman" w:hAnsi="Times New Roman"/>
        </w:rPr>
        <w:t xml:space="preserve"> by </w:t>
      </w:r>
      <w:r w:rsidR="00E972A9" w:rsidRPr="007A4C44">
        <w:rPr>
          <w:rFonts w:ascii="Times New Roman" w:hAnsi="Times New Roman"/>
        </w:rPr>
        <w:t xml:space="preserve">sa </w:t>
      </w:r>
      <w:r w:rsidRPr="007A4C44">
        <w:rPr>
          <w:rFonts w:ascii="Times New Roman" w:hAnsi="Times New Roman"/>
        </w:rPr>
        <w:t xml:space="preserve">mohli </w:t>
      </w:r>
      <w:r w:rsidR="00E972A9" w:rsidRPr="007A4C44">
        <w:rPr>
          <w:rFonts w:ascii="Times New Roman" w:hAnsi="Times New Roman"/>
        </w:rPr>
        <w:t>podávať</w:t>
      </w:r>
      <w:r w:rsidRPr="007A4C44">
        <w:rPr>
          <w:rFonts w:ascii="Times New Roman" w:hAnsi="Times New Roman"/>
        </w:rPr>
        <w:t xml:space="preserve"> podobné úvodné a udržiavacie dávky ako dospel</w:t>
      </w:r>
      <w:r w:rsidR="00E972A9" w:rsidRPr="007A4C44">
        <w:rPr>
          <w:rFonts w:ascii="Times New Roman" w:hAnsi="Times New Roman"/>
        </w:rPr>
        <w:t>ým</w:t>
      </w:r>
      <w:r w:rsidRPr="007A4C44">
        <w:rPr>
          <w:rFonts w:ascii="Times New Roman" w:hAnsi="Times New Roman"/>
        </w:rPr>
        <w:t xml:space="preserve"> a nižšie úvodné dávky 0,5 mg/deň by boli vhodnejšie pre deti vo veku viac ako 6 rokov (pozri časti 4.2, 4.4, 4.8 a 5.2). U všetkých pediatrických pacientov je potrebná opatrná titrácia dennej špecifickej dávky pacienta. </w:t>
      </w:r>
    </w:p>
    <w:p w:rsidR="00E972A9" w:rsidRPr="007A4C44" w:rsidRDefault="00E972A9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Referenčný</w:t>
      </w:r>
      <w:r w:rsidR="008D5D67" w:rsidRPr="007A4C44">
        <w:rPr>
          <w:rFonts w:ascii="Times New Roman" w:hAnsi="Times New Roman"/>
        </w:rPr>
        <w:t xml:space="preserve"> liek </w:t>
      </w:r>
      <w:r w:rsidRPr="007A4C44">
        <w:rPr>
          <w:rFonts w:ascii="Times New Roman" w:hAnsi="Times New Roman"/>
        </w:rPr>
        <w:t>ob</w:t>
      </w:r>
      <w:r w:rsidR="007A4C44" w:rsidRPr="007A4C44">
        <w:rPr>
          <w:rFonts w:ascii="Times New Roman" w:hAnsi="Times New Roman"/>
        </w:rPr>
        <w:t>s</w:t>
      </w:r>
      <w:r w:rsidRPr="007A4C44">
        <w:rPr>
          <w:rFonts w:ascii="Times New Roman" w:hAnsi="Times New Roman"/>
        </w:rPr>
        <w:t xml:space="preserve">ahujúci anagrelid </w:t>
      </w:r>
      <w:r w:rsidR="008D5D67" w:rsidRPr="007A4C44">
        <w:rPr>
          <w:rFonts w:ascii="Times New Roman" w:hAnsi="Times New Roman"/>
        </w:rPr>
        <w:t xml:space="preserve">bol registrovaný za tzv. mimoriadnych okolností. </w:t>
      </w:r>
    </w:p>
    <w:p w:rsidR="004D7943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To znamená, že pre zriedkavosť výskytu ochorenia nebolo možné získať všetky informácie o tomto lieku.</w:t>
      </w:r>
    </w:p>
    <w:p w:rsidR="004D7943" w:rsidRPr="007A4C44" w:rsidRDefault="004D794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Európska agentúra pre lieky každý rok posúdi nové dostupné informácie o tomto lieku a tento súhrn charakteristických vlastností lieku bude podľa potreby aktualizovať.</w:t>
      </w:r>
    </w:p>
    <w:p w:rsidR="008D5D67" w:rsidRPr="007A4C44" w:rsidRDefault="008D5D67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EC32A3" w:rsidP="007A4C44">
      <w:pPr>
        <w:widowControl w:val="0"/>
        <w:spacing w:after="0" w:line="240" w:lineRule="auto"/>
        <w:ind w:left="567" w:hanging="567"/>
        <w:rPr>
          <w:rFonts w:ascii="Times New Roman" w:hAnsi="Times New Roman"/>
          <w:b/>
        </w:rPr>
      </w:pPr>
      <w:r w:rsidRPr="007A4C44">
        <w:rPr>
          <w:rFonts w:ascii="Times New Roman" w:hAnsi="Times New Roman"/>
          <w:b/>
        </w:rPr>
        <w:t>5.2</w:t>
      </w:r>
      <w:r w:rsidRPr="007A4C44">
        <w:rPr>
          <w:rFonts w:ascii="Times New Roman" w:hAnsi="Times New Roman"/>
          <w:b/>
        </w:rPr>
        <w:tab/>
        <w:t>Farmakokinetické vlastnosti</w:t>
      </w: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4D7943" w:rsidRPr="007A4C44" w:rsidRDefault="00881B76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Absorpcia</w:t>
      </w:r>
    </w:p>
    <w:p w:rsidR="004D7943" w:rsidRPr="007A4C44" w:rsidRDefault="00881B76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Po perorálnom podaní anagrelidu u človeka sa minimálne 70 % vstrebáva z gastrointestinálneho traktu. U</w:t>
      </w:r>
      <w:r w:rsidR="00E972A9" w:rsidRPr="007A4C44">
        <w:rPr>
          <w:rFonts w:ascii="Times New Roman" w:hAnsi="Times New Roman"/>
        </w:rPr>
        <w:t> </w:t>
      </w:r>
      <w:r w:rsidRPr="007A4C44">
        <w:rPr>
          <w:rFonts w:ascii="Times New Roman" w:hAnsi="Times New Roman"/>
        </w:rPr>
        <w:t>jedincov</w:t>
      </w:r>
      <w:r w:rsidR="00E972A9" w:rsidRPr="007A4C44">
        <w:rPr>
          <w:rFonts w:ascii="Times New Roman" w:hAnsi="Times New Roman"/>
        </w:rPr>
        <w:t>, ktorým sa podá nalačno</w:t>
      </w:r>
      <w:r w:rsidRPr="007A4C44">
        <w:rPr>
          <w:rFonts w:ascii="Times New Roman" w:hAnsi="Times New Roman"/>
        </w:rPr>
        <w:t xml:space="preserve"> sa </w:t>
      </w:r>
      <w:r w:rsidR="000716E4" w:rsidRPr="007A4C44">
        <w:rPr>
          <w:rFonts w:ascii="Times New Roman" w:hAnsi="Times New Roman"/>
        </w:rPr>
        <w:t>maximálna plazmatická koncentrácia dosiahne približne p</w:t>
      </w:r>
      <w:r w:rsidRPr="007A4C44">
        <w:rPr>
          <w:rFonts w:ascii="Times New Roman" w:hAnsi="Times New Roman"/>
        </w:rPr>
        <w:t>o 1 hodin</w:t>
      </w:r>
      <w:r w:rsidR="000716E4" w:rsidRPr="007A4C44">
        <w:rPr>
          <w:rFonts w:ascii="Times New Roman" w:hAnsi="Times New Roman"/>
        </w:rPr>
        <w:t>e</w:t>
      </w:r>
      <w:r w:rsidRPr="007A4C44">
        <w:rPr>
          <w:rFonts w:ascii="Times New Roman" w:hAnsi="Times New Roman"/>
        </w:rPr>
        <w:t xml:space="preserve"> o</w:t>
      </w:r>
      <w:r w:rsidR="000716E4" w:rsidRPr="007A4C44">
        <w:rPr>
          <w:rFonts w:ascii="Times New Roman" w:hAnsi="Times New Roman"/>
        </w:rPr>
        <w:t>d</w:t>
      </w:r>
      <w:r w:rsidRPr="007A4C44">
        <w:rPr>
          <w:rFonts w:ascii="Times New Roman" w:hAnsi="Times New Roman"/>
        </w:rPr>
        <w:t xml:space="preserve"> podan</w:t>
      </w:r>
      <w:r w:rsidR="000716E4" w:rsidRPr="007A4C44">
        <w:rPr>
          <w:rFonts w:ascii="Times New Roman" w:hAnsi="Times New Roman"/>
        </w:rPr>
        <w:t>ia</w:t>
      </w:r>
      <w:r w:rsidRPr="007A4C44">
        <w:rPr>
          <w:rFonts w:ascii="Times New Roman" w:hAnsi="Times New Roman"/>
        </w:rPr>
        <w:t>. Farmakokinetické údaje od zdravých jedincov ukazujú, že jedlo znižuje C</w:t>
      </w:r>
      <w:r w:rsidRPr="007A4C44">
        <w:rPr>
          <w:rFonts w:ascii="Times New Roman" w:hAnsi="Times New Roman"/>
          <w:vertAlign w:val="subscript"/>
        </w:rPr>
        <w:t>max</w:t>
      </w:r>
      <w:r w:rsidRPr="007A4C44">
        <w:rPr>
          <w:rFonts w:ascii="Times New Roman" w:hAnsi="Times New Roman"/>
        </w:rPr>
        <w:t xml:space="preserve"> anagrelidu o 14 %, ale zvyšuje hodnoty AUC o 20 %. Jedlo tiež znížilo C</w:t>
      </w:r>
      <w:r w:rsidRPr="007A4C44">
        <w:rPr>
          <w:rFonts w:ascii="Times New Roman" w:hAnsi="Times New Roman"/>
          <w:vertAlign w:val="subscript"/>
        </w:rPr>
        <w:t>max</w:t>
      </w:r>
      <w:r w:rsidRPr="007A4C44">
        <w:rPr>
          <w:rFonts w:ascii="Times New Roman" w:hAnsi="Times New Roman"/>
        </w:rPr>
        <w:t xml:space="preserve"> aktívneho metabolitu 3-hydroxyanagrelidu o</w:t>
      </w:r>
      <w:r w:rsidR="004D7943" w:rsidRPr="007A4C44">
        <w:rPr>
          <w:rFonts w:ascii="Times New Roman" w:hAnsi="Times New Roman"/>
        </w:rPr>
        <w:t> </w:t>
      </w:r>
      <w:r w:rsidRPr="007A4C44">
        <w:rPr>
          <w:rFonts w:ascii="Times New Roman" w:hAnsi="Times New Roman"/>
        </w:rPr>
        <w:t>29</w:t>
      </w:r>
      <w:r w:rsidR="004D7943" w:rsidRPr="007A4C44">
        <w:rPr>
          <w:rFonts w:ascii="Times New Roman" w:hAnsi="Times New Roman"/>
        </w:rPr>
        <w:t> </w:t>
      </w:r>
      <w:r w:rsidRPr="007A4C44">
        <w:rPr>
          <w:rFonts w:ascii="Times New Roman" w:hAnsi="Times New Roman"/>
        </w:rPr>
        <w:t>%, hoci nemalo žiadny účinok na hodnoty AUC.</w:t>
      </w:r>
    </w:p>
    <w:p w:rsidR="004D7943" w:rsidRPr="007A4C44" w:rsidRDefault="004D794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4D7943" w:rsidRPr="007A4C44" w:rsidRDefault="00881B76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Biotransformácia</w:t>
      </w:r>
    </w:p>
    <w:p w:rsidR="000716E4" w:rsidRPr="007A4C44" w:rsidRDefault="00881B76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Anagrelid je primárne metabolizovaný CYP1A2 za tvorby 3-hydroxyanagrelidu, ktorý je ďalej metabolizovaný CYP1A2 na neaktívny metabolit 2-amino-5, 6-dichloro-3, 4-dihydrochinazolín.</w:t>
      </w:r>
    </w:p>
    <w:p w:rsidR="000716E4" w:rsidRPr="007A4C44" w:rsidRDefault="000716E4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4D7943" w:rsidRPr="007A4C44" w:rsidRDefault="00881B76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  <w:u w:val="single"/>
        </w:rPr>
        <w:t>Eliminácia</w:t>
      </w:r>
    </w:p>
    <w:p w:rsidR="004D7943" w:rsidRPr="007A4C44" w:rsidRDefault="00881B76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Plazmatický polčas anagrelidu je krátky, približne 1,3 hodiny a ako sa predpoklad</w:t>
      </w:r>
      <w:r w:rsidR="000716E4" w:rsidRPr="007A4C44">
        <w:rPr>
          <w:rFonts w:ascii="Times New Roman" w:hAnsi="Times New Roman"/>
        </w:rPr>
        <w:t>alo na základe</w:t>
      </w:r>
      <w:r w:rsidRPr="007A4C44">
        <w:rPr>
          <w:rFonts w:ascii="Times New Roman" w:hAnsi="Times New Roman"/>
        </w:rPr>
        <w:t xml:space="preserve"> tohto polčasu, kumuláci</w:t>
      </w:r>
      <w:r w:rsidR="000716E4" w:rsidRPr="007A4C44">
        <w:rPr>
          <w:rFonts w:ascii="Times New Roman" w:hAnsi="Times New Roman"/>
        </w:rPr>
        <w:t>a</w:t>
      </w:r>
      <w:r w:rsidRPr="007A4C44">
        <w:rPr>
          <w:rFonts w:ascii="Times New Roman" w:hAnsi="Times New Roman"/>
        </w:rPr>
        <w:t xml:space="preserve"> anagrelidu v</w:t>
      </w:r>
      <w:r w:rsidR="000716E4" w:rsidRPr="007A4C44">
        <w:rPr>
          <w:rFonts w:ascii="Times New Roman" w:hAnsi="Times New Roman"/>
        </w:rPr>
        <w:t> </w:t>
      </w:r>
      <w:r w:rsidRPr="007A4C44">
        <w:rPr>
          <w:rFonts w:ascii="Times New Roman" w:hAnsi="Times New Roman"/>
        </w:rPr>
        <w:t>plazme</w:t>
      </w:r>
      <w:r w:rsidR="000716E4" w:rsidRPr="007A4C44">
        <w:rPr>
          <w:rFonts w:ascii="Times New Roman" w:hAnsi="Times New Roman"/>
        </w:rPr>
        <w:t xml:space="preserve"> sa nepreukázala</w:t>
      </w:r>
      <w:r w:rsidRPr="007A4C44">
        <w:rPr>
          <w:rFonts w:ascii="Times New Roman" w:hAnsi="Times New Roman"/>
        </w:rPr>
        <w:t xml:space="preserve">. Menej ako 1 % sa vyskytuje v moči </w:t>
      </w:r>
      <w:r w:rsidR="000716E4" w:rsidRPr="007A4C44">
        <w:rPr>
          <w:rFonts w:ascii="Times New Roman" w:hAnsi="Times New Roman"/>
        </w:rPr>
        <w:t>vo forme</w:t>
      </w:r>
      <w:r w:rsidRPr="007A4C44">
        <w:rPr>
          <w:rFonts w:ascii="Times New Roman" w:hAnsi="Times New Roman"/>
        </w:rPr>
        <w:t xml:space="preserve"> anagrelid</w:t>
      </w:r>
      <w:r w:rsidR="000716E4" w:rsidRPr="007A4C44">
        <w:rPr>
          <w:rFonts w:ascii="Times New Roman" w:hAnsi="Times New Roman"/>
        </w:rPr>
        <w:t>u</w:t>
      </w:r>
      <w:r w:rsidRPr="007A4C44">
        <w:rPr>
          <w:rFonts w:ascii="Times New Roman" w:hAnsi="Times New Roman"/>
        </w:rPr>
        <w:t>.</w:t>
      </w:r>
      <w:r w:rsidR="000716E4" w:rsidRPr="007A4C44">
        <w:rPr>
          <w:rFonts w:ascii="Times New Roman" w:hAnsi="Times New Roman"/>
        </w:rPr>
        <w:t xml:space="preserve"> Priemerné množstvo 2-amino-5,6-dichlór-3,4-dihydrochinazolínu vylúčené močom zodpovedá približne 18 - 35 % podanej dávky</w:t>
      </w:r>
      <w:r w:rsidRPr="007A4C44">
        <w:rPr>
          <w:rFonts w:ascii="Times New Roman" w:hAnsi="Times New Roman"/>
        </w:rPr>
        <w:t>.</w:t>
      </w:r>
    </w:p>
    <w:p w:rsidR="004D7943" w:rsidRPr="007A4C44" w:rsidRDefault="004D794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4D7943" w:rsidRPr="007A4C44" w:rsidRDefault="00881B76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 xml:space="preserve">Navyše tieto výsledky nevykazujú známky samoindukcie klírensu anagrelidu. </w:t>
      </w:r>
    </w:p>
    <w:p w:rsidR="004D7943" w:rsidRPr="007A4C44" w:rsidRDefault="004D794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4D7943" w:rsidRPr="007A4C44" w:rsidRDefault="00881B76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Linearita</w:t>
      </w:r>
    </w:p>
    <w:p w:rsidR="004D7943" w:rsidRPr="007A4C44" w:rsidRDefault="00881B76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 xml:space="preserve">Proporcionalita dávky sa </w:t>
      </w:r>
      <w:r w:rsidR="000716E4" w:rsidRPr="007A4C44">
        <w:rPr>
          <w:rFonts w:ascii="Times New Roman" w:hAnsi="Times New Roman"/>
        </w:rPr>
        <w:t>prejavuje</w:t>
      </w:r>
      <w:r w:rsidRPr="007A4C44">
        <w:rPr>
          <w:rFonts w:ascii="Times New Roman" w:hAnsi="Times New Roman"/>
        </w:rPr>
        <w:t xml:space="preserve"> v rozmedzí dávok 0,5 mg až 2 mg.</w:t>
      </w:r>
    </w:p>
    <w:p w:rsidR="004D7943" w:rsidRPr="007A4C44" w:rsidRDefault="004D794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4D7943" w:rsidRPr="007A4C44" w:rsidRDefault="00881B76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Pediatrická populácia</w:t>
      </w:r>
    </w:p>
    <w:p w:rsidR="004D7943" w:rsidRPr="007A4C44" w:rsidRDefault="00881B76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Farmakokinetické údaje u detí a</w:t>
      </w:r>
      <w:r w:rsidR="000716E4" w:rsidRPr="007A4C44">
        <w:rPr>
          <w:rFonts w:ascii="Times New Roman" w:hAnsi="Times New Roman"/>
        </w:rPr>
        <w:t> </w:t>
      </w:r>
      <w:r w:rsidRPr="007A4C44">
        <w:rPr>
          <w:rFonts w:ascii="Times New Roman" w:hAnsi="Times New Roman"/>
        </w:rPr>
        <w:t>dospievajúcich</w:t>
      </w:r>
      <w:r w:rsidR="000716E4" w:rsidRPr="007A4C44">
        <w:rPr>
          <w:rFonts w:ascii="Times New Roman" w:hAnsi="Times New Roman"/>
        </w:rPr>
        <w:t>,</w:t>
      </w:r>
      <w:r w:rsidRPr="007A4C44">
        <w:rPr>
          <w:rFonts w:ascii="Times New Roman" w:hAnsi="Times New Roman"/>
        </w:rPr>
        <w:t xml:space="preserve"> </w:t>
      </w:r>
      <w:r w:rsidR="000716E4" w:rsidRPr="007A4C44">
        <w:rPr>
          <w:rFonts w:ascii="Times New Roman" w:hAnsi="Times New Roman"/>
        </w:rPr>
        <w:t>ktorým sa podal anagrelid</w:t>
      </w:r>
      <w:r w:rsidRPr="007A4C44">
        <w:rPr>
          <w:rFonts w:ascii="Times New Roman" w:hAnsi="Times New Roman"/>
        </w:rPr>
        <w:t xml:space="preserve"> nalačno (vekový rozsah 7 - 16 rokov) s</w:t>
      </w:r>
      <w:r w:rsidR="004D7943" w:rsidRPr="007A4C44">
        <w:rPr>
          <w:rFonts w:ascii="Times New Roman" w:hAnsi="Times New Roman"/>
        </w:rPr>
        <w:t> </w:t>
      </w:r>
      <w:r w:rsidRPr="007A4C44">
        <w:rPr>
          <w:rFonts w:ascii="Times New Roman" w:hAnsi="Times New Roman"/>
        </w:rPr>
        <w:t>esenciálnou trombocytémiou ukazujú, že normalizovaná expozícia vzhľadom k dávke, C</w:t>
      </w:r>
      <w:r w:rsidRPr="007A4C44">
        <w:rPr>
          <w:rFonts w:ascii="Times New Roman" w:hAnsi="Times New Roman"/>
          <w:vertAlign w:val="subscript"/>
        </w:rPr>
        <w:t>max</w:t>
      </w:r>
      <w:r w:rsidRPr="007A4C44">
        <w:rPr>
          <w:rFonts w:ascii="Times New Roman" w:hAnsi="Times New Roman"/>
        </w:rPr>
        <w:t xml:space="preserve"> a AUC anagrelidu mala tendenciu byť vyššia u detí/dospievajúcich v porovnaní s dospelými. Taktiež </w:t>
      </w:r>
      <w:r w:rsidR="000716E4" w:rsidRPr="007A4C44">
        <w:rPr>
          <w:rFonts w:ascii="Times New Roman" w:hAnsi="Times New Roman"/>
        </w:rPr>
        <w:t>sa pozorovala</w:t>
      </w:r>
      <w:r w:rsidRPr="007A4C44">
        <w:rPr>
          <w:rFonts w:ascii="Times New Roman" w:hAnsi="Times New Roman"/>
        </w:rPr>
        <w:t xml:space="preserve"> tendencia k zvýšenej expozícii aktívn</w:t>
      </w:r>
      <w:r w:rsidR="000716E4" w:rsidRPr="007A4C44">
        <w:rPr>
          <w:rFonts w:ascii="Times New Roman" w:hAnsi="Times New Roman"/>
        </w:rPr>
        <w:t>eho</w:t>
      </w:r>
      <w:r w:rsidRPr="007A4C44">
        <w:rPr>
          <w:rFonts w:ascii="Times New Roman" w:hAnsi="Times New Roman"/>
        </w:rPr>
        <w:t xml:space="preserve"> metabolit</w:t>
      </w:r>
      <w:r w:rsidR="000716E4" w:rsidRPr="007A4C44">
        <w:rPr>
          <w:rFonts w:ascii="Times New Roman" w:hAnsi="Times New Roman"/>
        </w:rPr>
        <w:t>u</w:t>
      </w:r>
      <w:r w:rsidR="007D54CA" w:rsidRPr="007A4C44">
        <w:rPr>
          <w:rFonts w:ascii="Times New Roman" w:hAnsi="Times New Roman"/>
        </w:rPr>
        <w:t xml:space="preserve"> normalizovanej na dávku</w:t>
      </w:r>
      <w:r w:rsidRPr="007A4C44">
        <w:rPr>
          <w:rFonts w:ascii="Times New Roman" w:hAnsi="Times New Roman"/>
        </w:rPr>
        <w:t>.</w:t>
      </w:r>
    </w:p>
    <w:p w:rsidR="004D7943" w:rsidRPr="007A4C44" w:rsidRDefault="004D794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4D7943" w:rsidRPr="007A4C44" w:rsidRDefault="00881B76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Starší</w:t>
      </w:r>
    </w:p>
    <w:p w:rsidR="00881B76" w:rsidRPr="007A4C44" w:rsidRDefault="00881B76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Farmakokinetické údaje u starších pacientov nalačno s ET (vekový rozsah 65 - 75 rokov) v porovnaní s dospelými pacientami nalačno (vekový rozsah 22 - 50 rokov) ukazujú, že C</w:t>
      </w:r>
      <w:r w:rsidRPr="007A4C44">
        <w:rPr>
          <w:rFonts w:ascii="Times New Roman" w:hAnsi="Times New Roman"/>
          <w:vertAlign w:val="subscript"/>
        </w:rPr>
        <w:t>max</w:t>
      </w:r>
      <w:r w:rsidRPr="007A4C44">
        <w:rPr>
          <w:rFonts w:ascii="Times New Roman" w:hAnsi="Times New Roman"/>
        </w:rPr>
        <w:t xml:space="preserve"> a AUC anagrelidu 11 </w:t>
      </w:r>
      <w:r w:rsidRPr="007A4C44">
        <w:rPr>
          <w:rFonts w:ascii="Times New Roman" w:hAnsi="Times New Roman"/>
        </w:rPr>
        <w:lastRenderedPageBreak/>
        <w:t>boli o</w:t>
      </w:r>
      <w:r w:rsidR="004D7943" w:rsidRPr="007A4C44">
        <w:rPr>
          <w:rFonts w:ascii="Times New Roman" w:hAnsi="Times New Roman"/>
        </w:rPr>
        <w:t> </w:t>
      </w:r>
      <w:r w:rsidRPr="007A4C44">
        <w:rPr>
          <w:rFonts w:ascii="Times New Roman" w:hAnsi="Times New Roman"/>
        </w:rPr>
        <w:t>36</w:t>
      </w:r>
      <w:r w:rsidR="004D7943" w:rsidRPr="007A4C44">
        <w:rPr>
          <w:rFonts w:ascii="Times New Roman" w:hAnsi="Times New Roman"/>
        </w:rPr>
        <w:t> </w:t>
      </w:r>
      <w:r w:rsidRPr="007A4C44">
        <w:rPr>
          <w:rFonts w:ascii="Times New Roman" w:hAnsi="Times New Roman"/>
        </w:rPr>
        <w:t>% a</w:t>
      </w:r>
      <w:r w:rsidR="004D7943" w:rsidRPr="007A4C44">
        <w:rPr>
          <w:rFonts w:ascii="Times New Roman" w:hAnsi="Times New Roman"/>
        </w:rPr>
        <w:t> </w:t>
      </w:r>
      <w:r w:rsidRPr="007A4C44">
        <w:rPr>
          <w:rFonts w:ascii="Times New Roman" w:hAnsi="Times New Roman"/>
        </w:rPr>
        <w:t>61</w:t>
      </w:r>
      <w:r w:rsidR="004D7943" w:rsidRPr="007A4C44">
        <w:rPr>
          <w:rFonts w:ascii="Times New Roman" w:hAnsi="Times New Roman"/>
        </w:rPr>
        <w:t xml:space="preserve"> </w:t>
      </w:r>
      <w:r w:rsidRPr="007A4C44">
        <w:rPr>
          <w:rFonts w:ascii="Times New Roman" w:hAnsi="Times New Roman"/>
        </w:rPr>
        <w:t>% vyššie u starších pacientov v uvedenom poradí, ale C</w:t>
      </w:r>
      <w:r w:rsidRPr="007A4C44">
        <w:rPr>
          <w:rFonts w:ascii="Times New Roman" w:hAnsi="Times New Roman"/>
          <w:vertAlign w:val="subscript"/>
        </w:rPr>
        <w:t>max</w:t>
      </w:r>
      <w:r w:rsidRPr="007A4C44">
        <w:rPr>
          <w:rFonts w:ascii="Times New Roman" w:hAnsi="Times New Roman"/>
        </w:rPr>
        <w:t xml:space="preserve"> a AUC aktívneho metabolitu 3-hydoxyanagrelidu boli o</w:t>
      </w:r>
      <w:r w:rsidR="004D7943" w:rsidRPr="007A4C44">
        <w:rPr>
          <w:rFonts w:ascii="Times New Roman" w:hAnsi="Times New Roman"/>
        </w:rPr>
        <w:t> </w:t>
      </w:r>
      <w:r w:rsidRPr="007A4C44">
        <w:rPr>
          <w:rFonts w:ascii="Times New Roman" w:hAnsi="Times New Roman"/>
        </w:rPr>
        <w:t>42</w:t>
      </w:r>
      <w:r w:rsidR="004D7943" w:rsidRPr="007A4C44">
        <w:rPr>
          <w:rFonts w:ascii="Times New Roman" w:hAnsi="Times New Roman"/>
        </w:rPr>
        <w:t xml:space="preserve"> </w:t>
      </w:r>
      <w:r w:rsidRPr="007A4C44">
        <w:rPr>
          <w:rFonts w:ascii="Times New Roman" w:hAnsi="Times New Roman"/>
        </w:rPr>
        <w:t>% a</w:t>
      </w:r>
      <w:r w:rsidR="004D7943" w:rsidRPr="007A4C44">
        <w:rPr>
          <w:rFonts w:ascii="Times New Roman" w:hAnsi="Times New Roman"/>
        </w:rPr>
        <w:t> </w:t>
      </w:r>
      <w:r w:rsidRPr="007A4C44">
        <w:rPr>
          <w:rFonts w:ascii="Times New Roman" w:hAnsi="Times New Roman"/>
        </w:rPr>
        <w:t>37</w:t>
      </w:r>
      <w:r w:rsidR="004D7943" w:rsidRPr="007A4C44">
        <w:rPr>
          <w:rFonts w:ascii="Times New Roman" w:hAnsi="Times New Roman"/>
        </w:rPr>
        <w:t xml:space="preserve"> </w:t>
      </w:r>
      <w:r w:rsidRPr="007A4C44">
        <w:rPr>
          <w:rFonts w:ascii="Times New Roman" w:hAnsi="Times New Roman"/>
        </w:rPr>
        <w:t>% nižšie u starších pacientov v uvedenom poradí. Tieto rozdiely pravdepodobne spôsobil nižší presystémový metabolizmus anagrelidu na 3-hydroxyanagrelid u starších pacientov.</w:t>
      </w:r>
    </w:p>
    <w:p w:rsidR="00881B76" w:rsidRPr="007A4C44" w:rsidRDefault="00881B76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EC32A3" w:rsidP="007A4C44">
      <w:pPr>
        <w:widowControl w:val="0"/>
        <w:spacing w:after="0" w:line="240" w:lineRule="auto"/>
        <w:ind w:left="567" w:hanging="567"/>
        <w:rPr>
          <w:rFonts w:ascii="Times New Roman" w:hAnsi="Times New Roman"/>
        </w:rPr>
      </w:pPr>
      <w:r w:rsidRPr="007A4C44">
        <w:rPr>
          <w:rFonts w:ascii="Times New Roman" w:hAnsi="Times New Roman"/>
          <w:b/>
        </w:rPr>
        <w:t>5.3</w:t>
      </w:r>
      <w:r w:rsidRPr="007A4C44">
        <w:rPr>
          <w:rFonts w:ascii="Times New Roman" w:hAnsi="Times New Roman"/>
          <w:b/>
        </w:rPr>
        <w:tab/>
        <w:t>Predklinické údaje o bezpečnosti</w:t>
      </w: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4D7943" w:rsidRPr="007A4C44" w:rsidRDefault="00881B76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Toxicita po opakovanom podaní</w:t>
      </w:r>
    </w:p>
    <w:p w:rsidR="004D7943" w:rsidRPr="007A4C44" w:rsidRDefault="00881B76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Po opakovanom perorálnom podaní anagrelidu psom, sa pri dávke 1 mg/kg/deň alebo vyššej pozorovali subendokardiálne krvácanie a fokálna nekróza myokardu u samcov a samíc, pričom samc</w:t>
      </w:r>
      <w:r w:rsidR="007D54CA" w:rsidRPr="007A4C44">
        <w:rPr>
          <w:rFonts w:ascii="Times New Roman" w:hAnsi="Times New Roman"/>
        </w:rPr>
        <w:t>i</w:t>
      </w:r>
      <w:r w:rsidRPr="007A4C44">
        <w:rPr>
          <w:rFonts w:ascii="Times New Roman" w:hAnsi="Times New Roman"/>
        </w:rPr>
        <w:t xml:space="preserve"> boli senzitívnejš</w:t>
      </w:r>
      <w:r w:rsidR="007D54CA" w:rsidRPr="007A4C44">
        <w:rPr>
          <w:rFonts w:ascii="Times New Roman" w:hAnsi="Times New Roman"/>
        </w:rPr>
        <w:t>í</w:t>
      </w:r>
      <w:r w:rsidRPr="007A4C44">
        <w:rPr>
          <w:rFonts w:ascii="Times New Roman" w:hAnsi="Times New Roman"/>
        </w:rPr>
        <w:t>. Dávka</w:t>
      </w:r>
      <w:r w:rsidR="007D54CA" w:rsidRPr="007A4C44">
        <w:rPr>
          <w:rFonts w:ascii="Times New Roman" w:hAnsi="Times New Roman"/>
        </w:rPr>
        <w:t>,</w:t>
      </w:r>
      <w:r w:rsidRPr="007A4C44">
        <w:rPr>
          <w:rFonts w:ascii="Times New Roman" w:hAnsi="Times New Roman"/>
        </w:rPr>
        <w:t xml:space="preserve"> </w:t>
      </w:r>
      <w:r w:rsidR="007D54CA" w:rsidRPr="007A4C44">
        <w:rPr>
          <w:rFonts w:ascii="Times New Roman" w:hAnsi="Times New Roman"/>
        </w:rPr>
        <w:t>pri ktorej nebol pozorovaný účinok</w:t>
      </w:r>
      <w:r w:rsidRPr="007A4C44">
        <w:rPr>
          <w:rFonts w:ascii="Times New Roman" w:hAnsi="Times New Roman"/>
        </w:rPr>
        <w:t xml:space="preserve"> (NOEL - no observed effect level) u samcov psov (0,3 mg/kg/deň) zodpovedá 0,1; 0,1 a 1,6-násobku AUC u ľudí pre dávku anagrelidu 2</w:t>
      </w:r>
      <w:r w:rsidR="007D54CA" w:rsidRPr="007A4C44">
        <w:rPr>
          <w:rFonts w:ascii="Times New Roman" w:hAnsi="Times New Roman"/>
        </w:rPr>
        <w:t> </w:t>
      </w:r>
      <w:r w:rsidRPr="007A4C44">
        <w:rPr>
          <w:rFonts w:ascii="Times New Roman" w:hAnsi="Times New Roman"/>
        </w:rPr>
        <w:t>mg/deň, a metabolity BCH24426 a RL603, v uvedenom poradí.</w:t>
      </w:r>
    </w:p>
    <w:p w:rsidR="004D7943" w:rsidRPr="007A4C44" w:rsidRDefault="004D794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4D7943" w:rsidRPr="007A4C44" w:rsidRDefault="00881B76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Reprodukčná toxikológia</w:t>
      </w:r>
    </w:p>
    <w:p w:rsidR="004D7943" w:rsidRPr="007A4C44" w:rsidRDefault="004D794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4D7943" w:rsidRPr="007A4C44" w:rsidRDefault="00881B76" w:rsidP="007A4C44">
      <w:pPr>
        <w:widowControl w:val="0"/>
        <w:spacing w:after="0" w:line="240" w:lineRule="auto"/>
        <w:rPr>
          <w:rFonts w:ascii="Times New Roman" w:hAnsi="Times New Roman"/>
          <w:i/>
          <w:u w:val="single"/>
        </w:rPr>
      </w:pPr>
      <w:r w:rsidRPr="007A4C44">
        <w:rPr>
          <w:rFonts w:ascii="Times New Roman" w:hAnsi="Times New Roman"/>
          <w:i/>
          <w:u w:val="single"/>
        </w:rPr>
        <w:t>Fertilita</w:t>
      </w:r>
    </w:p>
    <w:p w:rsidR="004D7943" w:rsidRPr="007A4C44" w:rsidRDefault="00881B76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U samcov potkanov bolo zistené, že anagrelid pri perorálnych dávkach až do 240 mg/kg/deň (˃1</w:t>
      </w:r>
      <w:r w:rsidR="007D54CA" w:rsidRPr="007A4C44">
        <w:rPr>
          <w:rFonts w:ascii="Times New Roman" w:hAnsi="Times New Roman"/>
        </w:rPr>
        <w:t> </w:t>
      </w:r>
      <w:r w:rsidRPr="007A4C44">
        <w:rPr>
          <w:rFonts w:ascii="Times New Roman" w:hAnsi="Times New Roman"/>
        </w:rPr>
        <w:t>000- násobok dávky 2 mg/deň, na základe plochy povrchu tela), nemá žiadny vplyv na fertilitu a reprodukčné schopnosti. U samíc potkanov bolo pri dávke 30 mg/kg/deň pozorované zvýšenie pred a poimplantačných strát a pokles priemerného počtu živých embryí. NOEL (10 mg/kg/deň) pre tento účinok bola 143, 12 a 11-násobne vyššia ako AUC u ľudí po</w:t>
      </w:r>
      <w:r w:rsidR="007D54CA" w:rsidRPr="007A4C44">
        <w:rPr>
          <w:rFonts w:ascii="Times New Roman" w:hAnsi="Times New Roman"/>
        </w:rPr>
        <w:t xml:space="preserve"> po</w:t>
      </w:r>
      <w:r w:rsidRPr="007A4C44">
        <w:rPr>
          <w:rFonts w:ascii="Times New Roman" w:hAnsi="Times New Roman"/>
        </w:rPr>
        <w:t>d</w:t>
      </w:r>
      <w:r w:rsidR="006B2AEF" w:rsidRPr="007A4C44">
        <w:rPr>
          <w:rFonts w:ascii="Times New Roman" w:hAnsi="Times New Roman"/>
        </w:rPr>
        <w:t>áva</w:t>
      </w:r>
      <w:r w:rsidR="007D54CA" w:rsidRPr="007A4C44">
        <w:rPr>
          <w:rFonts w:ascii="Times New Roman" w:hAnsi="Times New Roman"/>
        </w:rPr>
        <w:t>ní</w:t>
      </w:r>
      <w:r w:rsidRPr="007A4C44">
        <w:rPr>
          <w:rFonts w:ascii="Times New Roman" w:hAnsi="Times New Roman"/>
        </w:rPr>
        <w:t xml:space="preserve"> dávky anagrelidu 2 mg/deň, a metabolitov BCH24426 a RL603, v uvedenom poradí.</w:t>
      </w:r>
    </w:p>
    <w:p w:rsidR="004D7943" w:rsidRPr="007A4C44" w:rsidRDefault="004D794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4D7943" w:rsidRPr="007A4C44" w:rsidRDefault="00881B76" w:rsidP="007A4C44">
      <w:pPr>
        <w:widowControl w:val="0"/>
        <w:spacing w:after="0" w:line="240" w:lineRule="auto"/>
        <w:rPr>
          <w:rFonts w:ascii="Times New Roman" w:hAnsi="Times New Roman"/>
          <w:i/>
          <w:u w:val="single"/>
        </w:rPr>
      </w:pPr>
      <w:r w:rsidRPr="007A4C44">
        <w:rPr>
          <w:rFonts w:ascii="Times New Roman" w:hAnsi="Times New Roman"/>
          <w:i/>
          <w:u w:val="single"/>
        </w:rPr>
        <w:t>Štúdie embryofetálneho vývoja</w:t>
      </w:r>
    </w:p>
    <w:p w:rsidR="004D7943" w:rsidRPr="007A4C44" w:rsidRDefault="006B2AEF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U</w:t>
      </w:r>
      <w:r w:rsidR="00881B76" w:rsidRPr="007A4C44">
        <w:rPr>
          <w:rFonts w:ascii="Times New Roman" w:hAnsi="Times New Roman"/>
        </w:rPr>
        <w:t xml:space="preserve"> potkanov a králikov boli </w:t>
      </w:r>
      <w:r w:rsidRPr="007A4C44">
        <w:rPr>
          <w:rFonts w:ascii="Times New Roman" w:hAnsi="Times New Roman"/>
        </w:rPr>
        <w:t xml:space="preserve">toxické dávky anagrelidu pre matku </w:t>
      </w:r>
      <w:r w:rsidR="00881B76" w:rsidRPr="007A4C44">
        <w:rPr>
          <w:rFonts w:ascii="Times New Roman" w:hAnsi="Times New Roman"/>
        </w:rPr>
        <w:t>spojené so zvýšenou resorp</w:t>
      </w:r>
      <w:r w:rsidR="004D7943" w:rsidRPr="007A4C44">
        <w:rPr>
          <w:rFonts w:ascii="Times New Roman" w:hAnsi="Times New Roman"/>
        </w:rPr>
        <w:t>ciou embrya a úmrtnosťou plodu.</w:t>
      </w:r>
    </w:p>
    <w:p w:rsidR="004D7943" w:rsidRPr="007A4C44" w:rsidRDefault="004D794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4D7943" w:rsidRPr="007A4C44" w:rsidRDefault="00881B76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 xml:space="preserve">V štúdii prenatálneho a postnatálneho vývoja u samíc potkanov vyvolával anagrelid pri perorálnych dávkach ≥10 mg/kg iný ako nežiaduci účinok v podobe </w:t>
      </w:r>
      <w:r w:rsidR="006B2AEF" w:rsidRPr="007A4C44">
        <w:rPr>
          <w:rFonts w:ascii="Times New Roman" w:hAnsi="Times New Roman"/>
        </w:rPr>
        <w:t>predĺženia doby</w:t>
      </w:r>
      <w:r w:rsidRPr="007A4C44">
        <w:rPr>
          <w:rFonts w:ascii="Times New Roman" w:hAnsi="Times New Roman"/>
        </w:rPr>
        <w:t xml:space="preserve"> gravidity. Pri dávke NOEL (3</w:t>
      </w:r>
      <w:r w:rsidR="006B2AEF" w:rsidRPr="007A4C44">
        <w:rPr>
          <w:rFonts w:ascii="Times New Roman" w:hAnsi="Times New Roman"/>
        </w:rPr>
        <w:t> </w:t>
      </w:r>
      <w:r w:rsidRPr="007A4C44">
        <w:rPr>
          <w:rFonts w:ascii="Times New Roman" w:hAnsi="Times New Roman"/>
        </w:rPr>
        <w:t xml:space="preserve">mg/kg/deň), AUC pre anagrelid a metabolity BCH24426 a RL603 bola 14-, 2- a 2-násobne vyššia ako AUC u ľudí </w:t>
      </w:r>
      <w:r w:rsidR="006B2AEF" w:rsidRPr="007A4C44">
        <w:rPr>
          <w:rFonts w:ascii="Times New Roman" w:hAnsi="Times New Roman"/>
        </w:rPr>
        <w:t xml:space="preserve">po </w:t>
      </w:r>
      <w:r w:rsidRPr="007A4C44">
        <w:rPr>
          <w:rFonts w:ascii="Times New Roman" w:hAnsi="Times New Roman"/>
        </w:rPr>
        <w:t>pod</w:t>
      </w:r>
      <w:r w:rsidR="006B2AEF" w:rsidRPr="007A4C44">
        <w:rPr>
          <w:rFonts w:ascii="Times New Roman" w:hAnsi="Times New Roman"/>
        </w:rPr>
        <w:t>ávaní</w:t>
      </w:r>
      <w:r w:rsidRPr="007A4C44">
        <w:rPr>
          <w:rFonts w:ascii="Times New Roman" w:hAnsi="Times New Roman"/>
        </w:rPr>
        <w:t xml:space="preserve"> perorá</w:t>
      </w:r>
      <w:r w:rsidR="004D7943" w:rsidRPr="007A4C44">
        <w:rPr>
          <w:rFonts w:ascii="Times New Roman" w:hAnsi="Times New Roman"/>
        </w:rPr>
        <w:t>lnej dávky anagrelidu 2 mg/deň.</w:t>
      </w:r>
    </w:p>
    <w:p w:rsidR="004D7943" w:rsidRPr="007A4C44" w:rsidRDefault="004D794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4D7943" w:rsidRPr="007A4C44" w:rsidRDefault="00881B76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Anagrelid pri dávke ≥ 60 mg/kg zvýšil dobu trvania pôrodov u samíc a mortalitu plodov. Pri dávke NOEL (30 mg/kg/deň), AUC pre anagrelid a metabolity BCH24426 a RL603 bola 425-, 31- a 13-násobne vyššia ako AUC u ľudí po</w:t>
      </w:r>
      <w:r w:rsidR="006B2AEF" w:rsidRPr="007A4C44">
        <w:rPr>
          <w:rFonts w:ascii="Times New Roman" w:hAnsi="Times New Roman"/>
        </w:rPr>
        <w:t xml:space="preserve"> po</w:t>
      </w:r>
      <w:r w:rsidRPr="007A4C44">
        <w:rPr>
          <w:rFonts w:ascii="Times New Roman" w:hAnsi="Times New Roman"/>
        </w:rPr>
        <w:t>dávan</w:t>
      </w:r>
      <w:r w:rsidR="006B2AEF" w:rsidRPr="007A4C44">
        <w:rPr>
          <w:rFonts w:ascii="Times New Roman" w:hAnsi="Times New Roman"/>
        </w:rPr>
        <w:t>í</w:t>
      </w:r>
      <w:r w:rsidRPr="007A4C44">
        <w:rPr>
          <w:rFonts w:ascii="Times New Roman" w:hAnsi="Times New Roman"/>
        </w:rPr>
        <w:t xml:space="preserve"> perorálnej dávky anagrelidu 2 mg/deň, v uvedenom poradí.</w:t>
      </w:r>
    </w:p>
    <w:p w:rsidR="004D7943" w:rsidRPr="007A4C44" w:rsidRDefault="004D794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4D7943" w:rsidRPr="007A4C44" w:rsidRDefault="00881B76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Mutagénny a karcinogénny potenciál</w:t>
      </w:r>
    </w:p>
    <w:p w:rsidR="004D7943" w:rsidRPr="007A4C44" w:rsidRDefault="00881B76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Štúdie genotoxického potenciálu anagrelidu nezistili žiadne muta</w:t>
      </w:r>
      <w:r w:rsidR="004D7943" w:rsidRPr="007A4C44">
        <w:rPr>
          <w:rFonts w:ascii="Times New Roman" w:hAnsi="Times New Roman"/>
        </w:rPr>
        <w:t>génne alebo klastogénne účinky.</w:t>
      </w:r>
    </w:p>
    <w:p w:rsidR="004D7943" w:rsidRPr="007A4C44" w:rsidRDefault="004D794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881B76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 xml:space="preserve">Počas dvojročnej štúdie karcinogenity na potkanoch boli pozorované neneoplastické a neoplastické </w:t>
      </w:r>
      <w:r w:rsidR="006B2AEF" w:rsidRPr="007A4C44">
        <w:rPr>
          <w:rFonts w:ascii="Times New Roman" w:hAnsi="Times New Roman"/>
        </w:rPr>
        <w:t>nálezy</w:t>
      </w:r>
      <w:r w:rsidRPr="007A4C44">
        <w:rPr>
          <w:rFonts w:ascii="Times New Roman" w:hAnsi="Times New Roman"/>
        </w:rPr>
        <w:t>, ktoré súviseli alebo sa pripisovali prehnanému zvýšenému farmakologickému účinku. V rámci nich sa výskyt adrenáln</w:t>
      </w:r>
      <w:r w:rsidR="006B2AEF" w:rsidRPr="007A4C44">
        <w:rPr>
          <w:rFonts w:ascii="Times New Roman" w:hAnsi="Times New Roman"/>
        </w:rPr>
        <w:t>ych</w:t>
      </w:r>
      <w:r w:rsidRPr="007A4C44">
        <w:rPr>
          <w:rFonts w:ascii="Times New Roman" w:hAnsi="Times New Roman"/>
        </w:rPr>
        <w:t xml:space="preserve"> feochromocytóm</w:t>
      </w:r>
      <w:r w:rsidR="006B2AEF" w:rsidRPr="007A4C44">
        <w:rPr>
          <w:rFonts w:ascii="Times New Roman" w:hAnsi="Times New Roman"/>
        </w:rPr>
        <w:t>ov</w:t>
      </w:r>
      <w:r w:rsidRPr="007A4C44">
        <w:rPr>
          <w:rFonts w:ascii="Times New Roman" w:hAnsi="Times New Roman"/>
        </w:rPr>
        <w:t xml:space="preserve"> zvýšil </w:t>
      </w:r>
      <w:r w:rsidR="006B2AEF" w:rsidRPr="007A4C44">
        <w:rPr>
          <w:rFonts w:ascii="Times New Roman" w:hAnsi="Times New Roman"/>
        </w:rPr>
        <w:t>v porovnaní s kontrolnými zvieratami</w:t>
      </w:r>
      <w:r w:rsidRPr="007A4C44">
        <w:rPr>
          <w:rFonts w:ascii="Times New Roman" w:hAnsi="Times New Roman"/>
        </w:rPr>
        <w:t xml:space="preserve"> u samčekov pri všetkých úrovniach dávok (≥ 3 mg/kg/deň) a u samičiek pri dávke 10</w:t>
      </w:r>
      <w:r w:rsidR="004D7943" w:rsidRPr="007A4C44">
        <w:rPr>
          <w:rFonts w:ascii="Times New Roman" w:hAnsi="Times New Roman"/>
        </w:rPr>
        <w:t> </w:t>
      </w:r>
      <w:r w:rsidRPr="007A4C44">
        <w:rPr>
          <w:rFonts w:ascii="Times New Roman" w:hAnsi="Times New Roman"/>
        </w:rPr>
        <w:t>mg/kg/deň a vyššej. Najnižšia dávka u samčekov (3 mg/kg/deň) zodpovedá 37</w:t>
      </w:r>
      <w:r w:rsidR="006B2AEF" w:rsidRPr="007A4C44">
        <w:rPr>
          <w:rFonts w:ascii="Times New Roman" w:hAnsi="Times New Roman"/>
        </w:rPr>
        <w:t>-</w:t>
      </w:r>
      <w:r w:rsidRPr="007A4C44">
        <w:rPr>
          <w:rFonts w:ascii="Times New Roman" w:hAnsi="Times New Roman"/>
        </w:rPr>
        <w:t xml:space="preserve">násobku </w:t>
      </w:r>
      <w:r w:rsidR="006B2AEF" w:rsidRPr="007A4C44">
        <w:rPr>
          <w:rFonts w:ascii="Times New Roman" w:hAnsi="Times New Roman"/>
        </w:rPr>
        <w:t>expozície</w:t>
      </w:r>
      <w:r w:rsidRPr="007A4C44">
        <w:rPr>
          <w:rFonts w:ascii="Times New Roman" w:hAnsi="Times New Roman"/>
        </w:rPr>
        <w:t xml:space="preserve"> </w:t>
      </w:r>
      <w:r w:rsidR="006B2AEF" w:rsidRPr="007A4C44">
        <w:rPr>
          <w:rFonts w:ascii="Times New Roman" w:hAnsi="Times New Roman"/>
        </w:rPr>
        <w:t>(</w:t>
      </w:r>
      <w:r w:rsidRPr="007A4C44">
        <w:rPr>
          <w:rFonts w:ascii="Times New Roman" w:hAnsi="Times New Roman"/>
        </w:rPr>
        <w:t>AUC</w:t>
      </w:r>
      <w:r w:rsidR="006B2AEF" w:rsidRPr="007A4C44">
        <w:rPr>
          <w:rFonts w:ascii="Times New Roman" w:hAnsi="Times New Roman"/>
        </w:rPr>
        <w:t>)</w:t>
      </w:r>
      <w:r w:rsidRPr="007A4C44">
        <w:rPr>
          <w:rFonts w:ascii="Times New Roman" w:hAnsi="Times New Roman"/>
        </w:rPr>
        <w:t xml:space="preserve"> u človeka po </w:t>
      </w:r>
      <w:r w:rsidR="006B2AEF" w:rsidRPr="007A4C44">
        <w:rPr>
          <w:rFonts w:ascii="Times New Roman" w:hAnsi="Times New Roman"/>
        </w:rPr>
        <w:t xml:space="preserve">podaní dávky </w:t>
      </w:r>
      <w:r w:rsidRPr="007A4C44">
        <w:rPr>
          <w:rFonts w:ascii="Times New Roman" w:hAnsi="Times New Roman"/>
        </w:rPr>
        <w:t xml:space="preserve">1 mg dvakrát denne. Adenokarcinómy maternice epigenetického pôvodu mohli súvisieť s enzýmovou indukciou rodiny enzýmov CYP1. Boli pozorované u samičiek prijímajúcich 30 mg/kg/deň, čo zodpovedá 572-násobku </w:t>
      </w:r>
      <w:r w:rsidR="006B2AEF" w:rsidRPr="007A4C44">
        <w:rPr>
          <w:rFonts w:ascii="Times New Roman" w:hAnsi="Times New Roman"/>
        </w:rPr>
        <w:t>expozície</w:t>
      </w:r>
      <w:r w:rsidRPr="007A4C44">
        <w:rPr>
          <w:rFonts w:ascii="Times New Roman" w:hAnsi="Times New Roman"/>
        </w:rPr>
        <w:t xml:space="preserve"> </w:t>
      </w:r>
      <w:r w:rsidR="006B2AEF" w:rsidRPr="007A4C44">
        <w:rPr>
          <w:rFonts w:ascii="Times New Roman" w:hAnsi="Times New Roman"/>
        </w:rPr>
        <w:t>(</w:t>
      </w:r>
      <w:r w:rsidRPr="007A4C44">
        <w:rPr>
          <w:rFonts w:ascii="Times New Roman" w:hAnsi="Times New Roman"/>
        </w:rPr>
        <w:t>AUC</w:t>
      </w:r>
      <w:r w:rsidR="006B2AEF" w:rsidRPr="007A4C44">
        <w:rPr>
          <w:rFonts w:ascii="Times New Roman" w:hAnsi="Times New Roman"/>
        </w:rPr>
        <w:t>)</w:t>
      </w:r>
      <w:r w:rsidRPr="007A4C44">
        <w:rPr>
          <w:rFonts w:ascii="Times New Roman" w:hAnsi="Times New Roman"/>
        </w:rPr>
        <w:t xml:space="preserve"> u človeka po </w:t>
      </w:r>
      <w:r w:rsidR="006B2AEF" w:rsidRPr="007A4C44">
        <w:rPr>
          <w:rFonts w:ascii="Times New Roman" w:hAnsi="Times New Roman"/>
        </w:rPr>
        <w:t xml:space="preserve">podaní dávky </w:t>
      </w:r>
      <w:r w:rsidRPr="007A4C44">
        <w:rPr>
          <w:rFonts w:ascii="Times New Roman" w:hAnsi="Times New Roman"/>
        </w:rPr>
        <w:t>1 mg dvakrát denne.</w:t>
      </w:r>
    </w:p>
    <w:p w:rsidR="00881B76" w:rsidRPr="007A4C44" w:rsidRDefault="00881B76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881B76" w:rsidRPr="007A4C44" w:rsidRDefault="00881B76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EC32A3" w:rsidP="007A4C44">
      <w:pPr>
        <w:widowControl w:val="0"/>
        <w:spacing w:after="0" w:line="240" w:lineRule="auto"/>
        <w:ind w:left="567" w:hanging="567"/>
        <w:rPr>
          <w:rFonts w:ascii="Times New Roman" w:hAnsi="Times New Roman"/>
          <w:b/>
        </w:rPr>
      </w:pPr>
      <w:r w:rsidRPr="007A4C44">
        <w:rPr>
          <w:rFonts w:ascii="Times New Roman" w:hAnsi="Times New Roman"/>
          <w:b/>
        </w:rPr>
        <w:t>6.</w:t>
      </w:r>
      <w:r w:rsidRPr="007A4C44">
        <w:rPr>
          <w:rFonts w:ascii="Times New Roman" w:hAnsi="Times New Roman"/>
          <w:b/>
        </w:rPr>
        <w:tab/>
        <w:t>FARMACEUTICKÉ INFORMÁCIE</w:t>
      </w: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EC32A3" w:rsidP="007A4C44">
      <w:pPr>
        <w:widowControl w:val="0"/>
        <w:spacing w:after="0" w:line="240" w:lineRule="auto"/>
        <w:ind w:left="567" w:hanging="567"/>
        <w:rPr>
          <w:rFonts w:ascii="Times New Roman" w:hAnsi="Times New Roman"/>
          <w:b/>
        </w:rPr>
      </w:pPr>
      <w:r w:rsidRPr="007A4C44">
        <w:rPr>
          <w:rFonts w:ascii="Times New Roman" w:hAnsi="Times New Roman"/>
          <w:b/>
        </w:rPr>
        <w:t>6.1</w:t>
      </w:r>
      <w:r w:rsidRPr="007A4C44">
        <w:rPr>
          <w:rFonts w:ascii="Times New Roman" w:hAnsi="Times New Roman"/>
          <w:b/>
        </w:rPr>
        <w:tab/>
        <w:t>Zoznam pomocných látok</w:t>
      </w: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881B76" w:rsidRPr="007A4C44" w:rsidRDefault="00881B76" w:rsidP="007A4C44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7A4C44">
        <w:rPr>
          <w:rFonts w:ascii="Times New Roman" w:hAnsi="Times New Roman"/>
          <w:u w:val="single"/>
        </w:rPr>
        <w:t>Obsah kapsuly</w:t>
      </w:r>
      <w:r w:rsidR="00B00486" w:rsidRPr="007A4C44">
        <w:rPr>
          <w:rFonts w:ascii="Times New Roman" w:hAnsi="Times New Roman"/>
          <w:u w:val="single"/>
        </w:rPr>
        <w:t>:</w:t>
      </w:r>
    </w:p>
    <w:p w:rsidR="00B00486" w:rsidRPr="007A4C44" w:rsidRDefault="00B00486" w:rsidP="007A4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lang w:eastAsia="sk-SK"/>
        </w:rPr>
      </w:pPr>
      <w:r w:rsidRPr="007A4C44">
        <w:rPr>
          <w:rFonts w:ascii="Times New Roman" w:eastAsia="TimesNewRomanPS-BoldMT" w:hAnsi="Times New Roman"/>
          <w:lang w:eastAsia="sk-SK"/>
        </w:rPr>
        <w:lastRenderedPageBreak/>
        <w:t>povidón K-30 (E-1201)</w:t>
      </w:r>
    </w:p>
    <w:p w:rsidR="00B00486" w:rsidRPr="007A4C44" w:rsidRDefault="00B00486" w:rsidP="007A4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lang w:eastAsia="sk-SK"/>
        </w:rPr>
      </w:pPr>
      <w:r w:rsidRPr="007A4C44">
        <w:rPr>
          <w:rFonts w:ascii="Times New Roman" w:eastAsia="TimesNewRomanPS-BoldMT" w:hAnsi="Times New Roman"/>
          <w:lang w:eastAsia="sk-SK"/>
        </w:rPr>
        <w:t>bezvodá laktóza</w:t>
      </w:r>
    </w:p>
    <w:p w:rsidR="00B00486" w:rsidRPr="007A4C44" w:rsidRDefault="00B00486" w:rsidP="007A4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lang w:eastAsia="sk-SK"/>
        </w:rPr>
      </w:pPr>
      <w:r w:rsidRPr="007A4C44">
        <w:rPr>
          <w:rFonts w:ascii="Times New Roman" w:eastAsia="TimesNewRomanPS-BoldMT" w:hAnsi="Times New Roman"/>
          <w:lang w:eastAsia="sk-SK"/>
        </w:rPr>
        <w:t>monohydrát laktózy</w:t>
      </w:r>
    </w:p>
    <w:p w:rsidR="00914622" w:rsidRPr="007A4C44" w:rsidRDefault="00914622" w:rsidP="007A4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lang w:eastAsia="sk-SK"/>
        </w:rPr>
      </w:pPr>
      <w:r w:rsidRPr="007A4C44">
        <w:rPr>
          <w:rFonts w:ascii="Times New Roman" w:eastAsia="TimesNewRomanPS-BoldMT" w:hAnsi="Times New Roman"/>
          <w:lang w:eastAsia="sk-SK"/>
        </w:rPr>
        <w:t>mikrokryštalická celulóza (E-460)</w:t>
      </w:r>
    </w:p>
    <w:p w:rsidR="00B00486" w:rsidRPr="007A4C44" w:rsidRDefault="00B00486" w:rsidP="007A4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lang w:eastAsia="sk-SK"/>
        </w:rPr>
      </w:pPr>
      <w:r w:rsidRPr="007A4C44">
        <w:rPr>
          <w:rFonts w:ascii="Times New Roman" w:eastAsia="TimesNewRomanPS-BoldMT" w:hAnsi="Times New Roman"/>
          <w:lang w:eastAsia="sk-SK"/>
        </w:rPr>
        <w:t xml:space="preserve">krospovidón </w:t>
      </w:r>
      <w:r w:rsidR="00914622" w:rsidRPr="007A4C44">
        <w:rPr>
          <w:rFonts w:ascii="Times New Roman" w:eastAsia="TimesNewRomanPS-BoldMT" w:hAnsi="Times New Roman"/>
          <w:lang w:eastAsia="sk-SK"/>
        </w:rPr>
        <w:t>t</w:t>
      </w:r>
      <w:r w:rsidRPr="007A4C44">
        <w:rPr>
          <w:rFonts w:ascii="Times New Roman" w:eastAsia="TimesNewRomanPS-BoldMT" w:hAnsi="Times New Roman"/>
          <w:lang w:eastAsia="sk-SK"/>
        </w:rPr>
        <w:t>yp A (E-1202)</w:t>
      </w:r>
    </w:p>
    <w:p w:rsidR="00B00486" w:rsidRPr="007A4C44" w:rsidRDefault="00914622" w:rsidP="007A4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lang w:eastAsia="sk-SK"/>
        </w:rPr>
      </w:pPr>
      <w:r w:rsidRPr="007A4C44">
        <w:rPr>
          <w:rFonts w:ascii="Times New Roman" w:eastAsia="TimesNewRomanPS-BoldMT" w:hAnsi="Times New Roman"/>
          <w:lang w:eastAsia="sk-SK"/>
        </w:rPr>
        <w:t>stearan horečnatý</w:t>
      </w:r>
    </w:p>
    <w:p w:rsidR="00B00486" w:rsidRPr="007A4C44" w:rsidRDefault="00B00486" w:rsidP="007A4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lang w:eastAsia="sk-SK"/>
        </w:rPr>
      </w:pPr>
    </w:p>
    <w:p w:rsidR="00B00486" w:rsidRPr="007A4C44" w:rsidRDefault="00B00486" w:rsidP="007A4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u w:val="single"/>
          <w:lang w:eastAsia="sk-SK"/>
        </w:rPr>
      </w:pPr>
      <w:r w:rsidRPr="007A4C44">
        <w:rPr>
          <w:rFonts w:ascii="Times New Roman" w:eastAsia="TimesNewRomanPS-BoldMT" w:hAnsi="Times New Roman"/>
          <w:u w:val="single"/>
          <w:lang w:eastAsia="sk-SK"/>
        </w:rPr>
        <w:t>Obal kapsuly:</w:t>
      </w:r>
    </w:p>
    <w:p w:rsidR="00B00486" w:rsidRPr="007A4C44" w:rsidRDefault="00B00486" w:rsidP="007A4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lang w:eastAsia="sk-SK"/>
        </w:rPr>
      </w:pPr>
      <w:r w:rsidRPr="007A4C44">
        <w:rPr>
          <w:rFonts w:ascii="Times New Roman" w:eastAsia="TimesNewRomanPS-BoldMT" w:hAnsi="Times New Roman"/>
          <w:lang w:eastAsia="sk-SK"/>
        </w:rPr>
        <w:t>želatína (E-441)</w:t>
      </w:r>
    </w:p>
    <w:p w:rsidR="00B00486" w:rsidRPr="007A4C44" w:rsidRDefault="00B00486" w:rsidP="007A4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lang w:eastAsia="sk-SK"/>
        </w:rPr>
      </w:pPr>
      <w:r w:rsidRPr="007A4C44">
        <w:rPr>
          <w:rFonts w:ascii="Times New Roman" w:eastAsia="TimesNewRomanPSMT" w:hAnsi="Times New Roman"/>
          <w:lang w:eastAsia="sk-SK"/>
        </w:rPr>
        <w:t>oxid titaničitý (E-171)</w:t>
      </w: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EC32A3" w:rsidP="007A4C44">
      <w:pPr>
        <w:widowControl w:val="0"/>
        <w:spacing w:after="0" w:line="240" w:lineRule="auto"/>
        <w:ind w:left="567" w:hanging="567"/>
        <w:rPr>
          <w:rFonts w:ascii="Times New Roman" w:hAnsi="Times New Roman"/>
          <w:b/>
        </w:rPr>
      </w:pPr>
      <w:r w:rsidRPr="007A4C44">
        <w:rPr>
          <w:rFonts w:ascii="Times New Roman" w:hAnsi="Times New Roman"/>
          <w:b/>
        </w:rPr>
        <w:t>6.2</w:t>
      </w:r>
      <w:r w:rsidRPr="007A4C44">
        <w:rPr>
          <w:rFonts w:ascii="Times New Roman" w:hAnsi="Times New Roman"/>
          <w:b/>
        </w:rPr>
        <w:tab/>
        <w:t>Inkompatibility</w:t>
      </w: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Neaplikovateľné.</w:t>
      </w: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EC32A3" w:rsidP="007A4C44">
      <w:pPr>
        <w:widowControl w:val="0"/>
        <w:spacing w:after="0" w:line="240" w:lineRule="auto"/>
        <w:ind w:left="567" w:hanging="567"/>
        <w:rPr>
          <w:rFonts w:ascii="Times New Roman" w:hAnsi="Times New Roman"/>
          <w:b/>
        </w:rPr>
      </w:pPr>
      <w:r w:rsidRPr="007A4C44">
        <w:rPr>
          <w:rFonts w:ascii="Times New Roman" w:hAnsi="Times New Roman"/>
          <w:b/>
        </w:rPr>
        <w:t>6.3</w:t>
      </w:r>
      <w:r w:rsidRPr="007A4C44">
        <w:rPr>
          <w:rFonts w:ascii="Times New Roman" w:hAnsi="Times New Roman"/>
          <w:b/>
        </w:rPr>
        <w:tab/>
        <w:t>Čas použiteľnosti</w:t>
      </w: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B00486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4</w:t>
      </w:r>
      <w:r w:rsidR="00457067" w:rsidRPr="007A4C44">
        <w:rPr>
          <w:rFonts w:ascii="Times New Roman" w:hAnsi="Times New Roman"/>
        </w:rPr>
        <w:t xml:space="preserve"> </w:t>
      </w:r>
      <w:r w:rsidR="00EC32A3" w:rsidRPr="007A4C44">
        <w:rPr>
          <w:rFonts w:ascii="Times New Roman" w:hAnsi="Times New Roman"/>
        </w:rPr>
        <w:t>roky.</w:t>
      </w: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EC32A3" w:rsidP="007A4C44">
      <w:pPr>
        <w:widowControl w:val="0"/>
        <w:spacing w:after="0" w:line="240" w:lineRule="auto"/>
        <w:ind w:left="567" w:hanging="567"/>
        <w:rPr>
          <w:rFonts w:ascii="Times New Roman" w:hAnsi="Times New Roman"/>
          <w:b/>
        </w:rPr>
      </w:pPr>
      <w:r w:rsidRPr="007A4C44">
        <w:rPr>
          <w:rFonts w:ascii="Times New Roman" w:hAnsi="Times New Roman"/>
          <w:b/>
        </w:rPr>
        <w:t>6.4</w:t>
      </w:r>
      <w:r w:rsidRPr="007A4C44">
        <w:rPr>
          <w:rFonts w:ascii="Times New Roman" w:hAnsi="Times New Roman"/>
          <w:b/>
        </w:rPr>
        <w:tab/>
        <w:t>Špeciálne upozornenia na uchovávanie</w:t>
      </w: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B00486" w:rsidRPr="007A4C44" w:rsidRDefault="00B00486" w:rsidP="007A4C44">
      <w:pPr>
        <w:widowControl w:val="0"/>
        <w:spacing w:after="0" w:line="240" w:lineRule="auto"/>
        <w:contextualSpacing/>
        <w:rPr>
          <w:rFonts w:ascii="Times New Roman" w:hAnsi="Times New Roman"/>
        </w:rPr>
      </w:pPr>
      <w:r w:rsidRPr="007A4C44">
        <w:rPr>
          <w:rFonts w:ascii="Times New Roman" w:hAnsi="Times New Roman"/>
        </w:rPr>
        <w:t>Uchovávajte pri teplote do 30 ºC. Uchovávajte v pôvodnom obale na ochranu pred vlhkosťou.</w:t>
      </w:r>
    </w:p>
    <w:p w:rsidR="00B00486" w:rsidRPr="007A4C44" w:rsidRDefault="00B00486" w:rsidP="007A4C44">
      <w:pPr>
        <w:widowControl w:val="0"/>
        <w:spacing w:after="0" w:line="240" w:lineRule="auto"/>
        <w:contextualSpacing/>
        <w:rPr>
          <w:rFonts w:ascii="Times New Roman" w:hAnsi="Times New Roman"/>
        </w:rPr>
      </w:pPr>
    </w:p>
    <w:p w:rsidR="00B00486" w:rsidRPr="007A4C44" w:rsidRDefault="00B00486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Po prvom otvorení spotrebujte do 100 dní, fľašu uchovávajte pevne uzatvorenú a na suchom mieste.</w:t>
      </w:r>
    </w:p>
    <w:p w:rsidR="00B00486" w:rsidRPr="007A4C44" w:rsidRDefault="00B00486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EC32A3" w:rsidP="007A4C44">
      <w:pPr>
        <w:widowControl w:val="0"/>
        <w:spacing w:after="0" w:line="240" w:lineRule="auto"/>
        <w:ind w:left="567" w:hanging="567"/>
        <w:rPr>
          <w:rFonts w:ascii="Times New Roman" w:hAnsi="Times New Roman"/>
          <w:b/>
        </w:rPr>
      </w:pPr>
      <w:r w:rsidRPr="007A4C44">
        <w:rPr>
          <w:rFonts w:ascii="Times New Roman" w:hAnsi="Times New Roman"/>
          <w:b/>
        </w:rPr>
        <w:t>6.5</w:t>
      </w:r>
      <w:r w:rsidRPr="007A4C44">
        <w:rPr>
          <w:rFonts w:ascii="Times New Roman" w:hAnsi="Times New Roman"/>
          <w:b/>
        </w:rPr>
        <w:tab/>
        <w:t>Druh obalu a obsah balenia</w:t>
      </w: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881B76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 xml:space="preserve">Polyetylénové fľaše s vysokou hustotou (HDPE) s detským </w:t>
      </w:r>
      <w:r w:rsidR="00B00486" w:rsidRPr="007A4C44">
        <w:rPr>
          <w:rFonts w:ascii="Times New Roman" w:hAnsi="Times New Roman"/>
        </w:rPr>
        <w:t xml:space="preserve">polypropylénovým </w:t>
      </w:r>
      <w:r w:rsidRPr="007A4C44">
        <w:rPr>
          <w:rFonts w:ascii="Times New Roman" w:hAnsi="Times New Roman"/>
        </w:rPr>
        <w:t>bezpečnostným uzáverom a s vysúšadlom obsahujúce 100 kapsúl.</w:t>
      </w:r>
    </w:p>
    <w:p w:rsidR="00881B76" w:rsidRPr="007A4C44" w:rsidRDefault="00881B76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EC32A3" w:rsidP="007A4C44">
      <w:pPr>
        <w:widowControl w:val="0"/>
        <w:spacing w:after="0" w:line="240" w:lineRule="auto"/>
        <w:ind w:left="567" w:hanging="567"/>
        <w:rPr>
          <w:rFonts w:ascii="Times New Roman" w:hAnsi="Times New Roman"/>
          <w:b/>
        </w:rPr>
      </w:pPr>
      <w:r w:rsidRPr="007A4C44">
        <w:rPr>
          <w:rFonts w:ascii="Times New Roman" w:hAnsi="Times New Roman"/>
          <w:b/>
        </w:rPr>
        <w:t>6.6</w:t>
      </w:r>
      <w:r w:rsidRPr="007A4C44">
        <w:rPr>
          <w:rFonts w:ascii="Times New Roman" w:hAnsi="Times New Roman"/>
          <w:b/>
        </w:rPr>
        <w:tab/>
        <w:t>Špeciálne opatrenia na likvidáciu</w:t>
      </w: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755F4D" w:rsidRPr="007A4C44" w:rsidRDefault="00914622" w:rsidP="007A4C44">
      <w:pPr>
        <w:pStyle w:val="Odsekzoznamu"/>
        <w:widowControl w:val="0"/>
        <w:spacing w:after="0" w:line="240" w:lineRule="auto"/>
        <w:ind w:left="0"/>
        <w:rPr>
          <w:rFonts w:ascii="Times New Roman" w:hAnsi="Times New Roman"/>
        </w:rPr>
      </w:pPr>
      <w:r w:rsidRPr="007A4C44">
        <w:rPr>
          <w:rFonts w:ascii="Times New Roman" w:hAnsi="Times New Roman"/>
        </w:rPr>
        <w:t>Žiadne zvláštne požiadavky.</w:t>
      </w: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755F4D" w:rsidRPr="007A4C44" w:rsidRDefault="00755F4D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7A4C44">
        <w:rPr>
          <w:rFonts w:ascii="Times New Roman" w:hAnsi="Times New Roman"/>
          <w:b/>
        </w:rPr>
        <w:t>7.</w:t>
      </w:r>
      <w:r w:rsidRPr="007A4C44">
        <w:rPr>
          <w:rFonts w:ascii="Times New Roman" w:hAnsi="Times New Roman"/>
          <w:b/>
        </w:rPr>
        <w:tab/>
        <w:t>DRŽITEĽ ROZHODNUTIA O REGISTRÁCII</w:t>
      </w: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>Glenmark Pharmaceuticals s.r.o., Hvězdova 1716/2b, 140 78 Praha 4, Česká republika</w:t>
      </w: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EC32A3" w:rsidP="007A4C44">
      <w:pPr>
        <w:widowControl w:val="0"/>
        <w:spacing w:after="0" w:line="240" w:lineRule="auto"/>
        <w:ind w:left="567" w:hanging="567"/>
        <w:rPr>
          <w:rFonts w:ascii="Times New Roman" w:hAnsi="Times New Roman"/>
          <w:b/>
        </w:rPr>
      </w:pPr>
      <w:r w:rsidRPr="007A4C44">
        <w:rPr>
          <w:rFonts w:ascii="Times New Roman" w:hAnsi="Times New Roman"/>
          <w:b/>
        </w:rPr>
        <w:t>8.</w:t>
      </w:r>
      <w:r w:rsidRPr="007A4C44">
        <w:rPr>
          <w:rFonts w:ascii="Times New Roman" w:hAnsi="Times New Roman"/>
          <w:b/>
        </w:rPr>
        <w:tab/>
        <w:t>REGISTRAČNÉ ČÍSLO</w:t>
      </w: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Default="00D933A4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D933A4">
        <w:rPr>
          <w:rFonts w:ascii="Times New Roman" w:hAnsi="Times New Roman"/>
        </w:rPr>
        <w:t>44/0022/18-S</w:t>
      </w:r>
    </w:p>
    <w:p w:rsidR="00D933A4" w:rsidRPr="007A4C44" w:rsidRDefault="00D933A4" w:rsidP="007A4C44">
      <w:pPr>
        <w:widowControl w:val="0"/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EC32A3" w:rsidP="007A4C44">
      <w:pPr>
        <w:widowControl w:val="0"/>
        <w:spacing w:after="0" w:line="240" w:lineRule="auto"/>
        <w:ind w:left="567" w:hanging="567"/>
        <w:rPr>
          <w:rFonts w:ascii="Times New Roman" w:hAnsi="Times New Roman"/>
          <w:b/>
        </w:rPr>
      </w:pPr>
      <w:r w:rsidRPr="007A4C44">
        <w:rPr>
          <w:rFonts w:ascii="Times New Roman" w:hAnsi="Times New Roman"/>
          <w:b/>
        </w:rPr>
        <w:t>9.</w:t>
      </w:r>
      <w:r w:rsidRPr="007A4C44">
        <w:rPr>
          <w:rFonts w:ascii="Times New Roman" w:hAnsi="Times New Roman"/>
          <w:b/>
        </w:rPr>
        <w:tab/>
        <w:t>DÁTUM PRVEJ REGISTRÁCIE / PREDĹŽENIA REGISTRÁCIE</w:t>
      </w: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881B76" w:rsidP="007A4C44">
      <w:pPr>
        <w:widowControl w:val="0"/>
        <w:spacing w:after="0" w:line="240" w:lineRule="auto"/>
        <w:rPr>
          <w:rFonts w:ascii="Times New Roman" w:hAnsi="Times New Roman"/>
        </w:rPr>
      </w:pPr>
      <w:r w:rsidRPr="007A4C44">
        <w:rPr>
          <w:rFonts w:ascii="Times New Roman" w:hAnsi="Times New Roman"/>
        </w:rPr>
        <w:t xml:space="preserve">Dátum prvej registrácie: </w:t>
      </w: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EC32A3" w:rsidP="007A4C44">
      <w:pPr>
        <w:widowControl w:val="0"/>
        <w:spacing w:after="0" w:line="240" w:lineRule="auto"/>
        <w:rPr>
          <w:rFonts w:ascii="Times New Roman" w:hAnsi="Times New Roman"/>
        </w:rPr>
      </w:pPr>
    </w:p>
    <w:p w:rsidR="00EC32A3" w:rsidRPr="007A4C44" w:rsidRDefault="00EC32A3" w:rsidP="007A4C44">
      <w:pPr>
        <w:widowControl w:val="0"/>
        <w:spacing w:after="0" w:line="240" w:lineRule="auto"/>
        <w:ind w:left="567" w:hanging="567"/>
        <w:rPr>
          <w:rFonts w:ascii="Times New Roman" w:hAnsi="Times New Roman"/>
          <w:b/>
        </w:rPr>
      </w:pPr>
      <w:r w:rsidRPr="007A4C44">
        <w:rPr>
          <w:rFonts w:ascii="Times New Roman" w:hAnsi="Times New Roman"/>
          <w:b/>
        </w:rPr>
        <w:t>10.</w:t>
      </w:r>
      <w:r w:rsidRPr="007A4C44">
        <w:rPr>
          <w:rFonts w:ascii="Times New Roman" w:hAnsi="Times New Roman"/>
          <w:b/>
        </w:rPr>
        <w:tab/>
        <w:t>DÁTUM REVÍZIE TEXTU</w:t>
      </w:r>
    </w:p>
    <w:p w:rsidR="00EC32A3" w:rsidRPr="007A4C44" w:rsidRDefault="00EC32A3" w:rsidP="007A4C44">
      <w:pPr>
        <w:widowControl w:val="0"/>
        <w:spacing w:after="0" w:line="240" w:lineRule="auto"/>
        <w:ind w:left="567" w:hanging="567"/>
        <w:rPr>
          <w:rFonts w:ascii="Times New Roman" w:hAnsi="Times New Roman"/>
        </w:rPr>
      </w:pPr>
    </w:p>
    <w:p w:rsidR="00EC32A3" w:rsidRPr="007A4C44" w:rsidRDefault="00914622" w:rsidP="007A4C44">
      <w:pPr>
        <w:widowControl w:val="0"/>
        <w:spacing w:after="0" w:line="240" w:lineRule="auto"/>
        <w:ind w:left="567" w:hanging="567"/>
        <w:rPr>
          <w:rFonts w:ascii="Times New Roman" w:hAnsi="Times New Roman"/>
        </w:rPr>
      </w:pPr>
      <w:r w:rsidRPr="007A4C44">
        <w:rPr>
          <w:rFonts w:ascii="Times New Roman" w:hAnsi="Times New Roman"/>
        </w:rPr>
        <w:t>01/</w:t>
      </w:r>
      <w:r w:rsidR="00CB0566" w:rsidRPr="007A4C44">
        <w:rPr>
          <w:rFonts w:ascii="Times New Roman" w:hAnsi="Times New Roman"/>
        </w:rPr>
        <w:t>201</w:t>
      </w:r>
      <w:r w:rsidR="00881B76" w:rsidRPr="007A4C44">
        <w:rPr>
          <w:rFonts w:ascii="Times New Roman" w:hAnsi="Times New Roman"/>
        </w:rPr>
        <w:t>8</w:t>
      </w:r>
    </w:p>
    <w:sectPr w:rsidR="00EC32A3" w:rsidRPr="007A4C44" w:rsidSect="00BA497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2A9" w:rsidRDefault="00E972A9" w:rsidP="00A473D4">
      <w:pPr>
        <w:spacing w:after="0" w:line="240" w:lineRule="auto"/>
      </w:pPr>
      <w:r>
        <w:separator/>
      </w:r>
    </w:p>
  </w:endnote>
  <w:endnote w:type="continuationSeparator" w:id="0">
    <w:p w:rsidR="00E972A9" w:rsidRDefault="00E972A9" w:rsidP="00A47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681896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E972A9" w:rsidRPr="00125C34" w:rsidRDefault="00E972A9" w:rsidP="00881B76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7463E7">
          <w:rPr>
            <w:rFonts w:ascii="Times New Roman" w:hAnsi="Times New Roman"/>
            <w:sz w:val="18"/>
            <w:szCs w:val="18"/>
          </w:rPr>
          <w:fldChar w:fldCharType="begin"/>
        </w:r>
        <w:r w:rsidRPr="007463E7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463E7">
          <w:rPr>
            <w:rFonts w:ascii="Times New Roman" w:hAnsi="Times New Roman"/>
            <w:sz w:val="18"/>
            <w:szCs w:val="18"/>
          </w:rPr>
          <w:fldChar w:fldCharType="separate"/>
        </w:r>
        <w:r w:rsidR="00D933A4">
          <w:rPr>
            <w:rFonts w:ascii="Times New Roman" w:hAnsi="Times New Roman"/>
            <w:noProof/>
            <w:sz w:val="18"/>
            <w:szCs w:val="18"/>
          </w:rPr>
          <w:t>11</w:t>
        </w:r>
        <w:r w:rsidRPr="007463E7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50300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972A9" w:rsidRPr="00881B76" w:rsidRDefault="00E972A9" w:rsidP="00881B76">
        <w:pPr>
          <w:pStyle w:val="Pta"/>
          <w:jc w:val="center"/>
          <w:rPr>
            <w:sz w:val="18"/>
            <w:szCs w:val="18"/>
          </w:rPr>
        </w:pPr>
        <w:r w:rsidRPr="00881B76">
          <w:rPr>
            <w:rFonts w:ascii="Times New Roman" w:hAnsi="Times New Roman"/>
            <w:sz w:val="18"/>
            <w:szCs w:val="18"/>
          </w:rPr>
          <w:fldChar w:fldCharType="begin"/>
        </w:r>
        <w:r w:rsidRPr="00881B7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881B76">
          <w:rPr>
            <w:rFonts w:ascii="Times New Roman" w:hAnsi="Times New Roman"/>
            <w:sz w:val="18"/>
            <w:szCs w:val="18"/>
          </w:rPr>
          <w:fldChar w:fldCharType="separate"/>
        </w:r>
        <w:r>
          <w:rPr>
            <w:rFonts w:ascii="Times New Roman" w:hAnsi="Times New Roman"/>
            <w:noProof/>
            <w:sz w:val="18"/>
            <w:szCs w:val="18"/>
          </w:rPr>
          <w:t>1</w:t>
        </w:r>
        <w:r w:rsidRPr="00881B76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2A9" w:rsidRDefault="00E972A9" w:rsidP="00A473D4">
      <w:pPr>
        <w:spacing w:after="0" w:line="240" w:lineRule="auto"/>
      </w:pPr>
      <w:r>
        <w:separator/>
      </w:r>
    </w:p>
  </w:footnote>
  <w:footnote w:type="continuationSeparator" w:id="0">
    <w:p w:rsidR="00E972A9" w:rsidRDefault="00E972A9" w:rsidP="00A47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2A9" w:rsidRPr="00BA4979" w:rsidRDefault="00E972A9">
    <w:pPr>
      <w:pStyle w:val="Hlavika"/>
      <w:rPr>
        <w:rFonts w:ascii="Times New Roman" w:hAnsi="Times New Roman"/>
        <w:sz w:val="18"/>
        <w:szCs w:val="18"/>
      </w:rPr>
    </w:pPr>
    <w:r w:rsidRPr="00881B76">
      <w:rPr>
        <w:rFonts w:ascii="Times New Roman" w:hAnsi="Times New Roman"/>
        <w:sz w:val="18"/>
        <w:szCs w:val="18"/>
      </w:rPr>
      <w:t>Schválený text k rozhodnutiu o registrácii, ev. č.: 2016/06272-REG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2A9" w:rsidRPr="00881B76" w:rsidRDefault="00E972A9">
    <w:pPr>
      <w:pStyle w:val="Hlavika"/>
      <w:rPr>
        <w:rFonts w:ascii="Times New Roman" w:hAnsi="Times New Roman"/>
        <w:sz w:val="18"/>
        <w:szCs w:val="18"/>
      </w:rPr>
    </w:pPr>
    <w:r w:rsidRPr="00881B76">
      <w:rPr>
        <w:rFonts w:ascii="Times New Roman" w:hAnsi="Times New Roman"/>
        <w:sz w:val="18"/>
        <w:szCs w:val="18"/>
      </w:rPr>
      <w:t>Schválený text k rozhodnutiu o registrácii, ev. č.: 2016/06272-REG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55pt;height:13.8pt" o:bullet="t">
        <v:imagedata r:id="rId1" o:title="clip_image001"/>
      </v:shape>
    </w:pict>
  </w:numPicBullet>
  <w:abstractNum w:abstractNumId="0" w15:restartNumberingAfterBreak="0">
    <w:nsid w:val="08BA0221"/>
    <w:multiLevelType w:val="hybridMultilevel"/>
    <w:tmpl w:val="72884A9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0C1AEE"/>
    <w:multiLevelType w:val="hybridMultilevel"/>
    <w:tmpl w:val="2BB8A44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4439E4"/>
    <w:multiLevelType w:val="hybridMultilevel"/>
    <w:tmpl w:val="E78A58A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0906C2"/>
    <w:multiLevelType w:val="hybridMultilevel"/>
    <w:tmpl w:val="3E1041AE"/>
    <w:lvl w:ilvl="0" w:tplc="DB807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57754"/>
    <w:multiLevelType w:val="hybridMultilevel"/>
    <w:tmpl w:val="D5A0D390"/>
    <w:lvl w:ilvl="0" w:tplc="B262FC2C">
      <w:start w:val="1"/>
      <w:numFmt w:val="decimal"/>
      <w:lvlText w:val="%1"/>
      <w:lvlJc w:val="left"/>
      <w:pPr>
        <w:ind w:left="924" w:hanging="56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D7C3F"/>
    <w:multiLevelType w:val="hybridMultilevel"/>
    <w:tmpl w:val="A2144460"/>
    <w:lvl w:ilvl="0" w:tplc="89365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E79CF"/>
    <w:multiLevelType w:val="hybridMultilevel"/>
    <w:tmpl w:val="94B8DF8A"/>
    <w:lvl w:ilvl="0" w:tplc="DB807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A2ED8"/>
    <w:multiLevelType w:val="hybridMultilevel"/>
    <w:tmpl w:val="31E6BDA6"/>
    <w:lvl w:ilvl="0" w:tplc="3A0EA2B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451"/>
    <w:multiLevelType w:val="multilevel"/>
    <w:tmpl w:val="CDDAB8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426043A"/>
    <w:multiLevelType w:val="hybridMultilevel"/>
    <w:tmpl w:val="A608101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F78E3"/>
    <w:multiLevelType w:val="hybridMultilevel"/>
    <w:tmpl w:val="CAB664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379BC"/>
    <w:multiLevelType w:val="hybridMultilevel"/>
    <w:tmpl w:val="67BE3FEC"/>
    <w:lvl w:ilvl="0" w:tplc="89365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47AB3"/>
    <w:multiLevelType w:val="hybridMultilevel"/>
    <w:tmpl w:val="3FD652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103D33"/>
    <w:multiLevelType w:val="hybridMultilevel"/>
    <w:tmpl w:val="D24C508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F4D4E50"/>
    <w:multiLevelType w:val="hybridMultilevel"/>
    <w:tmpl w:val="3E56E294"/>
    <w:lvl w:ilvl="0" w:tplc="FE7208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CE94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5E7B2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F44D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E649B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0CE07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0CC7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BE9D7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FEE8A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F8D6FE6"/>
    <w:multiLevelType w:val="hybridMultilevel"/>
    <w:tmpl w:val="5F0E06B0"/>
    <w:lvl w:ilvl="0" w:tplc="D250E1C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31143"/>
    <w:multiLevelType w:val="hybridMultilevel"/>
    <w:tmpl w:val="B8C86FA0"/>
    <w:lvl w:ilvl="0" w:tplc="DCCACAFC">
      <w:start w:val="1"/>
      <w:numFmt w:val="decimal"/>
      <w:lvlText w:val="%1."/>
      <w:lvlJc w:val="left"/>
      <w:pPr>
        <w:ind w:left="45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7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9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1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3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5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7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9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16" w:hanging="180"/>
      </w:pPr>
      <w:rPr>
        <w:rFonts w:cs="Times New Roman"/>
      </w:rPr>
    </w:lvl>
  </w:abstractNum>
  <w:abstractNum w:abstractNumId="17" w15:restartNumberingAfterBreak="0">
    <w:nsid w:val="41BE530E"/>
    <w:multiLevelType w:val="hybridMultilevel"/>
    <w:tmpl w:val="51C66B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F705B4"/>
    <w:multiLevelType w:val="hybridMultilevel"/>
    <w:tmpl w:val="FDDC7148"/>
    <w:lvl w:ilvl="0" w:tplc="89365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A5AD4"/>
    <w:multiLevelType w:val="hybridMultilevel"/>
    <w:tmpl w:val="6F744434"/>
    <w:lvl w:ilvl="0" w:tplc="DB807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076CA"/>
    <w:multiLevelType w:val="hybridMultilevel"/>
    <w:tmpl w:val="A038F888"/>
    <w:lvl w:ilvl="0" w:tplc="282ED5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F936DDA"/>
    <w:multiLevelType w:val="hybridMultilevel"/>
    <w:tmpl w:val="14CAEC0E"/>
    <w:lvl w:ilvl="0" w:tplc="39FCE97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D5A40"/>
    <w:multiLevelType w:val="hybridMultilevel"/>
    <w:tmpl w:val="2E6C4CB2"/>
    <w:lvl w:ilvl="0" w:tplc="DB807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859A6"/>
    <w:multiLevelType w:val="hybridMultilevel"/>
    <w:tmpl w:val="6A1E8C50"/>
    <w:lvl w:ilvl="0" w:tplc="A7EEB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13FD4"/>
    <w:multiLevelType w:val="hybridMultilevel"/>
    <w:tmpl w:val="A01E464E"/>
    <w:lvl w:ilvl="0" w:tplc="8936510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BD20786"/>
    <w:multiLevelType w:val="hybridMultilevel"/>
    <w:tmpl w:val="508A0C7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3"/>
  </w:num>
  <w:num w:numId="3">
    <w:abstractNumId w:val="8"/>
  </w:num>
  <w:num w:numId="4">
    <w:abstractNumId w:val="24"/>
  </w:num>
  <w:num w:numId="5">
    <w:abstractNumId w:val="9"/>
  </w:num>
  <w:num w:numId="6">
    <w:abstractNumId w:val="16"/>
  </w:num>
  <w:num w:numId="7">
    <w:abstractNumId w:val="18"/>
  </w:num>
  <w:num w:numId="8">
    <w:abstractNumId w:val="7"/>
  </w:num>
  <w:num w:numId="9">
    <w:abstractNumId w:val="11"/>
  </w:num>
  <w:num w:numId="10">
    <w:abstractNumId w:val="15"/>
  </w:num>
  <w:num w:numId="11">
    <w:abstractNumId w:val="20"/>
  </w:num>
  <w:num w:numId="12">
    <w:abstractNumId w:val="2"/>
  </w:num>
  <w:num w:numId="13">
    <w:abstractNumId w:val="1"/>
  </w:num>
  <w:num w:numId="14">
    <w:abstractNumId w:val="25"/>
  </w:num>
  <w:num w:numId="15">
    <w:abstractNumId w:val="0"/>
  </w:num>
  <w:num w:numId="16">
    <w:abstractNumId w:val="17"/>
  </w:num>
  <w:num w:numId="17">
    <w:abstractNumId w:val="12"/>
  </w:num>
  <w:num w:numId="18">
    <w:abstractNumId w:val="13"/>
  </w:num>
  <w:num w:numId="19">
    <w:abstractNumId w:val="14"/>
  </w:num>
  <w:num w:numId="20">
    <w:abstractNumId w:val="4"/>
  </w:num>
  <w:num w:numId="21">
    <w:abstractNumId w:val="5"/>
  </w:num>
  <w:num w:numId="22">
    <w:abstractNumId w:val="21"/>
  </w:num>
  <w:num w:numId="23">
    <w:abstractNumId w:val="3"/>
  </w:num>
  <w:num w:numId="24">
    <w:abstractNumId w:val="19"/>
  </w:num>
  <w:num w:numId="25">
    <w:abstractNumId w:val="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E5"/>
    <w:rsid w:val="0001581A"/>
    <w:rsid w:val="00031B49"/>
    <w:rsid w:val="000373BA"/>
    <w:rsid w:val="0005449C"/>
    <w:rsid w:val="00065BF5"/>
    <w:rsid w:val="000716E4"/>
    <w:rsid w:val="0007315E"/>
    <w:rsid w:val="00077014"/>
    <w:rsid w:val="00077D60"/>
    <w:rsid w:val="00081907"/>
    <w:rsid w:val="00093031"/>
    <w:rsid w:val="000D3DA7"/>
    <w:rsid w:val="000D71B8"/>
    <w:rsid w:val="000E2488"/>
    <w:rsid w:val="0010193D"/>
    <w:rsid w:val="001149BD"/>
    <w:rsid w:val="00115895"/>
    <w:rsid w:val="00115ECA"/>
    <w:rsid w:val="00123A28"/>
    <w:rsid w:val="00125C34"/>
    <w:rsid w:val="00154389"/>
    <w:rsid w:val="00185EF3"/>
    <w:rsid w:val="00186386"/>
    <w:rsid w:val="00190F00"/>
    <w:rsid w:val="00194A35"/>
    <w:rsid w:val="001B2E08"/>
    <w:rsid w:val="001C43D9"/>
    <w:rsid w:val="001D470C"/>
    <w:rsid w:val="001E2CA1"/>
    <w:rsid w:val="00206C00"/>
    <w:rsid w:val="0022188A"/>
    <w:rsid w:val="00237FF3"/>
    <w:rsid w:val="00240943"/>
    <w:rsid w:val="002560C9"/>
    <w:rsid w:val="00273A02"/>
    <w:rsid w:val="0028233B"/>
    <w:rsid w:val="002B0BD4"/>
    <w:rsid w:val="002C23D1"/>
    <w:rsid w:val="002D2D76"/>
    <w:rsid w:val="002E4AF3"/>
    <w:rsid w:val="003076C4"/>
    <w:rsid w:val="00311531"/>
    <w:rsid w:val="003136A4"/>
    <w:rsid w:val="0032368C"/>
    <w:rsid w:val="00323F09"/>
    <w:rsid w:val="003245DD"/>
    <w:rsid w:val="00330A3F"/>
    <w:rsid w:val="003337D0"/>
    <w:rsid w:val="00337E68"/>
    <w:rsid w:val="00340567"/>
    <w:rsid w:val="00340F18"/>
    <w:rsid w:val="0036189D"/>
    <w:rsid w:val="003B4082"/>
    <w:rsid w:val="003D6CA4"/>
    <w:rsid w:val="003E28AC"/>
    <w:rsid w:val="00401503"/>
    <w:rsid w:val="00406084"/>
    <w:rsid w:val="00413FD5"/>
    <w:rsid w:val="00421612"/>
    <w:rsid w:val="00425552"/>
    <w:rsid w:val="004326CD"/>
    <w:rsid w:val="0044318F"/>
    <w:rsid w:val="00443BBC"/>
    <w:rsid w:val="00454396"/>
    <w:rsid w:val="00457067"/>
    <w:rsid w:val="00485D45"/>
    <w:rsid w:val="004A6633"/>
    <w:rsid w:val="004C7C8E"/>
    <w:rsid w:val="004D2774"/>
    <w:rsid w:val="004D477A"/>
    <w:rsid w:val="004D7943"/>
    <w:rsid w:val="004E4678"/>
    <w:rsid w:val="004F775C"/>
    <w:rsid w:val="00500B67"/>
    <w:rsid w:val="00501BE3"/>
    <w:rsid w:val="005168E8"/>
    <w:rsid w:val="005178F4"/>
    <w:rsid w:val="005354C7"/>
    <w:rsid w:val="00540505"/>
    <w:rsid w:val="005444AA"/>
    <w:rsid w:val="00550825"/>
    <w:rsid w:val="005617FC"/>
    <w:rsid w:val="005634B0"/>
    <w:rsid w:val="00574E66"/>
    <w:rsid w:val="00584A82"/>
    <w:rsid w:val="00593958"/>
    <w:rsid w:val="005B6984"/>
    <w:rsid w:val="005B6E9A"/>
    <w:rsid w:val="005D78C1"/>
    <w:rsid w:val="005F56D3"/>
    <w:rsid w:val="00620EFE"/>
    <w:rsid w:val="00624F50"/>
    <w:rsid w:val="00625354"/>
    <w:rsid w:val="00642974"/>
    <w:rsid w:val="006552C6"/>
    <w:rsid w:val="00657B41"/>
    <w:rsid w:val="006631CC"/>
    <w:rsid w:val="00676233"/>
    <w:rsid w:val="00686C82"/>
    <w:rsid w:val="006A16F2"/>
    <w:rsid w:val="006A1F2D"/>
    <w:rsid w:val="006B2AEF"/>
    <w:rsid w:val="006E384D"/>
    <w:rsid w:val="006E5022"/>
    <w:rsid w:val="006F637A"/>
    <w:rsid w:val="007154D9"/>
    <w:rsid w:val="00720FBD"/>
    <w:rsid w:val="00731722"/>
    <w:rsid w:val="007369CD"/>
    <w:rsid w:val="007463E7"/>
    <w:rsid w:val="007522CC"/>
    <w:rsid w:val="00754EE8"/>
    <w:rsid w:val="00755F4D"/>
    <w:rsid w:val="007601F2"/>
    <w:rsid w:val="00796D64"/>
    <w:rsid w:val="007A4C44"/>
    <w:rsid w:val="007B74AC"/>
    <w:rsid w:val="007C6813"/>
    <w:rsid w:val="007D54CA"/>
    <w:rsid w:val="007D75C8"/>
    <w:rsid w:val="007F106C"/>
    <w:rsid w:val="007F6EA0"/>
    <w:rsid w:val="007F75CB"/>
    <w:rsid w:val="007F76E2"/>
    <w:rsid w:val="00806D83"/>
    <w:rsid w:val="00816E4F"/>
    <w:rsid w:val="008223E5"/>
    <w:rsid w:val="00825E23"/>
    <w:rsid w:val="00827529"/>
    <w:rsid w:val="00831C8A"/>
    <w:rsid w:val="00835878"/>
    <w:rsid w:val="00853D6E"/>
    <w:rsid w:val="00865607"/>
    <w:rsid w:val="00881B76"/>
    <w:rsid w:val="00882F4A"/>
    <w:rsid w:val="008D5D67"/>
    <w:rsid w:val="0091174A"/>
    <w:rsid w:val="0091227C"/>
    <w:rsid w:val="00914622"/>
    <w:rsid w:val="00916844"/>
    <w:rsid w:val="0092434B"/>
    <w:rsid w:val="00931E25"/>
    <w:rsid w:val="009362A1"/>
    <w:rsid w:val="00941BA1"/>
    <w:rsid w:val="00962D85"/>
    <w:rsid w:val="00965569"/>
    <w:rsid w:val="00981197"/>
    <w:rsid w:val="009A4021"/>
    <w:rsid w:val="009A5CDD"/>
    <w:rsid w:val="009B0974"/>
    <w:rsid w:val="009B2484"/>
    <w:rsid w:val="009C48F0"/>
    <w:rsid w:val="009D4100"/>
    <w:rsid w:val="009E7985"/>
    <w:rsid w:val="00A131EB"/>
    <w:rsid w:val="00A17653"/>
    <w:rsid w:val="00A473D4"/>
    <w:rsid w:val="00A56554"/>
    <w:rsid w:val="00A60324"/>
    <w:rsid w:val="00A65FD4"/>
    <w:rsid w:val="00A7172D"/>
    <w:rsid w:val="00A74817"/>
    <w:rsid w:val="00A770B1"/>
    <w:rsid w:val="00A83920"/>
    <w:rsid w:val="00A9181B"/>
    <w:rsid w:val="00A91FDF"/>
    <w:rsid w:val="00A92A2A"/>
    <w:rsid w:val="00AA5CBD"/>
    <w:rsid w:val="00AA7474"/>
    <w:rsid w:val="00AC201C"/>
    <w:rsid w:val="00AC4101"/>
    <w:rsid w:val="00AC471F"/>
    <w:rsid w:val="00AD0320"/>
    <w:rsid w:val="00AE0328"/>
    <w:rsid w:val="00AE0E15"/>
    <w:rsid w:val="00AE2CA2"/>
    <w:rsid w:val="00AE2DEE"/>
    <w:rsid w:val="00AE4BB0"/>
    <w:rsid w:val="00AF1472"/>
    <w:rsid w:val="00AF17CC"/>
    <w:rsid w:val="00B00486"/>
    <w:rsid w:val="00B31571"/>
    <w:rsid w:val="00B40678"/>
    <w:rsid w:val="00B41134"/>
    <w:rsid w:val="00B65881"/>
    <w:rsid w:val="00B94775"/>
    <w:rsid w:val="00BA4979"/>
    <w:rsid w:val="00BA5742"/>
    <w:rsid w:val="00BB52EC"/>
    <w:rsid w:val="00BB7BAC"/>
    <w:rsid w:val="00BC0EE6"/>
    <w:rsid w:val="00BC3CF9"/>
    <w:rsid w:val="00BC6447"/>
    <w:rsid w:val="00BE3E99"/>
    <w:rsid w:val="00BF0DCA"/>
    <w:rsid w:val="00C10740"/>
    <w:rsid w:val="00C15717"/>
    <w:rsid w:val="00C41D67"/>
    <w:rsid w:val="00C476DF"/>
    <w:rsid w:val="00C51AE0"/>
    <w:rsid w:val="00C62785"/>
    <w:rsid w:val="00C71813"/>
    <w:rsid w:val="00C7444B"/>
    <w:rsid w:val="00C928FD"/>
    <w:rsid w:val="00CB0566"/>
    <w:rsid w:val="00CB2DC5"/>
    <w:rsid w:val="00CB3C5C"/>
    <w:rsid w:val="00CC57D3"/>
    <w:rsid w:val="00CD0C78"/>
    <w:rsid w:val="00CD304D"/>
    <w:rsid w:val="00D022F3"/>
    <w:rsid w:val="00D127FF"/>
    <w:rsid w:val="00D14444"/>
    <w:rsid w:val="00D15718"/>
    <w:rsid w:val="00D3782E"/>
    <w:rsid w:val="00D411E8"/>
    <w:rsid w:val="00D56664"/>
    <w:rsid w:val="00D57BEA"/>
    <w:rsid w:val="00D60032"/>
    <w:rsid w:val="00D637B4"/>
    <w:rsid w:val="00D6568E"/>
    <w:rsid w:val="00D919B8"/>
    <w:rsid w:val="00D933A4"/>
    <w:rsid w:val="00DA60FD"/>
    <w:rsid w:val="00DF044C"/>
    <w:rsid w:val="00E17FBA"/>
    <w:rsid w:val="00E21D5B"/>
    <w:rsid w:val="00E24F64"/>
    <w:rsid w:val="00E45A97"/>
    <w:rsid w:val="00E50BB6"/>
    <w:rsid w:val="00E83F37"/>
    <w:rsid w:val="00E85D36"/>
    <w:rsid w:val="00E90C97"/>
    <w:rsid w:val="00E951DA"/>
    <w:rsid w:val="00E972A9"/>
    <w:rsid w:val="00EC13A4"/>
    <w:rsid w:val="00EC32A3"/>
    <w:rsid w:val="00F021F2"/>
    <w:rsid w:val="00F04ABD"/>
    <w:rsid w:val="00F16F0C"/>
    <w:rsid w:val="00F17232"/>
    <w:rsid w:val="00F37A74"/>
    <w:rsid w:val="00F56F83"/>
    <w:rsid w:val="00F63526"/>
    <w:rsid w:val="00F73DB3"/>
    <w:rsid w:val="00F77822"/>
    <w:rsid w:val="00F841F0"/>
    <w:rsid w:val="00F84E3F"/>
    <w:rsid w:val="00FA32EC"/>
    <w:rsid w:val="00FB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2C3DCB9-78D6-4D0E-B26A-A85EE60B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1D5B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9E798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rsid w:val="00A47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A473D4"/>
    <w:rPr>
      <w:rFonts w:cs="Times New Roman"/>
    </w:rPr>
  </w:style>
  <w:style w:type="paragraph" w:styleId="Pta">
    <w:name w:val="footer"/>
    <w:basedOn w:val="Normlny"/>
    <w:link w:val="PtaChar"/>
    <w:uiPriority w:val="99"/>
    <w:rsid w:val="00A47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A473D4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A4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473D4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99"/>
    <w:rsid w:val="00C10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A918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A9181B"/>
  </w:style>
  <w:style w:type="character" w:styleId="Hypertextovprepojenie">
    <w:name w:val="Hyperlink"/>
    <w:basedOn w:val="Predvolenpsmoodseku"/>
    <w:uiPriority w:val="99"/>
    <w:semiHidden/>
    <w:unhideWhenUsed/>
    <w:rsid w:val="00A9181B"/>
    <w:rPr>
      <w:color w:val="0000FF"/>
      <w:u w:val="single"/>
    </w:rPr>
  </w:style>
  <w:style w:type="paragraph" w:customStyle="1" w:styleId="Default">
    <w:name w:val="Default"/>
    <w:rsid w:val="00CD0C7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sl-SI" w:eastAsia="sl-SI"/>
    </w:rPr>
  </w:style>
  <w:style w:type="paragraph" w:styleId="Revzia">
    <w:name w:val="Revision"/>
    <w:hidden/>
    <w:uiPriority w:val="99"/>
    <w:semiHidden/>
    <w:rsid w:val="00E951D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1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4406</Words>
  <Characters>25120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HP</Company>
  <LinksUpToDate>false</LinksUpToDate>
  <CharactersWithSpaces>29468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Majstrikova</dc:creator>
  <cp:lastModifiedBy>Lacková, Beáta</cp:lastModifiedBy>
  <cp:revision>3</cp:revision>
  <cp:lastPrinted>2013-01-09T10:26:00Z</cp:lastPrinted>
  <dcterms:created xsi:type="dcterms:W3CDTF">2018-01-18T08:46:00Z</dcterms:created>
  <dcterms:modified xsi:type="dcterms:W3CDTF">2018-01-18T09:47:00Z</dcterms:modified>
</cp:coreProperties>
</file>