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CE" w:rsidRDefault="009549CE" w:rsidP="008D06A0">
      <w:pPr>
        <w:jc w:val="center"/>
        <w:rPr>
          <w:b/>
        </w:rPr>
      </w:pPr>
    </w:p>
    <w:p w:rsidR="008D06A0" w:rsidRPr="005466C4" w:rsidRDefault="008D06A0" w:rsidP="008D06A0">
      <w:pPr>
        <w:jc w:val="center"/>
        <w:rPr>
          <w:b/>
        </w:rPr>
      </w:pPr>
      <w:r w:rsidRPr="005466C4">
        <w:rPr>
          <w:b/>
        </w:rPr>
        <w:t>SÚHRN CHARAKTERISTICKÝCH VLASTNOSTÍ LIEKU</w:t>
      </w:r>
    </w:p>
    <w:p w:rsidR="008D06A0" w:rsidRPr="005466C4" w:rsidRDefault="008D06A0" w:rsidP="000C3CAA">
      <w:pPr>
        <w:rPr>
          <w:b/>
        </w:rPr>
      </w:pPr>
    </w:p>
    <w:p w:rsidR="008D06A0" w:rsidRPr="005466C4" w:rsidRDefault="008D06A0" w:rsidP="000C3CAA">
      <w:pPr>
        <w:rPr>
          <w:b/>
        </w:rPr>
      </w:pPr>
    </w:p>
    <w:p w:rsidR="00181EA3" w:rsidRPr="000C3CAA" w:rsidRDefault="00181EA3" w:rsidP="000C3CAA">
      <w:pPr>
        <w:pStyle w:val="Odsekzoznamu"/>
        <w:numPr>
          <w:ilvl w:val="0"/>
          <w:numId w:val="6"/>
        </w:numPr>
        <w:tabs>
          <w:tab w:val="center" w:pos="1347"/>
        </w:tabs>
        <w:spacing w:after="0" w:line="240" w:lineRule="auto"/>
        <w:ind w:left="567" w:right="0" w:hanging="567"/>
        <w:rPr>
          <w:b/>
        </w:rPr>
      </w:pPr>
      <w:r w:rsidRPr="000C3CAA">
        <w:rPr>
          <w:b/>
        </w:rPr>
        <w:t>NÁZOV LIEKU</w:t>
      </w:r>
    </w:p>
    <w:p w:rsidR="008D06A0" w:rsidRPr="000C3CAA" w:rsidRDefault="008D06A0" w:rsidP="000C3CAA">
      <w:pPr>
        <w:tabs>
          <w:tab w:val="center" w:pos="1347"/>
        </w:tabs>
        <w:spacing w:after="0" w:line="240" w:lineRule="auto"/>
        <w:ind w:right="0"/>
      </w:pPr>
    </w:p>
    <w:p w:rsidR="00181EA3" w:rsidRPr="000C3CAA" w:rsidRDefault="00E029AF" w:rsidP="008D06A0">
      <w:pPr>
        <w:spacing w:after="0" w:line="240" w:lineRule="auto"/>
        <w:ind w:left="-6" w:right="11" w:hanging="11"/>
      </w:pPr>
      <w:r w:rsidRPr="000C3CAA">
        <w:t>Anagrelid</w:t>
      </w:r>
      <w:r w:rsidR="00501BC6" w:rsidRPr="000C3CAA">
        <w:t>e</w:t>
      </w:r>
      <w:r w:rsidR="00181EA3" w:rsidRPr="000C3CAA">
        <w:t xml:space="preserve"> Vipharm 0,5 mg</w:t>
      </w:r>
    </w:p>
    <w:p w:rsidR="008D06A0" w:rsidRPr="005466C4" w:rsidRDefault="00501BC6" w:rsidP="008D06A0">
      <w:pPr>
        <w:spacing w:after="0" w:line="240" w:lineRule="auto"/>
        <w:ind w:left="-6" w:right="11" w:hanging="11"/>
      </w:pPr>
      <w:r w:rsidRPr="000C3CAA">
        <w:rPr>
          <w:highlight w:val="lightGray"/>
        </w:rPr>
        <w:t>Anagrelide</w:t>
      </w:r>
      <w:r w:rsidR="00181EA3" w:rsidRPr="000C3CAA">
        <w:rPr>
          <w:highlight w:val="lightGray"/>
        </w:rPr>
        <w:t xml:space="preserve"> Vipharm 1 mg</w:t>
      </w:r>
    </w:p>
    <w:p w:rsidR="00181EA3" w:rsidRPr="000C3CAA" w:rsidRDefault="008D06A0" w:rsidP="008D06A0">
      <w:pPr>
        <w:spacing w:after="0" w:line="240" w:lineRule="auto"/>
        <w:ind w:left="-6" w:right="11" w:hanging="11"/>
      </w:pPr>
      <w:r w:rsidRPr="005466C4">
        <w:t>tvrdé kapsuly</w:t>
      </w:r>
    </w:p>
    <w:p w:rsidR="00181EA3" w:rsidRPr="005466C4" w:rsidRDefault="00181EA3" w:rsidP="000C3CAA">
      <w:pPr>
        <w:spacing w:after="0" w:line="240" w:lineRule="auto"/>
        <w:ind w:left="-6" w:right="11" w:hanging="11"/>
      </w:pPr>
    </w:p>
    <w:p w:rsidR="0037639D" w:rsidRPr="000C3CAA" w:rsidRDefault="0037639D" w:rsidP="000C3CAA">
      <w:pPr>
        <w:spacing w:after="0" w:line="240" w:lineRule="auto"/>
        <w:ind w:left="-6" w:right="11" w:hanging="11"/>
      </w:pPr>
    </w:p>
    <w:p w:rsidR="00181EA3" w:rsidRPr="000C3CAA" w:rsidRDefault="00181EA3" w:rsidP="000C3CAA">
      <w:pPr>
        <w:pStyle w:val="Nadpis1"/>
        <w:tabs>
          <w:tab w:val="center" w:pos="3107"/>
        </w:tabs>
        <w:spacing w:after="0" w:line="240" w:lineRule="auto"/>
        <w:ind w:left="-15" w:firstLine="0"/>
      </w:pPr>
      <w:r w:rsidRPr="000C3CAA">
        <w:t>2.</w:t>
      </w:r>
      <w:r w:rsidRPr="000C3CAA">
        <w:tab/>
        <w:t>KVALITATÍVNE A KVANTITATÍVNE ZLOŽENIE</w:t>
      </w:r>
    </w:p>
    <w:p w:rsidR="00AE67D3" w:rsidRPr="005466C4" w:rsidRDefault="00AE67D3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Každá tvrdá kapsula obsahuje 0,5 mg anagrelidu </w:t>
      </w:r>
      <w:r w:rsidR="00895B90">
        <w:t>(</w:t>
      </w:r>
      <w:r w:rsidR="00895B90" w:rsidRPr="000C3CAA">
        <w:rPr>
          <w:i/>
        </w:rPr>
        <w:t>Anagrelidum</w:t>
      </w:r>
      <w:r w:rsidR="00895B90">
        <w:t xml:space="preserve">) </w:t>
      </w:r>
      <w:r w:rsidRPr="000C3CAA">
        <w:t>(</w:t>
      </w:r>
      <w:r w:rsidR="003A0D58" w:rsidRPr="005466C4">
        <w:t>vo forme monohydrátu anagrelídiumchloridu</w:t>
      </w:r>
      <w:r w:rsidRPr="000C3CAA">
        <w:t>).</w:t>
      </w:r>
    </w:p>
    <w:p w:rsidR="0037639D" w:rsidRPr="000C3CAA" w:rsidRDefault="0037639D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Pomocné látky so známym účinkom</w:t>
      </w:r>
    </w:p>
    <w:p w:rsidR="00C759BE" w:rsidRPr="000C3CAA" w:rsidRDefault="00181EA3" w:rsidP="008D06A0">
      <w:pPr>
        <w:spacing w:after="0" w:line="240" w:lineRule="auto"/>
        <w:ind w:left="-6" w:right="11" w:hanging="11"/>
      </w:pPr>
      <w:r w:rsidRPr="000C3CAA">
        <w:t>Každá tvrdá kapsula o</w:t>
      </w:r>
      <w:r w:rsidR="00C759BE" w:rsidRPr="000C3CAA">
        <w:t xml:space="preserve">bsahuje monohydrát laktózy (28,0 </w:t>
      </w:r>
      <w:r w:rsidRPr="000C3CAA">
        <w:t>mg) a laktózu (</w:t>
      </w:r>
      <w:r w:rsidR="00C759BE" w:rsidRPr="000C3CAA">
        <w:t>32,9</w:t>
      </w:r>
      <w:r w:rsidRPr="000C3CAA">
        <w:t xml:space="preserve"> mg).</w:t>
      </w:r>
    </w:p>
    <w:p w:rsidR="00C759BE" w:rsidRPr="000C3CAA" w:rsidRDefault="00C759BE" w:rsidP="000F62FB">
      <w:pPr>
        <w:spacing w:after="0" w:line="240" w:lineRule="auto"/>
        <w:ind w:left="-6" w:right="11" w:hanging="11"/>
      </w:pPr>
    </w:p>
    <w:p w:rsidR="00C759BE" w:rsidRPr="000C3CAA" w:rsidRDefault="00C759BE" w:rsidP="000F62FB">
      <w:pPr>
        <w:spacing w:after="0" w:line="240" w:lineRule="auto"/>
        <w:ind w:left="-5" w:right="12"/>
        <w:rPr>
          <w:highlight w:val="lightGray"/>
        </w:rPr>
      </w:pPr>
      <w:r w:rsidRPr="000C3CAA">
        <w:rPr>
          <w:highlight w:val="lightGray"/>
        </w:rPr>
        <w:t xml:space="preserve">Každá tvrdá kapsula obsahuje 1 mg anagrelidu </w:t>
      </w:r>
      <w:r w:rsidR="00895B90" w:rsidRPr="00895B90">
        <w:rPr>
          <w:highlight w:val="lightGray"/>
        </w:rPr>
        <w:t>(</w:t>
      </w:r>
      <w:r w:rsidR="00895B90" w:rsidRPr="00895B90">
        <w:rPr>
          <w:i/>
          <w:highlight w:val="lightGray"/>
        </w:rPr>
        <w:t>Anagrelidum</w:t>
      </w:r>
      <w:r w:rsidR="00895B90" w:rsidRPr="00895B90">
        <w:rPr>
          <w:highlight w:val="lightGray"/>
        </w:rPr>
        <w:t xml:space="preserve">) </w:t>
      </w:r>
      <w:r w:rsidRPr="000C3CAA">
        <w:rPr>
          <w:highlight w:val="lightGray"/>
        </w:rPr>
        <w:t>(</w:t>
      </w:r>
      <w:r w:rsidR="003A0D58" w:rsidRPr="000C3CAA">
        <w:rPr>
          <w:highlight w:val="lightGray"/>
        </w:rPr>
        <w:t>vo forme monohydrátu</w:t>
      </w:r>
      <w:r w:rsidR="003A0D58" w:rsidRPr="00895B90">
        <w:t xml:space="preserve"> </w:t>
      </w:r>
      <w:r w:rsidR="003A0D58" w:rsidRPr="000C3CAA">
        <w:rPr>
          <w:highlight w:val="lightGray"/>
        </w:rPr>
        <w:t>anagrelídiumchloridu</w:t>
      </w:r>
      <w:r w:rsidRPr="000C3CAA">
        <w:rPr>
          <w:highlight w:val="lightGray"/>
        </w:rPr>
        <w:t>).</w:t>
      </w:r>
    </w:p>
    <w:p w:rsidR="00C759BE" w:rsidRPr="000C3CAA" w:rsidRDefault="00C759BE" w:rsidP="000F62FB">
      <w:pPr>
        <w:spacing w:after="0" w:line="240" w:lineRule="auto"/>
        <w:ind w:left="-5" w:right="12"/>
        <w:rPr>
          <w:highlight w:val="lightGray"/>
        </w:rPr>
      </w:pPr>
    </w:p>
    <w:p w:rsidR="00C759BE" w:rsidRPr="000C3CAA" w:rsidRDefault="00C759BE" w:rsidP="000C3CAA">
      <w:pPr>
        <w:pStyle w:val="Nadpis2"/>
        <w:spacing w:after="0" w:line="240" w:lineRule="auto"/>
        <w:ind w:left="-5"/>
        <w:rPr>
          <w:highlight w:val="lightGray"/>
        </w:rPr>
      </w:pPr>
      <w:r w:rsidRPr="000C3CAA">
        <w:rPr>
          <w:highlight w:val="lightGray"/>
        </w:rPr>
        <w:t>Pomocné látky so známym účinkom</w:t>
      </w:r>
    </w:p>
    <w:p w:rsidR="00C759BE" w:rsidRPr="000C3CAA" w:rsidRDefault="00C759BE" w:rsidP="000C3CAA">
      <w:pPr>
        <w:spacing w:after="0" w:line="240" w:lineRule="auto"/>
        <w:ind w:left="-6" w:right="11" w:hanging="11"/>
      </w:pPr>
      <w:r w:rsidRPr="000C3CAA">
        <w:rPr>
          <w:highlight w:val="lightGray"/>
        </w:rPr>
        <w:t>Každá tvrdá kapsula obsahuje monohydrát laktózy (56,1 mg) a laktózu (65,8 mg).</w:t>
      </w:r>
    </w:p>
    <w:p w:rsidR="00C31E6C" w:rsidRPr="005466C4" w:rsidRDefault="00C31E6C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Úplný zoznam pomocných látok, pozri časť 6.1.</w:t>
      </w:r>
    </w:p>
    <w:p w:rsidR="0037639D" w:rsidRPr="005466C4" w:rsidRDefault="0037639D" w:rsidP="000C3CAA">
      <w:pPr>
        <w:spacing w:after="0" w:line="240" w:lineRule="auto"/>
        <w:ind w:left="-5" w:right="12"/>
      </w:pPr>
    </w:p>
    <w:p w:rsidR="0037639D" w:rsidRPr="000C3CAA" w:rsidRDefault="0037639D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1"/>
        <w:tabs>
          <w:tab w:val="center" w:pos="1531"/>
        </w:tabs>
        <w:spacing w:after="0" w:line="240" w:lineRule="auto"/>
        <w:ind w:left="-15" w:firstLine="0"/>
      </w:pPr>
      <w:r w:rsidRPr="000C3CAA">
        <w:t>3.</w:t>
      </w:r>
      <w:r w:rsidRPr="000C3CAA">
        <w:tab/>
        <w:t>LIEKOVÁ FORMA</w:t>
      </w:r>
    </w:p>
    <w:p w:rsidR="00EA03A6" w:rsidRPr="005466C4" w:rsidRDefault="00EA03A6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Tvrdá kapsula.</w:t>
      </w:r>
    </w:p>
    <w:p w:rsidR="00EA03A6" w:rsidRPr="000C3CAA" w:rsidRDefault="00EA03A6" w:rsidP="000C3CAA">
      <w:pPr>
        <w:spacing w:after="0" w:line="240" w:lineRule="auto"/>
        <w:ind w:left="-5" w:right="12"/>
      </w:pPr>
    </w:p>
    <w:p w:rsidR="00EA03A6" w:rsidRPr="000C3CAA" w:rsidRDefault="008A08B0" w:rsidP="00EA03A6">
      <w:pPr>
        <w:spacing w:after="0" w:line="240" w:lineRule="auto"/>
        <w:ind w:left="-6" w:right="11" w:hanging="11"/>
      </w:pPr>
      <w:r w:rsidRPr="000C3CAA">
        <w:t>Tvrdá kapsula (veľkosť 4</w:t>
      </w:r>
      <w:r w:rsidR="003666DB" w:rsidRPr="005466C4">
        <w:t>;</w:t>
      </w:r>
      <w:r w:rsidRPr="000C3CAA">
        <w:t xml:space="preserve"> 14,3 x 5,3 mm) s nepriehľadným bielym telom a viečkom.</w:t>
      </w:r>
      <w:r w:rsidR="00EA03A6" w:rsidRPr="005466C4">
        <w:t xml:space="preserve"> </w:t>
      </w:r>
      <w:r w:rsidR="00993005" w:rsidRPr="005466C4">
        <w:t xml:space="preserve">Kapsula je naplnená bielym až </w:t>
      </w:r>
      <w:r w:rsidR="00EA03A6" w:rsidRPr="005466C4">
        <w:t>takmer</w:t>
      </w:r>
      <w:r w:rsidR="00993005" w:rsidRPr="005466C4">
        <w:t xml:space="preserve"> bielym práškom.</w:t>
      </w:r>
    </w:p>
    <w:p w:rsidR="008A08B0" w:rsidRPr="000C3CAA" w:rsidRDefault="008A08B0" w:rsidP="003666DB">
      <w:pPr>
        <w:spacing w:after="0" w:line="240" w:lineRule="auto"/>
        <w:ind w:left="-6" w:right="11" w:hanging="11"/>
      </w:pPr>
      <w:r w:rsidRPr="000C3CAA">
        <w:rPr>
          <w:highlight w:val="lightGray"/>
        </w:rPr>
        <w:t>Tvrdá kapsula (veľkosť 4</w:t>
      </w:r>
      <w:r w:rsidR="003666DB" w:rsidRPr="000C3CAA">
        <w:rPr>
          <w:highlight w:val="lightGray"/>
        </w:rPr>
        <w:t>;</w:t>
      </w:r>
      <w:r w:rsidRPr="000C3CAA">
        <w:rPr>
          <w:highlight w:val="lightGray"/>
        </w:rPr>
        <w:t xml:space="preserve"> 14,3 x 5,3 mm) so šedým telom a viečkom.</w:t>
      </w:r>
      <w:r w:rsidR="003666DB" w:rsidRPr="000C3CAA">
        <w:rPr>
          <w:highlight w:val="lightGray"/>
        </w:rPr>
        <w:t xml:space="preserve"> </w:t>
      </w:r>
      <w:r w:rsidR="00993005" w:rsidRPr="005466C4">
        <w:rPr>
          <w:highlight w:val="lightGray"/>
        </w:rPr>
        <w:t xml:space="preserve">Kapsula je naplnená bielym až </w:t>
      </w:r>
      <w:r w:rsidR="00EA03A6" w:rsidRPr="000C3CAA">
        <w:rPr>
          <w:highlight w:val="lightGray"/>
        </w:rPr>
        <w:t>takmer</w:t>
      </w:r>
      <w:r w:rsidR="00993005" w:rsidRPr="005466C4">
        <w:rPr>
          <w:highlight w:val="lightGray"/>
        </w:rPr>
        <w:t xml:space="preserve"> bielym práškom.</w:t>
      </w:r>
    </w:p>
    <w:p w:rsidR="00EA03A6" w:rsidRPr="000C3CAA" w:rsidRDefault="00EA03A6" w:rsidP="000C3CAA"/>
    <w:p w:rsidR="00EA03A6" w:rsidRPr="005466C4" w:rsidRDefault="00EA03A6" w:rsidP="000C3CAA">
      <w:pPr>
        <w:pStyle w:val="Nadpis1"/>
        <w:tabs>
          <w:tab w:val="center" w:pos="1524"/>
        </w:tabs>
        <w:spacing w:after="0" w:line="240" w:lineRule="auto"/>
        <w:ind w:left="-15" w:firstLine="0"/>
      </w:pPr>
    </w:p>
    <w:p w:rsidR="00181EA3" w:rsidRPr="005466C4" w:rsidRDefault="00181EA3" w:rsidP="000C3CAA">
      <w:pPr>
        <w:pStyle w:val="Nadpis1"/>
        <w:tabs>
          <w:tab w:val="center" w:pos="1524"/>
        </w:tabs>
        <w:spacing w:after="0" w:line="240" w:lineRule="auto"/>
        <w:ind w:left="-15" w:firstLine="0"/>
      </w:pPr>
      <w:r w:rsidRPr="000C3CAA">
        <w:t>4.</w:t>
      </w:r>
      <w:r w:rsidRPr="000C3CAA">
        <w:tab/>
        <w:t>KLINICKÉ ÚDAJE</w:t>
      </w:r>
    </w:p>
    <w:p w:rsidR="003666DB" w:rsidRPr="000C3CAA" w:rsidRDefault="003666DB" w:rsidP="000C3CAA"/>
    <w:p w:rsidR="00181EA3" w:rsidRPr="000C3CAA" w:rsidRDefault="00181EA3" w:rsidP="000C3CAA">
      <w:pPr>
        <w:pStyle w:val="Nadpis2"/>
        <w:tabs>
          <w:tab w:val="center" w:pos="1646"/>
        </w:tabs>
        <w:spacing w:after="0" w:line="240" w:lineRule="auto"/>
        <w:ind w:left="-15" w:firstLine="0"/>
      </w:pPr>
      <w:r w:rsidRPr="000C3CAA">
        <w:rPr>
          <w:b/>
          <w:u w:val="none"/>
        </w:rPr>
        <w:t>4.1</w:t>
      </w:r>
      <w:r w:rsidRPr="000C3CAA">
        <w:rPr>
          <w:b/>
          <w:u w:val="none"/>
        </w:rPr>
        <w:tab/>
        <w:t>Terapeutické indikácie</w:t>
      </w:r>
    </w:p>
    <w:p w:rsidR="003666DB" w:rsidRPr="005466C4" w:rsidRDefault="003666DB" w:rsidP="000C3CAA">
      <w:pPr>
        <w:spacing w:after="0" w:line="240" w:lineRule="auto"/>
        <w:ind w:left="-5" w:right="12"/>
      </w:pPr>
    </w:p>
    <w:p w:rsidR="00181EA3" w:rsidRPr="005466C4" w:rsidRDefault="00CD6674" w:rsidP="000C3CAA">
      <w:pPr>
        <w:spacing w:after="0" w:line="240" w:lineRule="auto"/>
        <w:ind w:left="-5" w:right="12"/>
      </w:pPr>
      <w:r w:rsidRPr="000C3CAA">
        <w:t>Anagrelid</w:t>
      </w:r>
      <w:r w:rsidR="00181EA3" w:rsidRPr="000C3CAA">
        <w:t xml:space="preserve"> je indikovaný na </w:t>
      </w:r>
      <w:r w:rsidR="00AE67D3" w:rsidRPr="005466C4">
        <w:t>zníženie</w:t>
      </w:r>
      <w:r w:rsidR="00181EA3" w:rsidRPr="000C3CAA">
        <w:t xml:space="preserve"> zvýšeného počtu krvných doštičiek rizikový</w:t>
      </w:r>
      <w:r w:rsidR="00AE67D3" w:rsidRPr="005466C4">
        <w:t>m</w:t>
      </w:r>
      <w:r w:rsidR="00181EA3" w:rsidRPr="000C3CAA">
        <w:t xml:space="preserve"> paciento</w:t>
      </w:r>
      <w:r w:rsidR="00AE67D3" w:rsidRPr="005466C4">
        <w:t>m</w:t>
      </w:r>
      <w:r w:rsidR="00181EA3" w:rsidRPr="000C3CAA">
        <w:t xml:space="preserve"> </w:t>
      </w:r>
      <w:r w:rsidR="00AE67D3" w:rsidRPr="005466C4">
        <w:t>s</w:t>
      </w:r>
      <w:r w:rsidR="00181EA3" w:rsidRPr="000C3CAA">
        <w:t xml:space="preserve"> esenciálnou trombocytémiou (ET), ktorí </w:t>
      </w:r>
      <w:r w:rsidR="00561C60" w:rsidRPr="005466C4">
        <w:t>netolerujú</w:t>
      </w:r>
      <w:r w:rsidR="00181EA3" w:rsidRPr="000C3CAA">
        <w:t xml:space="preserve"> </w:t>
      </w:r>
      <w:r w:rsidR="00561C60" w:rsidRPr="005466C4">
        <w:t>svoju súčasnú</w:t>
      </w:r>
      <w:r w:rsidR="00181EA3" w:rsidRPr="000C3CAA">
        <w:t xml:space="preserve"> liečb</w:t>
      </w:r>
      <w:r w:rsidR="00561C60" w:rsidRPr="005466C4">
        <w:t>u</w:t>
      </w:r>
      <w:r w:rsidR="00181EA3" w:rsidRPr="000C3CAA">
        <w:t xml:space="preserve"> alebo </w:t>
      </w:r>
      <w:r w:rsidR="00561C60" w:rsidRPr="005466C4">
        <w:t xml:space="preserve">u </w:t>
      </w:r>
      <w:r w:rsidR="00181EA3" w:rsidRPr="000C3CAA">
        <w:t xml:space="preserve">ktorých </w:t>
      </w:r>
      <w:r w:rsidR="00561C60" w:rsidRPr="005466C4">
        <w:t xml:space="preserve">sa </w:t>
      </w:r>
      <w:r w:rsidR="00181EA3" w:rsidRPr="000C3CAA">
        <w:t xml:space="preserve">zvýšený počet krvných doštičiek nepodarilo znížiť </w:t>
      </w:r>
      <w:r w:rsidR="00561C60" w:rsidRPr="005466C4">
        <w:t>súčasnou</w:t>
      </w:r>
      <w:r w:rsidR="00181EA3" w:rsidRPr="000C3CAA">
        <w:t xml:space="preserve"> liečbou na prijateľnú úroveň.</w:t>
      </w:r>
    </w:p>
    <w:p w:rsidR="003666DB" w:rsidRPr="000C3CAA" w:rsidRDefault="003666DB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spacing w:after="0" w:line="240" w:lineRule="auto"/>
        <w:ind w:left="-5" w:right="12"/>
        <w:rPr>
          <w:i/>
        </w:rPr>
      </w:pPr>
      <w:r w:rsidRPr="000C3CAA">
        <w:rPr>
          <w:i/>
        </w:rPr>
        <w:t>Rizikový pacient</w:t>
      </w:r>
    </w:p>
    <w:p w:rsidR="00181EA3" w:rsidRPr="000C3CAA" w:rsidRDefault="00181EA3" w:rsidP="000C3CAA">
      <w:pPr>
        <w:spacing w:after="0" w:line="240" w:lineRule="auto"/>
        <w:ind w:left="-5" w:right="296"/>
      </w:pPr>
      <w:r w:rsidRPr="000C3CAA">
        <w:t xml:space="preserve">Rizikový pacient </w:t>
      </w:r>
      <w:r w:rsidR="00561C60" w:rsidRPr="005466C4">
        <w:t>s</w:t>
      </w:r>
      <w:r w:rsidRPr="000C3CAA">
        <w:t xml:space="preserve"> esenciálnou trombocytémiou je charakterizovaný jedným alebo viacerými z nasledovných znakov:</w:t>
      </w:r>
    </w:p>
    <w:p w:rsidR="00181EA3" w:rsidRPr="000C3CAA" w:rsidRDefault="00181EA3" w:rsidP="000C3CAA">
      <w:pPr>
        <w:numPr>
          <w:ilvl w:val="0"/>
          <w:numId w:val="1"/>
        </w:numPr>
        <w:spacing w:after="0" w:line="240" w:lineRule="auto"/>
        <w:ind w:right="2015" w:hanging="566"/>
      </w:pPr>
      <w:r w:rsidRPr="000C3CAA">
        <w:t xml:space="preserve">vek nad 60 rokov alebo </w:t>
      </w:r>
    </w:p>
    <w:p w:rsidR="00977128" w:rsidRPr="000C3CAA" w:rsidRDefault="00181EA3" w:rsidP="008D06A0">
      <w:pPr>
        <w:numPr>
          <w:ilvl w:val="0"/>
          <w:numId w:val="1"/>
        </w:numPr>
        <w:spacing w:after="0" w:line="240" w:lineRule="auto"/>
        <w:ind w:left="567" w:right="2013" w:hanging="567"/>
      </w:pPr>
      <w:r w:rsidRPr="000C3CAA">
        <w:t>počet trombocytov väčší ako 1</w:t>
      </w:r>
      <w:r w:rsidR="00153EE3" w:rsidRPr="005466C4">
        <w:t> </w:t>
      </w:r>
      <w:r w:rsidRPr="000C3CAA">
        <w:t>000 x 10</w:t>
      </w:r>
      <w:r w:rsidRPr="000C3CAA">
        <w:rPr>
          <w:vertAlign w:val="superscript"/>
        </w:rPr>
        <w:t>9</w:t>
      </w:r>
      <w:r w:rsidRPr="000C3CAA">
        <w:t xml:space="preserve">/l alebo </w:t>
      </w:r>
    </w:p>
    <w:p w:rsidR="00181EA3" w:rsidRPr="000C3CAA" w:rsidRDefault="00153EE3" w:rsidP="00153EE3">
      <w:pPr>
        <w:numPr>
          <w:ilvl w:val="0"/>
          <w:numId w:val="1"/>
        </w:numPr>
        <w:spacing w:after="0" w:line="240" w:lineRule="auto"/>
        <w:ind w:left="567" w:right="2013" w:hanging="567"/>
      </w:pPr>
      <w:r w:rsidRPr="005466C4">
        <w:t xml:space="preserve">výskyt </w:t>
      </w:r>
      <w:r w:rsidR="00181EA3" w:rsidRPr="000C3CAA">
        <w:t>trombo-hemoragických príhod v anamnéze.</w:t>
      </w:r>
    </w:p>
    <w:p w:rsidR="00977128" w:rsidRPr="000C3CAA" w:rsidRDefault="00977128" w:rsidP="009F37A1">
      <w:pPr>
        <w:spacing w:after="0" w:line="240" w:lineRule="auto"/>
        <w:ind w:left="567" w:right="2013" w:firstLine="0"/>
      </w:pPr>
    </w:p>
    <w:p w:rsidR="00181EA3" w:rsidRPr="000C3CAA" w:rsidRDefault="00181EA3" w:rsidP="000C3CAA">
      <w:pPr>
        <w:tabs>
          <w:tab w:val="center" w:pos="2069"/>
        </w:tabs>
        <w:spacing w:after="0" w:line="240" w:lineRule="auto"/>
        <w:ind w:left="-15" w:right="0" w:firstLine="0"/>
      </w:pPr>
      <w:r w:rsidRPr="000C3CAA">
        <w:rPr>
          <w:b/>
        </w:rPr>
        <w:t>4.2</w:t>
      </w:r>
      <w:r w:rsidRPr="000C3CAA">
        <w:rPr>
          <w:b/>
        </w:rPr>
        <w:tab/>
        <w:t>Dávkovanie a spôsob podávania</w:t>
      </w:r>
    </w:p>
    <w:p w:rsidR="00153EE3" w:rsidRPr="005466C4" w:rsidRDefault="00153EE3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Liečbu </w:t>
      </w:r>
      <w:r w:rsidR="00CD6674" w:rsidRPr="000C3CAA">
        <w:t>anagrelidom</w:t>
      </w:r>
      <w:r w:rsidRPr="000C3CAA">
        <w:t xml:space="preserve"> má začať lekár so skúsenosťami v liečbe </w:t>
      </w:r>
      <w:r w:rsidR="00153EE3" w:rsidRPr="005466C4">
        <w:t>esenciálnej</w:t>
      </w:r>
      <w:r w:rsidRPr="000C3CAA">
        <w:t xml:space="preserve"> trombocytémie.</w:t>
      </w:r>
    </w:p>
    <w:p w:rsidR="00153EE3" w:rsidRPr="005466C4" w:rsidRDefault="00153EE3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Dávkovanie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Odporúčaná počiatočná dávka anagrelidu je 1 mg/deň, ktorá by sa mala podávať perorálne v dvoch rozdelených dávkach (0,5 mg/dávk</w:t>
      </w:r>
      <w:r w:rsidR="003B6E18" w:rsidRPr="005466C4">
        <w:t>a</w:t>
      </w:r>
      <w:r w:rsidRPr="000C3CAA">
        <w:t>).</w:t>
      </w:r>
    </w:p>
    <w:p w:rsidR="00153EE3" w:rsidRPr="005466C4" w:rsidRDefault="00153EE3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Počiatočná dávka by sa mala udržať najmenej jeden týždeň. Po týždni sa môže dávka individuálne titrovať, aby sa dosiahla najnižšia účinná dávka potrebná na zníženie a/alebo udržanie počtu krvných doštičiek pod hladinou 600 x 10</w:t>
      </w:r>
      <w:r w:rsidRPr="000C3CAA">
        <w:rPr>
          <w:vertAlign w:val="superscript"/>
        </w:rPr>
        <w:t>9</w:t>
      </w:r>
      <w:r w:rsidRPr="000C3CAA">
        <w:t xml:space="preserve">/l a v ideálnom prípade na úrovni medzi 150 </w:t>
      </w:r>
      <w:r w:rsidR="00D47ADF" w:rsidRPr="005466C4">
        <w:t>x 10</w:t>
      </w:r>
      <w:r w:rsidR="00D47ADF" w:rsidRPr="000C3CAA">
        <w:rPr>
          <w:vertAlign w:val="superscript"/>
        </w:rPr>
        <w:t>9</w:t>
      </w:r>
      <w:r w:rsidR="00D47ADF" w:rsidRPr="005466C4">
        <w:t xml:space="preserve">/l </w:t>
      </w:r>
      <w:r w:rsidRPr="000C3CAA">
        <w:t>a 400 x 10</w:t>
      </w:r>
      <w:r w:rsidRPr="000C3CAA">
        <w:rPr>
          <w:vertAlign w:val="superscript"/>
        </w:rPr>
        <w:t>9</w:t>
      </w:r>
      <w:r w:rsidRPr="000C3CAA">
        <w:t xml:space="preserve">/l. </w:t>
      </w:r>
      <w:r w:rsidR="0011505E" w:rsidRPr="005466C4">
        <w:t>Dávka sa nesmie zvýšiť</w:t>
      </w:r>
      <w:r w:rsidRPr="000C3CAA">
        <w:t xml:space="preserve"> </w:t>
      </w:r>
      <w:r w:rsidR="001329B6" w:rsidRPr="005466C4">
        <w:t xml:space="preserve">o viac ako </w:t>
      </w:r>
      <w:r w:rsidRPr="000C3CAA">
        <w:t>0,5 mg/deň v</w:t>
      </w:r>
      <w:r w:rsidR="0011505E" w:rsidRPr="005466C4">
        <w:t xml:space="preserve"> priebehu </w:t>
      </w:r>
      <w:r w:rsidRPr="000C3CAA">
        <w:t>ak</w:t>
      </w:r>
      <w:r w:rsidR="003B6E18" w:rsidRPr="005466C4">
        <w:t>ého</w:t>
      </w:r>
      <w:r w:rsidRPr="000C3CAA">
        <w:t>koľvek týžd</w:t>
      </w:r>
      <w:r w:rsidR="0011505E" w:rsidRPr="005466C4">
        <w:t>ňa</w:t>
      </w:r>
      <w:r w:rsidRPr="000C3CAA">
        <w:t xml:space="preserve"> a maximálna odporúčaná jednorazová dávka by nemala prekročiť 2,5 mg (pozri časť 4.9). Počas klinického vývoja boli použité dávky 10 mg/deň.</w:t>
      </w:r>
    </w:p>
    <w:p w:rsidR="00977128" w:rsidRPr="000C3CAA" w:rsidRDefault="00977128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261"/>
      </w:pPr>
      <w:r w:rsidRPr="000C3CAA">
        <w:t>Účinky liečby anagrelidom je potrebné pravidelne monitorovať (pozri časť 4.4). Ak je počiatočná dávka vyššia ako 1 mg za deň, počet trombocytov by sa mal sledovať každé dva dni počas prvého týždňa liečby a potom minimálne raz do týždňa, až kým sa nedosiahne stabilná udržiavacia dávka. Charakteristické je zaznamenanie poklesu počtu krvných doštičiek do 14 až 21 dní od začatia liečby a u väčšiny pacientov sa pozoruje adekvátna odpoveď na liečbu, ktorá sa udržiava pri dávkach od 1 do 3 mg/deň (ďalšie informácie o klinických účinkoch nájdete v časti 5.1).</w:t>
      </w:r>
    </w:p>
    <w:p w:rsidR="0011505E" w:rsidRPr="000C3CAA" w:rsidRDefault="0011505E" w:rsidP="000C3CAA">
      <w:pPr>
        <w:spacing w:after="0" w:line="240" w:lineRule="auto"/>
        <w:ind w:left="-5" w:right="261"/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 xml:space="preserve">Starší </w:t>
      </w: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Pozorované rozdiely vo farmakokinetike medzi staršími a mlad</w:t>
      </w:r>
      <w:r w:rsidR="003B6E18" w:rsidRPr="005466C4">
        <w:t>ší</w:t>
      </w:r>
      <w:r w:rsidRPr="000C3CAA">
        <w:t xml:space="preserve">mi pacientami s ET (pozri časť 5.2) </w:t>
      </w:r>
      <w:r w:rsidR="009F37A1" w:rsidRPr="005466C4">
        <w:t>nevyžadujú použitie odlišnej úvodnej dávkovacej schémy ani odlišný spôsob titrácie dávky na optimálne nastavenie liečby anagrelidom u jednotlivých pacientov.</w:t>
      </w:r>
    </w:p>
    <w:p w:rsidR="009F37A1" w:rsidRPr="000C3CAA" w:rsidRDefault="009F37A1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91"/>
      </w:pPr>
      <w:r w:rsidRPr="000C3CAA">
        <w:t>Počas klinického vývoja bolo približne 50</w:t>
      </w:r>
      <w:r w:rsidR="009F37A1" w:rsidRPr="005466C4">
        <w:t> </w:t>
      </w:r>
      <w:r w:rsidRPr="000C3CAA">
        <w:t xml:space="preserve">% pacientov liečených anagrelidom vo veku nad 60 rokov a nevyžadovali si žiadne zvláštne úpravy dávok. Ako sa však očakávalo, u pacientov z tejto vekovej kategórie sa vyskytli závažné nežiaduce účinky (najmä srdcové) v dvojnásobnej miere. </w:t>
      </w:r>
    </w:p>
    <w:p w:rsidR="009F37A1" w:rsidRPr="000C3CAA" w:rsidRDefault="009F37A1" w:rsidP="000C3CAA">
      <w:pPr>
        <w:spacing w:after="0" w:line="240" w:lineRule="auto"/>
        <w:ind w:left="-5" w:right="91"/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 xml:space="preserve">Porucha funkcie obličiek 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Pre túto skupinu pacientov sú k dispozícii obmedzené farmakokinetické údaje. Pred začatím liečby sa majú najskôr stanoviť potenciálne riziká a prínosy liečby anagrelidom u pacientov s poru</w:t>
      </w:r>
      <w:r w:rsidR="00D1066E" w:rsidRPr="005466C4">
        <w:t>chou</w:t>
      </w:r>
      <w:r w:rsidRPr="000C3CAA">
        <w:t xml:space="preserve"> funkci</w:t>
      </w:r>
      <w:r w:rsidR="000C21DC">
        <w:t>e</w:t>
      </w:r>
      <w:r w:rsidRPr="000C3CAA">
        <w:t xml:space="preserve"> obličiek (pozri časť 4.3). </w:t>
      </w:r>
    </w:p>
    <w:p w:rsidR="00D1066E" w:rsidRPr="005466C4" w:rsidRDefault="00D1066E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Porucha funkcie pečene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Pre túto skupinu pacientov sú k dispozícii obmedzené farmakokinetické údaje. Avšak pečeňový metabolizmus predstavuje hlavnú cestu vylučovania anagrelidu a preto sa môže predpokladať, že funkcia pečene ovplyvní tento proces. Preto sa neodporúča liečiť anagrelidom pacientov so stredne ťažkou alebo ťažkou poruchou funkcie pečene</w:t>
      </w:r>
      <w:r w:rsidRPr="000C3CAA">
        <w:rPr>
          <w:i/>
        </w:rPr>
        <w:t xml:space="preserve">. </w:t>
      </w:r>
      <w:r w:rsidRPr="000C3CAA">
        <w:t xml:space="preserve">Pred začatím liečby sa majú </w:t>
      </w:r>
      <w:r w:rsidR="000F62FB" w:rsidRPr="005466C4">
        <w:t xml:space="preserve">u pacientov s miernou poruchou funkcie pečene </w:t>
      </w:r>
      <w:r w:rsidRPr="000C3CAA">
        <w:t>najskôr stanoviť potenciálne riziká a prínosy liečby anagrelidom (pozri časti 4.3 a 4.4).</w:t>
      </w:r>
    </w:p>
    <w:p w:rsidR="00D1066E" w:rsidRPr="005466C4" w:rsidRDefault="00D1066E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Pediatrická populácia</w:t>
      </w:r>
    </w:p>
    <w:p w:rsidR="00181EA3" w:rsidRPr="005466C4" w:rsidRDefault="00181EA3" w:rsidP="000C3CAA">
      <w:pPr>
        <w:spacing w:after="0" w:line="240" w:lineRule="auto"/>
        <w:ind w:left="-5" w:right="119"/>
      </w:pPr>
      <w:r w:rsidRPr="000C3CAA">
        <w:t xml:space="preserve">Bezpečnosť a účinnosť anagrelidu u detí neboli doteraz stanovené. Skúsenosti s použitím u detí a dospievajúcich sú veľmi obmedzené, anagrelid sa má u tejto skupiny pacientov používať s opatrnosťou. V prípade chýbania osobitných pediatrických pokynov sú diagnostické kritéria WHO pre diagnózu ET u dospelých považované za relevantné pre pediatrickú populáciu. Diagnostické pokyny pre esenciálnu trombocytémiu majú byť </w:t>
      </w:r>
      <w:r w:rsidR="0023762E" w:rsidRPr="005466C4">
        <w:t>dôsledne</w:t>
      </w:r>
      <w:r w:rsidRPr="000C3CAA">
        <w:t xml:space="preserve"> </w:t>
      </w:r>
      <w:r w:rsidR="0023762E" w:rsidRPr="005466C4">
        <w:t>dodržiavané</w:t>
      </w:r>
      <w:r w:rsidRPr="000C3CAA">
        <w:t xml:space="preserve"> a v prípade neistoty </w:t>
      </w:r>
      <w:r w:rsidR="0023762E" w:rsidRPr="005466C4">
        <w:t xml:space="preserve">sa má </w:t>
      </w:r>
      <w:r w:rsidRPr="000C3CAA">
        <w:t>diagnóza pravidelne prehodno</w:t>
      </w:r>
      <w:r w:rsidR="0023762E" w:rsidRPr="005466C4">
        <w:t>covať</w:t>
      </w:r>
      <w:r w:rsidRPr="000C3CAA">
        <w:t xml:space="preserve">, so snahou </w:t>
      </w:r>
      <w:r w:rsidR="0023762E" w:rsidRPr="005466C4">
        <w:t xml:space="preserve">o jej </w:t>
      </w:r>
      <w:r w:rsidRPr="000C3CAA">
        <w:t>odlíš</w:t>
      </w:r>
      <w:r w:rsidR="0023762E" w:rsidRPr="005466C4">
        <w:t>enie</w:t>
      </w:r>
      <w:r w:rsidRPr="000C3CAA">
        <w:t xml:space="preserve"> od hereditárnej alebo sekundárnej trombocytózy, čo môže zahŕňať genetickú analýzu a biopsiu kostnej drene.</w:t>
      </w:r>
    </w:p>
    <w:p w:rsidR="000F62FB" w:rsidRPr="000C3CAA" w:rsidRDefault="000F62FB" w:rsidP="000C3CAA">
      <w:pPr>
        <w:spacing w:after="0" w:line="240" w:lineRule="auto"/>
        <w:ind w:left="-5" w:right="119"/>
      </w:pPr>
    </w:p>
    <w:p w:rsidR="00181EA3" w:rsidRPr="005466C4" w:rsidRDefault="00C61D20" w:rsidP="000C3CAA">
      <w:pPr>
        <w:spacing w:after="0" w:line="240" w:lineRule="auto"/>
        <w:ind w:left="-5" w:right="12"/>
      </w:pPr>
      <w:r w:rsidRPr="005466C4">
        <w:t>C</w:t>
      </w:r>
      <w:r w:rsidR="00181EA3" w:rsidRPr="000C3CAA">
        <w:t xml:space="preserve">ytoreduktívna terapia sa </w:t>
      </w:r>
      <w:r w:rsidRPr="005466C4">
        <w:t xml:space="preserve">zvyčajne </w:t>
      </w:r>
      <w:r w:rsidR="00181EA3" w:rsidRPr="000C3CAA">
        <w:t>zvažuje u vysoko rizikových pediatrických pacientov.</w:t>
      </w:r>
    </w:p>
    <w:p w:rsidR="0023762E" w:rsidRPr="000C3CAA" w:rsidRDefault="0023762E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19"/>
      </w:pPr>
      <w:r w:rsidRPr="000C3CAA">
        <w:t xml:space="preserve">Liečba anagrelidom sa má začať len pokiaľ pacient vykazuje </w:t>
      </w:r>
      <w:r w:rsidR="00C61D20" w:rsidRPr="005466C4">
        <w:t>prejavy</w:t>
      </w:r>
      <w:r w:rsidRPr="000C3CAA">
        <w:t xml:space="preserve"> progresie ochorenia alebo trpí trombózou. Ak sa liečba začne, prínosy a riziká liečby anagrelidom musia byť pravidelne sledované a potreba pokračovania liečby pravidelne vyhodno</w:t>
      </w:r>
      <w:r w:rsidR="00C61D20" w:rsidRPr="005466C4">
        <w:t>cova</w:t>
      </w:r>
      <w:r w:rsidRPr="000C3CAA">
        <w:t xml:space="preserve">ná. </w:t>
      </w:r>
    </w:p>
    <w:p w:rsidR="00C61D20" w:rsidRPr="000C3CAA" w:rsidRDefault="00C61D20" w:rsidP="000C3CAA">
      <w:pPr>
        <w:spacing w:after="0" w:line="240" w:lineRule="auto"/>
        <w:ind w:left="-5" w:right="119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Cie</w:t>
      </w:r>
      <w:r w:rsidR="00C61D20" w:rsidRPr="005466C4">
        <w:t>ľové hodnoty</w:t>
      </w:r>
      <w:r w:rsidRPr="000C3CAA">
        <w:t xml:space="preserve"> počtu doštičiek </w:t>
      </w:r>
      <w:r w:rsidR="00C61D20" w:rsidRPr="005466C4">
        <w:t>stanoví</w:t>
      </w:r>
      <w:r w:rsidRPr="000C3CAA">
        <w:t xml:space="preserve"> individuálne každému pacientovi ošetrujúci lekár.</w:t>
      </w:r>
    </w:p>
    <w:p w:rsidR="00C61D20" w:rsidRPr="000C3CAA" w:rsidRDefault="00C61D20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Prerušenie liečby sa má zvážiť u pediatrických pacientov, ktorí nemajú uspokojivé odpovede na liečbu po približne 3 mesiacoch.</w:t>
      </w:r>
    </w:p>
    <w:p w:rsidR="00C61D20" w:rsidRPr="000C3CAA" w:rsidRDefault="00C61D20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V súčasnosti sú dostupné údaje opísané v časti 4.4, 4.8, 5.1 a 5.2, ale neumožňujú uviesť odporúčania na dávkovanie.</w:t>
      </w:r>
    </w:p>
    <w:p w:rsidR="00C61D20" w:rsidRPr="000C3CAA" w:rsidRDefault="00C61D20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Spôsob podávania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Na perorálne použitie. Kapsuly sa musia prehltnúť celé. Nedrvte ani nerieďte obsah v kvapaline. </w:t>
      </w:r>
    </w:p>
    <w:p w:rsidR="00DA4581" w:rsidRPr="000C3CAA" w:rsidRDefault="00DA4581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3"/>
        <w:tabs>
          <w:tab w:val="center" w:pos="1338"/>
        </w:tabs>
        <w:spacing w:after="0" w:line="240" w:lineRule="auto"/>
        <w:ind w:left="-15" w:firstLine="0"/>
      </w:pPr>
      <w:r w:rsidRPr="000C3CAA">
        <w:t>4.3</w:t>
      </w:r>
      <w:r w:rsidRPr="000C3CAA">
        <w:tab/>
        <w:t xml:space="preserve">Kontraindikácie </w:t>
      </w:r>
    </w:p>
    <w:p w:rsidR="00C61D20" w:rsidRPr="005466C4" w:rsidRDefault="00C61D20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Precitlivenosť na anagrelid alebo na ktorúkoľvek z pomocných látok uvedených v časti 6.1.</w:t>
      </w:r>
    </w:p>
    <w:p w:rsidR="00181EA3" w:rsidRPr="000C3CAA" w:rsidRDefault="00DA4581" w:rsidP="000C3CAA">
      <w:pPr>
        <w:spacing w:after="0" w:line="240" w:lineRule="auto"/>
        <w:ind w:left="-5" w:right="12"/>
      </w:pPr>
      <w:r w:rsidRPr="000C3CAA">
        <w:t>Pacienti so stredne ťažkou</w:t>
      </w:r>
      <w:r w:rsidR="00181EA3" w:rsidRPr="000C3CAA">
        <w:t xml:space="preserve"> alebo ťažkou poruchou funkcie pečene.</w:t>
      </w: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Pacienti so stredne ťažkou </w:t>
      </w:r>
      <w:r w:rsidR="00DA4581" w:rsidRPr="000C3CAA">
        <w:t>alebo</w:t>
      </w:r>
      <w:r w:rsidRPr="000C3CAA">
        <w:t xml:space="preserve"> ťažkou poruchou funkcie obličiek (klírens kreatinínu &lt; 50 ml/min).</w:t>
      </w:r>
    </w:p>
    <w:p w:rsidR="00C61D20" w:rsidRPr="000C3CAA" w:rsidRDefault="00C61D20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tabs>
          <w:tab w:val="center" w:pos="2819"/>
        </w:tabs>
        <w:spacing w:after="0" w:line="240" w:lineRule="auto"/>
        <w:ind w:left="-15" w:right="0" w:firstLine="0"/>
      </w:pPr>
      <w:r w:rsidRPr="000C3CAA">
        <w:rPr>
          <w:b/>
        </w:rPr>
        <w:t>4.4</w:t>
      </w:r>
      <w:r w:rsidRPr="000C3CAA">
        <w:rPr>
          <w:b/>
        </w:rPr>
        <w:tab/>
        <w:t>Osobitné upozornenia a opatrenia pri používaní</w:t>
      </w:r>
    </w:p>
    <w:p w:rsidR="00C61D20" w:rsidRPr="005466C4" w:rsidRDefault="00C61D20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 xml:space="preserve">Porucha funkcie pečene 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Pred začatím liečby sa m</w:t>
      </w:r>
      <w:r w:rsidR="009023B8" w:rsidRPr="005466C4">
        <w:t xml:space="preserve">ajú </w:t>
      </w:r>
      <w:r w:rsidR="00AF6065" w:rsidRPr="005466C4">
        <w:t xml:space="preserve">najskôr </w:t>
      </w:r>
      <w:r w:rsidRPr="000C3CAA">
        <w:t xml:space="preserve">stanoviť potenciálne riziká a prínosy liečby anagrelidom u pacientov s miernou poruchou funkcie pečene. </w:t>
      </w:r>
      <w:r w:rsidR="009023B8" w:rsidRPr="005466C4">
        <w:t>Liečba sa n</w:t>
      </w:r>
      <w:r w:rsidRPr="000C3CAA">
        <w:t>eodporúča u pacientov so zvýšenou hladinou transamináz (viac ako 5-násobné množstvo hornej hranice normálnych hodnôt) (pozri časti 4.2 a 4.3).</w:t>
      </w:r>
    </w:p>
    <w:p w:rsidR="00C61D20" w:rsidRPr="005466C4" w:rsidRDefault="00C61D20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Porucha funkcie obličiek</w:t>
      </w:r>
    </w:p>
    <w:p w:rsidR="00181EA3" w:rsidRPr="000C3CAA" w:rsidRDefault="00181EA3" w:rsidP="000C3CAA">
      <w:pPr>
        <w:spacing w:after="0" w:line="240" w:lineRule="auto"/>
        <w:ind w:left="-5" w:right="712"/>
      </w:pPr>
      <w:r w:rsidRPr="000C3CAA">
        <w:t>Pred začatím liečby sa majú najskôr stanoviť potenciálne riziká a prínosy liečby anagrelidom u pacientov s poru</w:t>
      </w:r>
      <w:r w:rsidR="00AF6065" w:rsidRPr="005466C4">
        <w:t>chou</w:t>
      </w:r>
      <w:r w:rsidRPr="000C3CAA">
        <w:t xml:space="preserve"> funkci</w:t>
      </w:r>
      <w:r w:rsidR="00AF6065" w:rsidRPr="005466C4">
        <w:t>e</w:t>
      </w:r>
      <w:r w:rsidRPr="000C3CAA">
        <w:t xml:space="preserve"> obličiek (pozri časti 4.2 a 4.3).</w:t>
      </w:r>
    </w:p>
    <w:p w:rsidR="00AF6065" w:rsidRPr="005466C4" w:rsidRDefault="00AF6065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Sledovanie</w:t>
      </w:r>
    </w:p>
    <w:p w:rsidR="00181EA3" w:rsidRPr="005466C4" w:rsidRDefault="00181EA3" w:rsidP="000C3CAA">
      <w:pPr>
        <w:spacing w:after="0" w:line="240" w:lineRule="auto"/>
        <w:ind w:left="-5" w:right="154"/>
      </w:pPr>
      <w:r w:rsidRPr="000C3CAA">
        <w:t>Liečba vyžaduje prísny klinický dozor nad pacientom, ktorý zahŕňa úplné vyšetrenie krvného obrazu (hemoglobín a počet leukocytov a krvných doštičiek), zhodnotenie výsledkov vyšetrení funkcie pečene (ALT a AST), funkcie obličiek (sérový kreatinín a močovina) a elektrolytov (draslík, horčík a vápnik).</w:t>
      </w:r>
    </w:p>
    <w:p w:rsidR="00AF6065" w:rsidRPr="000C3CAA" w:rsidRDefault="00AF6065" w:rsidP="000C3CAA">
      <w:pPr>
        <w:spacing w:after="0" w:line="240" w:lineRule="auto"/>
        <w:ind w:left="-5" w:right="154"/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 xml:space="preserve">Krvné doštičky 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Počet krvných doštičiek sa do 4 dní po </w:t>
      </w:r>
      <w:r w:rsidR="00C92A01" w:rsidRPr="005466C4">
        <w:t>ukončení</w:t>
      </w:r>
      <w:r w:rsidRPr="000C3CAA">
        <w:t xml:space="preserve"> liečby anagrelidom zvýši a vráti na úroveň pred začatím liečby do 10 až 14 dní, </w:t>
      </w:r>
      <w:r w:rsidR="00055FCD" w:rsidRPr="005466C4">
        <w:t xml:space="preserve">pričom je </w:t>
      </w:r>
      <w:r w:rsidRPr="000C3CAA">
        <w:t>možn</w:t>
      </w:r>
      <w:r w:rsidR="00055FCD" w:rsidRPr="005466C4">
        <w:t>é, že</w:t>
      </w:r>
      <w:r w:rsidR="00176A10" w:rsidRPr="005466C4">
        <w:t xml:space="preserve"> dôjde k zvýšeniu</w:t>
      </w:r>
      <w:r w:rsidRPr="000C3CAA">
        <w:t xml:space="preserve"> nad hodnoty pred začatím liečby. Preto sa má počet krvných doštičiek často monitorovať. </w:t>
      </w:r>
    </w:p>
    <w:p w:rsidR="00C92A01" w:rsidRPr="005466C4" w:rsidRDefault="00C92A01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Kardiovaskulárn</w:t>
      </w:r>
      <w:r w:rsidR="00176A10" w:rsidRPr="005466C4">
        <w:rPr>
          <w:i/>
          <w:u w:val="none"/>
        </w:rPr>
        <w:t>y systém</w:t>
      </w:r>
      <w:r w:rsidRPr="000C3CAA">
        <w:rPr>
          <w:i/>
          <w:u w:val="none"/>
        </w:rPr>
        <w:t xml:space="preserve"> 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Zaznamenali sa závažné kardiovaskulárne nežiaduce </w:t>
      </w:r>
      <w:r w:rsidR="00753652" w:rsidRPr="005466C4">
        <w:t>udalosti</w:t>
      </w:r>
      <w:r w:rsidRPr="000C3CAA">
        <w:t xml:space="preserve"> vrátane prípadov torsade de pointes, ventrikulárnej tachykardie, kardiomyopatie, kardiomegálie a kongestívneho zlyhania srdca (pozri časť 4.8).</w:t>
      </w:r>
    </w:p>
    <w:p w:rsidR="00176A10" w:rsidRPr="005466C4" w:rsidRDefault="00176A10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Anagrelid sa má používať s opatrnosťou u pacientov so známymi rizikovými faktormi, ktoré môžu predlžovať QT interval, ako napríklad kongenitálny syndróm dlhého intervalu QT, získané </w:t>
      </w:r>
      <w:r w:rsidR="003976BA" w:rsidRPr="005466C4">
        <w:t>predĺženie</w:t>
      </w:r>
      <w:r w:rsidRPr="000C3CAA">
        <w:t xml:space="preserve"> QTc intervalu</w:t>
      </w:r>
      <w:r w:rsidR="003976BA" w:rsidRPr="005466C4">
        <w:t xml:space="preserve"> v anamnéze</w:t>
      </w:r>
      <w:r w:rsidRPr="000C3CAA">
        <w:t>, lieky, ktoré môžu predĺžiť QTc interval a hypokaliémia.</w:t>
      </w:r>
    </w:p>
    <w:p w:rsidR="003976BA" w:rsidRPr="000C3CAA" w:rsidRDefault="003976BA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Anagrelid sa má používať s opatrnosťou </w:t>
      </w:r>
      <w:r w:rsidR="003976BA" w:rsidRPr="005466C4">
        <w:t>aj</w:t>
      </w:r>
      <w:r w:rsidRPr="000C3CAA">
        <w:t xml:space="preserve"> u pacientov, ktorí môžu mať vyššiu maximálnu plazmatickú koncentráciu (C</w:t>
      </w:r>
      <w:r w:rsidRPr="000C3CAA">
        <w:rPr>
          <w:vertAlign w:val="subscript"/>
        </w:rPr>
        <w:t>max</w:t>
      </w:r>
      <w:r w:rsidRPr="000C3CAA">
        <w:t xml:space="preserve">) anagrelidu alebo jeho aktívneho metabolitu, 3-hydroxyanagrelidu, napr. pri poruche funkcie pečene alebo pri použití s CYP1A2 inhibítormi (pozri časť 4.5). </w:t>
      </w:r>
    </w:p>
    <w:p w:rsidR="00E96EE2" w:rsidRPr="000C3CAA" w:rsidRDefault="00E96EE2" w:rsidP="000C3CAA">
      <w:pPr>
        <w:spacing w:after="0" w:line="240" w:lineRule="auto"/>
        <w:ind w:left="-5" w:right="12"/>
      </w:pPr>
    </w:p>
    <w:p w:rsidR="00181EA3" w:rsidRPr="005466C4" w:rsidRDefault="00E96EE2" w:rsidP="000C3CAA">
      <w:pPr>
        <w:spacing w:after="0" w:line="240" w:lineRule="auto"/>
        <w:ind w:left="-5" w:right="12"/>
      </w:pPr>
      <w:r w:rsidRPr="005466C4">
        <w:t>Odporúča sa</w:t>
      </w:r>
      <w:r w:rsidR="00181EA3" w:rsidRPr="000C3CAA">
        <w:t xml:space="preserve"> dôkladné monitorovanie </w:t>
      </w:r>
      <w:r w:rsidRPr="005466C4">
        <w:t>účinku</w:t>
      </w:r>
      <w:r w:rsidR="00181EA3" w:rsidRPr="000C3CAA">
        <w:t xml:space="preserve"> na QTc interval.</w:t>
      </w:r>
    </w:p>
    <w:p w:rsidR="00E96EE2" w:rsidRPr="000C3CAA" w:rsidRDefault="00E96EE2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Pred začiatkom liečby anagrelidom sa u všetkých pacientov odporúča vykonať kardiovaskulárne vyšetrenie vrátane </w:t>
      </w:r>
      <w:r w:rsidR="004B00FA" w:rsidRPr="005466C4">
        <w:t>východiskového</w:t>
      </w:r>
      <w:r w:rsidR="00753652" w:rsidRPr="005466C4">
        <w:t xml:space="preserve"> vyšetrenia</w:t>
      </w:r>
      <w:r w:rsidRPr="000C3CAA">
        <w:t xml:space="preserve"> EKG a echokardiografie. Všetci pacienti sa majú počas liečby pravidelne monitorovať (napr. </w:t>
      </w:r>
      <w:r w:rsidR="004B00FA" w:rsidRPr="005466C4">
        <w:t xml:space="preserve">pomocou </w:t>
      </w:r>
      <w:r w:rsidRPr="000C3CAA">
        <w:t>EKG alebo echokardiografi</w:t>
      </w:r>
      <w:r w:rsidR="004B00FA" w:rsidRPr="005466C4">
        <w:t>e</w:t>
      </w:r>
      <w:r w:rsidRPr="000C3CAA">
        <w:t xml:space="preserve">) kvôli možným účinkom </w:t>
      </w:r>
      <w:r w:rsidRPr="000C3CAA">
        <w:lastRenderedPageBreak/>
        <w:t>na kardiovaskulárny systém, ktoré môžu vyžadovať ďalšie kardiovaskulárne vyšetrenie. Hypokaliémia alebo hypomagneziémia sa musia pred podaním anagrelidu korigovať a v priebehu terapie pravidelne monitorovať.</w:t>
      </w:r>
    </w:p>
    <w:p w:rsidR="00E96EE2" w:rsidRPr="000C3CAA" w:rsidRDefault="00E96EE2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660"/>
      </w:pPr>
      <w:r w:rsidRPr="000C3CAA">
        <w:t xml:space="preserve">Anagrelid je inhibítorom fosfodiesterázy III </w:t>
      </w:r>
      <w:r w:rsidR="00F4207F">
        <w:t xml:space="preserve">cyklického AMP </w:t>
      </w:r>
      <w:r w:rsidRPr="000C3CAA">
        <w:t xml:space="preserve">a pre jeho pozitívne inotropné a chronotropné účinky sa anagrelid má používať opatrne u pacientov v akomkoľvek veku s diagnostikovaným ochorením srdca alebo s podozrením na toto ochorenie. Navyše sa vyskytli závažné kardiovaskulárne nežiaduce </w:t>
      </w:r>
      <w:r w:rsidR="00753652" w:rsidRPr="005466C4">
        <w:t>udalosti</w:t>
      </w:r>
      <w:r w:rsidRPr="000C3CAA">
        <w:t xml:space="preserve"> aj u pacientov bez podozrenia na ochorenie srdca a s normálnymi výsledkami kardiovaskulárneho vyšetrenia pred liečbou. </w:t>
      </w:r>
    </w:p>
    <w:p w:rsidR="007426F2" w:rsidRPr="000C3CAA" w:rsidRDefault="007426F2" w:rsidP="000C3CAA">
      <w:pPr>
        <w:spacing w:after="0" w:line="240" w:lineRule="auto"/>
        <w:ind w:left="-5" w:right="660"/>
      </w:pP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Anagrelid sa má používať len ak potenciálne prínosy liečby prevýšia potenciálne riziká.</w:t>
      </w:r>
    </w:p>
    <w:p w:rsidR="00365426" w:rsidRPr="000C3CAA" w:rsidRDefault="00365426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Pulmonálna hypertenzia</w:t>
      </w: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U pacientov liečených anagrelidom boli hlásené prípady pulmonálnej hypertenzie. Pred začatím liečby a počas liečby anagrelidom majú byť pacienti sledovaní </w:t>
      </w:r>
      <w:r w:rsidR="00753652" w:rsidRPr="005466C4">
        <w:t>kvôli výskytu</w:t>
      </w:r>
      <w:r w:rsidRPr="000C3CAA">
        <w:t xml:space="preserve"> prejavov a príznakov základného kardiopulmonálneho ochorenia.</w:t>
      </w:r>
    </w:p>
    <w:p w:rsidR="007426F2" w:rsidRPr="000C3CAA" w:rsidRDefault="007426F2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Pediatrická populácia</w:t>
      </w: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Dostupné sú len veľmi limitované údaje o používaní anagrelidu u pediatrickej populácie a anagrelid by sa mal používať u tejto skupiny pacientov s opatrnosťou (pozri časti 4.2, 4.8., 5.1 a 5.2).</w:t>
      </w:r>
    </w:p>
    <w:p w:rsidR="00E652C3" w:rsidRPr="000C3CAA" w:rsidRDefault="00E652C3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Rovnako ako u dospelej populácie </w:t>
      </w:r>
      <w:r w:rsidR="003227F1" w:rsidRPr="005466C4">
        <w:t xml:space="preserve">sa </w:t>
      </w:r>
      <w:r w:rsidRPr="000C3CAA">
        <w:t>má pred liečbou a pravidelne počas liečby vykona</w:t>
      </w:r>
      <w:r w:rsidR="003227F1" w:rsidRPr="005466C4">
        <w:t>ť</w:t>
      </w:r>
      <w:r w:rsidRPr="000C3CAA">
        <w:t xml:space="preserve"> úplné vyšetrenie krvného obrazu a zhodnot</w:t>
      </w:r>
      <w:r w:rsidR="003227F1" w:rsidRPr="005466C4">
        <w:t>iť</w:t>
      </w:r>
      <w:r w:rsidRPr="000C3CAA">
        <w:t xml:space="preserve"> funkci</w:t>
      </w:r>
      <w:r w:rsidR="003227F1" w:rsidRPr="005466C4">
        <w:t>a</w:t>
      </w:r>
      <w:r w:rsidRPr="000C3CAA">
        <w:t xml:space="preserve"> srdca, pečene a obličiek. Ochorenie môže progredovať do myelofibrózy alebo </w:t>
      </w:r>
      <w:r w:rsidR="00E652C3" w:rsidRPr="005466C4">
        <w:t>akútnej myeloblastovej leukémie (</w:t>
      </w:r>
      <w:r w:rsidRPr="000C3CAA">
        <w:t>AML</w:t>
      </w:r>
      <w:r w:rsidR="00E652C3" w:rsidRPr="005466C4">
        <w:t>)</w:t>
      </w:r>
      <w:r w:rsidRPr="000C3CAA">
        <w:t xml:space="preserve">. Hoci miera takejto progresie nie je známa, u detí je priebeh ochorenia dlhší a preto je u nich zvýšené riziko malígnej transformácie v porovnaní s dospelými. Deti majú byť pravidelne monitorované kvôli progresii ochorenia v súlade so štandardnými klinickými postupmi ako sú fyzikálne vyšetrenie, zhodnotenie relevantných markerov ochorenia a biopsia kostnej drene. </w:t>
      </w:r>
    </w:p>
    <w:p w:rsidR="00E652C3" w:rsidRPr="000C3CAA" w:rsidRDefault="00E652C3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Akékoľvek abnormality majú byť okamžite vyhodnotené a je potrebné urobiť vhodné opatrenia, ktoré môžu zahŕňať zníženie dávky, prerušenie alebo ukončenie</w:t>
      </w:r>
      <w:r w:rsidR="003227F1" w:rsidRPr="005466C4">
        <w:t xml:space="preserve"> liečby</w:t>
      </w:r>
      <w:r w:rsidRPr="000C3CAA">
        <w:t xml:space="preserve">. </w:t>
      </w:r>
    </w:p>
    <w:p w:rsidR="003227F1" w:rsidRPr="000C3CAA" w:rsidRDefault="003227F1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 xml:space="preserve">Klinicky relevantné interakcie </w:t>
      </w: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Anagrelid je inhibítorom fosfodiesterázy III (PDE III)</w:t>
      </w:r>
      <w:r w:rsidR="00F4207F">
        <w:t xml:space="preserve"> cyklického AMP</w:t>
      </w:r>
      <w:r w:rsidRPr="000C3CAA">
        <w:t>. Sú</w:t>
      </w:r>
      <w:r w:rsidR="003227F1" w:rsidRPr="005466C4">
        <w:t>bežné</w:t>
      </w:r>
      <w:r w:rsidRPr="000C3CAA">
        <w:t xml:space="preserve"> používanie anagrelidu s inými inhibítormi PDE III ako napríklad </w:t>
      </w:r>
      <w:r w:rsidR="00951702" w:rsidRPr="005466C4">
        <w:t xml:space="preserve">s </w:t>
      </w:r>
      <w:r w:rsidRPr="000C3CAA">
        <w:t>milrin</w:t>
      </w:r>
      <w:r w:rsidR="00951702" w:rsidRPr="005466C4">
        <w:t>ó</w:t>
      </w:r>
      <w:r w:rsidRPr="000C3CAA">
        <w:t>n</w:t>
      </w:r>
      <w:r w:rsidR="00951702" w:rsidRPr="005466C4">
        <w:t>om</w:t>
      </w:r>
      <w:r w:rsidRPr="000C3CAA">
        <w:t>, amrin</w:t>
      </w:r>
      <w:r w:rsidR="00951702" w:rsidRPr="005466C4">
        <w:t>ó</w:t>
      </w:r>
      <w:r w:rsidRPr="000C3CAA">
        <w:t>n</w:t>
      </w:r>
      <w:r w:rsidR="00951702" w:rsidRPr="005466C4">
        <w:t>om</w:t>
      </w:r>
      <w:r w:rsidRPr="000C3CAA">
        <w:t>, enoxim</w:t>
      </w:r>
      <w:r w:rsidR="00951702" w:rsidRPr="005466C4">
        <w:t>ó</w:t>
      </w:r>
      <w:r w:rsidRPr="000C3CAA">
        <w:t>n</w:t>
      </w:r>
      <w:r w:rsidR="00951702" w:rsidRPr="005466C4">
        <w:t>om</w:t>
      </w:r>
      <w:r w:rsidRPr="000C3CAA">
        <w:t>, olprin</w:t>
      </w:r>
      <w:r w:rsidR="00951702" w:rsidRPr="005466C4">
        <w:t>ó</w:t>
      </w:r>
      <w:r w:rsidRPr="000C3CAA">
        <w:t>n</w:t>
      </w:r>
      <w:r w:rsidR="00951702" w:rsidRPr="005466C4">
        <w:t>om</w:t>
      </w:r>
      <w:r w:rsidRPr="000C3CAA">
        <w:t xml:space="preserve"> a cilostazol</w:t>
      </w:r>
      <w:r w:rsidR="00951702" w:rsidRPr="005466C4">
        <w:t>om</w:t>
      </w:r>
      <w:r w:rsidRPr="000C3CAA">
        <w:t xml:space="preserve"> sa neodporúča. </w:t>
      </w:r>
    </w:p>
    <w:p w:rsidR="003227F1" w:rsidRPr="000C3CAA" w:rsidRDefault="003227F1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Sú</w:t>
      </w:r>
      <w:r w:rsidR="003227F1" w:rsidRPr="005466C4">
        <w:t>bežné</w:t>
      </w:r>
      <w:r w:rsidRPr="000C3CAA">
        <w:t xml:space="preserve"> používanie anagrelidu a kyseliny acetylsalicylovej je spojené so závažnými hemoragickými príhodami (pozri časť 4.5).</w:t>
      </w:r>
    </w:p>
    <w:p w:rsidR="003227F1" w:rsidRPr="000C3CAA" w:rsidRDefault="003227F1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 xml:space="preserve">Pomocné látky </w:t>
      </w:r>
    </w:p>
    <w:p w:rsidR="00181EA3" w:rsidRPr="005466C4" w:rsidRDefault="00E029AF" w:rsidP="000C3CAA">
      <w:pPr>
        <w:spacing w:after="0" w:line="240" w:lineRule="auto"/>
        <w:ind w:left="-5" w:right="12"/>
      </w:pPr>
      <w:r w:rsidRPr="000C3CAA">
        <w:t>Anagrelid</w:t>
      </w:r>
      <w:r w:rsidR="00365426" w:rsidRPr="000C3CAA">
        <w:t xml:space="preserve"> Vipharm</w:t>
      </w:r>
      <w:r w:rsidR="00181EA3" w:rsidRPr="000C3CAA">
        <w:t xml:space="preserve"> obsahuje laktózu. Pacienti so zriedkavými dedičnými problémami galaktózovej intolerancie, </w:t>
      </w:r>
      <w:r w:rsidR="00EB5B9D" w:rsidRPr="005466C4">
        <w:t>celkovým</w:t>
      </w:r>
      <w:r w:rsidR="00181EA3" w:rsidRPr="000C3CAA">
        <w:t xml:space="preserve"> deficit</w:t>
      </w:r>
      <w:r w:rsidR="00EB5B9D" w:rsidRPr="005466C4">
        <w:t>om</w:t>
      </w:r>
      <w:r w:rsidR="00181EA3" w:rsidRPr="000C3CAA">
        <w:t xml:space="preserve"> laktázy alebo glukózo-galaktózov</w:t>
      </w:r>
      <w:r w:rsidR="00EB5B9D" w:rsidRPr="005466C4">
        <w:t>ou</w:t>
      </w:r>
      <w:r w:rsidR="00181EA3" w:rsidRPr="000C3CAA">
        <w:t xml:space="preserve"> malabsorpci</w:t>
      </w:r>
      <w:r w:rsidR="00EB5B9D" w:rsidRPr="005466C4">
        <w:t>ou</w:t>
      </w:r>
      <w:r w:rsidR="00181EA3" w:rsidRPr="000C3CAA">
        <w:t xml:space="preserve"> nesmú užívať tento liek.</w:t>
      </w:r>
    </w:p>
    <w:p w:rsidR="00951702" w:rsidRPr="000C3CAA" w:rsidRDefault="00951702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3"/>
        <w:tabs>
          <w:tab w:val="center" w:pos="1688"/>
        </w:tabs>
        <w:spacing w:after="0" w:line="240" w:lineRule="auto"/>
        <w:ind w:left="-15" w:firstLine="0"/>
      </w:pPr>
      <w:r w:rsidRPr="000C3CAA">
        <w:t>4.5</w:t>
      </w:r>
      <w:r w:rsidRPr="000C3CAA">
        <w:tab/>
        <w:t>Liekové a iné interakcie</w:t>
      </w:r>
    </w:p>
    <w:p w:rsidR="00951702" w:rsidRPr="005466C4" w:rsidRDefault="00951702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Uskutočnili sa limitované farmakokinetické a/alebo farmakodynamické štúdie, skúmajúce možné interakcie medzi anagrelidom a inými liekmi.</w:t>
      </w:r>
    </w:p>
    <w:p w:rsidR="00951702" w:rsidRPr="000C3CAA" w:rsidRDefault="00951702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Účinky iných liečiv na anagrelid</w:t>
      </w:r>
    </w:p>
    <w:p w:rsidR="009F6049" w:rsidRPr="000C3CAA" w:rsidRDefault="00181EA3" w:rsidP="000C3CAA">
      <w:pPr>
        <w:numPr>
          <w:ilvl w:val="0"/>
          <w:numId w:val="2"/>
        </w:numPr>
        <w:spacing w:after="0" w:line="240" w:lineRule="auto"/>
        <w:ind w:right="12" w:hanging="566"/>
      </w:pPr>
      <w:r w:rsidRPr="000C3CAA">
        <w:t xml:space="preserve">Štúdie interakcií </w:t>
      </w:r>
      <w:r w:rsidRPr="000C3CAA">
        <w:rPr>
          <w:i/>
        </w:rPr>
        <w:t xml:space="preserve">in vivo </w:t>
      </w:r>
      <w:r w:rsidRPr="000C3CAA">
        <w:t xml:space="preserve">u ľudí preukázali, že digoxín a warfarín neovplyvňujú farmakokinetické vlastnosti anagrelidu. </w:t>
      </w:r>
    </w:p>
    <w:p w:rsidR="00181EA3" w:rsidRPr="000C3CAA" w:rsidRDefault="00181EA3" w:rsidP="000C3CAA">
      <w:pPr>
        <w:spacing w:after="0" w:line="240" w:lineRule="auto"/>
        <w:ind w:left="0" w:right="12" w:firstLine="0"/>
      </w:pPr>
      <w:r w:rsidRPr="000C3CAA">
        <w:rPr>
          <w:i/>
          <w:u w:val="single" w:color="000000"/>
        </w:rPr>
        <w:t>Inhibítory CYP1A2</w:t>
      </w:r>
    </w:p>
    <w:p w:rsidR="00181EA3" w:rsidRPr="000C3CAA" w:rsidRDefault="00181EA3" w:rsidP="000C3CAA">
      <w:pPr>
        <w:numPr>
          <w:ilvl w:val="0"/>
          <w:numId w:val="2"/>
        </w:numPr>
        <w:spacing w:after="0" w:line="240" w:lineRule="auto"/>
        <w:ind w:right="12" w:hanging="566"/>
      </w:pPr>
      <w:r w:rsidRPr="000C3CAA">
        <w:t xml:space="preserve">Anagrelid je primárne metabolizovaný </w:t>
      </w:r>
      <w:r w:rsidR="00D57E0B" w:rsidRPr="000C3CAA">
        <w:t xml:space="preserve">prostredníctvom </w:t>
      </w:r>
      <w:r w:rsidRPr="000C3CAA">
        <w:t>CYP1A2. Je známe, že CYP1A2 je inhibovaný niekoľkými liekmi, vrátane fluvoxamínu a enoxacínu, a tieto lieky by teoreticky mohli nepriaznivo ovplyvniť klírens anagrelidu.</w:t>
      </w:r>
    </w:p>
    <w:p w:rsidR="00181EA3" w:rsidRPr="000C3CAA" w:rsidRDefault="00181EA3" w:rsidP="000C3CAA">
      <w:pPr>
        <w:spacing w:after="0" w:line="240" w:lineRule="auto"/>
        <w:ind w:left="-5" w:right="0"/>
      </w:pPr>
      <w:r w:rsidRPr="000C3CAA">
        <w:rPr>
          <w:i/>
          <w:u w:val="single" w:color="000000"/>
        </w:rPr>
        <w:lastRenderedPageBreak/>
        <w:t>Induktory CYP1A2</w:t>
      </w:r>
    </w:p>
    <w:p w:rsidR="00181EA3" w:rsidRPr="000C3CAA" w:rsidRDefault="00181EA3" w:rsidP="000C3CAA">
      <w:pPr>
        <w:numPr>
          <w:ilvl w:val="0"/>
          <w:numId w:val="2"/>
        </w:numPr>
        <w:spacing w:after="0" w:line="240" w:lineRule="auto"/>
        <w:ind w:right="12" w:hanging="566"/>
      </w:pPr>
      <w:r w:rsidRPr="000C3CAA">
        <w:t xml:space="preserve">Induktory CYP1A2 (ako napr. omeprazol) môžu znížiť expozíciu anagrelidu zvýšením hladiny jeho hlavného aktívneho metabolitu. Dopad na profily bezpečnosti a účinnosti </w:t>
      </w:r>
      <w:proofErr w:type="spellStart"/>
      <w:r w:rsidRPr="000C3CAA">
        <w:t>anagrelidu</w:t>
      </w:r>
      <w:proofErr w:type="spellEnd"/>
      <w:r w:rsidRPr="000C3CAA">
        <w:t xml:space="preserve"> n</w:t>
      </w:r>
      <w:r w:rsidR="000C21DC">
        <w:t>ebol</w:t>
      </w:r>
      <w:r w:rsidRPr="000C3CAA">
        <w:t xml:space="preserve"> stanoven</w:t>
      </w:r>
      <w:r w:rsidR="000C21DC">
        <w:t>ý</w:t>
      </w:r>
      <w:r w:rsidRPr="000C3CAA">
        <w:t>. Z tohto dôvodu sa pacientom užívajúcim súbežne induktory CYP1A2 odporúča klinické a biologické sledovanie. Pokiaľ je to potrebné, môže sa upraviť dávka anagrelidu.</w:t>
      </w:r>
    </w:p>
    <w:p w:rsidR="00D57E0B" w:rsidRPr="005466C4" w:rsidRDefault="00D57E0B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Účinky anagrelidu na iné liečivá</w:t>
      </w:r>
    </w:p>
    <w:p w:rsidR="00181EA3" w:rsidRPr="000C3CAA" w:rsidRDefault="00181EA3" w:rsidP="000C3CAA">
      <w:pPr>
        <w:numPr>
          <w:ilvl w:val="0"/>
          <w:numId w:val="3"/>
        </w:numPr>
        <w:spacing w:after="0" w:line="240" w:lineRule="auto"/>
        <w:ind w:right="12" w:hanging="566"/>
      </w:pPr>
      <w:r w:rsidRPr="000C3CAA">
        <w:t>Anagrelid preukazuje limitovanú inhibičnú aktivitu voči CYP1A2, čo môže predstavovať teoretickú možnosť interakcie s inými súbežne podávanými liekmi, ktoré zdieľajú rovnaký mechanizmus klírensu, napríklad teofylín.</w:t>
      </w:r>
    </w:p>
    <w:p w:rsidR="00181EA3" w:rsidRPr="000C3CAA" w:rsidRDefault="00181EA3" w:rsidP="000C3CAA">
      <w:pPr>
        <w:numPr>
          <w:ilvl w:val="0"/>
          <w:numId w:val="3"/>
        </w:numPr>
        <w:spacing w:after="0" w:line="240" w:lineRule="auto"/>
        <w:ind w:right="12" w:hanging="566"/>
      </w:pPr>
      <w:r w:rsidRPr="000C3CAA">
        <w:t>Anagrelid je inhibítorom PDE III. Účinky liekov s podobnými vlastnosťami, ako sú inotropné látky milrin</w:t>
      </w:r>
      <w:r w:rsidR="00FD767B" w:rsidRPr="005466C4">
        <w:t>ó</w:t>
      </w:r>
      <w:r w:rsidRPr="000C3CAA">
        <w:t>n, enoxim</w:t>
      </w:r>
      <w:r w:rsidR="00FD767B" w:rsidRPr="005466C4">
        <w:t>ó</w:t>
      </w:r>
      <w:r w:rsidRPr="000C3CAA">
        <w:t>n, amrin</w:t>
      </w:r>
      <w:r w:rsidR="00FD767B" w:rsidRPr="005466C4">
        <w:t>ó</w:t>
      </w:r>
      <w:r w:rsidRPr="000C3CAA">
        <w:t>n, olprin</w:t>
      </w:r>
      <w:r w:rsidR="00FD767B" w:rsidRPr="005466C4">
        <w:t>ó</w:t>
      </w:r>
      <w:r w:rsidRPr="000C3CAA">
        <w:t xml:space="preserve">n a cilostazol, môže anagrelid </w:t>
      </w:r>
      <w:r w:rsidR="00FD767B" w:rsidRPr="005466C4">
        <w:t>zvýrazniť</w:t>
      </w:r>
      <w:r w:rsidRPr="000C3CAA">
        <w:t>.</w:t>
      </w:r>
    </w:p>
    <w:p w:rsidR="00181EA3" w:rsidRPr="000C3CAA" w:rsidRDefault="00181EA3" w:rsidP="000C3CAA">
      <w:pPr>
        <w:numPr>
          <w:ilvl w:val="0"/>
          <w:numId w:val="3"/>
        </w:numPr>
        <w:spacing w:after="0" w:line="240" w:lineRule="auto"/>
        <w:ind w:right="12" w:hanging="566"/>
      </w:pPr>
      <w:r w:rsidRPr="000C3CAA">
        <w:t>Štúdie interakci</w:t>
      </w:r>
      <w:r w:rsidR="00EB5B9D" w:rsidRPr="005466C4">
        <w:t>í</w:t>
      </w:r>
      <w:r w:rsidRPr="000C3CAA">
        <w:t xml:space="preserve"> </w:t>
      </w:r>
      <w:r w:rsidRPr="000C3CAA">
        <w:rPr>
          <w:i/>
        </w:rPr>
        <w:t xml:space="preserve">in vivo </w:t>
      </w:r>
      <w:r w:rsidRPr="000C3CAA">
        <w:t>u ľudí preukázali, že anagrelid neovplyvňuje farmakokinetické vlastnosti digoxínu alebo warfarínu.</w:t>
      </w:r>
    </w:p>
    <w:p w:rsidR="00181EA3" w:rsidRPr="000C3CAA" w:rsidRDefault="00B15CB6" w:rsidP="000C3CAA">
      <w:pPr>
        <w:numPr>
          <w:ilvl w:val="0"/>
          <w:numId w:val="3"/>
        </w:numPr>
        <w:spacing w:after="0" w:line="240" w:lineRule="auto"/>
        <w:ind w:right="12" w:hanging="566"/>
      </w:pPr>
      <w:r w:rsidRPr="005466C4">
        <w:t xml:space="preserve">Anagrelid podávaný v dávkach odporúčaných na liečbu </w:t>
      </w:r>
      <w:r w:rsidR="00EB5B9D" w:rsidRPr="005466C4">
        <w:t>esenciálnej</w:t>
      </w:r>
      <w:r w:rsidR="00181EA3" w:rsidRPr="000C3CAA">
        <w:t xml:space="preserve"> </w:t>
      </w:r>
      <w:proofErr w:type="spellStart"/>
      <w:r w:rsidR="00181EA3" w:rsidRPr="000C3CAA">
        <w:t>trombocytémie</w:t>
      </w:r>
      <w:proofErr w:type="spellEnd"/>
      <w:r w:rsidR="00181EA3" w:rsidRPr="000C3CAA">
        <w:t xml:space="preserve"> môže </w:t>
      </w:r>
      <w:r w:rsidRPr="005466C4">
        <w:t>zosilniť</w:t>
      </w:r>
      <w:r w:rsidR="00181EA3" w:rsidRPr="000C3CAA">
        <w:t xml:space="preserve"> účinky iných liekov, ktoré </w:t>
      </w:r>
      <w:r w:rsidRPr="005466C4">
        <w:t>inhibujú</w:t>
      </w:r>
      <w:r w:rsidR="00181EA3" w:rsidRPr="000C3CAA">
        <w:t xml:space="preserve"> alebo pozmeňujú funkciu krvných doštičiek, napr. kyselin</w:t>
      </w:r>
      <w:r w:rsidR="00D34FAC" w:rsidRPr="005466C4">
        <w:t>y</w:t>
      </w:r>
      <w:r w:rsidR="00181EA3" w:rsidRPr="000C3CAA">
        <w:t xml:space="preserve"> acetylsalicylov</w:t>
      </w:r>
      <w:r w:rsidR="00D34FAC" w:rsidRPr="005466C4">
        <w:t>ej</w:t>
      </w:r>
      <w:r w:rsidR="00181EA3" w:rsidRPr="000C3CAA">
        <w:t xml:space="preserve">. </w:t>
      </w:r>
    </w:p>
    <w:p w:rsidR="00181EA3" w:rsidRPr="000C3CAA" w:rsidRDefault="00181EA3" w:rsidP="000C3CAA">
      <w:pPr>
        <w:numPr>
          <w:ilvl w:val="0"/>
          <w:numId w:val="3"/>
        </w:numPr>
        <w:spacing w:after="0" w:line="240" w:lineRule="auto"/>
        <w:ind w:right="12" w:hanging="566"/>
      </w:pPr>
      <w:r w:rsidRPr="000C3CAA">
        <w:t>V klinickej interakčnej štúdii so zdravými jedincami sa preukázalo, že súbežné podávanie opakovanej dávky anagrelidu 1 mg jedenkrát denne a kyseliny acetylsalicylovej 75 mg jedenkrát denne m</w:t>
      </w:r>
      <w:r w:rsidR="00D34FAC" w:rsidRPr="005466C4">
        <w:t>ôže zvýšiť</w:t>
      </w:r>
      <w:r w:rsidRPr="000C3CAA">
        <w:t xml:space="preserve"> antiagregačné účinky každého liečiva na krvné doštičky </w:t>
      </w:r>
      <w:r w:rsidR="00F56244">
        <w:t>v porovna</w:t>
      </w:r>
      <w:r w:rsidR="00D34FAC" w:rsidRPr="005466C4">
        <w:t>ní s</w:t>
      </w:r>
      <w:r w:rsidRPr="000C3CAA">
        <w:t xml:space="preserve"> podávan</w:t>
      </w:r>
      <w:r w:rsidR="00D34FAC" w:rsidRPr="005466C4">
        <w:t>ím</w:t>
      </w:r>
      <w:r w:rsidRPr="000C3CAA">
        <w:t xml:space="preserve"> samotnej kyseliny acetylsalicylovej. U niektorých pacientov s ET súbežne liečených kyselinou acetylsalicylovou a anagrelidom sa vyskytli závažné hemorágie. Preto sa majú pred začatím liečby zhodnotiť potenciálne riziká súbežného používania anagrelidu s kyselinou acetylsalicylovou, predovšetkým u pacientov s vysok</w:t>
      </w:r>
      <w:r w:rsidR="00D34FAC" w:rsidRPr="005466C4">
        <w:t>o</w:t>
      </w:r>
      <w:r w:rsidRPr="000C3CAA">
        <w:t xml:space="preserve"> rizikovým profilom pre krvácanie. </w:t>
      </w:r>
    </w:p>
    <w:p w:rsidR="00181EA3" w:rsidRPr="000C3CAA" w:rsidRDefault="00181EA3" w:rsidP="000C3CAA">
      <w:pPr>
        <w:numPr>
          <w:ilvl w:val="0"/>
          <w:numId w:val="3"/>
        </w:numPr>
        <w:spacing w:after="0" w:line="240" w:lineRule="auto"/>
        <w:ind w:right="12" w:hanging="566"/>
      </w:pPr>
      <w:r w:rsidRPr="000C3CAA">
        <w:t>Anagrelid môže u niektorých pacientov spôsobovať črevné poruchy a zhoršiť vstrebávanie hormonálnej perorálnej antikoncepcie.</w:t>
      </w:r>
    </w:p>
    <w:p w:rsidR="00FD767B" w:rsidRPr="005466C4" w:rsidRDefault="00FD767B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Interakcie s jedlom</w:t>
      </w:r>
    </w:p>
    <w:p w:rsidR="00181EA3" w:rsidRPr="000C3CAA" w:rsidRDefault="00181EA3" w:rsidP="000C3CAA">
      <w:pPr>
        <w:numPr>
          <w:ilvl w:val="0"/>
          <w:numId w:val="4"/>
        </w:numPr>
        <w:spacing w:after="0" w:line="240" w:lineRule="auto"/>
        <w:ind w:right="12" w:hanging="566"/>
      </w:pPr>
      <w:r w:rsidRPr="000C3CAA">
        <w:t>Jedlo spomaľuje vstrebávanie anagrelidu, ale významne nemení systémovú expozíciu.</w:t>
      </w:r>
    </w:p>
    <w:p w:rsidR="00181EA3" w:rsidRPr="000C3CAA" w:rsidRDefault="004C1155" w:rsidP="000C3CAA">
      <w:pPr>
        <w:numPr>
          <w:ilvl w:val="0"/>
          <w:numId w:val="4"/>
        </w:numPr>
        <w:spacing w:after="0" w:line="240" w:lineRule="auto"/>
        <w:ind w:right="12" w:hanging="566"/>
      </w:pPr>
      <w:r w:rsidRPr="005466C4">
        <w:t>Vplyv</w:t>
      </w:r>
      <w:r w:rsidR="00181EA3" w:rsidRPr="000C3CAA">
        <w:t xml:space="preserve"> jedla na biologickú dostupnosť sa nepovažuj</w:t>
      </w:r>
      <w:r w:rsidRPr="005466C4">
        <w:t xml:space="preserve">e </w:t>
      </w:r>
      <w:r w:rsidR="00181EA3" w:rsidRPr="000C3CAA">
        <w:t>za klinicky relevantn</w:t>
      </w:r>
      <w:r w:rsidRPr="005466C4">
        <w:t>ý</w:t>
      </w:r>
      <w:r w:rsidR="00181EA3" w:rsidRPr="000C3CAA">
        <w:t xml:space="preserve"> </w:t>
      </w:r>
      <w:r w:rsidRPr="005466C4">
        <w:t>pri</w:t>
      </w:r>
      <w:r w:rsidR="00181EA3" w:rsidRPr="000C3CAA">
        <w:t xml:space="preserve"> užívan</w:t>
      </w:r>
      <w:r w:rsidRPr="005466C4">
        <w:t>í</w:t>
      </w:r>
      <w:r w:rsidR="00181EA3" w:rsidRPr="000C3CAA">
        <w:t xml:space="preserve"> anagrelidu.</w:t>
      </w:r>
    </w:p>
    <w:p w:rsidR="004C1155" w:rsidRPr="005466C4" w:rsidRDefault="004C1155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Pediatrická populácia</w:t>
      </w: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Interakčné štúdie sa uskutočnili len u dospelých.</w:t>
      </w:r>
    </w:p>
    <w:p w:rsidR="00D34FAC" w:rsidRPr="000C3CAA" w:rsidRDefault="00D34FAC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tabs>
          <w:tab w:val="center" w:pos="1918"/>
        </w:tabs>
        <w:spacing w:after="0" w:line="240" w:lineRule="auto"/>
        <w:ind w:left="-15" w:right="0" w:firstLine="0"/>
      </w:pPr>
      <w:r w:rsidRPr="000C3CAA">
        <w:rPr>
          <w:b/>
        </w:rPr>
        <w:t>4.6</w:t>
      </w:r>
      <w:r w:rsidRPr="000C3CAA">
        <w:rPr>
          <w:b/>
        </w:rPr>
        <w:tab/>
        <w:t>Fertilita, gravidita a laktácia</w:t>
      </w:r>
    </w:p>
    <w:p w:rsidR="004C1155" w:rsidRPr="005466C4" w:rsidRDefault="004C1155" w:rsidP="000C3CAA">
      <w:pPr>
        <w:spacing w:after="0" w:line="240" w:lineRule="auto"/>
        <w:ind w:left="-5" w:right="0"/>
        <w:rPr>
          <w:u w:val="single" w:color="000000"/>
        </w:rPr>
      </w:pPr>
    </w:p>
    <w:p w:rsidR="00181EA3" w:rsidRPr="000C3CAA" w:rsidRDefault="00181EA3" w:rsidP="000C3CAA">
      <w:pPr>
        <w:spacing w:after="0" w:line="240" w:lineRule="auto"/>
        <w:ind w:left="-5" w:right="0"/>
      </w:pPr>
      <w:r w:rsidRPr="000C3CAA">
        <w:rPr>
          <w:u w:val="single" w:color="000000"/>
        </w:rPr>
        <w:t>Ženy vo fertilnom veku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Ženy vo fertilnom veku m</w:t>
      </w:r>
      <w:r w:rsidR="005D6DDA" w:rsidRPr="005466C4">
        <w:t>usia</w:t>
      </w:r>
      <w:r w:rsidRPr="000C3CAA">
        <w:t xml:space="preserve"> používať </w:t>
      </w:r>
      <w:r w:rsidR="005D6DDA" w:rsidRPr="005466C4">
        <w:t>účinnú</w:t>
      </w:r>
      <w:r w:rsidRPr="000C3CAA">
        <w:t xml:space="preserve"> antikoncepci</w:t>
      </w:r>
      <w:r w:rsidR="005D6DDA" w:rsidRPr="005466C4">
        <w:t>u počas liečby anagrelidom</w:t>
      </w:r>
      <w:r w:rsidRPr="000C3CAA">
        <w:t>.</w:t>
      </w:r>
    </w:p>
    <w:p w:rsidR="004C1155" w:rsidRPr="005466C4" w:rsidRDefault="004C1155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Gravidita</w:t>
      </w: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Nie sú k dispozícii </w:t>
      </w:r>
      <w:r w:rsidR="00B52A67" w:rsidRPr="005466C4">
        <w:t>dostatočné</w:t>
      </w:r>
      <w:r w:rsidRPr="000C3CAA">
        <w:t xml:space="preserve"> údaje o použití anagrelidu u gravidných žien. Štúdie na zvieratách preukázali reprodukčnú toxicitu (pozri časť 5.3). Nie je známe potenciálne riziko u ľudí. Preto sa neodporúča užívať </w:t>
      </w:r>
      <w:r w:rsidR="005D6DDA" w:rsidRPr="005466C4">
        <w:t xml:space="preserve">anagrelid </w:t>
      </w:r>
      <w:r w:rsidRPr="000C3CAA">
        <w:t>počas gravidity.</w:t>
      </w:r>
    </w:p>
    <w:p w:rsidR="005D6DDA" w:rsidRPr="000C3CAA" w:rsidRDefault="005D6DDA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Ak sa anagrelid užíva počas gravidity alebo pacientka počas užívania lieku otehotnie, má byť upozornená na potenciálne riziko pre plod.</w:t>
      </w:r>
    </w:p>
    <w:p w:rsidR="005D6DDA" w:rsidRPr="000C3CAA" w:rsidRDefault="005D6DDA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Dojčenie</w:t>
      </w: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Nie je známe, či sa anagrelid/metabolity vylučujú do ľudského mlieka. Dostupné údaje u zvierat preukázali vylučovanie anagrelidu/metabolitov do mlieka. Riziko u novorodencov/dojčiat nemôže byť vylúčené. Dojčenie má byť počas liečby anagrelidom </w:t>
      </w:r>
      <w:r w:rsidR="00B52A67" w:rsidRPr="005466C4">
        <w:t>ukončené</w:t>
      </w:r>
      <w:r w:rsidRPr="000C3CAA">
        <w:t>.</w:t>
      </w:r>
    </w:p>
    <w:p w:rsidR="00B52A67" w:rsidRPr="000C3CAA" w:rsidRDefault="00B52A67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lastRenderedPageBreak/>
        <w:t>Fertilita</w:t>
      </w:r>
    </w:p>
    <w:p w:rsidR="00181EA3" w:rsidRPr="005466C4" w:rsidRDefault="00181EA3" w:rsidP="000C3CAA">
      <w:pPr>
        <w:spacing w:after="0" w:line="240" w:lineRule="auto"/>
        <w:ind w:left="-5" w:right="-13"/>
        <w:jc w:val="both"/>
      </w:pPr>
      <w:r w:rsidRPr="000C3CAA">
        <w:t>Nie sú k dispozícii žiadne údaje o vplyve anagrelidu na fertilitu</w:t>
      </w:r>
      <w:r w:rsidR="00B52A67" w:rsidRPr="005466C4">
        <w:t xml:space="preserve"> u ľudí</w:t>
      </w:r>
      <w:r w:rsidRPr="000C3CAA">
        <w:t>. U samcov potkanov sa nepozoroval žiadny vplyv anagrelidu na fertilitu alebo reprodukčné schopnosti. U samíc potkanov pri použití dávok prevyšujúcich terapeutické rozmedzie narušil anagrelid implantáciu (pozri časť 5.3).</w:t>
      </w:r>
    </w:p>
    <w:p w:rsidR="00B52A67" w:rsidRPr="000C3CAA" w:rsidRDefault="00B52A67" w:rsidP="000C3CAA">
      <w:pPr>
        <w:spacing w:after="0" w:line="240" w:lineRule="auto"/>
        <w:ind w:left="-5" w:right="-13"/>
        <w:jc w:val="both"/>
      </w:pPr>
    </w:p>
    <w:p w:rsidR="00181EA3" w:rsidRPr="005466C4" w:rsidRDefault="00181EA3" w:rsidP="000C3CAA">
      <w:pPr>
        <w:pStyle w:val="Nadpis3"/>
        <w:tabs>
          <w:tab w:val="center" w:pos="3248"/>
        </w:tabs>
        <w:spacing w:after="0" w:line="240" w:lineRule="auto"/>
        <w:ind w:left="-15" w:firstLine="0"/>
      </w:pPr>
      <w:r w:rsidRPr="000C3CAA">
        <w:t>4.7</w:t>
      </w:r>
      <w:r w:rsidRPr="000C3CAA">
        <w:tab/>
        <w:t>Ovplyvnenie schopnosti viesť vozidlá a obsluhovať stroje</w:t>
      </w:r>
    </w:p>
    <w:p w:rsidR="00494ACF" w:rsidRPr="000C3CAA" w:rsidRDefault="00494ACF" w:rsidP="000C3CAA"/>
    <w:p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Počas klinického vývoja boli </w:t>
      </w:r>
      <w:r w:rsidR="00494ACF" w:rsidRPr="005466C4">
        <w:t>často</w:t>
      </w:r>
      <w:r w:rsidRPr="000C3CAA">
        <w:t xml:space="preserve"> hlásené závraty. </w:t>
      </w:r>
      <w:r w:rsidR="00494ACF" w:rsidRPr="005466C4">
        <w:t xml:space="preserve">Pacientom sa </w:t>
      </w:r>
      <w:r w:rsidRPr="000C3CAA">
        <w:t>neodporúča viesť vozidlá alebo obsluhovať stroje</w:t>
      </w:r>
      <w:r w:rsidR="00494ACF" w:rsidRPr="005466C4">
        <w:t>, ak sa u nich počas liečby anagrelidom vyskytnú závraty</w:t>
      </w:r>
      <w:r w:rsidRPr="000C3CAA">
        <w:t>.</w:t>
      </w:r>
    </w:p>
    <w:p w:rsidR="00B52A67" w:rsidRPr="000C3CAA" w:rsidRDefault="00B52A67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tabs>
          <w:tab w:val="center" w:pos="1396"/>
        </w:tabs>
        <w:spacing w:after="0" w:line="240" w:lineRule="auto"/>
        <w:ind w:left="-15" w:right="0" w:firstLine="0"/>
      </w:pPr>
      <w:r w:rsidRPr="000C3CAA">
        <w:rPr>
          <w:b/>
        </w:rPr>
        <w:t>4.8</w:t>
      </w:r>
      <w:r w:rsidRPr="000C3CAA">
        <w:rPr>
          <w:b/>
        </w:rPr>
        <w:tab/>
        <w:t>Nežiaduce účinky</w:t>
      </w:r>
    </w:p>
    <w:p w:rsidR="00494ACF" w:rsidRPr="005466C4" w:rsidRDefault="00494ACF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Súhrn bezpečnostného profilu</w:t>
      </w:r>
    </w:p>
    <w:p w:rsidR="00181EA3" w:rsidRPr="000C3CAA" w:rsidRDefault="00181EA3" w:rsidP="000C3CAA">
      <w:pPr>
        <w:spacing w:after="0" w:line="240" w:lineRule="auto"/>
        <w:ind w:left="-5" w:right="626"/>
      </w:pPr>
      <w:r w:rsidRPr="000C3CAA">
        <w:t>Bezpečnosť anagrelidu sa skúmala v 4 otvorených klinických štúdiách. V troch z týchto štúdií u 942 pacientov, ktorí dostávali anagrelid v priemernej dávke približne 2 mg/deň, sa zhodnotila bezpečnosť. V týchto štúdiách užívalo 22 pacientov anagrelid až po dobu 4 rokov.</w:t>
      </w:r>
    </w:p>
    <w:p w:rsidR="000F2E24" w:rsidRPr="000C3CAA" w:rsidRDefault="000F2E24" w:rsidP="000C3CAA">
      <w:pPr>
        <w:spacing w:after="0" w:line="240" w:lineRule="auto"/>
        <w:ind w:left="-5" w:right="626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V neskoršej štúdii sa hodnotila bezpečnosť u</w:t>
      </w:r>
      <w:r w:rsidR="00AD74BD">
        <w:t> </w:t>
      </w:r>
      <w:r w:rsidRPr="000C3CAA">
        <w:t>3</w:t>
      </w:r>
      <w:r w:rsidR="00AD74BD">
        <w:t> </w:t>
      </w:r>
      <w:r w:rsidRPr="000C3CAA">
        <w:t>660 pacientov, ktorí užívali anagrelid v priemernej dávke približne 2 mg/deň. V tejto štúdii dostávalo 34 pacientov anagrelid až po dobu 5 rokov.</w:t>
      </w:r>
    </w:p>
    <w:p w:rsidR="00A503C5" w:rsidRPr="000C3CAA" w:rsidRDefault="00A503C5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Najčastejšie nežiaduce </w:t>
      </w:r>
      <w:r w:rsidR="00A503C5" w:rsidRPr="005466C4">
        <w:t>reakcie</w:t>
      </w:r>
      <w:r w:rsidRPr="000C3CAA">
        <w:t xml:space="preserve"> hlásené v súvislosti s anagrelidom boli bolesti hlavy, ktoré sa objavili u približne 14%, búšenie srdca u približne 9%, retencia tekutín a nevoľnosť u približne 6% a hnačky objavujúce sa u 5% pacientov. Tieto nežiaduce </w:t>
      </w:r>
      <w:r w:rsidR="00A503C5" w:rsidRPr="005466C4">
        <w:t>reakcie</w:t>
      </w:r>
      <w:r w:rsidRPr="000C3CAA">
        <w:t xml:space="preserve"> </w:t>
      </w:r>
      <w:r w:rsidR="00A503C5" w:rsidRPr="005466C4">
        <w:t xml:space="preserve">na </w:t>
      </w:r>
      <w:r w:rsidRPr="000C3CAA">
        <w:t>liek sa predpokladajú na základe farmakológie anagrelidu (inhibícia PDE III). Po</w:t>
      </w:r>
      <w:r w:rsidR="00A503C5" w:rsidRPr="005466C4">
        <w:t>stupná</w:t>
      </w:r>
      <w:r w:rsidRPr="000C3CAA">
        <w:t xml:space="preserve"> titrácia dávkovania môže pomôcť z</w:t>
      </w:r>
      <w:r w:rsidR="00A503C5" w:rsidRPr="005466C4">
        <w:t>mierniť</w:t>
      </w:r>
      <w:r w:rsidRPr="000C3CAA">
        <w:t xml:space="preserve"> tieto účinky (pozri časť 4.2).</w:t>
      </w:r>
    </w:p>
    <w:p w:rsidR="00A503C5" w:rsidRPr="000C3CAA" w:rsidRDefault="00A503C5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 xml:space="preserve">Tabuľkový súhrn nežiaducich </w:t>
      </w:r>
      <w:r w:rsidR="00A503C5" w:rsidRPr="005466C4">
        <w:rPr>
          <w:i/>
          <w:u w:val="none"/>
        </w:rPr>
        <w:t>reakcií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Nežiaduce </w:t>
      </w:r>
      <w:r w:rsidR="00A503C5" w:rsidRPr="005466C4">
        <w:t>reakcie</w:t>
      </w:r>
      <w:r w:rsidRPr="000C3CAA">
        <w:t>, ktoré sa objavili v klinických štúdiách, postregistračných bezpečnostných štúdiách a zo spontánnych hlásení, sú uvedené v tabuľke nižšie. V rámci tried orgánových systémov sú uvedené pod nasledovnými názvami: veľmi časté (≥ 1/10); časté (≥ 1/100 až &lt; 1/10); menej časté (≥ 1/1 000 až &lt; 1/100); zriedkavé (≥ 1/10 000 až &lt; 1/1 000), veľmi zriedkavé (&lt; 1/10 000), neznáme (z dostupných údajov). V každej skupine frekvencií sú nežiaduce účinky uvedené v poradí podľa klesajúcej závažnosti.</w:t>
      </w:r>
    </w:p>
    <w:p w:rsidR="000F2E24" w:rsidRPr="000C3CAA" w:rsidRDefault="000F2E24" w:rsidP="000C3CAA">
      <w:pPr>
        <w:spacing w:after="0" w:line="240" w:lineRule="auto"/>
        <w:ind w:left="-5" w:right="12"/>
      </w:pPr>
    </w:p>
    <w:tbl>
      <w:tblPr>
        <w:tblStyle w:val="TableGrid"/>
        <w:tblW w:w="9530" w:type="dxa"/>
        <w:tblInd w:w="-108" w:type="dxa"/>
        <w:tblCellMar>
          <w:top w:w="51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1987"/>
        <w:gridCol w:w="780"/>
        <w:gridCol w:w="1334"/>
        <w:gridCol w:w="1982"/>
        <w:gridCol w:w="1590"/>
        <w:gridCol w:w="1857"/>
      </w:tblGrid>
      <w:tr w:rsidR="00181EA3" w:rsidRPr="005466C4" w:rsidTr="000123F6">
        <w:trPr>
          <w:trHeight w:val="262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Trieda orgánových</w:t>
            </w:r>
          </w:p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systémov MedDRA</w:t>
            </w:r>
          </w:p>
        </w:tc>
        <w:tc>
          <w:tcPr>
            <w:tcW w:w="7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12" w:right="0" w:firstLine="0"/>
              <w:jc w:val="center"/>
            </w:pPr>
            <w:r w:rsidRPr="005466C4">
              <w:t xml:space="preserve">Frekvencia výskytu nežiaducich </w:t>
            </w:r>
            <w:r w:rsidR="00A46AB4" w:rsidRPr="005466C4">
              <w:t>reakcií</w:t>
            </w:r>
          </w:p>
        </w:tc>
      </w:tr>
      <w:tr w:rsidR="00181EA3" w:rsidRPr="005466C4" w:rsidTr="000123F6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Veľmi časté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Časté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Menej časté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Zriedkavé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  <w:r w:rsidRPr="005466C4">
              <w:rPr>
                <w:i/>
              </w:rPr>
              <w:t>Neznáme</w:t>
            </w:r>
          </w:p>
        </w:tc>
      </w:tr>
      <w:tr w:rsidR="00181EA3" w:rsidRPr="005466C4" w:rsidTr="000C3CAA">
        <w:trPr>
          <w:trHeight w:val="105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492" w:firstLine="0"/>
            </w:pPr>
            <w:r w:rsidRPr="005466C4">
              <w:rPr>
                <w:i/>
              </w:rPr>
              <w:t>Poruchy krvi a lymfatického systému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A46AB4" w:rsidP="000C3CAA">
            <w:pPr>
              <w:spacing w:after="0" w:line="240" w:lineRule="auto"/>
              <w:ind w:left="2" w:right="0" w:firstLine="0"/>
            </w:pPr>
            <w:r w:rsidRPr="005466C4">
              <w:t>a</w:t>
            </w:r>
            <w:r w:rsidR="00181EA3" w:rsidRPr="005466C4">
              <w:t>némia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pancytopénia trombocytopénia </w:t>
            </w:r>
          </w:p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krvácanie ekchymóza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:rsidTr="000123F6">
        <w:trPr>
          <w:trHeight w:val="76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Poruchy metabolizmu a výživy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retencia tekutín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edém</w:t>
            </w:r>
          </w:p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strata </w:t>
            </w:r>
            <w:r w:rsidR="00A46AB4" w:rsidRPr="005466C4">
              <w:t xml:space="preserve">telesnej </w:t>
            </w:r>
            <w:r w:rsidRPr="005466C4">
              <w:t>hmotnosti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prírastok </w:t>
            </w:r>
            <w:r w:rsidR="00A46AB4" w:rsidRPr="005466C4">
              <w:t xml:space="preserve">telesnej </w:t>
            </w:r>
            <w:r w:rsidRPr="005466C4">
              <w:t>hmotnosti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:rsidTr="000C3CAA">
        <w:trPr>
          <w:trHeight w:val="206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Poruchy nervového systému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bolesť hlavy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A46AB4" w:rsidP="000C3CAA">
            <w:pPr>
              <w:spacing w:after="0" w:line="240" w:lineRule="auto"/>
              <w:ind w:left="2" w:right="0" w:firstLine="0"/>
            </w:pPr>
            <w:r w:rsidRPr="005466C4">
              <w:t>z</w:t>
            </w:r>
            <w:r w:rsidR="00181EA3" w:rsidRPr="005466C4">
              <w:t>ávraty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2A" w:rsidRPr="005466C4" w:rsidRDefault="00181EA3" w:rsidP="000C3CAA">
            <w:pPr>
              <w:spacing w:after="0" w:line="240" w:lineRule="auto"/>
              <w:ind w:left="2" w:right="292" w:firstLine="0"/>
            </w:pPr>
            <w:r w:rsidRPr="005466C4">
              <w:t xml:space="preserve">depresia </w:t>
            </w:r>
          </w:p>
          <w:p w:rsidR="0046342A" w:rsidRPr="005466C4" w:rsidRDefault="00181EA3" w:rsidP="000C3CAA">
            <w:pPr>
              <w:spacing w:after="0" w:line="240" w:lineRule="auto"/>
              <w:ind w:left="2" w:right="292" w:firstLine="0"/>
            </w:pPr>
            <w:r w:rsidRPr="005466C4">
              <w:t xml:space="preserve">amnézia zmätenosť nespavosť parestézia znížená citlivosť nervozita </w:t>
            </w:r>
          </w:p>
          <w:p w:rsidR="00181EA3" w:rsidRPr="005466C4" w:rsidRDefault="00181EA3" w:rsidP="000C3CAA">
            <w:pPr>
              <w:spacing w:after="0" w:line="240" w:lineRule="auto"/>
              <w:ind w:left="2" w:right="292" w:firstLine="0"/>
            </w:pPr>
            <w:r w:rsidRPr="005466C4">
              <w:t>sucho v ústach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E1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migréna </w:t>
            </w:r>
          </w:p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dyzartria somnolencia </w:t>
            </w:r>
            <w:r w:rsidR="004C58E1" w:rsidRPr="005466C4">
              <w:t>poruchy</w:t>
            </w:r>
            <w:r w:rsidRPr="005466C4">
              <w:t xml:space="preserve"> koordináci</w:t>
            </w:r>
            <w:r w:rsidR="004C58E1" w:rsidRPr="005466C4">
              <w:t>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:rsidTr="000C3CAA">
        <w:trPr>
          <w:trHeight w:val="49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Poruchy oka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E1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diplopia </w:t>
            </w:r>
          </w:p>
          <w:p w:rsidR="00181EA3" w:rsidRPr="005466C4" w:rsidRDefault="004C58E1" w:rsidP="000C3CAA">
            <w:pPr>
              <w:spacing w:after="0" w:line="240" w:lineRule="auto"/>
              <w:ind w:left="2" w:right="0" w:firstLine="0"/>
            </w:pPr>
            <w:r w:rsidRPr="005466C4">
              <w:t>poruchy</w:t>
            </w:r>
            <w:r w:rsidR="00181EA3" w:rsidRPr="005466C4">
              <w:t xml:space="preserve"> videni</w:t>
            </w:r>
            <w:r w:rsidRPr="005466C4">
              <w:t>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:rsidTr="000123F6">
        <w:trPr>
          <w:trHeight w:val="516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lastRenderedPageBreak/>
              <w:t>Poruchy ucha a labyrintu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tinnitus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:rsidTr="000C3CAA">
        <w:trPr>
          <w:trHeight w:val="247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138" w:firstLine="0"/>
            </w:pPr>
            <w:r w:rsidRPr="005466C4">
              <w:rPr>
                <w:i/>
              </w:rPr>
              <w:t>Poruchy srdca a srdcovej činnosti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tachykardia palpitácie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2A" w:rsidRPr="005466C4" w:rsidRDefault="0046342A" w:rsidP="000C3CAA">
            <w:pPr>
              <w:spacing w:after="0" w:line="240" w:lineRule="auto"/>
              <w:ind w:left="2" w:right="60" w:firstLine="0"/>
            </w:pPr>
            <w:r w:rsidRPr="005466C4">
              <w:t xml:space="preserve">komorová </w:t>
            </w:r>
            <w:r w:rsidR="00181EA3" w:rsidRPr="005466C4">
              <w:t xml:space="preserve">tachykardia kongestívne zlyhanie srdca fibrilácia predsiení supraventrikulárna tachykardia </w:t>
            </w:r>
          </w:p>
          <w:p w:rsidR="0046342A" w:rsidRPr="005466C4" w:rsidRDefault="00181EA3" w:rsidP="000C3CAA">
            <w:pPr>
              <w:spacing w:after="0" w:line="240" w:lineRule="auto"/>
              <w:ind w:left="2" w:right="60" w:firstLine="0"/>
            </w:pPr>
            <w:r w:rsidRPr="005466C4">
              <w:t xml:space="preserve">arytmia </w:t>
            </w:r>
          </w:p>
          <w:p w:rsidR="00181EA3" w:rsidRPr="005466C4" w:rsidRDefault="00181EA3" w:rsidP="000C3CAA">
            <w:pPr>
              <w:spacing w:after="0" w:line="240" w:lineRule="auto"/>
              <w:ind w:left="2" w:right="60" w:firstLine="0"/>
            </w:pPr>
            <w:r w:rsidRPr="005466C4">
              <w:t>hypertenzia synkopa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infarkt myokardu kardiomyopatia kardiomegália</w:t>
            </w:r>
          </w:p>
          <w:p w:rsidR="004C58E1" w:rsidRPr="005466C4" w:rsidRDefault="00181EA3" w:rsidP="000C3CAA">
            <w:pPr>
              <w:spacing w:after="0" w:line="240" w:lineRule="auto"/>
              <w:ind w:left="2" w:right="139" w:firstLine="0"/>
            </w:pPr>
            <w:r w:rsidRPr="005466C4">
              <w:t xml:space="preserve">perikardiálny výpotok </w:t>
            </w:r>
          </w:p>
          <w:p w:rsidR="00181EA3" w:rsidRPr="005466C4" w:rsidRDefault="00181EA3" w:rsidP="000C3CAA">
            <w:pPr>
              <w:spacing w:after="0" w:line="240" w:lineRule="auto"/>
              <w:ind w:left="2" w:right="139" w:firstLine="0"/>
            </w:pPr>
            <w:r w:rsidRPr="005466C4">
              <w:t>angina pectoris posturálna hypotenzia vazodilatácia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4C58E1" w:rsidP="000C3CAA">
            <w:pPr>
              <w:spacing w:after="0" w:line="240" w:lineRule="auto"/>
              <w:ind w:left="0" w:right="0" w:firstLine="0"/>
            </w:pPr>
            <w:r w:rsidRPr="005466C4">
              <w:t>t</w:t>
            </w:r>
            <w:r w:rsidR="00181EA3" w:rsidRPr="005466C4">
              <w:t>orsade de pointes</w:t>
            </w:r>
          </w:p>
        </w:tc>
      </w:tr>
      <w:tr w:rsidR="00181EA3" w:rsidRPr="005466C4" w:rsidTr="000C3CAA">
        <w:trPr>
          <w:trHeight w:val="172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Poruchy dýchacej sústavy, hrudníka a mediastína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F6" w:rsidRPr="005466C4" w:rsidRDefault="00181EA3" w:rsidP="000C3CAA">
            <w:pPr>
              <w:spacing w:after="0" w:line="240" w:lineRule="auto"/>
              <w:ind w:left="2" w:right="216" w:firstLine="0"/>
            </w:pPr>
            <w:r w:rsidRPr="005466C4">
              <w:t xml:space="preserve">pulmonálna hypertenzia pneumónia pleurálny výpotok </w:t>
            </w:r>
          </w:p>
          <w:p w:rsidR="00181EA3" w:rsidRPr="005466C4" w:rsidRDefault="00181EA3" w:rsidP="000C3CAA">
            <w:pPr>
              <w:spacing w:after="0" w:line="240" w:lineRule="auto"/>
              <w:ind w:left="2" w:right="216" w:firstLine="0"/>
            </w:pPr>
            <w:r w:rsidRPr="005466C4">
              <w:t>dyspnoe krvácanie z nosa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pľúcne infiltráty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4C58E1" w:rsidP="000C3CAA">
            <w:pPr>
              <w:spacing w:after="0" w:line="240" w:lineRule="auto"/>
              <w:ind w:left="0" w:right="43" w:firstLine="0"/>
            </w:pPr>
            <w:r w:rsidRPr="005466C4">
              <w:t>i</w:t>
            </w:r>
            <w:r w:rsidR="00181EA3" w:rsidRPr="005466C4">
              <w:t>ntersticiálna pľúcna choroba vrátane pneumonitídy a</w:t>
            </w:r>
            <w:r w:rsidRPr="005466C4">
              <w:t> </w:t>
            </w:r>
            <w:r w:rsidR="00181EA3" w:rsidRPr="005466C4">
              <w:t>alergick</w:t>
            </w:r>
            <w:r w:rsidRPr="005466C4">
              <w:t>ej alveolitídy</w:t>
            </w:r>
          </w:p>
        </w:tc>
      </w:tr>
      <w:tr w:rsidR="00181EA3" w:rsidRPr="005466C4" w:rsidTr="000123F6">
        <w:trPr>
          <w:trHeight w:val="203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 xml:space="preserve">Poruchy </w:t>
            </w:r>
          </w:p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gastrointestinálneho traktu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hnačka vracanie abdominálna bolesť nevoľnosť plynatosť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 xml:space="preserve">gastrointestinálne </w:t>
            </w:r>
          </w:p>
          <w:p w:rsidR="000123F6" w:rsidRPr="005466C4" w:rsidRDefault="00181EA3" w:rsidP="000C3CAA">
            <w:pPr>
              <w:spacing w:after="0" w:line="240" w:lineRule="auto"/>
              <w:ind w:left="2" w:right="269" w:firstLine="0"/>
            </w:pPr>
            <w:r w:rsidRPr="005466C4">
              <w:t xml:space="preserve">krvácanie pankreatitída anorexia </w:t>
            </w:r>
          </w:p>
          <w:p w:rsidR="00181EA3" w:rsidRPr="005466C4" w:rsidRDefault="00181EA3" w:rsidP="000C3CAA">
            <w:pPr>
              <w:spacing w:after="0" w:line="240" w:lineRule="auto"/>
              <w:ind w:left="2" w:right="269" w:firstLine="0"/>
            </w:pPr>
            <w:r w:rsidRPr="005466C4">
              <w:t>poruchy trávenia zápcha gastrointestinálne poruchy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E1" w:rsidRPr="005466C4" w:rsidRDefault="00181EA3" w:rsidP="000C3CAA">
            <w:pPr>
              <w:spacing w:after="0" w:line="240" w:lineRule="auto"/>
              <w:ind w:left="2" w:right="47" w:firstLine="0"/>
            </w:pPr>
            <w:r w:rsidRPr="005466C4">
              <w:t xml:space="preserve">kolitída </w:t>
            </w:r>
          </w:p>
          <w:p w:rsidR="00181EA3" w:rsidRPr="005466C4" w:rsidRDefault="00181EA3" w:rsidP="000C3CAA">
            <w:pPr>
              <w:spacing w:after="0" w:line="240" w:lineRule="auto"/>
              <w:ind w:left="2" w:right="47" w:firstLine="0"/>
            </w:pPr>
            <w:r w:rsidRPr="005466C4">
              <w:t>gastritída krvácanie z ďasien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:rsidTr="000123F6">
        <w:trPr>
          <w:trHeight w:val="76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286" w:firstLine="0"/>
            </w:pPr>
            <w:r w:rsidRPr="005466C4">
              <w:rPr>
                <w:i/>
              </w:rPr>
              <w:t>Poruchy pečene a žlčových ciest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zvýšen</w:t>
            </w:r>
            <w:r w:rsidR="00887C16" w:rsidRPr="005466C4">
              <w:t>é</w:t>
            </w:r>
            <w:r w:rsidRPr="005466C4">
              <w:t xml:space="preserve"> hladin</w:t>
            </w:r>
            <w:r w:rsidR="00887C16" w:rsidRPr="005466C4">
              <w:t>y</w:t>
            </w:r>
            <w:r w:rsidRPr="005466C4">
              <w:t xml:space="preserve"> pečeňových enzýmov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  <w:r w:rsidRPr="005466C4">
              <w:t>hepatitída</w:t>
            </w:r>
          </w:p>
        </w:tc>
      </w:tr>
      <w:tr w:rsidR="00181EA3" w:rsidRPr="005466C4" w:rsidTr="000123F6">
        <w:trPr>
          <w:trHeight w:val="77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507" w:firstLine="0"/>
            </w:pPr>
            <w:r w:rsidRPr="005466C4">
              <w:rPr>
                <w:i/>
              </w:rPr>
              <w:t>Poruchy kože a podkožného tkaniva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887C16" w:rsidP="000C3CAA">
            <w:pPr>
              <w:spacing w:after="0" w:line="240" w:lineRule="auto"/>
              <w:ind w:left="2" w:right="0" w:firstLine="0"/>
            </w:pPr>
            <w:r w:rsidRPr="005466C4">
              <w:t>v</w:t>
            </w:r>
            <w:r w:rsidR="00181EA3" w:rsidRPr="005466C4">
              <w:t>yrážka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F6" w:rsidRPr="005466C4" w:rsidRDefault="00181EA3" w:rsidP="000C3CAA">
            <w:pPr>
              <w:spacing w:after="0" w:line="240" w:lineRule="auto"/>
              <w:ind w:left="2" w:right="204" w:firstLine="0"/>
            </w:pPr>
            <w:r w:rsidRPr="005466C4">
              <w:t xml:space="preserve">alopécia </w:t>
            </w:r>
          </w:p>
          <w:p w:rsidR="000123F6" w:rsidRPr="005466C4" w:rsidRDefault="00181EA3" w:rsidP="000C3CAA">
            <w:pPr>
              <w:spacing w:after="0" w:line="240" w:lineRule="auto"/>
              <w:ind w:left="2" w:right="204" w:firstLine="0"/>
            </w:pPr>
            <w:r w:rsidRPr="005466C4">
              <w:t xml:space="preserve">pruritus </w:t>
            </w:r>
          </w:p>
          <w:p w:rsidR="00181EA3" w:rsidRPr="005466C4" w:rsidRDefault="000123F6" w:rsidP="000C3CAA">
            <w:pPr>
              <w:spacing w:after="0" w:line="240" w:lineRule="auto"/>
              <w:ind w:left="2" w:right="204" w:firstLine="0"/>
            </w:pPr>
            <w:r w:rsidRPr="005466C4">
              <w:t xml:space="preserve">sfarbenie </w:t>
            </w:r>
            <w:r w:rsidR="00181EA3" w:rsidRPr="005466C4">
              <w:t>kož</w:t>
            </w:r>
            <w:r w:rsidR="00887C16" w:rsidRPr="005466C4">
              <w:t>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suchá koža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:rsidTr="000123F6">
        <w:trPr>
          <w:trHeight w:val="76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Poruchy kostrovej a svalovej sústavy a spojivového tkaniva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556" w:firstLine="0"/>
            </w:pPr>
            <w:r w:rsidRPr="005466C4">
              <w:t>artralgia myalgia bolesť chrbta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:rsidTr="000123F6">
        <w:trPr>
          <w:trHeight w:val="768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199" w:firstLine="0"/>
            </w:pPr>
            <w:r w:rsidRPr="005466C4">
              <w:rPr>
                <w:i/>
              </w:rPr>
              <w:t>Poruchy obličiek a močových ciest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impotencia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94" w:firstLine="0"/>
            </w:pPr>
            <w:r w:rsidRPr="005466C4">
              <w:t>zlyhanie obličiek noktúria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  <w:r w:rsidRPr="005466C4">
              <w:t>tubulointersticiálna nefritída</w:t>
            </w:r>
          </w:p>
        </w:tc>
      </w:tr>
      <w:tr w:rsidR="00181EA3" w:rsidRPr="005466C4" w:rsidTr="000123F6">
        <w:trPr>
          <w:trHeight w:val="1529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 xml:space="preserve">Celkové poruchy a </w:t>
            </w:r>
          </w:p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rPr>
                <w:i/>
              </w:rPr>
              <w:t>reakcie v mieste podania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887C16" w:rsidP="000C3CAA">
            <w:pPr>
              <w:spacing w:after="0" w:line="240" w:lineRule="auto"/>
              <w:ind w:left="2" w:right="0" w:firstLine="0"/>
            </w:pPr>
            <w:r w:rsidRPr="005466C4">
              <w:t>ú</w:t>
            </w:r>
            <w:r w:rsidR="00181EA3" w:rsidRPr="005466C4">
              <w:t>nava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F6" w:rsidRPr="005466C4" w:rsidRDefault="000123F6" w:rsidP="000C3CAA">
            <w:pPr>
              <w:spacing w:after="0" w:line="240" w:lineRule="auto"/>
              <w:ind w:left="2" w:right="428" w:firstLine="0"/>
            </w:pPr>
            <w:r w:rsidRPr="005466C4">
              <w:t xml:space="preserve">bolesť </w:t>
            </w:r>
            <w:r w:rsidR="00181EA3" w:rsidRPr="005466C4">
              <w:t xml:space="preserve">hrudníka horúčka </w:t>
            </w:r>
          </w:p>
          <w:p w:rsidR="00181EA3" w:rsidRPr="005466C4" w:rsidRDefault="00181EA3" w:rsidP="000C3CAA">
            <w:pPr>
              <w:spacing w:after="0" w:line="240" w:lineRule="auto"/>
              <w:ind w:left="2" w:right="428" w:firstLine="0"/>
            </w:pPr>
            <w:r w:rsidRPr="005466C4">
              <w:t>triaška nevoľnosť slabosť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F6" w:rsidRPr="005466C4" w:rsidRDefault="00181EA3" w:rsidP="000C3CAA">
            <w:pPr>
              <w:spacing w:after="0" w:line="240" w:lineRule="auto"/>
              <w:ind w:left="2" w:right="67" w:firstLine="0"/>
            </w:pPr>
            <w:r w:rsidRPr="005466C4">
              <w:t xml:space="preserve">príznaky podobné chrípke </w:t>
            </w:r>
          </w:p>
          <w:p w:rsidR="000123F6" w:rsidRPr="005466C4" w:rsidRDefault="00181EA3" w:rsidP="000C3CAA">
            <w:pPr>
              <w:spacing w:after="0" w:line="240" w:lineRule="auto"/>
              <w:ind w:left="2" w:right="67" w:firstLine="0"/>
            </w:pPr>
            <w:r w:rsidRPr="005466C4">
              <w:t xml:space="preserve">bolesť </w:t>
            </w:r>
          </w:p>
          <w:p w:rsidR="00181EA3" w:rsidRPr="005466C4" w:rsidRDefault="00181EA3" w:rsidP="000C3CAA">
            <w:pPr>
              <w:spacing w:after="0" w:line="240" w:lineRule="auto"/>
              <w:ind w:left="2" w:right="67" w:firstLine="0"/>
            </w:pPr>
            <w:r w:rsidRPr="005466C4">
              <w:t>asténia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  <w:tr w:rsidR="00181EA3" w:rsidRPr="005466C4" w:rsidTr="000C3CAA">
        <w:trPr>
          <w:trHeight w:val="47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55" w:firstLine="0"/>
            </w:pPr>
            <w:r w:rsidRPr="005466C4">
              <w:rPr>
                <w:i/>
              </w:rPr>
              <w:t>Laboratórne a funkčné vyšetrenia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2" w:right="0" w:firstLine="0"/>
            </w:pPr>
            <w:r w:rsidRPr="005466C4">
              <w:t>zvýšenie krvného kreatinínu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EA3" w:rsidRPr="005466C4" w:rsidRDefault="00181EA3" w:rsidP="000C3CAA">
            <w:pPr>
              <w:spacing w:after="0" w:line="240" w:lineRule="auto"/>
              <w:ind w:left="0" w:right="0" w:firstLine="0"/>
            </w:pPr>
          </w:p>
        </w:tc>
      </w:tr>
    </w:tbl>
    <w:p w:rsidR="000123F6" w:rsidRPr="000C3CAA" w:rsidRDefault="000123F6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Pediatrická populácia</w:t>
      </w:r>
    </w:p>
    <w:p w:rsidR="00181EA3" w:rsidRPr="000C3CAA" w:rsidRDefault="00181EA3" w:rsidP="000C3CAA">
      <w:pPr>
        <w:spacing w:after="0" w:line="240" w:lineRule="auto"/>
        <w:ind w:left="-5" w:right="165"/>
      </w:pPr>
      <w:r w:rsidRPr="000C3CAA">
        <w:t xml:space="preserve">48 pacientov vo veku 6-17 rokov (19 detí a 29 dospievajúcich) dostávalo anagrelid až 6,5 roka buď v klinických štúdiách alebo </w:t>
      </w:r>
      <w:r w:rsidR="00711A05" w:rsidRPr="005466C4">
        <w:t>boli</w:t>
      </w:r>
      <w:r w:rsidRPr="000C3CAA">
        <w:t xml:space="preserve"> súčasť</w:t>
      </w:r>
      <w:r w:rsidR="00711A05" w:rsidRPr="005466C4">
        <w:t>ou</w:t>
      </w:r>
      <w:r w:rsidRPr="000C3CAA">
        <w:t xml:space="preserve"> registra ochorenia (pozri časť 5.1). </w:t>
      </w:r>
    </w:p>
    <w:p w:rsidR="00181EA3" w:rsidRPr="005466C4" w:rsidRDefault="00181EA3" w:rsidP="000C3CAA">
      <w:pPr>
        <w:spacing w:after="0" w:line="240" w:lineRule="auto"/>
        <w:ind w:left="-5" w:right="511"/>
      </w:pPr>
      <w:r w:rsidRPr="000C3CAA">
        <w:lastRenderedPageBreak/>
        <w:t xml:space="preserve">Väčšina pozorovaných nežiaducich </w:t>
      </w:r>
      <w:r w:rsidR="005466C4" w:rsidRPr="005466C4">
        <w:t>udalostí</w:t>
      </w:r>
      <w:r w:rsidRPr="000C3CAA">
        <w:t xml:space="preserve"> je medzi tými, ktoré sú uvedené v SPC. Avšak údaje o bezpečnosti sú obmedzené a neumožňujú vykonať zmysluplné porovnanie medzi dospelými a pediatrickými pacientmi (pozri časť 4.4). </w:t>
      </w:r>
    </w:p>
    <w:p w:rsidR="00887C16" w:rsidRPr="000C3CAA" w:rsidRDefault="00887C16" w:rsidP="000C3CAA">
      <w:pPr>
        <w:spacing w:after="0" w:line="240" w:lineRule="auto"/>
        <w:ind w:left="-5" w:right="511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Hlásenie podozrení na nežiaduce reakcie</w:t>
      </w:r>
    </w:p>
    <w:p w:rsidR="00181EA3" w:rsidRPr="005466C4" w:rsidRDefault="00181EA3" w:rsidP="000C3CAA">
      <w:pPr>
        <w:spacing w:after="0" w:line="240" w:lineRule="auto"/>
        <w:ind w:left="-5" w:right="-13"/>
        <w:jc w:val="both"/>
      </w:pPr>
      <w:r w:rsidRPr="000C3CAA"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0C3CAA">
        <w:rPr>
          <w:shd w:val="clear" w:color="auto" w:fill="C0C0C0"/>
        </w:rPr>
        <w:t xml:space="preserve">národné centrum hlásenia uvedené v </w:t>
      </w:r>
      <w:r w:rsidRPr="000C3CAA">
        <w:rPr>
          <w:color w:val="0000FF"/>
          <w:u w:val="single" w:color="0000FF"/>
          <w:shd w:val="clear" w:color="auto" w:fill="C0C0C0"/>
        </w:rPr>
        <w:t>Prílohe V</w:t>
      </w:r>
      <w:r w:rsidRPr="000C3CAA">
        <w:t>.</w:t>
      </w:r>
    </w:p>
    <w:p w:rsidR="00887C16" w:rsidRPr="000C3CAA" w:rsidRDefault="00887C16" w:rsidP="000C3CAA">
      <w:pPr>
        <w:spacing w:after="0" w:line="240" w:lineRule="auto"/>
        <w:ind w:left="-5" w:right="-13"/>
        <w:jc w:val="both"/>
      </w:pPr>
    </w:p>
    <w:p w:rsidR="00181EA3" w:rsidRPr="000C3CAA" w:rsidRDefault="00181EA3" w:rsidP="000C3CAA">
      <w:pPr>
        <w:pStyle w:val="Nadpis3"/>
        <w:tabs>
          <w:tab w:val="center" w:pos="1271"/>
        </w:tabs>
        <w:spacing w:after="0" w:line="240" w:lineRule="auto"/>
        <w:ind w:left="-15" w:firstLine="0"/>
      </w:pPr>
      <w:r w:rsidRPr="000C3CAA">
        <w:t>4.9</w:t>
      </w:r>
      <w:r w:rsidRPr="000C3CAA">
        <w:tab/>
        <w:t>Predávkovanie</w:t>
      </w:r>
    </w:p>
    <w:p w:rsidR="00887C16" w:rsidRPr="005466C4" w:rsidRDefault="00887C16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Po </w:t>
      </w:r>
      <w:r w:rsidR="00711A05" w:rsidRPr="005466C4">
        <w:t>uvedení lieku na trh</w:t>
      </w:r>
      <w:r w:rsidRPr="000C3CAA">
        <w:t xml:space="preserve"> boli hlásené prípady úmyselného predávkovania anagrelidom. Medzi </w:t>
      </w:r>
      <w:r w:rsidR="00711A05" w:rsidRPr="005466C4">
        <w:t>hlásené</w:t>
      </w:r>
      <w:r w:rsidRPr="000C3CAA">
        <w:t xml:space="preserve"> príznaky patrili sínusová tachykardia a zvracanie. Príznaky </w:t>
      </w:r>
      <w:r w:rsidR="00461DE1" w:rsidRPr="000C3CAA">
        <w:t>odzneli po zavedení</w:t>
      </w:r>
      <w:r w:rsidRPr="000C3CAA">
        <w:t xml:space="preserve"> konzervatívny</w:t>
      </w:r>
      <w:r w:rsidR="00461DE1" w:rsidRPr="005466C4">
        <w:t>ch</w:t>
      </w:r>
      <w:r w:rsidRPr="000C3CAA">
        <w:t xml:space="preserve"> </w:t>
      </w:r>
      <w:r w:rsidR="00461DE1" w:rsidRPr="005466C4">
        <w:t>opatrení</w:t>
      </w:r>
      <w:r w:rsidRPr="000C3CAA">
        <w:t xml:space="preserve">. </w:t>
      </w:r>
    </w:p>
    <w:p w:rsidR="00711A05" w:rsidRPr="000C3CAA" w:rsidRDefault="00711A05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283"/>
      </w:pPr>
      <w:r w:rsidRPr="000C3CAA">
        <w:t>Ukázalo sa, že anagrelid pri dávkach vyšších ako sa odporúča, spôsobuje zníženie krvného tlaku s príležitostnými prípadmi hypotenzie. Jediná 5 mg dávka anagrelidu môže viesť k poklesu krvného tlaku, ktorý vo väčšine prípadov sprevádzajú závraty.</w:t>
      </w:r>
    </w:p>
    <w:p w:rsidR="00711A05" w:rsidRPr="004E562F" w:rsidRDefault="00711A05" w:rsidP="000C3CAA">
      <w:pPr>
        <w:spacing w:after="0" w:line="240" w:lineRule="auto"/>
        <w:ind w:left="-5" w:right="283"/>
      </w:pPr>
    </w:p>
    <w:p w:rsidR="00181EA3" w:rsidRPr="004E562F" w:rsidRDefault="00181EA3" w:rsidP="000C3CAA">
      <w:pPr>
        <w:spacing w:after="0" w:line="240" w:lineRule="auto"/>
        <w:ind w:left="-5" w:right="12"/>
      </w:pPr>
      <w:r w:rsidRPr="004E562F">
        <w:t>Špecifická protilátka pre anagrelid n</w:t>
      </w:r>
      <w:r w:rsidR="00461DE1" w:rsidRPr="004E562F">
        <w:t>ie je známa</w:t>
      </w:r>
      <w:r w:rsidRPr="004E562F">
        <w:t xml:space="preserve">. V prípade predávkovania je </w:t>
      </w:r>
      <w:r w:rsidR="00461DE1" w:rsidRPr="004E562F">
        <w:t>potrebné pozorné sledovanie klinického stavu pacienta</w:t>
      </w:r>
      <w:r w:rsidRPr="004E562F">
        <w:t>, ktor</w:t>
      </w:r>
      <w:r w:rsidR="00461DE1" w:rsidRPr="004E562F">
        <w:t>é</w:t>
      </w:r>
      <w:r w:rsidRPr="004E562F">
        <w:t xml:space="preserve"> zahŕňa monitorovanie počtu krvných doštičiek pre možnú trombocytopéniu. Dávkovanie by sa malo znížiť, alebo ak je potrebné aj prerušiť, až kým sa počet trombocytov nevráti do </w:t>
      </w:r>
      <w:r w:rsidR="00461DE1" w:rsidRPr="004E562F">
        <w:t xml:space="preserve">rozmedzia </w:t>
      </w:r>
      <w:r w:rsidRPr="004E562F">
        <w:t>normálnych hodnôt.</w:t>
      </w:r>
    </w:p>
    <w:p w:rsidR="00711A05" w:rsidRPr="004E562F" w:rsidRDefault="00711A05" w:rsidP="000C3CAA">
      <w:pPr>
        <w:spacing w:after="0" w:line="240" w:lineRule="auto"/>
        <w:ind w:left="-5" w:right="12"/>
      </w:pPr>
    </w:p>
    <w:p w:rsidR="00711A05" w:rsidRPr="004E562F" w:rsidRDefault="00711A05" w:rsidP="000C3CAA">
      <w:pPr>
        <w:spacing w:after="0" w:line="240" w:lineRule="auto"/>
        <w:ind w:left="-5" w:right="12"/>
      </w:pPr>
    </w:p>
    <w:p w:rsidR="00181EA3" w:rsidRPr="004E562F" w:rsidRDefault="00181EA3" w:rsidP="000C3CAA">
      <w:pPr>
        <w:pStyle w:val="Nadpis1"/>
        <w:tabs>
          <w:tab w:val="center" w:pos="2409"/>
        </w:tabs>
        <w:spacing w:after="0" w:line="240" w:lineRule="auto"/>
        <w:ind w:left="-15" w:firstLine="0"/>
      </w:pPr>
      <w:r w:rsidRPr="004E562F">
        <w:t>5.</w:t>
      </w:r>
      <w:r w:rsidRPr="004E562F">
        <w:tab/>
        <w:t>FARMAKOLOGICKÉ VLASTNOSTI</w:t>
      </w:r>
    </w:p>
    <w:p w:rsidR="00711A05" w:rsidRPr="004E562F" w:rsidRDefault="00711A05" w:rsidP="000C3CAA">
      <w:pPr>
        <w:tabs>
          <w:tab w:val="center" w:pos="1988"/>
        </w:tabs>
        <w:spacing w:after="0" w:line="240" w:lineRule="auto"/>
        <w:ind w:left="-15" w:right="0" w:firstLine="0"/>
        <w:rPr>
          <w:b/>
        </w:rPr>
      </w:pPr>
    </w:p>
    <w:p w:rsidR="00181EA3" w:rsidRPr="004E562F" w:rsidRDefault="00181EA3" w:rsidP="000C3CAA">
      <w:pPr>
        <w:tabs>
          <w:tab w:val="center" w:pos="1988"/>
        </w:tabs>
        <w:spacing w:after="0" w:line="240" w:lineRule="auto"/>
        <w:ind w:left="-15" w:right="0" w:firstLine="0"/>
      </w:pPr>
      <w:r w:rsidRPr="004E562F">
        <w:rPr>
          <w:b/>
        </w:rPr>
        <w:t>5.1</w:t>
      </w:r>
      <w:r w:rsidRPr="004E562F">
        <w:rPr>
          <w:b/>
        </w:rPr>
        <w:tab/>
        <w:t>Farmakodynamické vlastnosti</w:t>
      </w:r>
    </w:p>
    <w:p w:rsidR="00711A05" w:rsidRPr="004E562F" w:rsidRDefault="00711A05" w:rsidP="000C3CAA">
      <w:pPr>
        <w:spacing w:after="0" w:line="240" w:lineRule="auto"/>
        <w:ind w:left="-5" w:right="12"/>
      </w:pPr>
    </w:p>
    <w:p w:rsidR="00181EA3" w:rsidRPr="004E562F" w:rsidRDefault="00181EA3" w:rsidP="000C3CAA">
      <w:pPr>
        <w:spacing w:after="0" w:line="240" w:lineRule="auto"/>
        <w:ind w:left="-5" w:right="12"/>
      </w:pPr>
      <w:r w:rsidRPr="004E562F">
        <w:t xml:space="preserve">Farmakoterapeutická skupina: </w:t>
      </w:r>
      <w:r w:rsidR="0075744F" w:rsidRPr="004E562F">
        <w:t xml:space="preserve">Cytostatiká, </w:t>
      </w:r>
      <w:r w:rsidRPr="004E562F">
        <w:t>Iné cytostatiká, ATC kód: L01XX35.</w:t>
      </w:r>
    </w:p>
    <w:p w:rsidR="00461DE1" w:rsidRPr="004E562F" w:rsidRDefault="00461DE1" w:rsidP="000C3CAA">
      <w:pPr>
        <w:pStyle w:val="Nadpis2"/>
        <w:spacing w:after="0" w:line="240" w:lineRule="auto"/>
        <w:ind w:left="-5"/>
      </w:pPr>
    </w:p>
    <w:p w:rsidR="00181EA3" w:rsidRPr="004E562F" w:rsidRDefault="00181EA3" w:rsidP="000C3CAA">
      <w:pPr>
        <w:pStyle w:val="Nadpis2"/>
        <w:spacing w:after="0" w:line="240" w:lineRule="auto"/>
        <w:ind w:left="-5"/>
      </w:pPr>
      <w:r w:rsidRPr="004E562F">
        <w:t>Mechanizmus účinku</w:t>
      </w:r>
    </w:p>
    <w:p w:rsidR="00181EA3" w:rsidRPr="004E562F" w:rsidRDefault="00181EA3" w:rsidP="000C3CAA">
      <w:pPr>
        <w:spacing w:after="0" w:line="240" w:lineRule="auto"/>
        <w:ind w:left="-5" w:right="106"/>
      </w:pPr>
      <w:r w:rsidRPr="004E562F">
        <w:t>Presný mechanizmus účinku, ktorým anagrelid znižuje počet krvných doštičiek, nie je známy. V štúdiách s bunkovými kultúrami anagrelid tlmil expresiu transkripčných faktorov, vrátane GATA-1 a FOG-1 potrebných pre megakaryocytopoézu, čo nakoniec viedlo k zníženiu produkcie krvných doštičiek.</w:t>
      </w:r>
    </w:p>
    <w:p w:rsidR="0075744F" w:rsidRPr="004E562F" w:rsidRDefault="0075744F" w:rsidP="000C3CAA">
      <w:pPr>
        <w:spacing w:after="0" w:line="240" w:lineRule="auto"/>
        <w:ind w:left="-5" w:right="106"/>
      </w:pPr>
    </w:p>
    <w:p w:rsidR="00181EA3" w:rsidRPr="005466C4" w:rsidRDefault="00181EA3" w:rsidP="000C3CAA">
      <w:pPr>
        <w:spacing w:after="0" w:line="240" w:lineRule="auto"/>
        <w:ind w:left="-5" w:right="342"/>
      </w:pPr>
      <w:r w:rsidRPr="004E562F">
        <w:t xml:space="preserve">Štúdie ľudskej megakaryocytopoézy </w:t>
      </w:r>
      <w:r w:rsidRPr="004E562F">
        <w:rPr>
          <w:i/>
        </w:rPr>
        <w:t xml:space="preserve">in vitro </w:t>
      </w:r>
      <w:r w:rsidRPr="004E562F">
        <w:t xml:space="preserve">potvrdili, že inhibičné pôsobenie anagrelidu na tvorbu krvných doštičiek u človeka je sprostredkované </w:t>
      </w:r>
      <w:r w:rsidR="00BE5AC6" w:rsidRPr="004E562F">
        <w:t>spomalením</w:t>
      </w:r>
      <w:r w:rsidRPr="004E562F">
        <w:t xml:space="preserve"> dozrievania </w:t>
      </w:r>
      <w:proofErr w:type="spellStart"/>
      <w:r w:rsidRPr="004E562F">
        <w:t>megakaryocytov</w:t>
      </w:r>
      <w:proofErr w:type="spellEnd"/>
      <w:r w:rsidR="00AD74BD" w:rsidRPr="004E562F">
        <w:t>,</w:t>
      </w:r>
      <w:r w:rsidRPr="004E562F">
        <w:t xml:space="preserve"> zmenšovaním ich veľkosti</w:t>
      </w:r>
      <w:r w:rsidR="00CD3E04" w:rsidRPr="004E562F">
        <w:t xml:space="preserve"> a</w:t>
      </w:r>
      <w:r w:rsidR="00BE5AC6" w:rsidRPr="004E562F">
        <w:t xml:space="preserve"> znížením </w:t>
      </w:r>
      <w:r w:rsidR="00CD3E04" w:rsidRPr="004E562F">
        <w:t>ploidity (</w:t>
      </w:r>
      <w:r w:rsidR="000A0DB0" w:rsidRPr="004E562F">
        <w:t>počtu</w:t>
      </w:r>
      <w:r w:rsidR="00BE5AC6" w:rsidRPr="004E562F">
        <w:t xml:space="preserve"> sád</w:t>
      </w:r>
      <w:r w:rsidR="00CD3E04" w:rsidRPr="004E562F">
        <w:t xml:space="preserve"> chromozómov</w:t>
      </w:r>
      <w:r w:rsidR="00BE5AC6" w:rsidRPr="004E562F">
        <w:t xml:space="preserve"> v megakaryocyte</w:t>
      </w:r>
      <w:r w:rsidR="00CD3E04" w:rsidRPr="004E562F">
        <w:t>)</w:t>
      </w:r>
      <w:r w:rsidRPr="004E562F">
        <w:t xml:space="preserve">. Dôkaz podobného pôsobenia </w:t>
      </w:r>
      <w:r w:rsidRPr="004E562F">
        <w:rPr>
          <w:i/>
        </w:rPr>
        <w:t xml:space="preserve">in vivo </w:t>
      </w:r>
      <w:r w:rsidRPr="004E562F">
        <w:t xml:space="preserve">sa pozoroval </w:t>
      </w:r>
      <w:r w:rsidR="00BE5AC6" w:rsidRPr="004E562F">
        <w:t>na</w:t>
      </w:r>
      <w:r w:rsidRPr="004E562F">
        <w:t xml:space="preserve"> bioptických vzorkách</w:t>
      </w:r>
      <w:r w:rsidRPr="000C3CAA">
        <w:t xml:space="preserve"> kostnej drene od liečených pacientov.</w:t>
      </w:r>
    </w:p>
    <w:p w:rsidR="00CD3E04" w:rsidRPr="000C3CAA" w:rsidRDefault="00CD3E04" w:rsidP="000C3CAA">
      <w:pPr>
        <w:spacing w:after="0" w:line="240" w:lineRule="auto"/>
        <w:ind w:left="-5" w:right="342"/>
      </w:pP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Anagrelid je inhibítorom fosfodiesterázy III</w:t>
      </w:r>
      <w:r w:rsidR="00F4207F">
        <w:t xml:space="preserve"> cyklického AMP</w:t>
      </w:r>
      <w:r w:rsidRPr="000C3CAA">
        <w:t>.</w:t>
      </w:r>
    </w:p>
    <w:p w:rsidR="00BE5AC6" w:rsidRPr="000C3CAA" w:rsidRDefault="00BE5AC6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Klinická účinnosť a bezpečnosť</w:t>
      </w:r>
    </w:p>
    <w:p w:rsidR="00181EA3" w:rsidRPr="005466C4" w:rsidRDefault="00181EA3" w:rsidP="000C3CAA">
      <w:pPr>
        <w:spacing w:after="0" w:line="240" w:lineRule="auto"/>
        <w:ind w:left="-5" w:right="108"/>
      </w:pPr>
      <w:r w:rsidRPr="000C3CAA">
        <w:t xml:space="preserve">Bezpečnosť a účinnosť anagrelidu ako látky znižujúcej </w:t>
      </w:r>
      <w:r w:rsidR="00983781" w:rsidRPr="005466C4">
        <w:t xml:space="preserve">počet </w:t>
      </w:r>
      <w:r w:rsidRPr="000C3CAA">
        <w:t>krvn</w:t>
      </w:r>
      <w:r w:rsidR="00983781" w:rsidRPr="005466C4">
        <w:t>ých</w:t>
      </w:r>
      <w:r w:rsidRPr="000C3CAA">
        <w:t xml:space="preserve"> doštič</w:t>
      </w:r>
      <w:r w:rsidR="00983781" w:rsidRPr="005466C4">
        <w:t>iek</w:t>
      </w:r>
      <w:r w:rsidRPr="000C3CAA">
        <w:t xml:space="preserve"> sa hodnotili v štyroch otvorených, ne</w:t>
      </w:r>
      <w:r w:rsidR="00983781" w:rsidRPr="005466C4">
        <w:t>kont</w:t>
      </w:r>
      <w:r w:rsidR="004E562F">
        <w:t>r</w:t>
      </w:r>
      <w:bookmarkStart w:id="0" w:name="_GoBack"/>
      <w:bookmarkEnd w:id="0"/>
      <w:r w:rsidR="00983781" w:rsidRPr="005466C4">
        <w:t>olovaných</w:t>
      </w:r>
      <w:r w:rsidRPr="000C3CAA">
        <w:t xml:space="preserve"> klinických štúdiách (čísla štúdií: 700-012, 700-014, 700-999 a 13970-301) a zahŕňali viac ako 4</w:t>
      </w:r>
      <w:r w:rsidR="00BE5AC6" w:rsidRPr="005466C4">
        <w:t> </w:t>
      </w:r>
      <w:r w:rsidRPr="000C3CAA">
        <w:t>000 pacientov s myeloproliferatívnymi neoplazmami (MPN</w:t>
      </w:r>
      <w:r w:rsidR="00983781" w:rsidRPr="005466C4">
        <w:t>)</w:t>
      </w:r>
      <w:r w:rsidRPr="000C3CAA">
        <w:t>. U pacientov s esenciáln</w:t>
      </w:r>
      <w:r w:rsidR="00983781" w:rsidRPr="005466C4">
        <w:t>ou</w:t>
      </w:r>
      <w:r w:rsidRPr="000C3CAA">
        <w:t xml:space="preserve"> trombocytémi</w:t>
      </w:r>
      <w:r w:rsidR="00983781" w:rsidRPr="005466C4">
        <w:t>o</w:t>
      </w:r>
      <w:r w:rsidRPr="000C3CAA">
        <w:t xml:space="preserve">u bola úplná odpoveď definovaná ako zníženie počtu krvných doštičiek na hladinu </w:t>
      </w:r>
      <w:r w:rsidR="00983781" w:rsidRPr="005466C4">
        <w:t>≤</w:t>
      </w:r>
      <w:r w:rsidRPr="000C3CAA">
        <w:t xml:space="preserve"> 600 x 10</w:t>
      </w:r>
      <w:r w:rsidRPr="000C3CAA">
        <w:rPr>
          <w:vertAlign w:val="superscript"/>
        </w:rPr>
        <w:t>9</w:t>
      </w:r>
      <w:r w:rsidRPr="000C3CAA">
        <w:t xml:space="preserve">/l alebo </w:t>
      </w:r>
      <w:r w:rsidR="00983781" w:rsidRPr="005466C4">
        <w:t>≥</w:t>
      </w:r>
      <w:r w:rsidRPr="000C3CAA">
        <w:t xml:space="preserve"> 50</w:t>
      </w:r>
      <w:r w:rsidR="00983781" w:rsidRPr="005466C4">
        <w:t> </w:t>
      </w:r>
      <w:r w:rsidRPr="000C3CAA">
        <w:t xml:space="preserve">% </w:t>
      </w:r>
      <w:r w:rsidR="00983781" w:rsidRPr="005466C4">
        <w:t>pokles ich počtu v porov</w:t>
      </w:r>
      <w:r w:rsidR="00F56244">
        <w:t>n</w:t>
      </w:r>
      <w:r w:rsidR="00983781" w:rsidRPr="005466C4">
        <w:t>aní s</w:t>
      </w:r>
      <w:r w:rsidRPr="000C3CAA">
        <w:t xml:space="preserve"> počiatočn</w:t>
      </w:r>
      <w:r w:rsidR="00983781" w:rsidRPr="005466C4">
        <w:t>ým</w:t>
      </w:r>
      <w:r w:rsidRPr="000C3CAA">
        <w:t xml:space="preserve"> stav</w:t>
      </w:r>
      <w:r w:rsidR="00983781" w:rsidRPr="005466C4">
        <w:t>om</w:t>
      </w:r>
      <w:r w:rsidRPr="000C3CAA">
        <w:t xml:space="preserve"> a udržanie tohto </w:t>
      </w:r>
      <w:r w:rsidR="00AC1277" w:rsidRPr="005466C4">
        <w:t>poklesu</w:t>
      </w:r>
      <w:r w:rsidRPr="000C3CAA">
        <w:t xml:space="preserve"> po dobu najmenej 4 týždňov. V štúdiách 700-012, 700-014, 700-999 a 13970-301 sa </w:t>
      </w:r>
      <w:r w:rsidR="00AC1277" w:rsidRPr="005466C4">
        <w:t>čas potrebný na dosiahnutie</w:t>
      </w:r>
      <w:r w:rsidRPr="000C3CAA">
        <w:t xml:space="preserve"> úplnej odpovede pohyboval od 4 do12 týždňov. Klinický prospech z hľadiska trombo-hemoragických príhod nebol presvedčivo dokázaný.</w:t>
      </w:r>
    </w:p>
    <w:p w:rsidR="00983781" w:rsidRPr="000C3CAA" w:rsidRDefault="00983781" w:rsidP="000C3CAA">
      <w:pPr>
        <w:spacing w:after="0" w:line="240" w:lineRule="auto"/>
        <w:ind w:left="-5" w:right="108"/>
      </w:pPr>
    </w:p>
    <w:p w:rsidR="00181EA3" w:rsidRPr="000C3CAA" w:rsidRDefault="00C03A94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5466C4">
        <w:rPr>
          <w:i/>
          <w:u w:val="none"/>
        </w:rPr>
        <w:lastRenderedPageBreak/>
        <w:t>Vplyv</w:t>
      </w:r>
      <w:r w:rsidR="00181EA3" w:rsidRPr="000C3CAA">
        <w:rPr>
          <w:i/>
          <w:u w:val="none"/>
        </w:rPr>
        <w:t xml:space="preserve"> na srdcovú frekvenciu a QTc interval</w:t>
      </w:r>
    </w:p>
    <w:p w:rsidR="00181EA3" w:rsidRPr="005466C4" w:rsidRDefault="00C03A94" w:rsidP="000C3CAA">
      <w:pPr>
        <w:spacing w:after="0" w:line="240" w:lineRule="auto"/>
        <w:ind w:left="-5" w:right="12"/>
      </w:pPr>
      <w:r w:rsidRPr="005466C4">
        <w:t>Vplyv</w:t>
      </w:r>
      <w:r w:rsidR="00181EA3" w:rsidRPr="000C3CAA">
        <w:t xml:space="preserve"> dvoch </w:t>
      </w:r>
      <w:r w:rsidRPr="005466C4">
        <w:t xml:space="preserve">hladín </w:t>
      </w:r>
      <w:r w:rsidR="00181EA3" w:rsidRPr="000C3CAA">
        <w:t>dávok anagrelidu (</w:t>
      </w:r>
      <w:r w:rsidRPr="005466C4">
        <w:t xml:space="preserve">jednorazové dávky </w:t>
      </w:r>
      <w:r w:rsidR="00181EA3" w:rsidRPr="000C3CAA">
        <w:t>0,5 mg a 2,5 mg) na srdcovú frekvenciu a QTc interval bol hodnotený v dvojito zaslepenej, randomizovanej, placebom a</w:t>
      </w:r>
      <w:r w:rsidRPr="005466C4">
        <w:t> aktívnym komparátorom</w:t>
      </w:r>
      <w:r w:rsidR="00181EA3" w:rsidRPr="000C3CAA">
        <w:t xml:space="preserve"> kontrolovanej, skríženej štúdií u zdravých dospelých mužov a žien. </w:t>
      </w:r>
    </w:p>
    <w:p w:rsidR="00C03A94" w:rsidRPr="000C3CAA" w:rsidRDefault="00C03A94" w:rsidP="000C3CAA">
      <w:pPr>
        <w:spacing w:after="0" w:line="240" w:lineRule="auto"/>
        <w:ind w:left="-5" w:right="12"/>
      </w:pPr>
    </w:p>
    <w:p w:rsidR="00181EA3" w:rsidRPr="005466C4" w:rsidRDefault="00181EA3" w:rsidP="000C3CAA">
      <w:pPr>
        <w:spacing w:after="0" w:line="240" w:lineRule="auto"/>
        <w:ind w:left="-5" w:right="111"/>
      </w:pPr>
      <w:r w:rsidRPr="000C3CAA">
        <w:t xml:space="preserve">K vzostupu srdcovej frekvencie v závislosti </w:t>
      </w:r>
      <w:r w:rsidR="00B21BC3" w:rsidRPr="00BE527D">
        <w:t>od</w:t>
      </w:r>
      <w:r w:rsidRPr="000C3CAA">
        <w:t xml:space="preserve"> dávk</w:t>
      </w:r>
      <w:r w:rsidR="00B21BC3" w:rsidRPr="005466C4">
        <w:t>y</w:t>
      </w:r>
      <w:r w:rsidRPr="000C3CAA">
        <w:t xml:space="preserve"> došlo v priebehu prvých 12 hodín, pričom maximálny vzostup sa objavil v čase maximálnej koncentrácie. Maximálna zmena priemernej </w:t>
      </w:r>
      <w:r w:rsidR="00B21BC3" w:rsidRPr="005466C4">
        <w:t>srdcovej</w:t>
      </w:r>
      <w:r w:rsidRPr="000C3CAA">
        <w:t xml:space="preserve"> frekvencie nastala za 2 hodiny po podaní lieku a bola +7,8 </w:t>
      </w:r>
      <w:r w:rsidR="00B21BC3" w:rsidRPr="005466C4">
        <w:t>úderov</w:t>
      </w:r>
      <w:r w:rsidRPr="000C3CAA">
        <w:t xml:space="preserve"> za minútu pre dávku 0,5 mg a +29,1 </w:t>
      </w:r>
      <w:r w:rsidR="00B21BC3" w:rsidRPr="005466C4">
        <w:t>úderov</w:t>
      </w:r>
      <w:r w:rsidRPr="000C3CAA">
        <w:t xml:space="preserve"> za minútu pre dávku 2,5 mg.</w:t>
      </w:r>
    </w:p>
    <w:p w:rsidR="00C03A94" w:rsidRPr="000C3CAA" w:rsidRDefault="00C03A94" w:rsidP="000C3CAA">
      <w:pPr>
        <w:spacing w:after="0" w:line="240" w:lineRule="auto"/>
        <w:ind w:left="-5" w:right="111"/>
      </w:pP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Prechodné predĺženie priemerného QTc bolo pozorované u oboch dávok v čase zrýchlenia tepovej frekvencie a maximálne zmeny priemerného QTcF (</w:t>
      </w:r>
      <w:r w:rsidR="00B21BC3" w:rsidRPr="005466C4">
        <w:t>QT interval korigovaný metódou podľa Fridericia</w:t>
      </w:r>
      <w:r w:rsidRPr="000C3CAA">
        <w:t>) boli +5,0 ms po 2 hodinách pre dávku 0,5 mg a +10,0 ms po 1 hodine pre dávku 2,5 mg.</w:t>
      </w:r>
    </w:p>
    <w:p w:rsidR="004B65C0" w:rsidRPr="000C3CAA" w:rsidRDefault="004B65C0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Pediatrická populácia</w:t>
      </w:r>
    </w:p>
    <w:p w:rsidR="00181EA3" w:rsidRPr="000C3CAA" w:rsidRDefault="00181EA3" w:rsidP="000C3CAA">
      <w:pPr>
        <w:spacing w:after="0" w:line="240" w:lineRule="auto"/>
        <w:ind w:left="-5" w:right="102"/>
      </w:pPr>
      <w:r w:rsidRPr="000C3CAA">
        <w:t xml:space="preserve">V otvorenej klinickej štúdii u 8 detí a 10 dospievajúcich (vrátane pacientov, ktorí </w:t>
      </w:r>
      <w:r w:rsidR="00C93D14" w:rsidRPr="005466C4">
        <w:t xml:space="preserve">predtým neboli </w:t>
      </w:r>
      <w:r w:rsidRPr="000C3CAA">
        <w:t>lieč</w:t>
      </w:r>
      <w:r w:rsidR="00C93D14" w:rsidRPr="005466C4">
        <w:t>ení</w:t>
      </w:r>
      <w:r w:rsidRPr="000C3CAA">
        <w:t xml:space="preserve"> anagrelidom alebo boli pred</w:t>
      </w:r>
      <w:r w:rsidR="00C93D14" w:rsidRPr="005466C4">
        <w:t xml:space="preserve"> štúdiou</w:t>
      </w:r>
      <w:r w:rsidRPr="000C3CAA">
        <w:t xml:space="preserve"> liečení anagrelidom po dobu až 5 rokov) sa medián počtu krvných doštičiek znížil na kontrolované hladiny po 12 týždňoch liečby. Priemerná denná dávka mala tendenciu byť vyššia u dospievajúcich.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V štúdii pediatrického registra bol medián počtu krvných doštičiek </w:t>
      </w:r>
      <w:r w:rsidR="00457C4C" w:rsidRPr="005466C4">
        <w:t>v porovnaní s hodnotou zistenou v čase</w:t>
      </w:r>
      <w:r w:rsidRPr="000C3CAA">
        <w:t xml:space="preserve"> diagnózy znížený a bol udržiavaný až do 18 mesiacov u 14 pediatrických pacientov s ET liečených anagrelidom (4 deti, 10 dospievajúcich). V skorších otvorených štúdiách bolo pozorované zníženie mediánu počtu krvných doštičiek u 7 detí a 9 dospievajúcich liečených od 3 mesiacov do 6,5 roka.</w:t>
      </w: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Priemerná celková denná dávka anagrelidu zo všetkých štúdií u pediatrických pacientov s ET bola značne variabilná, ale celkov</w:t>
      </w:r>
      <w:r w:rsidR="00457C4C" w:rsidRPr="005466C4">
        <w:t>é</w:t>
      </w:r>
      <w:r w:rsidRPr="000C3CAA">
        <w:t xml:space="preserve"> údaje naznačujú, že dospievajúci</w:t>
      </w:r>
      <w:r w:rsidR="00457C4C" w:rsidRPr="005466C4">
        <w:t>m by sa mohli podávať</w:t>
      </w:r>
      <w:r w:rsidRPr="000C3CAA">
        <w:t xml:space="preserve"> podobné úvodné a udržiavacie dávky ako dospel</w:t>
      </w:r>
      <w:r w:rsidR="00457C4C" w:rsidRPr="005466C4">
        <w:t>ým</w:t>
      </w:r>
      <w:r w:rsidRPr="000C3CAA">
        <w:t xml:space="preserve"> a nižšie úvodné dávky 0,5 mg/deň by boli vhodnejšie pre deti vo veku viac ako 6 rokov (pozri časti 4.2., 4.4., 4.8 a 5.2). U všetkých pediatrických pacientov je potrebná opatrná titrácia dennej špecifickej dávky pacienta.</w:t>
      </w:r>
    </w:p>
    <w:p w:rsidR="00457C4C" w:rsidRPr="000C3CAA" w:rsidRDefault="00457C4C" w:rsidP="000C3CAA">
      <w:pPr>
        <w:spacing w:after="0" w:line="240" w:lineRule="auto"/>
        <w:ind w:left="-5" w:right="12"/>
      </w:pPr>
    </w:p>
    <w:p w:rsidR="00181EA3" w:rsidRPr="000C3CAA" w:rsidRDefault="00467151" w:rsidP="000C3CAA">
      <w:pPr>
        <w:spacing w:after="0" w:line="240" w:lineRule="auto"/>
        <w:ind w:left="-5" w:right="12"/>
      </w:pPr>
      <w:r w:rsidRPr="005466C4">
        <w:t>R</w:t>
      </w:r>
      <w:r w:rsidR="001667BC" w:rsidRPr="005466C4">
        <w:t>eferenčný liek obsahujúci anagrelid</w:t>
      </w:r>
      <w:r w:rsidR="00181EA3" w:rsidRPr="000C3CAA">
        <w:t xml:space="preserve"> bol registrovaný za tzv. mimoriadnych okolností.</w:t>
      </w:r>
      <w:r w:rsidR="00457C4C" w:rsidRPr="005466C4">
        <w:t xml:space="preserve"> </w:t>
      </w:r>
      <w:r w:rsidR="00181EA3" w:rsidRPr="000C3CAA">
        <w:t>To znamená, že pre zriedkavosť výskytu ochorenia nebolo možné získať všetky informácie o tomto lieku.</w:t>
      </w: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 xml:space="preserve">Európska agentúra </w:t>
      </w:r>
      <w:r w:rsidR="00447176">
        <w:t xml:space="preserve">pre lieky </w:t>
      </w:r>
      <w:r w:rsidRPr="000C3CAA">
        <w:t>každý rok posúdi nové dostupné informácie o tomto lieku a tento súhrn charakteristických vlastností lieku bude podľa potreby aktualizovať.</w:t>
      </w:r>
    </w:p>
    <w:p w:rsidR="00457C4C" w:rsidRPr="000C3CAA" w:rsidRDefault="00457C4C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tabs>
          <w:tab w:val="center" w:pos="1903"/>
        </w:tabs>
        <w:spacing w:after="0" w:line="240" w:lineRule="auto"/>
        <w:ind w:left="-15" w:right="0" w:firstLine="0"/>
      </w:pPr>
      <w:r w:rsidRPr="000C3CAA">
        <w:rPr>
          <w:b/>
        </w:rPr>
        <w:t>5.2</w:t>
      </w:r>
      <w:r w:rsidRPr="000C3CAA">
        <w:rPr>
          <w:b/>
        </w:rPr>
        <w:tab/>
        <w:t>Farmakokinetické vlastnosti</w:t>
      </w:r>
    </w:p>
    <w:p w:rsidR="001667BC" w:rsidRPr="005466C4" w:rsidRDefault="001667BC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Absorpcia</w:t>
      </w:r>
    </w:p>
    <w:p w:rsidR="00181EA3" w:rsidRPr="000C3CAA" w:rsidRDefault="00181EA3" w:rsidP="000C3CAA">
      <w:pPr>
        <w:spacing w:after="0" w:line="240" w:lineRule="auto"/>
        <w:ind w:left="-5" w:right="288"/>
      </w:pPr>
      <w:r w:rsidRPr="000C3CAA">
        <w:t>Po perorálnom podaní anagrelidu u človeka sa minimálne 70 % vstrebáva z gastrointestinálneho traktu. U</w:t>
      </w:r>
      <w:r w:rsidR="001667BC" w:rsidRPr="005466C4">
        <w:t> </w:t>
      </w:r>
      <w:r w:rsidRPr="000C3CAA">
        <w:t>jedincov</w:t>
      </w:r>
      <w:r w:rsidR="001667BC" w:rsidRPr="005466C4">
        <w:t>, ktorým sa podá nalačno</w:t>
      </w:r>
      <w:r w:rsidRPr="000C3CAA">
        <w:t xml:space="preserve"> sa </w:t>
      </w:r>
      <w:r w:rsidR="001667BC" w:rsidRPr="005466C4">
        <w:t>maximálna plazmatická koncentrácia dosiahne</w:t>
      </w:r>
      <w:r w:rsidRPr="000C3CAA">
        <w:t xml:space="preserve"> </w:t>
      </w:r>
      <w:r w:rsidR="001667BC" w:rsidRPr="005466C4">
        <w:t>približne p</w:t>
      </w:r>
      <w:r w:rsidRPr="000C3CAA">
        <w:t>o 1 hodin</w:t>
      </w:r>
      <w:r w:rsidR="001667BC" w:rsidRPr="005466C4">
        <w:t>e</w:t>
      </w:r>
      <w:r w:rsidRPr="000C3CAA">
        <w:t xml:space="preserve"> o</w:t>
      </w:r>
      <w:r w:rsidR="001667BC" w:rsidRPr="005466C4">
        <w:t>d</w:t>
      </w:r>
      <w:r w:rsidRPr="000C3CAA">
        <w:t xml:space="preserve"> podan</w:t>
      </w:r>
      <w:r w:rsidR="001667BC" w:rsidRPr="005466C4">
        <w:t>ia</w:t>
      </w:r>
      <w:r w:rsidRPr="000C3CAA">
        <w:t>. Farmakokinetické údaje od zdravých jedincov ukazujú, že jedlo znižuje C</w:t>
      </w:r>
      <w:r w:rsidRPr="000C3CAA">
        <w:rPr>
          <w:vertAlign w:val="subscript"/>
        </w:rPr>
        <w:t xml:space="preserve">max </w:t>
      </w:r>
      <w:r w:rsidRPr="000C3CAA">
        <w:t>anagrelidu o 14 %, ale zvyšuje hodnoty AUC o 20 %. Jedlo tiež znížilo C</w:t>
      </w:r>
      <w:r w:rsidRPr="000C3CAA">
        <w:rPr>
          <w:vertAlign w:val="subscript"/>
        </w:rPr>
        <w:t xml:space="preserve">max </w:t>
      </w:r>
      <w:r w:rsidRPr="000C3CAA">
        <w:t>aktívneho metabolitu 3-hydroxyanagrelidu o 29 %, hoci nemalo žiadny účinok na hodnoty AUC.</w:t>
      </w:r>
    </w:p>
    <w:p w:rsidR="001667BC" w:rsidRPr="005466C4" w:rsidRDefault="001667BC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Biotransformácia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Anagrelid je primárne metabolizovaný </w:t>
      </w:r>
      <w:r w:rsidR="00A13414" w:rsidRPr="005466C4">
        <w:t xml:space="preserve">prostredníctvom </w:t>
      </w:r>
      <w:r w:rsidRPr="000C3CAA">
        <w:t xml:space="preserve">CYP1A2 za tvorby 3-hydroxyanagrelidu, ktorý je ďalej metabolizovaný </w:t>
      </w:r>
      <w:r w:rsidR="00A13414" w:rsidRPr="005466C4">
        <w:t xml:space="preserve">prostredníctvom </w:t>
      </w:r>
      <w:r w:rsidRPr="000C3CAA">
        <w:t xml:space="preserve">CYP1A2 na </w:t>
      </w:r>
      <w:r w:rsidR="00F56244">
        <w:t>ne</w:t>
      </w:r>
      <w:r w:rsidRPr="000C3CAA">
        <w:t>aktívny metabolit 2-amino-5,6-dichl</w:t>
      </w:r>
      <w:r w:rsidR="00A13414" w:rsidRPr="005466C4">
        <w:t>ó</w:t>
      </w:r>
      <w:r w:rsidRPr="000C3CAA">
        <w:t xml:space="preserve">r-3,4-dihydrochinazolín. </w:t>
      </w:r>
    </w:p>
    <w:p w:rsidR="00A13414" w:rsidRPr="005466C4" w:rsidRDefault="00A13414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Eliminácia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Plazmatický polčas anagrelidu je krátky, približne 1,3 hodiny a ako sa predpoklad</w:t>
      </w:r>
      <w:r w:rsidR="007370E2" w:rsidRPr="005466C4">
        <w:t>alo</w:t>
      </w:r>
      <w:r w:rsidRPr="000C3CAA">
        <w:t xml:space="preserve"> </w:t>
      </w:r>
      <w:r w:rsidR="007370E2" w:rsidRPr="005466C4">
        <w:t>na základe</w:t>
      </w:r>
      <w:r w:rsidRPr="000C3CAA">
        <w:t xml:space="preserve"> tohto polčasu, kumuláci</w:t>
      </w:r>
      <w:r w:rsidR="007370E2" w:rsidRPr="005466C4">
        <w:t>a</w:t>
      </w:r>
      <w:r w:rsidRPr="000C3CAA">
        <w:t xml:space="preserve"> anagrelidu v</w:t>
      </w:r>
      <w:r w:rsidR="007370E2" w:rsidRPr="005466C4">
        <w:t> </w:t>
      </w:r>
      <w:r w:rsidRPr="000C3CAA">
        <w:t>plazme</w:t>
      </w:r>
      <w:r w:rsidR="007370E2" w:rsidRPr="005466C4">
        <w:t xml:space="preserve"> sa nepreukázala</w:t>
      </w:r>
      <w:r w:rsidRPr="000C3CAA">
        <w:t xml:space="preserve">. Menej ako 1 % sa vyskytuje v moči </w:t>
      </w:r>
      <w:r w:rsidR="007370E2" w:rsidRPr="005466C4">
        <w:t>vo forme</w:t>
      </w:r>
      <w:r w:rsidRPr="000C3CAA">
        <w:t xml:space="preserve"> anagrelid</w:t>
      </w:r>
      <w:r w:rsidR="007370E2" w:rsidRPr="005466C4">
        <w:t>u</w:t>
      </w:r>
      <w:r w:rsidRPr="000C3CAA">
        <w:t>.</w:t>
      </w:r>
      <w:r w:rsidR="007370E2" w:rsidRPr="005466C4">
        <w:t xml:space="preserve"> Priemerné množstvo 2</w:t>
      </w:r>
      <w:r w:rsidR="00AD74BD">
        <w:t>-</w:t>
      </w:r>
      <w:r w:rsidR="007370E2" w:rsidRPr="005466C4">
        <w:t>amino</w:t>
      </w:r>
      <w:r w:rsidR="00AD74BD">
        <w:t>-</w:t>
      </w:r>
      <w:r w:rsidR="007370E2" w:rsidRPr="005466C4">
        <w:t>5,6</w:t>
      </w:r>
      <w:r w:rsidR="00AD74BD">
        <w:t>-</w:t>
      </w:r>
      <w:r w:rsidR="007370E2" w:rsidRPr="005466C4">
        <w:t>dichlór</w:t>
      </w:r>
      <w:r w:rsidR="00AD74BD">
        <w:t>-</w:t>
      </w:r>
      <w:r w:rsidR="007370E2" w:rsidRPr="005466C4">
        <w:t>3,4</w:t>
      </w:r>
      <w:r w:rsidR="00AD74BD">
        <w:t>-</w:t>
      </w:r>
      <w:r w:rsidR="007370E2" w:rsidRPr="005466C4">
        <w:t>dihydrochinazolínu vylúčené močom zodpovedá približne 18-35 % podanej dávky</w:t>
      </w:r>
      <w:r w:rsidRPr="000C3CAA">
        <w:t>.</w:t>
      </w:r>
    </w:p>
    <w:p w:rsidR="001E78DA" w:rsidRPr="000C3CAA" w:rsidRDefault="001E78DA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Navyše tieto výsledky nevykazujú známky samoindukcie klírensu anagrelidu.</w:t>
      </w:r>
    </w:p>
    <w:p w:rsidR="00A13414" w:rsidRPr="005466C4" w:rsidRDefault="00A13414" w:rsidP="000C3CAA">
      <w:pPr>
        <w:spacing w:after="0" w:line="240" w:lineRule="auto"/>
        <w:ind w:left="-5" w:right="0"/>
        <w:rPr>
          <w:u w:val="single" w:color="000000"/>
        </w:rPr>
      </w:pPr>
    </w:p>
    <w:p w:rsidR="00181EA3" w:rsidRPr="000C3CAA" w:rsidRDefault="00181EA3" w:rsidP="000C3CAA">
      <w:pPr>
        <w:spacing w:after="0" w:line="240" w:lineRule="auto"/>
        <w:ind w:left="-5" w:right="0"/>
      </w:pPr>
      <w:r w:rsidRPr="000C3CAA">
        <w:rPr>
          <w:u w:val="single" w:color="000000"/>
        </w:rPr>
        <w:lastRenderedPageBreak/>
        <w:t>Linearita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Proporcionalita dávky sa </w:t>
      </w:r>
      <w:r w:rsidR="00FB5C68" w:rsidRPr="005466C4">
        <w:t>prejavuje</w:t>
      </w:r>
      <w:r w:rsidRPr="000C3CAA">
        <w:t xml:space="preserve"> v rozmedzí dávok 0,5 mg až 2 mg.</w:t>
      </w:r>
    </w:p>
    <w:p w:rsidR="00A13414" w:rsidRPr="005466C4" w:rsidRDefault="00A13414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Pediatrická populácia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Farmakokinetické údaje u detí a</w:t>
      </w:r>
      <w:r w:rsidR="00F851E7" w:rsidRPr="005466C4">
        <w:t> </w:t>
      </w:r>
      <w:r w:rsidRPr="000C3CAA">
        <w:t>dospievajúcich</w:t>
      </w:r>
      <w:r w:rsidR="00F851E7" w:rsidRPr="005466C4">
        <w:t>, ktorým sa podal anagrelid</w:t>
      </w:r>
      <w:r w:rsidRPr="000C3CAA">
        <w:t xml:space="preserve"> nalačno (vekový rozsah 7 - 16 rokov) s esenciálnou trombocytémiou ukazujú, že normalizovaná expozícia vzhľadom k dávke, C</w:t>
      </w:r>
      <w:r w:rsidRPr="000C3CAA">
        <w:rPr>
          <w:vertAlign w:val="subscript"/>
        </w:rPr>
        <w:t xml:space="preserve">max </w:t>
      </w:r>
      <w:r w:rsidRPr="000C3CAA">
        <w:t xml:space="preserve">a AUC anagrelidu mala tendenciu byť vyššia u detí/dospievajúcich v porovnaní s dospelými. Taktiež </w:t>
      </w:r>
      <w:r w:rsidR="00C24AEE" w:rsidRPr="005466C4">
        <w:t>sa pozorovala</w:t>
      </w:r>
      <w:r w:rsidRPr="000C3CAA">
        <w:t xml:space="preserve"> tendencia k zvýšenej expozícii normalizovanej dávky aktívn</w:t>
      </w:r>
      <w:r w:rsidR="00C24AEE" w:rsidRPr="005466C4">
        <w:t>eho</w:t>
      </w:r>
      <w:r w:rsidRPr="000C3CAA">
        <w:t xml:space="preserve"> metabolit</w:t>
      </w:r>
      <w:r w:rsidR="00C24AEE" w:rsidRPr="005466C4">
        <w:t>u</w:t>
      </w:r>
      <w:r w:rsidRPr="000C3CAA">
        <w:t xml:space="preserve">. </w:t>
      </w:r>
    </w:p>
    <w:p w:rsidR="00A13414" w:rsidRPr="005466C4" w:rsidRDefault="00A13414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Starší</w:t>
      </w:r>
    </w:p>
    <w:p w:rsidR="00181EA3" w:rsidRPr="005466C4" w:rsidRDefault="00181EA3" w:rsidP="000C3CAA">
      <w:pPr>
        <w:spacing w:after="0" w:line="240" w:lineRule="auto"/>
        <w:ind w:left="-5" w:right="12"/>
      </w:pPr>
      <w:r w:rsidRPr="000C3CAA">
        <w:t>Farmakokinetické údaje u starších pacientov nalačno s ET (vekový rozsah 65 - 75 rokov) v porovnaní s dospelými pacientami nalačno (vekový rozsah 22 - 50 rokov) ukazujú, že C</w:t>
      </w:r>
      <w:r w:rsidRPr="000C3CAA">
        <w:rPr>
          <w:vertAlign w:val="subscript"/>
        </w:rPr>
        <w:t xml:space="preserve">max </w:t>
      </w:r>
      <w:r w:rsidRPr="000C3CAA">
        <w:t>a AUC anagrelidu boli o</w:t>
      </w:r>
      <w:r w:rsidR="00C24AEE" w:rsidRPr="005466C4">
        <w:t> </w:t>
      </w:r>
      <w:r w:rsidRPr="000C3CAA">
        <w:t>36</w:t>
      </w:r>
      <w:r w:rsidR="00C24AEE" w:rsidRPr="005466C4">
        <w:t> </w:t>
      </w:r>
      <w:r w:rsidRPr="000C3CAA">
        <w:t>% a</w:t>
      </w:r>
      <w:r w:rsidR="00C24AEE" w:rsidRPr="005466C4">
        <w:t> </w:t>
      </w:r>
      <w:r w:rsidRPr="000C3CAA">
        <w:t>61</w:t>
      </w:r>
      <w:r w:rsidR="00C24AEE" w:rsidRPr="005466C4">
        <w:t> </w:t>
      </w:r>
      <w:r w:rsidRPr="000C3CAA">
        <w:t>% vyššie u starších pacientov v uvedenom poradí, ale C</w:t>
      </w:r>
      <w:r w:rsidRPr="000C3CAA">
        <w:rPr>
          <w:vertAlign w:val="subscript"/>
        </w:rPr>
        <w:t xml:space="preserve">max </w:t>
      </w:r>
      <w:r w:rsidRPr="000C3CAA">
        <w:t>a AUC aktívneho metabolitu 3-hydoxyanagrelidu boli o</w:t>
      </w:r>
      <w:r w:rsidR="00C24AEE" w:rsidRPr="005466C4">
        <w:t> </w:t>
      </w:r>
      <w:r w:rsidRPr="000C3CAA">
        <w:t>42</w:t>
      </w:r>
      <w:r w:rsidR="00C24AEE" w:rsidRPr="005466C4">
        <w:t> </w:t>
      </w:r>
      <w:r w:rsidRPr="000C3CAA">
        <w:t>% a 37</w:t>
      </w:r>
      <w:r w:rsidR="00C24AEE" w:rsidRPr="005466C4">
        <w:t> </w:t>
      </w:r>
      <w:r w:rsidRPr="000C3CAA">
        <w:t>% nižšie u starších pacientov v uvedenom poradí. Tieto rozdiely pravdepodobne spôsobil nižší presystémový metabolizmus anagrelidu na 3-hydroxyanagrelid u starších pacientov.</w:t>
      </w:r>
    </w:p>
    <w:p w:rsidR="00FB5C68" w:rsidRPr="000C3CAA" w:rsidRDefault="00FB5C68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tabs>
          <w:tab w:val="center" w:pos="2110"/>
        </w:tabs>
        <w:spacing w:after="0" w:line="240" w:lineRule="auto"/>
        <w:ind w:left="-15" w:right="0" w:firstLine="0"/>
      </w:pPr>
      <w:r w:rsidRPr="000C3CAA">
        <w:rPr>
          <w:b/>
        </w:rPr>
        <w:t>5.3</w:t>
      </w:r>
      <w:r w:rsidRPr="000C3CAA">
        <w:rPr>
          <w:b/>
        </w:rPr>
        <w:tab/>
        <w:t>Predklinické údaje o bezpečnosti</w:t>
      </w:r>
    </w:p>
    <w:p w:rsidR="00FB5C68" w:rsidRPr="005466C4" w:rsidRDefault="00FB5C68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Toxicita po opakovanom podaní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Po opakovanom perorálnom podaní anagrelidu psom, sa pri dávke 1 mg/kg/deň alebo vyššej pozorovali subendokardiálne krvácanie a fokálna nekróza myokardu u samcov a samíc, pričom samc</w:t>
      </w:r>
      <w:r w:rsidR="0027735F" w:rsidRPr="005466C4">
        <w:t>i</w:t>
      </w:r>
      <w:r w:rsidRPr="000C3CAA">
        <w:t xml:space="preserve"> boli senzitívnejš</w:t>
      </w:r>
      <w:r w:rsidR="0027735F" w:rsidRPr="005466C4">
        <w:t>í</w:t>
      </w:r>
      <w:r w:rsidRPr="000C3CAA">
        <w:t>. Dávka</w:t>
      </w:r>
      <w:r w:rsidR="0027735F" w:rsidRPr="005466C4">
        <w:t>, pri ktorej</w:t>
      </w:r>
      <w:r w:rsidRPr="000C3CAA">
        <w:t xml:space="preserve"> </w:t>
      </w:r>
      <w:r w:rsidR="0027735F" w:rsidRPr="005466C4">
        <w:t>nebol pozorovaný</w:t>
      </w:r>
      <w:r w:rsidRPr="000C3CAA">
        <w:t xml:space="preserve"> </w:t>
      </w:r>
      <w:r w:rsidR="0027735F" w:rsidRPr="005466C4">
        <w:t>účinok</w:t>
      </w:r>
      <w:r w:rsidRPr="000C3CAA">
        <w:t xml:space="preserve"> (NOEL - no observed effect level) u samcov psov (0,3 mg/kg/deň) zodpovedá 0,1; 0,1 a 1,6-násobku AUC u ľudí pre dávku anagrelidu 2 mg/deň, a metabolity BCH24426 a RL603, v uvedenom poradí.</w:t>
      </w:r>
    </w:p>
    <w:p w:rsidR="00FB5C68" w:rsidRPr="005466C4" w:rsidRDefault="00FB5C68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Reprodukčná toxikológia</w:t>
      </w:r>
    </w:p>
    <w:p w:rsidR="00181EA3" w:rsidRPr="000C3CAA" w:rsidRDefault="00181EA3" w:rsidP="000C3CAA">
      <w:pPr>
        <w:spacing w:after="0" w:line="240" w:lineRule="auto"/>
        <w:ind w:left="-5" w:right="0"/>
      </w:pPr>
      <w:r w:rsidRPr="000C3CAA">
        <w:rPr>
          <w:i/>
        </w:rPr>
        <w:t>Fertilita</w:t>
      </w:r>
    </w:p>
    <w:p w:rsidR="00181EA3" w:rsidRPr="000C3CAA" w:rsidRDefault="00D27597" w:rsidP="000C3CAA">
      <w:pPr>
        <w:spacing w:after="0" w:line="240" w:lineRule="auto"/>
        <w:ind w:right="161" w:firstLine="0"/>
      </w:pPr>
      <w:r w:rsidRPr="000C3CAA">
        <w:t xml:space="preserve">U </w:t>
      </w:r>
      <w:r w:rsidR="00181EA3" w:rsidRPr="000C3CAA">
        <w:t>samcov potkanov bolo zistené, že anagrelid pri perorálnych dávkach až do 240 mg/kg/deň (˃1</w:t>
      </w:r>
      <w:r w:rsidR="00AD74BD">
        <w:t> </w:t>
      </w:r>
      <w:r w:rsidR="00181EA3" w:rsidRPr="000C3CAA">
        <w:t>000</w:t>
      </w:r>
      <w:r w:rsidR="00AD74BD">
        <w:t>-</w:t>
      </w:r>
      <w:r w:rsidR="00181EA3" w:rsidRPr="000C3CAA">
        <w:t xml:space="preserve">násobok dávky 2 mg/deň, na základe plochy povrchu tela), nemá žiadny vplyv na fertilitu a reprodukčné schopnosti. U samíc potkanov bolo pri dávke 30 mg/kg/deň pozorované zvýšenie pred a poimplantačných strát a pokles priemerného počtu živých embryí. NOEL (10 mg/kg/deň) pre tento účinok bola 143, 12 a 11-násobne vyššia ako AUC u ľudí </w:t>
      </w:r>
      <w:r w:rsidR="00A4008B" w:rsidRPr="005466C4">
        <w:t xml:space="preserve">po </w:t>
      </w:r>
      <w:r w:rsidR="00181EA3" w:rsidRPr="000C3CAA">
        <w:t>podan</w:t>
      </w:r>
      <w:r w:rsidR="00A4008B" w:rsidRPr="005466C4">
        <w:t>í</w:t>
      </w:r>
      <w:r w:rsidR="00181EA3" w:rsidRPr="000C3CAA">
        <w:t xml:space="preserve"> dávky anagrelidu 2 mg/deň, a metabolitov BCH24426 a RL603, v uvedenom poradí.</w:t>
      </w:r>
    </w:p>
    <w:p w:rsidR="00FB5C68" w:rsidRPr="005466C4" w:rsidRDefault="00FB5C68" w:rsidP="000C3CAA">
      <w:pPr>
        <w:spacing w:after="0" w:line="240" w:lineRule="auto"/>
        <w:ind w:left="-5" w:right="0"/>
        <w:rPr>
          <w:i/>
          <w:u w:val="single" w:color="000000"/>
        </w:rPr>
      </w:pPr>
    </w:p>
    <w:p w:rsidR="00181EA3" w:rsidRPr="000C3CAA" w:rsidRDefault="00181EA3" w:rsidP="000C3CAA">
      <w:pPr>
        <w:spacing w:after="0" w:line="240" w:lineRule="auto"/>
        <w:ind w:left="-5" w:right="0"/>
      </w:pPr>
      <w:r w:rsidRPr="000C3CAA">
        <w:rPr>
          <w:i/>
        </w:rPr>
        <w:t>Štúdie embryofetálneho vývoja</w:t>
      </w:r>
    </w:p>
    <w:p w:rsidR="00181EA3" w:rsidRPr="005466C4" w:rsidRDefault="002C30DE" w:rsidP="000C3CAA">
      <w:pPr>
        <w:spacing w:after="0" w:line="240" w:lineRule="auto"/>
        <w:ind w:left="-5" w:right="12"/>
      </w:pPr>
      <w:r w:rsidRPr="005466C4">
        <w:t>U</w:t>
      </w:r>
      <w:r w:rsidR="00181EA3" w:rsidRPr="000C3CAA">
        <w:t xml:space="preserve"> potkanov a králikov boli </w:t>
      </w:r>
      <w:r w:rsidRPr="005466C4">
        <w:t xml:space="preserve">toxické dávky anagrelidu pre matku </w:t>
      </w:r>
      <w:r w:rsidR="00181EA3" w:rsidRPr="000C3CAA">
        <w:t>spojené so zvýšenou resorpciou embrya a úmrtnosťou plodu.</w:t>
      </w:r>
    </w:p>
    <w:p w:rsidR="00A4008B" w:rsidRPr="000C3CAA" w:rsidRDefault="00A4008B" w:rsidP="000C3CAA">
      <w:pPr>
        <w:spacing w:after="0" w:line="240" w:lineRule="auto"/>
        <w:ind w:left="-5" w:right="12"/>
      </w:pPr>
    </w:p>
    <w:p w:rsidR="00181EA3" w:rsidRPr="005466C4" w:rsidRDefault="00D27597" w:rsidP="000C3CAA">
      <w:pPr>
        <w:spacing w:after="0" w:line="240" w:lineRule="auto"/>
        <w:ind w:right="161" w:firstLine="0"/>
      </w:pPr>
      <w:r w:rsidRPr="000C3CAA">
        <w:t xml:space="preserve">V </w:t>
      </w:r>
      <w:r w:rsidR="00181EA3" w:rsidRPr="000C3CAA">
        <w:t xml:space="preserve">štúdii prenatálneho a postnatálneho vývoja u samíc potkanov vyvolával anagrelid pri perorálnych dávkach ≥10 mg/kg iný ako nežiaduci účinok v podobe </w:t>
      </w:r>
      <w:r w:rsidR="002C30DE" w:rsidRPr="005466C4">
        <w:t>predĺženia doby</w:t>
      </w:r>
      <w:r w:rsidR="00181EA3" w:rsidRPr="000C3CAA">
        <w:t xml:space="preserve"> gravidity. Pri dávke NOEL (3 mg/kg/deň), AUC pre anagrelid a metabolity BCH24426 a RL603 bola 14-, 2- a 2-násobne vyššia ako AUC u ľudí </w:t>
      </w:r>
      <w:r w:rsidR="002C30DE" w:rsidRPr="005466C4">
        <w:t xml:space="preserve">po </w:t>
      </w:r>
      <w:r w:rsidR="00181EA3" w:rsidRPr="000C3CAA">
        <w:t>pod</w:t>
      </w:r>
      <w:r w:rsidR="002C30DE" w:rsidRPr="005466C4">
        <w:t>aní</w:t>
      </w:r>
      <w:r w:rsidR="00181EA3" w:rsidRPr="000C3CAA">
        <w:t xml:space="preserve"> perorálnej dávky anagrelidu 2 mg/deň.</w:t>
      </w:r>
    </w:p>
    <w:p w:rsidR="002C30DE" w:rsidRPr="000C3CAA" w:rsidRDefault="002C30DE" w:rsidP="000C3CAA">
      <w:pPr>
        <w:spacing w:after="0" w:line="240" w:lineRule="auto"/>
        <w:ind w:right="161" w:firstLine="0"/>
      </w:pP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 xml:space="preserve">Anagrelid pri dávke ≥ 60 mg/kg zvýšil dobu trvania pôrodov u samíc a mortalitu plodov. Pri dávke NOEL (30 mg/kg/deň), AUC pre anagrelid a metabolity BCH24426 a RL603 bola 425-, 31- a 13-násobne vyššia ako AUC u ľudí </w:t>
      </w:r>
      <w:r w:rsidR="00A134E4" w:rsidRPr="005466C4">
        <w:t xml:space="preserve">po </w:t>
      </w:r>
      <w:r w:rsidRPr="000C3CAA">
        <w:t>pod</w:t>
      </w:r>
      <w:r w:rsidR="00A134E4" w:rsidRPr="005466C4">
        <w:t>aní</w:t>
      </w:r>
      <w:r w:rsidRPr="000C3CAA">
        <w:t xml:space="preserve"> perorálnej dávky anagrelidu 2 mg/deň, v uvedenom poradí.</w:t>
      </w:r>
    </w:p>
    <w:p w:rsidR="00FB5C68" w:rsidRPr="005466C4" w:rsidRDefault="00FB5C68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</w:pPr>
      <w:r w:rsidRPr="000C3CAA">
        <w:t>Mutagénny a karcinogénny potenciál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Štúdie genotoxického potenciálu anagrelidu nezistili žiadne mutagénne alebo klastogénne účinky.</w:t>
      </w:r>
    </w:p>
    <w:p w:rsidR="00AD74BD" w:rsidRDefault="00AD74BD" w:rsidP="000C3CAA">
      <w:pPr>
        <w:spacing w:after="0" w:line="240" w:lineRule="auto"/>
        <w:ind w:left="-5" w:right="315"/>
      </w:pPr>
    </w:p>
    <w:p w:rsidR="00181EA3" w:rsidRPr="005466C4" w:rsidRDefault="00181EA3" w:rsidP="000C3CAA">
      <w:pPr>
        <w:spacing w:after="0" w:line="240" w:lineRule="auto"/>
        <w:ind w:left="-5" w:right="315"/>
      </w:pPr>
      <w:r w:rsidRPr="000C3CAA">
        <w:t xml:space="preserve">Počas dvojročnej štúdie karcinogenity na potkanoch boli pozorované neneoplastické a neoplastické </w:t>
      </w:r>
      <w:r w:rsidR="00CE55FF" w:rsidRPr="005466C4">
        <w:t>nálezy</w:t>
      </w:r>
      <w:r w:rsidRPr="000C3CAA">
        <w:t>, ktoré súviseli alebo sa pripisovali zvýšenému farmakologickému účinku. V rámci nich sa výskyt adrenáln</w:t>
      </w:r>
      <w:r w:rsidR="00CE55FF" w:rsidRPr="005466C4">
        <w:t>ych</w:t>
      </w:r>
      <w:r w:rsidRPr="000C3CAA">
        <w:t xml:space="preserve"> feochromocytóm</w:t>
      </w:r>
      <w:r w:rsidR="00CE55FF" w:rsidRPr="005466C4">
        <w:t>ov</w:t>
      </w:r>
      <w:r w:rsidRPr="000C3CAA">
        <w:t xml:space="preserve"> zvýšil </w:t>
      </w:r>
      <w:r w:rsidR="00CE55FF" w:rsidRPr="005466C4">
        <w:t>v porovnaní s kontrolnými zvieratami</w:t>
      </w:r>
      <w:r w:rsidRPr="000C3CAA">
        <w:t xml:space="preserve"> u samčekov pri všetkých úrovniach dávok (≥ 3 mg/kg/deň) a u samičiek pri dávke 10 mg/kg/deň a vyššej. Najnižšia dávka u samčekov (3 mg/kg/deň) zodpovedá 37</w:t>
      </w:r>
      <w:r w:rsidR="001E5EE8" w:rsidRPr="005466C4">
        <w:t>-</w:t>
      </w:r>
      <w:r w:rsidRPr="000C3CAA">
        <w:t xml:space="preserve">násobku </w:t>
      </w:r>
      <w:r w:rsidR="001E5EE8" w:rsidRPr="005466C4">
        <w:t>expozície</w:t>
      </w:r>
      <w:r w:rsidRPr="000C3CAA">
        <w:t xml:space="preserve"> </w:t>
      </w:r>
      <w:r w:rsidR="001E5EE8" w:rsidRPr="005466C4">
        <w:t>(</w:t>
      </w:r>
      <w:r w:rsidRPr="000C3CAA">
        <w:t>AUC</w:t>
      </w:r>
      <w:r w:rsidR="001E5EE8" w:rsidRPr="005466C4">
        <w:t>)</w:t>
      </w:r>
      <w:r w:rsidRPr="000C3CAA">
        <w:t xml:space="preserve"> u človeka po</w:t>
      </w:r>
      <w:r w:rsidR="001E5EE8" w:rsidRPr="005466C4">
        <w:t xml:space="preserve"> podaní</w:t>
      </w:r>
      <w:r w:rsidRPr="000C3CAA">
        <w:t xml:space="preserve"> </w:t>
      </w:r>
      <w:r w:rsidR="001E5EE8" w:rsidRPr="005466C4">
        <w:t xml:space="preserve">dávky </w:t>
      </w:r>
      <w:r w:rsidRPr="000C3CAA">
        <w:t xml:space="preserve">1 mg dvakrát denne. Adenokarcinómy maternice epigenetického pôvodu mohli </w:t>
      </w:r>
      <w:r w:rsidRPr="000C3CAA">
        <w:lastRenderedPageBreak/>
        <w:t xml:space="preserve">súvisieť s enzýmovou indukciou rodiny enzýmov CYP1. Boli pozorované u samičiek prijímajúcich 30 mg/kg/deň, čo zodpovedá 572-násobku </w:t>
      </w:r>
      <w:r w:rsidR="001E5EE8" w:rsidRPr="005466C4">
        <w:t>expozície</w:t>
      </w:r>
      <w:r w:rsidRPr="000C3CAA">
        <w:t xml:space="preserve"> </w:t>
      </w:r>
      <w:r w:rsidR="001E5EE8" w:rsidRPr="005466C4">
        <w:t>(</w:t>
      </w:r>
      <w:r w:rsidRPr="000C3CAA">
        <w:t>AUC</w:t>
      </w:r>
      <w:r w:rsidR="001E5EE8" w:rsidRPr="005466C4">
        <w:t>)</w:t>
      </w:r>
      <w:r w:rsidRPr="000C3CAA">
        <w:t xml:space="preserve"> u človeka po </w:t>
      </w:r>
      <w:r w:rsidR="001E5EE8" w:rsidRPr="005466C4">
        <w:t xml:space="preserve">podaní dávky </w:t>
      </w:r>
      <w:r w:rsidRPr="000C3CAA">
        <w:t>1 mg dvakrát denne.</w:t>
      </w:r>
    </w:p>
    <w:p w:rsidR="00FB5C68" w:rsidRPr="005466C4" w:rsidRDefault="00FB5C68" w:rsidP="000C3CAA">
      <w:pPr>
        <w:spacing w:after="0" w:line="240" w:lineRule="auto"/>
        <w:ind w:left="-5" w:right="315"/>
      </w:pPr>
    </w:p>
    <w:p w:rsidR="00FB5C68" w:rsidRPr="000C3CAA" w:rsidRDefault="00FB5C68" w:rsidP="000C3CAA">
      <w:pPr>
        <w:spacing w:after="0" w:line="240" w:lineRule="auto"/>
        <w:ind w:left="-5" w:right="315"/>
      </w:pPr>
    </w:p>
    <w:p w:rsidR="00181EA3" w:rsidRPr="000C3CAA" w:rsidRDefault="00181EA3" w:rsidP="000C3CAA">
      <w:pPr>
        <w:pStyle w:val="Nadpis1"/>
        <w:tabs>
          <w:tab w:val="center" w:pos="2325"/>
        </w:tabs>
        <w:spacing w:after="0" w:line="240" w:lineRule="auto"/>
        <w:ind w:left="-15" w:firstLine="0"/>
      </w:pPr>
      <w:r w:rsidRPr="000C3CAA">
        <w:t>6.</w:t>
      </w:r>
      <w:r w:rsidRPr="000C3CAA">
        <w:tab/>
        <w:t>FARMACEUTICKÉ INFORMÁCIE</w:t>
      </w:r>
    </w:p>
    <w:p w:rsidR="00FB5C68" w:rsidRPr="005466C4" w:rsidRDefault="00FB5C68" w:rsidP="000C3CAA">
      <w:pPr>
        <w:tabs>
          <w:tab w:val="center" w:pos="1785"/>
        </w:tabs>
        <w:spacing w:after="0" w:line="240" w:lineRule="auto"/>
        <w:ind w:left="-15" w:right="0" w:firstLine="0"/>
        <w:rPr>
          <w:b/>
        </w:rPr>
      </w:pPr>
    </w:p>
    <w:p w:rsidR="00181EA3" w:rsidRPr="000C3CAA" w:rsidRDefault="00181EA3" w:rsidP="000C3CAA">
      <w:pPr>
        <w:tabs>
          <w:tab w:val="center" w:pos="1785"/>
        </w:tabs>
        <w:spacing w:after="0" w:line="240" w:lineRule="auto"/>
        <w:ind w:left="-15" w:right="0" w:firstLine="0"/>
      </w:pPr>
      <w:r w:rsidRPr="000C3CAA">
        <w:rPr>
          <w:b/>
        </w:rPr>
        <w:t>6.1</w:t>
      </w:r>
      <w:r w:rsidRPr="000C3CAA">
        <w:rPr>
          <w:b/>
        </w:rPr>
        <w:tab/>
        <w:t>Zoznam pomocných látok</w:t>
      </w:r>
    </w:p>
    <w:p w:rsidR="00CE55FF" w:rsidRPr="005466C4" w:rsidRDefault="00CE55FF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Obsah kapsuly</w:t>
      </w:r>
    </w:p>
    <w:p w:rsidR="00CC2E76" w:rsidRPr="000C3CAA" w:rsidRDefault="00CC2E76" w:rsidP="000C3CAA">
      <w:pPr>
        <w:pStyle w:val="Nadpis2"/>
        <w:spacing w:after="0" w:line="240" w:lineRule="auto"/>
        <w:ind w:left="-5"/>
        <w:rPr>
          <w:u w:val="none"/>
        </w:rPr>
      </w:pPr>
      <w:r w:rsidRPr="000C3CAA">
        <w:rPr>
          <w:u w:val="none"/>
        </w:rPr>
        <w:t>Monohydrát laktózy</w:t>
      </w:r>
    </w:p>
    <w:p w:rsidR="00CC2E76" w:rsidRPr="000C3CAA" w:rsidRDefault="00CC2E76" w:rsidP="000C3CAA">
      <w:pPr>
        <w:pStyle w:val="Nadpis2"/>
        <w:spacing w:after="0" w:line="240" w:lineRule="auto"/>
        <w:ind w:left="-5"/>
        <w:rPr>
          <w:u w:val="none"/>
        </w:rPr>
      </w:pPr>
      <w:r w:rsidRPr="000C3CAA">
        <w:rPr>
          <w:u w:val="none"/>
        </w:rPr>
        <w:t>Sodná soľ kroskarmelózy,</w:t>
      </w:r>
    </w:p>
    <w:p w:rsidR="00CC2E76" w:rsidRPr="000C3CAA" w:rsidRDefault="00CC2E76" w:rsidP="000C3CAA">
      <w:pPr>
        <w:pStyle w:val="Nadpis2"/>
        <w:spacing w:after="0" w:line="240" w:lineRule="auto"/>
        <w:ind w:left="-5"/>
        <w:rPr>
          <w:u w:val="none"/>
        </w:rPr>
      </w:pPr>
      <w:r w:rsidRPr="000C3CAA">
        <w:rPr>
          <w:u w:val="none"/>
        </w:rPr>
        <w:t>Povidón (K29/32)</w:t>
      </w:r>
    </w:p>
    <w:p w:rsidR="00CC2E76" w:rsidRPr="000C3CAA" w:rsidRDefault="00CC2E76" w:rsidP="000C3CAA">
      <w:pPr>
        <w:pStyle w:val="Nadpis2"/>
        <w:spacing w:after="0" w:line="240" w:lineRule="auto"/>
        <w:ind w:left="-5"/>
        <w:rPr>
          <w:u w:val="none"/>
        </w:rPr>
      </w:pPr>
      <w:r w:rsidRPr="000C3CAA">
        <w:rPr>
          <w:u w:val="none"/>
        </w:rPr>
        <w:t>Laktóza</w:t>
      </w:r>
    </w:p>
    <w:p w:rsidR="00CC2E76" w:rsidRPr="000C3CAA" w:rsidRDefault="00CC2E76" w:rsidP="000C3CAA">
      <w:pPr>
        <w:pStyle w:val="Nadpis2"/>
        <w:spacing w:after="0" w:line="240" w:lineRule="auto"/>
        <w:ind w:left="-5"/>
        <w:rPr>
          <w:u w:val="none"/>
        </w:rPr>
      </w:pPr>
      <w:r w:rsidRPr="000C3CAA">
        <w:rPr>
          <w:u w:val="none"/>
        </w:rPr>
        <w:t xml:space="preserve">Mikrokryštalická celulóza </w:t>
      </w:r>
    </w:p>
    <w:p w:rsidR="00CC2E76" w:rsidRPr="000C3CAA" w:rsidRDefault="001E5EE8" w:rsidP="000C3CAA">
      <w:pPr>
        <w:pStyle w:val="Nadpis2"/>
        <w:spacing w:after="0" w:line="240" w:lineRule="auto"/>
        <w:ind w:left="-5"/>
        <w:rPr>
          <w:u w:val="none"/>
        </w:rPr>
      </w:pPr>
      <w:r w:rsidRPr="005466C4">
        <w:rPr>
          <w:u w:val="none"/>
        </w:rPr>
        <w:t>Stearan horečnatý</w:t>
      </w:r>
      <w:r w:rsidR="00CC2E76" w:rsidRPr="000C3CAA">
        <w:rPr>
          <w:u w:val="none"/>
        </w:rPr>
        <w:t xml:space="preserve"> </w:t>
      </w:r>
    </w:p>
    <w:p w:rsidR="00CC2E76" w:rsidRPr="000C3CAA" w:rsidRDefault="00CC2E76" w:rsidP="000C3CAA">
      <w:pPr>
        <w:pStyle w:val="Nadpis2"/>
        <w:spacing w:after="0" w:line="240" w:lineRule="auto"/>
        <w:ind w:left="-5"/>
      </w:pPr>
    </w:p>
    <w:p w:rsidR="00181EA3" w:rsidRPr="000C3CAA" w:rsidRDefault="00181EA3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0C3CAA">
        <w:rPr>
          <w:i/>
          <w:u w:val="none"/>
        </w:rPr>
        <w:t>Obal kapsuly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Želatína</w:t>
      </w:r>
    </w:p>
    <w:p w:rsidR="00181EA3" w:rsidRPr="000C3CAA" w:rsidRDefault="00181EA3" w:rsidP="000C3CAA">
      <w:pPr>
        <w:spacing w:after="0" w:line="240" w:lineRule="auto"/>
        <w:ind w:left="-5" w:right="12"/>
      </w:pPr>
      <w:r w:rsidRPr="000C3CAA">
        <w:t>Oxid titaničitý (E171)</w:t>
      </w:r>
    </w:p>
    <w:p w:rsidR="001E5EE8" w:rsidRPr="005466C4" w:rsidRDefault="001E5EE8" w:rsidP="000C3CAA">
      <w:pPr>
        <w:pStyle w:val="Nadpis2"/>
        <w:spacing w:after="0" w:line="240" w:lineRule="auto"/>
        <w:ind w:left="-5"/>
        <w:rPr>
          <w:i/>
          <w:u w:val="none"/>
        </w:rPr>
      </w:pPr>
    </w:p>
    <w:p w:rsidR="00F43E0F" w:rsidRPr="000C3CAA" w:rsidRDefault="00F43E0F" w:rsidP="000C3CAA">
      <w:pPr>
        <w:pStyle w:val="Nadpis2"/>
        <w:spacing w:after="0" w:line="240" w:lineRule="auto"/>
        <w:ind w:left="-5"/>
        <w:rPr>
          <w:i/>
          <w:u w:val="none"/>
        </w:rPr>
      </w:pPr>
      <w:r w:rsidRPr="00BE527D">
        <w:rPr>
          <w:i/>
          <w:highlight w:val="lightGray"/>
          <w:u w:val="none"/>
        </w:rPr>
        <w:t>Obal kapsuly</w:t>
      </w:r>
    </w:p>
    <w:p w:rsidR="00F43E0F" w:rsidRPr="00BE527D" w:rsidRDefault="00F43E0F" w:rsidP="000C3CAA">
      <w:pPr>
        <w:spacing w:after="0" w:line="240" w:lineRule="auto"/>
        <w:ind w:left="-5" w:right="12"/>
        <w:rPr>
          <w:highlight w:val="lightGray"/>
        </w:rPr>
      </w:pPr>
      <w:r w:rsidRPr="00BE527D">
        <w:rPr>
          <w:highlight w:val="lightGray"/>
        </w:rPr>
        <w:t>Želatína</w:t>
      </w:r>
    </w:p>
    <w:p w:rsidR="00F43E0F" w:rsidRPr="00BE527D" w:rsidRDefault="00F43E0F" w:rsidP="008D06A0">
      <w:pPr>
        <w:spacing w:after="0" w:line="240" w:lineRule="auto"/>
        <w:ind w:left="-6" w:right="11" w:hanging="11"/>
        <w:rPr>
          <w:highlight w:val="lightGray"/>
        </w:rPr>
      </w:pPr>
      <w:r w:rsidRPr="00BE527D">
        <w:rPr>
          <w:highlight w:val="lightGray"/>
        </w:rPr>
        <w:t>Oxid titaničitý (E171)</w:t>
      </w:r>
    </w:p>
    <w:p w:rsidR="00F43E0F" w:rsidRPr="000C3CAA" w:rsidRDefault="00181EA3" w:rsidP="000C3CAA">
      <w:pPr>
        <w:spacing w:after="0" w:line="240" w:lineRule="auto"/>
        <w:ind w:left="-6" w:right="11" w:hanging="11"/>
      </w:pPr>
      <w:r w:rsidRPr="00BE527D">
        <w:rPr>
          <w:highlight w:val="lightGray"/>
        </w:rPr>
        <w:t>Čierny oxid železitý (E172)</w:t>
      </w:r>
    </w:p>
    <w:p w:rsidR="00FB5C68" w:rsidRPr="005466C4" w:rsidRDefault="00FB5C68" w:rsidP="000C3CAA">
      <w:pPr>
        <w:spacing w:after="0" w:line="240" w:lineRule="auto"/>
        <w:ind w:left="-6" w:right="11" w:hanging="11"/>
        <w:rPr>
          <w:b/>
        </w:rPr>
      </w:pPr>
    </w:p>
    <w:p w:rsidR="00F43E0F" w:rsidRPr="000C3CAA" w:rsidRDefault="00F43E0F" w:rsidP="000C3CAA">
      <w:pPr>
        <w:spacing w:after="0" w:line="240" w:lineRule="auto"/>
        <w:ind w:left="-6" w:right="11" w:hanging="11"/>
        <w:rPr>
          <w:b/>
        </w:rPr>
      </w:pPr>
      <w:r w:rsidRPr="000C3CAA">
        <w:rPr>
          <w:b/>
        </w:rPr>
        <w:t>6.2</w:t>
      </w:r>
      <w:r w:rsidRPr="000C3CAA">
        <w:rPr>
          <w:b/>
        </w:rPr>
        <w:tab/>
        <w:t>Inkompatibility</w:t>
      </w:r>
    </w:p>
    <w:p w:rsidR="007E60A7" w:rsidRPr="005466C4" w:rsidRDefault="007E60A7" w:rsidP="000C3CAA">
      <w:pPr>
        <w:spacing w:after="0" w:line="240" w:lineRule="auto"/>
        <w:ind w:left="-5" w:right="6858"/>
      </w:pPr>
    </w:p>
    <w:p w:rsidR="00F43E0F" w:rsidRPr="000C3CAA" w:rsidRDefault="00181EA3" w:rsidP="000C3CAA">
      <w:pPr>
        <w:spacing w:after="0" w:line="240" w:lineRule="auto"/>
        <w:ind w:left="-5" w:right="6858"/>
      </w:pPr>
      <w:r w:rsidRPr="000C3CAA">
        <w:t xml:space="preserve">Neaplikovateľné. </w:t>
      </w:r>
    </w:p>
    <w:p w:rsidR="00F43E0F" w:rsidRPr="000C3CAA" w:rsidRDefault="00F43E0F" w:rsidP="000C3CAA">
      <w:pPr>
        <w:spacing w:after="0" w:line="240" w:lineRule="auto"/>
        <w:ind w:left="-5" w:right="6858"/>
      </w:pPr>
    </w:p>
    <w:p w:rsidR="00F43E0F" w:rsidRPr="000C3CAA" w:rsidRDefault="00F43E0F" w:rsidP="000C3CAA">
      <w:pPr>
        <w:spacing w:after="0" w:line="240" w:lineRule="auto"/>
        <w:ind w:left="-5" w:right="6858"/>
        <w:rPr>
          <w:b/>
        </w:rPr>
      </w:pPr>
      <w:r w:rsidRPr="000C3CAA">
        <w:rPr>
          <w:b/>
        </w:rPr>
        <w:t>6.3 Čas použiteľnosti</w:t>
      </w:r>
    </w:p>
    <w:p w:rsidR="007E60A7" w:rsidRPr="005466C4" w:rsidRDefault="007E60A7" w:rsidP="000C3CAA">
      <w:pPr>
        <w:spacing w:after="0" w:line="240" w:lineRule="auto"/>
        <w:ind w:left="-5" w:right="6858"/>
      </w:pPr>
    </w:p>
    <w:p w:rsidR="00181EA3" w:rsidRPr="000C3CAA" w:rsidRDefault="00F43E0F" w:rsidP="000C3CAA">
      <w:pPr>
        <w:spacing w:after="0" w:line="240" w:lineRule="auto"/>
        <w:ind w:left="-5" w:right="6858"/>
      </w:pPr>
      <w:r w:rsidRPr="000C3CAA">
        <w:t>3</w:t>
      </w:r>
      <w:r w:rsidR="00181EA3" w:rsidRPr="000C3CAA">
        <w:t xml:space="preserve"> roky.</w:t>
      </w:r>
    </w:p>
    <w:p w:rsidR="00FB5C68" w:rsidRPr="005466C4" w:rsidRDefault="00FB5C68" w:rsidP="000C3CAA">
      <w:pPr>
        <w:tabs>
          <w:tab w:val="center" w:pos="2386"/>
        </w:tabs>
        <w:spacing w:after="0" w:line="240" w:lineRule="auto"/>
        <w:ind w:left="-15" w:right="0" w:firstLine="0"/>
        <w:rPr>
          <w:b/>
        </w:rPr>
      </w:pPr>
    </w:p>
    <w:p w:rsidR="00181EA3" w:rsidRPr="000C3CAA" w:rsidRDefault="00181EA3" w:rsidP="000C3CAA">
      <w:pPr>
        <w:tabs>
          <w:tab w:val="center" w:pos="2386"/>
        </w:tabs>
        <w:spacing w:after="0" w:line="240" w:lineRule="auto"/>
        <w:ind w:left="-15" w:right="0" w:firstLine="0"/>
      </w:pPr>
      <w:r w:rsidRPr="000C3CAA">
        <w:rPr>
          <w:b/>
        </w:rPr>
        <w:t>6.4</w:t>
      </w:r>
      <w:r w:rsidRPr="000C3CAA">
        <w:rPr>
          <w:b/>
        </w:rPr>
        <w:tab/>
        <w:t>Špeciálne upozornenia na uchovávanie</w:t>
      </w:r>
    </w:p>
    <w:p w:rsidR="007E60A7" w:rsidRPr="005466C4" w:rsidRDefault="007E60A7" w:rsidP="008D06A0">
      <w:pPr>
        <w:pStyle w:val="Nadpis3"/>
        <w:tabs>
          <w:tab w:val="center" w:pos="1864"/>
        </w:tabs>
        <w:spacing w:after="0" w:line="240" w:lineRule="auto"/>
        <w:ind w:left="-17" w:firstLine="0"/>
        <w:rPr>
          <w:b w:val="0"/>
        </w:rPr>
      </w:pPr>
    </w:p>
    <w:p w:rsidR="00C736AE" w:rsidRPr="000C3CAA" w:rsidRDefault="00C736AE" w:rsidP="008D06A0">
      <w:pPr>
        <w:pStyle w:val="Nadpis3"/>
        <w:tabs>
          <w:tab w:val="center" w:pos="1864"/>
        </w:tabs>
        <w:spacing w:after="0" w:line="240" w:lineRule="auto"/>
        <w:ind w:left="-17" w:firstLine="0"/>
        <w:rPr>
          <w:b w:val="0"/>
        </w:rPr>
      </w:pPr>
      <w:r w:rsidRPr="000C3CAA">
        <w:rPr>
          <w:b w:val="0"/>
        </w:rPr>
        <w:t>Uchovávajte pri teplote neprevyšujúcej 30 °C.</w:t>
      </w:r>
    </w:p>
    <w:p w:rsidR="00C736AE" w:rsidRPr="000C3CAA" w:rsidRDefault="00C736AE" w:rsidP="000F62FB">
      <w:pPr>
        <w:pStyle w:val="Nadpis3"/>
        <w:tabs>
          <w:tab w:val="center" w:pos="1864"/>
        </w:tabs>
        <w:spacing w:after="0" w:line="240" w:lineRule="auto"/>
        <w:ind w:left="-17" w:firstLine="0"/>
        <w:rPr>
          <w:b w:val="0"/>
        </w:rPr>
      </w:pPr>
      <w:r w:rsidRPr="000C3CAA">
        <w:rPr>
          <w:b w:val="0"/>
        </w:rPr>
        <w:t>Uchovávajte v pôvodnom obale na ochranu pred svetlom a vlhkosťou.</w:t>
      </w:r>
    </w:p>
    <w:p w:rsidR="00C736AE" w:rsidRPr="000C3CAA" w:rsidRDefault="00C736AE" w:rsidP="000C3CAA">
      <w:pPr>
        <w:pStyle w:val="Nadpis3"/>
        <w:tabs>
          <w:tab w:val="center" w:pos="1864"/>
        </w:tabs>
        <w:spacing w:after="0" w:line="240" w:lineRule="auto"/>
        <w:ind w:left="-15" w:firstLine="0"/>
        <w:rPr>
          <w:b w:val="0"/>
        </w:rPr>
      </w:pPr>
    </w:p>
    <w:p w:rsidR="00C736AE" w:rsidRPr="000C3CAA" w:rsidRDefault="00C736AE" w:rsidP="008D06A0">
      <w:pPr>
        <w:pStyle w:val="Nadpis3"/>
        <w:tabs>
          <w:tab w:val="center" w:pos="1864"/>
        </w:tabs>
        <w:spacing w:after="0" w:line="240" w:lineRule="auto"/>
        <w:ind w:left="-17" w:firstLine="0"/>
        <w:rPr>
          <w:b w:val="0"/>
          <w:highlight w:val="lightGray"/>
        </w:rPr>
      </w:pPr>
      <w:r w:rsidRPr="000C3CAA">
        <w:rPr>
          <w:b w:val="0"/>
          <w:highlight w:val="lightGray"/>
        </w:rPr>
        <w:t>Uchovávajte pri teplote neprevyšujúcej 30 °C.</w:t>
      </w:r>
    </w:p>
    <w:p w:rsidR="00F41928" w:rsidRPr="000C3CAA" w:rsidRDefault="00C736AE" w:rsidP="000F62FB">
      <w:pPr>
        <w:pStyle w:val="Nadpis3"/>
        <w:tabs>
          <w:tab w:val="center" w:pos="1864"/>
        </w:tabs>
        <w:spacing w:after="0" w:line="240" w:lineRule="auto"/>
        <w:ind w:left="-17" w:firstLine="0"/>
        <w:rPr>
          <w:b w:val="0"/>
        </w:rPr>
      </w:pPr>
      <w:r w:rsidRPr="000C3CAA">
        <w:rPr>
          <w:b w:val="0"/>
          <w:highlight w:val="lightGray"/>
        </w:rPr>
        <w:t>Uchovávajte v pôvodnom obale na ochranu pred vlhkosťou</w:t>
      </w:r>
      <w:r w:rsidRPr="005466C4">
        <w:rPr>
          <w:b w:val="0"/>
          <w:sz w:val="24"/>
          <w:szCs w:val="24"/>
          <w:highlight w:val="lightGray"/>
        </w:rPr>
        <w:t>.</w:t>
      </w:r>
    </w:p>
    <w:p w:rsidR="00C736AE" w:rsidRPr="005466C4" w:rsidRDefault="00C736AE" w:rsidP="000C3CAA">
      <w:pPr>
        <w:spacing w:after="0" w:line="240" w:lineRule="auto"/>
      </w:pPr>
    </w:p>
    <w:p w:rsidR="00181EA3" w:rsidRPr="000C3CAA" w:rsidRDefault="00181EA3" w:rsidP="000C3CAA">
      <w:pPr>
        <w:pStyle w:val="Nadpis3"/>
        <w:tabs>
          <w:tab w:val="center" w:pos="1864"/>
        </w:tabs>
        <w:spacing w:after="0" w:line="240" w:lineRule="auto"/>
        <w:ind w:left="-15" w:firstLine="0"/>
      </w:pPr>
      <w:r w:rsidRPr="000C3CAA">
        <w:t>6.5</w:t>
      </w:r>
      <w:r w:rsidRPr="000C3CAA">
        <w:tab/>
        <w:t xml:space="preserve">Druh obalu a obsah balenia </w:t>
      </w:r>
    </w:p>
    <w:p w:rsidR="007E60A7" w:rsidRPr="005466C4" w:rsidRDefault="007E60A7" w:rsidP="000C3CAA">
      <w:pPr>
        <w:spacing w:after="0" w:line="240" w:lineRule="auto"/>
        <w:ind w:left="-6" w:right="11" w:hanging="11"/>
      </w:pPr>
    </w:p>
    <w:p w:rsidR="00181EA3" w:rsidRPr="000C3CAA" w:rsidRDefault="00181EA3" w:rsidP="000C3CAA">
      <w:pPr>
        <w:spacing w:after="0" w:line="240" w:lineRule="auto"/>
        <w:ind w:left="-6" w:right="11" w:hanging="11"/>
      </w:pPr>
      <w:r w:rsidRPr="000C3CAA">
        <w:t>Polyetylénové fľaše s vysokou hustotou (HDPE)</w:t>
      </w:r>
      <w:r w:rsidR="009549CE">
        <w:t>,</w:t>
      </w:r>
      <w:r w:rsidRPr="000C3CAA">
        <w:t xml:space="preserve"> s detským bezpečnostným</w:t>
      </w:r>
      <w:r w:rsidR="00F43E0F" w:rsidRPr="000C3CAA">
        <w:t xml:space="preserve"> polypropylénovým (PP)</w:t>
      </w:r>
      <w:r w:rsidRPr="000C3CAA">
        <w:t xml:space="preserve"> uzáverom a s vysúšadlom obsahujúce</w:t>
      </w:r>
      <w:r w:rsidR="00F43E0F" w:rsidRPr="000C3CAA">
        <w:t xml:space="preserve"> 42 alebo</w:t>
      </w:r>
      <w:r w:rsidRPr="000C3CAA">
        <w:t xml:space="preserve"> 100 kapsúl.</w:t>
      </w:r>
    </w:p>
    <w:p w:rsidR="007E60A7" w:rsidRPr="005466C4" w:rsidRDefault="007E60A7" w:rsidP="008D06A0">
      <w:pPr>
        <w:spacing w:after="0" w:line="240" w:lineRule="auto"/>
        <w:ind w:left="-5" w:right="274"/>
      </w:pPr>
    </w:p>
    <w:p w:rsidR="00F43E0F" w:rsidRPr="000C3CAA" w:rsidRDefault="00F43E0F" w:rsidP="008D06A0">
      <w:pPr>
        <w:spacing w:after="0" w:line="240" w:lineRule="auto"/>
        <w:ind w:left="-5" w:right="274"/>
      </w:pPr>
      <w:r w:rsidRPr="000C3CAA">
        <w:t>Na trh nemusia byť uvedené všetky veľkosti balenia.</w:t>
      </w:r>
    </w:p>
    <w:p w:rsidR="00F43E0F" w:rsidRPr="000C3CAA" w:rsidRDefault="00F43E0F" w:rsidP="000C3CAA">
      <w:pPr>
        <w:spacing w:after="0" w:line="240" w:lineRule="auto"/>
        <w:ind w:left="-5" w:right="12"/>
      </w:pPr>
    </w:p>
    <w:p w:rsidR="00F43E0F" w:rsidRPr="005466C4" w:rsidRDefault="00F43E0F" w:rsidP="000C3CAA">
      <w:pPr>
        <w:spacing w:after="0" w:line="240" w:lineRule="auto"/>
        <w:ind w:left="-5" w:right="12"/>
      </w:pPr>
      <w:r w:rsidRPr="000C3CAA">
        <w:rPr>
          <w:highlight w:val="lightGray"/>
        </w:rPr>
        <w:t>Polyetylénové fľaše s vysokou hustotou (HDPE)</w:t>
      </w:r>
      <w:r w:rsidR="009549CE">
        <w:rPr>
          <w:highlight w:val="lightGray"/>
        </w:rPr>
        <w:t>,</w:t>
      </w:r>
      <w:r w:rsidRPr="000C3CAA">
        <w:rPr>
          <w:highlight w:val="lightGray"/>
        </w:rPr>
        <w:t xml:space="preserve"> s detským bezpečnostným polypropylénovým (PP) uzáverom a s vysúšadlom obsahujúce 100 kapsúl.</w:t>
      </w:r>
    </w:p>
    <w:p w:rsidR="008D06A0" w:rsidRPr="000C3CAA" w:rsidRDefault="008D06A0" w:rsidP="000C3CAA">
      <w:pPr>
        <w:spacing w:after="0" w:line="240" w:lineRule="auto"/>
        <w:ind w:left="-5" w:right="12"/>
      </w:pPr>
    </w:p>
    <w:p w:rsidR="006C55D5" w:rsidRPr="005466C4" w:rsidRDefault="00181EA3" w:rsidP="000C3CAA">
      <w:pPr>
        <w:spacing w:after="0" w:line="240" w:lineRule="auto"/>
        <w:ind w:left="-5" w:right="4771"/>
        <w:rPr>
          <w:b/>
        </w:rPr>
      </w:pPr>
      <w:r w:rsidRPr="000C3CAA">
        <w:rPr>
          <w:b/>
        </w:rPr>
        <w:t>6.6</w:t>
      </w:r>
      <w:r w:rsidRPr="000C3CAA">
        <w:rPr>
          <w:b/>
        </w:rPr>
        <w:tab/>
        <w:t xml:space="preserve">Špeciálne opatrenia na likvidáciu </w:t>
      </w:r>
    </w:p>
    <w:p w:rsidR="006C55D5" w:rsidRPr="005466C4" w:rsidRDefault="006C55D5" w:rsidP="000C3CAA">
      <w:pPr>
        <w:spacing w:after="0" w:line="240" w:lineRule="auto"/>
        <w:ind w:left="-5" w:right="4771"/>
        <w:rPr>
          <w:b/>
        </w:rPr>
      </w:pPr>
    </w:p>
    <w:p w:rsidR="00181EA3" w:rsidRPr="005466C4" w:rsidRDefault="00181EA3" w:rsidP="000C3CAA">
      <w:pPr>
        <w:spacing w:after="0" w:line="240" w:lineRule="auto"/>
        <w:ind w:left="-5" w:right="4771"/>
      </w:pPr>
      <w:r w:rsidRPr="000C3CAA">
        <w:t>Žiadne zvláštne požiadavky.</w:t>
      </w:r>
    </w:p>
    <w:p w:rsidR="008D06A0" w:rsidRPr="005466C4" w:rsidRDefault="008D06A0" w:rsidP="000C3CAA">
      <w:pPr>
        <w:spacing w:after="0" w:line="240" w:lineRule="auto"/>
        <w:ind w:left="-5" w:right="4771"/>
      </w:pPr>
    </w:p>
    <w:p w:rsidR="008D06A0" w:rsidRPr="000C3CAA" w:rsidRDefault="008D06A0" w:rsidP="000C3CAA">
      <w:pPr>
        <w:spacing w:after="0" w:line="240" w:lineRule="auto"/>
        <w:ind w:left="-5" w:right="4771"/>
      </w:pPr>
    </w:p>
    <w:p w:rsidR="00181EA3" w:rsidRPr="005466C4" w:rsidRDefault="00181EA3" w:rsidP="000C3CAA">
      <w:pPr>
        <w:pStyle w:val="Nadpis1"/>
        <w:tabs>
          <w:tab w:val="center" w:pos="2812"/>
        </w:tabs>
        <w:spacing w:after="0" w:line="240" w:lineRule="auto"/>
        <w:ind w:left="-15" w:firstLine="0"/>
      </w:pPr>
      <w:r w:rsidRPr="000C3CAA">
        <w:lastRenderedPageBreak/>
        <w:t>7.</w:t>
      </w:r>
      <w:r w:rsidRPr="000C3CAA">
        <w:tab/>
        <w:t>DRŽITEĽ ROZHODNUTIA O</w:t>
      </w:r>
      <w:r w:rsidR="006C55D5" w:rsidRPr="005466C4">
        <w:t> </w:t>
      </w:r>
      <w:r w:rsidRPr="000C3CAA">
        <w:t>REGISTRÁCII</w:t>
      </w:r>
    </w:p>
    <w:p w:rsidR="006C55D5" w:rsidRPr="000C3CAA" w:rsidRDefault="006C55D5" w:rsidP="000C3CAA"/>
    <w:p w:rsidR="00541570" w:rsidRPr="000C3CAA" w:rsidRDefault="00541570" w:rsidP="000C3CAA">
      <w:pPr>
        <w:spacing w:after="0" w:line="240" w:lineRule="auto"/>
      </w:pPr>
      <w:r w:rsidRPr="000C3CAA">
        <w:t>Vipharm S.A.</w:t>
      </w:r>
    </w:p>
    <w:p w:rsidR="00541570" w:rsidRPr="000C3CAA" w:rsidRDefault="00541570" w:rsidP="000C3CAA">
      <w:pPr>
        <w:spacing w:after="0" w:line="240" w:lineRule="auto"/>
        <w:rPr>
          <w:rStyle w:val="apple-converted-space"/>
          <w:shd w:val="clear" w:color="auto" w:fill="FFFFFF"/>
        </w:rPr>
      </w:pPr>
      <w:r w:rsidRPr="000C3CAA">
        <w:rPr>
          <w:bCs/>
          <w:shd w:val="clear" w:color="auto" w:fill="FFFFFF"/>
        </w:rPr>
        <w:t>ul. A. i F. Radziwiłłów 9</w:t>
      </w:r>
      <w:r w:rsidRPr="000C3CAA">
        <w:rPr>
          <w:rStyle w:val="apple-converted-space"/>
          <w:bCs/>
          <w:shd w:val="clear" w:color="auto" w:fill="FFFFFF"/>
        </w:rPr>
        <w:t> </w:t>
      </w:r>
      <w:r w:rsidRPr="000C3CAA">
        <w:rPr>
          <w:bCs/>
          <w:shd w:val="clear" w:color="auto" w:fill="FFFFFF"/>
        </w:rPr>
        <w:br/>
        <w:t>05-850 Ożarów Mazowiecki</w:t>
      </w:r>
      <w:r w:rsidRPr="000C3CAA">
        <w:rPr>
          <w:rStyle w:val="apple-converted-space"/>
          <w:shd w:val="clear" w:color="auto" w:fill="FFFFFF"/>
        </w:rPr>
        <w:t> </w:t>
      </w:r>
    </w:p>
    <w:p w:rsidR="00541570" w:rsidRPr="000C3CAA" w:rsidRDefault="00541570" w:rsidP="000C3CAA">
      <w:pPr>
        <w:spacing w:after="0" w:line="240" w:lineRule="auto"/>
        <w:rPr>
          <w:rStyle w:val="apple-converted-space"/>
          <w:shd w:val="clear" w:color="auto" w:fill="FFFFFF"/>
        </w:rPr>
      </w:pPr>
      <w:r w:rsidRPr="000C3CAA">
        <w:rPr>
          <w:rStyle w:val="apple-converted-space"/>
          <w:shd w:val="clear" w:color="auto" w:fill="FFFFFF"/>
        </w:rPr>
        <w:t>Poľsko</w:t>
      </w:r>
    </w:p>
    <w:p w:rsidR="00541570" w:rsidRPr="005466C4" w:rsidRDefault="00541570" w:rsidP="000C3CAA">
      <w:pPr>
        <w:spacing w:after="0" w:line="240" w:lineRule="auto"/>
        <w:rPr>
          <w:rStyle w:val="apple-converted-space"/>
          <w:shd w:val="clear" w:color="auto" w:fill="FFFFFF"/>
        </w:rPr>
      </w:pPr>
    </w:p>
    <w:p w:rsidR="008D06A0" w:rsidRPr="000C3CAA" w:rsidRDefault="008D06A0" w:rsidP="000C3CAA">
      <w:pPr>
        <w:spacing w:after="0" w:line="240" w:lineRule="auto"/>
        <w:rPr>
          <w:rStyle w:val="apple-converted-space"/>
          <w:shd w:val="clear" w:color="auto" w:fill="FFFFFF"/>
        </w:rPr>
      </w:pPr>
    </w:p>
    <w:p w:rsidR="00181EA3" w:rsidRPr="000C3CAA" w:rsidRDefault="00181EA3" w:rsidP="000C3CAA">
      <w:pPr>
        <w:tabs>
          <w:tab w:val="center" w:pos="1744"/>
        </w:tabs>
        <w:spacing w:after="0" w:line="240" w:lineRule="auto"/>
        <w:ind w:left="-15" w:right="0" w:firstLine="0"/>
      </w:pPr>
      <w:r w:rsidRPr="000C3CAA">
        <w:rPr>
          <w:b/>
        </w:rPr>
        <w:t>8.</w:t>
      </w:r>
      <w:r w:rsidRPr="000C3CAA">
        <w:rPr>
          <w:b/>
        </w:rPr>
        <w:tab/>
        <w:t xml:space="preserve">REGISTRAČNÉ ČÍSLO </w:t>
      </w:r>
    </w:p>
    <w:p w:rsidR="00181EA3" w:rsidRDefault="00181EA3" w:rsidP="000C3CAA">
      <w:pPr>
        <w:spacing w:after="0" w:line="240" w:lineRule="auto"/>
        <w:ind w:left="-5" w:right="12"/>
      </w:pPr>
    </w:p>
    <w:p w:rsidR="004E562F" w:rsidRDefault="004E562F" w:rsidP="000C3CAA">
      <w:pPr>
        <w:spacing w:after="0" w:line="240" w:lineRule="auto"/>
        <w:ind w:left="-5" w:right="12"/>
      </w:pPr>
      <w:proofErr w:type="spellStart"/>
      <w:r>
        <w:t>Anagrelide</w:t>
      </w:r>
      <w:proofErr w:type="spellEnd"/>
      <w:r>
        <w:t xml:space="preserve"> </w:t>
      </w:r>
      <w:proofErr w:type="spellStart"/>
      <w:r>
        <w:t>Vipharm</w:t>
      </w:r>
      <w:proofErr w:type="spellEnd"/>
      <w:r>
        <w:t xml:space="preserve"> 0,5</w:t>
      </w:r>
      <w:r w:rsidRPr="004E562F">
        <w:t xml:space="preserve"> mg</w:t>
      </w:r>
      <w:r>
        <w:t xml:space="preserve">: </w:t>
      </w:r>
      <w:r w:rsidRPr="004E562F">
        <w:t>44/0019/18-S</w:t>
      </w:r>
    </w:p>
    <w:p w:rsidR="004E562F" w:rsidRPr="005466C4" w:rsidRDefault="004E562F" w:rsidP="000C3CAA">
      <w:pPr>
        <w:spacing w:after="0" w:line="240" w:lineRule="auto"/>
        <w:ind w:left="-5" w:right="12"/>
      </w:pPr>
      <w:proofErr w:type="spellStart"/>
      <w:r w:rsidRPr="004E562F">
        <w:t>Anagrelide</w:t>
      </w:r>
      <w:proofErr w:type="spellEnd"/>
      <w:r w:rsidRPr="004E562F">
        <w:t xml:space="preserve"> </w:t>
      </w:r>
      <w:proofErr w:type="spellStart"/>
      <w:r w:rsidRPr="004E562F">
        <w:t>Vipharm</w:t>
      </w:r>
      <w:proofErr w:type="spellEnd"/>
      <w:r w:rsidRPr="004E562F">
        <w:t xml:space="preserve"> 1 mg</w:t>
      </w:r>
      <w:r>
        <w:t xml:space="preserve">: </w:t>
      </w:r>
      <w:r w:rsidRPr="004E562F">
        <w:t>44/0020/18-S</w:t>
      </w:r>
    </w:p>
    <w:p w:rsidR="008D06A0" w:rsidRPr="005466C4" w:rsidRDefault="008D06A0" w:rsidP="000C3CAA">
      <w:pPr>
        <w:spacing w:after="0" w:line="240" w:lineRule="auto"/>
        <w:ind w:left="-5" w:right="12"/>
      </w:pPr>
    </w:p>
    <w:p w:rsidR="00181EA3" w:rsidRPr="000C3CAA" w:rsidRDefault="00181EA3" w:rsidP="000C3CAA">
      <w:pPr>
        <w:pStyle w:val="Nadpis1"/>
        <w:tabs>
          <w:tab w:val="center" w:pos="3710"/>
        </w:tabs>
        <w:spacing w:after="0" w:line="240" w:lineRule="auto"/>
        <w:ind w:left="-15" w:firstLine="0"/>
      </w:pPr>
      <w:r w:rsidRPr="000C3CAA">
        <w:t>9.</w:t>
      </w:r>
      <w:r w:rsidRPr="000C3CAA">
        <w:tab/>
        <w:t>DÁTUM PRVEJ REGISTRÁCIE/PREDĹŽENIA REGISTRÁCIE</w:t>
      </w:r>
    </w:p>
    <w:p w:rsidR="00541570" w:rsidRPr="005466C4" w:rsidRDefault="00541570" w:rsidP="000C3CAA">
      <w:pPr>
        <w:spacing w:after="0" w:line="240" w:lineRule="auto"/>
      </w:pPr>
    </w:p>
    <w:p w:rsidR="008D06A0" w:rsidRPr="005466C4" w:rsidRDefault="008D06A0" w:rsidP="000C3CAA">
      <w:pPr>
        <w:spacing w:after="0" w:line="240" w:lineRule="auto"/>
      </w:pPr>
    </w:p>
    <w:p w:rsidR="00181EA3" w:rsidRPr="000C3CAA" w:rsidRDefault="00181EA3" w:rsidP="000C3CAA">
      <w:pPr>
        <w:pStyle w:val="Nadpis1"/>
        <w:tabs>
          <w:tab w:val="center" w:pos="1881"/>
        </w:tabs>
        <w:spacing w:after="0" w:line="240" w:lineRule="auto"/>
        <w:ind w:left="-15" w:firstLine="0"/>
      </w:pPr>
      <w:r w:rsidRPr="000C3CAA">
        <w:t>10.</w:t>
      </w:r>
      <w:r w:rsidRPr="000C3CAA">
        <w:tab/>
        <w:t>DÁTUM REVÍZIE TEXTU</w:t>
      </w:r>
    </w:p>
    <w:p w:rsidR="006C55D5" w:rsidRPr="005466C4" w:rsidRDefault="006C55D5" w:rsidP="000C3CAA">
      <w:pPr>
        <w:spacing w:after="0" w:line="240" w:lineRule="auto"/>
        <w:ind w:left="-5" w:right="225"/>
      </w:pPr>
    </w:p>
    <w:p w:rsidR="006C55D5" w:rsidRPr="005466C4" w:rsidRDefault="004E562F" w:rsidP="000C3CAA">
      <w:pPr>
        <w:spacing w:after="0" w:line="240" w:lineRule="auto"/>
        <w:ind w:left="-5" w:right="225"/>
      </w:pPr>
      <w:r>
        <w:t>01</w:t>
      </w:r>
      <w:r w:rsidR="00711A05" w:rsidRPr="005466C4">
        <w:t>/201</w:t>
      </w:r>
      <w:r>
        <w:t>8</w:t>
      </w:r>
    </w:p>
    <w:p w:rsidR="006C55D5" w:rsidRPr="005466C4" w:rsidRDefault="006C55D5" w:rsidP="000C3CAA">
      <w:pPr>
        <w:spacing w:after="0" w:line="240" w:lineRule="auto"/>
        <w:ind w:left="-5" w:right="225"/>
      </w:pPr>
    </w:p>
    <w:p w:rsidR="009B55B5" w:rsidRPr="000C3CAA" w:rsidRDefault="009B55B5" w:rsidP="000C3CAA">
      <w:pPr>
        <w:spacing w:after="0" w:line="240" w:lineRule="auto"/>
        <w:ind w:left="-5" w:right="225"/>
      </w:pPr>
    </w:p>
    <w:sectPr w:rsidR="009B55B5" w:rsidRPr="000C3CAA" w:rsidSect="004E562F">
      <w:headerReference w:type="default" r:id="rId7"/>
      <w:footerReference w:type="default" r:id="rId8"/>
      <w:headerReference w:type="firs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820" w:rsidRDefault="00D33820" w:rsidP="008D06A0">
      <w:pPr>
        <w:spacing w:after="0" w:line="240" w:lineRule="auto"/>
      </w:pPr>
      <w:r>
        <w:separator/>
      </w:r>
    </w:p>
  </w:endnote>
  <w:endnote w:type="continuationSeparator" w:id="0">
    <w:p w:rsidR="00D33820" w:rsidRDefault="00D33820" w:rsidP="008D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6073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E562F" w:rsidRPr="004E562F" w:rsidRDefault="004E562F">
        <w:pPr>
          <w:pStyle w:val="Pta"/>
          <w:jc w:val="center"/>
          <w:rPr>
            <w:sz w:val="18"/>
            <w:szCs w:val="18"/>
          </w:rPr>
        </w:pPr>
        <w:r w:rsidRPr="004E562F">
          <w:rPr>
            <w:sz w:val="18"/>
            <w:szCs w:val="18"/>
          </w:rPr>
          <w:fldChar w:fldCharType="begin"/>
        </w:r>
        <w:r w:rsidRPr="004E562F">
          <w:rPr>
            <w:sz w:val="18"/>
            <w:szCs w:val="18"/>
          </w:rPr>
          <w:instrText>PAGE   \* MERGEFORMAT</w:instrText>
        </w:r>
        <w:r w:rsidRPr="004E562F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12</w:t>
        </w:r>
        <w:r w:rsidRPr="004E562F">
          <w:rPr>
            <w:sz w:val="18"/>
            <w:szCs w:val="18"/>
          </w:rPr>
          <w:fldChar w:fldCharType="end"/>
        </w:r>
      </w:p>
    </w:sdtContent>
  </w:sdt>
  <w:p w:rsidR="004E562F" w:rsidRDefault="004E562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820" w:rsidRDefault="00D33820" w:rsidP="008D06A0">
      <w:pPr>
        <w:spacing w:after="0" w:line="240" w:lineRule="auto"/>
      </w:pPr>
      <w:r>
        <w:separator/>
      </w:r>
    </w:p>
  </w:footnote>
  <w:footnote w:type="continuationSeparator" w:id="0">
    <w:p w:rsidR="00D33820" w:rsidRDefault="00D33820" w:rsidP="008D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62F" w:rsidRPr="008D06A0" w:rsidRDefault="004E562F" w:rsidP="004E562F">
    <w:pPr>
      <w:tabs>
        <w:tab w:val="left" w:pos="567"/>
        <w:tab w:val="center" w:pos="4153"/>
        <w:tab w:val="right" w:pos="8306"/>
      </w:tabs>
      <w:spacing w:after="0" w:line="240" w:lineRule="auto"/>
      <w:ind w:left="0" w:right="0" w:firstLine="0"/>
      <w:rPr>
        <w:color w:val="auto"/>
        <w:sz w:val="18"/>
        <w:szCs w:val="18"/>
        <w:lang w:eastAsia="en-US"/>
      </w:rPr>
    </w:pPr>
    <w:r w:rsidRPr="008D06A0">
      <w:rPr>
        <w:color w:val="auto"/>
        <w:sz w:val="18"/>
        <w:szCs w:val="18"/>
        <w:lang w:eastAsia="en-US"/>
      </w:rPr>
      <w:t>Schválený text k rozhodnutiu o</w:t>
    </w:r>
    <w:r>
      <w:rPr>
        <w:color w:val="auto"/>
        <w:sz w:val="18"/>
        <w:szCs w:val="18"/>
        <w:lang w:eastAsia="en-US"/>
      </w:rPr>
      <w:t> registrácii, ev. č.: 2016/06467</w:t>
    </w:r>
    <w:r w:rsidRPr="008D06A0">
      <w:rPr>
        <w:color w:val="auto"/>
        <w:sz w:val="18"/>
        <w:szCs w:val="18"/>
        <w:lang w:eastAsia="en-US"/>
      </w:rPr>
      <w:t xml:space="preserve">-REG, </w:t>
    </w:r>
    <w:r>
      <w:rPr>
        <w:color w:val="auto"/>
        <w:sz w:val="18"/>
        <w:szCs w:val="18"/>
        <w:lang w:eastAsia="en-US"/>
      </w:rPr>
      <w:t>2016/06468</w:t>
    </w:r>
    <w:r w:rsidRPr="008D06A0">
      <w:rPr>
        <w:color w:val="auto"/>
        <w:sz w:val="18"/>
        <w:szCs w:val="18"/>
        <w:lang w:eastAsia="en-US"/>
      </w:rPr>
      <w:t>-REG</w:t>
    </w:r>
  </w:p>
  <w:p w:rsidR="004E562F" w:rsidRDefault="004E562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ADD" w:rsidRPr="008D06A0" w:rsidRDefault="00132ADD" w:rsidP="008D06A0">
    <w:pPr>
      <w:tabs>
        <w:tab w:val="left" w:pos="567"/>
        <w:tab w:val="center" w:pos="4153"/>
        <w:tab w:val="right" w:pos="8306"/>
      </w:tabs>
      <w:spacing w:after="0" w:line="240" w:lineRule="auto"/>
      <w:ind w:left="0" w:right="0" w:firstLine="0"/>
      <w:rPr>
        <w:color w:val="auto"/>
        <w:sz w:val="18"/>
        <w:szCs w:val="18"/>
        <w:lang w:eastAsia="en-US"/>
      </w:rPr>
    </w:pPr>
    <w:r w:rsidRPr="008D06A0">
      <w:rPr>
        <w:color w:val="auto"/>
        <w:sz w:val="18"/>
        <w:szCs w:val="18"/>
        <w:lang w:eastAsia="en-US"/>
      </w:rPr>
      <w:t>Schválený text k rozhodnutiu o</w:t>
    </w:r>
    <w:r>
      <w:rPr>
        <w:color w:val="auto"/>
        <w:sz w:val="18"/>
        <w:szCs w:val="18"/>
        <w:lang w:eastAsia="en-US"/>
      </w:rPr>
      <w:t> registrácii, ev. č.: 2016/06467</w:t>
    </w:r>
    <w:r w:rsidRPr="008D06A0">
      <w:rPr>
        <w:color w:val="auto"/>
        <w:sz w:val="18"/>
        <w:szCs w:val="18"/>
        <w:lang w:eastAsia="en-US"/>
      </w:rPr>
      <w:t xml:space="preserve">-REG, </w:t>
    </w:r>
    <w:r>
      <w:rPr>
        <w:color w:val="auto"/>
        <w:sz w:val="18"/>
        <w:szCs w:val="18"/>
        <w:lang w:eastAsia="en-US"/>
      </w:rPr>
      <w:t>2016/06468</w:t>
    </w:r>
    <w:r w:rsidRPr="008D06A0">
      <w:rPr>
        <w:color w:val="auto"/>
        <w:sz w:val="18"/>
        <w:szCs w:val="18"/>
        <w:lang w:eastAsia="en-US"/>
      </w:rPr>
      <w:t>-REG</w:t>
    </w:r>
  </w:p>
  <w:p w:rsidR="00132ADD" w:rsidRDefault="00132AD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386"/>
    <w:multiLevelType w:val="hybridMultilevel"/>
    <w:tmpl w:val="2A4E7AD4"/>
    <w:lvl w:ilvl="0" w:tplc="8EA6F2C0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0651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2E38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A45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885D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C8E8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F220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2050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86EA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171BF3"/>
    <w:multiLevelType w:val="hybridMultilevel"/>
    <w:tmpl w:val="F8CA2070"/>
    <w:lvl w:ilvl="0" w:tplc="E472807A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E7F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AAA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70C0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8BB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5A8E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C6A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AA7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408D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B32F16"/>
    <w:multiLevelType w:val="hybridMultilevel"/>
    <w:tmpl w:val="3E70C416"/>
    <w:lvl w:ilvl="0" w:tplc="34040B1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18344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ACE8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028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C0A4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8C1D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EA1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6A2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AE0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75119E"/>
    <w:multiLevelType w:val="hybridMultilevel"/>
    <w:tmpl w:val="5E40282E"/>
    <w:lvl w:ilvl="0" w:tplc="243C577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03D6F"/>
    <w:multiLevelType w:val="hybridMultilevel"/>
    <w:tmpl w:val="194856C0"/>
    <w:lvl w:ilvl="0" w:tplc="8000F0DE">
      <w:start w:val="21"/>
      <w:numFmt w:val="upperLetter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C50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420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29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6E0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3EF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C56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667B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18A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FB56E6"/>
    <w:multiLevelType w:val="hybridMultilevel"/>
    <w:tmpl w:val="E7740AEC"/>
    <w:lvl w:ilvl="0" w:tplc="5D18DA8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FCD1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AB0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C44A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462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6A54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43B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29D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A0CA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A3"/>
    <w:rsid w:val="000123F6"/>
    <w:rsid w:val="00055FCD"/>
    <w:rsid w:val="000A0DB0"/>
    <w:rsid w:val="000C21DC"/>
    <w:rsid w:val="000C3CAA"/>
    <w:rsid w:val="000F2E24"/>
    <w:rsid w:val="000F62FB"/>
    <w:rsid w:val="00102840"/>
    <w:rsid w:val="0011505E"/>
    <w:rsid w:val="001329B6"/>
    <w:rsid w:val="00132ADD"/>
    <w:rsid w:val="00153EE3"/>
    <w:rsid w:val="001667BC"/>
    <w:rsid w:val="00176A10"/>
    <w:rsid w:val="00181EA3"/>
    <w:rsid w:val="00195C97"/>
    <w:rsid w:val="001E5EE8"/>
    <w:rsid w:val="001E78DA"/>
    <w:rsid w:val="0023762E"/>
    <w:rsid w:val="0027735F"/>
    <w:rsid w:val="002C30DE"/>
    <w:rsid w:val="002F46C0"/>
    <w:rsid w:val="003227F1"/>
    <w:rsid w:val="00365426"/>
    <w:rsid w:val="003666DB"/>
    <w:rsid w:val="0037639D"/>
    <w:rsid w:val="003976BA"/>
    <w:rsid w:val="003A0D58"/>
    <w:rsid w:val="003B6E18"/>
    <w:rsid w:val="00401F51"/>
    <w:rsid w:val="00416BE1"/>
    <w:rsid w:val="00447176"/>
    <w:rsid w:val="00457C4C"/>
    <w:rsid w:val="00461DE1"/>
    <w:rsid w:val="0046342A"/>
    <w:rsid w:val="00467151"/>
    <w:rsid w:val="00494ACF"/>
    <w:rsid w:val="004B00FA"/>
    <w:rsid w:val="004B65C0"/>
    <w:rsid w:val="004C1155"/>
    <w:rsid w:val="004C58E1"/>
    <w:rsid w:val="004E562F"/>
    <w:rsid w:val="004F4AB3"/>
    <w:rsid w:val="00501BC6"/>
    <w:rsid w:val="005275B4"/>
    <w:rsid w:val="00541570"/>
    <w:rsid w:val="005466C4"/>
    <w:rsid w:val="00561C60"/>
    <w:rsid w:val="005D6DDA"/>
    <w:rsid w:val="0068705C"/>
    <w:rsid w:val="006C55D5"/>
    <w:rsid w:val="00711A05"/>
    <w:rsid w:val="007370E2"/>
    <w:rsid w:val="007426F2"/>
    <w:rsid w:val="00753652"/>
    <w:rsid w:val="0075744F"/>
    <w:rsid w:val="007E60A7"/>
    <w:rsid w:val="00801700"/>
    <w:rsid w:val="00836289"/>
    <w:rsid w:val="00887C16"/>
    <w:rsid w:val="00895B90"/>
    <w:rsid w:val="008A08B0"/>
    <w:rsid w:val="008C1153"/>
    <w:rsid w:val="008D06A0"/>
    <w:rsid w:val="009023B8"/>
    <w:rsid w:val="00951702"/>
    <w:rsid w:val="009549CE"/>
    <w:rsid w:val="00977128"/>
    <w:rsid w:val="00983781"/>
    <w:rsid w:val="00993005"/>
    <w:rsid w:val="0099580F"/>
    <w:rsid w:val="009B55B5"/>
    <w:rsid w:val="009F37A1"/>
    <w:rsid w:val="009F6049"/>
    <w:rsid w:val="00A13414"/>
    <w:rsid w:val="00A134E4"/>
    <w:rsid w:val="00A4008B"/>
    <w:rsid w:val="00A46AB4"/>
    <w:rsid w:val="00A503C5"/>
    <w:rsid w:val="00AC1277"/>
    <w:rsid w:val="00AD74BD"/>
    <w:rsid w:val="00AE67D3"/>
    <w:rsid w:val="00AF6065"/>
    <w:rsid w:val="00B15CB6"/>
    <w:rsid w:val="00B21BC3"/>
    <w:rsid w:val="00B52A67"/>
    <w:rsid w:val="00BE527D"/>
    <w:rsid w:val="00BE5AC6"/>
    <w:rsid w:val="00C03A94"/>
    <w:rsid w:val="00C24AEE"/>
    <w:rsid w:val="00C31E6C"/>
    <w:rsid w:val="00C61D20"/>
    <w:rsid w:val="00C736AE"/>
    <w:rsid w:val="00C759BE"/>
    <w:rsid w:val="00C92A01"/>
    <w:rsid w:val="00C93D14"/>
    <w:rsid w:val="00CC2E76"/>
    <w:rsid w:val="00CD3E04"/>
    <w:rsid w:val="00CD6674"/>
    <w:rsid w:val="00CE55FF"/>
    <w:rsid w:val="00D1066E"/>
    <w:rsid w:val="00D27597"/>
    <w:rsid w:val="00D33820"/>
    <w:rsid w:val="00D34FAC"/>
    <w:rsid w:val="00D47ADF"/>
    <w:rsid w:val="00D524F8"/>
    <w:rsid w:val="00D57E0B"/>
    <w:rsid w:val="00D601D5"/>
    <w:rsid w:val="00DA4581"/>
    <w:rsid w:val="00E029AF"/>
    <w:rsid w:val="00E652C3"/>
    <w:rsid w:val="00E905F8"/>
    <w:rsid w:val="00E96EE2"/>
    <w:rsid w:val="00EA03A6"/>
    <w:rsid w:val="00EB5B9D"/>
    <w:rsid w:val="00EE09F8"/>
    <w:rsid w:val="00F307D6"/>
    <w:rsid w:val="00F41928"/>
    <w:rsid w:val="00F4207F"/>
    <w:rsid w:val="00F43E0F"/>
    <w:rsid w:val="00F56244"/>
    <w:rsid w:val="00F851E7"/>
    <w:rsid w:val="00FB5C68"/>
    <w:rsid w:val="00F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59C03-2729-4E1E-B54F-2B928818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1EA3"/>
    <w:pPr>
      <w:spacing w:after="5" w:line="261" w:lineRule="auto"/>
      <w:ind w:left="10" w:right="132" w:hanging="10"/>
    </w:pPr>
    <w:rPr>
      <w:rFonts w:ascii="Times New Roman" w:eastAsia="Times New Roman" w:hAnsi="Times New Roman" w:cs="Times New Roman"/>
      <w:color w:val="000000"/>
      <w:lang w:val="sk-SK"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181EA3"/>
    <w:pPr>
      <w:keepNext/>
      <w:keepLines/>
      <w:spacing w:after="273" w:line="24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val="sk-SK" w:eastAsia="sk-SK"/>
    </w:rPr>
  </w:style>
  <w:style w:type="paragraph" w:styleId="Nadpis2">
    <w:name w:val="heading 2"/>
    <w:next w:val="Normlny"/>
    <w:link w:val="Nadpis2Char"/>
    <w:uiPriority w:val="9"/>
    <w:unhideWhenUsed/>
    <w:qFormat/>
    <w:rsid w:val="00181EA3"/>
    <w:pPr>
      <w:keepNext/>
      <w:keepLines/>
      <w:spacing w:after="4"/>
      <w:ind w:left="10" w:hanging="10"/>
      <w:outlineLvl w:val="1"/>
    </w:pPr>
    <w:rPr>
      <w:rFonts w:ascii="Times New Roman" w:eastAsia="Times New Roman" w:hAnsi="Times New Roman" w:cs="Times New Roman"/>
      <w:color w:val="000000"/>
      <w:u w:val="single" w:color="000000"/>
      <w:lang w:val="sk-SK" w:eastAsia="sk-SK"/>
    </w:rPr>
  </w:style>
  <w:style w:type="paragraph" w:styleId="Nadpis3">
    <w:name w:val="heading 3"/>
    <w:next w:val="Normlny"/>
    <w:link w:val="Nadpis3Char"/>
    <w:uiPriority w:val="9"/>
    <w:unhideWhenUsed/>
    <w:qFormat/>
    <w:rsid w:val="00181EA3"/>
    <w:pPr>
      <w:keepNext/>
      <w:keepLines/>
      <w:spacing w:after="273" w:line="248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1EA3"/>
    <w:rPr>
      <w:rFonts w:ascii="Times New Roman" w:eastAsia="Times New Roman" w:hAnsi="Times New Roman" w:cs="Times New Roman"/>
      <w:b/>
      <w:color w:val="000000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81EA3"/>
    <w:rPr>
      <w:rFonts w:ascii="Times New Roman" w:eastAsia="Times New Roman" w:hAnsi="Times New Roman" w:cs="Times New Roman"/>
      <w:color w:val="000000"/>
      <w:u w:val="single" w:color="00000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81EA3"/>
    <w:rPr>
      <w:rFonts w:ascii="Times New Roman" w:eastAsia="Times New Roman" w:hAnsi="Times New Roman" w:cs="Times New Roman"/>
      <w:b/>
      <w:color w:val="000000"/>
      <w:lang w:val="sk-SK" w:eastAsia="sk-SK"/>
    </w:rPr>
  </w:style>
  <w:style w:type="table" w:customStyle="1" w:styleId="TableGrid">
    <w:name w:val="TableGrid"/>
    <w:rsid w:val="00181EA3"/>
    <w:pPr>
      <w:spacing w:after="0" w:line="240" w:lineRule="auto"/>
    </w:pPr>
    <w:rPr>
      <w:rFonts w:eastAsiaTheme="minorEastAsia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541570"/>
  </w:style>
  <w:style w:type="paragraph" w:styleId="Textbubliny">
    <w:name w:val="Balloon Text"/>
    <w:basedOn w:val="Normlny"/>
    <w:link w:val="TextbublinyChar"/>
    <w:uiPriority w:val="99"/>
    <w:semiHidden/>
    <w:unhideWhenUsed/>
    <w:rsid w:val="0099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3005"/>
    <w:rPr>
      <w:rFonts w:ascii="Segoe UI" w:eastAsia="Times New Roman" w:hAnsi="Segoe UI" w:cs="Segoe UI"/>
      <w:color w:val="000000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D0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06A0"/>
    <w:rPr>
      <w:rFonts w:ascii="Times New Roman" w:eastAsia="Times New Roman" w:hAnsi="Times New Roman" w:cs="Times New Roman"/>
      <w:color w:val="0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8D0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06A0"/>
    <w:rPr>
      <w:rFonts w:ascii="Times New Roman" w:eastAsia="Times New Roman" w:hAnsi="Times New Roman" w:cs="Times New Roman"/>
      <w:color w:val="000000"/>
      <w:lang w:val="sk-SK" w:eastAsia="sk-SK"/>
    </w:rPr>
  </w:style>
  <w:style w:type="paragraph" w:styleId="Odsekzoznamu">
    <w:name w:val="List Paragraph"/>
    <w:basedOn w:val="Normlny"/>
    <w:uiPriority w:val="34"/>
    <w:qFormat/>
    <w:rsid w:val="008D06A0"/>
    <w:pPr>
      <w:ind w:left="720"/>
      <w:contextualSpacing/>
    </w:pPr>
  </w:style>
  <w:style w:type="paragraph" w:styleId="Revzia">
    <w:name w:val="Revision"/>
    <w:hidden/>
    <w:uiPriority w:val="99"/>
    <w:semiHidden/>
    <w:rsid w:val="000F62FB"/>
    <w:pPr>
      <w:spacing w:after="0" w:line="240" w:lineRule="auto"/>
    </w:pPr>
    <w:rPr>
      <w:rFonts w:ascii="Times New Roman" w:eastAsia="Times New Roman" w:hAnsi="Times New Roman" w:cs="Times New Roman"/>
      <w:color w:val="00000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12</Pages>
  <Words>4512</Words>
  <Characters>25723</Characters>
  <Application>Microsoft Office Word</Application>
  <DocSecurity>0</DocSecurity>
  <Lines>214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Vicctor</dc:creator>
  <cp:keywords/>
  <dc:description/>
  <cp:lastModifiedBy>Lacková, Beáta</cp:lastModifiedBy>
  <cp:revision>19</cp:revision>
  <dcterms:created xsi:type="dcterms:W3CDTF">2017-11-24T14:47:00Z</dcterms:created>
  <dcterms:modified xsi:type="dcterms:W3CDTF">2018-01-17T13:10:00Z</dcterms:modified>
</cp:coreProperties>
</file>