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B6" w:rsidRPr="00691635" w:rsidRDefault="002069B6" w:rsidP="008F2E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sk-SK"/>
        </w:rPr>
      </w:pPr>
      <w:bookmarkStart w:id="0" w:name="_GoBack"/>
      <w:bookmarkEnd w:id="0"/>
    </w:p>
    <w:p w:rsidR="00991ACA" w:rsidRPr="00691635" w:rsidRDefault="004A7ADD" w:rsidP="008F2E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sk-SK"/>
        </w:rPr>
      </w:pPr>
      <w:r w:rsidRPr="00691635">
        <w:rPr>
          <w:b/>
          <w:noProof/>
          <w:szCs w:val="22"/>
          <w:lang w:val="sk-SK"/>
        </w:rPr>
        <w:t>SÚHRN CHARAKTERISTICKÝCH VLASTNOSTÍ LIEKU</w:t>
      </w:r>
    </w:p>
    <w:p w:rsidR="00991ACA" w:rsidRPr="00691635" w:rsidRDefault="00991ACA" w:rsidP="008F2E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sk-SK"/>
        </w:rPr>
      </w:pP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iCs/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691635">
        <w:rPr>
          <w:b/>
          <w:noProof/>
          <w:szCs w:val="22"/>
          <w:lang w:val="sk-SK"/>
        </w:rPr>
        <w:t>1.</w:t>
      </w:r>
      <w:r w:rsidRPr="00691635">
        <w:rPr>
          <w:b/>
          <w:noProof/>
          <w:szCs w:val="22"/>
          <w:lang w:val="sk-SK"/>
        </w:rPr>
        <w:tab/>
        <w:t>NÁZOV LIEKU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iCs/>
          <w:noProof/>
          <w:szCs w:val="22"/>
          <w:lang w:val="sk-SK"/>
        </w:rPr>
      </w:pPr>
    </w:p>
    <w:p w:rsidR="00991ACA" w:rsidRPr="00691635" w:rsidRDefault="00B26239" w:rsidP="008F2E21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proofErr w:type="spellStart"/>
      <w:r>
        <w:rPr>
          <w:lang w:val="sk-SK"/>
        </w:rPr>
        <w:t>Sinora</w:t>
      </w:r>
      <w:proofErr w:type="spellEnd"/>
      <w:r w:rsidR="00A67CC1" w:rsidRPr="00691635">
        <w:rPr>
          <w:lang w:val="sk-SK"/>
        </w:rPr>
        <w:t xml:space="preserve"> </w:t>
      </w:r>
      <w:r w:rsidR="004A7ADD" w:rsidRPr="00691635">
        <w:rPr>
          <w:noProof/>
          <w:szCs w:val="22"/>
          <w:lang w:val="sk-SK"/>
        </w:rPr>
        <w:t>1 mg/ml infúzny koncentrát</w:t>
      </w:r>
    </w:p>
    <w:p w:rsidR="00991ACA" w:rsidRDefault="00991ACA" w:rsidP="008F2E21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:rsidR="008F2E21" w:rsidRPr="00691635" w:rsidRDefault="008F2E21" w:rsidP="008F2E21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:rsidR="00991ACA" w:rsidRPr="00691635" w:rsidRDefault="004A7ADD" w:rsidP="008F2E21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691635">
        <w:rPr>
          <w:b/>
          <w:noProof/>
          <w:szCs w:val="22"/>
          <w:lang w:val="sk-SK"/>
        </w:rPr>
        <w:t>2.</w:t>
      </w:r>
      <w:r w:rsidRPr="00691635">
        <w:rPr>
          <w:b/>
          <w:noProof/>
          <w:szCs w:val="22"/>
          <w:lang w:val="sk-SK"/>
        </w:rPr>
        <w:tab/>
        <w:t>KVALITATÍVNE A KVANTITATÍVNE ZLOŽENIE</w:t>
      </w:r>
    </w:p>
    <w:p w:rsidR="00991ACA" w:rsidRPr="00691635" w:rsidRDefault="00991ACA" w:rsidP="008F2E21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:rsidR="00991ACA" w:rsidRPr="00691635" w:rsidRDefault="004A7ADD" w:rsidP="008F2E21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691635">
        <w:rPr>
          <w:bCs/>
          <w:noProof/>
          <w:szCs w:val="22"/>
          <w:lang w:val="sk-SK"/>
        </w:rPr>
        <w:t xml:space="preserve">1 ml infúzneho koncentrátu obsahuje 2 mg </w:t>
      </w:r>
      <w:r w:rsidR="00741D12" w:rsidRPr="00691635">
        <w:rPr>
          <w:bCs/>
          <w:noProof/>
          <w:szCs w:val="22"/>
          <w:lang w:val="sk-SK"/>
        </w:rPr>
        <w:t>noradrenalíniumhydrogéntartarátu</w:t>
      </w:r>
      <w:r w:rsidRPr="00691635">
        <w:rPr>
          <w:bCs/>
          <w:noProof/>
          <w:szCs w:val="22"/>
          <w:lang w:val="sk-SK"/>
        </w:rPr>
        <w:t>, čo zodpovedá 1 mg noradrenalínu.</w:t>
      </w:r>
    </w:p>
    <w:p w:rsidR="00991ACA" w:rsidRPr="00691635" w:rsidRDefault="00991ACA" w:rsidP="008F2E21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:rsidR="00B26239" w:rsidRDefault="00B26239" w:rsidP="00B26239">
      <w:pPr>
        <w:tabs>
          <w:tab w:val="clear" w:pos="567"/>
        </w:tabs>
        <w:spacing w:line="240" w:lineRule="auto"/>
        <w:outlineLvl w:val="0"/>
        <w:rPr>
          <w:bCs/>
          <w:noProof/>
          <w:szCs w:val="22"/>
          <w:lang w:val="sk-SK"/>
        </w:rPr>
      </w:pPr>
      <w:r w:rsidRPr="00F64FFE">
        <w:rPr>
          <w:bCs/>
          <w:noProof/>
          <w:szCs w:val="22"/>
          <w:lang w:val="sk-SK"/>
        </w:rPr>
        <w:t xml:space="preserve">Každá ampulka obsahujúca 1 ml </w:t>
      </w:r>
      <w:r w:rsidR="00405577">
        <w:rPr>
          <w:bCs/>
          <w:noProof/>
          <w:szCs w:val="22"/>
          <w:lang w:val="sk-SK"/>
        </w:rPr>
        <w:t xml:space="preserve">infúzneho </w:t>
      </w:r>
      <w:r w:rsidRPr="00F64FFE">
        <w:rPr>
          <w:bCs/>
          <w:noProof/>
          <w:szCs w:val="22"/>
          <w:lang w:val="sk-SK"/>
        </w:rPr>
        <w:t xml:space="preserve">koncentrátu obsahuje 2 mg </w:t>
      </w:r>
      <w:r w:rsidR="00405577" w:rsidRPr="00691635">
        <w:rPr>
          <w:bCs/>
          <w:noProof/>
          <w:szCs w:val="22"/>
          <w:lang w:val="sk-SK"/>
        </w:rPr>
        <w:t>noradrenalíniumhydrogéntartarátu</w:t>
      </w:r>
      <w:r w:rsidR="00405577">
        <w:rPr>
          <w:bCs/>
          <w:noProof/>
          <w:szCs w:val="22"/>
          <w:lang w:val="sk-SK"/>
        </w:rPr>
        <w:t xml:space="preserve">, </w:t>
      </w:r>
      <w:r w:rsidRPr="00F64FFE">
        <w:rPr>
          <w:bCs/>
          <w:noProof/>
          <w:szCs w:val="22"/>
          <w:lang w:val="sk-SK"/>
        </w:rPr>
        <w:t>zodpovedajúcemu 1 mg bázy noradrenalínu.</w:t>
      </w:r>
    </w:p>
    <w:p w:rsidR="002E5D5C" w:rsidRDefault="002E5D5C" w:rsidP="00B26239">
      <w:pPr>
        <w:tabs>
          <w:tab w:val="clear" w:pos="567"/>
        </w:tabs>
        <w:spacing w:line="240" w:lineRule="auto"/>
        <w:outlineLvl w:val="0"/>
        <w:rPr>
          <w:bCs/>
          <w:noProof/>
          <w:szCs w:val="22"/>
          <w:lang w:val="sk-SK"/>
        </w:rPr>
      </w:pPr>
    </w:p>
    <w:p w:rsidR="00B26239" w:rsidRDefault="00B26239" w:rsidP="00B26239">
      <w:pPr>
        <w:tabs>
          <w:tab w:val="clear" w:pos="567"/>
        </w:tabs>
        <w:spacing w:line="240" w:lineRule="auto"/>
        <w:outlineLvl w:val="0"/>
        <w:rPr>
          <w:bCs/>
          <w:noProof/>
          <w:szCs w:val="22"/>
          <w:lang w:val="sk-SK"/>
        </w:rPr>
      </w:pPr>
      <w:r>
        <w:rPr>
          <w:bCs/>
          <w:noProof/>
          <w:szCs w:val="22"/>
          <w:lang w:val="sk-SK"/>
        </w:rPr>
        <w:t>Každá ampulka obsahujúca 4</w:t>
      </w:r>
      <w:r w:rsidRPr="00F64FFE">
        <w:rPr>
          <w:bCs/>
          <w:noProof/>
          <w:szCs w:val="22"/>
          <w:lang w:val="sk-SK"/>
        </w:rPr>
        <w:t xml:space="preserve"> ml </w:t>
      </w:r>
      <w:r w:rsidR="00405577">
        <w:rPr>
          <w:bCs/>
          <w:noProof/>
          <w:szCs w:val="22"/>
          <w:lang w:val="sk-SK"/>
        </w:rPr>
        <w:t xml:space="preserve">infúzneho </w:t>
      </w:r>
      <w:r w:rsidR="00405577" w:rsidRPr="00F64FFE">
        <w:rPr>
          <w:bCs/>
          <w:noProof/>
          <w:szCs w:val="22"/>
          <w:lang w:val="sk-SK"/>
        </w:rPr>
        <w:t xml:space="preserve">koncentrátu </w:t>
      </w:r>
      <w:r>
        <w:rPr>
          <w:bCs/>
          <w:noProof/>
          <w:szCs w:val="22"/>
          <w:lang w:val="sk-SK"/>
        </w:rPr>
        <w:t>obsahuje 8</w:t>
      </w:r>
      <w:r w:rsidRPr="00F64FFE">
        <w:rPr>
          <w:bCs/>
          <w:noProof/>
          <w:szCs w:val="22"/>
          <w:lang w:val="sk-SK"/>
        </w:rPr>
        <w:t xml:space="preserve"> mg </w:t>
      </w:r>
      <w:r w:rsidR="00405577" w:rsidRPr="00691635">
        <w:rPr>
          <w:bCs/>
          <w:noProof/>
          <w:szCs w:val="22"/>
          <w:lang w:val="sk-SK"/>
        </w:rPr>
        <w:t>noradrenalíniumhydrogéntartarátu</w:t>
      </w:r>
      <w:r w:rsidR="00405577">
        <w:rPr>
          <w:bCs/>
          <w:noProof/>
          <w:szCs w:val="22"/>
          <w:lang w:val="sk-SK"/>
        </w:rPr>
        <w:t>,</w:t>
      </w:r>
      <w:r w:rsidR="00405577" w:rsidRPr="00F64FFE" w:rsidDel="00405577">
        <w:rPr>
          <w:bCs/>
          <w:noProof/>
          <w:szCs w:val="22"/>
          <w:lang w:val="sk-SK"/>
        </w:rPr>
        <w:t xml:space="preserve"> </w:t>
      </w:r>
      <w:r>
        <w:rPr>
          <w:bCs/>
          <w:noProof/>
          <w:szCs w:val="22"/>
          <w:lang w:val="sk-SK"/>
        </w:rPr>
        <w:t>zodpovedajúcemu 4</w:t>
      </w:r>
      <w:r w:rsidRPr="00F64FFE">
        <w:rPr>
          <w:bCs/>
          <w:noProof/>
          <w:szCs w:val="22"/>
          <w:lang w:val="sk-SK"/>
        </w:rPr>
        <w:t xml:space="preserve"> mg bázy noradrenalínu.</w:t>
      </w:r>
    </w:p>
    <w:p w:rsidR="002E5D5C" w:rsidRDefault="002E5D5C" w:rsidP="00B26239">
      <w:pPr>
        <w:tabs>
          <w:tab w:val="clear" w:pos="567"/>
        </w:tabs>
        <w:spacing w:line="240" w:lineRule="auto"/>
        <w:outlineLvl w:val="0"/>
        <w:rPr>
          <w:bCs/>
          <w:noProof/>
          <w:szCs w:val="22"/>
          <w:lang w:val="sk-SK"/>
        </w:rPr>
      </w:pPr>
    </w:p>
    <w:p w:rsidR="00B26239" w:rsidRDefault="00B26239" w:rsidP="00B26239">
      <w:pPr>
        <w:tabs>
          <w:tab w:val="clear" w:pos="567"/>
        </w:tabs>
        <w:spacing w:line="240" w:lineRule="auto"/>
        <w:outlineLvl w:val="0"/>
        <w:rPr>
          <w:bCs/>
          <w:noProof/>
          <w:szCs w:val="22"/>
          <w:lang w:val="sk-SK"/>
        </w:rPr>
      </w:pPr>
      <w:r w:rsidRPr="00F64FFE">
        <w:rPr>
          <w:bCs/>
          <w:noProof/>
          <w:szCs w:val="22"/>
          <w:lang w:val="sk-SK"/>
        </w:rPr>
        <w:t>Každá ampulka obsahujúca 1</w:t>
      </w:r>
      <w:r>
        <w:rPr>
          <w:bCs/>
          <w:noProof/>
          <w:szCs w:val="22"/>
          <w:lang w:val="sk-SK"/>
        </w:rPr>
        <w:t>0</w:t>
      </w:r>
      <w:r w:rsidRPr="00F64FFE">
        <w:rPr>
          <w:bCs/>
          <w:noProof/>
          <w:szCs w:val="22"/>
          <w:lang w:val="sk-SK"/>
        </w:rPr>
        <w:t xml:space="preserve"> ml </w:t>
      </w:r>
      <w:r w:rsidR="00405577">
        <w:rPr>
          <w:bCs/>
          <w:noProof/>
          <w:szCs w:val="22"/>
          <w:lang w:val="sk-SK"/>
        </w:rPr>
        <w:t xml:space="preserve">infúzneho </w:t>
      </w:r>
      <w:r w:rsidR="00405577" w:rsidRPr="00F64FFE">
        <w:rPr>
          <w:bCs/>
          <w:noProof/>
          <w:szCs w:val="22"/>
          <w:lang w:val="sk-SK"/>
        </w:rPr>
        <w:t xml:space="preserve">koncentrátu </w:t>
      </w:r>
      <w:r w:rsidRPr="00F64FFE">
        <w:rPr>
          <w:bCs/>
          <w:noProof/>
          <w:szCs w:val="22"/>
          <w:lang w:val="sk-SK"/>
        </w:rPr>
        <w:t xml:space="preserve">obsahuje </w:t>
      </w:r>
      <w:r>
        <w:rPr>
          <w:bCs/>
          <w:noProof/>
          <w:szCs w:val="22"/>
          <w:lang w:val="sk-SK"/>
        </w:rPr>
        <w:t>20</w:t>
      </w:r>
      <w:r w:rsidRPr="00F64FFE">
        <w:rPr>
          <w:bCs/>
          <w:noProof/>
          <w:szCs w:val="22"/>
          <w:lang w:val="sk-SK"/>
        </w:rPr>
        <w:t xml:space="preserve"> mg </w:t>
      </w:r>
      <w:r w:rsidR="00405577" w:rsidRPr="00691635">
        <w:rPr>
          <w:bCs/>
          <w:noProof/>
          <w:szCs w:val="22"/>
          <w:lang w:val="sk-SK"/>
        </w:rPr>
        <w:t>noradrenalíniumhydrogéntartarátu</w:t>
      </w:r>
      <w:r w:rsidR="00405577">
        <w:rPr>
          <w:bCs/>
          <w:noProof/>
          <w:szCs w:val="22"/>
          <w:lang w:val="sk-SK"/>
        </w:rPr>
        <w:t>,</w:t>
      </w:r>
      <w:r w:rsidRPr="00F64FFE">
        <w:rPr>
          <w:bCs/>
          <w:noProof/>
          <w:szCs w:val="22"/>
          <w:lang w:val="sk-SK"/>
        </w:rPr>
        <w:t xml:space="preserve"> zodpovedajúcemu 1</w:t>
      </w:r>
      <w:r>
        <w:rPr>
          <w:bCs/>
          <w:noProof/>
          <w:szCs w:val="22"/>
          <w:lang w:val="sk-SK"/>
        </w:rPr>
        <w:t>0</w:t>
      </w:r>
      <w:r w:rsidRPr="00F64FFE">
        <w:rPr>
          <w:bCs/>
          <w:noProof/>
          <w:szCs w:val="22"/>
          <w:lang w:val="sk-SK"/>
        </w:rPr>
        <w:t xml:space="preserve"> mg bázy noradrenalínu.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outlineLvl w:val="0"/>
        <w:rPr>
          <w:bCs/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outlineLvl w:val="0"/>
        <w:rPr>
          <w:bCs/>
          <w:noProof/>
          <w:szCs w:val="22"/>
          <w:lang w:val="sk-SK"/>
        </w:rPr>
      </w:pPr>
      <w:r w:rsidRPr="00691635">
        <w:rPr>
          <w:bCs/>
          <w:noProof/>
          <w:szCs w:val="22"/>
          <w:lang w:val="sk-SK"/>
        </w:rPr>
        <w:t>Pri odporúčanom zriedení obsahuje každý ml 80 mikrogramov noradrenalín</w:t>
      </w:r>
      <w:r w:rsidR="00741D12" w:rsidRPr="00691635">
        <w:rPr>
          <w:bCs/>
          <w:noProof/>
          <w:szCs w:val="22"/>
          <w:lang w:val="sk-SK"/>
        </w:rPr>
        <w:t>iumhydrogén</w:t>
      </w:r>
      <w:r w:rsidR="002069B6" w:rsidRPr="00691635">
        <w:rPr>
          <w:bCs/>
          <w:noProof/>
          <w:szCs w:val="22"/>
          <w:lang w:val="sk-SK"/>
        </w:rPr>
        <w:t>tartarátu</w:t>
      </w:r>
      <w:r w:rsidR="008E79B5" w:rsidRPr="00691635">
        <w:rPr>
          <w:bCs/>
          <w:noProof/>
          <w:szCs w:val="22"/>
          <w:lang w:val="sk-SK"/>
        </w:rPr>
        <w:t>,</w:t>
      </w:r>
      <w:r w:rsidRPr="00691635">
        <w:rPr>
          <w:bCs/>
          <w:noProof/>
          <w:szCs w:val="22"/>
          <w:lang w:val="sk-SK"/>
        </w:rPr>
        <w:t xml:space="preserve"> čo zodpovedá 40 mikrogramom </w:t>
      </w:r>
      <w:r w:rsidR="002E5D5C">
        <w:rPr>
          <w:bCs/>
          <w:noProof/>
          <w:szCs w:val="22"/>
          <w:lang w:val="sk-SK"/>
        </w:rPr>
        <w:t xml:space="preserve">bázy </w:t>
      </w:r>
      <w:r w:rsidRPr="00691635">
        <w:rPr>
          <w:bCs/>
          <w:noProof/>
          <w:szCs w:val="22"/>
          <w:lang w:val="sk-SK"/>
        </w:rPr>
        <w:t>noradrenalínu.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outlineLvl w:val="0"/>
        <w:rPr>
          <w:bCs/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outlineLvl w:val="0"/>
        <w:rPr>
          <w:bCs/>
          <w:noProof/>
          <w:szCs w:val="22"/>
          <w:lang w:val="sk-SK"/>
        </w:rPr>
      </w:pPr>
      <w:r w:rsidRPr="00691635">
        <w:rPr>
          <w:bCs/>
          <w:noProof/>
          <w:szCs w:val="22"/>
          <w:lang w:val="sk-SK"/>
        </w:rPr>
        <w:t>Pomocné látky so známym účinkom:</w:t>
      </w:r>
    </w:p>
    <w:p w:rsidR="00B26239" w:rsidRDefault="00B26239" w:rsidP="00B26239">
      <w:pPr>
        <w:tabs>
          <w:tab w:val="clear" w:pos="567"/>
        </w:tabs>
        <w:spacing w:line="240" w:lineRule="auto"/>
        <w:outlineLvl w:val="0"/>
        <w:rPr>
          <w:bCs/>
          <w:noProof/>
          <w:szCs w:val="22"/>
          <w:lang w:val="sk-SK"/>
        </w:rPr>
      </w:pPr>
      <w:bookmarkStart w:id="1" w:name="_Hlk494358653"/>
      <w:r w:rsidRPr="00B46EA3">
        <w:rPr>
          <w:bCs/>
          <w:noProof/>
          <w:szCs w:val="22"/>
          <w:lang w:val="sk-SK"/>
        </w:rPr>
        <w:t xml:space="preserve">Každá ampulka obsahujúca 1 ml </w:t>
      </w:r>
      <w:r w:rsidR="002E5D5C">
        <w:rPr>
          <w:bCs/>
          <w:noProof/>
          <w:szCs w:val="22"/>
          <w:lang w:val="sk-SK"/>
        </w:rPr>
        <w:t xml:space="preserve">infúzneho </w:t>
      </w:r>
      <w:r w:rsidR="002E5D5C" w:rsidRPr="00F64FFE">
        <w:rPr>
          <w:bCs/>
          <w:noProof/>
          <w:szCs w:val="22"/>
          <w:lang w:val="sk-SK"/>
        </w:rPr>
        <w:t>koncentrátu</w:t>
      </w:r>
      <w:r w:rsidR="002E5D5C" w:rsidRPr="00B46EA3" w:rsidDel="002E5D5C">
        <w:rPr>
          <w:bCs/>
          <w:noProof/>
          <w:szCs w:val="22"/>
          <w:lang w:val="sk-SK"/>
        </w:rPr>
        <w:t xml:space="preserve"> </w:t>
      </w:r>
      <w:r w:rsidRPr="00B46EA3">
        <w:rPr>
          <w:bCs/>
          <w:noProof/>
          <w:szCs w:val="22"/>
          <w:lang w:val="sk-SK"/>
        </w:rPr>
        <w:t>obsahuje 0,14 mmol (alebo 3,3 mg) sodíka.</w:t>
      </w:r>
    </w:p>
    <w:p w:rsidR="00B26239" w:rsidRDefault="00B26239" w:rsidP="00B26239">
      <w:pPr>
        <w:tabs>
          <w:tab w:val="clear" w:pos="567"/>
        </w:tabs>
        <w:spacing w:line="240" w:lineRule="auto"/>
        <w:outlineLvl w:val="0"/>
        <w:rPr>
          <w:bCs/>
          <w:noProof/>
          <w:szCs w:val="22"/>
          <w:lang w:val="sk-SK"/>
        </w:rPr>
      </w:pPr>
      <w:r w:rsidRPr="00B46EA3">
        <w:rPr>
          <w:bCs/>
          <w:noProof/>
          <w:szCs w:val="22"/>
          <w:lang w:val="sk-SK"/>
        </w:rPr>
        <w:t xml:space="preserve">Každá </w:t>
      </w:r>
      <w:r>
        <w:rPr>
          <w:bCs/>
          <w:noProof/>
          <w:szCs w:val="22"/>
          <w:lang w:val="sk-SK"/>
        </w:rPr>
        <w:t>ampulka obsahujúca 4</w:t>
      </w:r>
      <w:r w:rsidRPr="00B46EA3">
        <w:rPr>
          <w:bCs/>
          <w:noProof/>
          <w:szCs w:val="22"/>
          <w:lang w:val="sk-SK"/>
        </w:rPr>
        <w:t xml:space="preserve"> ml </w:t>
      </w:r>
      <w:r w:rsidR="002E5D5C">
        <w:rPr>
          <w:bCs/>
          <w:noProof/>
          <w:szCs w:val="22"/>
          <w:lang w:val="sk-SK"/>
        </w:rPr>
        <w:t xml:space="preserve">infúzneho </w:t>
      </w:r>
      <w:r w:rsidR="002E5D5C" w:rsidRPr="00F64FFE">
        <w:rPr>
          <w:bCs/>
          <w:noProof/>
          <w:szCs w:val="22"/>
          <w:lang w:val="sk-SK"/>
        </w:rPr>
        <w:t>koncentrátu</w:t>
      </w:r>
      <w:r w:rsidR="002E5D5C" w:rsidRPr="00B46EA3" w:rsidDel="002E5D5C">
        <w:rPr>
          <w:bCs/>
          <w:noProof/>
          <w:szCs w:val="22"/>
          <w:lang w:val="sk-SK"/>
        </w:rPr>
        <w:t xml:space="preserve"> </w:t>
      </w:r>
      <w:r>
        <w:rPr>
          <w:bCs/>
          <w:noProof/>
          <w:szCs w:val="22"/>
          <w:lang w:val="sk-SK"/>
        </w:rPr>
        <w:t>obsahuje 0,57 mmol (alebo 13,2</w:t>
      </w:r>
      <w:r w:rsidRPr="00B46EA3">
        <w:rPr>
          <w:bCs/>
          <w:noProof/>
          <w:szCs w:val="22"/>
          <w:lang w:val="sk-SK"/>
        </w:rPr>
        <w:t xml:space="preserve"> mg) sodíka.</w:t>
      </w:r>
    </w:p>
    <w:p w:rsidR="00B26239" w:rsidRDefault="00B26239" w:rsidP="00B26239">
      <w:pPr>
        <w:tabs>
          <w:tab w:val="clear" w:pos="567"/>
        </w:tabs>
        <w:spacing w:line="240" w:lineRule="auto"/>
        <w:outlineLvl w:val="0"/>
        <w:rPr>
          <w:bCs/>
          <w:noProof/>
          <w:szCs w:val="22"/>
          <w:lang w:val="sk-SK"/>
        </w:rPr>
      </w:pPr>
      <w:r w:rsidRPr="00B46EA3">
        <w:rPr>
          <w:bCs/>
          <w:noProof/>
          <w:szCs w:val="22"/>
          <w:lang w:val="sk-SK"/>
        </w:rPr>
        <w:t>Každá ampulka obsahujúca 1</w:t>
      </w:r>
      <w:r>
        <w:rPr>
          <w:bCs/>
          <w:noProof/>
          <w:szCs w:val="22"/>
          <w:lang w:val="sk-SK"/>
        </w:rPr>
        <w:t>0</w:t>
      </w:r>
      <w:r w:rsidRPr="00B46EA3">
        <w:rPr>
          <w:bCs/>
          <w:noProof/>
          <w:szCs w:val="22"/>
          <w:lang w:val="sk-SK"/>
        </w:rPr>
        <w:t xml:space="preserve"> ml </w:t>
      </w:r>
      <w:r w:rsidR="002E5D5C">
        <w:rPr>
          <w:bCs/>
          <w:noProof/>
          <w:szCs w:val="22"/>
          <w:lang w:val="sk-SK"/>
        </w:rPr>
        <w:t xml:space="preserve">infúzneho </w:t>
      </w:r>
      <w:r w:rsidR="002E5D5C" w:rsidRPr="00F64FFE">
        <w:rPr>
          <w:bCs/>
          <w:noProof/>
          <w:szCs w:val="22"/>
          <w:lang w:val="sk-SK"/>
        </w:rPr>
        <w:t>koncentrátu</w:t>
      </w:r>
      <w:r w:rsidR="002E5D5C" w:rsidRPr="00B46EA3" w:rsidDel="002E5D5C">
        <w:rPr>
          <w:bCs/>
          <w:noProof/>
          <w:szCs w:val="22"/>
          <w:lang w:val="sk-SK"/>
        </w:rPr>
        <w:t xml:space="preserve"> </w:t>
      </w:r>
      <w:r>
        <w:rPr>
          <w:bCs/>
          <w:noProof/>
          <w:szCs w:val="22"/>
          <w:lang w:val="sk-SK"/>
        </w:rPr>
        <w:t>obsahuje 1,44 mmol (alebo 33</w:t>
      </w:r>
      <w:r w:rsidRPr="00B46EA3">
        <w:rPr>
          <w:bCs/>
          <w:noProof/>
          <w:szCs w:val="22"/>
          <w:lang w:val="sk-SK"/>
        </w:rPr>
        <w:t xml:space="preserve"> mg) sodíka.</w:t>
      </w:r>
    </w:p>
    <w:bookmarkEnd w:id="1"/>
    <w:p w:rsidR="00991ACA" w:rsidRPr="00691635" w:rsidRDefault="00991ACA" w:rsidP="008F2E21">
      <w:p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691635">
        <w:rPr>
          <w:noProof/>
          <w:szCs w:val="22"/>
          <w:lang w:val="sk-SK"/>
        </w:rPr>
        <w:t>Úplný zoznam pomocných látok, pozri časť 6.1.</w:t>
      </w:r>
    </w:p>
    <w:p w:rsidR="00991ACA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8F2E21" w:rsidRPr="00691635" w:rsidRDefault="008F2E21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  <w:lang w:val="sk-SK"/>
        </w:rPr>
      </w:pPr>
      <w:r w:rsidRPr="00691635">
        <w:rPr>
          <w:b/>
          <w:noProof/>
          <w:szCs w:val="22"/>
          <w:lang w:val="sk-SK"/>
        </w:rPr>
        <w:t>3.</w:t>
      </w:r>
      <w:r w:rsidRPr="00691635">
        <w:rPr>
          <w:b/>
          <w:noProof/>
          <w:szCs w:val="22"/>
          <w:lang w:val="sk-SK"/>
        </w:rPr>
        <w:tab/>
        <w:t xml:space="preserve">LIEKOVÁ </w:t>
      </w:r>
      <w:r w:rsidRPr="00691635">
        <w:rPr>
          <w:b/>
          <w:caps/>
          <w:noProof/>
          <w:szCs w:val="22"/>
          <w:lang w:val="sk-SK"/>
        </w:rPr>
        <w:t>FORMA</w:t>
      </w:r>
    </w:p>
    <w:p w:rsidR="00991ACA" w:rsidRPr="00691635" w:rsidRDefault="00991ACA" w:rsidP="008F2E21">
      <w:pPr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sk-SK"/>
        </w:rPr>
      </w:pPr>
    </w:p>
    <w:p w:rsidR="00991ACA" w:rsidRPr="00691635" w:rsidRDefault="004A7ADD" w:rsidP="008F2E21">
      <w:pPr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sk-SK"/>
        </w:rPr>
      </w:pPr>
      <w:r w:rsidRPr="00691635">
        <w:rPr>
          <w:noProof/>
          <w:szCs w:val="22"/>
          <w:lang w:val="sk-SK"/>
        </w:rPr>
        <w:t>Infúzny koncentrát.</w:t>
      </w:r>
    </w:p>
    <w:p w:rsidR="00991ACA" w:rsidRPr="00691635" w:rsidRDefault="004A7ADD" w:rsidP="008F2E21">
      <w:pPr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sk-SK"/>
        </w:rPr>
      </w:pPr>
      <w:r w:rsidRPr="00691635">
        <w:rPr>
          <w:noProof/>
          <w:szCs w:val="22"/>
          <w:lang w:val="sk-SK"/>
        </w:rPr>
        <w:t>Číry bezfarebný roztok.</w:t>
      </w: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691635">
        <w:rPr>
          <w:noProof/>
          <w:szCs w:val="22"/>
          <w:lang w:val="sk-SK"/>
        </w:rPr>
        <w:t>pH 3,0 </w:t>
      </w:r>
      <w:r w:rsidRPr="00691635">
        <w:rPr>
          <w:noProof/>
          <w:szCs w:val="22"/>
          <w:lang w:val="sk-SK"/>
        </w:rPr>
        <w:noBreakHyphen/>
        <w:t> 4,5.</w:t>
      </w: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691635">
        <w:rPr>
          <w:noProof/>
          <w:szCs w:val="22"/>
          <w:lang w:val="sk-SK"/>
        </w:rPr>
        <w:t>Osmolarita: približne 280 mOsm/l.</w:t>
      </w:r>
    </w:p>
    <w:p w:rsidR="00991ACA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8F2E21" w:rsidRPr="00691635" w:rsidRDefault="008F2E21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  <w:lang w:val="sk-SK"/>
        </w:rPr>
      </w:pPr>
      <w:r w:rsidRPr="00691635">
        <w:rPr>
          <w:b/>
          <w:caps/>
          <w:noProof/>
          <w:szCs w:val="22"/>
          <w:lang w:val="sk-SK"/>
        </w:rPr>
        <w:t>4.</w:t>
      </w:r>
      <w:r w:rsidRPr="00691635">
        <w:rPr>
          <w:b/>
          <w:caps/>
          <w:noProof/>
          <w:szCs w:val="22"/>
          <w:lang w:val="sk-SK"/>
        </w:rPr>
        <w:tab/>
        <w:t>KLINICKÉ ÚDAJE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691635">
        <w:rPr>
          <w:b/>
          <w:noProof/>
          <w:szCs w:val="22"/>
          <w:lang w:val="sk-SK"/>
        </w:rPr>
        <w:t>4.1</w:t>
      </w:r>
      <w:r w:rsidRPr="00691635">
        <w:rPr>
          <w:b/>
          <w:noProof/>
          <w:szCs w:val="22"/>
          <w:lang w:val="sk-SK"/>
        </w:rPr>
        <w:tab/>
        <w:t>Terapeutické indikácie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B26239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proofErr w:type="spellStart"/>
      <w:r>
        <w:rPr>
          <w:lang w:val="sk-SK"/>
        </w:rPr>
        <w:t>Sinora</w:t>
      </w:r>
      <w:proofErr w:type="spellEnd"/>
      <w:r w:rsidR="00741D12" w:rsidRPr="00691635">
        <w:rPr>
          <w:lang w:val="sk-SK"/>
        </w:rPr>
        <w:t xml:space="preserve"> je </w:t>
      </w:r>
      <w:r w:rsidR="00741D12" w:rsidRPr="00691635">
        <w:rPr>
          <w:color w:val="000000"/>
          <w:szCs w:val="22"/>
          <w:lang w:val="sk-SK"/>
        </w:rPr>
        <w:t>i</w:t>
      </w:r>
      <w:r w:rsidR="004A7ADD" w:rsidRPr="00691635">
        <w:rPr>
          <w:color w:val="000000"/>
          <w:szCs w:val="22"/>
          <w:lang w:val="sk-SK"/>
        </w:rPr>
        <w:t>ndikovan</w:t>
      </w:r>
      <w:r w:rsidR="002E5D5C">
        <w:rPr>
          <w:color w:val="000000"/>
          <w:szCs w:val="22"/>
          <w:lang w:val="sk-SK"/>
        </w:rPr>
        <w:t>á</w:t>
      </w:r>
      <w:r w:rsidR="004A7ADD" w:rsidRPr="00691635">
        <w:rPr>
          <w:color w:val="000000"/>
          <w:szCs w:val="22"/>
          <w:lang w:val="sk-SK"/>
        </w:rPr>
        <w:t xml:space="preserve"> na použitie ako núdzové opatrenie pri normalizovaní krvného tlaku v prípadoch akútnej hypotenzie.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numPr>
          <w:ilvl w:val="1"/>
          <w:numId w:val="3"/>
        </w:numPr>
        <w:spacing w:line="240" w:lineRule="auto"/>
        <w:outlineLvl w:val="0"/>
        <w:rPr>
          <w:b/>
          <w:noProof/>
          <w:szCs w:val="22"/>
          <w:lang w:val="sk-SK"/>
        </w:rPr>
      </w:pPr>
      <w:r w:rsidRPr="00691635">
        <w:rPr>
          <w:b/>
          <w:noProof/>
          <w:szCs w:val="22"/>
          <w:lang w:val="sk-SK"/>
        </w:rPr>
        <w:t>Dávkovanie a spôsob podávania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 w:eastAsia="sv-SE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 w:eastAsia="sv-SE"/>
        </w:rPr>
      </w:pPr>
      <w:r w:rsidRPr="00691635">
        <w:rPr>
          <w:i/>
          <w:iCs/>
          <w:color w:val="000000"/>
          <w:szCs w:val="22"/>
          <w:u w:val="single"/>
          <w:lang w:val="sk-SK"/>
        </w:rPr>
        <w:t>Cesta podávania:</w:t>
      </w: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691635">
        <w:rPr>
          <w:color w:val="000000"/>
          <w:szCs w:val="22"/>
          <w:lang w:val="sk-SK"/>
        </w:rPr>
        <w:t>Na intravenózne použitie.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 w:eastAsia="sv-SE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 w:eastAsia="sv-SE"/>
        </w:rPr>
      </w:pPr>
      <w:r w:rsidRPr="00691635">
        <w:rPr>
          <w:i/>
          <w:iCs/>
          <w:color w:val="000000"/>
          <w:szCs w:val="22"/>
          <w:u w:val="single"/>
          <w:lang w:val="sk-SK"/>
        </w:rPr>
        <w:t>Spôsob podávania:</w:t>
      </w: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691635">
        <w:rPr>
          <w:color w:val="000000"/>
          <w:szCs w:val="22"/>
          <w:lang w:val="sk-SK"/>
        </w:rPr>
        <w:lastRenderedPageBreak/>
        <w:t xml:space="preserve">Podávať ako zriedený roztok centrálnym </w:t>
      </w:r>
      <w:proofErr w:type="spellStart"/>
      <w:r w:rsidRPr="00691635">
        <w:rPr>
          <w:color w:val="000000"/>
          <w:szCs w:val="22"/>
          <w:lang w:val="sk-SK"/>
        </w:rPr>
        <w:t>venóznym</w:t>
      </w:r>
      <w:proofErr w:type="spellEnd"/>
      <w:r w:rsidRPr="00691635">
        <w:rPr>
          <w:color w:val="000000"/>
          <w:szCs w:val="22"/>
          <w:lang w:val="sk-SK"/>
        </w:rPr>
        <w:t xml:space="preserve"> katétrom.</w:t>
      </w: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691635">
        <w:rPr>
          <w:color w:val="000000"/>
          <w:szCs w:val="22"/>
          <w:lang w:val="sk-SK"/>
        </w:rPr>
        <w:t xml:space="preserve">Infúzia sa má podávať kontrolovanou rýchlosťou buď injekčnou pumpou alebo </w:t>
      </w:r>
      <w:proofErr w:type="spellStart"/>
      <w:r w:rsidRPr="00691635">
        <w:rPr>
          <w:color w:val="000000"/>
          <w:szCs w:val="22"/>
          <w:lang w:val="sk-SK"/>
        </w:rPr>
        <w:t>infúznou</w:t>
      </w:r>
      <w:proofErr w:type="spellEnd"/>
      <w:r w:rsidRPr="00691635">
        <w:rPr>
          <w:color w:val="000000"/>
          <w:szCs w:val="22"/>
          <w:lang w:val="sk-SK"/>
        </w:rPr>
        <w:t xml:space="preserve"> pumpou alebo počítadlom kvapiek.</w:t>
      </w: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691635">
        <w:rPr>
          <w:color w:val="000000"/>
          <w:szCs w:val="22"/>
          <w:lang w:val="sk-SK"/>
        </w:rPr>
        <w:t>Pokyny na zriedenie</w:t>
      </w:r>
      <w:r w:rsidR="002E5D5C">
        <w:rPr>
          <w:color w:val="000000"/>
          <w:szCs w:val="22"/>
          <w:lang w:val="sk-SK"/>
        </w:rPr>
        <w:t>,</w:t>
      </w:r>
      <w:r w:rsidRPr="00691635">
        <w:rPr>
          <w:color w:val="000000"/>
          <w:szCs w:val="22"/>
          <w:lang w:val="sk-SK"/>
        </w:rPr>
        <w:t xml:space="preserve"> pozri časť 6.6.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 w:eastAsia="sv-SE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 w:eastAsia="sv-SE"/>
        </w:rPr>
      </w:pPr>
      <w:r w:rsidRPr="00691635">
        <w:rPr>
          <w:i/>
          <w:iCs/>
          <w:color w:val="000000"/>
          <w:szCs w:val="22"/>
          <w:u w:val="single"/>
          <w:lang w:val="sk-SK"/>
        </w:rPr>
        <w:t>Dávkovanie:</w:t>
      </w: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 w:eastAsia="sv-SE"/>
        </w:rPr>
      </w:pPr>
      <w:r w:rsidRPr="00691635">
        <w:rPr>
          <w:color w:val="000000"/>
          <w:szCs w:val="22"/>
          <w:u w:val="single"/>
          <w:lang w:val="sk-SK"/>
        </w:rPr>
        <w:t>Dospelí</w:t>
      </w: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 w:eastAsia="sv-SE"/>
        </w:rPr>
      </w:pPr>
      <w:r w:rsidRPr="00691635">
        <w:rPr>
          <w:i/>
          <w:iCs/>
          <w:color w:val="000000"/>
          <w:szCs w:val="22"/>
          <w:lang w:val="sk-SK"/>
        </w:rPr>
        <w:t>Začiatočná rýchlosť infúzie:</w:t>
      </w: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691635">
        <w:rPr>
          <w:color w:val="000000"/>
          <w:szCs w:val="22"/>
          <w:lang w:val="sk-SK"/>
        </w:rPr>
        <w:t xml:space="preserve">Pri zriedení podľa odporúčania v časti 6.6 (koncentrácia pripravenej infúzie je 40 mg/liter </w:t>
      </w:r>
      <w:proofErr w:type="spellStart"/>
      <w:r w:rsidRPr="00691635">
        <w:rPr>
          <w:color w:val="000000"/>
          <w:szCs w:val="22"/>
          <w:lang w:val="sk-SK"/>
        </w:rPr>
        <w:t>noradrenalínu</w:t>
      </w:r>
      <w:proofErr w:type="spellEnd"/>
      <w:r w:rsidRPr="00691635">
        <w:rPr>
          <w:color w:val="000000"/>
          <w:szCs w:val="22"/>
          <w:lang w:val="sk-SK"/>
        </w:rPr>
        <w:t xml:space="preserve"> (80 mg/liter </w:t>
      </w:r>
      <w:proofErr w:type="spellStart"/>
      <w:r w:rsidRPr="00691635">
        <w:rPr>
          <w:color w:val="000000"/>
          <w:szCs w:val="22"/>
          <w:lang w:val="sk-SK"/>
        </w:rPr>
        <w:t>noradrenalín</w:t>
      </w:r>
      <w:r w:rsidR="00741D12" w:rsidRPr="00691635">
        <w:rPr>
          <w:color w:val="000000"/>
          <w:szCs w:val="22"/>
          <w:lang w:val="sk-SK"/>
        </w:rPr>
        <w:t>iumhydrogén</w:t>
      </w:r>
      <w:r w:rsidR="002069B6" w:rsidRPr="00691635">
        <w:rPr>
          <w:color w:val="000000"/>
          <w:szCs w:val="22"/>
          <w:lang w:val="sk-SK"/>
        </w:rPr>
        <w:t>tartarátu</w:t>
      </w:r>
      <w:proofErr w:type="spellEnd"/>
      <w:r w:rsidRPr="00691635">
        <w:rPr>
          <w:color w:val="000000"/>
          <w:szCs w:val="22"/>
          <w:lang w:val="sk-SK"/>
        </w:rPr>
        <w:t>)) má byť začiatočná rýchlosť infúzie pri telesnej hmotnosti 70 kg medzi 10 ml/h a 20 ml/h (0,16 až 0,33 ml/min). To zodpovedá 0,4 m</w:t>
      </w:r>
      <w:r w:rsidR="008E79B5" w:rsidRPr="00691635">
        <w:rPr>
          <w:color w:val="000000"/>
          <w:szCs w:val="22"/>
          <w:lang w:val="sk-SK"/>
        </w:rPr>
        <w:t>g</w:t>
      </w:r>
      <w:r w:rsidRPr="00691635">
        <w:rPr>
          <w:color w:val="000000"/>
          <w:szCs w:val="22"/>
          <w:lang w:val="sk-SK"/>
        </w:rPr>
        <w:t xml:space="preserve">/h až 0,8 mg/h </w:t>
      </w:r>
      <w:proofErr w:type="spellStart"/>
      <w:r w:rsidRPr="00691635">
        <w:rPr>
          <w:color w:val="000000"/>
          <w:szCs w:val="22"/>
          <w:lang w:val="sk-SK"/>
        </w:rPr>
        <w:t>noradrenalínu</w:t>
      </w:r>
      <w:proofErr w:type="spellEnd"/>
      <w:r w:rsidRPr="00691635">
        <w:rPr>
          <w:color w:val="000000"/>
          <w:szCs w:val="22"/>
          <w:lang w:val="sk-SK"/>
        </w:rPr>
        <w:t xml:space="preserve"> (0,8 mg/h až 1,6 mg/h </w:t>
      </w:r>
      <w:proofErr w:type="spellStart"/>
      <w:r w:rsidRPr="00691635">
        <w:rPr>
          <w:color w:val="000000"/>
          <w:szCs w:val="22"/>
          <w:lang w:val="sk-SK"/>
        </w:rPr>
        <w:t>noradrenalín</w:t>
      </w:r>
      <w:r w:rsidR="008E79B5" w:rsidRPr="00691635">
        <w:rPr>
          <w:color w:val="000000"/>
          <w:szCs w:val="22"/>
          <w:lang w:val="sk-SK"/>
        </w:rPr>
        <w:t>iumhydrogén</w:t>
      </w:r>
      <w:r w:rsidR="002069B6" w:rsidRPr="00691635">
        <w:rPr>
          <w:color w:val="000000"/>
          <w:szCs w:val="22"/>
          <w:lang w:val="sk-SK"/>
        </w:rPr>
        <w:t>tartarátu</w:t>
      </w:r>
      <w:proofErr w:type="spellEnd"/>
      <w:r w:rsidRPr="00691635">
        <w:rPr>
          <w:color w:val="000000"/>
          <w:szCs w:val="22"/>
          <w:lang w:val="sk-SK"/>
        </w:rPr>
        <w:t xml:space="preserve">). Niektorí lekári môžu chcieť začať nižšou začiatočnou rýchlosťou infúzie 5 ml/h (0,08 ml/min), čo zodpovedá 0,2 mg/h </w:t>
      </w:r>
      <w:proofErr w:type="spellStart"/>
      <w:r w:rsidRPr="00691635">
        <w:rPr>
          <w:color w:val="000000"/>
          <w:szCs w:val="22"/>
          <w:lang w:val="sk-SK"/>
        </w:rPr>
        <w:t>noradrenalín</w:t>
      </w:r>
      <w:r w:rsidR="008E79B5" w:rsidRPr="00691635">
        <w:rPr>
          <w:color w:val="000000"/>
          <w:szCs w:val="22"/>
          <w:lang w:val="sk-SK"/>
        </w:rPr>
        <w:t>u</w:t>
      </w:r>
      <w:proofErr w:type="spellEnd"/>
      <w:r w:rsidRPr="00691635">
        <w:rPr>
          <w:color w:val="000000"/>
          <w:szCs w:val="22"/>
          <w:lang w:val="sk-SK"/>
        </w:rPr>
        <w:t xml:space="preserve"> (0,4 mg/h </w:t>
      </w:r>
      <w:proofErr w:type="spellStart"/>
      <w:r w:rsidRPr="00691635">
        <w:rPr>
          <w:color w:val="000000"/>
          <w:szCs w:val="22"/>
          <w:lang w:val="sk-SK"/>
        </w:rPr>
        <w:t>noradrenalín</w:t>
      </w:r>
      <w:r w:rsidR="008E79B5" w:rsidRPr="00691635">
        <w:rPr>
          <w:color w:val="000000"/>
          <w:szCs w:val="22"/>
          <w:lang w:val="sk-SK"/>
        </w:rPr>
        <w:t>iumhydrogén</w:t>
      </w:r>
      <w:r w:rsidR="002069B6" w:rsidRPr="00691635">
        <w:rPr>
          <w:color w:val="000000"/>
          <w:szCs w:val="22"/>
          <w:lang w:val="sk-SK"/>
        </w:rPr>
        <w:t>tartarátu</w:t>
      </w:r>
      <w:proofErr w:type="spellEnd"/>
      <w:r w:rsidRPr="00691635">
        <w:rPr>
          <w:color w:val="000000"/>
          <w:szCs w:val="22"/>
          <w:lang w:val="sk-SK"/>
        </w:rPr>
        <w:t>).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 w:eastAsia="sv-SE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 w:eastAsia="sv-SE"/>
        </w:rPr>
      </w:pPr>
      <w:r w:rsidRPr="00691635">
        <w:rPr>
          <w:i/>
          <w:iCs/>
          <w:color w:val="000000"/>
          <w:szCs w:val="22"/>
          <w:lang w:val="sk-SK"/>
        </w:rPr>
        <w:t>Titrácia dávky:</w:t>
      </w:r>
    </w:p>
    <w:p w:rsidR="008F2E21" w:rsidRDefault="004A7ADD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 w:eastAsia="sv-SE"/>
        </w:rPr>
      </w:pPr>
      <w:r w:rsidRPr="00691635">
        <w:rPr>
          <w:color w:val="000000"/>
          <w:szCs w:val="22"/>
          <w:lang w:val="sk-SK"/>
        </w:rPr>
        <w:t xml:space="preserve">Po zavedení infúzie </w:t>
      </w:r>
      <w:proofErr w:type="spellStart"/>
      <w:r w:rsidRPr="00691635">
        <w:rPr>
          <w:color w:val="000000"/>
          <w:szCs w:val="22"/>
          <w:lang w:val="sk-SK"/>
        </w:rPr>
        <w:t>noradrenalínu</w:t>
      </w:r>
      <w:proofErr w:type="spellEnd"/>
      <w:r w:rsidRPr="00691635">
        <w:rPr>
          <w:color w:val="000000"/>
          <w:szCs w:val="22"/>
          <w:lang w:val="sk-SK"/>
        </w:rPr>
        <w:t xml:space="preserve"> sa má dávka </w:t>
      </w:r>
      <w:proofErr w:type="spellStart"/>
      <w:r w:rsidRPr="00691635">
        <w:rPr>
          <w:color w:val="000000"/>
          <w:szCs w:val="22"/>
          <w:lang w:val="sk-SK"/>
        </w:rPr>
        <w:t>titrovať</w:t>
      </w:r>
      <w:proofErr w:type="spellEnd"/>
      <w:r w:rsidRPr="00691635">
        <w:rPr>
          <w:color w:val="000000"/>
          <w:szCs w:val="22"/>
          <w:lang w:val="sk-SK"/>
        </w:rPr>
        <w:t xml:space="preserve"> v krokoch 0,05 </w:t>
      </w:r>
      <w:r w:rsidRPr="00691635">
        <w:rPr>
          <w:color w:val="000000"/>
          <w:szCs w:val="22"/>
          <w:lang w:val="sk-SK"/>
        </w:rPr>
        <w:noBreakHyphen/>
        <w:t xml:space="preserve"> 0,1 µg/kg/min </w:t>
      </w:r>
      <w:proofErr w:type="spellStart"/>
      <w:r w:rsidRPr="00691635">
        <w:rPr>
          <w:color w:val="000000"/>
          <w:szCs w:val="22"/>
          <w:lang w:val="sk-SK"/>
        </w:rPr>
        <w:t>noradrenalínu</w:t>
      </w:r>
      <w:proofErr w:type="spellEnd"/>
      <w:r w:rsidRPr="00691635">
        <w:rPr>
          <w:color w:val="000000"/>
          <w:szCs w:val="22"/>
          <w:lang w:val="sk-SK"/>
        </w:rPr>
        <w:t xml:space="preserve"> podľa pozorovaného účinku na krvný tlak. Existuje vysoká individuálna variabilita v dávke vyžadovanej na dosiahnutie a udržanie normálneho krvného tlaku. Cieľom by malo byť ustálenie nízkej hodnoty normálneho </w:t>
      </w:r>
      <w:proofErr w:type="spellStart"/>
      <w:r w:rsidRPr="00691635">
        <w:rPr>
          <w:color w:val="000000"/>
          <w:szCs w:val="22"/>
          <w:lang w:val="sk-SK"/>
        </w:rPr>
        <w:t>systolického</w:t>
      </w:r>
      <w:proofErr w:type="spellEnd"/>
      <w:r w:rsidRPr="00691635">
        <w:rPr>
          <w:color w:val="000000"/>
          <w:szCs w:val="22"/>
          <w:lang w:val="sk-SK"/>
        </w:rPr>
        <w:t xml:space="preserve"> krvného tlaku (100 </w:t>
      </w:r>
      <w:r w:rsidRPr="00691635">
        <w:rPr>
          <w:color w:val="000000"/>
          <w:szCs w:val="22"/>
          <w:lang w:val="sk-SK"/>
        </w:rPr>
        <w:noBreakHyphen/>
        <w:t> 120 mm </w:t>
      </w:r>
      <w:proofErr w:type="spellStart"/>
      <w:r w:rsidRPr="00691635">
        <w:rPr>
          <w:color w:val="000000"/>
          <w:szCs w:val="22"/>
          <w:lang w:val="sk-SK"/>
        </w:rPr>
        <w:t>Hg</w:t>
      </w:r>
      <w:proofErr w:type="spellEnd"/>
      <w:r w:rsidRPr="00691635">
        <w:rPr>
          <w:color w:val="000000"/>
          <w:szCs w:val="22"/>
          <w:lang w:val="sk-SK"/>
        </w:rPr>
        <w:t xml:space="preserve">) alebo dosiahnutie primeraného priemerného </w:t>
      </w:r>
      <w:proofErr w:type="spellStart"/>
      <w:r w:rsidRPr="00691635">
        <w:rPr>
          <w:color w:val="000000"/>
          <w:szCs w:val="22"/>
          <w:lang w:val="sk-SK"/>
        </w:rPr>
        <w:t>arteriálneho</w:t>
      </w:r>
      <w:proofErr w:type="spellEnd"/>
      <w:r w:rsidRPr="00691635">
        <w:rPr>
          <w:color w:val="000000"/>
          <w:szCs w:val="22"/>
          <w:lang w:val="sk-SK"/>
        </w:rPr>
        <w:t xml:space="preserve"> krvného tlaku (viac než 65 </w:t>
      </w:r>
      <w:r w:rsidRPr="00691635">
        <w:rPr>
          <w:color w:val="000000"/>
          <w:szCs w:val="22"/>
          <w:lang w:val="sk-SK"/>
        </w:rPr>
        <w:noBreakHyphen/>
        <w:t> 80 mm </w:t>
      </w:r>
      <w:proofErr w:type="spellStart"/>
      <w:r w:rsidRPr="00691635">
        <w:rPr>
          <w:color w:val="000000"/>
          <w:szCs w:val="22"/>
          <w:lang w:val="sk-SK"/>
        </w:rPr>
        <w:t>Hg</w:t>
      </w:r>
      <w:proofErr w:type="spellEnd"/>
      <w:r w:rsidRPr="00691635">
        <w:rPr>
          <w:color w:val="000000"/>
          <w:szCs w:val="22"/>
          <w:lang w:val="sk-SK"/>
        </w:rPr>
        <w:t xml:space="preserve"> - v závislosti od stavu pacienta)</w:t>
      </w:r>
      <w:r w:rsidR="008E79B5" w:rsidRPr="00691635">
        <w:rPr>
          <w:color w:val="000000"/>
          <w:szCs w:val="22"/>
          <w:lang w:val="sk-SK"/>
        </w:rPr>
        <w:t>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 w:eastAsia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991ACA" w:rsidRPr="00C57E01">
        <w:trPr>
          <w:tblHeader/>
        </w:trPr>
        <w:tc>
          <w:tcPr>
            <w:tcW w:w="9211" w:type="dxa"/>
            <w:gridSpan w:val="4"/>
          </w:tcPr>
          <w:p w:rsidR="00991ACA" w:rsidRPr="00691635" w:rsidRDefault="004A7ADD" w:rsidP="008F2E21">
            <w:pPr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val="sk-SK" w:eastAsia="sv-SE"/>
              </w:rPr>
            </w:pPr>
            <w:proofErr w:type="spellStart"/>
            <w:r w:rsidRPr="00691635">
              <w:rPr>
                <w:b/>
                <w:color w:val="000000"/>
                <w:szCs w:val="22"/>
                <w:lang w:val="sk-SK"/>
              </w:rPr>
              <w:t>Noradrenalínový</w:t>
            </w:r>
            <w:proofErr w:type="spellEnd"/>
            <w:r w:rsidRPr="00691635">
              <w:rPr>
                <w:b/>
                <w:color w:val="000000"/>
                <w:szCs w:val="22"/>
                <w:lang w:val="sk-SK"/>
              </w:rPr>
              <w:t xml:space="preserve"> </w:t>
            </w:r>
            <w:proofErr w:type="spellStart"/>
            <w:r w:rsidRPr="00691635">
              <w:rPr>
                <w:b/>
                <w:color w:val="000000"/>
                <w:szCs w:val="22"/>
                <w:lang w:val="sk-SK"/>
              </w:rPr>
              <w:t>infúzny</w:t>
            </w:r>
            <w:proofErr w:type="spellEnd"/>
            <w:r w:rsidRPr="00691635">
              <w:rPr>
                <w:b/>
                <w:color w:val="000000"/>
                <w:szCs w:val="22"/>
                <w:lang w:val="sk-SK"/>
              </w:rPr>
              <w:t xml:space="preserve"> roztok</w:t>
            </w:r>
          </w:p>
          <w:p w:rsidR="00991ACA" w:rsidRPr="00691635" w:rsidRDefault="004A7ADD" w:rsidP="008F2E21">
            <w:pPr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val="sk-SK" w:eastAsia="sv-SE"/>
              </w:rPr>
            </w:pPr>
            <w:r w:rsidRPr="00691635">
              <w:rPr>
                <w:b/>
                <w:color w:val="000000"/>
                <w:szCs w:val="22"/>
                <w:lang w:val="sk-SK"/>
              </w:rPr>
              <w:t xml:space="preserve">        40 mg/liter (40 µg/ml) </w:t>
            </w:r>
            <w:proofErr w:type="spellStart"/>
            <w:r w:rsidRPr="00691635">
              <w:rPr>
                <w:b/>
                <w:color w:val="000000"/>
                <w:szCs w:val="22"/>
                <w:lang w:val="sk-SK"/>
              </w:rPr>
              <w:t>noradrenalínu</w:t>
            </w:r>
            <w:proofErr w:type="spellEnd"/>
          </w:p>
        </w:tc>
      </w:tr>
      <w:tr w:rsidR="00991ACA" w:rsidRPr="00691635">
        <w:trPr>
          <w:tblHeader/>
        </w:trPr>
        <w:tc>
          <w:tcPr>
            <w:tcW w:w="2302" w:type="dxa"/>
          </w:tcPr>
          <w:p w:rsidR="00991ACA" w:rsidRPr="00691635" w:rsidRDefault="004A7ADD" w:rsidP="008F2E21">
            <w:pPr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val="sk-SK" w:eastAsia="sv-SE"/>
              </w:rPr>
            </w:pPr>
            <w:r w:rsidRPr="00691635">
              <w:rPr>
                <w:b/>
                <w:color w:val="000000"/>
                <w:szCs w:val="22"/>
                <w:lang w:val="sk-SK"/>
              </w:rPr>
              <w:t>Telesná hmotnosť pacienta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val="sk-SK" w:eastAsia="sv-SE"/>
              </w:rPr>
            </w:pPr>
            <w:r w:rsidRPr="00691635">
              <w:rPr>
                <w:b/>
                <w:color w:val="000000"/>
                <w:szCs w:val="22"/>
                <w:lang w:val="sk-SK"/>
              </w:rPr>
              <w:t xml:space="preserve">Dávkovanie (µg/kg/min) </w:t>
            </w:r>
            <w:proofErr w:type="spellStart"/>
            <w:r w:rsidRPr="00691635">
              <w:rPr>
                <w:b/>
                <w:color w:val="000000"/>
                <w:szCs w:val="22"/>
                <w:lang w:val="sk-SK"/>
              </w:rPr>
              <w:t>noradrenalínu</w:t>
            </w:r>
            <w:proofErr w:type="spellEnd"/>
          </w:p>
        </w:tc>
        <w:tc>
          <w:tcPr>
            <w:tcW w:w="2303" w:type="dxa"/>
          </w:tcPr>
          <w:p w:rsidR="00991ACA" w:rsidRPr="00691635" w:rsidRDefault="004A7ADD" w:rsidP="008F2E21">
            <w:pPr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val="sk-SK" w:eastAsia="sv-SE"/>
              </w:rPr>
            </w:pPr>
            <w:r w:rsidRPr="00691635">
              <w:rPr>
                <w:b/>
                <w:color w:val="000000"/>
                <w:szCs w:val="22"/>
                <w:lang w:val="sk-SK"/>
              </w:rPr>
              <w:t xml:space="preserve">Dávkovanie (mg/h) </w:t>
            </w:r>
            <w:proofErr w:type="spellStart"/>
            <w:r w:rsidRPr="00691635">
              <w:rPr>
                <w:b/>
                <w:color w:val="000000"/>
                <w:szCs w:val="22"/>
                <w:lang w:val="sk-SK"/>
              </w:rPr>
              <w:t>noradrenalín</w:t>
            </w:r>
            <w:r w:rsidR="00DA38A6" w:rsidRPr="00691635">
              <w:rPr>
                <w:b/>
                <w:color w:val="000000"/>
                <w:szCs w:val="22"/>
                <w:lang w:val="sk-SK"/>
              </w:rPr>
              <w:t>u</w:t>
            </w:r>
            <w:proofErr w:type="spellEnd"/>
          </w:p>
        </w:tc>
        <w:tc>
          <w:tcPr>
            <w:tcW w:w="2303" w:type="dxa"/>
          </w:tcPr>
          <w:p w:rsidR="00991ACA" w:rsidRPr="00691635" w:rsidRDefault="004A7ADD" w:rsidP="008F2E21">
            <w:pPr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val="sk-SK" w:eastAsia="sv-SE"/>
              </w:rPr>
            </w:pPr>
            <w:r w:rsidRPr="00691635">
              <w:rPr>
                <w:b/>
                <w:color w:val="000000"/>
                <w:szCs w:val="22"/>
                <w:lang w:val="sk-SK"/>
              </w:rPr>
              <w:t>Rýchlosť infúzie (ml/h)</w:t>
            </w:r>
          </w:p>
        </w:tc>
      </w:tr>
      <w:tr w:rsidR="00991ACA" w:rsidRPr="00691635">
        <w:trPr>
          <w:trHeight w:val="318"/>
        </w:trPr>
        <w:tc>
          <w:tcPr>
            <w:tcW w:w="2302" w:type="dxa"/>
            <w:vMerge w:val="restart"/>
          </w:tcPr>
          <w:p w:rsidR="00991ACA" w:rsidRPr="00691635" w:rsidRDefault="004A7ADD" w:rsidP="008F2E21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sv-SE"/>
              </w:rPr>
            </w:pPr>
            <w:r w:rsidRPr="00691635">
              <w:rPr>
                <w:color w:val="000000"/>
                <w:szCs w:val="22"/>
                <w:lang w:val="sk-SK"/>
              </w:rPr>
              <w:t>50 kg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0,05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0,15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3,75</w:t>
            </w:r>
          </w:p>
        </w:tc>
      </w:tr>
      <w:tr w:rsidR="00991ACA" w:rsidRPr="00691635">
        <w:tc>
          <w:tcPr>
            <w:tcW w:w="2302" w:type="dxa"/>
            <w:vMerge/>
          </w:tcPr>
          <w:p w:rsidR="00991ACA" w:rsidRPr="00691635" w:rsidRDefault="00991ACA" w:rsidP="008F2E21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sv-SE"/>
              </w:rPr>
            </w:pP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0,1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0,3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7,5</w:t>
            </w:r>
          </w:p>
        </w:tc>
      </w:tr>
      <w:tr w:rsidR="00991ACA" w:rsidRPr="00691635">
        <w:tc>
          <w:tcPr>
            <w:tcW w:w="2302" w:type="dxa"/>
            <w:vMerge/>
          </w:tcPr>
          <w:p w:rsidR="00991ACA" w:rsidRPr="00691635" w:rsidRDefault="00991ACA" w:rsidP="008F2E21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sv-SE"/>
              </w:rPr>
            </w:pP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0,25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0,75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18,75</w:t>
            </w:r>
          </w:p>
        </w:tc>
      </w:tr>
      <w:tr w:rsidR="00991ACA" w:rsidRPr="00691635">
        <w:trPr>
          <w:trHeight w:val="323"/>
        </w:trPr>
        <w:tc>
          <w:tcPr>
            <w:tcW w:w="2302" w:type="dxa"/>
            <w:vMerge/>
          </w:tcPr>
          <w:p w:rsidR="00991ACA" w:rsidRPr="00691635" w:rsidRDefault="00991ACA" w:rsidP="008F2E21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sv-SE"/>
              </w:rPr>
            </w:pP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0,5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1,5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37,5</w:t>
            </w:r>
          </w:p>
        </w:tc>
      </w:tr>
      <w:tr w:rsidR="00991ACA" w:rsidRPr="00691635">
        <w:tc>
          <w:tcPr>
            <w:tcW w:w="2302" w:type="dxa"/>
            <w:vMerge/>
          </w:tcPr>
          <w:p w:rsidR="00991ACA" w:rsidRPr="00691635" w:rsidRDefault="00991ACA" w:rsidP="008F2E21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sv-SE"/>
              </w:rPr>
            </w:pP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1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3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75</w:t>
            </w:r>
          </w:p>
        </w:tc>
      </w:tr>
      <w:tr w:rsidR="00991ACA" w:rsidRPr="00691635">
        <w:tc>
          <w:tcPr>
            <w:tcW w:w="2302" w:type="dxa"/>
            <w:vMerge w:val="restart"/>
          </w:tcPr>
          <w:p w:rsidR="00991ACA" w:rsidRPr="00691635" w:rsidRDefault="004A7ADD" w:rsidP="008F2E21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sv-SE"/>
              </w:rPr>
            </w:pPr>
            <w:r w:rsidRPr="00691635">
              <w:rPr>
                <w:color w:val="000000"/>
                <w:szCs w:val="22"/>
                <w:lang w:val="sk-SK"/>
              </w:rPr>
              <w:t>60 kg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0,05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0,18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4,5</w:t>
            </w:r>
          </w:p>
        </w:tc>
      </w:tr>
      <w:tr w:rsidR="00991ACA" w:rsidRPr="00691635">
        <w:tc>
          <w:tcPr>
            <w:tcW w:w="2302" w:type="dxa"/>
            <w:vMerge/>
          </w:tcPr>
          <w:p w:rsidR="00991ACA" w:rsidRPr="00691635" w:rsidRDefault="00991ACA" w:rsidP="008F2E21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sv-SE"/>
              </w:rPr>
            </w:pP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0,1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0,36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9</w:t>
            </w:r>
          </w:p>
        </w:tc>
      </w:tr>
      <w:tr w:rsidR="00991ACA" w:rsidRPr="00691635">
        <w:tc>
          <w:tcPr>
            <w:tcW w:w="2302" w:type="dxa"/>
            <w:vMerge/>
          </w:tcPr>
          <w:p w:rsidR="00991ACA" w:rsidRPr="00691635" w:rsidRDefault="00991ACA" w:rsidP="008F2E21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sv-SE"/>
              </w:rPr>
            </w:pP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0,25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0,9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22,5</w:t>
            </w:r>
          </w:p>
        </w:tc>
      </w:tr>
      <w:tr w:rsidR="00991ACA" w:rsidRPr="00691635">
        <w:tc>
          <w:tcPr>
            <w:tcW w:w="2302" w:type="dxa"/>
            <w:vMerge/>
          </w:tcPr>
          <w:p w:rsidR="00991ACA" w:rsidRPr="00691635" w:rsidRDefault="00991ACA" w:rsidP="008F2E21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sv-SE"/>
              </w:rPr>
            </w:pP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0,5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1,8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45</w:t>
            </w:r>
          </w:p>
        </w:tc>
      </w:tr>
      <w:tr w:rsidR="00991ACA" w:rsidRPr="00691635">
        <w:tc>
          <w:tcPr>
            <w:tcW w:w="2302" w:type="dxa"/>
            <w:vMerge/>
          </w:tcPr>
          <w:p w:rsidR="00991ACA" w:rsidRPr="00691635" w:rsidRDefault="00991ACA" w:rsidP="008F2E21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sv-SE"/>
              </w:rPr>
            </w:pP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1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3,6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90</w:t>
            </w:r>
          </w:p>
        </w:tc>
      </w:tr>
      <w:tr w:rsidR="00991ACA" w:rsidRPr="00691635">
        <w:tc>
          <w:tcPr>
            <w:tcW w:w="2302" w:type="dxa"/>
            <w:vMerge w:val="restart"/>
          </w:tcPr>
          <w:p w:rsidR="00991ACA" w:rsidRPr="00691635" w:rsidRDefault="004A7ADD" w:rsidP="008F2E21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sv-SE"/>
              </w:rPr>
            </w:pPr>
            <w:r w:rsidRPr="00691635">
              <w:rPr>
                <w:color w:val="000000"/>
                <w:szCs w:val="22"/>
                <w:lang w:val="sk-SK"/>
              </w:rPr>
              <w:t>70 kg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0,05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0,21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5,25</w:t>
            </w:r>
          </w:p>
        </w:tc>
      </w:tr>
      <w:tr w:rsidR="00991ACA" w:rsidRPr="00691635">
        <w:tc>
          <w:tcPr>
            <w:tcW w:w="2302" w:type="dxa"/>
            <w:vMerge/>
          </w:tcPr>
          <w:p w:rsidR="00991ACA" w:rsidRPr="00691635" w:rsidRDefault="00991ACA" w:rsidP="008F2E21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sv-SE"/>
              </w:rPr>
            </w:pP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0,1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0,42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10,5</w:t>
            </w:r>
          </w:p>
        </w:tc>
      </w:tr>
      <w:tr w:rsidR="00991ACA" w:rsidRPr="00691635">
        <w:tc>
          <w:tcPr>
            <w:tcW w:w="2302" w:type="dxa"/>
            <w:vMerge/>
          </w:tcPr>
          <w:p w:rsidR="00991ACA" w:rsidRPr="00691635" w:rsidRDefault="00991ACA" w:rsidP="008F2E21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sv-SE"/>
              </w:rPr>
            </w:pP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0,25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1,05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26,25</w:t>
            </w:r>
          </w:p>
        </w:tc>
      </w:tr>
      <w:tr w:rsidR="00991ACA" w:rsidRPr="00691635">
        <w:tc>
          <w:tcPr>
            <w:tcW w:w="2302" w:type="dxa"/>
            <w:vMerge/>
          </w:tcPr>
          <w:p w:rsidR="00991ACA" w:rsidRPr="00691635" w:rsidRDefault="00991ACA" w:rsidP="008F2E21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sv-SE"/>
              </w:rPr>
            </w:pP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0,5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2,1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52,5</w:t>
            </w:r>
          </w:p>
        </w:tc>
      </w:tr>
      <w:tr w:rsidR="00991ACA" w:rsidRPr="00691635">
        <w:tc>
          <w:tcPr>
            <w:tcW w:w="2302" w:type="dxa"/>
            <w:vMerge/>
          </w:tcPr>
          <w:p w:rsidR="00991ACA" w:rsidRPr="00691635" w:rsidRDefault="00991ACA" w:rsidP="008F2E21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sv-SE"/>
              </w:rPr>
            </w:pP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1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4,2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105</w:t>
            </w:r>
          </w:p>
        </w:tc>
      </w:tr>
      <w:tr w:rsidR="00991ACA" w:rsidRPr="00691635">
        <w:tc>
          <w:tcPr>
            <w:tcW w:w="2302" w:type="dxa"/>
            <w:vMerge w:val="restart"/>
          </w:tcPr>
          <w:p w:rsidR="00991ACA" w:rsidRPr="00691635" w:rsidRDefault="004A7ADD" w:rsidP="008F2E21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sv-SE"/>
              </w:rPr>
            </w:pPr>
            <w:r w:rsidRPr="00691635">
              <w:rPr>
                <w:color w:val="000000"/>
                <w:szCs w:val="22"/>
                <w:lang w:val="sk-SK"/>
              </w:rPr>
              <w:t>80 kg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0,05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0,24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6</w:t>
            </w:r>
          </w:p>
        </w:tc>
      </w:tr>
      <w:tr w:rsidR="00991ACA" w:rsidRPr="00691635">
        <w:tc>
          <w:tcPr>
            <w:tcW w:w="2302" w:type="dxa"/>
            <w:vMerge/>
          </w:tcPr>
          <w:p w:rsidR="00991ACA" w:rsidRPr="00691635" w:rsidRDefault="00991ACA" w:rsidP="008F2E21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sv-SE"/>
              </w:rPr>
            </w:pP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0,1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0,48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12</w:t>
            </w:r>
          </w:p>
        </w:tc>
      </w:tr>
      <w:tr w:rsidR="00991ACA" w:rsidRPr="00691635">
        <w:tc>
          <w:tcPr>
            <w:tcW w:w="2302" w:type="dxa"/>
            <w:vMerge/>
          </w:tcPr>
          <w:p w:rsidR="00991ACA" w:rsidRPr="00691635" w:rsidRDefault="00991ACA" w:rsidP="008F2E21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sv-SE"/>
              </w:rPr>
            </w:pP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0,25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1,2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30</w:t>
            </w:r>
          </w:p>
        </w:tc>
      </w:tr>
      <w:tr w:rsidR="00991ACA" w:rsidRPr="00691635">
        <w:tc>
          <w:tcPr>
            <w:tcW w:w="2302" w:type="dxa"/>
            <w:vMerge/>
          </w:tcPr>
          <w:p w:rsidR="00991ACA" w:rsidRPr="00691635" w:rsidRDefault="00991ACA" w:rsidP="008F2E21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sv-SE"/>
              </w:rPr>
            </w:pP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0,5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2,4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60</w:t>
            </w:r>
          </w:p>
        </w:tc>
      </w:tr>
      <w:tr w:rsidR="00991ACA" w:rsidRPr="00691635">
        <w:tc>
          <w:tcPr>
            <w:tcW w:w="2302" w:type="dxa"/>
            <w:vMerge/>
          </w:tcPr>
          <w:p w:rsidR="00991ACA" w:rsidRPr="00691635" w:rsidRDefault="00991ACA" w:rsidP="008F2E21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sv-SE"/>
              </w:rPr>
            </w:pP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1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4,8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120</w:t>
            </w:r>
          </w:p>
        </w:tc>
      </w:tr>
      <w:tr w:rsidR="00991ACA" w:rsidRPr="00691635">
        <w:tc>
          <w:tcPr>
            <w:tcW w:w="2302" w:type="dxa"/>
            <w:vMerge w:val="restart"/>
          </w:tcPr>
          <w:p w:rsidR="00991ACA" w:rsidRPr="00691635" w:rsidRDefault="004A7ADD" w:rsidP="008F2E21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sv-SE"/>
              </w:rPr>
            </w:pPr>
            <w:r w:rsidRPr="00691635">
              <w:rPr>
                <w:color w:val="000000"/>
                <w:szCs w:val="22"/>
                <w:lang w:val="sk-SK"/>
              </w:rPr>
              <w:t>90 kg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0,05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0,27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6,75</w:t>
            </w:r>
          </w:p>
        </w:tc>
      </w:tr>
      <w:tr w:rsidR="00991ACA" w:rsidRPr="00691635">
        <w:tc>
          <w:tcPr>
            <w:tcW w:w="2302" w:type="dxa"/>
            <w:vMerge/>
          </w:tcPr>
          <w:p w:rsidR="00991ACA" w:rsidRPr="00691635" w:rsidRDefault="00991ACA" w:rsidP="008F2E21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sv-SE"/>
              </w:rPr>
            </w:pP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0,1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0,54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13,5</w:t>
            </w:r>
          </w:p>
        </w:tc>
      </w:tr>
      <w:tr w:rsidR="00991ACA" w:rsidRPr="00691635">
        <w:tc>
          <w:tcPr>
            <w:tcW w:w="2302" w:type="dxa"/>
            <w:vMerge/>
          </w:tcPr>
          <w:p w:rsidR="00991ACA" w:rsidRPr="00691635" w:rsidRDefault="00991ACA" w:rsidP="008F2E21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sv-SE"/>
              </w:rPr>
            </w:pP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0,25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1,35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33,75</w:t>
            </w:r>
          </w:p>
        </w:tc>
      </w:tr>
      <w:tr w:rsidR="00991ACA" w:rsidRPr="00691635">
        <w:tc>
          <w:tcPr>
            <w:tcW w:w="2302" w:type="dxa"/>
            <w:vMerge/>
          </w:tcPr>
          <w:p w:rsidR="00991ACA" w:rsidRPr="00691635" w:rsidRDefault="00991ACA" w:rsidP="008F2E21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sv-SE"/>
              </w:rPr>
            </w:pP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0,5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2,7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67,5</w:t>
            </w:r>
          </w:p>
        </w:tc>
      </w:tr>
      <w:tr w:rsidR="00991ACA" w:rsidRPr="00691635">
        <w:tc>
          <w:tcPr>
            <w:tcW w:w="2302" w:type="dxa"/>
            <w:vMerge/>
          </w:tcPr>
          <w:p w:rsidR="00991ACA" w:rsidRPr="00691635" w:rsidRDefault="00991ACA" w:rsidP="008F2E21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sv-SE"/>
              </w:rPr>
            </w:pP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1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5,4</w:t>
            </w:r>
          </w:p>
        </w:tc>
        <w:tc>
          <w:tcPr>
            <w:tcW w:w="2303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  <w:lang w:val="sk-SK" w:eastAsia="sv-SE"/>
              </w:rPr>
            </w:pPr>
            <w:r w:rsidRPr="0069163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135</w:t>
            </w:r>
          </w:p>
        </w:tc>
      </w:tr>
    </w:tbl>
    <w:p w:rsidR="00991ACA" w:rsidRPr="00691635" w:rsidRDefault="00991ACA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 w:eastAsia="sv-SE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691635">
        <w:rPr>
          <w:color w:val="000000"/>
          <w:szCs w:val="22"/>
          <w:lang w:val="sk-SK"/>
        </w:rPr>
        <w:lastRenderedPageBreak/>
        <w:t>Niektorí lekári môžu uprednostňovať zriedenie v iných koncentráciách. Pri použití zriedení iných ako 40 mg/l</w:t>
      </w:r>
      <w:r w:rsidR="00DA38A6" w:rsidRPr="00691635">
        <w:rPr>
          <w:color w:val="000000"/>
          <w:szCs w:val="22"/>
          <w:lang w:val="sk-SK"/>
        </w:rPr>
        <w:t>iter</w:t>
      </w:r>
      <w:r w:rsidRPr="00691635">
        <w:rPr>
          <w:color w:val="000000"/>
          <w:szCs w:val="22"/>
          <w:lang w:val="sk-SK"/>
        </w:rPr>
        <w:t xml:space="preserve"> sa má pred začatím liečby starostlivo skontrolovať výpočet rýchlosti infúzie.</w:t>
      </w:r>
    </w:p>
    <w:p w:rsidR="008F2E21" w:rsidRPr="00691635" w:rsidRDefault="008F2E21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 w:eastAsia="sv-SE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 w:eastAsia="sv-SE"/>
        </w:rPr>
      </w:pPr>
      <w:r w:rsidRPr="00691635">
        <w:rPr>
          <w:color w:val="000000"/>
          <w:szCs w:val="22"/>
          <w:u w:val="single"/>
          <w:lang w:val="sk-SK"/>
        </w:rPr>
        <w:t>Pacienti s po</w:t>
      </w:r>
      <w:r w:rsidR="00027EF6" w:rsidRPr="00691635">
        <w:rPr>
          <w:color w:val="000000"/>
          <w:szCs w:val="22"/>
          <w:u w:val="single"/>
          <w:lang w:val="sk-SK"/>
        </w:rPr>
        <w:t>ruchou</w:t>
      </w:r>
      <w:r w:rsidRPr="00691635">
        <w:rPr>
          <w:color w:val="000000"/>
          <w:szCs w:val="22"/>
          <w:u w:val="single"/>
          <w:lang w:val="sk-SK"/>
        </w:rPr>
        <w:t xml:space="preserve"> funkcie obličiek alebo pečene:</w:t>
      </w: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691635">
        <w:rPr>
          <w:color w:val="000000"/>
          <w:szCs w:val="22"/>
          <w:lang w:val="sk-SK"/>
        </w:rPr>
        <w:t>Nie sú k dispozícii skúsenosti s liečbou pacientov s po</w:t>
      </w:r>
      <w:r w:rsidR="00517D62" w:rsidRPr="00691635">
        <w:rPr>
          <w:color w:val="000000"/>
          <w:szCs w:val="22"/>
          <w:lang w:val="sk-SK"/>
        </w:rPr>
        <w:t>ruchou</w:t>
      </w:r>
      <w:r w:rsidRPr="00691635">
        <w:rPr>
          <w:color w:val="000000"/>
          <w:szCs w:val="22"/>
          <w:lang w:val="sk-SK"/>
        </w:rPr>
        <w:t xml:space="preserve"> funkcie obličiek alebo pečene.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 w:eastAsia="sv-SE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 w:eastAsia="sv-SE"/>
        </w:rPr>
      </w:pPr>
      <w:r w:rsidRPr="00691635">
        <w:rPr>
          <w:color w:val="000000"/>
          <w:szCs w:val="22"/>
          <w:u w:val="single"/>
          <w:lang w:val="sk-SK"/>
        </w:rPr>
        <w:t>Starší pacienti:</w:t>
      </w: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691635">
        <w:rPr>
          <w:color w:val="000000"/>
          <w:szCs w:val="22"/>
          <w:lang w:val="sk-SK"/>
        </w:rPr>
        <w:t>Rovnako ako dospelí, ale pozri časť 4.4.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 w:eastAsia="sv-SE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 w:eastAsia="sv-SE"/>
        </w:rPr>
      </w:pPr>
      <w:r w:rsidRPr="00691635">
        <w:rPr>
          <w:color w:val="000000"/>
          <w:szCs w:val="22"/>
          <w:u w:val="single"/>
          <w:lang w:val="sk-SK"/>
        </w:rPr>
        <w:t>Pediatrická populácia:</w:t>
      </w:r>
    </w:p>
    <w:p w:rsidR="00991ACA" w:rsidRPr="00691635" w:rsidRDefault="00B26239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 xml:space="preserve">Bezpečnosť a účinnosť </w:t>
      </w:r>
      <w:proofErr w:type="spellStart"/>
      <w:r>
        <w:rPr>
          <w:color w:val="000000"/>
          <w:szCs w:val="22"/>
          <w:lang w:val="sk-SK"/>
        </w:rPr>
        <w:t>Sinor</w:t>
      </w:r>
      <w:r w:rsidR="002E5D5C">
        <w:rPr>
          <w:color w:val="000000"/>
          <w:szCs w:val="22"/>
          <w:lang w:val="sk-SK"/>
        </w:rPr>
        <w:t>y</w:t>
      </w:r>
      <w:proofErr w:type="spellEnd"/>
      <w:r>
        <w:rPr>
          <w:color w:val="000000"/>
          <w:szCs w:val="22"/>
          <w:lang w:val="sk-SK"/>
        </w:rPr>
        <w:t xml:space="preserve"> u detí a dospievajúcich nebola stanovená.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 w:eastAsia="sv-SE"/>
        </w:rPr>
      </w:pPr>
    </w:p>
    <w:p w:rsidR="00991ACA" w:rsidRPr="00691635" w:rsidRDefault="00517D62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 w:eastAsia="sv-SE"/>
        </w:rPr>
      </w:pPr>
      <w:r w:rsidRPr="00691635">
        <w:rPr>
          <w:i/>
          <w:iCs/>
          <w:color w:val="000000"/>
          <w:szCs w:val="22"/>
          <w:u w:val="single"/>
          <w:lang w:val="sk-SK"/>
        </w:rPr>
        <w:t>Trvanie</w:t>
      </w:r>
      <w:r w:rsidR="004A7ADD" w:rsidRPr="00691635">
        <w:rPr>
          <w:i/>
          <w:iCs/>
          <w:color w:val="000000"/>
          <w:szCs w:val="22"/>
          <w:u w:val="single"/>
          <w:lang w:val="sk-SK"/>
        </w:rPr>
        <w:t xml:space="preserve"> a sledovanie liečby:</w:t>
      </w: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691635">
        <w:rPr>
          <w:color w:val="000000"/>
          <w:szCs w:val="22"/>
          <w:lang w:val="sk-SK"/>
        </w:rPr>
        <w:t xml:space="preserve">V podávaní </w:t>
      </w:r>
      <w:proofErr w:type="spellStart"/>
      <w:r w:rsidR="00B26239">
        <w:rPr>
          <w:lang w:val="sk-SK"/>
        </w:rPr>
        <w:t>Sinor</w:t>
      </w:r>
      <w:r w:rsidR="00BB1605">
        <w:rPr>
          <w:lang w:val="sk-SK"/>
        </w:rPr>
        <w:t>y</w:t>
      </w:r>
      <w:proofErr w:type="spellEnd"/>
      <w:r w:rsidR="00A67CC1" w:rsidRPr="00691635">
        <w:rPr>
          <w:lang w:val="sk-SK"/>
        </w:rPr>
        <w:t xml:space="preserve"> </w:t>
      </w:r>
      <w:r w:rsidRPr="00691635">
        <w:rPr>
          <w:color w:val="000000"/>
          <w:szCs w:val="22"/>
          <w:lang w:val="sk-SK"/>
        </w:rPr>
        <w:t xml:space="preserve">sa má pokračovať, až kým nie je indikovaný </w:t>
      </w:r>
      <w:proofErr w:type="spellStart"/>
      <w:r w:rsidRPr="00691635">
        <w:rPr>
          <w:color w:val="000000"/>
          <w:szCs w:val="22"/>
          <w:lang w:val="sk-SK"/>
        </w:rPr>
        <w:t>vazoaktívny</w:t>
      </w:r>
      <w:proofErr w:type="spellEnd"/>
      <w:r w:rsidRPr="00691635">
        <w:rPr>
          <w:color w:val="000000"/>
          <w:szCs w:val="22"/>
          <w:lang w:val="sk-SK"/>
        </w:rPr>
        <w:t xml:space="preserve"> podporný liek. Pacient sa má starostlivo sledovať počas celého trvania liečby. Krvný tlak sa má starostlivo sledovať počas celého trvania liečby.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 w:eastAsia="sv-SE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 w:eastAsia="sv-SE"/>
        </w:rPr>
      </w:pPr>
      <w:r w:rsidRPr="00691635">
        <w:rPr>
          <w:i/>
          <w:iCs/>
          <w:color w:val="000000"/>
          <w:szCs w:val="22"/>
          <w:u w:val="single"/>
          <w:lang w:val="sk-SK"/>
        </w:rPr>
        <w:t>Ukončenie liečby:</w:t>
      </w: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691635">
        <w:rPr>
          <w:color w:val="000000"/>
          <w:szCs w:val="22"/>
          <w:lang w:val="sk-SK"/>
        </w:rPr>
        <w:t xml:space="preserve">Infúzia </w:t>
      </w:r>
      <w:proofErr w:type="spellStart"/>
      <w:r w:rsidR="00B26239">
        <w:rPr>
          <w:lang w:val="sk-SK"/>
        </w:rPr>
        <w:t>Sinor</w:t>
      </w:r>
      <w:r w:rsidR="00BB1605">
        <w:rPr>
          <w:lang w:val="sk-SK"/>
        </w:rPr>
        <w:t>y</w:t>
      </w:r>
      <w:proofErr w:type="spellEnd"/>
      <w:r w:rsidR="00A67CC1" w:rsidRPr="00691635">
        <w:rPr>
          <w:lang w:val="sk-SK"/>
        </w:rPr>
        <w:t xml:space="preserve"> </w:t>
      </w:r>
      <w:r w:rsidRPr="00691635">
        <w:rPr>
          <w:color w:val="000000"/>
          <w:szCs w:val="22"/>
          <w:lang w:val="sk-SK"/>
        </w:rPr>
        <w:t>sa má znižovať postupne, pretože náhle ukončenie môže mať za následok akútnu hypotenziu.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 w:eastAsia="sv-SE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691635">
        <w:rPr>
          <w:b/>
          <w:noProof/>
          <w:szCs w:val="22"/>
          <w:lang w:val="sk-SK"/>
        </w:rPr>
        <w:t>4.3</w:t>
      </w:r>
      <w:r w:rsidRPr="00691635">
        <w:rPr>
          <w:b/>
          <w:noProof/>
          <w:szCs w:val="22"/>
          <w:lang w:val="sk-SK"/>
        </w:rPr>
        <w:tab/>
        <w:t>Kontraindikácie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91635">
        <w:rPr>
          <w:noProof/>
          <w:szCs w:val="22"/>
          <w:lang w:val="sk-SK"/>
        </w:rPr>
        <w:t>Precitlivenosť na liečivo alebo na ktorúkoľvek z pomocných látok uvedených v časti 6.1.</w:t>
      </w: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>Hypotenzia v dôsledku nedostatočného objemu krvi (</w:t>
      </w:r>
      <w:proofErr w:type="spellStart"/>
      <w:r w:rsidRPr="00691635">
        <w:rPr>
          <w:szCs w:val="22"/>
          <w:lang w:val="sk-SK"/>
        </w:rPr>
        <w:t>hypovolémia</w:t>
      </w:r>
      <w:proofErr w:type="spellEnd"/>
      <w:r w:rsidRPr="00691635">
        <w:rPr>
          <w:szCs w:val="22"/>
          <w:lang w:val="sk-SK"/>
        </w:rPr>
        <w:t>).</w:t>
      </w: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 xml:space="preserve">Používanie </w:t>
      </w:r>
      <w:proofErr w:type="spellStart"/>
      <w:r w:rsidRPr="00691635">
        <w:rPr>
          <w:szCs w:val="22"/>
          <w:lang w:val="sk-SK"/>
        </w:rPr>
        <w:t>presorických</w:t>
      </w:r>
      <w:proofErr w:type="spellEnd"/>
      <w:r w:rsidRPr="00691635">
        <w:rPr>
          <w:szCs w:val="22"/>
          <w:lang w:val="sk-SK"/>
        </w:rPr>
        <w:t xml:space="preserve"> </w:t>
      </w:r>
      <w:proofErr w:type="spellStart"/>
      <w:r w:rsidRPr="00691635">
        <w:rPr>
          <w:szCs w:val="22"/>
          <w:lang w:val="sk-SK"/>
        </w:rPr>
        <w:t>amínov</w:t>
      </w:r>
      <w:proofErr w:type="spellEnd"/>
      <w:r w:rsidRPr="00691635">
        <w:rPr>
          <w:szCs w:val="22"/>
          <w:lang w:val="sk-SK"/>
        </w:rPr>
        <w:t xml:space="preserve"> počas </w:t>
      </w:r>
      <w:proofErr w:type="spellStart"/>
      <w:r w:rsidRPr="00691635">
        <w:rPr>
          <w:szCs w:val="22"/>
          <w:lang w:val="sk-SK"/>
        </w:rPr>
        <w:t>cyklopropánovej</w:t>
      </w:r>
      <w:proofErr w:type="spellEnd"/>
      <w:r w:rsidRPr="00691635">
        <w:rPr>
          <w:szCs w:val="22"/>
          <w:lang w:val="sk-SK"/>
        </w:rPr>
        <w:t xml:space="preserve"> alebo </w:t>
      </w:r>
      <w:proofErr w:type="spellStart"/>
      <w:r w:rsidRPr="00691635">
        <w:rPr>
          <w:szCs w:val="22"/>
          <w:lang w:val="sk-SK"/>
        </w:rPr>
        <w:t>halotánovej</w:t>
      </w:r>
      <w:proofErr w:type="spellEnd"/>
      <w:r w:rsidRPr="00691635">
        <w:rPr>
          <w:szCs w:val="22"/>
          <w:lang w:val="sk-SK"/>
        </w:rPr>
        <w:t xml:space="preserve"> anestézie môže spôsobiť závažné srdcové </w:t>
      </w:r>
      <w:proofErr w:type="spellStart"/>
      <w:r w:rsidRPr="00691635">
        <w:rPr>
          <w:szCs w:val="22"/>
          <w:lang w:val="sk-SK"/>
        </w:rPr>
        <w:t>arytmie</w:t>
      </w:r>
      <w:proofErr w:type="spellEnd"/>
      <w:r w:rsidRPr="00691635">
        <w:rPr>
          <w:szCs w:val="22"/>
          <w:lang w:val="sk-SK"/>
        </w:rPr>
        <w:t xml:space="preserve">. Kvôli možnosti zvýšeného rizika </w:t>
      </w:r>
      <w:proofErr w:type="spellStart"/>
      <w:r w:rsidRPr="00691635">
        <w:rPr>
          <w:szCs w:val="22"/>
          <w:lang w:val="sk-SK"/>
        </w:rPr>
        <w:t>ventrikulárnej</w:t>
      </w:r>
      <w:proofErr w:type="spellEnd"/>
      <w:r w:rsidRPr="00691635">
        <w:rPr>
          <w:szCs w:val="22"/>
          <w:lang w:val="sk-SK"/>
        </w:rPr>
        <w:t xml:space="preserve"> </w:t>
      </w:r>
      <w:proofErr w:type="spellStart"/>
      <w:r w:rsidRPr="00691635">
        <w:rPr>
          <w:szCs w:val="22"/>
          <w:lang w:val="sk-SK"/>
        </w:rPr>
        <w:t>fibrilácie</w:t>
      </w:r>
      <w:proofErr w:type="spellEnd"/>
      <w:r w:rsidRPr="00691635">
        <w:rPr>
          <w:szCs w:val="22"/>
          <w:lang w:val="sk-SK"/>
        </w:rPr>
        <w:t xml:space="preserve"> sa má používať </w:t>
      </w:r>
      <w:proofErr w:type="spellStart"/>
      <w:r w:rsidRPr="00691635">
        <w:rPr>
          <w:szCs w:val="22"/>
          <w:lang w:val="sk-SK"/>
        </w:rPr>
        <w:t>noradrenalín</w:t>
      </w:r>
      <w:proofErr w:type="spellEnd"/>
      <w:r w:rsidRPr="00691635">
        <w:rPr>
          <w:szCs w:val="22"/>
          <w:lang w:val="sk-SK"/>
        </w:rPr>
        <w:t xml:space="preserve"> s opatrnosťou u pacientov dostávajúcich tieto alebo iné srdcové </w:t>
      </w:r>
      <w:proofErr w:type="spellStart"/>
      <w:r w:rsidRPr="00691635">
        <w:rPr>
          <w:szCs w:val="22"/>
          <w:lang w:val="sk-SK"/>
        </w:rPr>
        <w:t>senzitizačné</w:t>
      </w:r>
      <w:proofErr w:type="spellEnd"/>
      <w:r w:rsidRPr="00691635">
        <w:rPr>
          <w:szCs w:val="22"/>
          <w:lang w:val="sk-SK"/>
        </w:rPr>
        <w:t xml:space="preserve"> látky alebo u pacientov s hlbokou </w:t>
      </w:r>
      <w:proofErr w:type="spellStart"/>
      <w:r w:rsidRPr="00691635">
        <w:rPr>
          <w:szCs w:val="22"/>
          <w:lang w:val="sk-SK"/>
        </w:rPr>
        <w:t>hypoxiou</w:t>
      </w:r>
      <w:proofErr w:type="spellEnd"/>
      <w:r w:rsidRPr="00691635">
        <w:rPr>
          <w:szCs w:val="22"/>
          <w:lang w:val="sk-SK"/>
        </w:rPr>
        <w:t xml:space="preserve"> alebo </w:t>
      </w:r>
      <w:proofErr w:type="spellStart"/>
      <w:r w:rsidRPr="00691635">
        <w:rPr>
          <w:szCs w:val="22"/>
          <w:lang w:val="sk-SK"/>
        </w:rPr>
        <w:t>hyperkarbiou</w:t>
      </w:r>
      <w:proofErr w:type="spellEnd"/>
      <w:r w:rsidRPr="00691635">
        <w:rPr>
          <w:szCs w:val="22"/>
          <w:lang w:val="sk-SK"/>
        </w:rPr>
        <w:t>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sk-SK"/>
        </w:rPr>
      </w:pPr>
      <w:r w:rsidRPr="00691635">
        <w:rPr>
          <w:b/>
          <w:noProof/>
          <w:szCs w:val="22"/>
          <w:lang w:val="sk-SK"/>
        </w:rPr>
        <w:t>4.4</w:t>
      </w:r>
      <w:r w:rsidRPr="00691635">
        <w:rPr>
          <w:b/>
          <w:noProof/>
          <w:szCs w:val="22"/>
          <w:lang w:val="sk-SK"/>
        </w:rPr>
        <w:tab/>
        <w:t>Osobitné upozornenia a opatrenia pri používaní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B26239" w:rsidP="008F2E21">
      <w:pPr>
        <w:spacing w:line="240" w:lineRule="auto"/>
        <w:outlineLvl w:val="0"/>
        <w:rPr>
          <w:noProof/>
          <w:szCs w:val="22"/>
          <w:lang w:val="sk-SK"/>
        </w:rPr>
      </w:pPr>
      <w:proofErr w:type="spellStart"/>
      <w:r>
        <w:rPr>
          <w:lang w:val="sk-SK"/>
        </w:rPr>
        <w:t>Sinor</w:t>
      </w:r>
      <w:r w:rsidR="00BB1605">
        <w:rPr>
          <w:lang w:val="sk-SK"/>
        </w:rPr>
        <w:t>u</w:t>
      </w:r>
      <w:proofErr w:type="spellEnd"/>
      <w:r w:rsidR="00A67CC1" w:rsidRPr="00691635">
        <w:rPr>
          <w:lang w:val="sk-SK"/>
        </w:rPr>
        <w:t xml:space="preserve"> </w:t>
      </w:r>
      <w:r w:rsidR="004A7ADD" w:rsidRPr="00691635">
        <w:rPr>
          <w:noProof/>
          <w:szCs w:val="22"/>
          <w:lang w:val="sk-SK"/>
        </w:rPr>
        <w:t>majú podávať iba zdravotnícki pracovníci, ktorí sú oboznámení s používaním tohto lieku.</w:t>
      </w:r>
    </w:p>
    <w:p w:rsidR="00991ACA" w:rsidRPr="00691635" w:rsidRDefault="00991ACA" w:rsidP="008F2E21">
      <w:pPr>
        <w:spacing w:line="240" w:lineRule="auto"/>
        <w:outlineLvl w:val="0"/>
        <w:rPr>
          <w:noProof/>
          <w:szCs w:val="22"/>
          <w:lang w:val="sk-SK"/>
        </w:rPr>
      </w:pPr>
    </w:p>
    <w:p w:rsidR="00991ACA" w:rsidRPr="00691635" w:rsidRDefault="004A7ADD" w:rsidP="008F2E21">
      <w:pPr>
        <w:spacing w:line="240" w:lineRule="auto"/>
        <w:rPr>
          <w:szCs w:val="22"/>
          <w:u w:val="single"/>
          <w:lang w:val="sk-SK"/>
        </w:rPr>
      </w:pPr>
      <w:r w:rsidRPr="00691635">
        <w:rPr>
          <w:szCs w:val="22"/>
          <w:u w:val="single"/>
          <w:lang w:val="sk-SK"/>
        </w:rPr>
        <w:t>Upozornenia</w:t>
      </w:r>
    </w:p>
    <w:p w:rsidR="00991ACA" w:rsidRPr="00691635" w:rsidRDefault="00991ACA" w:rsidP="008F2E21">
      <w:pPr>
        <w:spacing w:line="240" w:lineRule="auto"/>
        <w:rPr>
          <w:szCs w:val="22"/>
          <w:u w:val="single"/>
          <w:lang w:val="sk-SK"/>
        </w:rPr>
      </w:pP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91635">
        <w:rPr>
          <w:szCs w:val="22"/>
          <w:lang w:val="sk-SK"/>
        </w:rPr>
        <w:t>Noradrenalín</w:t>
      </w:r>
      <w:proofErr w:type="spellEnd"/>
      <w:r w:rsidRPr="00691635">
        <w:rPr>
          <w:szCs w:val="22"/>
          <w:lang w:val="sk-SK"/>
        </w:rPr>
        <w:t xml:space="preserve"> sa má používať len v spojení s príslušným doplnením krvného objemu.</w:t>
      </w: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 xml:space="preserve">Pri infúzii </w:t>
      </w:r>
      <w:proofErr w:type="spellStart"/>
      <w:r w:rsidRPr="00691635">
        <w:rPr>
          <w:szCs w:val="22"/>
          <w:lang w:val="sk-SK"/>
        </w:rPr>
        <w:t>noradrenalínu</w:t>
      </w:r>
      <w:proofErr w:type="spellEnd"/>
      <w:r w:rsidRPr="00691635">
        <w:rPr>
          <w:szCs w:val="22"/>
          <w:lang w:val="sk-SK"/>
        </w:rPr>
        <w:t xml:space="preserve"> sa m</w:t>
      </w:r>
      <w:r w:rsidR="00BB1605">
        <w:rPr>
          <w:szCs w:val="22"/>
          <w:lang w:val="sk-SK"/>
        </w:rPr>
        <w:t>á</w:t>
      </w:r>
      <w:r w:rsidRPr="00691635">
        <w:rPr>
          <w:szCs w:val="22"/>
          <w:lang w:val="sk-SK"/>
        </w:rPr>
        <w:t xml:space="preserve"> často kontrolovať krvný tlak a rýchlosť infúzie, aby sa zabránilo hypertenzii.</w:t>
      </w: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>Lieky podávané injekčne sa musia vždy vizuálne skontrolovať a nesmú sa použiť, ak sú v nich prítomné častice, alebo ak sa zistí zmena zafarbenia.</w:t>
      </w:r>
    </w:p>
    <w:p w:rsidR="00991ACA" w:rsidRPr="00691635" w:rsidRDefault="00991ACA" w:rsidP="008F2E21">
      <w:pPr>
        <w:spacing w:line="240" w:lineRule="auto"/>
        <w:rPr>
          <w:szCs w:val="22"/>
          <w:lang w:val="sk-SK"/>
        </w:rPr>
      </w:pP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 xml:space="preserve">Riziko </w:t>
      </w:r>
      <w:proofErr w:type="spellStart"/>
      <w:r w:rsidRPr="00691635">
        <w:rPr>
          <w:szCs w:val="22"/>
          <w:lang w:val="sk-SK"/>
        </w:rPr>
        <w:t>extravazácie</w:t>
      </w:r>
      <w:proofErr w:type="spellEnd"/>
      <w:r w:rsidRPr="00691635">
        <w:rPr>
          <w:szCs w:val="22"/>
          <w:lang w:val="sk-SK"/>
        </w:rPr>
        <w:t>:</w:t>
      </w:r>
    </w:p>
    <w:p w:rsidR="00991ACA" w:rsidRPr="00691635" w:rsidRDefault="004A7ADD" w:rsidP="008F2E21">
      <w:pPr>
        <w:spacing w:line="240" w:lineRule="auto"/>
        <w:ind w:left="720"/>
        <w:rPr>
          <w:szCs w:val="22"/>
          <w:lang w:val="sk-SK"/>
        </w:rPr>
      </w:pPr>
      <w:r w:rsidRPr="00691635">
        <w:rPr>
          <w:szCs w:val="22"/>
          <w:lang w:val="sk-SK"/>
        </w:rPr>
        <w:t xml:space="preserve">Miesto infúzie sa má často kontrolovať na voľný prietok. Má sa starostlivo zabrániť </w:t>
      </w:r>
      <w:proofErr w:type="spellStart"/>
      <w:r w:rsidRPr="00691635">
        <w:rPr>
          <w:szCs w:val="22"/>
          <w:lang w:val="sk-SK"/>
        </w:rPr>
        <w:t>extravazácii</w:t>
      </w:r>
      <w:proofErr w:type="spellEnd"/>
      <w:r w:rsidRPr="00691635">
        <w:rPr>
          <w:szCs w:val="22"/>
          <w:lang w:val="sk-SK"/>
        </w:rPr>
        <w:t xml:space="preserve">, ktorá by spôsobila </w:t>
      </w:r>
      <w:proofErr w:type="spellStart"/>
      <w:r w:rsidRPr="00691635">
        <w:rPr>
          <w:szCs w:val="22"/>
          <w:lang w:val="sk-SK"/>
        </w:rPr>
        <w:t>nekrózu</w:t>
      </w:r>
      <w:proofErr w:type="spellEnd"/>
      <w:r w:rsidRPr="00691635">
        <w:rPr>
          <w:szCs w:val="22"/>
          <w:lang w:val="sk-SK"/>
        </w:rPr>
        <w:t xml:space="preserve"> tkanív okolo cievy, do ktorej sa injikuje liek. Kvôli </w:t>
      </w:r>
      <w:proofErr w:type="spellStart"/>
      <w:r w:rsidRPr="00691635">
        <w:rPr>
          <w:szCs w:val="22"/>
          <w:lang w:val="sk-SK"/>
        </w:rPr>
        <w:t>vazokonstrikcii</w:t>
      </w:r>
      <w:proofErr w:type="spellEnd"/>
      <w:r w:rsidRPr="00691635">
        <w:rPr>
          <w:szCs w:val="22"/>
          <w:lang w:val="sk-SK"/>
        </w:rPr>
        <w:t xml:space="preserve"> cievnej steny so zvýšenou </w:t>
      </w:r>
      <w:proofErr w:type="spellStart"/>
      <w:r w:rsidRPr="00691635">
        <w:rPr>
          <w:szCs w:val="22"/>
          <w:lang w:val="sk-SK"/>
        </w:rPr>
        <w:t>permeabilitou</w:t>
      </w:r>
      <w:proofErr w:type="spellEnd"/>
      <w:r w:rsidRPr="00691635">
        <w:rPr>
          <w:szCs w:val="22"/>
          <w:lang w:val="sk-SK"/>
        </w:rPr>
        <w:t xml:space="preserve"> môže dôjsť k určitému prenikaniu </w:t>
      </w:r>
      <w:proofErr w:type="spellStart"/>
      <w:r w:rsidRPr="00691635">
        <w:rPr>
          <w:szCs w:val="22"/>
          <w:lang w:val="sk-SK"/>
        </w:rPr>
        <w:t>noradrenalínu</w:t>
      </w:r>
      <w:proofErr w:type="spellEnd"/>
      <w:r w:rsidRPr="00691635">
        <w:rPr>
          <w:szCs w:val="22"/>
          <w:lang w:val="sk-SK"/>
        </w:rPr>
        <w:t xml:space="preserve"> do tkanív okolo cievy, do ktorej sa podáva infúzia, čo spôsobuje vyblednutie tkanív, ktoré však nie je spôsobené zjavnou </w:t>
      </w:r>
      <w:proofErr w:type="spellStart"/>
      <w:r w:rsidRPr="00691635">
        <w:rPr>
          <w:szCs w:val="22"/>
          <w:lang w:val="sk-SK"/>
        </w:rPr>
        <w:t>extravazáciou</w:t>
      </w:r>
      <w:proofErr w:type="spellEnd"/>
      <w:r w:rsidRPr="00691635">
        <w:rPr>
          <w:szCs w:val="22"/>
          <w:lang w:val="sk-SK"/>
        </w:rPr>
        <w:t xml:space="preserve">. Keď sa objaví blednutie, má sa zvážiť zmena miesta infúzie, aby sa umožnilo ústupu účinku lokálnej </w:t>
      </w:r>
      <w:proofErr w:type="spellStart"/>
      <w:r w:rsidRPr="00691635">
        <w:rPr>
          <w:szCs w:val="22"/>
          <w:lang w:val="sk-SK"/>
        </w:rPr>
        <w:t>vazokonstrikcie</w:t>
      </w:r>
      <w:proofErr w:type="spellEnd"/>
      <w:r w:rsidRPr="00691635">
        <w:rPr>
          <w:szCs w:val="22"/>
          <w:lang w:val="sk-SK"/>
        </w:rPr>
        <w:t>.</w:t>
      </w:r>
    </w:p>
    <w:p w:rsidR="00991ACA" w:rsidRPr="00691635" w:rsidRDefault="00991ACA" w:rsidP="008F2E21">
      <w:pPr>
        <w:spacing w:line="240" w:lineRule="auto"/>
        <w:ind w:left="720"/>
        <w:rPr>
          <w:szCs w:val="22"/>
          <w:lang w:val="sk-SK"/>
        </w:rPr>
      </w:pP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 xml:space="preserve">Liečba ischémie spôsobenej </w:t>
      </w:r>
      <w:proofErr w:type="spellStart"/>
      <w:r w:rsidRPr="00691635">
        <w:rPr>
          <w:szCs w:val="22"/>
          <w:lang w:val="sk-SK"/>
        </w:rPr>
        <w:t>extravazáciou</w:t>
      </w:r>
      <w:proofErr w:type="spellEnd"/>
      <w:r w:rsidRPr="00691635">
        <w:rPr>
          <w:szCs w:val="22"/>
          <w:lang w:val="sk-SK"/>
        </w:rPr>
        <w:t>:</w:t>
      </w:r>
    </w:p>
    <w:p w:rsidR="00991ACA" w:rsidRPr="00691635" w:rsidRDefault="004A7ADD" w:rsidP="008F2E21">
      <w:pPr>
        <w:spacing w:line="240" w:lineRule="auto"/>
        <w:ind w:left="720"/>
        <w:rPr>
          <w:szCs w:val="22"/>
          <w:lang w:val="sk-SK"/>
        </w:rPr>
      </w:pPr>
      <w:r w:rsidRPr="00691635">
        <w:rPr>
          <w:szCs w:val="22"/>
          <w:lang w:val="sk-SK"/>
        </w:rPr>
        <w:t xml:space="preserve">Počas </w:t>
      </w:r>
      <w:proofErr w:type="spellStart"/>
      <w:r w:rsidRPr="00691635">
        <w:rPr>
          <w:szCs w:val="22"/>
          <w:lang w:val="sk-SK"/>
        </w:rPr>
        <w:t>mimocievneho</w:t>
      </w:r>
      <w:proofErr w:type="spellEnd"/>
      <w:r w:rsidRPr="00691635">
        <w:rPr>
          <w:szCs w:val="22"/>
          <w:lang w:val="sk-SK"/>
        </w:rPr>
        <w:t xml:space="preserve"> prenikania lieku alebo injekcie mimo cievy môže dôjsť k poškodeniu tkaniva, ktoré je následkom </w:t>
      </w:r>
      <w:proofErr w:type="spellStart"/>
      <w:r w:rsidRPr="00691635">
        <w:rPr>
          <w:szCs w:val="22"/>
          <w:lang w:val="sk-SK"/>
        </w:rPr>
        <w:t>vazokonstriktívneho</w:t>
      </w:r>
      <w:proofErr w:type="spellEnd"/>
      <w:r w:rsidRPr="00691635">
        <w:rPr>
          <w:szCs w:val="22"/>
          <w:lang w:val="sk-SK"/>
        </w:rPr>
        <w:t xml:space="preserve"> účinku lieku na cievy. Oblasť injekcie sa musí v takom prípade prepláchnuť tak rýchlo, ako je to možné, s 10 až 15 ml fyziologického </w:t>
      </w:r>
      <w:r w:rsidRPr="00691635">
        <w:rPr>
          <w:szCs w:val="22"/>
          <w:lang w:val="sk-SK"/>
        </w:rPr>
        <w:lastRenderedPageBreak/>
        <w:t xml:space="preserve">roztoku soli obsahujúceho 5 až 10 mg </w:t>
      </w:r>
      <w:proofErr w:type="spellStart"/>
      <w:r w:rsidRPr="00691635">
        <w:rPr>
          <w:szCs w:val="22"/>
          <w:lang w:val="sk-SK"/>
        </w:rPr>
        <w:t>fentolamín</w:t>
      </w:r>
      <w:r w:rsidR="00517D62" w:rsidRPr="00691635">
        <w:rPr>
          <w:szCs w:val="22"/>
          <w:lang w:val="sk-SK"/>
        </w:rPr>
        <w:t>ium</w:t>
      </w:r>
      <w:r w:rsidRPr="00691635">
        <w:rPr>
          <w:szCs w:val="22"/>
          <w:lang w:val="sk-SK"/>
        </w:rPr>
        <w:t>mes</w:t>
      </w:r>
      <w:r w:rsidR="00517D62" w:rsidRPr="00691635">
        <w:rPr>
          <w:szCs w:val="22"/>
          <w:lang w:val="sk-SK"/>
        </w:rPr>
        <w:t>i</w:t>
      </w:r>
      <w:r w:rsidRPr="00691635">
        <w:rPr>
          <w:szCs w:val="22"/>
          <w:lang w:val="sk-SK"/>
        </w:rPr>
        <w:t>látu</w:t>
      </w:r>
      <w:proofErr w:type="spellEnd"/>
      <w:r w:rsidRPr="00691635">
        <w:rPr>
          <w:szCs w:val="22"/>
          <w:lang w:val="sk-SK"/>
        </w:rPr>
        <w:t>. Na tento účel je potrebné použiť injekčnú striekačku s tenkou ihlou a injikovať lokálne.</w:t>
      </w:r>
    </w:p>
    <w:p w:rsidR="008F2E21" w:rsidRPr="00691635" w:rsidRDefault="008F2E21" w:rsidP="008F2E21">
      <w:pPr>
        <w:spacing w:line="240" w:lineRule="auto"/>
        <w:rPr>
          <w:szCs w:val="22"/>
          <w:lang w:val="sk-SK"/>
        </w:rPr>
      </w:pPr>
    </w:p>
    <w:p w:rsidR="00991ACA" w:rsidRPr="00691635" w:rsidRDefault="004A7ADD" w:rsidP="008F2E21">
      <w:pPr>
        <w:spacing w:line="240" w:lineRule="auto"/>
        <w:rPr>
          <w:szCs w:val="22"/>
          <w:u w:val="single"/>
          <w:lang w:val="sk-SK"/>
        </w:rPr>
      </w:pPr>
      <w:r w:rsidRPr="00691635">
        <w:rPr>
          <w:szCs w:val="22"/>
          <w:u w:val="single"/>
          <w:lang w:val="sk-SK"/>
        </w:rPr>
        <w:t>Opatrenia pri používaní</w:t>
      </w:r>
    </w:p>
    <w:p w:rsidR="00991ACA" w:rsidRPr="00691635" w:rsidRDefault="00991ACA" w:rsidP="008F2E21">
      <w:pPr>
        <w:spacing w:line="240" w:lineRule="auto"/>
        <w:rPr>
          <w:szCs w:val="22"/>
          <w:lang w:val="sk-SK"/>
        </w:rPr>
      </w:pPr>
    </w:p>
    <w:p w:rsidR="00991ACA" w:rsidRPr="00691635" w:rsidRDefault="004A7ADD" w:rsidP="008F2E21">
      <w:pPr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>Pozornosť a prísne dodržiavanie indikácie v prípade:</w:t>
      </w:r>
    </w:p>
    <w:p w:rsidR="00991ACA" w:rsidRPr="00691635" w:rsidRDefault="00991ACA" w:rsidP="008F2E21">
      <w:pPr>
        <w:spacing w:line="240" w:lineRule="auto"/>
        <w:rPr>
          <w:szCs w:val="22"/>
          <w:lang w:val="sk-SK"/>
        </w:rPr>
      </w:pP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 xml:space="preserve">Závažnej dysfunkcie </w:t>
      </w:r>
      <w:r w:rsidR="00BB1605">
        <w:rPr>
          <w:szCs w:val="22"/>
          <w:lang w:val="sk-SK"/>
        </w:rPr>
        <w:t xml:space="preserve">ľavej komory, </w:t>
      </w:r>
      <w:r w:rsidRPr="00691635">
        <w:rPr>
          <w:szCs w:val="22"/>
          <w:lang w:val="sk-SK"/>
        </w:rPr>
        <w:t>spojenej s akútnou hypotenziou, kedy je potrebné starostlivé vyhodnotenie krvného tlaku pacienta. Podpor</w:t>
      </w:r>
      <w:r w:rsidR="00517D62" w:rsidRPr="00691635">
        <w:rPr>
          <w:szCs w:val="22"/>
          <w:lang w:val="sk-SK"/>
        </w:rPr>
        <w:t>ná</w:t>
      </w:r>
      <w:r w:rsidRPr="00691635">
        <w:rPr>
          <w:szCs w:val="22"/>
          <w:lang w:val="sk-SK"/>
        </w:rPr>
        <w:t xml:space="preserve"> liečb</w:t>
      </w:r>
      <w:r w:rsidR="00517D62" w:rsidRPr="00691635">
        <w:rPr>
          <w:szCs w:val="22"/>
          <w:lang w:val="sk-SK"/>
        </w:rPr>
        <w:t xml:space="preserve">a </w:t>
      </w:r>
      <w:r w:rsidRPr="00691635">
        <w:rPr>
          <w:szCs w:val="22"/>
          <w:lang w:val="sk-SK"/>
        </w:rPr>
        <w:t xml:space="preserve">sa má zahájiť zároveň s diagnostickým vyhodnotením. </w:t>
      </w:r>
      <w:proofErr w:type="spellStart"/>
      <w:r w:rsidRPr="00691635">
        <w:rPr>
          <w:szCs w:val="22"/>
          <w:lang w:val="sk-SK"/>
        </w:rPr>
        <w:t>Noradrenalín</w:t>
      </w:r>
      <w:proofErr w:type="spellEnd"/>
      <w:r w:rsidRPr="00691635">
        <w:rPr>
          <w:szCs w:val="22"/>
          <w:lang w:val="sk-SK"/>
        </w:rPr>
        <w:t xml:space="preserve"> sa má používať výlučne u pacientov s </w:t>
      </w:r>
      <w:proofErr w:type="spellStart"/>
      <w:r w:rsidRPr="00691635">
        <w:rPr>
          <w:szCs w:val="22"/>
          <w:lang w:val="sk-SK"/>
        </w:rPr>
        <w:t>kardiog</w:t>
      </w:r>
      <w:r w:rsidR="00517D62" w:rsidRPr="00691635">
        <w:rPr>
          <w:szCs w:val="22"/>
          <w:lang w:val="sk-SK"/>
        </w:rPr>
        <w:t>énnym</w:t>
      </w:r>
      <w:proofErr w:type="spellEnd"/>
      <w:r w:rsidRPr="00691635">
        <w:rPr>
          <w:szCs w:val="22"/>
          <w:lang w:val="sk-SK"/>
        </w:rPr>
        <w:t xml:space="preserve"> šokom a</w:t>
      </w:r>
      <w:r w:rsidR="00345464" w:rsidRPr="00691635">
        <w:rPr>
          <w:szCs w:val="22"/>
          <w:lang w:val="sk-SK"/>
        </w:rPr>
        <w:t> </w:t>
      </w:r>
      <w:r w:rsidRPr="00691635">
        <w:rPr>
          <w:szCs w:val="22"/>
          <w:lang w:val="sk-SK"/>
        </w:rPr>
        <w:t>hypotenziou</w:t>
      </w:r>
      <w:r w:rsidR="00345464" w:rsidRPr="00691635">
        <w:rPr>
          <w:szCs w:val="22"/>
          <w:lang w:val="sk-SK"/>
        </w:rPr>
        <w:t xml:space="preserve"> nezaberajúcou na liečbu</w:t>
      </w:r>
      <w:r w:rsidRPr="00691635">
        <w:rPr>
          <w:szCs w:val="22"/>
          <w:lang w:val="sk-SK"/>
        </w:rPr>
        <w:t xml:space="preserve">, a to hlavne u pacientov bez zvýšenej systémovej </w:t>
      </w:r>
      <w:proofErr w:type="spellStart"/>
      <w:r w:rsidRPr="00691635">
        <w:rPr>
          <w:szCs w:val="22"/>
          <w:lang w:val="sk-SK"/>
        </w:rPr>
        <w:t>vaskulárnej</w:t>
      </w:r>
      <w:proofErr w:type="spellEnd"/>
      <w:r w:rsidRPr="00691635">
        <w:rPr>
          <w:szCs w:val="22"/>
          <w:lang w:val="sk-SK"/>
        </w:rPr>
        <w:t xml:space="preserve"> rezistencie. Má sa začať v dávke 2 až 4 µg/min a </w:t>
      </w:r>
      <w:proofErr w:type="spellStart"/>
      <w:r w:rsidRPr="00691635">
        <w:rPr>
          <w:szCs w:val="22"/>
          <w:lang w:val="sk-SK"/>
        </w:rPr>
        <w:t>titrovať</w:t>
      </w:r>
      <w:proofErr w:type="spellEnd"/>
      <w:r w:rsidRPr="00691635">
        <w:rPr>
          <w:szCs w:val="22"/>
          <w:lang w:val="sk-SK"/>
        </w:rPr>
        <w:t xml:space="preserve"> nahor a podľa potreby. Ak nie je možné udržať systémovú </w:t>
      </w:r>
      <w:proofErr w:type="spellStart"/>
      <w:r w:rsidRPr="00691635">
        <w:rPr>
          <w:szCs w:val="22"/>
          <w:lang w:val="sk-SK"/>
        </w:rPr>
        <w:t>perfúziu</w:t>
      </w:r>
      <w:proofErr w:type="spellEnd"/>
      <w:r w:rsidRPr="00691635">
        <w:rPr>
          <w:szCs w:val="22"/>
          <w:lang w:val="sk-SK"/>
        </w:rPr>
        <w:t xml:space="preserve"> alebo </w:t>
      </w:r>
      <w:proofErr w:type="spellStart"/>
      <w:r w:rsidRPr="00691635">
        <w:rPr>
          <w:szCs w:val="22"/>
          <w:lang w:val="sk-SK"/>
        </w:rPr>
        <w:t>systolický</w:t>
      </w:r>
      <w:proofErr w:type="spellEnd"/>
      <w:r w:rsidRPr="00691635">
        <w:rPr>
          <w:szCs w:val="22"/>
          <w:lang w:val="sk-SK"/>
        </w:rPr>
        <w:t xml:space="preserve"> krvný tlak pri &gt; 90 </w:t>
      </w:r>
      <w:proofErr w:type="spellStart"/>
      <w:r w:rsidRPr="00691635">
        <w:rPr>
          <w:szCs w:val="22"/>
          <w:lang w:val="sk-SK"/>
        </w:rPr>
        <w:t>mmHg</w:t>
      </w:r>
      <w:proofErr w:type="spellEnd"/>
      <w:r w:rsidRPr="00691635">
        <w:rPr>
          <w:szCs w:val="22"/>
          <w:lang w:val="sk-SK"/>
        </w:rPr>
        <w:t xml:space="preserve"> s dávkou 15 µg/min, je nepravdepodobné, že by bolo ďalšie zvyšovanie dávky prospešné.</w:t>
      </w:r>
    </w:p>
    <w:p w:rsidR="00991ACA" w:rsidRPr="00691635" w:rsidRDefault="00991ACA" w:rsidP="008F2E21">
      <w:pPr>
        <w:spacing w:line="240" w:lineRule="auto"/>
        <w:ind w:left="720"/>
        <w:rPr>
          <w:szCs w:val="22"/>
          <w:lang w:val="sk-SK"/>
        </w:rPr>
      </w:pP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 xml:space="preserve">Osobitná pozornosť sa má zachovať u pacientov s koronárnou, </w:t>
      </w:r>
      <w:proofErr w:type="spellStart"/>
      <w:r w:rsidRPr="00691635">
        <w:rPr>
          <w:szCs w:val="22"/>
          <w:lang w:val="sk-SK"/>
        </w:rPr>
        <w:t>mezentrickou</w:t>
      </w:r>
      <w:proofErr w:type="spellEnd"/>
      <w:r w:rsidRPr="00691635">
        <w:rPr>
          <w:szCs w:val="22"/>
          <w:lang w:val="sk-SK"/>
        </w:rPr>
        <w:t xml:space="preserve"> alebo periférnou </w:t>
      </w:r>
      <w:proofErr w:type="spellStart"/>
      <w:r w:rsidRPr="00691635">
        <w:rPr>
          <w:szCs w:val="22"/>
          <w:lang w:val="sk-SK"/>
        </w:rPr>
        <w:t>vaskulárnou</w:t>
      </w:r>
      <w:proofErr w:type="spellEnd"/>
      <w:r w:rsidRPr="00691635">
        <w:rPr>
          <w:szCs w:val="22"/>
          <w:lang w:val="sk-SK"/>
        </w:rPr>
        <w:t xml:space="preserve"> trombózou, pretože </w:t>
      </w:r>
      <w:proofErr w:type="spellStart"/>
      <w:r w:rsidRPr="00691635">
        <w:rPr>
          <w:szCs w:val="22"/>
          <w:lang w:val="sk-SK"/>
        </w:rPr>
        <w:t>noradrenalín</w:t>
      </w:r>
      <w:proofErr w:type="spellEnd"/>
      <w:r w:rsidRPr="00691635">
        <w:rPr>
          <w:szCs w:val="22"/>
          <w:lang w:val="sk-SK"/>
        </w:rPr>
        <w:t xml:space="preserve"> môže zvyšovať ischémiu a zväčšovať oblasť infarktu. Podobná pozornosť sa má zachovať u pacientov s hypotenziou nasledujúcou po infarkte myokardu a u pacientov s </w:t>
      </w:r>
      <w:proofErr w:type="spellStart"/>
      <w:r w:rsidRPr="00691635">
        <w:rPr>
          <w:szCs w:val="22"/>
          <w:lang w:val="sk-SK"/>
        </w:rPr>
        <w:t>Prinzmetalov</w:t>
      </w:r>
      <w:r w:rsidR="00DA38A6" w:rsidRPr="00691635">
        <w:rPr>
          <w:szCs w:val="22"/>
          <w:lang w:val="sk-SK"/>
        </w:rPr>
        <w:t>ou</w:t>
      </w:r>
      <w:proofErr w:type="spellEnd"/>
      <w:r w:rsidR="00DA38A6" w:rsidRPr="00691635">
        <w:rPr>
          <w:szCs w:val="22"/>
          <w:lang w:val="sk-SK"/>
        </w:rPr>
        <w:t xml:space="preserve"> angí</w:t>
      </w:r>
      <w:r w:rsidR="003A680E" w:rsidRPr="00691635">
        <w:rPr>
          <w:szCs w:val="22"/>
          <w:lang w:val="sk-SK"/>
        </w:rPr>
        <w:t>nou</w:t>
      </w:r>
      <w:r w:rsidRPr="00691635">
        <w:rPr>
          <w:szCs w:val="22"/>
          <w:lang w:val="sk-SK"/>
        </w:rPr>
        <w:t>.</w:t>
      </w:r>
    </w:p>
    <w:p w:rsidR="00991ACA" w:rsidRPr="00691635" w:rsidRDefault="00991ACA" w:rsidP="008F2E21">
      <w:pPr>
        <w:pStyle w:val="Odsekzoznamu"/>
        <w:rPr>
          <w:sz w:val="22"/>
          <w:szCs w:val="22"/>
          <w:lang w:val="sk-SK"/>
        </w:rPr>
      </w:pP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>Výskyt porúch srdcového rytmu počas liečby musí viesť k zníženiu dávky.</w:t>
      </w:r>
    </w:p>
    <w:p w:rsidR="00991ACA" w:rsidRPr="00691635" w:rsidRDefault="00991ACA" w:rsidP="008F2E21">
      <w:pPr>
        <w:pStyle w:val="Odsekzoznamu"/>
        <w:rPr>
          <w:sz w:val="22"/>
          <w:szCs w:val="22"/>
          <w:lang w:val="sk-SK"/>
        </w:rPr>
      </w:pP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>Odporúča sa opatrnosť u pacientov s </w:t>
      </w:r>
      <w:proofErr w:type="spellStart"/>
      <w:r w:rsidRPr="00691635">
        <w:rPr>
          <w:szCs w:val="22"/>
          <w:lang w:val="sk-SK"/>
        </w:rPr>
        <w:t>hypertyreózou</w:t>
      </w:r>
      <w:proofErr w:type="spellEnd"/>
      <w:r w:rsidRPr="00691635">
        <w:rPr>
          <w:szCs w:val="22"/>
          <w:lang w:val="sk-SK"/>
        </w:rPr>
        <w:t xml:space="preserve"> alebo diabetom </w:t>
      </w:r>
      <w:proofErr w:type="spellStart"/>
      <w:r w:rsidRPr="00691635">
        <w:rPr>
          <w:szCs w:val="22"/>
          <w:lang w:val="sk-SK"/>
        </w:rPr>
        <w:t>mellitus</w:t>
      </w:r>
      <w:proofErr w:type="spellEnd"/>
      <w:r w:rsidRPr="00691635">
        <w:rPr>
          <w:szCs w:val="22"/>
          <w:lang w:val="sk-SK"/>
        </w:rPr>
        <w:t>.</w:t>
      </w:r>
    </w:p>
    <w:p w:rsidR="00991ACA" w:rsidRPr="00691635" w:rsidRDefault="00991ACA" w:rsidP="008F2E21">
      <w:pPr>
        <w:pStyle w:val="Odsekzoznamu"/>
        <w:rPr>
          <w:sz w:val="22"/>
          <w:szCs w:val="22"/>
          <w:lang w:val="sk-SK"/>
        </w:rPr>
      </w:pP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 xml:space="preserve">Starší pacienti môžu byť obzvlášť citliví na účinky </w:t>
      </w:r>
      <w:proofErr w:type="spellStart"/>
      <w:r w:rsidRPr="00691635">
        <w:rPr>
          <w:szCs w:val="22"/>
          <w:lang w:val="sk-SK"/>
        </w:rPr>
        <w:t>noradrenalínu</w:t>
      </w:r>
      <w:proofErr w:type="spellEnd"/>
      <w:r w:rsidRPr="00691635">
        <w:rPr>
          <w:szCs w:val="22"/>
          <w:lang w:val="sk-SK"/>
        </w:rPr>
        <w:t>.</w:t>
      </w:r>
    </w:p>
    <w:p w:rsidR="00991ACA" w:rsidRPr="00691635" w:rsidRDefault="00991ACA" w:rsidP="008F2E21">
      <w:pPr>
        <w:spacing w:line="240" w:lineRule="auto"/>
        <w:rPr>
          <w:szCs w:val="22"/>
          <w:lang w:val="sk-SK"/>
        </w:rPr>
      </w:pPr>
    </w:p>
    <w:p w:rsidR="00991ACA" w:rsidRPr="00691635" w:rsidRDefault="004A7ADD" w:rsidP="008F2E21">
      <w:pPr>
        <w:spacing w:line="240" w:lineRule="auto"/>
        <w:rPr>
          <w:szCs w:val="22"/>
          <w:lang w:val="sk-SK"/>
        </w:rPr>
      </w:pPr>
      <w:proofErr w:type="spellStart"/>
      <w:r w:rsidRPr="00691635">
        <w:rPr>
          <w:szCs w:val="22"/>
          <w:lang w:val="sk-SK"/>
        </w:rPr>
        <w:t>Perfúzi</w:t>
      </w:r>
      <w:r w:rsidR="003A680E" w:rsidRPr="00691635">
        <w:rPr>
          <w:szCs w:val="22"/>
          <w:lang w:val="sk-SK"/>
        </w:rPr>
        <w:t>a</w:t>
      </w:r>
      <w:proofErr w:type="spellEnd"/>
      <w:r w:rsidRPr="00691635">
        <w:rPr>
          <w:szCs w:val="22"/>
          <w:lang w:val="sk-SK"/>
        </w:rPr>
        <w:t xml:space="preserve"> </w:t>
      </w:r>
      <w:proofErr w:type="spellStart"/>
      <w:r w:rsidRPr="00691635">
        <w:rPr>
          <w:szCs w:val="22"/>
          <w:lang w:val="sk-SK"/>
        </w:rPr>
        <w:t>noradrenalínu</w:t>
      </w:r>
      <w:proofErr w:type="spellEnd"/>
      <w:r w:rsidRPr="00691635">
        <w:rPr>
          <w:szCs w:val="22"/>
          <w:lang w:val="sk-SK"/>
        </w:rPr>
        <w:t xml:space="preserve"> sa mus</w:t>
      </w:r>
      <w:r w:rsidR="003A680E" w:rsidRPr="00691635">
        <w:rPr>
          <w:szCs w:val="22"/>
          <w:lang w:val="sk-SK"/>
        </w:rPr>
        <w:t>í</w:t>
      </w:r>
      <w:r w:rsidRPr="00691635">
        <w:rPr>
          <w:szCs w:val="22"/>
          <w:lang w:val="sk-SK"/>
        </w:rPr>
        <w:t xml:space="preserve"> </w:t>
      </w:r>
      <w:r w:rsidR="003A680E" w:rsidRPr="00691635">
        <w:rPr>
          <w:szCs w:val="22"/>
          <w:lang w:val="sk-SK"/>
        </w:rPr>
        <w:t>vykonáva</w:t>
      </w:r>
      <w:r w:rsidRPr="00691635">
        <w:rPr>
          <w:szCs w:val="22"/>
          <w:lang w:val="sk-SK"/>
        </w:rPr>
        <w:t>ť s neustálym sledovaním krvného tlaku a srdcovej frekvencie.</w:t>
      </w:r>
    </w:p>
    <w:p w:rsidR="00991ACA" w:rsidRPr="00691635" w:rsidRDefault="004A7ADD" w:rsidP="008F2E21">
      <w:pPr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 xml:space="preserve">Predĺžené podávanie akéhokoľvek silného </w:t>
      </w:r>
      <w:proofErr w:type="spellStart"/>
      <w:r w:rsidRPr="00691635">
        <w:rPr>
          <w:szCs w:val="22"/>
          <w:lang w:val="sk-SK"/>
        </w:rPr>
        <w:t>vazopresorika</w:t>
      </w:r>
      <w:proofErr w:type="spellEnd"/>
      <w:r w:rsidRPr="00691635">
        <w:rPr>
          <w:szCs w:val="22"/>
          <w:lang w:val="sk-SK"/>
        </w:rPr>
        <w:t xml:space="preserve"> môže viesť k zníženiu objemu plazmy, čo sa má nepretržite upravovať primeranou liečbou nahradzujúcou tekutiny a elektrolyty. Ak sa objemy plazmy neupravujú, môže sa pri ukončení infúzie vrátiť hypotenzia, alebo sa môže udržať krvný tlak pri riziku závažnej periférnej a </w:t>
      </w:r>
      <w:proofErr w:type="spellStart"/>
      <w:r w:rsidRPr="00691635">
        <w:rPr>
          <w:szCs w:val="22"/>
          <w:lang w:val="sk-SK"/>
        </w:rPr>
        <w:t>viscerálnej</w:t>
      </w:r>
      <w:proofErr w:type="spellEnd"/>
      <w:r w:rsidRPr="00691635">
        <w:rPr>
          <w:szCs w:val="22"/>
          <w:lang w:val="sk-SK"/>
        </w:rPr>
        <w:t xml:space="preserve"> </w:t>
      </w:r>
      <w:proofErr w:type="spellStart"/>
      <w:r w:rsidRPr="00691635">
        <w:rPr>
          <w:szCs w:val="22"/>
          <w:lang w:val="sk-SK"/>
        </w:rPr>
        <w:t>vazokonstrikcie</w:t>
      </w:r>
      <w:proofErr w:type="spellEnd"/>
      <w:r w:rsidRPr="00691635">
        <w:rPr>
          <w:szCs w:val="22"/>
          <w:lang w:val="sk-SK"/>
        </w:rPr>
        <w:t xml:space="preserve"> (napr. znížená </w:t>
      </w:r>
      <w:proofErr w:type="spellStart"/>
      <w:r w:rsidRPr="00691635">
        <w:rPr>
          <w:szCs w:val="22"/>
          <w:lang w:val="sk-SK"/>
        </w:rPr>
        <w:t>renálna</w:t>
      </w:r>
      <w:proofErr w:type="spellEnd"/>
      <w:r w:rsidRPr="00691635">
        <w:rPr>
          <w:szCs w:val="22"/>
          <w:lang w:val="sk-SK"/>
        </w:rPr>
        <w:t xml:space="preserve"> </w:t>
      </w:r>
      <w:proofErr w:type="spellStart"/>
      <w:r w:rsidRPr="00691635">
        <w:rPr>
          <w:szCs w:val="22"/>
          <w:lang w:val="sk-SK"/>
        </w:rPr>
        <w:t>perfúzia</w:t>
      </w:r>
      <w:proofErr w:type="spellEnd"/>
      <w:r w:rsidRPr="00691635">
        <w:rPr>
          <w:szCs w:val="22"/>
          <w:lang w:val="sk-SK"/>
        </w:rPr>
        <w:t xml:space="preserve">) so znížením prietoku krvi a tkanivovej </w:t>
      </w:r>
      <w:proofErr w:type="spellStart"/>
      <w:r w:rsidRPr="00691635">
        <w:rPr>
          <w:szCs w:val="22"/>
          <w:lang w:val="sk-SK"/>
        </w:rPr>
        <w:t>perfúzie</w:t>
      </w:r>
      <w:proofErr w:type="spellEnd"/>
      <w:r w:rsidRPr="00691635">
        <w:rPr>
          <w:szCs w:val="22"/>
          <w:lang w:val="sk-SK"/>
        </w:rPr>
        <w:t xml:space="preserve"> s následnou </w:t>
      </w:r>
      <w:proofErr w:type="spellStart"/>
      <w:r w:rsidRPr="00691635">
        <w:rPr>
          <w:szCs w:val="22"/>
          <w:lang w:val="sk-SK"/>
        </w:rPr>
        <w:t>hypoxiou</w:t>
      </w:r>
      <w:proofErr w:type="spellEnd"/>
      <w:r w:rsidRPr="00691635">
        <w:rPr>
          <w:szCs w:val="22"/>
          <w:lang w:val="sk-SK"/>
        </w:rPr>
        <w:t xml:space="preserve"> tkanív a </w:t>
      </w:r>
      <w:proofErr w:type="spellStart"/>
      <w:r w:rsidRPr="00691635">
        <w:rPr>
          <w:szCs w:val="22"/>
          <w:lang w:val="sk-SK"/>
        </w:rPr>
        <w:t>laktátovou</w:t>
      </w:r>
      <w:proofErr w:type="spellEnd"/>
      <w:r w:rsidRPr="00691635">
        <w:rPr>
          <w:szCs w:val="22"/>
          <w:lang w:val="sk-SK"/>
        </w:rPr>
        <w:t xml:space="preserve"> </w:t>
      </w:r>
      <w:proofErr w:type="spellStart"/>
      <w:r w:rsidRPr="00691635">
        <w:rPr>
          <w:szCs w:val="22"/>
          <w:lang w:val="sk-SK"/>
        </w:rPr>
        <w:t>acidózou</w:t>
      </w:r>
      <w:proofErr w:type="spellEnd"/>
      <w:r w:rsidRPr="00691635">
        <w:rPr>
          <w:szCs w:val="22"/>
          <w:lang w:val="sk-SK"/>
        </w:rPr>
        <w:t xml:space="preserve"> a možným ischemickým poškodením.</w:t>
      </w:r>
    </w:p>
    <w:p w:rsidR="00991ACA" w:rsidRPr="00691635" w:rsidRDefault="004A7ADD" w:rsidP="008F2E21">
      <w:pPr>
        <w:spacing w:line="240" w:lineRule="auto"/>
        <w:rPr>
          <w:szCs w:val="22"/>
          <w:lang w:val="sk-SK"/>
        </w:rPr>
      </w:pPr>
      <w:proofErr w:type="spellStart"/>
      <w:r w:rsidRPr="00691635">
        <w:rPr>
          <w:szCs w:val="22"/>
          <w:lang w:val="sk-SK"/>
        </w:rPr>
        <w:t>Vazopresorický</w:t>
      </w:r>
      <w:proofErr w:type="spellEnd"/>
      <w:r w:rsidRPr="00691635">
        <w:rPr>
          <w:szCs w:val="22"/>
          <w:lang w:val="sk-SK"/>
        </w:rPr>
        <w:t xml:space="preserve"> účinok (spôsobený </w:t>
      </w:r>
      <w:proofErr w:type="spellStart"/>
      <w:r w:rsidRPr="00691635">
        <w:rPr>
          <w:szCs w:val="22"/>
          <w:lang w:val="sk-SK"/>
        </w:rPr>
        <w:t>adrenergným</w:t>
      </w:r>
      <w:proofErr w:type="spellEnd"/>
      <w:r w:rsidRPr="00691635">
        <w:rPr>
          <w:szCs w:val="22"/>
          <w:lang w:val="sk-SK"/>
        </w:rPr>
        <w:t xml:space="preserve"> účinkom v cievach) sa môže znížiť súbežným podávaním látok blokujúcich alfa receptory, kým látky blokujúce beta receptory môžu spôsobiť zníženie stimulačného účinku lieku na srdce a zvýšenie </w:t>
      </w:r>
      <w:proofErr w:type="spellStart"/>
      <w:r w:rsidRPr="00691635">
        <w:rPr>
          <w:szCs w:val="22"/>
          <w:lang w:val="sk-SK"/>
        </w:rPr>
        <w:t>hypertenzn</w:t>
      </w:r>
      <w:r w:rsidR="00691635">
        <w:rPr>
          <w:szCs w:val="22"/>
          <w:lang w:val="sk-SK"/>
        </w:rPr>
        <w:t>é</w:t>
      </w:r>
      <w:r w:rsidRPr="00691635">
        <w:rPr>
          <w:szCs w:val="22"/>
          <w:lang w:val="sk-SK"/>
        </w:rPr>
        <w:t>ho</w:t>
      </w:r>
      <w:proofErr w:type="spellEnd"/>
      <w:r w:rsidRPr="00691635">
        <w:rPr>
          <w:szCs w:val="22"/>
          <w:lang w:val="sk-SK"/>
        </w:rPr>
        <w:t xml:space="preserve"> účinku (znížením </w:t>
      </w:r>
      <w:proofErr w:type="spellStart"/>
      <w:r w:rsidRPr="00691635">
        <w:rPr>
          <w:szCs w:val="22"/>
          <w:lang w:val="sk-SK"/>
        </w:rPr>
        <w:t>arteriálnej</w:t>
      </w:r>
      <w:proofErr w:type="spellEnd"/>
      <w:r w:rsidRPr="00691635">
        <w:rPr>
          <w:szCs w:val="22"/>
          <w:lang w:val="sk-SK"/>
        </w:rPr>
        <w:t xml:space="preserve"> dilatácie), spôsobených </w:t>
      </w:r>
      <w:proofErr w:type="spellStart"/>
      <w:r w:rsidRPr="00691635">
        <w:rPr>
          <w:szCs w:val="22"/>
          <w:lang w:val="sk-SK"/>
        </w:rPr>
        <w:t>adrenergnou</w:t>
      </w:r>
      <w:proofErr w:type="spellEnd"/>
      <w:r w:rsidRPr="00691635">
        <w:rPr>
          <w:szCs w:val="22"/>
          <w:lang w:val="sk-SK"/>
        </w:rPr>
        <w:t xml:space="preserve"> stimuláciou receptorov beta</w:t>
      </w:r>
      <w:r w:rsidRPr="00691635">
        <w:rPr>
          <w:szCs w:val="22"/>
          <w:lang w:val="sk-SK"/>
        </w:rPr>
        <w:noBreakHyphen/>
        <w:t>1.</w:t>
      </w:r>
    </w:p>
    <w:p w:rsidR="00991ACA" w:rsidRPr="00691635" w:rsidRDefault="004A7ADD" w:rsidP="008F2E21">
      <w:pPr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 xml:space="preserve">V prípadoch, kedy je potrebné podať </w:t>
      </w:r>
      <w:proofErr w:type="spellStart"/>
      <w:r w:rsidRPr="00691635">
        <w:rPr>
          <w:szCs w:val="22"/>
          <w:lang w:val="sk-SK"/>
        </w:rPr>
        <w:t>noradrenalín</w:t>
      </w:r>
      <w:proofErr w:type="spellEnd"/>
      <w:r w:rsidRPr="00691635">
        <w:rPr>
          <w:szCs w:val="22"/>
          <w:lang w:val="sk-SK"/>
        </w:rPr>
        <w:t xml:space="preserve"> zároveň s plnou krvou alebo krvnou plazmou, sa táto musí podať oddelenou infúziou.</w:t>
      </w:r>
    </w:p>
    <w:p w:rsidR="00991ACA" w:rsidRPr="00691635" w:rsidRDefault="00991ACA" w:rsidP="008F2E21">
      <w:pPr>
        <w:spacing w:line="240" w:lineRule="auto"/>
        <w:rPr>
          <w:szCs w:val="22"/>
          <w:lang w:val="sk-SK"/>
        </w:rPr>
      </w:pPr>
    </w:p>
    <w:p w:rsidR="00B26239" w:rsidRPr="00983875" w:rsidRDefault="00B26239" w:rsidP="00B26239">
      <w:pPr>
        <w:spacing w:line="240" w:lineRule="auto"/>
        <w:rPr>
          <w:szCs w:val="22"/>
          <w:lang w:val="sk-SK"/>
        </w:rPr>
      </w:pPr>
      <w:r w:rsidRPr="00983875">
        <w:rPr>
          <w:szCs w:val="22"/>
          <w:lang w:val="sk-SK"/>
        </w:rPr>
        <w:t xml:space="preserve">Každá ampulka obsahujúca 1 ml </w:t>
      </w:r>
      <w:r w:rsidR="00597ED1">
        <w:rPr>
          <w:bCs/>
          <w:noProof/>
          <w:szCs w:val="22"/>
          <w:lang w:val="sk-SK"/>
        </w:rPr>
        <w:t xml:space="preserve">infúzneho </w:t>
      </w:r>
      <w:r w:rsidR="00597ED1" w:rsidRPr="00F64FFE">
        <w:rPr>
          <w:bCs/>
          <w:noProof/>
          <w:szCs w:val="22"/>
          <w:lang w:val="sk-SK"/>
        </w:rPr>
        <w:t>koncentrátu</w:t>
      </w:r>
      <w:r w:rsidR="00597ED1" w:rsidRPr="00B46EA3" w:rsidDel="002E5D5C">
        <w:rPr>
          <w:bCs/>
          <w:noProof/>
          <w:szCs w:val="22"/>
          <w:lang w:val="sk-SK"/>
        </w:rPr>
        <w:t xml:space="preserve"> </w:t>
      </w:r>
      <w:r w:rsidRPr="00983875">
        <w:rPr>
          <w:szCs w:val="22"/>
          <w:lang w:val="sk-SK"/>
        </w:rPr>
        <w:t xml:space="preserve">obsahuje 0,14 </w:t>
      </w:r>
      <w:proofErr w:type="spellStart"/>
      <w:r w:rsidRPr="00983875">
        <w:rPr>
          <w:szCs w:val="22"/>
          <w:lang w:val="sk-SK"/>
        </w:rPr>
        <w:t>mmol</w:t>
      </w:r>
      <w:proofErr w:type="spellEnd"/>
      <w:r w:rsidRPr="00983875">
        <w:rPr>
          <w:szCs w:val="22"/>
          <w:lang w:val="sk-SK"/>
        </w:rPr>
        <w:t xml:space="preserve"> (alebo 3,3 mg) sodíka.</w:t>
      </w:r>
    </w:p>
    <w:p w:rsidR="00B26239" w:rsidRPr="00983875" w:rsidRDefault="00B26239" w:rsidP="00B26239">
      <w:pPr>
        <w:spacing w:line="240" w:lineRule="auto"/>
        <w:rPr>
          <w:szCs w:val="22"/>
          <w:lang w:val="sk-SK"/>
        </w:rPr>
      </w:pPr>
      <w:r w:rsidRPr="00983875">
        <w:rPr>
          <w:szCs w:val="22"/>
          <w:lang w:val="sk-SK"/>
        </w:rPr>
        <w:t xml:space="preserve">Každá ampulka obsahujúca 4 ml </w:t>
      </w:r>
      <w:r w:rsidR="00597ED1">
        <w:rPr>
          <w:bCs/>
          <w:noProof/>
          <w:szCs w:val="22"/>
          <w:lang w:val="sk-SK"/>
        </w:rPr>
        <w:t xml:space="preserve">infúzneho </w:t>
      </w:r>
      <w:r w:rsidR="00597ED1" w:rsidRPr="00F64FFE">
        <w:rPr>
          <w:bCs/>
          <w:noProof/>
          <w:szCs w:val="22"/>
          <w:lang w:val="sk-SK"/>
        </w:rPr>
        <w:t>koncentrátu</w:t>
      </w:r>
      <w:r w:rsidR="00597ED1" w:rsidRPr="00B46EA3" w:rsidDel="002E5D5C">
        <w:rPr>
          <w:bCs/>
          <w:noProof/>
          <w:szCs w:val="22"/>
          <w:lang w:val="sk-SK"/>
        </w:rPr>
        <w:t xml:space="preserve"> </w:t>
      </w:r>
      <w:r w:rsidRPr="00983875">
        <w:rPr>
          <w:szCs w:val="22"/>
          <w:lang w:val="sk-SK"/>
        </w:rPr>
        <w:t xml:space="preserve">obsahuje 0,57 </w:t>
      </w:r>
      <w:proofErr w:type="spellStart"/>
      <w:r w:rsidRPr="00983875">
        <w:rPr>
          <w:szCs w:val="22"/>
          <w:lang w:val="sk-SK"/>
        </w:rPr>
        <w:t>mmol</w:t>
      </w:r>
      <w:proofErr w:type="spellEnd"/>
      <w:r w:rsidRPr="00983875">
        <w:rPr>
          <w:szCs w:val="22"/>
          <w:lang w:val="sk-SK"/>
        </w:rPr>
        <w:t xml:space="preserve"> (alebo 13,2 mg) sodíka.</w:t>
      </w:r>
    </w:p>
    <w:p w:rsidR="00B26239" w:rsidRDefault="00B26239" w:rsidP="00B26239">
      <w:pPr>
        <w:spacing w:line="240" w:lineRule="auto"/>
        <w:rPr>
          <w:szCs w:val="22"/>
          <w:lang w:val="sk-SK"/>
        </w:rPr>
      </w:pPr>
      <w:r w:rsidRPr="00983875">
        <w:rPr>
          <w:szCs w:val="22"/>
          <w:lang w:val="sk-SK"/>
        </w:rPr>
        <w:t xml:space="preserve">Každá ampulka obsahujúca 10 ml </w:t>
      </w:r>
      <w:r w:rsidR="00597ED1">
        <w:rPr>
          <w:bCs/>
          <w:noProof/>
          <w:szCs w:val="22"/>
          <w:lang w:val="sk-SK"/>
        </w:rPr>
        <w:t xml:space="preserve">infúzneho </w:t>
      </w:r>
      <w:r w:rsidR="00597ED1" w:rsidRPr="00F64FFE">
        <w:rPr>
          <w:bCs/>
          <w:noProof/>
          <w:szCs w:val="22"/>
          <w:lang w:val="sk-SK"/>
        </w:rPr>
        <w:t>koncentrátu</w:t>
      </w:r>
      <w:r w:rsidR="00597ED1" w:rsidRPr="00B46EA3" w:rsidDel="002E5D5C">
        <w:rPr>
          <w:bCs/>
          <w:noProof/>
          <w:szCs w:val="22"/>
          <w:lang w:val="sk-SK"/>
        </w:rPr>
        <w:t xml:space="preserve"> </w:t>
      </w:r>
      <w:r w:rsidRPr="00983875">
        <w:rPr>
          <w:szCs w:val="22"/>
          <w:lang w:val="sk-SK"/>
        </w:rPr>
        <w:t xml:space="preserve">obsahuje 1,44 </w:t>
      </w:r>
      <w:proofErr w:type="spellStart"/>
      <w:r w:rsidRPr="00983875">
        <w:rPr>
          <w:szCs w:val="22"/>
          <w:lang w:val="sk-SK"/>
        </w:rPr>
        <w:t>mmol</w:t>
      </w:r>
      <w:proofErr w:type="spellEnd"/>
      <w:r w:rsidRPr="00983875">
        <w:rPr>
          <w:szCs w:val="22"/>
          <w:lang w:val="sk-SK"/>
        </w:rPr>
        <w:t xml:space="preserve"> (alebo 33 mg) sodíka.</w:t>
      </w:r>
    </w:p>
    <w:p w:rsidR="00B26239" w:rsidRDefault="00B26239" w:rsidP="00B26239">
      <w:pPr>
        <w:spacing w:line="240" w:lineRule="auto"/>
        <w:rPr>
          <w:szCs w:val="22"/>
          <w:lang w:val="sk-SK"/>
        </w:rPr>
      </w:pPr>
      <w:r w:rsidRPr="00983875">
        <w:rPr>
          <w:szCs w:val="22"/>
          <w:lang w:val="sk-SK"/>
        </w:rPr>
        <w:t xml:space="preserve">Toto </w:t>
      </w:r>
      <w:r w:rsidR="00597ED1">
        <w:rPr>
          <w:szCs w:val="22"/>
          <w:lang w:val="sk-SK"/>
        </w:rPr>
        <w:t>majú vziať</w:t>
      </w:r>
      <w:r w:rsidRPr="00983875">
        <w:rPr>
          <w:szCs w:val="22"/>
          <w:lang w:val="sk-SK"/>
        </w:rPr>
        <w:t xml:space="preserve"> do úvahy pacienti </w:t>
      </w:r>
      <w:r w:rsidR="00597ED1">
        <w:rPr>
          <w:szCs w:val="22"/>
          <w:lang w:val="sk-SK"/>
        </w:rPr>
        <w:t>na</w:t>
      </w:r>
      <w:r w:rsidRPr="00983875">
        <w:rPr>
          <w:szCs w:val="22"/>
          <w:lang w:val="sk-SK"/>
        </w:rPr>
        <w:t xml:space="preserve"> diét</w:t>
      </w:r>
      <w:r w:rsidR="00597ED1">
        <w:rPr>
          <w:szCs w:val="22"/>
          <w:lang w:val="sk-SK"/>
        </w:rPr>
        <w:t>e</w:t>
      </w:r>
      <w:r w:rsidRPr="00983875">
        <w:rPr>
          <w:szCs w:val="22"/>
          <w:lang w:val="sk-SK"/>
        </w:rPr>
        <w:t xml:space="preserve"> </w:t>
      </w:r>
      <w:r w:rsidR="00597ED1">
        <w:rPr>
          <w:szCs w:val="22"/>
          <w:lang w:val="sk-SK"/>
        </w:rPr>
        <w:t>s</w:t>
      </w:r>
      <w:r w:rsidR="005E474D">
        <w:rPr>
          <w:szCs w:val="22"/>
          <w:lang w:val="sk-SK"/>
        </w:rPr>
        <w:t xml:space="preserve"> kontrolovaným </w:t>
      </w:r>
      <w:r w:rsidR="00597ED1">
        <w:rPr>
          <w:szCs w:val="22"/>
          <w:lang w:val="sk-SK"/>
        </w:rPr>
        <w:t xml:space="preserve">obsahom </w:t>
      </w:r>
      <w:r w:rsidRPr="00983875">
        <w:rPr>
          <w:szCs w:val="22"/>
          <w:lang w:val="sk-SK"/>
        </w:rPr>
        <w:t>sodík</w:t>
      </w:r>
      <w:r w:rsidR="00597ED1">
        <w:rPr>
          <w:szCs w:val="22"/>
          <w:lang w:val="sk-SK"/>
        </w:rPr>
        <w:t>a</w:t>
      </w:r>
      <w:r w:rsidRPr="00983875">
        <w:rPr>
          <w:szCs w:val="22"/>
          <w:lang w:val="sk-SK"/>
        </w:rPr>
        <w:t xml:space="preserve"> (pozri časť 2).</w:t>
      </w:r>
    </w:p>
    <w:p w:rsidR="00991ACA" w:rsidRPr="00691635" w:rsidRDefault="00991ACA" w:rsidP="008F2E21">
      <w:pPr>
        <w:spacing w:line="240" w:lineRule="auto"/>
        <w:outlineLvl w:val="0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sk-SK"/>
        </w:rPr>
      </w:pPr>
      <w:r w:rsidRPr="00691635">
        <w:rPr>
          <w:b/>
          <w:noProof/>
          <w:szCs w:val="22"/>
          <w:lang w:val="sk-SK"/>
        </w:rPr>
        <w:t>4.5</w:t>
      </w:r>
      <w:r w:rsidRPr="00691635">
        <w:rPr>
          <w:b/>
          <w:noProof/>
          <w:szCs w:val="22"/>
          <w:lang w:val="sk-SK"/>
        </w:rPr>
        <w:tab/>
        <w:t>Liekové a iné interakcie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 w:eastAsia="sv-SE"/>
        </w:rPr>
      </w:pPr>
    </w:p>
    <w:p w:rsidR="00991ACA" w:rsidRPr="00691635" w:rsidRDefault="004A7ADD" w:rsidP="008F2E21">
      <w:pPr>
        <w:spacing w:line="240" w:lineRule="auto"/>
        <w:rPr>
          <w:szCs w:val="22"/>
          <w:lang w:val="sk-SK"/>
        </w:rPr>
      </w:pPr>
      <w:r w:rsidRPr="00691635">
        <w:rPr>
          <w:szCs w:val="22"/>
          <w:u w:val="single"/>
          <w:lang w:val="sk-SK"/>
        </w:rPr>
        <w:t>Neodporúčané kombinácie</w:t>
      </w:r>
    </w:p>
    <w:p w:rsidR="00991ACA" w:rsidRPr="00691635" w:rsidRDefault="00991ACA" w:rsidP="008F2E21">
      <w:pPr>
        <w:spacing w:line="240" w:lineRule="auto"/>
        <w:rPr>
          <w:szCs w:val="22"/>
          <w:lang w:val="sk-SK"/>
        </w:rPr>
      </w:pP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 xml:space="preserve">Prchavé halogénové anestetiká: závažná </w:t>
      </w:r>
      <w:proofErr w:type="spellStart"/>
      <w:r w:rsidRPr="00691635">
        <w:rPr>
          <w:szCs w:val="22"/>
          <w:lang w:val="sk-SK"/>
        </w:rPr>
        <w:t>ventrikulárna</w:t>
      </w:r>
      <w:proofErr w:type="spellEnd"/>
      <w:r w:rsidRPr="00691635">
        <w:rPr>
          <w:szCs w:val="22"/>
          <w:lang w:val="sk-SK"/>
        </w:rPr>
        <w:t xml:space="preserve"> </w:t>
      </w:r>
      <w:proofErr w:type="spellStart"/>
      <w:r w:rsidRPr="00691635">
        <w:rPr>
          <w:szCs w:val="22"/>
          <w:lang w:val="sk-SK"/>
        </w:rPr>
        <w:t>arytmia</w:t>
      </w:r>
      <w:proofErr w:type="spellEnd"/>
      <w:r w:rsidRPr="00691635">
        <w:rPr>
          <w:szCs w:val="22"/>
          <w:lang w:val="sk-SK"/>
        </w:rPr>
        <w:t xml:space="preserve"> (zvýšenie</w:t>
      </w:r>
      <w:r w:rsidR="00D13F8F" w:rsidRPr="00691635">
        <w:rPr>
          <w:szCs w:val="22"/>
          <w:lang w:val="sk-SK"/>
        </w:rPr>
        <w:t xml:space="preserve"> </w:t>
      </w:r>
      <w:proofErr w:type="spellStart"/>
      <w:r w:rsidR="00D13F8F" w:rsidRPr="00691635">
        <w:rPr>
          <w:szCs w:val="22"/>
          <w:lang w:val="sk-SK"/>
        </w:rPr>
        <w:t>excitability</w:t>
      </w:r>
      <w:proofErr w:type="spellEnd"/>
      <w:r w:rsidRPr="00691635">
        <w:rPr>
          <w:szCs w:val="22"/>
          <w:lang w:val="sk-SK"/>
        </w:rPr>
        <w:t xml:space="preserve"> srdca).</w:t>
      </w: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91635">
        <w:rPr>
          <w:szCs w:val="22"/>
          <w:lang w:val="sk-SK"/>
        </w:rPr>
        <w:t>Imipramínové</w:t>
      </w:r>
      <w:proofErr w:type="spellEnd"/>
      <w:r w:rsidRPr="00691635">
        <w:rPr>
          <w:szCs w:val="22"/>
          <w:lang w:val="sk-SK"/>
        </w:rPr>
        <w:t xml:space="preserve"> </w:t>
      </w:r>
      <w:proofErr w:type="spellStart"/>
      <w:r w:rsidRPr="00691635">
        <w:rPr>
          <w:szCs w:val="22"/>
          <w:lang w:val="sk-SK"/>
        </w:rPr>
        <w:t>antidepresíva</w:t>
      </w:r>
      <w:proofErr w:type="spellEnd"/>
      <w:r w:rsidRPr="00691635">
        <w:rPr>
          <w:szCs w:val="22"/>
          <w:lang w:val="sk-SK"/>
        </w:rPr>
        <w:t xml:space="preserve">: </w:t>
      </w:r>
      <w:proofErr w:type="spellStart"/>
      <w:r w:rsidRPr="00691635">
        <w:rPr>
          <w:szCs w:val="22"/>
          <w:lang w:val="sk-SK"/>
        </w:rPr>
        <w:t>paroxy</w:t>
      </w:r>
      <w:r w:rsidR="00D13F8F" w:rsidRPr="00691635">
        <w:rPr>
          <w:szCs w:val="22"/>
          <w:lang w:val="sk-SK"/>
        </w:rPr>
        <w:t>z</w:t>
      </w:r>
      <w:r w:rsidRPr="00691635">
        <w:rPr>
          <w:szCs w:val="22"/>
          <w:lang w:val="sk-SK"/>
        </w:rPr>
        <w:t>málna</w:t>
      </w:r>
      <w:proofErr w:type="spellEnd"/>
      <w:r w:rsidRPr="00691635">
        <w:rPr>
          <w:szCs w:val="22"/>
          <w:lang w:val="sk-SK"/>
        </w:rPr>
        <w:t xml:space="preserve"> hypertenzia s možnou </w:t>
      </w:r>
      <w:proofErr w:type="spellStart"/>
      <w:r w:rsidRPr="00691635">
        <w:rPr>
          <w:szCs w:val="22"/>
          <w:lang w:val="sk-SK"/>
        </w:rPr>
        <w:t>arytmiou</w:t>
      </w:r>
      <w:proofErr w:type="spellEnd"/>
      <w:r w:rsidRPr="00691635">
        <w:rPr>
          <w:szCs w:val="22"/>
          <w:lang w:val="sk-SK"/>
        </w:rPr>
        <w:t xml:space="preserve"> (inhibícia vstupu </w:t>
      </w:r>
      <w:proofErr w:type="spellStart"/>
      <w:r w:rsidRPr="00691635">
        <w:rPr>
          <w:szCs w:val="22"/>
          <w:lang w:val="sk-SK"/>
        </w:rPr>
        <w:t>sympatomimetík</w:t>
      </w:r>
      <w:proofErr w:type="spellEnd"/>
      <w:r w:rsidRPr="00691635">
        <w:rPr>
          <w:szCs w:val="22"/>
          <w:lang w:val="sk-SK"/>
        </w:rPr>
        <w:t xml:space="preserve"> do sympatických nervových vlákien).</w:t>
      </w: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91635">
        <w:rPr>
          <w:szCs w:val="22"/>
          <w:lang w:val="sk-SK"/>
        </w:rPr>
        <w:lastRenderedPageBreak/>
        <w:t>S</w:t>
      </w:r>
      <w:r w:rsidR="00D13F8F" w:rsidRPr="00691635">
        <w:rPr>
          <w:szCs w:val="22"/>
          <w:lang w:val="sk-SK"/>
        </w:rPr>
        <w:t>é</w:t>
      </w:r>
      <w:r w:rsidRPr="00691635">
        <w:rPr>
          <w:szCs w:val="22"/>
          <w:lang w:val="sk-SK"/>
        </w:rPr>
        <w:t>roton</w:t>
      </w:r>
      <w:r w:rsidR="00D13F8F" w:rsidRPr="00691635">
        <w:rPr>
          <w:szCs w:val="22"/>
          <w:lang w:val="sk-SK"/>
        </w:rPr>
        <w:t>í</w:t>
      </w:r>
      <w:r w:rsidRPr="00691635">
        <w:rPr>
          <w:szCs w:val="22"/>
          <w:lang w:val="sk-SK"/>
        </w:rPr>
        <w:t>nergné-adrenergné</w:t>
      </w:r>
      <w:proofErr w:type="spellEnd"/>
      <w:r w:rsidRPr="00691635">
        <w:rPr>
          <w:szCs w:val="22"/>
          <w:lang w:val="sk-SK"/>
        </w:rPr>
        <w:t xml:space="preserve"> </w:t>
      </w:r>
      <w:proofErr w:type="spellStart"/>
      <w:r w:rsidRPr="00691635">
        <w:rPr>
          <w:szCs w:val="22"/>
          <w:lang w:val="sk-SK"/>
        </w:rPr>
        <w:t>antidepresíva</w:t>
      </w:r>
      <w:proofErr w:type="spellEnd"/>
      <w:r w:rsidRPr="00691635">
        <w:rPr>
          <w:szCs w:val="22"/>
          <w:lang w:val="sk-SK"/>
        </w:rPr>
        <w:t xml:space="preserve">: </w:t>
      </w:r>
      <w:proofErr w:type="spellStart"/>
      <w:r w:rsidRPr="00691635">
        <w:rPr>
          <w:szCs w:val="22"/>
          <w:lang w:val="sk-SK"/>
        </w:rPr>
        <w:t>paroxy</w:t>
      </w:r>
      <w:r w:rsidR="00D13F8F" w:rsidRPr="00691635">
        <w:rPr>
          <w:szCs w:val="22"/>
          <w:lang w:val="sk-SK"/>
        </w:rPr>
        <w:t>z</w:t>
      </w:r>
      <w:r w:rsidRPr="00691635">
        <w:rPr>
          <w:szCs w:val="22"/>
          <w:lang w:val="sk-SK"/>
        </w:rPr>
        <w:t>málna</w:t>
      </w:r>
      <w:proofErr w:type="spellEnd"/>
      <w:r w:rsidRPr="00691635">
        <w:rPr>
          <w:szCs w:val="22"/>
          <w:lang w:val="sk-SK"/>
        </w:rPr>
        <w:t xml:space="preserve"> hypertenzia s možnou </w:t>
      </w:r>
      <w:proofErr w:type="spellStart"/>
      <w:r w:rsidRPr="00691635">
        <w:rPr>
          <w:szCs w:val="22"/>
          <w:lang w:val="sk-SK"/>
        </w:rPr>
        <w:t>arytmiou</w:t>
      </w:r>
      <w:proofErr w:type="spellEnd"/>
      <w:r w:rsidRPr="00691635">
        <w:rPr>
          <w:szCs w:val="22"/>
          <w:lang w:val="sk-SK"/>
        </w:rPr>
        <w:t xml:space="preserve"> (inhibícia vstupu </w:t>
      </w:r>
      <w:proofErr w:type="spellStart"/>
      <w:r w:rsidRPr="00691635">
        <w:rPr>
          <w:szCs w:val="22"/>
          <w:lang w:val="sk-SK"/>
        </w:rPr>
        <w:t>sympatomimetík</w:t>
      </w:r>
      <w:proofErr w:type="spellEnd"/>
      <w:r w:rsidRPr="00691635">
        <w:rPr>
          <w:szCs w:val="22"/>
          <w:lang w:val="sk-SK"/>
        </w:rPr>
        <w:t xml:space="preserve"> do sympatických nervových vlákien).</w:t>
      </w:r>
    </w:p>
    <w:p w:rsidR="00991ACA" w:rsidRPr="00691635" w:rsidRDefault="00991ACA" w:rsidP="008F2E21">
      <w:pPr>
        <w:spacing w:line="240" w:lineRule="auto"/>
        <w:rPr>
          <w:szCs w:val="22"/>
          <w:lang w:val="sk-SK"/>
        </w:rPr>
      </w:pPr>
    </w:p>
    <w:p w:rsidR="00991ACA" w:rsidRPr="00691635" w:rsidRDefault="004A7ADD" w:rsidP="008F2E21">
      <w:pPr>
        <w:spacing w:line="240" w:lineRule="auto"/>
        <w:rPr>
          <w:szCs w:val="22"/>
          <w:u w:val="single"/>
          <w:lang w:val="sk-SK"/>
        </w:rPr>
      </w:pPr>
      <w:r w:rsidRPr="00691635">
        <w:rPr>
          <w:szCs w:val="22"/>
          <w:u w:val="single"/>
          <w:lang w:val="sk-SK"/>
        </w:rPr>
        <w:t>Kombinácie</w:t>
      </w:r>
      <w:r w:rsidR="00D13F8F" w:rsidRPr="00691635">
        <w:rPr>
          <w:szCs w:val="22"/>
          <w:u w:val="single"/>
          <w:lang w:val="sk-SK"/>
        </w:rPr>
        <w:t>,</w:t>
      </w:r>
      <w:r w:rsidRPr="00691635">
        <w:rPr>
          <w:szCs w:val="22"/>
          <w:u w:val="single"/>
          <w:lang w:val="sk-SK"/>
        </w:rPr>
        <w:t xml:space="preserve"> ktoré vyžadujú opatrenia na používanie</w:t>
      </w:r>
    </w:p>
    <w:p w:rsidR="00991ACA" w:rsidRPr="00691635" w:rsidRDefault="00991ACA" w:rsidP="008F2E21">
      <w:pPr>
        <w:spacing w:line="240" w:lineRule="auto"/>
        <w:rPr>
          <w:szCs w:val="22"/>
          <w:lang w:val="sk-SK"/>
        </w:rPr>
      </w:pP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 xml:space="preserve">Neselektívne MAO inhibítory: zvýšenie </w:t>
      </w:r>
      <w:proofErr w:type="spellStart"/>
      <w:r w:rsidRPr="00691635">
        <w:rPr>
          <w:szCs w:val="22"/>
          <w:lang w:val="sk-SK"/>
        </w:rPr>
        <w:t>presorického</w:t>
      </w:r>
      <w:proofErr w:type="spellEnd"/>
      <w:r w:rsidRPr="00691635">
        <w:rPr>
          <w:szCs w:val="22"/>
          <w:lang w:val="sk-SK"/>
        </w:rPr>
        <w:t xml:space="preserve"> účinku </w:t>
      </w:r>
      <w:proofErr w:type="spellStart"/>
      <w:r w:rsidRPr="00691635">
        <w:rPr>
          <w:szCs w:val="22"/>
          <w:lang w:val="sk-SK"/>
        </w:rPr>
        <w:t>sympatomimetika</w:t>
      </w:r>
      <w:proofErr w:type="spellEnd"/>
      <w:r w:rsidRPr="00691635">
        <w:rPr>
          <w:szCs w:val="22"/>
          <w:lang w:val="sk-SK"/>
        </w:rPr>
        <w:t xml:space="preserve">, ktoré je zvyčajne stredne silné. Majú sa používať len pod </w:t>
      </w:r>
      <w:r w:rsidR="00D13F8F" w:rsidRPr="00691635">
        <w:rPr>
          <w:szCs w:val="22"/>
          <w:lang w:val="sk-SK"/>
        </w:rPr>
        <w:t>starostlivým</w:t>
      </w:r>
      <w:r w:rsidRPr="00691635">
        <w:rPr>
          <w:szCs w:val="22"/>
          <w:lang w:val="sk-SK"/>
        </w:rPr>
        <w:t xml:space="preserve"> lekárskym dohľadom.</w:t>
      </w: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>Selektívne inhibítory MAO</w:t>
      </w:r>
      <w:r w:rsidR="00F612D6" w:rsidRPr="00691635">
        <w:rPr>
          <w:szCs w:val="22"/>
          <w:lang w:val="sk-SK"/>
        </w:rPr>
        <w:t>-A</w:t>
      </w:r>
      <w:r w:rsidRPr="00691635">
        <w:rPr>
          <w:szCs w:val="22"/>
          <w:lang w:val="sk-SK"/>
        </w:rPr>
        <w:t xml:space="preserve">: </w:t>
      </w:r>
      <w:proofErr w:type="spellStart"/>
      <w:r w:rsidRPr="00691635">
        <w:rPr>
          <w:szCs w:val="22"/>
          <w:lang w:val="sk-SK"/>
        </w:rPr>
        <w:t>extrapoláciou</w:t>
      </w:r>
      <w:proofErr w:type="spellEnd"/>
      <w:r w:rsidRPr="00691635">
        <w:rPr>
          <w:szCs w:val="22"/>
          <w:lang w:val="sk-SK"/>
        </w:rPr>
        <w:t xml:space="preserve"> z neselektívnych inhibítorov MAO</w:t>
      </w:r>
      <w:r w:rsidR="00F612D6" w:rsidRPr="00691635">
        <w:rPr>
          <w:szCs w:val="22"/>
          <w:lang w:val="sk-SK"/>
        </w:rPr>
        <w:t>,</w:t>
      </w:r>
      <w:r w:rsidRPr="00691635">
        <w:rPr>
          <w:szCs w:val="22"/>
          <w:lang w:val="sk-SK"/>
        </w:rPr>
        <w:t xml:space="preserve"> riziko zvýšenia </w:t>
      </w:r>
      <w:proofErr w:type="spellStart"/>
      <w:r w:rsidRPr="00691635">
        <w:rPr>
          <w:szCs w:val="22"/>
          <w:lang w:val="sk-SK"/>
        </w:rPr>
        <w:t>presorického</w:t>
      </w:r>
      <w:proofErr w:type="spellEnd"/>
      <w:r w:rsidRPr="00691635">
        <w:rPr>
          <w:szCs w:val="22"/>
          <w:lang w:val="sk-SK"/>
        </w:rPr>
        <w:t xml:space="preserve"> účinku. Majú sa používať len pod </w:t>
      </w:r>
      <w:r w:rsidR="00F612D6" w:rsidRPr="00691635">
        <w:rPr>
          <w:szCs w:val="22"/>
          <w:lang w:val="sk-SK"/>
        </w:rPr>
        <w:t>starostlivým</w:t>
      </w:r>
      <w:r w:rsidRPr="00691635">
        <w:rPr>
          <w:szCs w:val="22"/>
          <w:lang w:val="sk-SK"/>
        </w:rPr>
        <w:t xml:space="preserve"> lekárskym dohľadom.</w:t>
      </w: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91635">
        <w:rPr>
          <w:szCs w:val="22"/>
          <w:lang w:val="sk-SK"/>
        </w:rPr>
        <w:t>Linezolid</w:t>
      </w:r>
      <w:proofErr w:type="spellEnd"/>
      <w:r w:rsidRPr="00691635">
        <w:rPr>
          <w:szCs w:val="22"/>
          <w:lang w:val="sk-SK"/>
        </w:rPr>
        <w:t xml:space="preserve">: </w:t>
      </w:r>
      <w:proofErr w:type="spellStart"/>
      <w:r w:rsidRPr="00691635">
        <w:rPr>
          <w:szCs w:val="22"/>
          <w:lang w:val="sk-SK"/>
        </w:rPr>
        <w:t>extrapoláciou</w:t>
      </w:r>
      <w:proofErr w:type="spellEnd"/>
      <w:r w:rsidRPr="00691635">
        <w:rPr>
          <w:szCs w:val="22"/>
          <w:lang w:val="sk-SK"/>
        </w:rPr>
        <w:t xml:space="preserve"> z neselektívnych inhibítorov MAO</w:t>
      </w:r>
      <w:r w:rsidR="00F612D6" w:rsidRPr="00691635">
        <w:rPr>
          <w:szCs w:val="22"/>
          <w:lang w:val="sk-SK"/>
        </w:rPr>
        <w:t>,</w:t>
      </w:r>
      <w:r w:rsidRPr="00691635">
        <w:rPr>
          <w:szCs w:val="22"/>
          <w:lang w:val="sk-SK"/>
        </w:rPr>
        <w:t xml:space="preserve"> riziko zvýšenia </w:t>
      </w:r>
      <w:proofErr w:type="spellStart"/>
      <w:r w:rsidRPr="00691635">
        <w:rPr>
          <w:szCs w:val="22"/>
          <w:lang w:val="sk-SK"/>
        </w:rPr>
        <w:t>presorického</w:t>
      </w:r>
      <w:proofErr w:type="spellEnd"/>
      <w:r w:rsidRPr="00691635">
        <w:rPr>
          <w:szCs w:val="22"/>
          <w:lang w:val="sk-SK"/>
        </w:rPr>
        <w:t xml:space="preserve"> účinku. Má sa používať len pod </w:t>
      </w:r>
      <w:r w:rsidR="00F612D6" w:rsidRPr="00691635">
        <w:rPr>
          <w:szCs w:val="22"/>
          <w:lang w:val="sk-SK"/>
        </w:rPr>
        <w:t>starostlivým</w:t>
      </w:r>
      <w:r w:rsidRPr="00691635">
        <w:rPr>
          <w:szCs w:val="22"/>
          <w:lang w:val="sk-SK"/>
        </w:rPr>
        <w:t xml:space="preserve"> lekárskym dohľadom.</w:t>
      </w:r>
    </w:p>
    <w:p w:rsidR="00991ACA" w:rsidRPr="00691635" w:rsidRDefault="00991ACA" w:rsidP="008F2E21">
      <w:pPr>
        <w:spacing w:line="240" w:lineRule="auto"/>
        <w:ind w:left="360"/>
        <w:rPr>
          <w:szCs w:val="22"/>
          <w:lang w:val="sk-SK"/>
        </w:rPr>
      </w:pPr>
    </w:p>
    <w:p w:rsidR="00991ACA" w:rsidRPr="00691635" w:rsidRDefault="004A7ADD" w:rsidP="008F2E21">
      <w:pPr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 xml:space="preserve">Je potrebná opatrnosť pri používaní </w:t>
      </w:r>
      <w:proofErr w:type="spellStart"/>
      <w:r w:rsidRPr="00691635">
        <w:rPr>
          <w:szCs w:val="22"/>
          <w:lang w:val="sk-SK"/>
        </w:rPr>
        <w:t>noradrenalínu</w:t>
      </w:r>
      <w:proofErr w:type="spellEnd"/>
      <w:r w:rsidRPr="00691635">
        <w:rPr>
          <w:szCs w:val="22"/>
          <w:lang w:val="sk-SK"/>
        </w:rPr>
        <w:t xml:space="preserve"> s </w:t>
      </w:r>
      <w:proofErr w:type="spellStart"/>
      <w:r w:rsidRPr="00691635">
        <w:rPr>
          <w:szCs w:val="22"/>
          <w:lang w:val="sk-SK"/>
        </w:rPr>
        <w:t>beta-blokátormi</w:t>
      </w:r>
      <w:proofErr w:type="spellEnd"/>
      <w:r w:rsidRPr="00691635">
        <w:rPr>
          <w:szCs w:val="22"/>
          <w:lang w:val="sk-SK"/>
        </w:rPr>
        <w:t>, pretože môže dôjsť k závažnej hypertenzii.</w:t>
      </w:r>
    </w:p>
    <w:p w:rsidR="00991ACA" w:rsidRPr="00691635" w:rsidRDefault="004A7ADD" w:rsidP="008F2E21">
      <w:pPr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 xml:space="preserve">Je potrebná opatrnosť pri používaní </w:t>
      </w:r>
      <w:proofErr w:type="spellStart"/>
      <w:r w:rsidRPr="00691635">
        <w:rPr>
          <w:szCs w:val="22"/>
          <w:lang w:val="sk-SK"/>
        </w:rPr>
        <w:t>noradrenalínu</w:t>
      </w:r>
      <w:proofErr w:type="spellEnd"/>
      <w:r w:rsidRPr="00691635">
        <w:rPr>
          <w:szCs w:val="22"/>
          <w:lang w:val="sk-SK"/>
        </w:rPr>
        <w:t xml:space="preserve"> s nasledujúcimi liekmi, pretože môžu spôsobiť zvýšenie účinku na srdce: hormóny štítnej žľazy, srdcové </w:t>
      </w:r>
      <w:proofErr w:type="spellStart"/>
      <w:r w:rsidRPr="00691635">
        <w:rPr>
          <w:szCs w:val="22"/>
          <w:lang w:val="sk-SK"/>
        </w:rPr>
        <w:t>glykozidy</w:t>
      </w:r>
      <w:proofErr w:type="spellEnd"/>
      <w:r w:rsidRPr="00691635">
        <w:rPr>
          <w:szCs w:val="22"/>
          <w:lang w:val="sk-SK"/>
        </w:rPr>
        <w:t xml:space="preserve">, </w:t>
      </w:r>
      <w:proofErr w:type="spellStart"/>
      <w:r w:rsidRPr="00691635">
        <w:rPr>
          <w:szCs w:val="22"/>
          <w:lang w:val="sk-SK"/>
        </w:rPr>
        <w:t>antiarytmiká</w:t>
      </w:r>
      <w:proofErr w:type="spellEnd"/>
      <w:r w:rsidRPr="00691635">
        <w:rPr>
          <w:szCs w:val="22"/>
          <w:lang w:val="sk-SK"/>
        </w:rPr>
        <w:t>.</w:t>
      </w:r>
    </w:p>
    <w:p w:rsidR="00991ACA" w:rsidRPr="00691635" w:rsidRDefault="00F612D6" w:rsidP="008F2E21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91635">
        <w:rPr>
          <w:szCs w:val="22"/>
          <w:lang w:val="sk-SK"/>
        </w:rPr>
        <w:t>Námeľové</w:t>
      </w:r>
      <w:proofErr w:type="spellEnd"/>
      <w:r w:rsidR="004A7ADD" w:rsidRPr="00691635">
        <w:rPr>
          <w:szCs w:val="22"/>
          <w:lang w:val="sk-SK"/>
        </w:rPr>
        <w:t xml:space="preserve"> alkaloidy alebo </w:t>
      </w:r>
      <w:proofErr w:type="spellStart"/>
      <w:r w:rsidR="004A7ADD" w:rsidRPr="00691635">
        <w:rPr>
          <w:szCs w:val="22"/>
          <w:lang w:val="sk-SK"/>
        </w:rPr>
        <w:t>oxytocín</w:t>
      </w:r>
      <w:proofErr w:type="spellEnd"/>
      <w:r w:rsidR="004A7ADD" w:rsidRPr="00691635">
        <w:rPr>
          <w:szCs w:val="22"/>
          <w:lang w:val="sk-SK"/>
        </w:rPr>
        <w:t xml:space="preserve"> môžu zvýšiť </w:t>
      </w:r>
      <w:proofErr w:type="spellStart"/>
      <w:r w:rsidR="004A7ADD" w:rsidRPr="00691635">
        <w:rPr>
          <w:szCs w:val="22"/>
          <w:lang w:val="sk-SK"/>
        </w:rPr>
        <w:t>vazopresorický</w:t>
      </w:r>
      <w:proofErr w:type="spellEnd"/>
      <w:r w:rsidR="004A7ADD" w:rsidRPr="00691635">
        <w:rPr>
          <w:szCs w:val="22"/>
          <w:lang w:val="sk-SK"/>
        </w:rPr>
        <w:t xml:space="preserve"> alebo </w:t>
      </w:r>
      <w:proofErr w:type="spellStart"/>
      <w:r w:rsidR="004A7ADD" w:rsidRPr="00691635">
        <w:rPr>
          <w:szCs w:val="22"/>
          <w:lang w:val="sk-SK"/>
        </w:rPr>
        <w:t>vazokonstriktívny</w:t>
      </w:r>
      <w:proofErr w:type="spellEnd"/>
      <w:r w:rsidR="004A7ADD" w:rsidRPr="00691635">
        <w:rPr>
          <w:szCs w:val="22"/>
          <w:lang w:val="sk-SK"/>
        </w:rPr>
        <w:t xml:space="preserve"> účinok.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691635">
        <w:rPr>
          <w:b/>
          <w:noProof/>
          <w:szCs w:val="22"/>
          <w:lang w:val="sk-SK"/>
        </w:rPr>
        <w:t>4.6</w:t>
      </w:r>
      <w:r w:rsidRPr="00691635">
        <w:rPr>
          <w:b/>
          <w:noProof/>
          <w:szCs w:val="22"/>
          <w:lang w:val="sk-SK"/>
        </w:rPr>
        <w:tab/>
      </w:r>
      <w:proofErr w:type="spellStart"/>
      <w:r w:rsidRPr="00691635">
        <w:rPr>
          <w:b/>
          <w:bCs/>
          <w:szCs w:val="22"/>
          <w:lang w:val="sk-SK"/>
        </w:rPr>
        <w:t>Fertilita</w:t>
      </w:r>
      <w:proofErr w:type="spellEnd"/>
      <w:r w:rsidRPr="00691635">
        <w:rPr>
          <w:b/>
          <w:bCs/>
          <w:szCs w:val="22"/>
          <w:lang w:val="sk-SK"/>
        </w:rPr>
        <w:t>, g</w:t>
      </w:r>
      <w:r w:rsidRPr="00691635">
        <w:rPr>
          <w:b/>
          <w:noProof/>
          <w:szCs w:val="22"/>
          <w:lang w:val="sk-SK"/>
        </w:rPr>
        <w:t>ravidita a laktácia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691635">
        <w:rPr>
          <w:b/>
          <w:bCs/>
          <w:noProof/>
          <w:szCs w:val="22"/>
          <w:lang w:val="sk-SK"/>
        </w:rPr>
        <w:t>Gravidita</w:t>
      </w:r>
    </w:p>
    <w:p w:rsidR="00991ACA" w:rsidRPr="00691635" w:rsidRDefault="00B26239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Sinora</w:t>
      </w:r>
      <w:r w:rsidR="00470042" w:rsidRPr="00691635">
        <w:rPr>
          <w:noProof/>
          <w:szCs w:val="22"/>
          <w:lang w:val="sk-SK"/>
        </w:rPr>
        <w:t xml:space="preserve"> </w:t>
      </w:r>
      <w:r w:rsidR="004A7ADD" w:rsidRPr="00691635">
        <w:rPr>
          <w:noProof/>
          <w:szCs w:val="22"/>
          <w:lang w:val="sk-SK"/>
        </w:rPr>
        <w:t>môže poškodiť placentá</w:t>
      </w:r>
      <w:r w:rsidR="00F612D6" w:rsidRPr="00691635">
        <w:rPr>
          <w:noProof/>
          <w:szCs w:val="22"/>
          <w:lang w:val="sk-SK"/>
        </w:rPr>
        <w:t>r</w:t>
      </w:r>
      <w:r w:rsidR="004A7ADD" w:rsidRPr="00691635">
        <w:rPr>
          <w:noProof/>
          <w:szCs w:val="22"/>
          <w:lang w:val="sk-SK"/>
        </w:rPr>
        <w:t xml:space="preserve">nu perfúziu a spôsobiť bradykardiu plodu. Môže mať tiež kontrakčné účinky na maternicu tehotnej ženy a spôsobiť asfyxiu plodu v neskorom štádiu </w:t>
      </w:r>
      <w:r w:rsidR="00606839">
        <w:rPr>
          <w:noProof/>
          <w:szCs w:val="22"/>
          <w:lang w:val="sk-SK"/>
        </w:rPr>
        <w:t>gravidity</w:t>
      </w:r>
      <w:r w:rsidR="004A7ADD" w:rsidRPr="00691635">
        <w:rPr>
          <w:noProof/>
          <w:szCs w:val="22"/>
          <w:lang w:val="sk-SK"/>
        </w:rPr>
        <w:t>. Tieto možné riziká pre plod sa majú preto zvážiť oproti možnému prínosu pre matku.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691635">
        <w:rPr>
          <w:b/>
          <w:bCs/>
          <w:noProof/>
          <w:szCs w:val="22"/>
          <w:lang w:val="sk-SK"/>
        </w:rPr>
        <w:t>Dojčenie</w:t>
      </w: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691635">
        <w:rPr>
          <w:noProof/>
          <w:szCs w:val="22"/>
          <w:lang w:val="sk-SK"/>
        </w:rPr>
        <w:t>Nie sú k dispozícii informácie o použití</w:t>
      </w:r>
      <w:r w:rsidR="00B26239">
        <w:rPr>
          <w:noProof/>
          <w:szCs w:val="22"/>
          <w:lang w:val="sk-SK"/>
        </w:rPr>
        <w:t xml:space="preserve"> Sinor</w:t>
      </w:r>
      <w:r w:rsidR="00606839">
        <w:rPr>
          <w:noProof/>
          <w:szCs w:val="22"/>
          <w:lang w:val="sk-SK"/>
        </w:rPr>
        <w:t>y</w:t>
      </w:r>
      <w:r w:rsidR="00470042" w:rsidRPr="00691635">
        <w:rPr>
          <w:noProof/>
          <w:szCs w:val="22"/>
          <w:lang w:val="sk-SK"/>
        </w:rPr>
        <w:t xml:space="preserve"> </w:t>
      </w:r>
      <w:r w:rsidRPr="00691635">
        <w:rPr>
          <w:noProof/>
          <w:szCs w:val="22"/>
          <w:lang w:val="sk-SK"/>
        </w:rPr>
        <w:t>počas laktácie.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691635">
        <w:rPr>
          <w:b/>
          <w:noProof/>
          <w:szCs w:val="22"/>
          <w:lang w:val="sk-SK"/>
        </w:rPr>
        <w:t>4.7</w:t>
      </w:r>
      <w:r w:rsidRPr="00691635">
        <w:rPr>
          <w:b/>
          <w:noProof/>
          <w:szCs w:val="22"/>
          <w:lang w:val="sk-SK"/>
        </w:rPr>
        <w:tab/>
        <w:t>Ovplyvnenie schopnosti viesť vozidlá a obsluhovať stroje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691635">
        <w:rPr>
          <w:noProof/>
          <w:szCs w:val="22"/>
          <w:lang w:val="sk-SK"/>
        </w:rPr>
        <w:t>Nie sú uvedené žiadne.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  <w:lang w:val="sk-SK"/>
        </w:rPr>
      </w:pPr>
      <w:r w:rsidRPr="00691635">
        <w:rPr>
          <w:b/>
          <w:noProof/>
          <w:szCs w:val="22"/>
          <w:lang w:val="sk-SK"/>
        </w:rPr>
        <w:t>Nežiaduce účinky</w:t>
      </w:r>
    </w:p>
    <w:p w:rsidR="008F2E21" w:rsidRDefault="008F2E21" w:rsidP="008F2E2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691635">
        <w:rPr>
          <w:szCs w:val="22"/>
          <w:lang w:val="sk-SK"/>
        </w:rPr>
        <w:t>Frekvencia nežiaducich reakcií sa nedá určiť z dostupných údajov.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1"/>
      </w:tblGrid>
      <w:tr w:rsidR="00991ACA" w:rsidRPr="00691635">
        <w:tc>
          <w:tcPr>
            <w:tcW w:w="2660" w:type="dxa"/>
          </w:tcPr>
          <w:p w:rsidR="00991ACA" w:rsidRPr="00691635" w:rsidRDefault="004A7ADD" w:rsidP="008F2E21">
            <w:pPr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  <w:lang w:val="sk-SK"/>
              </w:rPr>
            </w:pPr>
            <w:r w:rsidRPr="00691635">
              <w:rPr>
                <w:b/>
                <w:noProof/>
                <w:szCs w:val="22"/>
                <w:lang w:val="sk-SK"/>
              </w:rPr>
              <w:t>Trieda orgánových systémov</w:t>
            </w:r>
          </w:p>
        </w:tc>
        <w:tc>
          <w:tcPr>
            <w:tcW w:w="6551" w:type="dxa"/>
          </w:tcPr>
          <w:p w:rsidR="00991ACA" w:rsidRPr="00691635" w:rsidRDefault="004A7ADD" w:rsidP="008F2E21">
            <w:pPr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  <w:lang w:val="sk-SK"/>
              </w:rPr>
            </w:pPr>
            <w:r w:rsidRPr="00691635">
              <w:rPr>
                <w:b/>
                <w:noProof/>
                <w:szCs w:val="22"/>
                <w:lang w:val="sk-SK"/>
              </w:rPr>
              <w:t>Nežiaduci účinok</w:t>
            </w:r>
          </w:p>
        </w:tc>
      </w:tr>
      <w:tr w:rsidR="00991ACA" w:rsidRPr="00C57E01">
        <w:tc>
          <w:tcPr>
            <w:tcW w:w="2660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</w:pPr>
            <w:r w:rsidRPr="00691635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6551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</w:pPr>
            <w:r w:rsidRPr="00691635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w:t>úzkosť, nespavosť, zmätenosť, slabosť, psychotické stavy</w:t>
            </w:r>
          </w:p>
        </w:tc>
      </w:tr>
      <w:tr w:rsidR="00991ACA" w:rsidRPr="00691635">
        <w:tc>
          <w:tcPr>
            <w:tcW w:w="2660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</w:pPr>
            <w:r w:rsidRPr="00691635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6551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</w:pPr>
            <w:r w:rsidRPr="00691635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w:t>bolesť hlavy, tras</w:t>
            </w:r>
          </w:p>
        </w:tc>
      </w:tr>
      <w:tr w:rsidR="00991ACA" w:rsidRPr="00C57E01">
        <w:tc>
          <w:tcPr>
            <w:tcW w:w="2660" w:type="dxa"/>
          </w:tcPr>
          <w:p w:rsidR="00991ACA" w:rsidRPr="00691635" w:rsidRDefault="004A7ADD" w:rsidP="008F2E21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691635">
              <w:rPr>
                <w:noProof/>
                <w:szCs w:val="22"/>
                <w:lang w:val="sk-SK"/>
              </w:rPr>
              <w:t>Poruchy oka</w:t>
            </w:r>
          </w:p>
        </w:tc>
        <w:tc>
          <w:tcPr>
            <w:tcW w:w="6551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</w:pPr>
            <w:r w:rsidRPr="00691635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w:t>akútny glaukóm (veľmi často u pacientov s anatomickou predispozíciou s uzavretým iridokorneálnym uhlom)</w:t>
            </w:r>
          </w:p>
        </w:tc>
      </w:tr>
      <w:tr w:rsidR="00991ACA" w:rsidRPr="00C57E01">
        <w:tc>
          <w:tcPr>
            <w:tcW w:w="2660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</w:pPr>
            <w:r w:rsidRPr="00691635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6551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</w:pPr>
            <w:r w:rsidRPr="00691635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w:t>tachykardia, bradykardia (pravdepodobne ako reflexná reakcia na zvýšenie krvného tlaku), arytmie, palpitácie, zvýšenie kontrak</w:t>
            </w:r>
            <w:r w:rsidR="00F612D6" w:rsidRPr="00691635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w:t>t</w:t>
            </w:r>
            <w:r w:rsidRPr="00691635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w:t>ility srdcového svalu spôsobené beta-adrenergným účinkom na srdce (inotropné a chronotropné), akútna srdcová nedostatočnosť</w:t>
            </w:r>
          </w:p>
          <w:p w:rsidR="00991ACA" w:rsidRPr="00691635" w:rsidRDefault="00991ACA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</w:pPr>
          </w:p>
        </w:tc>
      </w:tr>
      <w:tr w:rsidR="00991ACA" w:rsidRPr="00C57E01">
        <w:tc>
          <w:tcPr>
            <w:tcW w:w="2660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</w:pPr>
            <w:r w:rsidRPr="00691635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6551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</w:pPr>
            <w:r w:rsidRPr="00691635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w:t>arteriálna hypertenzia a hypoxia tkanív, ischemické poškodenie v dôsledku silného vazokostrikčného účinku, ktoré môže viesť k pocitu chladu a bledosti končatín a tváre</w:t>
            </w:r>
          </w:p>
          <w:p w:rsidR="00991ACA" w:rsidRPr="00691635" w:rsidRDefault="00991ACA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</w:pPr>
          </w:p>
        </w:tc>
      </w:tr>
      <w:tr w:rsidR="00991ACA" w:rsidRPr="00C57E01">
        <w:tc>
          <w:tcPr>
            <w:tcW w:w="2660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</w:pPr>
            <w:r w:rsidRPr="00691635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w:t>Poruchy dýchacej sústavy, hrudníka a mediastína</w:t>
            </w:r>
          </w:p>
        </w:tc>
        <w:tc>
          <w:tcPr>
            <w:tcW w:w="6551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</w:pPr>
            <w:r w:rsidRPr="00691635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w:t>nedostatočnosť alebo ťažkosti s dýchaním, dyspnoe</w:t>
            </w:r>
          </w:p>
        </w:tc>
      </w:tr>
      <w:tr w:rsidR="00991ACA" w:rsidRPr="00691635">
        <w:tc>
          <w:tcPr>
            <w:tcW w:w="2660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</w:pPr>
            <w:r w:rsidRPr="00691635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w:t>Poruchy gastrointestinálneho traktu</w:t>
            </w:r>
          </w:p>
        </w:tc>
        <w:tc>
          <w:tcPr>
            <w:tcW w:w="6551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</w:pPr>
            <w:r w:rsidRPr="00691635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w:t>nevoľnosť, vracanie</w:t>
            </w:r>
          </w:p>
        </w:tc>
      </w:tr>
      <w:tr w:rsidR="00991ACA" w:rsidRPr="00691635">
        <w:tc>
          <w:tcPr>
            <w:tcW w:w="2660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</w:pPr>
            <w:r w:rsidRPr="00691635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w:lastRenderedPageBreak/>
              <w:t>Poruchy obličiek a močových ciest</w:t>
            </w:r>
          </w:p>
        </w:tc>
        <w:tc>
          <w:tcPr>
            <w:tcW w:w="6551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</w:pPr>
            <w:r w:rsidRPr="00691635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w:t>zadržiavanie moču</w:t>
            </w:r>
          </w:p>
        </w:tc>
      </w:tr>
      <w:tr w:rsidR="00991ACA" w:rsidRPr="00691635">
        <w:trPr>
          <w:trHeight w:val="862"/>
        </w:trPr>
        <w:tc>
          <w:tcPr>
            <w:tcW w:w="2660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</w:pPr>
            <w:r w:rsidRPr="00691635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6551" w:type="dxa"/>
          </w:tcPr>
          <w:p w:rsidR="00991ACA" w:rsidRPr="00691635" w:rsidRDefault="004A7ADD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</w:pPr>
            <w:r w:rsidRPr="00691635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w:t>možnosť podráždenia a nekrózy v mieste injekcie</w:t>
            </w:r>
          </w:p>
          <w:p w:rsidR="00991ACA" w:rsidRPr="00691635" w:rsidRDefault="00991ACA" w:rsidP="008F2E21">
            <w:pPr>
              <w:pStyle w:val="Normlnywebov"/>
              <w:spacing w:before="0" w:beforeAutospacing="0" w:after="0" w:afterAutospacing="0"/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</w:pPr>
          </w:p>
        </w:tc>
      </w:tr>
    </w:tbl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 xml:space="preserve">Nepretržité podávanie </w:t>
      </w:r>
      <w:proofErr w:type="spellStart"/>
      <w:r w:rsidRPr="00691635">
        <w:rPr>
          <w:szCs w:val="22"/>
          <w:lang w:val="sk-SK"/>
        </w:rPr>
        <w:t>vazopresorického</w:t>
      </w:r>
      <w:proofErr w:type="spellEnd"/>
      <w:r w:rsidRPr="00691635">
        <w:rPr>
          <w:szCs w:val="22"/>
          <w:lang w:val="sk-SK"/>
        </w:rPr>
        <w:t xml:space="preserve"> lieku na udržanie krvného tlaku bez doplnenia krvného objemu môže spôsobiť nasledujúce príznaky:</w:t>
      </w: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>závažnú periférnu a </w:t>
      </w:r>
      <w:proofErr w:type="spellStart"/>
      <w:r w:rsidRPr="00691635">
        <w:rPr>
          <w:szCs w:val="22"/>
          <w:lang w:val="sk-SK"/>
        </w:rPr>
        <w:t>viscerálnu</w:t>
      </w:r>
      <w:proofErr w:type="spellEnd"/>
      <w:r w:rsidRPr="00691635">
        <w:rPr>
          <w:szCs w:val="22"/>
          <w:lang w:val="sk-SK"/>
        </w:rPr>
        <w:t xml:space="preserve"> </w:t>
      </w:r>
      <w:proofErr w:type="spellStart"/>
      <w:r w:rsidRPr="00691635">
        <w:rPr>
          <w:szCs w:val="22"/>
          <w:lang w:val="sk-SK"/>
        </w:rPr>
        <w:t>vazokonstrikciu</w:t>
      </w:r>
      <w:proofErr w:type="spellEnd"/>
      <w:r w:rsidRPr="00691635">
        <w:rPr>
          <w:szCs w:val="22"/>
          <w:lang w:val="sk-SK"/>
        </w:rPr>
        <w:t>,</w:t>
      </w: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>zníženie prietoku krvi obličkami,</w:t>
      </w: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>zníženie produkcie moču,</w:t>
      </w: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91635">
        <w:rPr>
          <w:szCs w:val="22"/>
          <w:lang w:val="sk-SK"/>
        </w:rPr>
        <w:t>hypoxiu</w:t>
      </w:r>
      <w:proofErr w:type="spellEnd"/>
      <w:r w:rsidRPr="00691635">
        <w:rPr>
          <w:szCs w:val="22"/>
          <w:lang w:val="sk-SK"/>
        </w:rPr>
        <w:t>,</w:t>
      </w: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 xml:space="preserve">zvýšenie </w:t>
      </w:r>
      <w:proofErr w:type="spellStart"/>
      <w:r w:rsidRPr="00691635">
        <w:rPr>
          <w:szCs w:val="22"/>
          <w:lang w:val="sk-SK"/>
        </w:rPr>
        <w:t>laktátových</w:t>
      </w:r>
      <w:proofErr w:type="spellEnd"/>
      <w:r w:rsidRPr="00691635">
        <w:rPr>
          <w:szCs w:val="22"/>
          <w:lang w:val="sk-SK"/>
        </w:rPr>
        <w:t xml:space="preserve"> hladín v sére.</w:t>
      </w:r>
    </w:p>
    <w:p w:rsidR="00991ACA" w:rsidRPr="00691635" w:rsidRDefault="00991ACA" w:rsidP="008F2E21">
      <w:pPr>
        <w:spacing w:line="240" w:lineRule="auto"/>
        <w:rPr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 xml:space="preserve">V prípade precitlivenosti alebo predávkovania sa môžu častejšie objaviť nasledujúce účinky: hypertenzia, </w:t>
      </w:r>
      <w:proofErr w:type="spellStart"/>
      <w:r w:rsidRPr="00691635">
        <w:rPr>
          <w:szCs w:val="22"/>
          <w:lang w:val="sk-SK"/>
        </w:rPr>
        <w:t>fotofóbia</w:t>
      </w:r>
      <w:proofErr w:type="spellEnd"/>
      <w:r w:rsidRPr="00691635">
        <w:rPr>
          <w:szCs w:val="22"/>
          <w:lang w:val="sk-SK"/>
        </w:rPr>
        <w:t xml:space="preserve">, </w:t>
      </w:r>
      <w:proofErr w:type="spellStart"/>
      <w:r w:rsidRPr="00691635">
        <w:rPr>
          <w:szCs w:val="22"/>
          <w:lang w:val="sk-SK"/>
        </w:rPr>
        <w:t>retrosternálna</w:t>
      </w:r>
      <w:proofErr w:type="spellEnd"/>
      <w:r w:rsidRPr="00691635">
        <w:rPr>
          <w:szCs w:val="22"/>
          <w:lang w:val="sk-SK"/>
        </w:rPr>
        <w:t xml:space="preserve"> bolesť, </w:t>
      </w:r>
      <w:proofErr w:type="spellStart"/>
      <w:r w:rsidRPr="00691635">
        <w:rPr>
          <w:szCs w:val="22"/>
          <w:lang w:val="sk-SK"/>
        </w:rPr>
        <w:t>faryngeálna</w:t>
      </w:r>
      <w:proofErr w:type="spellEnd"/>
      <w:r w:rsidRPr="00691635">
        <w:rPr>
          <w:szCs w:val="22"/>
          <w:lang w:val="sk-SK"/>
        </w:rPr>
        <w:t xml:space="preserve"> bolesť, bledosť, silné potenie a vracanie.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jc w:val="both"/>
        <w:rPr>
          <w:color w:val="000000"/>
          <w:szCs w:val="22"/>
          <w:u w:val="single"/>
          <w:lang w:val="sk-SK"/>
        </w:rPr>
      </w:pPr>
      <w:r w:rsidRPr="00691635">
        <w:rPr>
          <w:color w:val="000000"/>
          <w:szCs w:val="22"/>
          <w:u w:val="single"/>
          <w:lang w:val="sk-SK"/>
        </w:rPr>
        <w:t>Hlásenie podozrení na nežiaduce reakcie</w:t>
      </w:r>
    </w:p>
    <w:p w:rsidR="00991ACA" w:rsidRPr="00691635" w:rsidRDefault="004A7ADD" w:rsidP="008F2E21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val="sk-SK"/>
        </w:rPr>
      </w:pPr>
      <w:r w:rsidRPr="00691635">
        <w:rPr>
          <w:color w:val="000000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B26239">
        <w:rPr>
          <w:color w:val="000000"/>
          <w:szCs w:val="22"/>
          <w:lang w:val="sk-SK"/>
        </w:rPr>
        <w:t>na</w:t>
      </w:r>
      <w:r w:rsidRPr="00691635">
        <w:rPr>
          <w:color w:val="000000"/>
          <w:szCs w:val="22"/>
          <w:lang w:val="sk-SK"/>
        </w:rPr>
        <w:t xml:space="preserve"> </w:t>
      </w:r>
      <w:r w:rsidR="00D62CF7" w:rsidRPr="008F2E21">
        <w:rPr>
          <w:noProof/>
          <w:szCs w:val="22"/>
          <w:highlight w:val="lightGray"/>
          <w:lang w:val="sk-SK"/>
        </w:rPr>
        <w:t xml:space="preserve">národné </w:t>
      </w:r>
      <w:r w:rsidR="00B26239">
        <w:rPr>
          <w:noProof/>
          <w:szCs w:val="22"/>
          <w:highlight w:val="lightGray"/>
          <w:lang w:val="sk-SK"/>
        </w:rPr>
        <w:t>centrum</w:t>
      </w:r>
      <w:r w:rsidR="00D62CF7" w:rsidRPr="008F2E21">
        <w:rPr>
          <w:noProof/>
          <w:szCs w:val="22"/>
          <w:highlight w:val="lightGray"/>
          <w:lang w:val="sk-SK"/>
        </w:rPr>
        <w:t xml:space="preserve"> hlásenia uvedené v </w:t>
      </w:r>
      <w:hyperlink r:id="rId8" w:history="1">
        <w:r w:rsidR="00D62CF7" w:rsidRPr="008F2E21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Pr="00691635">
        <w:rPr>
          <w:color w:val="000000"/>
          <w:szCs w:val="22"/>
          <w:lang w:val="sk-SK"/>
        </w:rPr>
        <w:t>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691635">
        <w:rPr>
          <w:b/>
          <w:noProof/>
          <w:szCs w:val="22"/>
          <w:lang w:val="sk-SK"/>
        </w:rPr>
        <w:t>4.9</w:t>
      </w:r>
      <w:r w:rsidRPr="00691635">
        <w:rPr>
          <w:b/>
          <w:noProof/>
          <w:szCs w:val="22"/>
          <w:lang w:val="sk-SK"/>
        </w:rPr>
        <w:tab/>
        <w:t>Predávkovanie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691635">
        <w:rPr>
          <w:noProof/>
          <w:szCs w:val="22"/>
          <w:lang w:val="sk-SK"/>
        </w:rPr>
        <w:t>Predáv</w:t>
      </w:r>
      <w:r w:rsidRPr="00691635">
        <w:rPr>
          <w:lang w:val="sk-SK"/>
        </w:rPr>
        <w:t xml:space="preserve">kovanie môže spôsobiť ťažkú hypertenziu, reflexnú bradykardiu, výrazné zvýšenie periférnej rezistencie a znížený výkon srdca. Tieto príznaky môžu byť sprevádzané silnými bolesťami hlavy, </w:t>
      </w:r>
      <w:proofErr w:type="spellStart"/>
      <w:r w:rsidRPr="00691635">
        <w:rPr>
          <w:lang w:val="sk-SK"/>
        </w:rPr>
        <w:t>fotofóbiou</w:t>
      </w:r>
      <w:proofErr w:type="spellEnd"/>
      <w:r w:rsidRPr="00691635">
        <w:rPr>
          <w:lang w:val="sk-SK"/>
        </w:rPr>
        <w:t xml:space="preserve">, </w:t>
      </w:r>
      <w:proofErr w:type="spellStart"/>
      <w:r w:rsidRPr="00691635">
        <w:rPr>
          <w:lang w:val="sk-SK"/>
        </w:rPr>
        <w:t>retrosternálnou</w:t>
      </w:r>
      <w:proofErr w:type="spellEnd"/>
      <w:r w:rsidRPr="00691635">
        <w:rPr>
          <w:lang w:val="sk-SK"/>
        </w:rPr>
        <w:t xml:space="preserve"> bolesťou, bledosťou, silným potením a vracaním. V prípade predávkovania sa má ukončiť liečba a majú sa zahájiť príslušné opravné opatrenia.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691635">
        <w:rPr>
          <w:b/>
          <w:noProof/>
          <w:szCs w:val="22"/>
          <w:lang w:val="sk-SK"/>
        </w:rPr>
        <w:t>5.</w:t>
      </w:r>
      <w:r w:rsidRPr="00691635">
        <w:rPr>
          <w:b/>
          <w:noProof/>
          <w:szCs w:val="22"/>
          <w:lang w:val="sk-SK"/>
        </w:rPr>
        <w:tab/>
        <w:t>FARMAKOLOGICKÉ VLASTNOSTI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u w:val="single"/>
          <w:lang w:val="sk-SK"/>
        </w:rPr>
      </w:pPr>
      <w:r w:rsidRPr="00691635">
        <w:rPr>
          <w:b/>
          <w:noProof/>
          <w:szCs w:val="22"/>
          <w:lang w:val="sk-SK"/>
        </w:rPr>
        <w:t>5.1</w:t>
      </w:r>
      <w:r w:rsidRPr="00691635">
        <w:rPr>
          <w:b/>
          <w:noProof/>
          <w:szCs w:val="22"/>
          <w:lang w:val="sk-SK"/>
        </w:rPr>
        <w:tab/>
        <w:t>Farmakodynamické vlastnosti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691635">
        <w:rPr>
          <w:noProof/>
          <w:szCs w:val="22"/>
          <w:lang w:val="sk-SK"/>
        </w:rPr>
        <w:t>Farmakoterapeutická skupina: Adrenergné a dopaminergné liečivá, ATC kód: C01CA03</w:t>
      </w: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691635">
        <w:rPr>
          <w:noProof/>
          <w:szCs w:val="22"/>
          <w:u w:val="single"/>
          <w:lang w:val="sk-SK"/>
        </w:rPr>
        <w:t>Mechanizmus účinku</w:t>
      </w: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proofErr w:type="spellStart"/>
      <w:r w:rsidRPr="00691635">
        <w:rPr>
          <w:color w:val="000000"/>
          <w:szCs w:val="22"/>
          <w:lang w:val="sk-SK"/>
        </w:rPr>
        <w:t>Vaskulárny</w:t>
      </w:r>
      <w:proofErr w:type="spellEnd"/>
      <w:r w:rsidRPr="00691635">
        <w:rPr>
          <w:color w:val="000000"/>
          <w:szCs w:val="22"/>
          <w:lang w:val="sk-SK"/>
        </w:rPr>
        <w:t xml:space="preserve"> účinok pri zvyčajne používaných klinických dávkach je výsledkom súbežnej stimulácie alfa- a </w:t>
      </w:r>
      <w:proofErr w:type="spellStart"/>
      <w:r w:rsidRPr="00691635">
        <w:rPr>
          <w:color w:val="000000"/>
          <w:szCs w:val="22"/>
          <w:lang w:val="sk-SK"/>
        </w:rPr>
        <w:t>beta-adrenergných</w:t>
      </w:r>
      <w:proofErr w:type="spellEnd"/>
      <w:r w:rsidRPr="00691635">
        <w:rPr>
          <w:color w:val="000000"/>
          <w:szCs w:val="22"/>
          <w:lang w:val="sk-SK"/>
        </w:rPr>
        <w:t xml:space="preserve"> receptorov v srdci a </w:t>
      </w:r>
      <w:proofErr w:type="spellStart"/>
      <w:r w:rsidRPr="00691635">
        <w:rPr>
          <w:color w:val="000000"/>
          <w:szCs w:val="22"/>
          <w:lang w:val="sk-SK"/>
        </w:rPr>
        <w:t>vaskulárnom</w:t>
      </w:r>
      <w:proofErr w:type="spellEnd"/>
      <w:r w:rsidRPr="00691635">
        <w:rPr>
          <w:color w:val="000000"/>
          <w:szCs w:val="22"/>
          <w:lang w:val="sk-SK"/>
        </w:rPr>
        <w:t xml:space="preserve"> systéme. Účinok lieku je mierený hlavne na </w:t>
      </w:r>
      <w:proofErr w:type="spellStart"/>
      <w:r w:rsidRPr="00691635">
        <w:rPr>
          <w:color w:val="000000"/>
          <w:szCs w:val="22"/>
          <w:lang w:val="sk-SK"/>
        </w:rPr>
        <w:t>alfa-receptory</w:t>
      </w:r>
      <w:proofErr w:type="spellEnd"/>
      <w:r w:rsidRPr="00691635">
        <w:rPr>
          <w:color w:val="000000"/>
          <w:szCs w:val="22"/>
          <w:lang w:val="sk-SK"/>
        </w:rPr>
        <w:t>, okrem v prípade srdca.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 w:eastAsia="sv-SE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color w:val="000000"/>
          <w:szCs w:val="22"/>
          <w:u w:val="single"/>
          <w:lang w:val="sk-SK" w:eastAsia="sv-SE"/>
        </w:rPr>
      </w:pPr>
      <w:proofErr w:type="spellStart"/>
      <w:r w:rsidRPr="00691635">
        <w:rPr>
          <w:color w:val="000000"/>
          <w:szCs w:val="22"/>
          <w:u w:val="single"/>
          <w:lang w:val="sk-SK"/>
        </w:rPr>
        <w:t>Farmakodynamické</w:t>
      </w:r>
      <w:proofErr w:type="spellEnd"/>
      <w:r w:rsidRPr="00691635">
        <w:rPr>
          <w:color w:val="000000"/>
          <w:szCs w:val="22"/>
          <w:u w:val="single"/>
          <w:lang w:val="sk-SK"/>
        </w:rPr>
        <w:t xml:space="preserve"> účinky</w:t>
      </w: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691635">
        <w:rPr>
          <w:color w:val="000000"/>
          <w:szCs w:val="22"/>
          <w:lang w:val="sk-SK"/>
        </w:rPr>
        <w:t xml:space="preserve">To má za následok zvýšenie sily (a pri chýbajúcej </w:t>
      </w:r>
      <w:proofErr w:type="spellStart"/>
      <w:r w:rsidRPr="00691635">
        <w:rPr>
          <w:color w:val="000000"/>
          <w:szCs w:val="22"/>
          <w:lang w:val="sk-SK"/>
        </w:rPr>
        <w:t>vagálnej</w:t>
      </w:r>
      <w:proofErr w:type="spellEnd"/>
      <w:r w:rsidRPr="00691635">
        <w:rPr>
          <w:color w:val="000000"/>
          <w:szCs w:val="22"/>
          <w:lang w:val="sk-SK"/>
        </w:rPr>
        <w:t xml:space="preserve"> inhibícii rýchlosti) kontrakcie myokardu. Periférna rezistencia sa zvyšuje a stúpa diastolický a </w:t>
      </w:r>
      <w:proofErr w:type="spellStart"/>
      <w:r w:rsidRPr="00691635">
        <w:rPr>
          <w:color w:val="000000"/>
          <w:szCs w:val="22"/>
          <w:lang w:val="sk-SK"/>
        </w:rPr>
        <w:t>systolický</w:t>
      </w:r>
      <w:proofErr w:type="spellEnd"/>
      <w:r w:rsidRPr="00691635">
        <w:rPr>
          <w:color w:val="000000"/>
          <w:szCs w:val="22"/>
          <w:lang w:val="sk-SK"/>
        </w:rPr>
        <w:t xml:space="preserve"> tlak.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textAlignment w:val="top"/>
        <w:rPr>
          <w:color w:val="000000"/>
          <w:szCs w:val="22"/>
          <w:lang w:val="sk-SK" w:eastAsia="sv-SE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textAlignment w:val="top"/>
        <w:rPr>
          <w:color w:val="000000"/>
          <w:szCs w:val="22"/>
          <w:u w:val="single"/>
          <w:lang w:val="sk-SK" w:eastAsia="sv-SE"/>
        </w:rPr>
      </w:pPr>
      <w:r w:rsidRPr="00691635">
        <w:rPr>
          <w:color w:val="000000"/>
          <w:szCs w:val="22"/>
          <w:u w:val="single"/>
          <w:lang w:val="sk-SK"/>
        </w:rPr>
        <w:t>Klinická účinnosť a bezpečnosť</w:t>
      </w:r>
    </w:p>
    <w:p w:rsidR="00991ACA" w:rsidRPr="00691635" w:rsidRDefault="004A7ADD" w:rsidP="008F2E21">
      <w:pPr>
        <w:tabs>
          <w:tab w:val="clear" w:pos="567"/>
        </w:tabs>
        <w:spacing w:line="240" w:lineRule="auto"/>
        <w:textAlignment w:val="top"/>
        <w:rPr>
          <w:color w:val="000000"/>
          <w:szCs w:val="22"/>
          <w:lang w:val="sk-SK"/>
        </w:rPr>
      </w:pPr>
      <w:r w:rsidRPr="00691635">
        <w:rPr>
          <w:color w:val="000000"/>
          <w:szCs w:val="22"/>
          <w:lang w:val="sk-SK"/>
        </w:rPr>
        <w:t xml:space="preserve">Zvýšenie krvného tlaku môže spôsobiť zníženie reflexu srdcového rytmu. </w:t>
      </w:r>
      <w:proofErr w:type="spellStart"/>
      <w:r w:rsidRPr="00691635">
        <w:rPr>
          <w:color w:val="000000"/>
          <w:szCs w:val="22"/>
          <w:lang w:val="sk-SK"/>
        </w:rPr>
        <w:t>Vazokonstrikcia</w:t>
      </w:r>
      <w:proofErr w:type="spellEnd"/>
      <w:r w:rsidRPr="00691635">
        <w:rPr>
          <w:color w:val="000000"/>
          <w:szCs w:val="22"/>
          <w:lang w:val="sk-SK"/>
        </w:rPr>
        <w:t xml:space="preserve"> môže spôsobiť znížený prietok krvi v obličkách, pečeni, koži a hladkom svalstve. Lokálna </w:t>
      </w:r>
      <w:proofErr w:type="spellStart"/>
      <w:r w:rsidRPr="00691635">
        <w:rPr>
          <w:color w:val="000000"/>
          <w:szCs w:val="22"/>
          <w:lang w:val="sk-SK"/>
        </w:rPr>
        <w:t>vazokonstrikcia</w:t>
      </w:r>
      <w:proofErr w:type="spellEnd"/>
      <w:r w:rsidRPr="00691635">
        <w:rPr>
          <w:color w:val="000000"/>
          <w:szCs w:val="22"/>
          <w:lang w:val="sk-SK"/>
        </w:rPr>
        <w:t xml:space="preserve"> môže spôsobiť </w:t>
      </w:r>
      <w:proofErr w:type="spellStart"/>
      <w:r w:rsidRPr="00691635">
        <w:rPr>
          <w:color w:val="000000"/>
          <w:szCs w:val="22"/>
          <w:lang w:val="sk-SK"/>
        </w:rPr>
        <w:t>hemostázu</w:t>
      </w:r>
      <w:proofErr w:type="spellEnd"/>
      <w:r w:rsidRPr="00691635">
        <w:rPr>
          <w:color w:val="000000"/>
          <w:szCs w:val="22"/>
          <w:lang w:val="sk-SK"/>
        </w:rPr>
        <w:t xml:space="preserve"> a/alebo </w:t>
      </w:r>
      <w:proofErr w:type="spellStart"/>
      <w:r w:rsidRPr="00691635">
        <w:rPr>
          <w:color w:val="000000"/>
          <w:szCs w:val="22"/>
          <w:lang w:val="sk-SK"/>
        </w:rPr>
        <w:t>nekrózu</w:t>
      </w:r>
      <w:proofErr w:type="spellEnd"/>
      <w:r w:rsidRPr="00691635">
        <w:rPr>
          <w:color w:val="000000"/>
          <w:szCs w:val="22"/>
          <w:lang w:val="sk-SK"/>
        </w:rPr>
        <w:t>.</w:t>
      </w:r>
    </w:p>
    <w:p w:rsidR="00991ACA" w:rsidRPr="00691635" w:rsidRDefault="004A7ADD" w:rsidP="008F2E21">
      <w:pPr>
        <w:tabs>
          <w:tab w:val="clear" w:pos="567"/>
        </w:tabs>
        <w:spacing w:line="240" w:lineRule="auto"/>
        <w:textAlignment w:val="top"/>
        <w:rPr>
          <w:color w:val="000000"/>
          <w:szCs w:val="22"/>
          <w:lang w:val="sk-SK"/>
        </w:rPr>
      </w:pPr>
      <w:r w:rsidRPr="00691635">
        <w:rPr>
          <w:color w:val="000000"/>
          <w:szCs w:val="22"/>
          <w:lang w:val="sk-SK"/>
        </w:rPr>
        <w:t>Účinok na krvný tlak vymizne 1 </w:t>
      </w:r>
      <w:r w:rsidRPr="00691635">
        <w:rPr>
          <w:color w:val="000000"/>
          <w:szCs w:val="22"/>
          <w:lang w:val="sk-SK"/>
        </w:rPr>
        <w:noBreakHyphen/>
        <w:t> 2 minúty po ukončení infúzie.</w:t>
      </w:r>
    </w:p>
    <w:p w:rsidR="00991ACA" w:rsidRPr="00691635" w:rsidRDefault="00991ACA" w:rsidP="008F2E21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sk-SK"/>
        </w:rPr>
      </w:pPr>
      <w:r w:rsidRPr="00691635">
        <w:rPr>
          <w:b/>
          <w:noProof/>
          <w:szCs w:val="22"/>
          <w:lang w:val="sk-SK"/>
        </w:rPr>
        <w:t>5.2</w:t>
      </w:r>
      <w:r w:rsidRPr="00691635">
        <w:rPr>
          <w:b/>
          <w:noProof/>
          <w:szCs w:val="22"/>
          <w:lang w:val="sk-SK"/>
        </w:rPr>
        <w:tab/>
        <w:t>Farmakokinetické vlastnosti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ind w:left="567" w:hanging="567"/>
        <w:outlineLvl w:val="0"/>
        <w:rPr>
          <w:color w:val="000000"/>
          <w:szCs w:val="22"/>
          <w:lang w:val="sk-SK" w:eastAsia="sv-SE"/>
        </w:rPr>
      </w:pPr>
    </w:p>
    <w:p w:rsidR="00991ACA" w:rsidRPr="00691635" w:rsidRDefault="004A7ADD" w:rsidP="008F2E21">
      <w:pPr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 xml:space="preserve">Existujú dva </w:t>
      </w:r>
      <w:proofErr w:type="spellStart"/>
      <w:r w:rsidRPr="00691635">
        <w:rPr>
          <w:szCs w:val="22"/>
          <w:lang w:val="sk-SK"/>
        </w:rPr>
        <w:t>stereoizoméry</w:t>
      </w:r>
      <w:proofErr w:type="spellEnd"/>
      <w:r w:rsidRPr="00691635">
        <w:rPr>
          <w:szCs w:val="22"/>
          <w:lang w:val="sk-SK"/>
        </w:rPr>
        <w:t xml:space="preserve"> </w:t>
      </w:r>
      <w:proofErr w:type="spellStart"/>
      <w:r w:rsidRPr="00691635">
        <w:rPr>
          <w:szCs w:val="22"/>
          <w:lang w:val="sk-SK"/>
        </w:rPr>
        <w:t>noradrenalínu</w:t>
      </w:r>
      <w:proofErr w:type="spellEnd"/>
      <w:r w:rsidRPr="00691635">
        <w:rPr>
          <w:szCs w:val="22"/>
          <w:lang w:val="sk-SK"/>
        </w:rPr>
        <w:t xml:space="preserve">, biologicky aktívny </w:t>
      </w:r>
      <w:proofErr w:type="spellStart"/>
      <w:r w:rsidRPr="00691635">
        <w:rPr>
          <w:szCs w:val="22"/>
          <w:lang w:val="sk-SK"/>
        </w:rPr>
        <w:t>L</w:t>
      </w:r>
      <w:r w:rsidRPr="00691635">
        <w:rPr>
          <w:szCs w:val="22"/>
          <w:lang w:val="sk-SK"/>
        </w:rPr>
        <w:noBreakHyphen/>
        <w:t>izomér</w:t>
      </w:r>
      <w:proofErr w:type="spellEnd"/>
      <w:r w:rsidRPr="00691635">
        <w:rPr>
          <w:szCs w:val="22"/>
          <w:lang w:val="sk-SK"/>
        </w:rPr>
        <w:t xml:space="preserve"> je obsiahnutý v </w:t>
      </w:r>
      <w:proofErr w:type="spellStart"/>
      <w:r w:rsidRPr="00691635">
        <w:rPr>
          <w:szCs w:val="22"/>
          <w:lang w:val="sk-SK"/>
        </w:rPr>
        <w:t>infúznom</w:t>
      </w:r>
      <w:proofErr w:type="spellEnd"/>
      <w:r w:rsidRPr="00691635">
        <w:rPr>
          <w:szCs w:val="22"/>
          <w:lang w:val="sk-SK"/>
        </w:rPr>
        <w:t xml:space="preserve"> koncentráte </w:t>
      </w:r>
      <w:proofErr w:type="spellStart"/>
      <w:r w:rsidRPr="00691635">
        <w:rPr>
          <w:szCs w:val="22"/>
          <w:lang w:val="sk-SK"/>
        </w:rPr>
        <w:t>noradrenalínu</w:t>
      </w:r>
      <w:proofErr w:type="spellEnd"/>
      <w:r w:rsidRPr="00691635">
        <w:rPr>
          <w:szCs w:val="22"/>
          <w:lang w:val="sk-SK"/>
        </w:rPr>
        <w:t xml:space="preserve"> 1 mg/ml.</w:t>
      </w:r>
    </w:p>
    <w:p w:rsidR="00991ACA" w:rsidRPr="00691635" w:rsidRDefault="00991ACA" w:rsidP="008F2E21">
      <w:pPr>
        <w:spacing w:line="240" w:lineRule="auto"/>
        <w:rPr>
          <w:szCs w:val="22"/>
          <w:lang w:val="sk-SK"/>
        </w:rPr>
      </w:pPr>
    </w:p>
    <w:p w:rsidR="00991ACA" w:rsidRPr="00691635" w:rsidRDefault="004A7ADD" w:rsidP="008F2E21">
      <w:pPr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lastRenderedPageBreak/>
        <w:t>Absorpcia:</w:t>
      </w: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91635">
        <w:rPr>
          <w:szCs w:val="22"/>
          <w:lang w:val="sk-SK"/>
        </w:rPr>
        <w:t>subkutánne</w:t>
      </w:r>
      <w:proofErr w:type="spellEnd"/>
      <w:r w:rsidRPr="00691635">
        <w:rPr>
          <w:szCs w:val="22"/>
          <w:lang w:val="sk-SK"/>
        </w:rPr>
        <w:t>: slabá,</w:t>
      </w: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 xml:space="preserve">perorálne: </w:t>
      </w:r>
      <w:proofErr w:type="spellStart"/>
      <w:r w:rsidRPr="00691635">
        <w:rPr>
          <w:szCs w:val="22"/>
          <w:lang w:val="sk-SK"/>
        </w:rPr>
        <w:t>noradrenalín</w:t>
      </w:r>
      <w:proofErr w:type="spellEnd"/>
      <w:r w:rsidRPr="00691635">
        <w:rPr>
          <w:szCs w:val="22"/>
          <w:lang w:val="sk-SK"/>
        </w:rPr>
        <w:t xml:space="preserve"> sa po perorálnom podaní rýchlo </w:t>
      </w:r>
      <w:proofErr w:type="spellStart"/>
      <w:r w:rsidRPr="00691635">
        <w:rPr>
          <w:szCs w:val="22"/>
          <w:lang w:val="sk-SK"/>
        </w:rPr>
        <w:t>inaktivuje</w:t>
      </w:r>
      <w:proofErr w:type="spellEnd"/>
      <w:r w:rsidRPr="00691635">
        <w:rPr>
          <w:szCs w:val="22"/>
          <w:lang w:val="sk-SK"/>
        </w:rPr>
        <w:t xml:space="preserve"> v </w:t>
      </w:r>
      <w:proofErr w:type="spellStart"/>
      <w:r w:rsidRPr="00691635">
        <w:rPr>
          <w:szCs w:val="22"/>
          <w:lang w:val="sk-SK"/>
        </w:rPr>
        <w:t>gastrointestinálnom</w:t>
      </w:r>
      <w:proofErr w:type="spellEnd"/>
      <w:r w:rsidRPr="00691635">
        <w:rPr>
          <w:szCs w:val="22"/>
          <w:lang w:val="sk-SK"/>
        </w:rPr>
        <w:t xml:space="preserve"> trakte,</w:t>
      </w: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 xml:space="preserve">po intravenóznom podaní má </w:t>
      </w:r>
      <w:proofErr w:type="spellStart"/>
      <w:r w:rsidRPr="00691635">
        <w:rPr>
          <w:szCs w:val="22"/>
          <w:lang w:val="sk-SK"/>
        </w:rPr>
        <w:t>noradrenalín</w:t>
      </w:r>
      <w:proofErr w:type="spellEnd"/>
      <w:r w:rsidRPr="00691635">
        <w:rPr>
          <w:szCs w:val="22"/>
          <w:lang w:val="sk-SK"/>
        </w:rPr>
        <w:t xml:space="preserve"> plazmatický polčas okolo 1 až 2 minút.</w:t>
      </w:r>
    </w:p>
    <w:p w:rsidR="00991ACA" w:rsidRPr="00691635" w:rsidRDefault="004A7ADD" w:rsidP="008F2E21">
      <w:pPr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>Distribúcia:</w:t>
      </w: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91635">
        <w:rPr>
          <w:szCs w:val="22"/>
          <w:lang w:val="sk-SK"/>
        </w:rPr>
        <w:t>noradrenalín</w:t>
      </w:r>
      <w:proofErr w:type="spellEnd"/>
      <w:r w:rsidRPr="00691635">
        <w:rPr>
          <w:szCs w:val="22"/>
          <w:lang w:val="sk-SK"/>
        </w:rPr>
        <w:t xml:space="preserve"> sa rýchlo eliminuje z plazmy kombináciou opätovného bunkového vstrebávania a metabolizmu. Neprechádza ľahko krvno-mozgovou bariérou.</w:t>
      </w:r>
    </w:p>
    <w:p w:rsidR="00991ACA" w:rsidRPr="00691635" w:rsidRDefault="004A7ADD" w:rsidP="008F2E21">
      <w:pPr>
        <w:spacing w:line="240" w:lineRule="auto"/>
        <w:rPr>
          <w:szCs w:val="22"/>
          <w:lang w:val="sk-SK"/>
        </w:rPr>
      </w:pPr>
      <w:proofErr w:type="spellStart"/>
      <w:r w:rsidRPr="00691635">
        <w:rPr>
          <w:szCs w:val="22"/>
          <w:lang w:val="sk-SK"/>
        </w:rPr>
        <w:t>Biotransformácia</w:t>
      </w:r>
      <w:proofErr w:type="spellEnd"/>
      <w:r w:rsidRPr="00691635">
        <w:rPr>
          <w:szCs w:val="22"/>
          <w:lang w:val="sk-SK"/>
        </w:rPr>
        <w:t>:</w:t>
      </w: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91635">
        <w:rPr>
          <w:szCs w:val="22"/>
          <w:lang w:val="sk-SK"/>
        </w:rPr>
        <w:t>metylácia</w:t>
      </w:r>
      <w:proofErr w:type="spellEnd"/>
      <w:r w:rsidRPr="00691635">
        <w:rPr>
          <w:szCs w:val="22"/>
          <w:lang w:val="sk-SK"/>
        </w:rPr>
        <w:t xml:space="preserve"> </w:t>
      </w:r>
      <w:proofErr w:type="spellStart"/>
      <w:r w:rsidRPr="00691635">
        <w:rPr>
          <w:szCs w:val="22"/>
          <w:lang w:val="sk-SK"/>
        </w:rPr>
        <w:t>katechol-o-metyltransferázou</w:t>
      </w:r>
      <w:proofErr w:type="spellEnd"/>
      <w:r w:rsidRPr="00691635">
        <w:rPr>
          <w:szCs w:val="22"/>
          <w:lang w:val="sk-SK"/>
        </w:rPr>
        <w:t>,</w:t>
      </w: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91635">
        <w:rPr>
          <w:szCs w:val="22"/>
          <w:lang w:val="sk-SK"/>
        </w:rPr>
        <w:t>deaminácia</w:t>
      </w:r>
      <w:proofErr w:type="spellEnd"/>
      <w:r w:rsidRPr="00691635">
        <w:rPr>
          <w:szCs w:val="22"/>
          <w:lang w:val="sk-SK"/>
        </w:rPr>
        <w:t xml:space="preserve"> </w:t>
      </w:r>
      <w:proofErr w:type="spellStart"/>
      <w:r w:rsidRPr="00691635">
        <w:rPr>
          <w:szCs w:val="22"/>
          <w:lang w:val="sk-SK"/>
        </w:rPr>
        <w:t>monoaminox</w:t>
      </w:r>
      <w:r w:rsidR="00B15F9C" w:rsidRPr="00691635">
        <w:rPr>
          <w:szCs w:val="22"/>
          <w:lang w:val="sk-SK"/>
        </w:rPr>
        <w:t>i</w:t>
      </w:r>
      <w:r w:rsidRPr="00691635">
        <w:rPr>
          <w:szCs w:val="22"/>
          <w:lang w:val="sk-SK"/>
        </w:rPr>
        <w:t>dázou</w:t>
      </w:r>
      <w:proofErr w:type="spellEnd"/>
      <w:r w:rsidRPr="00691635">
        <w:rPr>
          <w:szCs w:val="22"/>
          <w:lang w:val="sk-SK"/>
        </w:rPr>
        <w:t xml:space="preserve"> (MAO),</w:t>
      </w: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 xml:space="preserve">konečným </w:t>
      </w:r>
      <w:proofErr w:type="spellStart"/>
      <w:r w:rsidRPr="00691635">
        <w:rPr>
          <w:szCs w:val="22"/>
          <w:lang w:val="sk-SK"/>
        </w:rPr>
        <w:t>metabolitom</w:t>
      </w:r>
      <w:proofErr w:type="spellEnd"/>
      <w:r w:rsidRPr="00691635">
        <w:rPr>
          <w:szCs w:val="22"/>
          <w:lang w:val="sk-SK"/>
        </w:rPr>
        <w:t xml:space="preserve"> z oboch je 4-hydroxy-3-metoxymand</w:t>
      </w:r>
      <w:r w:rsidR="00B15F9C" w:rsidRPr="00691635">
        <w:rPr>
          <w:szCs w:val="22"/>
          <w:lang w:val="sk-SK"/>
        </w:rPr>
        <w:t>ľ</w:t>
      </w:r>
      <w:r w:rsidRPr="00691635">
        <w:rPr>
          <w:szCs w:val="22"/>
          <w:lang w:val="sk-SK"/>
        </w:rPr>
        <w:t>ová kyselina,</w:t>
      </w:r>
    </w:p>
    <w:p w:rsidR="00991ACA" w:rsidRPr="00691635" w:rsidRDefault="004A7ADD" w:rsidP="008F2E21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 xml:space="preserve">prechodné </w:t>
      </w:r>
      <w:proofErr w:type="spellStart"/>
      <w:r w:rsidRPr="00691635">
        <w:rPr>
          <w:szCs w:val="22"/>
          <w:lang w:val="sk-SK"/>
        </w:rPr>
        <w:t>metabolity</w:t>
      </w:r>
      <w:proofErr w:type="spellEnd"/>
      <w:r w:rsidRPr="00691635">
        <w:rPr>
          <w:szCs w:val="22"/>
          <w:lang w:val="sk-SK"/>
        </w:rPr>
        <w:t xml:space="preserve"> zahŕňajú </w:t>
      </w:r>
      <w:proofErr w:type="spellStart"/>
      <w:r w:rsidRPr="00691635">
        <w:rPr>
          <w:szCs w:val="22"/>
          <w:lang w:val="sk-SK"/>
        </w:rPr>
        <w:t>normetanefrín</w:t>
      </w:r>
      <w:proofErr w:type="spellEnd"/>
      <w:r w:rsidRPr="00691635">
        <w:rPr>
          <w:szCs w:val="22"/>
          <w:lang w:val="sk-SK"/>
        </w:rPr>
        <w:t xml:space="preserve"> a 3,4-dihydrox</w:t>
      </w:r>
      <w:r w:rsidR="00B15F9C" w:rsidRPr="00691635">
        <w:rPr>
          <w:szCs w:val="22"/>
          <w:lang w:val="sk-SK"/>
        </w:rPr>
        <w:t>y</w:t>
      </w:r>
      <w:r w:rsidRPr="00691635">
        <w:rPr>
          <w:szCs w:val="22"/>
          <w:lang w:val="sk-SK"/>
        </w:rPr>
        <w:t>mand</w:t>
      </w:r>
      <w:r w:rsidR="00B15F9C" w:rsidRPr="00691635">
        <w:rPr>
          <w:szCs w:val="22"/>
          <w:lang w:val="sk-SK"/>
        </w:rPr>
        <w:t>ľ</w:t>
      </w:r>
      <w:r w:rsidRPr="00691635">
        <w:rPr>
          <w:szCs w:val="22"/>
          <w:lang w:val="sk-SK"/>
        </w:rPr>
        <w:t>ovú kyselinu.</w:t>
      </w:r>
    </w:p>
    <w:p w:rsidR="00991ACA" w:rsidRPr="00691635" w:rsidRDefault="004A7ADD" w:rsidP="008F2E21">
      <w:pPr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>Eliminácia:</w:t>
      </w:r>
    </w:p>
    <w:p w:rsidR="00991ACA" w:rsidRPr="00691635" w:rsidRDefault="004A7ADD" w:rsidP="008F2E21">
      <w:p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proofErr w:type="spellStart"/>
      <w:r w:rsidRPr="00691635">
        <w:rPr>
          <w:szCs w:val="22"/>
          <w:lang w:val="sk-SK"/>
        </w:rPr>
        <w:t>Noradrenalín</w:t>
      </w:r>
      <w:proofErr w:type="spellEnd"/>
      <w:r w:rsidRPr="00691635">
        <w:rPr>
          <w:szCs w:val="22"/>
          <w:lang w:val="sk-SK"/>
        </w:rPr>
        <w:t xml:space="preserve"> sa eliminuje hlavne ako </w:t>
      </w:r>
      <w:proofErr w:type="spellStart"/>
      <w:r w:rsidRPr="00691635">
        <w:rPr>
          <w:szCs w:val="22"/>
          <w:lang w:val="sk-SK"/>
        </w:rPr>
        <w:t>glukuronidový</w:t>
      </w:r>
      <w:proofErr w:type="spellEnd"/>
      <w:r w:rsidRPr="00691635">
        <w:rPr>
          <w:szCs w:val="22"/>
          <w:lang w:val="sk-SK"/>
        </w:rPr>
        <w:t xml:space="preserve"> alebo sulfátový </w:t>
      </w:r>
      <w:proofErr w:type="spellStart"/>
      <w:r w:rsidRPr="00691635">
        <w:rPr>
          <w:szCs w:val="22"/>
          <w:lang w:val="sk-SK"/>
        </w:rPr>
        <w:t>konjugát</w:t>
      </w:r>
      <w:proofErr w:type="spellEnd"/>
      <w:r w:rsidRPr="00691635">
        <w:rPr>
          <w:szCs w:val="22"/>
          <w:lang w:val="sk-SK"/>
        </w:rPr>
        <w:t xml:space="preserve"> </w:t>
      </w:r>
      <w:proofErr w:type="spellStart"/>
      <w:r w:rsidRPr="00691635">
        <w:rPr>
          <w:szCs w:val="22"/>
          <w:lang w:val="sk-SK"/>
        </w:rPr>
        <w:t>metabolitov</w:t>
      </w:r>
      <w:proofErr w:type="spellEnd"/>
      <w:r w:rsidRPr="00691635">
        <w:rPr>
          <w:szCs w:val="22"/>
          <w:lang w:val="sk-SK"/>
        </w:rPr>
        <w:t xml:space="preserve"> močom.</w:t>
      </w:r>
    </w:p>
    <w:p w:rsidR="00991ACA" w:rsidRPr="00691635" w:rsidRDefault="00991ACA" w:rsidP="008F2E21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sk-SK"/>
        </w:rPr>
      </w:pPr>
    </w:p>
    <w:p w:rsidR="00991ACA" w:rsidRPr="00691635" w:rsidRDefault="004A7ADD" w:rsidP="008F2E21">
      <w:pPr>
        <w:spacing w:line="240" w:lineRule="auto"/>
        <w:jc w:val="both"/>
        <w:rPr>
          <w:noProof/>
          <w:szCs w:val="22"/>
          <w:lang w:val="sk-SK"/>
        </w:rPr>
      </w:pPr>
      <w:r w:rsidRPr="00691635">
        <w:rPr>
          <w:b/>
          <w:noProof/>
          <w:szCs w:val="22"/>
          <w:lang w:val="sk-SK"/>
        </w:rPr>
        <w:t>5.3</w:t>
      </w:r>
      <w:r w:rsidRPr="00691635">
        <w:rPr>
          <w:b/>
          <w:noProof/>
          <w:szCs w:val="22"/>
          <w:lang w:val="sk-SK"/>
        </w:rPr>
        <w:tab/>
        <w:t>Predklinické údaje o bezpečnosti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691635">
        <w:rPr>
          <w:color w:val="000000"/>
          <w:szCs w:val="22"/>
          <w:lang w:val="sk-SK"/>
        </w:rPr>
        <w:t xml:space="preserve">Väčšina nežiaducich účinkov pripisovaných </w:t>
      </w:r>
      <w:proofErr w:type="spellStart"/>
      <w:r w:rsidRPr="00691635">
        <w:rPr>
          <w:color w:val="000000"/>
          <w:szCs w:val="22"/>
          <w:lang w:val="sk-SK"/>
        </w:rPr>
        <w:t>sympatomimetikám</w:t>
      </w:r>
      <w:proofErr w:type="spellEnd"/>
      <w:r w:rsidRPr="00691635">
        <w:rPr>
          <w:color w:val="000000"/>
          <w:szCs w:val="22"/>
          <w:lang w:val="sk-SK"/>
        </w:rPr>
        <w:t xml:space="preserve"> je spôsobených nadmernou stimuláciou sympatického nervového systému sprostredkovanou rôznymi </w:t>
      </w:r>
      <w:proofErr w:type="spellStart"/>
      <w:r w:rsidRPr="00691635">
        <w:rPr>
          <w:color w:val="000000"/>
          <w:szCs w:val="22"/>
          <w:lang w:val="sk-SK"/>
        </w:rPr>
        <w:t>adrenergnými</w:t>
      </w:r>
      <w:proofErr w:type="spellEnd"/>
      <w:r w:rsidRPr="00691635">
        <w:rPr>
          <w:color w:val="000000"/>
          <w:szCs w:val="22"/>
          <w:lang w:val="sk-SK"/>
        </w:rPr>
        <w:t xml:space="preserve"> receptormi.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 w:eastAsia="sv-SE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proofErr w:type="spellStart"/>
      <w:r w:rsidRPr="00691635">
        <w:rPr>
          <w:color w:val="000000"/>
          <w:szCs w:val="22"/>
          <w:lang w:val="sk-SK"/>
        </w:rPr>
        <w:t>Noradrenalín</w:t>
      </w:r>
      <w:proofErr w:type="spellEnd"/>
      <w:r w:rsidRPr="00691635">
        <w:rPr>
          <w:color w:val="000000"/>
          <w:szCs w:val="22"/>
          <w:lang w:val="sk-SK"/>
        </w:rPr>
        <w:t xml:space="preserve"> môže poškodiť placentá</w:t>
      </w:r>
      <w:r w:rsidR="00691635">
        <w:rPr>
          <w:color w:val="000000"/>
          <w:szCs w:val="22"/>
          <w:lang w:val="sk-SK"/>
        </w:rPr>
        <w:t>r</w:t>
      </w:r>
      <w:r w:rsidRPr="00691635">
        <w:rPr>
          <w:color w:val="000000"/>
          <w:szCs w:val="22"/>
          <w:lang w:val="sk-SK"/>
        </w:rPr>
        <w:t xml:space="preserve">nu </w:t>
      </w:r>
      <w:proofErr w:type="spellStart"/>
      <w:r w:rsidRPr="00691635">
        <w:rPr>
          <w:color w:val="000000"/>
          <w:szCs w:val="22"/>
          <w:lang w:val="sk-SK"/>
        </w:rPr>
        <w:t>perfúziu</w:t>
      </w:r>
      <w:proofErr w:type="spellEnd"/>
      <w:r w:rsidRPr="00691635">
        <w:rPr>
          <w:color w:val="000000"/>
          <w:szCs w:val="22"/>
          <w:lang w:val="sk-SK"/>
        </w:rPr>
        <w:t xml:space="preserve"> a spôsobiť bradykardiu plodu. Môže mať tiež kontrakčné účinky na maternicu a spôsobiť </w:t>
      </w:r>
      <w:proofErr w:type="spellStart"/>
      <w:r w:rsidRPr="00691635">
        <w:rPr>
          <w:color w:val="000000"/>
          <w:szCs w:val="22"/>
          <w:lang w:val="sk-SK"/>
        </w:rPr>
        <w:t>asfyxiu</w:t>
      </w:r>
      <w:proofErr w:type="spellEnd"/>
      <w:r w:rsidRPr="00691635">
        <w:rPr>
          <w:color w:val="000000"/>
          <w:szCs w:val="22"/>
          <w:lang w:val="sk-SK"/>
        </w:rPr>
        <w:t xml:space="preserve"> plodu v neskorom štádiu tehotenstva.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sk-SK"/>
        </w:rPr>
      </w:pPr>
      <w:r w:rsidRPr="00691635">
        <w:rPr>
          <w:b/>
          <w:noProof/>
          <w:szCs w:val="22"/>
          <w:lang w:val="sk-SK"/>
        </w:rPr>
        <w:t>6.</w:t>
      </w:r>
      <w:r w:rsidRPr="00691635">
        <w:rPr>
          <w:b/>
          <w:noProof/>
          <w:szCs w:val="22"/>
          <w:lang w:val="sk-SK"/>
        </w:rPr>
        <w:tab/>
        <w:t>FARMACEUTICKÉ INFORMÁCIE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691635">
        <w:rPr>
          <w:b/>
          <w:noProof/>
          <w:szCs w:val="22"/>
          <w:lang w:val="sk-SK"/>
        </w:rPr>
        <w:t>6.1</w:t>
      </w:r>
      <w:r w:rsidRPr="00691635">
        <w:rPr>
          <w:b/>
          <w:noProof/>
          <w:szCs w:val="22"/>
          <w:lang w:val="sk-SK"/>
        </w:rPr>
        <w:tab/>
        <w:t>Zoznam pomocných látok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spacing w:line="240" w:lineRule="auto"/>
        <w:rPr>
          <w:lang w:val="sk-SK"/>
        </w:rPr>
      </w:pPr>
      <w:r w:rsidRPr="00691635">
        <w:rPr>
          <w:lang w:val="sk-SK"/>
        </w:rPr>
        <w:t>chlorid sodný</w:t>
      </w:r>
    </w:p>
    <w:p w:rsidR="00991ACA" w:rsidRPr="00691635" w:rsidRDefault="004A7ADD" w:rsidP="008F2E21">
      <w:pPr>
        <w:spacing w:line="240" w:lineRule="auto"/>
        <w:rPr>
          <w:lang w:val="sk-SK"/>
        </w:rPr>
      </w:pPr>
      <w:r w:rsidRPr="00691635">
        <w:rPr>
          <w:lang w:val="sk-SK"/>
        </w:rPr>
        <w:t>voda na injekcie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691635">
        <w:rPr>
          <w:b/>
          <w:noProof/>
          <w:szCs w:val="22"/>
          <w:lang w:val="sk-SK"/>
        </w:rPr>
        <w:t>6.2</w:t>
      </w:r>
      <w:r w:rsidRPr="00691635">
        <w:rPr>
          <w:b/>
          <w:noProof/>
          <w:szCs w:val="22"/>
          <w:lang w:val="sk-SK"/>
        </w:rPr>
        <w:tab/>
        <w:t>Inkompatibility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B26239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proofErr w:type="spellStart"/>
      <w:r>
        <w:rPr>
          <w:lang w:val="sk-SK"/>
        </w:rPr>
        <w:t>Sinora</w:t>
      </w:r>
      <w:proofErr w:type="spellEnd"/>
      <w:r w:rsidR="00A67CC1" w:rsidRPr="00691635">
        <w:rPr>
          <w:lang w:val="sk-SK"/>
        </w:rPr>
        <w:t xml:space="preserve"> </w:t>
      </w:r>
      <w:r w:rsidR="004A7ADD" w:rsidRPr="00691635">
        <w:rPr>
          <w:noProof/>
          <w:szCs w:val="22"/>
          <w:lang w:val="sk-SK"/>
        </w:rPr>
        <w:t>sa nesmie miešať s inými liekmi okrem tých, ktoré sú uvedené v časti 6.6.</w:t>
      </w: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691635">
        <w:rPr>
          <w:noProof/>
          <w:szCs w:val="22"/>
          <w:lang w:val="sk-SK"/>
        </w:rPr>
        <w:t>Hlásila sa inkompatibilita infúznych roztokov obsahujúcich noradrenalín</w:t>
      </w:r>
      <w:r w:rsidR="00B15F9C" w:rsidRPr="00691635">
        <w:rPr>
          <w:noProof/>
          <w:szCs w:val="22"/>
          <w:lang w:val="sk-SK"/>
        </w:rPr>
        <w:t>iumhydrogén</w:t>
      </w:r>
      <w:r w:rsidR="002069B6" w:rsidRPr="00691635">
        <w:rPr>
          <w:noProof/>
          <w:szCs w:val="22"/>
          <w:lang w:val="sk-SK"/>
        </w:rPr>
        <w:t>tartarát</w:t>
      </w:r>
      <w:r w:rsidRPr="00691635">
        <w:rPr>
          <w:noProof/>
          <w:szCs w:val="22"/>
          <w:lang w:val="sk-SK"/>
        </w:rPr>
        <w:t xml:space="preserve"> s nasledujúcimi látkami: alkalizačné a oxidačné látky, barbituráty, chlorfeniramín, chlorotiazid, nitrofuranto</w:t>
      </w:r>
      <w:r w:rsidR="00B15F9C" w:rsidRPr="00691635">
        <w:rPr>
          <w:noProof/>
          <w:szCs w:val="22"/>
          <w:lang w:val="sk-SK"/>
        </w:rPr>
        <w:t>í</w:t>
      </w:r>
      <w:r w:rsidRPr="00691635">
        <w:rPr>
          <w:noProof/>
          <w:szCs w:val="22"/>
          <w:lang w:val="sk-SK"/>
        </w:rPr>
        <w:t>n, novobiocin, fenytoín, hydrogénuhličitan sodný, jodid sodný a streptomycín.</w:t>
      </w: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691635">
        <w:rPr>
          <w:noProof/>
          <w:szCs w:val="22"/>
          <w:lang w:val="sk-SK"/>
        </w:rPr>
        <w:t>Pre inkompatibility s infúznym vakom z PVC pozri časť 6.6.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691635">
        <w:rPr>
          <w:b/>
          <w:noProof/>
          <w:szCs w:val="22"/>
          <w:lang w:val="sk-SK"/>
        </w:rPr>
        <w:t>6.3</w:t>
      </w:r>
      <w:r w:rsidRPr="00691635">
        <w:rPr>
          <w:b/>
          <w:noProof/>
          <w:szCs w:val="22"/>
          <w:lang w:val="sk-SK"/>
        </w:rPr>
        <w:tab/>
        <w:t>Čas použiteľnosti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691635">
        <w:rPr>
          <w:noProof/>
          <w:szCs w:val="22"/>
          <w:lang w:val="sk-SK"/>
        </w:rPr>
        <w:t>2 roky.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sv-SE"/>
        </w:rPr>
      </w:pPr>
      <w:r w:rsidRPr="00691635">
        <w:rPr>
          <w:i/>
          <w:iCs/>
          <w:szCs w:val="22"/>
          <w:lang w:val="sk-SK"/>
        </w:rPr>
        <w:t>Po zriedení:</w:t>
      </w:r>
    </w:p>
    <w:p w:rsidR="00991ACA" w:rsidRPr="00691635" w:rsidRDefault="004A7ADD" w:rsidP="008F2E2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91635">
        <w:rPr>
          <w:szCs w:val="22"/>
          <w:lang w:val="sk-SK"/>
        </w:rPr>
        <w:t xml:space="preserve">Chemická a fyzikálna stabilita pre použitie sa preukázala na 24 hodín pri teplote 25 °C pri zriedení na 4 mg/liter a 40 mg/liter </w:t>
      </w:r>
      <w:proofErr w:type="spellStart"/>
      <w:r w:rsidRPr="00691635">
        <w:rPr>
          <w:szCs w:val="22"/>
          <w:lang w:val="sk-SK"/>
        </w:rPr>
        <w:t>noradrenalínu</w:t>
      </w:r>
      <w:proofErr w:type="spellEnd"/>
      <w:r w:rsidRPr="00691635">
        <w:rPr>
          <w:szCs w:val="22"/>
          <w:lang w:val="sk-SK"/>
        </w:rPr>
        <w:t xml:space="preserve"> v 9 mg/ml (0,9 %) roztoku chloridu sodného alebo 5 % roztoku glukózy alebo 9 mg/ml roztoku chloridu sodného s 5 % roztokom glukózy. Avšak z mikrobiologického hľadiska sa má liek použiť okamžite. Ak sa liek nepoužije okamžite, sú čas skladovania a podmienky pred použitím v zodpovednosti používateľa a</w:t>
      </w:r>
      <w:r w:rsidR="001E33B0" w:rsidRPr="00691635">
        <w:rPr>
          <w:szCs w:val="22"/>
          <w:lang w:val="sk-SK"/>
        </w:rPr>
        <w:t> normálne by nemali byť</w:t>
      </w:r>
      <w:r w:rsidRPr="00691635">
        <w:rPr>
          <w:szCs w:val="22"/>
          <w:lang w:val="sk-SK"/>
        </w:rPr>
        <w:t xml:space="preserve"> dlhšie ako 24 hodín pri teplote 2 až 8 °C.</w:t>
      </w:r>
    </w:p>
    <w:p w:rsidR="00991ACA" w:rsidRPr="00691635" w:rsidRDefault="00991ACA" w:rsidP="008F2E2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sv-SE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691635">
        <w:rPr>
          <w:b/>
          <w:noProof/>
          <w:szCs w:val="22"/>
          <w:lang w:val="sk-SK"/>
        </w:rPr>
        <w:t>6.4</w:t>
      </w:r>
      <w:r w:rsidRPr="00691635">
        <w:rPr>
          <w:b/>
          <w:noProof/>
          <w:szCs w:val="22"/>
          <w:lang w:val="sk-SK"/>
        </w:rPr>
        <w:tab/>
        <w:t>Špeciálne upozornenia na uchovávanie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691635">
        <w:rPr>
          <w:color w:val="000000"/>
          <w:szCs w:val="22"/>
          <w:lang w:val="sk-SK"/>
        </w:rPr>
        <w:t>Uchovávať pri teplote neprevyšujúcej 25 °C. Neuchovávajte v chladničke alebo mrazničke.</w:t>
      </w:r>
    </w:p>
    <w:p w:rsidR="00991ACA" w:rsidRPr="00691635" w:rsidRDefault="004A7ADD" w:rsidP="008F2E21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691635">
        <w:rPr>
          <w:lang w:val="sk-SK"/>
        </w:rPr>
        <w:lastRenderedPageBreak/>
        <w:t>Uchovávajte v pôvodnom obale na ochranu pred svetlom.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691635">
        <w:rPr>
          <w:noProof/>
          <w:szCs w:val="22"/>
          <w:lang w:val="sk-SK"/>
        </w:rPr>
        <w:t xml:space="preserve">Podmienky na uchovávanie po </w:t>
      </w:r>
      <w:r w:rsidR="00750294" w:rsidRPr="00691635">
        <w:rPr>
          <w:noProof/>
          <w:szCs w:val="22"/>
          <w:lang w:val="sk-SK"/>
        </w:rPr>
        <w:t>z</w:t>
      </w:r>
      <w:r w:rsidRPr="00691635">
        <w:rPr>
          <w:noProof/>
          <w:szCs w:val="22"/>
          <w:lang w:val="sk-SK"/>
        </w:rPr>
        <w:t>riedení lieku, pozri časť 6.3.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numPr>
          <w:ilvl w:val="1"/>
          <w:numId w:val="2"/>
        </w:numPr>
        <w:tabs>
          <w:tab w:val="clear" w:pos="570"/>
        </w:tabs>
        <w:spacing w:line="240" w:lineRule="auto"/>
        <w:outlineLvl w:val="0"/>
        <w:rPr>
          <w:b/>
          <w:noProof/>
          <w:szCs w:val="22"/>
          <w:lang w:val="sk-SK"/>
        </w:rPr>
      </w:pPr>
      <w:r w:rsidRPr="00691635">
        <w:rPr>
          <w:b/>
          <w:noProof/>
          <w:szCs w:val="22"/>
          <w:lang w:val="sk-SK"/>
        </w:rPr>
        <w:t>Druh obalu a obsah balenia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</w:p>
    <w:p w:rsidR="00991ACA" w:rsidRPr="00691635" w:rsidRDefault="00B26239" w:rsidP="008F2E21">
      <w:pPr>
        <w:spacing w:line="240" w:lineRule="auto"/>
        <w:jc w:val="both"/>
        <w:rPr>
          <w:color w:val="000000"/>
          <w:lang w:val="sk-SK"/>
        </w:rPr>
      </w:pPr>
      <w:proofErr w:type="spellStart"/>
      <w:r>
        <w:rPr>
          <w:i/>
          <w:color w:val="000000"/>
          <w:lang w:val="sk-SK"/>
        </w:rPr>
        <w:t>Sinora</w:t>
      </w:r>
      <w:proofErr w:type="spellEnd"/>
      <w:r w:rsidR="00A67CC1" w:rsidRPr="00691635">
        <w:rPr>
          <w:i/>
          <w:color w:val="000000"/>
          <w:lang w:val="sk-SK"/>
        </w:rPr>
        <w:t xml:space="preserve"> </w:t>
      </w:r>
      <w:r w:rsidR="004A7ADD" w:rsidRPr="00691635">
        <w:rPr>
          <w:i/>
          <w:color w:val="000000"/>
          <w:lang w:val="sk-SK"/>
        </w:rPr>
        <w:t>1 mg/1 ml</w:t>
      </w:r>
    </w:p>
    <w:p w:rsidR="00991ACA" w:rsidRPr="00691635" w:rsidRDefault="004A7ADD" w:rsidP="008F2E21">
      <w:pPr>
        <w:spacing w:line="240" w:lineRule="auto"/>
        <w:jc w:val="both"/>
        <w:rPr>
          <w:color w:val="000000"/>
          <w:lang w:val="sk-SK"/>
        </w:rPr>
      </w:pPr>
      <w:r w:rsidRPr="00691635">
        <w:rPr>
          <w:color w:val="000000"/>
          <w:lang w:val="sk-SK"/>
        </w:rPr>
        <w:t>2</w:t>
      </w:r>
      <w:r w:rsidR="00606839">
        <w:rPr>
          <w:color w:val="000000"/>
          <w:lang w:val="sk-SK"/>
        </w:rPr>
        <w:t xml:space="preserve"> </w:t>
      </w:r>
      <w:r w:rsidRPr="00691635">
        <w:rPr>
          <w:color w:val="000000"/>
          <w:lang w:val="sk-SK"/>
        </w:rPr>
        <w:t>ml ampulky z číreho skla typu I s jedným rezným bodom.</w:t>
      </w:r>
    </w:p>
    <w:p w:rsidR="00991ACA" w:rsidRPr="00691635" w:rsidRDefault="004A7ADD" w:rsidP="008F2E21">
      <w:pPr>
        <w:spacing w:line="240" w:lineRule="auto"/>
        <w:jc w:val="both"/>
        <w:rPr>
          <w:color w:val="000000"/>
          <w:lang w:val="sk-SK"/>
        </w:rPr>
      </w:pPr>
      <w:r w:rsidRPr="00691635">
        <w:rPr>
          <w:color w:val="000000"/>
          <w:lang w:val="sk-SK"/>
        </w:rPr>
        <w:t xml:space="preserve">Škatuľa s 10 ampulkami obsahujúcimi 1 ml </w:t>
      </w:r>
      <w:proofErr w:type="spellStart"/>
      <w:r w:rsidRPr="00691635">
        <w:rPr>
          <w:color w:val="000000"/>
          <w:lang w:val="sk-SK"/>
        </w:rPr>
        <w:t>infúzneho</w:t>
      </w:r>
      <w:proofErr w:type="spellEnd"/>
      <w:r w:rsidRPr="00691635">
        <w:rPr>
          <w:color w:val="000000"/>
          <w:lang w:val="sk-SK"/>
        </w:rPr>
        <w:t xml:space="preserve"> koncentrátu.</w:t>
      </w:r>
    </w:p>
    <w:p w:rsidR="00991ACA" w:rsidRPr="00691635" w:rsidRDefault="00991ACA" w:rsidP="008F2E21">
      <w:pPr>
        <w:spacing w:line="240" w:lineRule="auto"/>
        <w:jc w:val="both"/>
        <w:rPr>
          <w:color w:val="000000"/>
          <w:lang w:val="sk-SK"/>
        </w:rPr>
      </w:pPr>
    </w:p>
    <w:p w:rsidR="00991ACA" w:rsidRPr="00691635" w:rsidRDefault="00B26239" w:rsidP="008F2E21">
      <w:pPr>
        <w:spacing w:line="240" w:lineRule="auto"/>
        <w:jc w:val="both"/>
        <w:rPr>
          <w:color w:val="000000"/>
          <w:lang w:val="sk-SK"/>
        </w:rPr>
      </w:pPr>
      <w:proofErr w:type="spellStart"/>
      <w:r>
        <w:rPr>
          <w:i/>
          <w:color w:val="000000"/>
          <w:lang w:val="sk-SK"/>
        </w:rPr>
        <w:t>Sinora</w:t>
      </w:r>
      <w:proofErr w:type="spellEnd"/>
      <w:r w:rsidR="00A67CC1" w:rsidRPr="00691635">
        <w:rPr>
          <w:i/>
          <w:color w:val="000000"/>
          <w:lang w:val="sk-SK"/>
        </w:rPr>
        <w:t xml:space="preserve"> </w:t>
      </w:r>
      <w:r w:rsidR="004A7ADD" w:rsidRPr="00691635">
        <w:rPr>
          <w:i/>
          <w:color w:val="000000"/>
          <w:lang w:val="sk-SK"/>
        </w:rPr>
        <w:t>4 mg/4 ml</w:t>
      </w:r>
    </w:p>
    <w:p w:rsidR="00991ACA" w:rsidRPr="00691635" w:rsidRDefault="004A7ADD" w:rsidP="008F2E21">
      <w:pPr>
        <w:spacing w:line="240" w:lineRule="auto"/>
        <w:jc w:val="both"/>
        <w:rPr>
          <w:color w:val="000000"/>
          <w:lang w:val="sk-SK"/>
        </w:rPr>
      </w:pPr>
      <w:r w:rsidRPr="00691635">
        <w:rPr>
          <w:color w:val="000000"/>
          <w:lang w:val="sk-SK"/>
        </w:rPr>
        <w:t>5</w:t>
      </w:r>
      <w:r w:rsidR="00606839">
        <w:rPr>
          <w:color w:val="000000"/>
          <w:lang w:val="sk-SK"/>
        </w:rPr>
        <w:t xml:space="preserve"> </w:t>
      </w:r>
      <w:r w:rsidRPr="00691635">
        <w:rPr>
          <w:color w:val="000000"/>
          <w:lang w:val="sk-SK"/>
        </w:rPr>
        <w:t>ml ampulky z číreho skla typu I s jedným rezným bodom.</w:t>
      </w:r>
    </w:p>
    <w:p w:rsidR="00991ACA" w:rsidRPr="00691635" w:rsidRDefault="004A7ADD" w:rsidP="008F2E21">
      <w:pPr>
        <w:spacing w:line="240" w:lineRule="auto"/>
        <w:jc w:val="both"/>
        <w:rPr>
          <w:color w:val="000000"/>
          <w:lang w:val="sk-SK"/>
        </w:rPr>
      </w:pPr>
      <w:r w:rsidRPr="00691635">
        <w:rPr>
          <w:color w:val="000000"/>
          <w:lang w:val="sk-SK"/>
        </w:rPr>
        <w:t xml:space="preserve">Škatuľa s 10 ampulkami obsahujúcimi 4 ml </w:t>
      </w:r>
      <w:proofErr w:type="spellStart"/>
      <w:r w:rsidRPr="00691635">
        <w:rPr>
          <w:color w:val="000000"/>
          <w:lang w:val="sk-SK"/>
        </w:rPr>
        <w:t>infúzneho</w:t>
      </w:r>
      <w:proofErr w:type="spellEnd"/>
      <w:r w:rsidRPr="00691635">
        <w:rPr>
          <w:color w:val="000000"/>
          <w:lang w:val="sk-SK"/>
        </w:rPr>
        <w:t xml:space="preserve"> koncentrátu.</w:t>
      </w:r>
    </w:p>
    <w:p w:rsidR="00991ACA" w:rsidRPr="00691635" w:rsidRDefault="00991ACA" w:rsidP="008F2E21">
      <w:pPr>
        <w:spacing w:line="240" w:lineRule="auto"/>
        <w:jc w:val="both"/>
        <w:rPr>
          <w:color w:val="000000"/>
          <w:lang w:val="sk-SK"/>
        </w:rPr>
      </w:pPr>
    </w:p>
    <w:p w:rsidR="00991ACA" w:rsidRPr="00691635" w:rsidRDefault="00B26239" w:rsidP="008F2E21">
      <w:pPr>
        <w:spacing w:line="240" w:lineRule="auto"/>
        <w:jc w:val="both"/>
        <w:rPr>
          <w:color w:val="000000"/>
          <w:lang w:val="sk-SK"/>
        </w:rPr>
      </w:pPr>
      <w:proofErr w:type="spellStart"/>
      <w:r>
        <w:rPr>
          <w:i/>
          <w:color w:val="000000"/>
          <w:lang w:val="sk-SK"/>
        </w:rPr>
        <w:t>Sinora</w:t>
      </w:r>
      <w:proofErr w:type="spellEnd"/>
      <w:r w:rsidR="00A67CC1" w:rsidRPr="00691635">
        <w:rPr>
          <w:i/>
          <w:color w:val="000000"/>
          <w:lang w:val="sk-SK"/>
        </w:rPr>
        <w:t xml:space="preserve"> </w:t>
      </w:r>
      <w:r w:rsidR="004A7ADD" w:rsidRPr="00691635">
        <w:rPr>
          <w:i/>
          <w:color w:val="000000"/>
          <w:lang w:val="sk-SK"/>
        </w:rPr>
        <w:t>10 mg/10 ml</w:t>
      </w:r>
    </w:p>
    <w:p w:rsidR="00991ACA" w:rsidRPr="00691635" w:rsidRDefault="004A7ADD" w:rsidP="008F2E21">
      <w:pPr>
        <w:spacing w:line="240" w:lineRule="auto"/>
        <w:jc w:val="both"/>
        <w:rPr>
          <w:color w:val="000000"/>
          <w:lang w:val="sk-SK"/>
        </w:rPr>
      </w:pPr>
      <w:r w:rsidRPr="00691635">
        <w:rPr>
          <w:color w:val="000000"/>
          <w:lang w:val="sk-SK"/>
        </w:rPr>
        <w:t>10</w:t>
      </w:r>
      <w:r w:rsidR="00606839">
        <w:rPr>
          <w:color w:val="000000"/>
          <w:lang w:val="sk-SK"/>
        </w:rPr>
        <w:t xml:space="preserve"> </w:t>
      </w:r>
      <w:r w:rsidRPr="00691635">
        <w:rPr>
          <w:color w:val="000000"/>
          <w:lang w:val="sk-SK"/>
        </w:rPr>
        <w:t>ml ampulky z číreho skla typu I s jedným rezným bodom.</w:t>
      </w:r>
    </w:p>
    <w:p w:rsidR="00991ACA" w:rsidRPr="00691635" w:rsidRDefault="004A7ADD" w:rsidP="008F2E21">
      <w:pPr>
        <w:spacing w:line="240" w:lineRule="auto"/>
        <w:jc w:val="both"/>
        <w:rPr>
          <w:color w:val="000000"/>
          <w:lang w:val="sk-SK"/>
        </w:rPr>
      </w:pPr>
      <w:r w:rsidRPr="00691635">
        <w:rPr>
          <w:color w:val="000000"/>
          <w:lang w:val="sk-SK"/>
        </w:rPr>
        <w:t xml:space="preserve">Škatuľa s 10 ampulkami obsahujúcimi 10 ml </w:t>
      </w:r>
      <w:proofErr w:type="spellStart"/>
      <w:r w:rsidRPr="00691635">
        <w:rPr>
          <w:color w:val="000000"/>
          <w:lang w:val="sk-SK"/>
        </w:rPr>
        <w:t>infúzneho</w:t>
      </w:r>
      <w:proofErr w:type="spellEnd"/>
      <w:r w:rsidRPr="00691635">
        <w:rPr>
          <w:color w:val="000000"/>
          <w:lang w:val="sk-SK"/>
        </w:rPr>
        <w:t xml:space="preserve"> koncentrátu.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691635">
        <w:rPr>
          <w:noProof/>
          <w:szCs w:val="22"/>
          <w:lang w:val="sk-SK"/>
        </w:rPr>
        <w:t>Na trh nemusia byť uvedené všetky veľkosti balenia.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bookmarkStart w:id="2" w:name="OLE_LINK1"/>
      <w:r w:rsidRPr="00691635">
        <w:rPr>
          <w:b/>
          <w:noProof/>
          <w:szCs w:val="22"/>
          <w:lang w:val="sk-SK"/>
        </w:rPr>
        <w:t>6.6</w:t>
      </w:r>
      <w:r w:rsidRPr="00691635">
        <w:rPr>
          <w:b/>
          <w:noProof/>
          <w:szCs w:val="22"/>
          <w:lang w:val="sk-SK"/>
        </w:rPr>
        <w:tab/>
        <w:t>Špeciálne opatrenia na likvidáciu a iné zaobchádzanie s liekom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691635">
        <w:rPr>
          <w:i/>
          <w:iCs/>
          <w:noProof/>
          <w:szCs w:val="22"/>
          <w:lang w:val="sk-SK"/>
        </w:rPr>
        <w:t>Pokyny na zriedenie:</w:t>
      </w: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691635">
        <w:rPr>
          <w:noProof/>
          <w:szCs w:val="22"/>
          <w:lang w:val="sk-SK"/>
        </w:rPr>
        <w:t>Pred použitím zriediť s 5 % roztokom glukózy alebo 9 mg/ml (0,9%) roztokom chloridu sodného alebo 9 mg/ml roztokom chloridu sodného s 5 % roztokom glukózy.</w:t>
      </w: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691635">
        <w:rPr>
          <w:noProof/>
          <w:szCs w:val="22"/>
          <w:lang w:val="sk-SK"/>
        </w:rPr>
        <w:t>Buď pridajte 2 ml koncentrátu k 48 ml 5 % roztoku glukózy (alebo 9 mg/ml roztoku chloridu sodného alebo 9 mg/ml roztoku chloridu sodného s 5 % roztokom glukózy) na podanie injekčnou pumpou alebo pridajte 20 ml koncentrátu k 480 ml 5 % roztoku glukózy (alebo 9 mg/ml roztoku chloridu sodného alebo 9 mg/ml roztoku chloridu sodného s 5 % roztokom glukózy) na podanie s počítadlom kvapiek. V oboch prípadoch je konečná koncentrácie infúzneho roztoku 40 mg/liter noradrenalínu (čo zodpovedá 80 mg/l</w:t>
      </w:r>
      <w:r w:rsidR="00DA38A6" w:rsidRPr="00691635">
        <w:rPr>
          <w:noProof/>
          <w:szCs w:val="22"/>
          <w:lang w:val="sk-SK"/>
        </w:rPr>
        <w:t>iter</w:t>
      </w:r>
      <w:r w:rsidRPr="00691635">
        <w:rPr>
          <w:noProof/>
          <w:szCs w:val="22"/>
          <w:lang w:val="sk-SK"/>
        </w:rPr>
        <w:t xml:space="preserve"> noradrenalín</w:t>
      </w:r>
      <w:r w:rsidR="00DA38A6" w:rsidRPr="00691635">
        <w:rPr>
          <w:noProof/>
          <w:szCs w:val="22"/>
          <w:lang w:val="sk-SK"/>
        </w:rPr>
        <w:t>iumhydrogén</w:t>
      </w:r>
      <w:r w:rsidR="002069B6" w:rsidRPr="00691635">
        <w:rPr>
          <w:noProof/>
          <w:szCs w:val="22"/>
          <w:lang w:val="sk-SK"/>
        </w:rPr>
        <w:t>tartarátu</w:t>
      </w:r>
      <w:r w:rsidRPr="00691635">
        <w:rPr>
          <w:noProof/>
          <w:szCs w:val="22"/>
          <w:lang w:val="sk-SK"/>
        </w:rPr>
        <w:t>). Môžu sa použiť aj zriedenia iné ako 40 mg/liter noradrenalínu (pozri časť 4.2). Pri použití zriedení iných ako 40 mg/l</w:t>
      </w:r>
      <w:r w:rsidR="00DA38A6" w:rsidRPr="00691635">
        <w:rPr>
          <w:noProof/>
          <w:szCs w:val="22"/>
          <w:lang w:val="sk-SK"/>
        </w:rPr>
        <w:t>iter</w:t>
      </w:r>
      <w:r w:rsidRPr="00691635">
        <w:rPr>
          <w:noProof/>
          <w:szCs w:val="22"/>
          <w:lang w:val="sk-SK"/>
        </w:rPr>
        <w:t xml:space="preserve"> noradrenalínu sa má pred začatím liečby starostlivo skontrolovať výpočet rýchlosti infúzie.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691635">
        <w:rPr>
          <w:noProof/>
          <w:szCs w:val="22"/>
          <w:lang w:val="sk-SK"/>
        </w:rPr>
        <w:t>Liek je kompatibilný s infúznymi vakmi z PVC.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691635">
        <w:rPr>
          <w:noProof/>
          <w:szCs w:val="22"/>
          <w:lang w:val="sk-SK"/>
        </w:rPr>
        <w:t>Všetok nepoužitý liek alebo odpad vzniknutý z lieku sa má zlikvidovať v súlade s národnými požiadavkami.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highlight w:val="yellow"/>
          <w:lang w:val="sk-SK"/>
        </w:rPr>
      </w:pP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highlight w:val="yellow"/>
          <w:lang w:val="sk-SK"/>
        </w:rPr>
      </w:pPr>
    </w:p>
    <w:bookmarkEnd w:id="2"/>
    <w:p w:rsidR="00991ACA" w:rsidRPr="00691635" w:rsidRDefault="004A7ADD" w:rsidP="008F2E21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691635">
        <w:rPr>
          <w:b/>
          <w:noProof/>
          <w:szCs w:val="22"/>
          <w:lang w:val="sk-SK"/>
        </w:rPr>
        <w:t>7.</w:t>
      </w:r>
      <w:r w:rsidRPr="00691635">
        <w:rPr>
          <w:b/>
          <w:noProof/>
          <w:szCs w:val="22"/>
          <w:lang w:val="sk-SK"/>
        </w:rPr>
        <w:tab/>
        <w:t>DRŽITEĽ ROZHODNUTIA O REGISTRÁCII</w:t>
      </w:r>
    </w:p>
    <w:p w:rsidR="00750294" w:rsidRPr="008F2E21" w:rsidRDefault="00750294" w:rsidP="008F2E21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lang w:val="sk-SK"/>
        </w:rPr>
      </w:pPr>
    </w:p>
    <w:p w:rsidR="004424D3" w:rsidRPr="00CE4520" w:rsidRDefault="004424D3" w:rsidP="004424D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lang w:val="sk-SK" w:eastAsia="cs-CZ"/>
        </w:rPr>
      </w:pPr>
      <w:proofErr w:type="spellStart"/>
      <w:r>
        <w:rPr>
          <w:lang w:val="sk-SK"/>
        </w:rPr>
        <w:t>Sintetica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GmbH</w:t>
      </w:r>
      <w:proofErr w:type="spellEnd"/>
    </w:p>
    <w:p w:rsidR="004424D3" w:rsidRPr="00CE4520" w:rsidRDefault="004424D3" w:rsidP="004424D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Albersloher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Weg</w:t>
      </w:r>
      <w:proofErr w:type="spellEnd"/>
      <w:r>
        <w:rPr>
          <w:szCs w:val="22"/>
          <w:lang w:val="sk-SK"/>
        </w:rPr>
        <w:t xml:space="preserve"> 11</w:t>
      </w:r>
    </w:p>
    <w:p w:rsidR="004424D3" w:rsidRPr="00CE4520" w:rsidRDefault="004424D3" w:rsidP="004424D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lang w:val="sk-SK"/>
        </w:rPr>
      </w:pPr>
      <w:r>
        <w:rPr>
          <w:lang w:val="sk-SK"/>
        </w:rPr>
        <w:t xml:space="preserve">48155 </w:t>
      </w:r>
      <w:proofErr w:type="spellStart"/>
      <w:r>
        <w:rPr>
          <w:lang w:val="sk-SK"/>
        </w:rPr>
        <w:t>Münster</w:t>
      </w:r>
      <w:proofErr w:type="spellEnd"/>
    </w:p>
    <w:p w:rsidR="004424D3" w:rsidRPr="00CE4520" w:rsidRDefault="004424D3" w:rsidP="004424D3">
      <w:pPr>
        <w:tabs>
          <w:tab w:val="left" w:pos="708"/>
        </w:tabs>
        <w:spacing w:line="240" w:lineRule="auto"/>
        <w:rPr>
          <w:lang w:val="sk-SK"/>
        </w:rPr>
      </w:pPr>
      <w:r>
        <w:rPr>
          <w:lang w:val="sk-SK"/>
        </w:rPr>
        <w:t>Nemecko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sk-SK"/>
        </w:rPr>
      </w:pPr>
      <w:r w:rsidRPr="00691635">
        <w:rPr>
          <w:b/>
          <w:noProof/>
          <w:szCs w:val="22"/>
          <w:lang w:val="sk-SK"/>
        </w:rPr>
        <w:t>8.</w:t>
      </w:r>
      <w:r w:rsidRPr="00691635">
        <w:rPr>
          <w:b/>
          <w:noProof/>
          <w:szCs w:val="22"/>
          <w:lang w:val="sk-SK"/>
        </w:rPr>
        <w:tab/>
        <w:t xml:space="preserve">REGISTRAČNÉ ČÍSLO </w:t>
      </w:r>
    </w:p>
    <w:p w:rsidR="008F2E21" w:rsidRDefault="008F2E21" w:rsidP="008F2E21">
      <w:pPr>
        <w:spacing w:line="240" w:lineRule="auto"/>
        <w:jc w:val="both"/>
        <w:rPr>
          <w:noProof/>
          <w:color w:val="000000"/>
          <w:lang w:val="sk-SK"/>
        </w:rPr>
      </w:pPr>
    </w:p>
    <w:p w:rsidR="00991ACA" w:rsidRPr="00691635" w:rsidRDefault="008F2E21" w:rsidP="008F2E21">
      <w:pPr>
        <w:spacing w:line="240" w:lineRule="auto"/>
        <w:jc w:val="both"/>
        <w:rPr>
          <w:noProof/>
          <w:color w:val="000000"/>
          <w:lang w:val="sk-SK"/>
        </w:rPr>
      </w:pPr>
      <w:r w:rsidRPr="008F2E21">
        <w:rPr>
          <w:noProof/>
          <w:color w:val="000000"/>
          <w:lang w:val="sk-SK"/>
        </w:rPr>
        <w:t>78/0200/16-S</w:t>
      </w:r>
    </w:p>
    <w:p w:rsidR="00991ACA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06839" w:rsidRPr="00691635" w:rsidRDefault="00606839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691635">
        <w:rPr>
          <w:b/>
          <w:noProof/>
          <w:szCs w:val="22"/>
          <w:lang w:val="sk-SK"/>
        </w:rPr>
        <w:t>9.</w:t>
      </w:r>
      <w:r w:rsidRPr="00691635">
        <w:rPr>
          <w:b/>
          <w:noProof/>
          <w:szCs w:val="22"/>
          <w:lang w:val="sk-SK"/>
        </w:rPr>
        <w:tab/>
        <w:t>DÁTUM PRVEJ REGISTRÁCIE/PREDĹŽENIA REGISTRÁCIE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750294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691635">
        <w:rPr>
          <w:noProof/>
          <w:lang w:val="sk-SK"/>
        </w:rPr>
        <w:lastRenderedPageBreak/>
        <w:t xml:space="preserve">Dátum prvej registrácie: </w:t>
      </w:r>
      <w:r w:rsidR="00B26239">
        <w:rPr>
          <w:noProof/>
          <w:lang w:val="sk-SK"/>
        </w:rPr>
        <w:t>13. apríla 2016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750294" w:rsidRPr="00691635" w:rsidRDefault="00750294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4A7ADD" w:rsidP="008F2E21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sk-SK"/>
        </w:rPr>
      </w:pPr>
      <w:r w:rsidRPr="00691635">
        <w:rPr>
          <w:b/>
          <w:noProof/>
          <w:szCs w:val="22"/>
          <w:lang w:val="sk-SK"/>
        </w:rPr>
        <w:t>10.</w:t>
      </w:r>
      <w:r w:rsidRPr="00691635">
        <w:rPr>
          <w:b/>
          <w:noProof/>
          <w:szCs w:val="22"/>
          <w:lang w:val="sk-SK"/>
        </w:rPr>
        <w:tab/>
        <w:t>DÁTUM REVÍZIE TEXTU</w:t>
      </w:r>
    </w:p>
    <w:p w:rsidR="00991ACA" w:rsidRPr="00691635" w:rsidRDefault="00991ACA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991ACA" w:rsidRPr="00691635" w:rsidRDefault="00606839" w:rsidP="008F2E2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noProof/>
          <w:color w:val="000000"/>
          <w:lang w:val="sk-SK"/>
        </w:rPr>
        <w:t>Február 2018</w:t>
      </w:r>
    </w:p>
    <w:p w:rsidR="00991ACA" w:rsidRPr="00691635" w:rsidRDefault="00991ACA" w:rsidP="008F2E21">
      <w:pPr>
        <w:spacing w:line="240" w:lineRule="auto"/>
        <w:rPr>
          <w:lang w:val="sk-SK"/>
        </w:rPr>
      </w:pPr>
    </w:p>
    <w:sectPr w:rsidR="00991ACA" w:rsidRPr="00691635" w:rsidSect="00C57E01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C3D" w:rsidRDefault="004C2C3D">
      <w:pPr>
        <w:spacing w:line="240" w:lineRule="auto"/>
      </w:pPr>
      <w:r>
        <w:separator/>
      </w:r>
    </w:p>
  </w:endnote>
  <w:endnote w:type="continuationSeparator" w:id="0">
    <w:p w:rsidR="004C2C3D" w:rsidRDefault="004C2C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9B5" w:rsidRPr="00C57E01" w:rsidRDefault="008E79B5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C57E01">
      <w:rPr>
        <w:rFonts w:ascii="Times New Roman" w:hAnsi="Times New Roman"/>
        <w:sz w:val="18"/>
        <w:szCs w:val="18"/>
      </w:rPr>
      <w:fldChar w:fldCharType="begin"/>
    </w:r>
    <w:r w:rsidRPr="00C57E01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C57E01">
      <w:rPr>
        <w:rStyle w:val="slostrany"/>
        <w:rFonts w:ascii="Times New Roman" w:hAnsi="Times New Roman"/>
        <w:sz w:val="18"/>
        <w:szCs w:val="18"/>
      </w:rPr>
      <w:fldChar w:fldCharType="separate"/>
    </w:r>
    <w:r w:rsidR="00C57E01">
      <w:rPr>
        <w:rStyle w:val="slostrany"/>
        <w:rFonts w:ascii="Times New Roman" w:hAnsi="Times New Roman"/>
        <w:noProof/>
        <w:sz w:val="18"/>
        <w:szCs w:val="18"/>
      </w:rPr>
      <w:t>1</w:t>
    </w:r>
    <w:r w:rsidRPr="00C57E01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9B5" w:rsidRDefault="008E79B5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D34BF9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C3D" w:rsidRDefault="004C2C3D">
      <w:pPr>
        <w:spacing w:line="240" w:lineRule="auto"/>
      </w:pPr>
      <w:r>
        <w:separator/>
      </w:r>
    </w:p>
  </w:footnote>
  <w:footnote w:type="continuationSeparator" w:id="0">
    <w:p w:rsidR="004C2C3D" w:rsidRDefault="004C2C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BF9" w:rsidRPr="001B5339" w:rsidRDefault="00D34BF9" w:rsidP="00D34BF9">
    <w:pPr>
      <w:tabs>
        <w:tab w:val="center" w:pos="4153"/>
        <w:tab w:val="right" w:pos="8306"/>
      </w:tabs>
      <w:spacing w:line="240" w:lineRule="auto"/>
      <w:rPr>
        <w:sz w:val="18"/>
        <w:szCs w:val="18"/>
        <w:lang w:val="sk-SK"/>
      </w:rPr>
    </w:pPr>
    <w:r w:rsidRPr="001B5339">
      <w:rPr>
        <w:sz w:val="18"/>
        <w:szCs w:val="18"/>
        <w:lang w:val="sk-SK"/>
      </w:rPr>
      <w:t>Schválený text k rozhodnutiu o prevode, ev. č.: 2017/05736-TR</w:t>
    </w:r>
  </w:p>
  <w:p w:rsidR="00D34BF9" w:rsidRPr="001B5339" w:rsidRDefault="00D34BF9" w:rsidP="00D34BF9">
    <w:pPr>
      <w:tabs>
        <w:tab w:val="center" w:pos="4153"/>
        <w:tab w:val="right" w:pos="8306"/>
      </w:tabs>
      <w:spacing w:line="240" w:lineRule="auto"/>
      <w:rPr>
        <w:sz w:val="18"/>
        <w:szCs w:val="18"/>
        <w:lang w:val="sk-SK"/>
      </w:rPr>
    </w:pPr>
    <w:r w:rsidRPr="001B5339">
      <w:rPr>
        <w:sz w:val="18"/>
        <w:szCs w:val="18"/>
        <w:lang w:val="sk-SK"/>
      </w:rPr>
      <w:t>Príloha č. 2 k notifikácii o zmene, ev. č.: 2017/05803-Z1B</w:t>
    </w:r>
  </w:p>
  <w:p w:rsidR="00D34BF9" w:rsidRPr="001B5339" w:rsidRDefault="00D34BF9" w:rsidP="00D34BF9">
    <w:pPr>
      <w:pStyle w:val="Hlavika"/>
      <w:rPr>
        <w:lang w:val="sk-SK"/>
      </w:rPr>
    </w:pPr>
    <w:r w:rsidRPr="001B5339">
      <w:rPr>
        <w:sz w:val="18"/>
        <w:szCs w:val="18"/>
        <w:lang w:val="sk-SK"/>
      </w:rPr>
      <w:t>Príloha č. 1 k notifikácii o zmene, ev. č.: 2017/05801-Z1B</w:t>
    </w:r>
  </w:p>
  <w:p w:rsidR="00D34BF9" w:rsidRPr="00C57E01" w:rsidRDefault="00D34BF9">
    <w:pPr>
      <w:pStyle w:val="Hlavika"/>
      <w:rPr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239" w:rsidRPr="00C57E01" w:rsidRDefault="00B26239" w:rsidP="00B26239">
    <w:pPr>
      <w:tabs>
        <w:tab w:val="center" w:pos="4153"/>
        <w:tab w:val="right" w:pos="8306"/>
      </w:tabs>
      <w:spacing w:line="240" w:lineRule="auto"/>
      <w:rPr>
        <w:sz w:val="18"/>
        <w:szCs w:val="18"/>
        <w:lang w:val="sk-SK"/>
      </w:rPr>
    </w:pPr>
    <w:r w:rsidRPr="00C57E01">
      <w:rPr>
        <w:sz w:val="18"/>
        <w:szCs w:val="18"/>
        <w:lang w:val="sk-SK"/>
      </w:rPr>
      <w:t>Schválený text k rozhodnutiu o prevode, ev. č.: 2017/05736-TR</w:t>
    </w:r>
  </w:p>
  <w:p w:rsidR="00B26239" w:rsidRPr="00C57E01" w:rsidRDefault="00B26239" w:rsidP="00B26239">
    <w:pPr>
      <w:tabs>
        <w:tab w:val="center" w:pos="4153"/>
        <w:tab w:val="right" w:pos="8306"/>
      </w:tabs>
      <w:spacing w:line="240" w:lineRule="auto"/>
      <w:rPr>
        <w:sz w:val="18"/>
        <w:szCs w:val="18"/>
        <w:lang w:val="sk-SK"/>
      </w:rPr>
    </w:pPr>
    <w:r w:rsidRPr="00C57E01">
      <w:rPr>
        <w:sz w:val="18"/>
        <w:szCs w:val="18"/>
        <w:lang w:val="sk-SK"/>
      </w:rPr>
      <w:t xml:space="preserve">Príloha č. </w:t>
    </w:r>
    <w:r w:rsidR="00D34BF9" w:rsidRPr="00C57E01">
      <w:rPr>
        <w:sz w:val="18"/>
        <w:szCs w:val="18"/>
        <w:lang w:val="sk-SK"/>
      </w:rPr>
      <w:t>2</w:t>
    </w:r>
    <w:r w:rsidRPr="00C57E01">
      <w:rPr>
        <w:sz w:val="18"/>
        <w:szCs w:val="18"/>
        <w:lang w:val="sk-SK"/>
      </w:rPr>
      <w:t xml:space="preserve"> k notifikácii o zmene, ev. č.: 2017/05803-Z1B</w:t>
    </w:r>
  </w:p>
  <w:p w:rsidR="00B26239" w:rsidRPr="00C57E01" w:rsidRDefault="00B26239" w:rsidP="00B26239">
    <w:pPr>
      <w:pStyle w:val="Hlavika"/>
      <w:rPr>
        <w:lang w:val="sk-SK"/>
      </w:rPr>
    </w:pPr>
    <w:r w:rsidRPr="00C57E01">
      <w:rPr>
        <w:sz w:val="18"/>
        <w:szCs w:val="18"/>
        <w:lang w:val="sk-SK"/>
      </w:rPr>
      <w:t>Príloha č. 1 k notifikácii o zmene, ev. č.: 2017/05801-Z1B</w:t>
    </w:r>
  </w:p>
  <w:p w:rsidR="00B26239" w:rsidRPr="00C57E01" w:rsidRDefault="00B26239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C0E84"/>
    <w:multiLevelType w:val="hybridMultilevel"/>
    <w:tmpl w:val="91A02FAE"/>
    <w:lvl w:ilvl="0" w:tplc="DEFC1C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41D82EFB"/>
    <w:multiLevelType w:val="hybridMultilevel"/>
    <w:tmpl w:val="1FD8EDC6"/>
    <w:lvl w:ilvl="0" w:tplc="8AC2B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nka Kuzelova">
    <w15:presenceInfo w15:providerId="AD" w15:userId="S-1-5-21-1765770895-82190224-1524675850-801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CA"/>
    <w:rsid w:val="00027EF6"/>
    <w:rsid w:val="001D1556"/>
    <w:rsid w:val="001E33B0"/>
    <w:rsid w:val="002069B6"/>
    <w:rsid w:val="002C7041"/>
    <w:rsid w:val="002E5D5C"/>
    <w:rsid w:val="00345464"/>
    <w:rsid w:val="003A680E"/>
    <w:rsid w:val="003C555E"/>
    <w:rsid w:val="00405577"/>
    <w:rsid w:val="004424D3"/>
    <w:rsid w:val="00470042"/>
    <w:rsid w:val="00492847"/>
    <w:rsid w:val="004A7ADD"/>
    <w:rsid w:val="004C2C3D"/>
    <w:rsid w:val="004F4191"/>
    <w:rsid w:val="00517D62"/>
    <w:rsid w:val="00597ED1"/>
    <w:rsid w:val="005A1DCF"/>
    <w:rsid w:val="005E474D"/>
    <w:rsid w:val="00606839"/>
    <w:rsid w:val="00670068"/>
    <w:rsid w:val="00691635"/>
    <w:rsid w:val="00741D12"/>
    <w:rsid w:val="00750294"/>
    <w:rsid w:val="007D111F"/>
    <w:rsid w:val="0081255F"/>
    <w:rsid w:val="008E79B5"/>
    <w:rsid w:val="008F2E21"/>
    <w:rsid w:val="00967202"/>
    <w:rsid w:val="00991ACA"/>
    <w:rsid w:val="009E3B6A"/>
    <w:rsid w:val="00A67CC1"/>
    <w:rsid w:val="00AD30C5"/>
    <w:rsid w:val="00B06A62"/>
    <w:rsid w:val="00B15F9C"/>
    <w:rsid w:val="00B26239"/>
    <w:rsid w:val="00BB1605"/>
    <w:rsid w:val="00C57E01"/>
    <w:rsid w:val="00D13F8F"/>
    <w:rsid w:val="00D34BF9"/>
    <w:rsid w:val="00D62CF7"/>
    <w:rsid w:val="00DA38A6"/>
    <w:rsid w:val="00F6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rPr>
      <w:rFonts w:ascii="Helvetica" w:eastAsia="Times New Roman" w:hAnsi="Helvetica" w:cs="Times New Roman"/>
      <w:sz w:val="16"/>
      <w:szCs w:val="20"/>
    </w:rPr>
  </w:style>
  <w:style w:type="character" w:styleId="slostrany">
    <w:name w:val="page number"/>
    <w:basedOn w:val="Predvolenpsmoodseku"/>
  </w:style>
  <w:style w:type="paragraph" w:styleId="Normlnywebov">
    <w:name w:val="Normal (Web)"/>
    <w:basedOn w:val="Normlny"/>
    <w:uiPriority w:val="99"/>
    <w:pPr>
      <w:tabs>
        <w:tab w:val="clear" w:pos="567"/>
      </w:tabs>
      <w:spacing w:before="100" w:beforeAutospacing="1" w:after="100" w:afterAutospacing="1" w:line="240" w:lineRule="auto"/>
    </w:pPr>
    <w:rPr>
      <w:rFonts w:ascii="Arial Unicode MS" w:hAnsi="Arial Unicode MS"/>
      <w:sz w:val="24"/>
      <w:szCs w:val="24"/>
    </w:rPr>
  </w:style>
  <w:style w:type="paragraph" w:styleId="Hlavika">
    <w:name w:val="header"/>
    <w:basedOn w:val="Normlny"/>
    <w:link w:val="HlavikaChar"/>
    <w:unhideWhenUsed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pPr>
      <w:tabs>
        <w:tab w:val="clear" w:pos="567"/>
      </w:tabs>
      <w:spacing w:line="240" w:lineRule="auto"/>
      <w:ind w:left="708"/>
    </w:pPr>
    <w:rPr>
      <w:sz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Hypertextovprepojenie">
    <w:name w:val="Hyperlink"/>
    <w:rsid w:val="00D62C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rPr>
      <w:rFonts w:ascii="Helvetica" w:eastAsia="Times New Roman" w:hAnsi="Helvetica" w:cs="Times New Roman"/>
      <w:sz w:val="16"/>
      <w:szCs w:val="20"/>
    </w:rPr>
  </w:style>
  <w:style w:type="character" w:styleId="slostrany">
    <w:name w:val="page number"/>
    <w:basedOn w:val="Predvolenpsmoodseku"/>
  </w:style>
  <w:style w:type="paragraph" w:styleId="Normlnywebov">
    <w:name w:val="Normal (Web)"/>
    <w:basedOn w:val="Normlny"/>
    <w:uiPriority w:val="99"/>
    <w:pPr>
      <w:tabs>
        <w:tab w:val="clear" w:pos="567"/>
      </w:tabs>
      <w:spacing w:before="100" w:beforeAutospacing="1" w:after="100" w:afterAutospacing="1" w:line="240" w:lineRule="auto"/>
    </w:pPr>
    <w:rPr>
      <w:rFonts w:ascii="Arial Unicode MS" w:hAnsi="Arial Unicode MS"/>
      <w:sz w:val="24"/>
      <w:szCs w:val="24"/>
    </w:rPr>
  </w:style>
  <w:style w:type="paragraph" w:styleId="Hlavika">
    <w:name w:val="header"/>
    <w:basedOn w:val="Normlny"/>
    <w:link w:val="HlavikaChar"/>
    <w:unhideWhenUsed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pPr>
      <w:tabs>
        <w:tab w:val="clear" w:pos="567"/>
      </w:tabs>
      <w:spacing w:line="240" w:lineRule="auto"/>
      <w:ind w:left="708"/>
    </w:pPr>
    <w:rPr>
      <w:sz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Hypertextovprepojenie">
    <w:name w:val="Hyperlink"/>
    <w:rsid w:val="00D62C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9</Pages>
  <Words>2804</Words>
  <Characters>15985</Characters>
  <Application>Microsoft Office Word</Application>
  <DocSecurity>0</DocSecurity>
  <Lines>133</Lines>
  <Paragraphs>37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mt-g</Company>
  <LinksUpToDate>false</LinksUpToDate>
  <CharactersWithSpaces>18752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mt-g</dc:creator>
  <cp:keywords/>
  <dc:description/>
  <cp:lastModifiedBy>Grančaiová, Zuzana</cp:lastModifiedBy>
  <cp:revision>7</cp:revision>
  <dcterms:created xsi:type="dcterms:W3CDTF">2017-10-31T11:16:00Z</dcterms:created>
  <dcterms:modified xsi:type="dcterms:W3CDTF">2018-02-07T07:18:00Z</dcterms:modified>
</cp:coreProperties>
</file>