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E6" w:rsidRPr="00305462" w:rsidRDefault="001D29E6" w:rsidP="006A011B">
      <w:pPr>
        <w:widowControl w:val="0"/>
        <w:jc w:val="center"/>
        <w:rPr>
          <w:b/>
          <w:szCs w:val="22"/>
          <w:lang w:val="sk-SK"/>
        </w:rPr>
      </w:pPr>
      <w:r w:rsidRPr="00305462">
        <w:rPr>
          <w:b/>
          <w:szCs w:val="22"/>
          <w:lang w:val="sk-SK"/>
        </w:rPr>
        <w:t>S</w:t>
      </w:r>
      <w:r w:rsidR="00415687" w:rsidRPr="00305462">
        <w:rPr>
          <w:b/>
          <w:szCs w:val="22"/>
          <w:lang w:val="sk-SK"/>
        </w:rPr>
        <w:t>ÚHRN CHARAKTERISTICKÝCH VLASTNOSTÍ LIEKU</w:t>
      </w:r>
    </w:p>
    <w:p w:rsidR="00F85479" w:rsidRPr="00305462" w:rsidRDefault="00F85479" w:rsidP="009F755B">
      <w:pPr>
        <w:widowControl w:val="0"/>
        <w:jc w:val="both"/>
        <w:rPr>
          <w:b/>
          <w:szCs w:val="22"/>
          <w:lang w:val="sk-SK"/>
        </w:rPr>
      </w:pPr>
    </w:p>
    <w:p w:rsidR="00F85479" w:rsidRPr="00305462" w:rsidRDefault="00F85479" w:rsidP="004A7BEA">
      <w:pPr>
        <w:widowControl w:val="0"/>
        <w:jc w:val="both"/>
        <w:rPr>
          <w:bCs/>
          <w:iCs/>
          <w:noProof/>
          <w:szCs w:val="22"/>
          <w:lang w:val="sk-SK"/>
        </w:rPr>
      </w:pPr>
    </w:p>
    <w:p w:rsidR="00705DC5" w:rsidRPr="00305462" w:rsidRDefault="00705DC5" w:rsidP="004A7BEA">
      <w:pPr>
        <w:pStyle w:val="Style4"/>
        <w:widowControl/>
        <w:numPr>
          <w:ilvl w:val="0"/>
          <w:numId w:val="40"/>
        </w:numPr>
        <w:tabs>
          <w:tab w:val="left" w:pos="567"/>
        </w:tabs>
        <w:spacing w:before="14" w:line="250" w:lineRule="exact"/>
        <w:ind w:left="426" w:hanging="426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>N</w:t>
      </w:r>
      <w:r w:rsidR="00415687" w:rsidRPr="00305462">
        <w:rPr>
          <w:rStyle w:val="FontStyle21"/>
          <w:b/>
          <w:sz w:val="22"/>
          <w:szCs w:val="22"/>
          <w:lang w:val="sk-SK" w:eastAsia="pt-PT"/>
        </w:rPr>
        <w:t>ÁZOV LIEKU</w:t>
      </w:r>
    </w:p>
    <w:p w:rsidR="00AF1844" w:rsidRPr="00305462" w:rsidRDefault="00AF1844" w:rsidP="004A7BEA">
      <w:pPr>
        <w:pStyle w:val="Style4"/>
        <w:widowControl/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</w:p>
    <w:p w:rsidR="00705DC5" w:rsidRPr="00305462" w:rsidRDefault="00E97EEB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proofErr w:type="spellStart"/>
      <w:r w:rsidRPr="00305462">
        <w:rPr>
          <w:rStyle w:val="FontStyle21"/>
          <w:sz w:val="22"/>
          <w:szCs w:val="22"/>
          <w:lang w:val="sk-SK" w:eastAsia="pt-PT"/>
        </w:rPr>
        <w:t>Ibandronic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Acid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Fresenius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Kabi</w:t>
      </w:r>
      <w:proofErr w:type="spellEnd"/>
      <w:r w:rsidR="00705DC5" w:rsidRPr="00305462">
        <w:rPr>
          <w:rStyle w:val="FontStyle21"/>
          <w:sz w:val="22"/>
          <w:szCs w:val="22"/>
          <w:lang w:val="sk-SK" w:eastAsia="pt-PT"/>
        </w:rPr>
        <w:t xml:space="preserve"> </w:t>
      </w:r>
      <w:r w:rsidR="00270967" w:rsidRPr="00305462">
        <w:rPr>
          <w:rStyle w:val="FontStyle21"/>
          <w:sz w:val="22"/>
          <w:szCs w:val="22"/>
          <w:lang w:val="sk-SK" w:eastAsia="pt-PT"/>
        </w:rPr>
        <w:t>3 mg</w:t>
      </w:r>
      <w:r w:rsidR="00705DC5" w:rsidRPr="00305462">
        <w:rPr>
          <w:rStyle w:val="FontStyle21"/>
          <w:sz w:val="22"/>
          <w:szCs w:val="22"/>
          <w:lang w:val="sk-SK" w:eastAsia="pt-PT"/>
        </w:rPr>
        <w:t xml:space="preserve"> </w:t>
      </w:r>
      <w:r w:rsidR="00265A6A" w:rsidRPr="00305462">
        <w:rPr>
          <w:rStyle w:val="FontStyle21"/>
          <w:sz w:val="22"/>
          <w:szCs w:val="22"/>
          <w:lang w:val="sk-SK" w:eastAsia="pt-PT"/>
        </w:rPr>
        <w:t>injekčný roztok naplnený v injekčnej striekačke</w:t>
      </w:r>
    </w:p>
    <w:p w:rsidR="0010440D" w:rsidRPr="00305462" w:rsidRDefault="0010440D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AF1844" w:rsidRPr="00305462" w:rsidRDefault="00AF1844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705DC5" w:rsidRPr="00305462" w:rsidRDefault="00705DC5" w:rsidP="004A7BEA">
      <w:pPr>
        <w:pStyle w:val="Style4"/>
        <w:widowControl/>
        <w:tabs>
          <w:tab w:val="left" w:pos="567"/>
        </w:tabs>
        <w:spacing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 xml:space="preserve">2. </w:t>
      </w:r>
      <w:r w:rsidR="00415687" w:rsidRPr="00305462">
        <w:rPr>
          <w:rStyle w:val="FontStyle21"/>
          <w:b/>
          <w:sz w:val="22"/>
          <w:szCs w:val="22"/>
          <w:lang w:val="sk-SK" w:eastAsia="pt-PT"/>
        </w:rPr>
        <w:tab/>
        <w:t>KVALITATÍVNE A KVANTITATÍVNE ZLOŽENIE</w:t>
      </w:r>
    </w:p>
    <w:p w:rsidR="00AF1844" w:rsidRPr="00305462" w:rsidRDefault="00AF1844" w:rsidP="004A7BEA">
      <w:pPr>
        <w:pStyle w:val="Style4"/>
        <w:widowControl/>
        <w:spacing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515A7F" w:rsidRPr="00305462" w:rsidRDefault="006A011B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>
        <w:rPr>
          <w:szCs w:val="22"/>
          <w:lang w:val="sk-SK" w:eastAsia="sk-SK"/>
        </w:rPr>
        <w:t>Každá</w:t>
      </w:r>
      <w:r w:rsidR="00515A7F" w:rsidRPr="00305462">
        <w:rPr>
          <w:szCs w:val="22"/>
          <w:lang w:val="sk-SK" w:eastAsia="sk-SK"/>
        </w:rPr>
        <w:t xml:space="preserve"> naplnená injekčná striekačka s 3 ml roztoku obsahuje 3 mg kyseliny </w:t>
      </w:r>
      <w:proofErr w:type="spellStart"/>
      <w:r w:rsidR="00515A7F" w:rsidRPr="00305462">
        <w:rPr>
          <w:szCs w:val="22"/>
          <w:lang w:val="sk-SK" w:eastAsia="sk-SK"/>
        </w:rPr>
        <w:t>ibandrónovej</w:t>
      </w:r>
      <w:proofErr w:type="spellEnd"/>
      <w:r w:rsidR="00515A7F" w:rsidRPr="00305462">
        <w:rPr>
          <w:szCs w:val="22"/>
          <w:lang w:val="sk-SK" w:eastAsia="sk-SK"/>
        </w:rPr>
        <w:t xml:space="preserve"> (</w:t>
      </w:r>
      <w:r w:rsidR="00265A6A" w:rsidRPr="00305462">
        <w:rPr>
          <w:noProof/>
          <w:szCs w:val="22"/>
          <w:lang w:val="sk-SK" w:eastAsia="ja-JP"/>
        </w:rPr>
        <w:t>ako bezvodú sodnú soľ</w:t>
      </w:r>
      <w:r w:rsidR="00515A7F" w:rsidRPr="00305462">
        <w:rPr>
          <w:szCs w:val="22"/>
          <w:lang w:val="sk-SK" w:eastAsia="sk-SK"/>
        </w:rPr>
        <w:t>).</w:t>
      </w:r>
    </w:p>
    <w:p w:rsidR="00515A7F" w:rsidRPr="00305462" w:rsidRDefault="00515A7F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Koncentrácia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v injekčnom roztoku je 1 mg/ml.</w:t>
      </w:r>
    </w:p>
    <w:p w:rsidR="00265A6A" w:rsidRPr="00305462" w:rsidRDefault="00265A6A" w:rsidP="004A7BEA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</w:p>
    <w:p w:rsidR="00705DC5" w:rsidRPr="00305462" w:rsidRDefault="00515A7F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>Úplný zoznam pomocných látok, pozri časť 6.1.</w:t>
      </w:r>
    </w:p>
    <w:p w:rsidR="00AF1844" w:rsidRPr="00305462" w:rsidRDefault="00AF1844" w:rsidP="004A7BEA">
      <w:pPr>
        <w:pStyle w:val="Style4"/>
        <w:widowControl/>
        <w:spacing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AF1844" w:rsidRPr="00305462" w:rsidRDefault="00AF1844" w:rsidP="004A7BEA">
      <w:pPr>
        <w:pStyle w:val="Style4"/>
        <w:widowControl/>
        <w:spacing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705DC5" w:rsidRPr="00305462" w:rsidRDefault="00705DC5" w:rsidP="004A7BEA">
      <w:pPr>
        <w:pStyle w:val="Style4"/>
        <w:widowControl/>
        <w:tabs>
          <w:tab w:val="left" w:pos="567"/>
        </w:tabs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 xml:space="preserve">3. </w:t>
      </w:r>
      <w:r w:rsidR="00515A7F" w:rsidRPr="00305462">
        <w:rPr>
          <w:rStyle w:val="FontStyle21"/>
          <w:b/>
          <w:sz w:val="22"/>
          <w:szCs w:val="22"/>
          <w:lang w:val="sk-SK" w:eastAsia="pt-PT"/>
        </w:rPr>
        <w:tab/>
        <w:t>LIEKOVÁ FORMA</w:t>
      </w:r>
    </w:p>
    <w:p w:rsidR="00AF1844" w:rsidRPr="00305462" w:rsidRDefault="00AF1844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515A7F" w:rsidRPr="00305462" w:rsidRDefault="00515A7F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Injekčný roztok naplnený v injekčnej striekačke.</w:t>
      </w:r>
    </w:p>
    <w:p w:rsidR="003376CB" w:rsidRPr="00305462" w:rsidRDefault="00515A7F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/>
        </w:rPr>
      </w:pPr>
      <w:r w:rsidRPr="00305462">
        <w:rPr>
          <w:rFonts w:cs="Times New Roman"/>
          <w:sz w:val="22"/>
          <w:szCs w:val="22"/>
          <w:lang w:val="sk-SK" w:eastAsia="sk-SK"/>
        </w:rPr>
        <w:t>Číry, bezfarebný roztok.</w:t>
      </w:r>
    </w:p>
    <w:p w:rsidR="009942D1" w:rsidRPr="00305462" w:rsidRDefault="009942D1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2B1245" w:rsidRPr="00305462" w:rsidRDefault="002B1245" w:rsidP="004A7BEA">
      <w:pPr>
        <w:pStyle w:val="Style4"/>
        <w:widowControl/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</w:p>
    <w:p w:rsidR="00705DC5" w:rsidRPr="00305462" w:rsidRDefault="00705DC5" w:rsidP="004A7BEA">
      <w:pPr>
        <w:pStyle w:val="Style4"/>
        <w:widowControl/>
        <w:tabs>
          <w:tab w:val="left" w:pos="567"/>
        </w:tabs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 xml:space="preserve">4. </w:t>
      </w:r>
      <w:r w:rsidR="00515A7F" w:rsidRPr="00305462">
        <w:rPr>
          <w:rStyle w:val="FontStyle21"/>
          <w:b/>
          <w:sz w:val="22"/>
          <w:szCs w:val="22"/>
          <w:lang w:val="sk-SK" w:eastAsia="pt-PT"/>
        </w:rPr>
        <w:tab/>
        <w:t>KLINICKÉ ÚDAJE</w:t>
      </w:r>
    </w:p>
    <w:p w:rsidR="00AF1844" w:rsidRPr="00305462" w:rsidRDefault="00AF1844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705DC5" w:rsidRPr="00305462" w:rsidRDefault="00705DC5" w:rsidP="004A7BEA">
      <w:pPr>
        <w:pStyle w:val="Style4"/>
        <w:widowControl/>
        <w:tabs>
          <w:tab w:val="left" w:pos="567"/>
        </w:tabs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 xml:space="preserve">4.1 </w:t>
      </w:r>
      <w:r w:rsidR="00515A7F" w:rsidRPr="00305462">
        <w:rPr>
          <w:rStyle w:val="FontStyle21"/>
          <w:b/>
          <w:sz w:val="22"/>
          <w:szCs w:val="22"/>
          <w:lang w:val="sk-SK" w:eastAsia="pt-PT"/>
        </w:rPr>
        <w:tab/>
      </w:r>
      <w:r w:rsidRPr="00305462">
        <w:rPr>
          <w:rStyle w:val="FontStyle21"/>
          <w:b/>
          <w:sz w:val="22"/>
          <w:szCs w:val="22"/>
          <w:lang w:val="sk-SK" w:eastAsia="pt-PT"/>
        </w:rPr>
        <w:t>T</w:t>
      </w:r>
      <w:r w:rsidR="00515A7F" w:rsidRPr="00305462">
        <w:rPr>
          <w:rStyle w:val="FontStyle21"/>
          <w:b/>
          <w:sz w:val="22"/>
          <w:szCs w:val="22"/>
          <w:lang w:val="sk-SK" w:eastAsia="pt-PT"/>
        </w:rPr>
        <w:t>erapeutické indikácie</w:t>
      </w:r>
    </w:p>
    <w:p w:rsidR="00F85479" w:rsidRPr="00305462" w:rsidRDefault="00F85479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515A7F" w:rsidRPr="00305462" w:rsidRDefault="00515A7F" w:rsidP="004A7BEA">
      <w:pPr>
        <w:pStyle w:val="Style4"/>
        <w:widowControl/>
        <w:spacing w:before="14" w:line="240" w:lineRule="auto"/>
        <w:jc w:val="both"/>
        <w:rPr>
          <w:rFonts w:cs="Times New Roman"/>
          <w:sz w:val="22"/>
          <w:szCs w:val="22"/>
          <w:lang w:val="sk-SK"/>
        </w:rPr>
      </w:pPr>
      <w:r w:rsidRPr="00305462">
        <w:rPr>
          <w:rFonts w:cs="Times New Roman"/>
          <w:sz w:val="22"/>
          <w:szCs w:val="22"/>
          <w:lang w:val="sk-SK"/>
        </w:rPr>
        <w:t xml:space="preserve">Liečba </w:t>
      </w:r>
      <w:proofErr w:type="spellStart"/>
      <w:r w:rsidRPr="00305462">
        <w:rPr>
          <w:rFonts w:cs="Times New Roman"/>
          <w:sz w:val="22"/>
          <w:szCs w:val="22"/>
          <w:lang w:val="sk-SK"/>
        </w:rPr>
        <w:t>osteoporózy</w:t>
      </w:r>
      <w:proofErr w:type="spellEnd"/>
      <w:r w:rsidRPr="00305462">
        <w:rPr>
          <w:rFonts w:cs="Times New Roman"/>
          <w:sz w:val="22"/>
          <w:szCs w:val="22"/>
          <w:lang w:val="sk-SK"/>
        </w:rPr>
        <w:t xml:space="preserve"> u žien po </w:t>
      </w:r>
      <w:proofErr w:type="spellStart"/>
      <w:r w:rsidRPr="00305462">
        <w:rPr>
          <w:rFonts w:cs="Times New Roman"/>
          <w:sz w:val="22"/>
          <w:szCs w:val="22"/>
          <w:lang w:val="sk-SK"/>
        </w:rPr>
        <w:t>menopauze</w:t>
      </w:r>
      <w:proofErr w:type="spellEnd"/>
      <w:r w:rsidRPr="00305462">
        <w:rPr>
          <w:rFonts w:cs="Times New Roman"/>
          <w:sz w:val="22"/>
          <w:szCs w:val="22"/>
          <w:lang w:val="sk-SK"/>
        </w:rPr>
        <w:t xml:space="preserve"> so zvýšeným rizikom fraktúr (pozri časť 5.1).</w:t>
      </w:r>
    </w:p>
    <w:p w:rsidR="00515A7F" w:rsidRPr="00305462" w:rsidRDefault="00515A7F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Preukázalo sa zníženie rizika </w:t>
      </w:r>
      <w:proofErr w:type="spellStart"/>
      <w:r w:rsidRPr="00305462">
        <w:rPr>
          <w:szCs w:val="22"/>
          <w:lang w:val="sk-SK" w:eastAsia="sk-SK"/>
        </w:rPr>
        <w:t>vertebrálnych</w:t>
      </w:r>
      <w:proofErr w:type="spellEnd"/>
      <w:r w:rsidRPr="00305462">
        <w:rPr>
          <w:szCs w:val="22"/>
          <w:lang w:val="sk-SK" w:eastAsia="sk-SK"/>
        </w:rPr>
        <w:t xml:space="preserve"> fraktúr, účinnosť u fraktúr </w:t>
      </w:r>
      <w:proofErr w:type="spellStart"/>
      <w:r w:rsidRPr="00305462">
        <w:rPr>
          <w:szCs w:val="22"/>
          <w:lang w:val="sk-SK" w:eastAsia="sk-SK"/>
        </w:rPr>
        <w:t>femorálneho</w:t>
      </w:r>
      <w:proofErr w:type="spellEnd"/>
      <w:r w:rsidRPr="00305462">
        <w:rPr>
          <w:szCs w:val="22"/>
          <w:lang w:val="sk-SK" w:eastAsia="sk-SK"/>
        </w:rPr>
        <w:t xml:space="preserve"> krčku nebola</w:t>
      </w:r>
    </w:p>
    <w:p w:rsidR="00270967" w:rsidRPr="00305462" w:rsidRDefault="00515A7F" w:rsidP="004A7BEA">
      <w:pPr>
        <w:pStyle w:val="Style4"/>
        <w:widowControl/>
        <w:spacing w:line="240" w:lineRule="auto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Fonts w:cs="Times New Roman"/>
          <w:sz w:val="22"/>
          <w:szCs w:val="22"/>
          <w:lang w:val="sk-SK" w:eastAsia="sk-SK"/>
        </w:rPr>
        <w:t>stanovená.</w:t>
      </w:r>
    </w:p>
    <w:p w:rsidR="00515A7F" w:rsidRPr="00305462" w:rsidRDefault="00515A7F" w:rsidP="004A7BEA">
      <w:pPr>
        <w:pStyle w:val="Style4"/>
        <w:widowControl/>
        <w:spacing w:before="14" w:line="250" w:lineRule="exact"/>
        <w:ind w:left="567"/>
        <w:jc w:val="both"/>
        <w:rPr>
          <w:rStyle w:val="FontStyle21"/>
          <w:sz w:val="22"/>
          <w:szCs w:val="22"/>
          <w:lang w:val="sk-SK" w:eastAsia="pt-PT"/>
        </w:rPr>
      </w:pPr>
    </w:p>
    <w:p w:rsidR="00705DC5" w:rsidRPr="00305462" w:rsidRDefault="00705DC5" w:rsidP="004A7BEA">
      <w:pPr>
        <w:pStyle w:val="Style4"/>
        <w:widowControl/>
        <w:tabs>
          <w:tab w:val="left" w:pos="567"/>
        </w:tabs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 xml:space="preserve">4.2 </w:t>
      </w:r>
      <w:r w:rsidR="00515A7F" w:rsidRPr="00305462">
        <w:rPr>
          <w:rStyle w:val="FontStyle21"/>
          <w:b/>
          <w:sz w:val="22"/>
          <w:szCs w:val="22"/>
          <w:lang w:val="sk-SK" w:eastAsia="pt-PT"/>
        </w:rPr>
        <w:tab/>
        <w:t>Dávkovanie a spôsob podávania</w:t>
      </w:r>
    </w:p>
    <w:p w:rsidR="00AF1844" w:rsidRPr="00305462" w:rsidRDefault="00AF1844" w:rsidP="004A7BEA">
      <w:pPr>
        <w:pStyle w:val="Style4"/>
        <w:widowControl/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</w:p>
    <w:p w:rsidR="008B01B6" w:rsidRPr="00305462" w:rsidRDefault="008B01B6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Style w:val="FontStyle21"/>
          <w:sz w:val="22"/>
          <w:szCs w:val="22"/>
          <w:lang w:val="sk-SK" w:eastAsia="pt-PT"/>
        </w:rPr>
        <w:t xml:space="preserve">Pacientky, ktoré sa liečia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Ibandronicom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Acid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Fresenius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Kabi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majú dostať písomnú informáciu pre používateľku a informačnú kartu pre pacientku.</w:t>
      </w:r>
    </w:p>
    <w:p w:rsidR="008B01B6" w:rsidRPr="00305462" w:rsidRDefault="008B01B6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685474" w:rsidRPr="00305462" w:rsidRDefault="00EF5ECD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u w:val="single"/>
          <w:lang w:val="sk-SK" w:eastAsia="pt-PT"/>
        </w:rPr>
      </w:pPr>
      <w:r w:rsidRPr="00305462">
        <w:rPr>
          <w:rStyle w:val="FontStyle21"/>
          <w:sz w:val="22"/>
          <w:szCs w:val="22"/>
          <w:u w:val="single"/>
          <w:lang w:val="sk-SK" w:eastAsia="pt-PT"/>
        </w:rPr>
        <w:t>Dávkovanie</w:t>
      </w:r>
    </w:p>
    <w:p w:rsidR="00EF5ECD" w:rsidRPr="00305462" w:rsidRDefault="00EF5ECD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Odporúčaná dávka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je 3 mg, podávaná vo forme intravenóznej injekcie počas</w:t>
      </w:r>
    </w:p>
    <w:p w:rsidR="00EF5ECD" w:rsidRPr="00305462" w:rsidRDefault="00EF5ECD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15 - 30 sekúnd každé tri mesiace.</w:t>
      </w:r>
    </w:p>
    <w:p w:rsidR="00EF5ECD" w:rsidRPr="00305462" w:rsidRDefault="00EF5ECD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</w:p>
    <w:p w:rsidR="00EF5ECD" w:rsidRPr="00305462" w:rsidRDefault="00EF5ECD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Pacientky musia užívať vápnik a vitamín D vo forme výživových doplnkov (pozri časť 4.4 a časť 4.5).</w:t>
      </w:r>
    </w:p>
    <w:p w:rsidR="00EF5ECD" w:rsidRPr="00305462" w:rsidRDefault="00EF5ECD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</w:p>
    <w:p w:rsidR="00EF5ECD" w:rsidRPr="00305462" w:rsidRDefault="00EF5ECD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Ak sa dávka vynechá, injekcia sa má podať čo najskôr, ako je možné. Potom sa injekcie majú</w:t>
      </w:r>
    </w:p>
    <w:p w:rsidR="00EF5ECD" w:rsidRPr="00305462" w:rsidRDefault="00EF5ECD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naplánovať každé tri mesiace od dátumu poslednej injekcie.</w:t>
      </w:r>
    </w:p>
    <w:p w:rsidR="00EF5ECD" w:rsidRPr="00305462" w:rsidRDefault="00EF5ECD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</w:p>
    <w:p w:rsidR="00EF5ECD" w:rsidRPr="00305462" w:rsidRDefault="00EF5ECD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Optimálna dĺžka liečby </w:t>
      </w:r>
      <w:proofErr w:type="spellStart"/>
      <w:r w:rsidRPr="00305462">
        <w:rPr>
          <w:szCs w:val="22"/>
          <w:lang w:val="sk-SK" w:eastAsia="sk-SK"/>
        </w:rPr>
        <w:t>osteoporózy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bisfosfonátmi</w:t>
      </w:r>
      <w:proofErr w:type="spellEnd"/>
      <w:r w:rsidRPr="00305462">
        <w:rPr>
          <w:szCs w:val="22"/>
          <w:lang w:val="sk-SK" w:eastAsia="sk-SK"/>
        </w:rPr>
        <w:t xml:space="preserve"> sa nestanovila. Potreba pokračovať v liečbe sa má u jednotlivých pacientok pravidelne prehodnocovať na základe prínosu a možných rizík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>, najmä po 5 alebo viacerých rokoch používania.</w:t>
      </w:r>
    </w:p>
    <w:p w:rsidR="00685474" w:rsidRPr="00305462" w:rsidRDefault="00685474" w:rsidP="004A7BEA">
      <w:pPr>
        <w:pStyle w:val="Style4"/>
        <w:widowControl/>
        <w:spacing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685474" w:rsidRPr="00305462" w:rsidRDefault="00207E82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u w:val="single"/>
          <w:lang w:val="sk-SK" w:eastAsia="pt-PT"/>
        </w:rPr>
      </w:pPr>
      <w:r w:rsidRPr="00305462">
        <w:rPr>
          <w:rStyle w:val="FontStyle21"/>
          <w:sz w:val="22"/>
          <w:szCs w:val="22"/>
          <w:u w:val="single"/>
          <w:lang w:val="sk-SK" w:eastAsia="pt-PT"/>
        </w:rPr>
        <w:t>Osobitné skupiny pacientov</w:t>
      </w:r>
    </w:p>
    <w:p w:rsidR="000C3724" w:rsidRPr="00305462" w:rsidRDefault="000C3724" w:rsidP="004A7BEA">
      <w:pPr>
        <w:pStyle w:val="Style4"/>
        <w:widowControl/>
        <w:spacing w:line="250" w:lineRule="exact"/>
        <w:jc w:val="both"/>
        <w:rPr>
          <w:rStyle w:val="FontStyle21"/>
          <w:sz w:val="22"/>
          <w:szCs w:val="22"/>
          <w:u w:val="single"/>
          <w:lang w:val="sk-SK" w:eastAsia="pt-PT"/>
        </w:rPr>
      </w:pPr>
    </w:p>
    <w:p w:rsidR="00685474" w:rsidRPr="00305462" w:rsidRDefault="00207E82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Fonts w:cs="Times New Roman"/>
          <w:i/>
          <w:iCs/>
          <w:sz w:val="22"/>
          <w:szCs w:val="22"/>
          <w:lang w:val="sk-SK" w:eastAsia="sk-SK"/>
        </w:rPr>
        <w:t>Pacientky s po</w:t>
      </w:r>
      <w:r w:rsidR="001B0B36" w:rsidRPr="00305462">
        <w:rPr>
          <w:rFonts w:cs="Times New Roman"/>
          <w:i/>
          <w:iCs/>
          <w:sz w:val="22"/>
          <w:szCs w:val="22"/>
          <w:lang w:val="sk-SK" w:eastAsia="sk-SK"/>
        </w:rPr>
        <w:t>ruchou</w:t>
      </w:r>
      <w:r w:rsidRPr="00305462">
        <w:rPr>
          <w:rFonts w:cs="Times New Roman"/>
          <w:i/>
          <w:iCs/>
          <w:sz w:val="22"/>
          <w:szCs w:val="22"/>
          <w:lang w:val="sk-SK" w:eastAsia="sk-SK"/>
        </w:rPr>
        <w:t xml:space="preserve"> funkcie obli</w:t>
      </w:r>
      <w:r w:rsidR="001B0B36" w:rsidRPr="00305462">
        <w:rPr>
          <w:rFonts w:cs="Times New Roman"/>
          <w:i/>
          <w:iCs/>
          <w:sz w:val="22"/>
          <w:szCs w:val="22"/>
          <w:lang w:val="sk-SK" w:eastAsia="sk-SK"/>
        </w:rPr>
        <w:t>č</w:t>
      </w:r>
      <w:r w:rsidRPr="00305462">
        <w:rPr>
          <w:rFonts w:cs="Times New Roman"/>
          <w:i/>
          <w:iCs/>
          <w:sz w:val="22"/>
          <w:szCs w:val="22"/>
          <w:lang w:val="sk-SK" w:eastAsia="sk-SK"/>
        </w:rPr>
        <w:t>iek</w:t>
      </w:r>
    </w:p>
    <w:p w:rsidR="00207E82" w:rsidRPr="00305462" w:rsidRDefault="00207E82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lastRenderedPageBreak/>
        <w:t xml:space="preserve">Použitie injekcie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sa neodporúča </w:t>
      </w:r>
      <w:proofErr w:type="spellStart"/>
      <w:r w:rsidRPr="00305462">
        <w:rPr>
          <w:szCs w:val="22"/>
          <w:lang w:val="sk-SK" w:eastAsia="sk-SK"/>
        </w:rPr>
        <w:t>pacientkám</w:t>
      </w:r>
      <w:proofErr w:type="spellEnd"/>
      <w:r w:rsidRPr="00305462">
        <w:rPr>
          <w:szCs w:val="22"/>
          <w:lang w:val="sk-SK" w:eastAsia="sk-SK"/>
        </w:rPr>
        <w:t xml:space="preserve">, ktoré majú sérový </w:t>
      </w:r>
      <w:proofErr w:type="spellStart"/>
      <w:r w:rsidRPr="00305462">
        <w:rPr>
          <w:szCs w:val="22"/>
          <w:lang w:val="sk-SK" w:eastAsia="sk-SK"/>
        </w:rPr>
        <w:t>kreatinín</w:t>
      </w:r>
      <w:proofErr w:type="spellEnd"/>
      <w:r w:rsidRPr="00305462">
        <w:rPr>
          <w:szCs w:val="22"/>
          <w:lang w:val="sk-SK" w:eastAsia="sk-SK"/>
        </w:rPr>
        <w:t xml:space="preserve"> vyšší ako 200 </w:t>
      </w:r>
      <w:proofErr w:type="spellStart"/>
      <w:r w:rsidRPr="00305462">
        <w:rPr>
          <w:szCs w:val="22"/>
          <w:lang w:val="sk-SK" w:eastAsia="sk-SK"/>
        </w:rPr>
        <w:t>μmol</w:t>
      </w:r>
      <w:proofErr w:type="spellEnd"/>
      <w:r w:rsidRPr="00305462">
        <w:rPr>
          <w:szCs w:val="22"/>
          <w:lang w:val="sk-SK" w:eastAsia="sk-SK"/>
        </w:rPr>
        <w:t xml:space="preserve">/l (2,3 mg/dl) alebo ktoré majú </w:t>
      </w:r>
      <w:proofErr w:type="spellStart"/>
      <w:r w:rsidRPr="00305462">
        <w:rPr>
          <w:szCs w:val="22"/>
          <w:lang w:val="sk-SK" w:eastAsia="sk-SK"/>
        </w:rPr>
        <w:t>klírens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kreatinínu</w:t>
      </w:r>
      <w:proofErr w:type="spellEnd"/>
      <w:r w:rsidRPr="00305462">
        <w:rPr>
          <w:szCs w:val="22"/>
          <w:lang w:val="sk-SK" w:eastAsia="sk-SK"/>
        </w:rPr>
        <w:t xml:space="preserve"> (</w:t>
      </w:r>
      <w:r w:rsidR="007506DC" w:rsidRPr="00305462">
        <w:rPr>
          <w:szCs w:val="22"/>
          <w:lang w:val="sk-SK" w:eastAsia="sk-SK"/>
        </w:rPr>
        <w:t>na</w:t>
      </w:r>
      <w:r w:rsidRPr="00305462">
        <w:rPr>
          <w:szCs w:val="22"/>
          <w:lang w:val="sk-SK" w:eastAsia="sk-SK"/>
        </w:rPr>
        <w:t>meraný alebo predpokladaný) nižší ako 30 ml/min, kvôli obmedzeným klinickým údajom dostupným zo štúdií u takýchto pacientok (pozri časť 4.4 a časť 5.2).</w:t>
      </w:r>
    </w:p>
    <w:p w:rsidR="00207E82" w:rsidRPr="00305462" w:rsidRDefault="00207E82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</w:p>
    <w:p w:rsidR="00207E82" w:rsidRPr="00305462" w:rsidRDefault="00207E82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U pacientok s miern</w:t>
      </w:r>
      <w:r w:rsidR="00DD60BE" w:rsidRPr="00305462">
        <w:rPr>
          <w:szCs w:val="22"/>
          <w:lang w:val="sk-SK" w:eastAsia="sk-SK"/>
        </w:rPr>
        <w:t>ou</w:t>
      </w:r>
      <w:r w:rsidRPr="00305462">
        <w:rPr>
          <w:szCs w:val="22"/>
          <w:lang w:val="sk-SK" w:eastAsia="sk-SK"/>
        </w:rPr>
        <w:t xml:space="preserve"> alebo stredne závažn</w:t>
      </w:r>
      <w:r w:rsidR="00DD60BE" w:rsidRPr="00305462">
        <w:rPr>
          <w:szCs w:val="22"/>
          <w:lang w:val="sk-SK" w:eastAsia="sk-SK"/>
        </w:rPr>
        <w:t>ou</w:t>
      </w:r>
      <w:r w:rsidRPr="00305462">
        <w:rPr>
          <w:szCs w:val="22"/>
          <w:lang w:val="sk-SK" w:eastAsia="sk-SK"/>
        </w:rPr>
        <w:t xml:space="preserve"> </w:t>
      </w:r>
      <w:r w:rsidR="00DD60BE" w:rsidRPr="00305462">
        <w:rPr>
          <w:szCs w:val="22"/>
          <w:lang w:val="sk-SK" w:eastAsia="sk-SK"/>
        </w:rPr>
        <w:t>poruchou</w:t>
      </w:r>
      <w:r w:rsidRPr="00305462">
        <w:rPr>
          <w:szCs w:val="22"/>
          <w:lang w:val="sk-SK" w:eastAsia="sk-SK"/>
        </w:rPr>
        <w:t xml:space="preserve"> funkcie obličiek, u ktorých je sérový</w:t>
      </w:r>
    </w:p>
    <w:p w:rsidR="00124C9C" w:rsidRPr="00305462" w:rsidRDefault="00207E82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lang w:val="sk-SK" w:eastAsia="pt-PT"/>
        </w:rPr>
      </w:pPr>
      <w:proofErr w:type="spellStart"/>
      <w:r w:rsidRPr="00305462">
        <w:rPr>
          <w:szCs w:val="22"/>
          <w:lang w:val="sk-SK" w:eastAsia="sk-SK"/>
        </w:rPr>
        <w:t>kreatinín</w:t>
      </w:r>
      <w:proofErr w:type="spellEnd"/>
      <w:r w:rsidRPr="00305462">
        <w:rPr>
          <w:szCs w:val="22"/>
          <w:lang w:val="sk-SK" w:eastAsia="sk-SK"/>
        </w:rPr>
        <w:t xml:space="preserve"> rovný alebo nižší ako 200 </w:t>
      </w:r>
      <w:proofErr w:type="spellStart"/>
      <w:r w:rsidRPr="00305462">
        <w:rPr>
          <w:szCs w:val="22"/>
          <w:lang w:val="sk-SK" w:eastAsia="sk-SK"/>
        </w:rPr>
        <w:t>μmol</w:t>
      </w:r>
      <w:proofErr w:type="spellEnd"/>
      <w:r w:rsidRPr="00305462">
        <w:rPr>
          <w:szCs w:val="22"/>
          <w:lang w:val="sk-SK" w:eastAsia="sk-SK"/>
        </w:rPr>
        <w:t xml:space="preserve">/l (2,3 mg/dl) alebo u ktorých je </w:t>
      </w:r>
      <w:proofErr w:type="spellStart"/>
      <w:r w:rsidRPr="00305462">
        <w:rPr>
          <w:szCs w:val="22"/>
          <w:lang w:val="sk-SK" w:eastAsia="sk-SK"/>
        </w:rPr>
        <w:t>klírens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kreatinínu</w:t>
      </w:r>
      <w:proofErr w:type="spellEnd"/>
      <w:r w:rsidRPr="00305462">
        <w:rPr>
          <w:szCs w:val="22"/>
          <w:lang w:val="sk-SK" w:eastAsia="sk-SK"/>
        </w:rPr>
        <w:t xml:space="preserve"> (</w:t>
      </w:r>
      <w:r w:rsidR="007147B4" w:rsidRPr="00305462">
        <w:rPr>
          <w:szCs w:val="22"/>
          <w:lang w:val="sk-SK" w:eastAsia="sk-SK"/>
        </w:rPr>
        <w:t>na</w:t>
      </w:r>
      <w:r w:rsidRPr="00305462">
        <w:rPr>
          <w:szCs w:val="22"/>
          <w:lang w:val="sk-SK" w:eastAsia="sk-SK"/>
        </w:rPr>
        <w:t>meraný</w:t>
      </w:r>
      <w:r w:rsidR="001B0B36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alebo predpokladaný) rovný alebo vyšší ako 30 ml/min, nie je potrebné upraviť dávku.</w:t>
      </w:r>
      <w:r w:rsidR="00124C9C" w:rsidRPr="00305462">
        <w:rPr>
          <w:rStyle w:val="FontStyle21"/>
          <w:sz w:val="22"/>
          <w:szCs w:val="22"/>
          <w:lang w:val="sk-SK" w:eastAsia="pt-PT"/>
        </w:rPr>
        <w:t xml:space="preserve"> </w:t>
      </w:r>
    </w:p>
    <w:p w:rsidR="00270967" w:rsidRPr="00305462" w:rsidRDefault="00270967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685474" w:rsidRPr="00305462" w:rsidRDefault="00685474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i/>
          <w:sz w:val="22"/>
          <w:szCs w:val="22"/>
          <w:lang w:val="sk-SK" w:eastAsia="pt-PT"/>
        </w:rPr>
      </w:pPr>
      <w:r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Pa</w:t>
      </w:r>
      <w:r w:rsidR="001B0B36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cientky s poruchou funkcie pečene</w:t>
      </w:r>
      <w:r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 xml:space="preserve"> </w:t>
      </w:r>
    </w:p>
    <w:p w:rsidR="00685474" w:rsidRPr="00305462" w:rsidRDefault="001B0B36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sz w:val="22"/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>Nie je potrebné upraviť dávku (pozri časť 5.2).</w:t>
      </w:r>
    </w:p>
    <w:p w:rsidR="00581DAF" w:rsidRPr="00305462" w:rsidRDefault="00581DAF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i/>
          <w:sz w:val="22"/>
          <w:szCs w:val="22"/>
          <w:lang w:val="sk-SK" w:eastAsia="pt-PT"/>
        </w:rPr>
      </w:pPr>
    </w:p>
    <w:p w:rsidR="00685474" w:rsidRPr="00305462" w:rsidRDefault="001B52F0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i/>
          <w:sz w:val="22"/>
          <w:szCs w:val="22"/>
          <w:lang w:val="sk-SK" w:eastAsia="pt-PT"/>
        </w:rPr>
      </w:pPr>
      <w:r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S</w:t>
      </w:r>
      <w:r w:rsidR="00581DAF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tarši</w:t>
      </w:r>
      <w:r w:rsidR="00DD60BE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 xml:space="preserve">e </w:t>
      </w:r>
      <w:r w:rsidR="00581DAF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pacientky</w:t>
      </w:r>
      <w:r w:rsidR="00685474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 xml:space="preserve"> </w:t>
      </w:r>
      <w:r w:rsidR="00124C9C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 xml:space="preserve">(&gt; 65 </w:t>
      </w:r>
      <w:r w:rsidR="00581DAF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rokov</w:t>
      </w:r>
      <w:r w:rsidR="00124C9C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)</w:t>
      </w:r>
    </w:p>
    <w:p w:rsidR="00581DAF" w:rsidRPr="00305462" w:rsidRDefault="00581DAF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sz w:val="22"/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>Nie je potrebné upraviť dávku (pozri časť 5.2).</w:t>
      </w:r>
    </w:p>
    <w:p w:rsidR="00685474" w:rsidRPr="00305462" w:rsidRDefault="00685474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sz w:val="22"/>
          <w:szCs w:val="22"/>
          <w:lang w:val="sk-SK" w:eastAsia="pt-PT"/>
        </w:rPr>
      </w:pPr>
    </w:p>
    <w:p w:rsidR="00685474" w:rsidRPr="00305462" w:rsidRDefault="00685474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sz w:val="22"/>
          <w:szCs w:val="22"/>
          <w:u w:val="single"/>
          <w:lang w:val="sk-SK" w:eastAsia="pt-PT"/>
        </w:rPr>
      </w:pPr>
      <w:r w:rsidRPr="00305462">
        <w:rPr>
          <w:rStyle w:val="FontStyle21"/>
          <w:rFonts w:eastAsia="MS Mincho"/>
          <w:sz w:val="22"/>
          <w:szCs w:val="22"/>
          <w:u w:val="single"/>
          <w:lang w:val="sk-SK" w:eastAsia="pt-PT"/>
        </w:rPr>
        <w:t>P</w:t>
      </w:r>
      <w:r w:rsidR="00581DAF" w:rsidRPr="00305462">
        <w:rPr>
          <w:rStyle w:val="FontStyle21"/>
          <w:rFonts w:eastAsia="MS Mincho"/>
          <w:sz w:val="22"/>
          <w:szCs w:val="22"/>
          <w:u w:val="single"/>
          <w:lang w:val="sk-SK" w:eastAsia="pt-PT"/>
        </w:rPr>
        <w:t>ediatrická populácia</w:t>
      </w:r>
    </w:p>
    <w:p w:rsidR="00685474" w:rsidRPr="00305462" w:rsidRDefault="00581DAF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Použitie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nie je opodstatnené u detí do 18 rokov, kyselina </w:t>
      </w:r>
      <w:proofErr w:type="spellStart"/>
      <w:r w:rsidRPr="00305462">
        <w:rPr>
          <w:szCs w:val="22"/>
          <w:lang w:val="sk-SK" w:eastAsia="sk-SK"/>
        </w:rPr>
        <w:t>i</w:t>
      </w:r>
      <w:r w:rsidR="001B52F0" w:rsidRPr="00305462">
        <w:rPr>
          <w:szCs w:val="22"/>
          <w:lang w:val="sk-SK" w:eastAsia="sk-SK"/>
        </w:rPr>
        <w:t>b</w:t>
      </w:r>
      <w:r w:rsidRPr="00305462">
        <w:rPr>
          <w:szCs w:val="22"/>
          <w:lang w:val="sk-SK" w:eastAsia="sk-SK"/>
        </w:rPr>
        <w:t>andrónová</w:t>
      </w:r>
      <w:proofErr w:type="spellEnd"/>
      <w:r w:rsidRPr="00305462">
        <w:rPr>
          <w:szCs w:val="22"/>
          <w:lang w:val="sk-SK" w:eastAsia="sk-SK"/>
        </w:rPr>
        <w:t xml:space="preserve"> sa neskúmala u </w:t>
      </w:r>
      <w:r w:rsidR="008B01B6" w:rsidRPr="00305462">
        <w:rPr>
          <w:szCs w:val="22"/>
          <w:lang w:val="sk-SK" w:eastAsia="sk-SK"/>
        </w:rPr>
        <w:t>tejto</w:t>
      </w:r>
      <w:r w:rsidRPr="00305462">
        <w:rPr>
          <w:szCs w:val="22"/>
          <w:lang w:val="sk-SK" w:eastAsia="sk-SK"/>
        </w:rPr>
        <w:t xml:space="preserve"> populácie</w:t>
      </w:r>
      <w:r w:rsidR="00E25480" w:rsidRPr="00305462">
        <w:rPr>
          <w:szCs w:val="22"/>
          <w:lang w:val="sk-SK" w:eastAsia="sk-SK"/>
        </w:rPr>
        <w:t xml:space="preserve"> (pozri časť 5.1 a časť 5.2).</w:t>
      </w:r>
    </w:p>
    <w:p w:rsidR="00685474" w:rsidRPr="00305462" w:rsidRDefault="00685474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sz w:val="22"/>
          <w:szCs w:val="22"/>
          <w:lang w:val="sk-SK" w:eastAsia="pt-PT"/>
        </w:rPr>
      </w:pPr>
    </w:p>
    <w:p w:rsidR="00685474" w:rsidRPr="00305462" w:rsidRDefault="00E25480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sz w:val="22"/>
          <w:szCs w:val="22"/>
          <w:u w:val="single"/>
          <w:lang w:val="sk-SK" w:eastAsia="pt-PT"/>
        </w:rPr>
      </w:pPr>
      <w:r w:rsidRPr="00305462">
        <w:rPr>
          <w:rStyle w:val="FontStyle21"/>
          <w:rFonts w:eastAsia="MS Mincho"/>
          <w:sz w:val="22"/>
          <w:szCs w:val="22"/>
          <w:u w:val="single"/>
          <w:lang w:val="sk-SK" w:eastAsia="pt-PT"/>
        </w:rPr>
        <w:t>Spôsob podávania</w:t>
      </w:r>
    </w:p>
    <w:p w:rsidR="00685474" w:rsidRPr="00305462" w:rsidRDefault="00E25480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sz w:val="22"/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>Na intravenózne použitie počas 15 - 30 sekúnd, každé tri mesi</w:t>
      </w:r>
      <w:r w:rsidR="001B52F0" w:rsidRPr="00305462">
        <w:rPr>
          <w:szCs w:val="22"/>
          <w:lang w:val="sk-SK" w:eastAsia="sk-SK"/>
        </w:rPr>
        <w:t>a</w:t>
      </w:r>
      <w:r w:rsidRPr="00305462">
        <w:rPr>
          <w:szCs w:val="22"/>
          <w:lang w:val="sk-SK" w:eastAsia="sk-SK"/>
        </w:rPr>
        <w:t>ce.</w:t>
      </w:r>
    </w:p>
    <w:p w:rsidR="00685474" w:rsidRPr="00305462" w:rsidRDefault="00685474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sz w:val="22"/>
          <w:szCs w:val="22"/>
          <w:lang w:val="sk-SK" w:eastAsia="pt-PT"/>
        </w:rPr>
      </w:pPr>
    </w:p>
    <w:p w:rsidR="00685474" w:rsidRPr="00305462" w:rsidRDefault="00E25480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Fonts w:cs="Times New Roman"/>
          <w:sz w:val="22"/>
          <w:szCs w:val="22"/>
          <w:lang w:val="sk-SK" w:eastAsia="sk-SK"/>
        </w:rPr>
        <w:t>Je potrebné prísne dodržiavať intravenózny spôsob podania (pozri časť 4.4).</w:t>
      </w:r>
    </w:p>
    <w:p w:rsidR="00685474" w:rsidRPr="00305462" w:rsidRDefault="00685474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705DC5" w:rsidRPr="00305462" w:rsidRDefault="00705DC5" w:rsidP="004A7BEA">
      <w:pPr>
        <w:pStyle w:val="Style4"/>
        <w:widowControl/>
        <w:tabs>
          <w:tab w:val="left" w:pos="567"/>
        </w:tabs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 xml:space="preserve">4.3 </w:t>
      </w:r>
      <w:r w:rsidR="00E25480" w:rsidRPr="00305462">
        <w:rPr>
          <w:rStyle w:val="FontStyle21"/>
          <w:b/>
          <w:sz w:val="22"/>
          <w:szCs w:val="22"/>
          <w:lang w:val="sk-SK" w:eastAsia="pt-PT"/>
        </w:rPr>
        <w:tab/>
        <w:t>Kontraindikácie</w:t>
      </w:r>
    </w:p>
    <w:p w:rsidR="00CC056F" w:rsidRPr="00305462" w:rsidRDefault="00CC056F" w:rsidP="004A7BEA">
      <w:pPr>
        <w:pStyle w:val="Style4"/>
        <w:widowControl/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</w:p>
    <w:p w:rsidR="007C56D9" w:rsidRPr="00305462" w:rsidRDefault="007C56D9" w:rsidP="004A7BEA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-</w:t>
      </w:r>
      <w:r w:rsidRPr="00305462">
        <w:rPr>
          <w:szCs w:val="22"/>
          <w:lang w:val="sk-SK" w:eastAsia="sk-SK"/>
        </w:rPr>
        <w:tab/>
        <w:t xml:space="preserve">Precitlivenosť na kyselinu </w:t>
      </w:r>
      <w:proofErr w:type="spellStart"/>
      <w:r w:rsidRPr="00305462">
        <w:rPr>
          <w:szCs w:val="22"/>
          <w:lang w:val="sk-SK" w:eastAsia="sk-SK"/>
        </w:rPr>
        <w:t>ibandrónovú</w:t>
      </w:r>
      <w:proofErr w:type="spellEnd"/>
      <w:r w:rsidRPr="00305462">
        <w:rPr>
          <w:szCs w:val="22"/>
          <w:lang w:val="sk-SK" w:eastAsia="sk-SK"/>
        </w:rPr>
        <w:t xml:space="preserve"> alebo na ktorúkoľvek z pomocných látok uvedených</w:t>
      </w:r>
    </w:p>
    <w:p w:rsidR="007C56D9" w:rsidRPr="00305462" w:rsidRDefault="007C56D9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284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v časti 6.1.</w:t>
      </w:r>
    </w:p>
    <w:p w:rsidR="00685474" w:rsidRPr="00305462" w:rsidRDefault="007C56D9" w:rsidP="004A7BEA">
      <w:pPr>
        <w:pStyle w:val="Style4"/>
        <w:widowControl/>
        <w:numPr>
          <w:ilvl w:val="0"/>
          <w:numId w:val="41"/>
        </w:numPr>
        <w:tabs>
          <w:tab w:val="left" w:pos="284"/>
        </w:tabs>
        <w:spacing w:before="14" w:line="250" w:lineRule="exact"/>
        <w:ind w:left="284" w:hanging="284"/>
        <w:jc w:val="both"/>
        <w:rPr>
          <w:rFonts w:eastAsia="Times New Roman" w:cs="Times New Roman"/>
          <w:color w:val="000000"/>
          <w:sz w:val="22"/>
          <w:szCs w:val="22"/>
          <w:lang w:val="sk-SK" w:eastAsia="pt-PT"/>
        </w:rPr>
      </w:pPr>
      <w:proofErr w:type="spellStart"/>
      <w:r w:rsidRPr="00305462">
        <w:rPr>
          <w:rFonts w:cs="Times New Roman"/>
          <w:sz w:val="22"/>
          <w:szCs w:val="22"/>
          <w:lang w:val="sk-SK" w:eastAsia="sk-SK"/>
        </w:rPr>
        <w:t>Hypokalciémia</w:t>
      </w:r>
      <w:proofErr w:type="spellEnd"/>
      <w:r w:rsidRPr="00305462">
        <w:rPr>
          <w:rFonts w:cs="Times New Roman"/>
          <w:sz w:val="22"/>
          <w:szCs w:val="22"/>
          <w:lang w:val="sk-SK" w:eastAsia="sk-SK"/>
        </w:rPr>
        <w:t>.</w:t>
      </w:r>
    </w:p>
    <w:p w:rsidR="00685474" w:rsidRPr="00305462" w:rsidRDefault="00685474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705DC5" w:rsidRPr="00305462" w:rsidRDefault="00705DC5" w:rsidP="004A7BEA">
      <w:pPr>
        <w:pStyle w:val="Style4"/>
        <w:widowControl/>
        <w:tabs>
          <w:tab w:val="left" w:pos="567"/>
        </w:tabs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>4.4</w:t>
      </w:r>
      <w:r w:rsidR="00E21705" w:rsidRPr="00305462">
        <w:rPr>
          <w:rStyle w:val="FontStyle21"/>
          <w:b/>
          <w:sz w:val="22"/>
          <w:szCs w:val="22"/>
          <w:lang w:val="sk-SK" w:eastAsia="pt-PT"/>
        </w:rPr>
        <w:tab/>
        <w:t>Osobitné upozornenia a opatrenia pri používaní</w:t>
      </w:r>
    </w:p>
    <w:p w:rsidR="00CC056F" w:rsidRPr="00305462" w:rsidRDefault="00CC056F" w:rsidP="004A7BEA">
      <w:pPr>
        <w:pStyle w:val="Style4"/>
        <w:widowControl/>
        <w:spacing w:line="240" w:lineRule="auto"/>
        <w:jc w:val="both"/>
        <w:rPr>
          <w:rStyle w:val="FontStyle21"/>
          <w:b/>
          <w:sz w:val="22"/>
          <w:szCs w:val="22"/>
          <w:lang w:val="sk-SK" w:eastAsia="pt-PT"/>
        </w:rPr>
      </w:pPr>
    </w:p>
    <w:p w:rsidR="00685474" w:rsidRPr="00305462" w:rsidRDefault="00E21705" w:rsidP="004A7BEA">
      <w:pPr>
        <w:pStyle w:val="Style4"/>
        <w:widowControl/>
        <w:spacing w:before="14" w:line="250" w:lineRule="exact"/>
        <w:jc w:val="both"/>
        <w:rPr>
          <w:rStyle w:val="FontStyle21"/>
          <w:i/>
          <w:sz w:val="22"/>
          <w:szCs w:val="22"/>
          <w:lang w:val="sk-SK" w:eastAsia="pt-PT"/>
        </w:rPr>
      </w:pPr>
      <w:r w:rsidRPr="00305462">
        <w:rPr>
          <w:rFonts w:cs="Times New Roman"/>
          <w:i/>
          <w:sz w:val="22"/>
          <w:szCs w:val="22"/>
          <w:lang w:val="sk-SK" w:eastAsia="sk-SK"/>
        </w:rPr>
        <w:t>Nesprávne podanie</w:t>
      </w:r>
    </w:p>
    <w:p w:rsidR="00685474" w:rsidRPr="00305462" w:rsidRDefault="00E21705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Musí sa dávať </w:t>
      </w:r>
      <w:r w:rsidR="00CC62B7" w:rsidRPr="00305462">
        <w:rPr>
          <w:szCs w:val="22"/>
          <w:lang w:val="sk-SK" w:eastAsia="sk-SK"/>
        </w:rPr>
        <w:t xml:space="preserve">pozor, aby sa injekcia kyseliny </w:t>
      </w:r>
      <w:proofErr w:type="spellStart"/>
      <w:r w:rsidR="00CC62B7"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nepodala </w:t>
      </w:r>
      <w:proofErr w:type="spellStart"/>
      <w:r w:rsidRPr="00305462">
        <w:rPr>
          <w:szCs w:val="22"/>
          <w:lang w:val="sk-SK" w:eastAsia="sk-SK"/>
        </w:rPr>
        <w:t>intraarteriálne</w:t>
      </w:r>
      <w:proofErr w:type="spellEnd"/>
      <w:r w:rsidRPr="00305462">
        <w:rPr>
          <w:szCs w:val="22"/>
          <w:lang w:val="sk-SK" w:eastAsia="sk-SK"/>
        </w:rPr>
        <w:t xml:space="preserve"> alebo </w:t>
      </w:r>
      <w:proofErr w:type="spellStart"/>
      <w:r w:rsidRPr="00305462">
        <w:rPr>
          <w:szCs w:val="22"/>
          <w:lang w:val="sk-SK" w:eastAsia="sk-SK"/>
        </w:rPr>
        <w:t>paravenózne</w:t>
      </w:r>
      <w:proofErr w:type="spellEnd"/>
      <w:r w:rsidRPr="00305462">
        <w:rPr>
          <w:szCs w:val="22"/>
          <w:lang w:val="sk-SK" w:eastAsia="sk-SK"/>
        </w:rPr>
        <w:t>, pretože to</w:t>
      </w:r>
      <w:r w:rsidR="00CC62B7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môže viesť k poškodeniu tkaniva.</w:t>
      </w:r>
      <w:r w:rsidR="00685474" w:rsidRPr="00305462">
        <w:rPr>
          <w:rStyle w:val="FontStyle21"/>
          <w:sz w:val="22"/>
          <w:szCs w:val="22"/>
          <w:lang w:val="sk-SK" w:eastAsia="pt-PT"/>
        </w:rPr>
        <w:t xml:space="preserve"> </w:t>
      </w:r>
    </w:p>
    <w:p w:rsidR="00811E01" w:rsidRPr="00305462" w:rsidRDefault="00811E01" w:rsidP="004A7BEA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3A434B" w:rsidRPr="00305462" w:rsidRDefault="003A434B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sk-SK"/>
        </w:rPr>
      </w:pPr>
      <w:proofErr w:type="spellStart"/>
      <w:r w:rsidRPr="00305462">
        <w:rPr>
          <w:i/>
          <w:szCs w:val="22"/>
          <w:lang w:val="sk-SK" w:eastAsia="sk-SK"/>
        </w:rPr>
        <w:t>Hypokalciémia</w:t>
      </w:r>
      <w:proofErr w:type="spellEnd"/>
    </w:p>
    <w:p w:rsidR="003A434B" w:rsidRPr="00305462" w:rsidRDefault="003A434B" w:rsidP="004A7B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, tak ako ostatné </w:t>
      </w:r>
      <w:proofErr w:type="spellStart"/>
      <w:r w:rsidRPr="00305462">
        <w:rPr>
          <w:szCs w:val="22"/>
          <w:lang w:val="sk-SK" w:eastAsia="sk-SK"/>
        </w:rPr>
        <w:t>bisfosfonáty</w:t>
      </w:r>
      <w:proofErr w:type="spellEnd"/>
      <w:r w:rsidRPr="00305462">
        <w:rPr>
          <w:szCs w:val="22"/>
          <w:lang w:val="sk-SK" w:eastAsia="sk-SK"/>
        </w:rPr>
        <w:t xml:space="preserve"> podávané intravenózne, môže spôsobiť prechodný pokles hodnôt vápnika v sére.</w:t>
      </w:r>
    </w:p>
    <w:p w:rsidR="003A434B" w:rsidRPr="00305462" w:rsidRDefault="003A434B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Pred injekčnou liečbou kyselinou </w:t>
      </w:r>
      <w:proofErr w:type="spellStart"/>
      <w:r w:rsidRPr="00305462">
        <w:rPr>
          <w:szCs w:val="22"/>
          <w:lang w:val="sk-SK" w:eastAsia="sk-SK"/>
        </w:rPr>
        <w:t>ibandrónovou</w:t>
      </w:r>
      <w:proofErr w:type="spellEnd"/>
      <w:r w:rsidRPr="00305462">
        <w:rPr>
          <w:szCs w:val="22"/>
          <w:lang w:val="sk-SK" w:eastAsia="sk-SK"/>
        </w:rPr>
        <w:t xml:space="preserve"> sa musí upraviť už existujúca </w:t>
      </w:r>
      <w:proofErr w:type="spellStart"/>
      <w:r w:rsidRPr="00305462">
        <w:rPr>
          <w:szCs w:val="22"/>
          <w:lang w:val="sk-SK" w:eastAsia="sk-SK"/>
        </w:rPr>
        <w:t>hypokalciémia</w:t>
      </w:r>
      <w:proofErr w:type="spellEnd"/>
      <w:r w:rsidRPr="00305462">
        <w:rPr>
          <w:szCs w:val="22"/>
          <w:lang w:val="sk-SK" w:eastAsia="sk-SK"/>
        </w:rPr>
        <w:t xml:space="preserve">. Skôr ako sa začne injekčná liečba kyselinou </w:t>
      </w:r>
      <w:proofErr w:type="spellStart"/>
      <w:r w:rsidRPr="00305462">
        <w:rPr>
          <w:szCs w:val="22"/>
          <w:lang w:val="sk-SK" w:eastAsia="sk-SK"/>
        </w:rPr>
        <w:t>ibandrónovou</w:t>
      </w:r>
      <w:proofErr w:type="spellEnd"/>
      <w:r w:rsidRPr="00305462">
        <w:rPr>
          <w:szCs w:val="22"/>
          <w:lang w:val="sk-SK" w:eastAsia="sk-SK"/>
        </w:rPr>
        <w:t>, majú sa účinne liečiť aj ďalšie poruchy kostí a metabolizmu minerálov.</w:t>
      </w:r>
    </w:p>
    <w:p w:rsidR="003A434B" w:rsidRPr="00305462" w:rsidRDefault="003A434B" w:rsidP="00662679">
      <w:pPr>
        <w:pStyle w:val="Style4"/>
        <w:widowControl/>
        <w:spacing w:line="240" w:lineRule="auto"/>
        <w:jc w:val="both"/>
        <w:rPr>
          <w:rFonts w:cs="Times New Roman"/>
          <w:sz w:val="22"/>
          <w:szCs w:val="22"/>
          <w:lang w:val="sk-SK" w:eastAsia="sk-SK"/>
        </w:rPr>
      </w:pPr>
    </w:p>
    <w:p w:rsidR="00685474" w:rsidRPr="00305462" w:rsidRDefault="003A434B" w:rsidP="00662679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Fonts w:cs="Times New Roman"/>
          <w:sz w:val="22"/>
          <w:szCs w:val="22"/>
          <w:lang w:val="sk-SK" w:eastAsia="sk-SK"/>
        </w:rPr>
        <w:t>Všetkým pacientk</w:t>
      </w:r>
      <w:r w:rsidR="00F76974" w:rsidRPr="00305462">
        <w:rPr>
          <w:rFonts w:cs="Times New Roman"/>
          <w:sz w:val="22"/>
          <w:szCs w:val="22"/>
          <w:lang w:val="sk-SK" w:eastAsia="sk-SK"/>
        </w:rPr>
        <w:t>a</w:t>
      </w:r>
      <w:r w:rsidRPr="00305462">
        <w:rPr>
          <w:rFonts w:cs="Times New Roman"/>
          <w:sz w:val="22"/>
          <w:szCs w:val="22"/>
          <w:lang w:val="sk-SK" w:eastAsia="sk-SK"/>
        </w:rPr>
        <w:t>m sa musí primerane dopĺňať vápnik a vitamín D.</w:t>
      </w:r>
      <w:r w:rsidR="00685474" w:rsidRPr="00305462">
        <w:rPr>
          <w:rStyle w:val="FontStyle21"/>
          <w:sz w:val="22"/>
          <w:szCs w:val="22"/>
          <w:lang w:val="sk-SK" w:eastAsia="pt-PT"/>
        </w:rPr>
        <w:t xml:space="preserve"> </w:t>
      </w:r>
    </w:p>
    <w:p w:rsidR="00811E01" w:rsidRPr="00305462" w:rsidRDefault="00811E01" w:rsidP="00662679">
      <w:pPr>
        <w:pStyle w:val="Style4"/>
        <w:widowControl/>
        <w:spacing w:line="240" w:lineRule="auto"/>
        <w:jc w:val="both"/>
        <w:rPr>
          <w:rStyle w:val="FontStyle21"/>
          <w:sz w:val="22"/>
          <w:szCs w:val="22"/>
          <w:lang w:val="sk-SK" w:eastAsia="pt-PT"/>
        </w:rPr>
      </w:pPr>
    </w:p>
    <w:p w:rsidR="00F4422E" w:rsidRPr="00305462" w:rsidRDefault="00F4422E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i/>
          <w:sz w:val="22"/>
          <w:szCs w:val="22"/>
          <w:lang w:val="sk-SK" w:eastAsia="pt-PT"/>
        </w:rPr>
      </w:pPr>
      <w:proofErr w:type="spellStart"/>
      <w:r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Ana</w:t>
      </w:r>
      <w:r w:rsidR="00B1530F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fylaktická</w:t>
      </w:r>
      <w:proofErr w:type="spellEnd"/>
      <w:r w:rsidR="00B1530F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 xml:space="preserve"> reakcie</w:t>
      </w:r>
      <w:r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/</w:t>
      </w:r>
      <w:r w:rsidR="00B1530F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šok</w:t>
      </w:r>
    </w:p>
    <w:p w:rsidR="00B1530F" w:rsidRPr="00305462" w:rsidRDefault="00B1530F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Prípady </w:t>
      </w:r>
      <w:proofErr w:type="spellStart"/>
      <w:r w:rsidRPr="00305462">
        <w:rPr>
          <w:szCs w:val="22"/>
          <w:lang w:val="sk-SK" w:eastAsia="sk-SK"/>
        </w:rPr>
        <w:t>anafylaktickej</w:t>
      </w:r>
      <w:proofErr w:type="spellEnd"/>
      <w:r w:rsidRPr="00305462">
        <w:rPr>
          <w:szCs w:val="22"/>
          <w:lang w:val="sk-SK" w:eastAsia="sk-SK"/>
        </w:rPr>
        <w:t xml:space="preserve"> reakcie/šoku, vrátane fatálnych prípadov, boli hlásené u pacient</w:t>
      </w:r>
      <w:r w:rsidR="00FE0C99" w:rsidRPr="00305462">
        <w:rPr>
          <w:szCs w:val="22"/>
          <w:lang w:val="sk-SK" w:eastAsia="sk-SK"/>
        </w:rPr>
        <w:t>o</w:t>
      </w:r>
      <w:r w:rsidRPr="00305462">
        <w:rPr>
          <w:szCs w:val="22"/>
          <w:lang w:val="sk-SK" w:eastAsia="sk-SK"/>
        </w:rPr>
        <w:t>k liečených</w:t>
      </w:r>
    </w:p>
    <w:p w:rsidR="00B1530F" w:rsidRPr="00305462" w:rsidRDefault="00B1530F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intravenózne podávanou kyselinou </w:t>
      </w:r>
      <w:proofErr w:type="spellStart"/>
      <w:r w:rsidRPr="00305462">
        <w:rPr>
          <w:szCs w:val="22"/>
          <w:lang w:val="sk-SK" w:eastAsia="sk-SK"/>
        </w:rPr>
        <w:t>ibandrónovou</w:t>
      </w:r>
      <w:proofErr w:type="spellEnd"/>
      <w:r w:rsidRPr="00305462">
        <w:rPr>
          <w:szCs w:val="22"/>
          <w:lang w:val="sk-SK" w:eastAsia="sk-SK"/>
        </w:rPr>
        <w:t>.</w:t>
      </w:r>
    </w:p>
    <w:p w:rsidR="00F4422E" w:rsidRPr="00305462" w:rsidRDefault="00B1530F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Pri podávaní intravenóznej injekcie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má byť k dispozícii zodpovedajúca lekárska pomoc a monitorovacie prístroje. Ak sa vyskytne </w:t>
      </w:r>
      <w:proofErr w:type="spellStart"/>
      <w:r w:rsidRPr="00305462">
        <w:rPr>
          <w:szCs w:val="22"/>
          <w:lang w:val="sk-SK" w:eastAsia="sk-SK"/>
        </w:rPr>
        <w:t>anafylaktická</w:t>
      </w:r>
      <w:proofErr w:type="spellEnd"/>
      <w:r w:rsidRPr="00305462">
        <w:rPr>
          <w:szCs w:val="22"/>
          <w:lang w:val="sk-SK" w:eastAsia="sk-SK"/>
        </w:rPr>
        <w:t xml:space="preserve"> reakcia alebo iné závažné reakcie z precitlivenosti/alergické reakcie, podávanie injekcie treba okamžite prerušiť a zahájiť vhodnú liečbu.</w:t>
      </w:r>
    </w:p>
    <w:p w:rsidR="00F4422E" w:rsidRPr="00305462" w:rsidRDefault="00F4422E" w:rsidP="00662679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F4422E" w:rsidRPr="00305462" w:rsidRDefault="007874D1" w:rsidP="00662679">
      <w:pPr>
        <w:pStyle w:val="Style4"/>
        <w:widowControl/>
        <w:spacing w:before="14" w:line="250" w:lineRule="exact"/>
        <w:jc w:val="both"/>
        <w:rPr>
          <w:rStyle w:val="FontStyle21"/>
          <w:i/>
          <w:sz w:val="22"/>
          <w:szCs w:val="22"/>
          <w:lang w:val="sk-SK" w:eastAsia="pt-PT"/>
        </w:rPr>
      </w:pPr>
      <w:r w:rsidRPr="00305462">
        <w:rPr>
          <w:rStyle w:val="FontStyle21"/>
          <w:i/>
          <w:sz w:val="22"/>
          <w:szCs w:val="22"/>
          <w:lang w:val="sk-SK" w:eastAsia="pt-PT"/>
        </w:rPr>
        <w:t>Porucha funkcie obličiek</w:t>
      </w:r>
    </w:p>
    <w:p w:rsidR="007874D1" w:rsidRPr="00305462" w:rsidRDefault="007874D1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Pacientky so sprievodnými ochoreniami alebo ktoré súbežne užívajú iné lieky, ktoré môžu mať</w:t>
      </w:r>
    </w:p>
    <w:p w:rsidR="007874D1" w:rsidRPr="00305462" w:rsidRDefault="007874D1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nežiaduce účinky na obličky, sa majú počas liečby pravidelne kontrolovať v súlade s klinickou praxou.</w:t>
      </w:r>
    </w:p>
    <w:p w:rsidR="007874D1" w:rsidRPr="00305462" w:rsidRDefault="007874D1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</w:p>
    <w:p w:rsidR="00F4422E" w:rsidRPr="00305462" w:rsidRDefault="007874D1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lang w:val="sk-SK"/>
        </w:rPr>
      </w:pPr>
      <w:r w:rsidRPr="00305462">
        <w:rPr>
          <w:szCs w:val="22"/>
          <w:lang w:val="sk-SK" w:eastAsia="sk-SK"/>
        </w:rPr>
        <w:t xml:space="preserve">Vzhľadom na obmedzené klinické skúsenosti sa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neodporúča pacientk</w:t>
      </w:r>
      <w:r w:rsidR="00F76974" w:rsidRPr="00305462">
        <w:rPr>
          <w:szCs w:val="22"/>
          <w:lang w:val="sk-SK" w:eastAsia="sk-SK"/>
        </w:rPr>
        <w:t>a</w:t>
      </w:r>
      <w:r w:rsidRPr="00305462">
        <w:rPr>
          <w:szCs w:val="22"/>
          <w:lang w:val="sk-SK" w:eastAsia="sk-SK"/>
        </w:rPr>
        <w:t>m so sérovým</w:t>
      </w:r>
      <w:r w:rsidR="009F755B"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kreatinínom</w:t>
      </w:r>
      <w:proofErr w:type="spellEnd"/>
      <w:r w:rsidRPr="00305462">
        <w:rPr>
          <w:szCs w:val="22"/>
          <w:lang w:val="sk-SK" w:eastAsia="sk-SK"/>
        </w:rPr>
        <w:t xml:space="preserve"> vyšším ako 200 </w:t>
      </w:r>
      <w:proofErr w:type="spellStart"/>
      <w:r w:rsidRPr="00305462">
        <w:rPr>
          <w:szCs w:val="22"/>
          <w:lang w:val="sk-SK" w:eastAsia="sk-SK"/>
        </w:rPr>
        <w:t>μmol</w:t>
      </w:r>
      <w:proofErr w:type="spellEnd"/>
      <w:r w:rsidRPr="00305462">
        <w:rPr>
          <w:szCs w:val="22"/>
          <w:lang w:val="sk-SK" w:eastAsia="sk-SK"/>
        </w:rPr>
        <w:t xml:space="preserve">/l (2,3 mg/dl) alebo s </w:t>
      </w:r>
      <w:proofErr w:type="spellStart"/>
      <w:r w:rsidRPr="00305462">
        <w:rPr>
          <w:szCs w:val="22"/>
          <w:lang w:val="sk-SK" w:eastAsia="sk-SK"/>
        </w:rPr>
        <w:t>klírensom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="009F755B" w:rsidRPr="00305462">
        <w:rPr>
          <w:szCs w:val="22"/>
          <w:lang w:val="sk-SK" w:eastAsia="sk-SK"/>
        </w:rPr>
        <w:t>kreatinínu</w:t>
      </w:r>
      <w:proofErr w:type="spellEnd"/>
      <w:r w:rsidR="009F755B" w:rsidRPr="00305462">
        <w:rPr>
          <w:szCs w:val="22"/>
          <w:lang w:val="sk-SK" w:eastAsia="sk-SK"/>
        </w:rPr>
        <w:t xml:space="preserve"> nižším ako 30 ml/min </w:t>
      </w:r>
      <w:r w:rsidRPr="00305462">
        <w:rPr>
          <w:szCs w:val="22"/>
          <w:lang w:val="sk-SK" w:eastAsia="sk-SK"/>
        </w:rPr>
        <w:t>(pozri časť 4.2 a časť 5.2).</w:t>
      </w:r>
    </w:p>
    <w:p w:rsidR="00811E01" w:rsidRPr="00305462" w:rsidRDefault="00811E01" w:rsidP="00662679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F4422E" w:rsidRPr="00305462" w:rsidRDefault="00F4422E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i/>
          <w:sz w:val="22"/>
          <w:szCs w:val="22"/>
          <w:lang w:val="sk-SK" w:eastAsia="pt-PT"/>
        </w:rPr>
      </w:pPr>
      <w:r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Pa</w:t>
      </w:r>
      <w:r w:rsidR="009F755B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 xml:space="preserve">cientky s poruchou </w:t>
      </w:r>
      <w:r w:rsidR="007B311D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 xml:space="preserve">funkcie </w:t>
      </w:r>
      <w:r w:rsidR="009F755B" w:rsidRPr="00305462">
        <w:rPr>
          <w:rStyle w:val="FontStyle21"/>
          <w:rFonts w:eastAsia="MS Mincho"/>
          <w:i/>
          <w:sz w:val="22"/>
          <w:szCs w:val="22"/>
          <w:lang w:val="sk-SK" w:eastAsia="pt-PT"/>
        </w:rPr>
        <w:t>srdca</w:t>
      </w:r>
    </w:p>
    <w:p w:rsidR="00811E01" w:rsidRPr="00305462" w:rsidRDefault="009F755B" w:rsidP="00662679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Fonts w:cs="Times New Roman"/>
          <w:sz w:val="22"/>
          <w:szCs w:val="22"/>
          <w:lang w:val="sk-SK" w:eastAsia="sk-SK"/>
        </w:rPr>
        <w:t xml:space="preserve">U pacientok s rizikom srdcového zlyhávania treba zabrániť </w:t>
      </w:r>
      <w:proofErr w:type="spellStart"/>
      <w:r w:rsidRPr="00305462">
        <w:rPr>
          <w:rFonts w:cs="Times New Roman"/>
          <w:sz w:val="22"/>
          <w:szCs w:val="22"/>
          <w:lang w:val="sk-SK" w:eastAsia="sk-SK"/>
        </w:rPr>
        <w:t>prevodneniu</w:t>
      </w:r>
      <w:proofErr w:type="spellEnd"/>
      <w:r w:rsidRPr="00305462">
        <w:rPr>
          <w:rFonts w:cs="Times New Roman"/>
          <w:sz w:val="22"/>
          <w:szCs w:val="22"/>
          <w:lang w:val="sk-SK" w:eastAsia="sk-SK"/>
        </w:rPr>
        <w:t>.</w:t>
      </w:r>
    </w:p>
    <w:p w:rsidR="00685474" w:rsidRPr="00305462" w:rsidRDefault="00685474" w:rsidP="00662679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/>
        </w:rPr>
      </w:pPr>
    </w:p>
    <w:p w:rsidR="00685474" w:rsidRPr="00305462" w:rsidRDefault="009F755B" w:rsidP="00662679">
      <w:pPr>
        <w:pStyle w:val="Style4"/>
        <w:widowControl/>
        <w:spacing w:before="14" w:line="250" w:lineRule="exact"/>
        <w:jc w:val="both"/>
        <w:rPr>
          <w:rStyle w:val="FontStyle21"/>
          <w:i/>
          <w:sz w:val="22"/>
          <w:szCs w:val="22"/>
          <w:lang w:val="sk-SK" w:eastAsia="pt-PT"/>
        </w:rPr>
      </w:pPr>
      <w:proofErr w:type="spellStart"/>
      <w:r w:rsidRPr="00305462">
        <w:rPr>
          <w:rStyle w:val="FontStyle21"/>
          <w:i/>
          <w:sz w:val="22"/>
          <w:szCs w:val="22"/>
          <w:lang w:val="sk-SK" w:eastAsia="pt-PT"/>
        </w:rPr>
        <w:t>Osteonekróza</w:t>
      </w:r>
      <w:proofErr w:type="spellEnd"/>
      <w:r w:rsidRPr="00305462">
        <w:rPr>
          <w:rStyle w:val="FontStyle21"/>
          <w:i/>
          <w:sz w:val="22"/>
          <w:szCs w:val="22"/>
          <w:lang w:val="sk-SK" w:eastAsia="pt-PT"/>
        </w:rPr>
        <w:t xml:space="preserve"> če</w:t>
      </w:r>
      <w:r w:rsidR="000241DA" w:rsidRPr="00305462">
        <w:rPr>
          <w:rStyle w:val="FontStyle21"/>
          <w:i/>
          <w:sz w:val="22"/>
          <w:szCs w:val="22"/>
          <w:lang w:val="sk-SK" w:eastAsia="pt-PT"/>
        </w:rPr>
        <w:t>ľuste</w:t>
      </w:r>
    </w:p>
    <w:p w:rsidR="00811E01" w:rsidRPr="00305462" w:rsidRDefault="008B01B6" w:rsidP="00662679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U pacientok, ktoré dostávali </w:t>
      </w:r>
      <w:r w:rsidR="00D37618">
        <w:rPr>
          <w:szCs w:val="22"/>
          <w:lang w:val="sk-SK" w:eastAsia="sk-SK"/>
        </w:rPr>
        <w:t xml:space="preserve"> kyselinu </w:t>
      </w:r>
      <w:proofErr w:type="spellStart"/>
      <w:r w:rsidR="00D37618">
        <w:rPr>
          <w:szCs w:val="22"/>
          <w:lang w:val="sk-SK" w:eastAsia="sk-SK"/>
        </w:rPr>
        <w:t>i</w:t>
      </w:r>
      <w:r w:rsidRPr="00305462">
        <w:rPr>
          <w:szCs w:val="22"/>
          <w:lang w:val="sk-SK" w:eastAsia="sk-SK"/>
        </w:rPr>
        <w:t>bandr</w:t>
      </w:r>
      <w:r w:rsidR="00D37618">
        <w:rPr>
          <w:szCs w:val="22"/>
          <w:lang w:val="sk-SK" w:eastAsia="sk-SK"/>
        </w:rPr>
        <w:t>ó</w:t>
      </w:r>
      <w:r w:rsidRPr="00305462">
        <w:rPr>
          <w:szCs w:val="22"/>
          <w:lang w:val="sk-SK" w:eastAsia="sk-SK"/>
        </w:rPr>
        <w:t>n</w:t>
      </w:r>
      <w:r w:rsidR="00D37618">
        <w:rPr>
          <w:szCs w:val="22"/>
          <w:lang w:val="sk-SK" w:eastAsia="sk-SK"/>
        </w:rPr>
        <w:t>ovú</w:t>
      </w:r>
      <w:proofErr w:type="spellEnd"/>
      <w:r w:rsidRPr="00305462">
        <w:rPr>
          <w:szCs w:val="22"/>
          <w:lang w:val="sk-SK" w:eastAsia="sk-SK"/>
        </w:rPr>
        <w:t xml:space="preserve"> na liečbu </w:t>
      </w:r>
      <w:proofErr w:type="spellStart"/>
      <w:r w:rsidRPr="00305462">
        <w:rPr>
          <w:szCs w:val="22"/>
          <w:lang w:val="sk-SK" w:eastAsia="sk-SK"/>
        </w:rPr>
        <w:t>osteoporózy</w:t>
      </w:r>
      <w:proofErr w:type="spellEnd"/>
      <w:r w:rsidRPr="00305462">
        <w:rPr>
          <w:szCs w:val="22"/>
          <w:lang w:val="sk-SK" w:eastAsia="sk-SK"/>
        </w:rPr>
        <w:t xml:space="preserve">, bola </w:t>
      </w:r>
      <w:r w:rsidR="00C90840" w:rsidRPr="00305462">
        <w:rPr>
          <w:szCs w:val="22"/>
          <w:lang w:val="sk-SK" w:eastAsia="sk-SK"/>
        </w:rPr>
        <w:t xml:space="preserve">veľmi zriedkavo </w:t>
      </w:r>
      <w:r w:rsidRPr="00305462">
        <w:rPr>
          <w:szCs w:val="22"/>
          <w:lang w:val="sk-SK" w:eastAsia="sk-SK"/>
        </w:rPr>
        <w:t>hlásená</w:t>
      </w:r>
      <w:r w:rsidR="00C90840"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osteonekróza</w:t>
      </w:r>
      <w:proofErr w:type="spellEnd"/>
      <w:r w:rsidRPr="00305462">
        <w:rPr>
          <w:szCs w:val="22"/>
          <w:lang w:val="sk-SK" w:eastAsia="sk-SK"/>
        </w:rPr>
        <w:t xml:space="preserve"> čeľuste (ONJ)</w:t>
      </w:r>
      <w:r w:rsidR="00DC133A">
        <w:rPr>
          <w:szCs w:val="22"/>
          <w:lang w:val="sk-SK" w:eastAsia="sk-SK"/>
        </w:rPr>
        <w:t xml:space="preserve"> </w:t>
      </w:r>
      <w:r w:rsidR="00DC133A" w:rsidRPr="00305462">
        <w:rPr>
          <w:szCs w:val="22"/>
          <w:lang w:val="sk-SK" w:eastAsia="sk-SK"/>
        </w:rPr>
        <w:t>po uvedení lieku na trh</w:t>
      </w:r>
      <w:r w:rsidR="00DC133A">
        <w:rPr>
          <w:szCs w:val="22"/>
          <w:lang w:val="sk-SK" w:eastAsia="sk-SK"/>
        </w:rPr>
        <w:t xml:space="preserve">. </w:t>
      </w:r>
      <w:r w:rsidR="00C90840" w:rsidRPr="00305462">
        <w:rPr>
          <w:szCs w:val="22"/>
          <w:lang w:val="sk-SK" w:eastAsia="sk-SK"/>
        </w:rPr>
        <w:t>(pozri časť 4.8)</w:t>
      </w:r>
      <w:r w:rsidRPr="00305462">
        <w:rPr>
          <w:szCs w:val="22"/>
          <w:lang w:val="sk-SK" w:eastAsia="sk-SK"/>
        </w:rPr>
        <w:t>.</w:t>
      </w:r>
      <w:r w:rsidR="00192FF8">
        <w:rPr>
          <w:szCs w:val="22"/>
          <w:lang w:val="sk-SK" w:eastAsia="sk-SK"/>
        </w:rPr>
        <w:t xml:space="preserve"> </w:t>
      </w:r>
    </w:p>
    <w:p w:rsidR="008B01B6" w:rsidRPr="00305462" w:rsidRDefault="008B01B6" w:rsidP="00662679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Style w:val="FontStyle21"/>
          <w:sz w:val="22"/>
          <w:szCs w:val="22"/>
          <w:lang w:val="sk-SK" w:eastAsia="pt-PT"/>
        </w:rPr>
        <w:t>Začiatok liečby alebo obnovenie liečby sa má u pacientok s nezhojenými léziami mäkkého tkaniva v ústach odložiť.</w:t>
      </w:r>
    </w:p>
    <w:p w:rsidR="008B01B6" w:rsidRPr="00305462" w:rsidRDefault="000241DA" w:rsidP="008B01B6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sz w:val="22"/>
          <w:szCs w:val="22"/>
          <w:lang w:val="sk-SK" w:eastAsia="sk-SK"/>
        </w:rPr>
        <w:t xml:space="preserve">Pred začiatkom liečby s </w:t>
      </w:r>
      <w:proofErr w:type="spellStart"/>
      <w:r w:rsidRPr="00305462">
        <w:rPr>
          <w:sz w:val="22"/>
          <w:szCs w:val="22"/>
          <w:lang w:val="sk-SK" w:eastAsia="sk-SK"/>
        </w:rPr>
        <w:t>bisfosfonátmi</w:t>
      </w:r>
      <w:proofErr w:type="spellEnd"/>
      <w:r w:rsidRPr="00305462">
        <w:rPr>
          <w:sz w:val="22"/>
          <w:szCs w:val="22"/>
          <w:lang w:val="sk-SK" w:eastAsia="sk-SK"/>
        </w:rPr>
        <w:t xml:space="preserve"> sa </w:t>
      </w:r>
      <w:proofErr w:type="spellStart"/>
      <w:r w:rsidR="008B01B6" w:rsidRPr="00305462">
        <w:rPr>
          <w:sz w:val="22"/>
          <w:szCs w:val="22"/>
          <w:lang w:val="sk-SK" w:eastAsia="sk-SK"/>
        </w:rPr>
        <w:t>pacientkám</w:t>
      </w:r>
      <w:proofErr w:type="spellEnd"/>
      <w:r w:rsidRPr="00305462">
        <w:rPr>
          <w:sz w:val="22"/>
          <w:szCs w:val="22"/>
          <w:lang w:val="sk-SK" w:eastAsia="sk-SK"/>
        </w:rPr>
        <w:t xml:space="preserve"> s</w:t>
      </w:r>
      <w:r w:rsidR="008B01B6" w:rsidRPr="00305462">
        <w:rPr>
          <w:sz w:val="22"/>
          <w:szCs w:val="22"/>
          <w:lang w:val="sk-SK" w:eastAsia="sk-SK"/>
        </w:rPr>
        <w:t xml:space="preserve"> viacerými </w:t>
      </w:r>
      <w:r w:rsidRPr="00305462">
        <w:rPr>
          <w:sz w:val="22"/>
          <w:szCs w:val="22"/>
          <w:lang w:val="sk-SK" w:eastAsia="sk-SK"/>
        </w:rPr>
        <w:t xml:space="preserve">rizikovými faktormi </w:t>
      </w:r>
      <w:r w:rsidR="008B01B6" w:rsidRPr="00305462">
        <w:rPr>
          <w:rStyle w:val="FontStyle21"/>
          <w:sz w:val="22"/>
          <w:szCs w:val="22"/>
          <w:lang w:val="sk-SK" w:eastAsia="pt-PT"/>
        </w:rPr>
        <w:t>odporúča zubné vyšetrenie s preventívnou stomatologickou prehliadkou a individuálne zhodnotenie pomeru prínosu a rizika.</w:t>
      </w:r>
    </w:p>
    <w:p w:rsidR="008B01B6" w:rsidRPr="00305462" w:rsidRDefault="008B01B6" w:rsidP="008B01B6">
      <w:pPr>
        <w:pStyle w:val="Style4"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8B01B6" w:rsidRPr="00305462" w:rsidRDefault="008B01B6" w:rsidP="008B01B6">
      <w:pPr>
        <w:pStyle w:val="Style4"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Style w:val="FontStyle21"/>
          <w:sz w:val="22"/>
          <w:szCs w:val="22"/>
          <w:lang w:val="sk-SK" w:eastAsia="pt-PT"/>
        </w:rPr>
        <w:t>U pacientok s rizikom rozvoja ONJ sa majú pri hodnotení zvážiť nasledujúce rizikové faktory :</w:t>
      </w:r>
    </w:p>
    <w:p w:rsidR="008B01B6" w:rsidRPr="00305462" w:rsidRDefault="008B01B6" w:rsidP="008B01B6">
      <w:pPr>
        <w:pStyle w:val="Style4"/>
        <w:spacing w:before="14" w:line="250" w:lineRule="exact"/>
        <w:ind w:left="567" w:hanging="567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Style w:val="FontStyle21"/>
          <w:sz w:val="22"/>
          <w:szCs w:val="22"/>
          <w:lang w:val="sk-SK" w:eastAsia="pt-PT"/>
        </w:rPr>
        <w:t>-</w:t>
      </w:r>
      <w:r w:rsidRPr="00305462">
        <w:rPr>
          <w:rStyle w:val="FontStyle21"/>
          <w:sz w:val="22"/>
          <w:szCs w:val="22"/>
          <w:lang w:val="sk-SK" w:eastAsia="pt-PT"/>
        </w:rPr>
        <w:tab/>
        <w:t xml:space="preserve">potenciál lieku, ktorý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inhibuje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resorbciu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v kosti (vyššie riziko pri vysoko účinných zlúčeninách), cesta podania (vyššie riziko pri podaní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parenterálnou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cestou) a kumulatívna dávka liečby na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resorbciu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kosti,</w:t>
      </w:r>
    </w:p>
    <w:p w:rsidR="008B01B6" w:rsidRPr="00305462" w:rsidRDefault="008B01B6" w:rsidP="008B01B6">
      <w:pPr>
        <w:pStyle w:val="Style4"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Style w:val="FontStyle21"/>
          <w:sz w:val="22"/>
          <w:szCs w:val="22"/>
          <w:lang w:val="sk-SK" w:eastAsia="pt-PT"/>
        </w:rPr>
        <w:t>-</w:t>
      </w:r>
      <w:r w:rsidRPr="00305462">
        <w:rPr>
          <w:rStyle w:val="FontStyle21"/>
          <w:sz w:val="22"/>
          <w:szCs w:val="22"/>
          <w:lang w:val="sk-SK" w:eastAsia="pt-PT"/>
        </w:rPr>
        <w:tab/>
        <w:t xml:space="preserve">nádorové ochorenie,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komorbidity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(napr. anémia,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koagulopatie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>, infekci</w:t>
      </w:r>
      <w:r w:rsidR="00A30CF3">
        <w:rPr>
          <w:rStyle w:val="FontStyle21"/>
          <w:sz w:val="22"/>
          <w:szCs w:val="22"/>
          <w:lang w:val="sk-SK" w:eastAsia="pt-PT"/>
        </w:rPr>
        <w:t>a</w:t>
      </w:r>
      <w:r w:rsidRPr="00305462">
        <w:rPr>
          <w:rStyle w:val="FontStyle21"/>
          <w:sz w:val="22"/>
          <w:szCs w:val="22"/>
          <w:lang w:val="sk-SK" w:eastAsia="pt-PT"/>
        </w:rPr>
        <w:t>), fajčenie,</w:t>
      </w:r>
    </w:p>
    <w:p w:rsidR="008B01B6" w:rsidRPr="00305462" w:rsidRDefault="008B01B6" w:rsidP="008B01B6">
      <w:pPr>
        <w:pStyle w:val="Style4"/>
        <w:spacing w:before="14" w:line="250" w:lineRule="exact"/>
        <w:ind w:left="570" w:hanging="570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Style w:val="FontStyle21"/>
          <w:sz w:val="22"/>
          <w:szCs w:val="22"/>
          <w:lang w:val="sk-SK" w:eastAsia="pt-PT"/>
        </w:rPr>
        <w:t>-</w:t>
      </w:r>
      <w:r w:rsidRPr="00305462">
        <w:rPr>
          <w:rStyle w:val="FontStyle21"/>
          <w:sz w:val="22"/>
          <w:szCs w:val="22"/>
          <w:lang w:val="sk-SK" w:eastAsia="pt-PT"/>
        </w:rPr>
        <w:tab/>
        <w:t xml:space="preserve">súbežná liečba: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kortikosteroidy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, chemoterapia, inhibítory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angiogenézy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>, rádioterapia hlavy a krku,</w:t>
      </w:r>
    </w:p>
    <w:p w:rsidR="008B01B6" w:rsidRPr="00305462" w:rsidRDefault="008B01B6" w:rsidP="008B01B6">
      <w:pPr>
        <w:pStyle w:val="Style4"/>
        <w:spacing w:before="14" w:line="250" w:lineRule="exact"/>
        <w:ind w:left="567" w:hanging="567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Style w:val="FontStyle21"/>
          <w:sz w:val="22"/>
          <w:szCs w:val="22"/>
          <w:lang w:val="sk-SK" w:eastAsia="pt-PT"/>
        </w:rPr>
        <w:t>-</w:t>
      </w:r>
      <w:r w:rsidRPr="00305462">
        <w:rPr>
          <w:rStyle w:val="FontStyle21"/>
          <w:sz w:val="22"/>
          <w:szCs w:val="22"/>
          <w:lang w:val="sk-SK" w:eastAsia="pt-PT"/>
        </w:rPr>
        <w:tab/>
        <w:t xml:space="preserve">nedostatočná hygiena dutiny ústnej,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periodontálne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ochorenia, zle nasadajúce zubné protézy, anamnéza dentálneho ochorenia, invazívne dentálne zákroky napr. extrakcie zuba.</w:t>
      </w:r>
    </w:p>
    <w:p w:rsidR="008B01B6" w:rsidRPr="00305462" w:rsidRDefault="008B01B6" w:rsidP="008B01B6">
      <w:pPr>
        <w:pStyle w:val="Style4"/>
        <w:spacing w:before="14" w:line="250" w:lineRule="exact"/>
        <w:ind w:left="567" w:hanging="567"/>
        <w:jc w:val="both"/>
        <w:rPr>
          <w:rStyle w:val="FontStyle21"/>
          <w:sz w:val="22"/>
          <w:szCs w:val="22"/>
          <w:lang w:val="sk-SK" w:eastAsia="pt-PT"/>
        </w:rPr>
      </w:pPr>
    </w:p>
    <w:p w:rsidR="008B01B6" w:rsidRPr="00305462" w:rsidRDefault="008B01B6" w:rsidP="008B01B6">
      <w:pPr>
        <w:pStyle w:val="Style4"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Style w:val="FontStyle21"/>
          <w:sz w:val="22"/>
          <w:szCs w:val="22"/>
          <w:lang w:val="sk-SK" w:eastAsia="pt-PT"/>
        </w:rPr>
        <w:t xml:space="preserve">Všetky pacientky sa majú v priebehu liečby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Ibandronicom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Acid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Fresenius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Kabi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3 mg nabádať k udržiavaniu dobrej hygieny ústnej dutiny, k preventívnym zubným prehliadkam a k okamžitému hláseniu akýchkoľvek príznakov v ústnej dutine, ako napríklad kývanie zubov, bolesť alebo opuch, nehojace sa </w:t>
      </w:r>
      <w:r w:rsidR="00F16045">
        <w:rPr>
          <w:rStyle w:val="FontStyle21"/>
          <w:sz w:val="22"/>
          <w:szCs w:val="22"/>
          <w:lang w:val="sk-SK" w:eastAsia="pt-PT"/>
        </w:rPr>
        <w:t>vredy</w:t>
      </w:r>
      <w:r w:rsidRPr="00305462">
        <w:rPr>
          <w:rStyle w:val="FontStyle21"/>
          <w:sz w:val="22"/>
          <w:szCs w:val="22"/>
          <w:lang w:val="sk-SK" w:eastAsia="pt-PT"/>
        </w:rPr>
        <w:t xml:space="preserve"> alebo výtok. V priebehu liečby sa môžu invazívne dentálne zákroky vykonávať len po starostlivom zvážení a má sa zabrániť tomu, aby sa vykonali v krátkom odstupe od času podania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Ibandronicu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Acid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Fresenius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Kabi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3 mg.</w:t>
      </w:r>
    </w:p>
    <w:p w:rsidR="008B01B6" w:rsidRPr="00305462" w:rsidRDefault="008B01B6" w:rsidP="008B01B6">
      <w:pPr>
        <w:pStyle w:val="Style4"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8B01B6" w:rsidRPr="00305462" w:rsidRDefault="008B01B6" w:rsidP="008B01B6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Style w:val="FontStyle21"/>
          <w:sz w:val="22"/>
          <w:szCs w:val="22"/>
          <w:lang w:val="sk-SK" w:eastAsia="pt-PT"/>
        </w:rPr>
        <w:t xml:space="preserve">U pacientok, u ktorých sa vyvinie ONJ, má byť plán manažmentu ochorenia založený na blízkej spolupráci ošetrujúceho lekára a stomatológa, alebo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stomatochirurga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so skúsenosťami v oblasti ONJ. </w:t>
      </w:r>
      <w:r w:rsidR="00317161">
        <w:rPr>
          <w:rStyle w:val="FontStyle21"/>
          <w:sz w:val="22"/>
          <w:szCs w:val="22"/>
          <w:lang w:val="sk-SK" w:eastAsia="pt-PT"/>
        </w:rPr>
        <w:t>A</w:t>
      </w:r>
      <w:r w:rsidR="00317161" w:rsidRPr="00305462">
        <w:rPr>
          <w:rStyle w:val="FontStyle21"/>
          <w:sz w:val="22"/>
          <w:szCs w:val="22"/>
          <w:lang w:val="sk-SK" w:eastAsia="pt-PT"/>
        </w:rPr>
        <w:t>k je to možné</w:t>
      </w:r>
      <w:r w:rsidR="00317161">
        <w:rPr>
          <w:rStyle w:val="FontStyle21"/>
          <w:sz w:val="22"/>
          <w:szCs w:val="22"/>
          <w:lang w:val="sk-SK" w:eastAsia="pt-PT"/>
        </w:rPr>
        <w:t>, d</w:t>
      </w:r>
      <w:r w:rsidRPr="00305462">
        <w:rPr>
          <w:rStyle w:val="FontStyle21"/>
          <w:sz w:val="22"/>
          <w:szCs w:val="22"/>
          <w:lang w:val="sk-SK" w:eastAsia="pt-PT"/>
        </w:rPr>
        <w:t xml:space="preserve">očasné prerušenie liečby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Ibandronicom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Acid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Fresenius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Kabi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3 mg</w:t>
      </w:r>
      <w:r w:rsidR="00A66A16">
        <w:rPr>
          <w:rStyle w:val="FontStyle21"/>
          <w:sz w:val="22"/>
          <w:szCs w:val="22"/>
          <w:lang w:val="sk-SK" w:eastAsia="pt-PT"/>
        </w:rPr>
        <w:t xml:space="preserve">, </w:t>
      </w:r>
      <w:r w:rsidRPr="00305462">
        <w:rPr>
          <w:rStyle w:val="FontStyle21"/>
          <w:sz w:val="22"/>
          <w:szCs w:val="22"/>
          <w:lang w:val="sk-SK" w:eastAsia="pt-PT"/>
        </w:rPr>
        <w:t>sa má zvážiť až do dosiahnutia zlepšenia stavu a do zmiernenia podieľajúcich sa rizikových faktorov</w:t>
      </w:r>
      <w:r w:rsidR="00A66A16">
        <w:rPr>
          <w:rStyle w:val="FontStyle21"/>
          <w:sz w:val="22"/>
          <w:szCs w:val="22"/>
          <w:lang w:val="sk-SK" w:eastAsia="pt-PT"/>
        </w:rPr>
        <w:t>.</w:t>
      </w:r>
    </w:p>
    <w:p w:rsidR="00CF7501" w:rsidRPr="00305462" w:rsidRDefault="00CF7501" w:rsidP="00662679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CF7501" w:rsidRPr="00305462" w:rsidRDefault="00CF7501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proofErr w:type="spellStart"/>
      <w:r w:rsidRPr="00305462">
        <w:rPr>
          <w:i/>
          <w:szCs w:val="22"/>
          <w:lang w:val="sk-SK" w:eastAsia="pt-PT"/>
        </w:rPr>
        <w:t>Osteo</w:t>
      </w:r>
      <w:r w:rsidR="00F24390" w:rsidRPr="00305462">
        <w:rPr>
          <w:i/>
          <w:szCs w:val="22"/>
          <w:lang w:val="sk-SK" w:eastAsia="pt-PT"/>
        </w:rPr>
        <w:t>nekróza</w:t>
      </w:r>
      <w:proofErr w:type="spellEnd"/>
      <w:r w:rsidR="00F24390" w:rsidRPr="00305462">
        <w:rPr>
          <w:i/>
          <w:szCs w:val="22"/>
          <w:lang w:val="sk-SK" w:eastAsia="pt-PT"/>
        </w:rPr>
        <w:t xml:space="preserve"> vonkajšieho </w:t>
      </w:r>
      <w:r w:rsidR="00F76974" w:rsidRPr="00305462">
        <w:rPr>
          <w:i/>
          <w:szCs w:val="22"/>
          <w:lang w:val="sk-SK" w:eastAsia="pt-PT"/>
        </w:rPr>
        <w:t>zvuk</w:t>
      </w:r>
      <w:r w:rsidR="00F24390" w:rsidRPr="00305462">
        <w:rPr>
          <w:i/>
          <w:szCs w:val="22"/>
          <w:lang w:val="sk-SK" w:eastAsia="pt-PT"/>
        </w:rPr>
        <w:t>ovodu</w:t>
      </w:r>
    </w:p>
    <w:p w:rsidR="00CF7501" w:rsidRPr="00305462" w:rsidRDefault="00F95A2F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szCs w:val="22"/>
          <w:lang w:val="sk-SK" w:eastAsia="pt-PT"/>
        </w:rPr>
        <w:t xml:space="preserve">Pri používaní </w:t>
      </w:r>
      <w:proofErr w:type="spellStart"/>
      <w:r w:rsidRPr="00305462">
        <w:rPr>
          <w:szCs w:val="22"/>
          <w:lang w:val="sk-SK" w:eastAsia="pt-PT"/>
        </w:rPr>
        <w:t>bisfosfonátov</w:t>
      </w:r>
      <w:proofErr w:type="spellEnd"/>
      <w:r w:rsidRPr="00305462">
        <w:rPr>
          <w:szCs w:val="22"/>
          <w:lang w:val="sk-SK" w:eastAsia="pt-PT"/>
        </w:rPr>
        <w:t xml:space="preserve"> bola hlásená </w:t>
      </w:r>
      <w:proofErr w:type="spellStart"/>
      <w:r w:rsidRPr="00305462">
        <w:rPr>
          <w:szCs w:val="22"/>
          <w:lang w:val="sk-SK" w:eastAsia="pt-PT"/>
        </w:rPr>
        <w:t>osteonekróza</w:t>
      </w:r>
      <w:proofErr w:type="spellEnd"/>
      <w:r w:rsidRPr="00305462">
        <w:rPr>
          <w:szCs w:val="22"/>
          <w:lang w:val="sk-SK" w:eastAsia="pt-PT"/>
        </w:rPr>
        <w:t xml:space="preserve"> vonkajšieho zvukovodu, najmä v súvislosti s dlhodobou liečbou. K možným rizikovým faktorom </w:t>
      </w:r>
      <w:proofErr w:type="spellStart"/>
      <w:r w:rsidRPr="00305462">
        <w:rPr>
          <w:szCs w:val="22"/>
          <w:lang w:val="sk-SK" w:eastAsia="pt-PT"/>
        </w:rPr>
        <w:t>osteonekrózy</w:t>
      </w:r>
      <w:proofErr w:type="spellEnd"/>
      <w:r w:rsidR="00147766" w:rsidRPr="00305462">
        <w:rPr>
          <w:szCs w:val="22"/>
          <w:lang w:val="sk-SK" w:eastAsia="pt-PT"/>
        </w:rPr>
        <w:t xml:space="preserve"> vonkajšieho vzduchovodu patrí používanie </w:t>
      </w:r>
      <w:proofErr w:type="spellStart"/>
      <w:r w:rsidR="00147766" w:rsidRPr="00305462">
        <w:rPr>
          <w:szCs w:val="22"/>
          <w:lang w:val="sk-SK" w:eastAsia="pt-PT"/>
        </w:rPr>
        <w:t>steroidov</w:t>
      </w:r>
      <w:proofErr w:type="spellEnd"/>
      <w:r w:rsidR="00147766" w:rsidRPr="00305462">
        <w:rPr>
          <w:szCs w:val="22"/>
          <w:lang w:val="sk-SK" w:eastAsia="pt-PT"/>
        </w:rPr>
        <w:t xml:space="preserve"> a chemoterapia a/alebo lokálne rizikové faktory, ako je infekcia alebo úrazy.</w:t>
      </w:r>
      <w:r w:rsidRPr="00305462">
        <w:rPr>
          <w:szCs w:val="22"/>
          <w:lang w:val="sk-SK" w:eastAsia="pt-PT"/>
        </w:rPr>
        <w:t xml:space="preserve"> </w:t>
      </w:r>
      <w:r w:rsidR="00D1323F" w:rsidRPr="00305462">
        <w:rPr>
          <w:szCs w:val="22"/>
          <w:lang w:val="sk-SK" w:eastAsia="pt-PT"/>
        </w:rPr>
        <w:t xml:space="preserve"> </w:t>
      </w:r>
      <w:r w:rsidR="00147766" w:rsidRPr="00305462">
        <w:rPr>
          <w:szCs w:val="22"/>
          <w:lang w:val="sk-SK" w:eastAsia="pt-PT"/>
        </w:rPr>
        <w:t xml:space="preserve">Možnosť </w:t>
      </w:r>
      <w:proofErr w:type="spellStart"/>
      <w:r w:rsidR="00D1323F" w:rsidRPr="00305462">
        <w:rPr>
          <w:szCs w:val="22"/>
          <w:lang w:val="sk-SK" w:eastAsia="pt-PT"/>
        </w:rPr>
        <w:t>osteonekrózy</w:t>
      </w:r>
      <w:proofErr w:type="spellEnd"/>
      <w:r w:rsidR="00D1323F" w:rsidRPr="00305462">
        <w:rPr>
          <w:szCs w:val="22"/>
          <w:lang w:val="sk-SK" w:eastAsia="pt-PT"/>
        </w:rPr>
        <w:t xml:space="preserve"> vonkajšieho vzduchovodu</w:t>
      </w:r>
      <w:r w:rsidR="00147766" w:rsidRPr="00305462">
        <w:rPr>
          <w:szCs w:val="22"/>
          <w:lang w:val="sk-SK" w:eastAsia="pt-PT"/>
        </w:rPr>
        <w:t xml:space="preserve"> treba zvážiť u pacient</w:t>
      </w:r>
      <w:r w:rsidR="00F76974" w:rsidRPr="00305462">
        <w:rPr>
          <w:szCs w:val="22"/>
          <w:lang w:val="sk-SK" w:eastAsia="pt-PT"/>
        </w:rPr>
        <w:t>o</w:t>
      </w:r>
      <w:r w:rsidR="00147766" w:rsidRPr="00305462">
        <w:rPr>
          <w:szCs w:val="22"/>
          <w:lang w:val="sk-SK" w:eastAsia="pt-PT"/>
        </w:rPr>
        <w:t xml:space="preserve">k užívajúcich </w:t>
      </w:r>
      <w:proofErr w:type="spellStart"/>
      <w:r w:rsidR="00147766" w:rsidRPr="00305462">
        <w:rPr>
          <w:szCs w:val="22"/>
          <w:lang w:val="sk-SK" w:eastAsia="pt-PT"/>
        </w:rPr>
        <w:t>bisfosfonáty</w:t>
      </w:r>
      <w:proofErr w:type="spellEnd"/>
      <w:r w:rsidR="00147766" w:rsidRPr="00305462">
        <w:rPr>
          <w:szCs w:val="22"/>
          <w:lang w:val="sk-SK" w:eastAsia="pt-PT"/>
        </w:rPr>
        <w:t>, ktoré majú ušné symptómy vrátane chronických ušných infekcií.</w:t>
      </w:r>
    </w:p>
    <w:p w:rsidR="00A35C73" w:rsidRPr="00305462" w:rsidRDefault="00A35C73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lang w:val="sk-SK" w:eastAsia="pt-PT"/>
        </w:rPr>
      </w:pPr>
    </w:p>
    <w:p w:rsidR="00B816F8" w:rsidRPr="00305462" w:rsidRDefault="00B816F8" w:rsidP="00662679">
      <w:pPr>
        <w:pStyle w:val="Style4"/>
        <w:widowControl/>
        <w:spacing w:before="14" w:line="250" w:lineRule="exact"/>
        <w:jc w:val="both"/>
        <w:rPr>
          <w:rStyle w:val="FontStyle21"/>
          <w:i/>
          <w:sz w:val="22"/>
          <w:szCs w:val="22"/>
          <w:lang w:val="sk-SK" w:eastAsia="pt-PT"/>
        </w:rPr>
      </w:pPr>
      <w:r w:rsidRPr="00305462">
        <w:rPr>
          <w:rStyle w:val="FontStyle21"/>
          <w:i/>
          <w:sz w:val="22"/>
          <w:szCs w:val="22"/>
          <w:lang w:val="sk-SK" w:eastAsia="pt-PT"/>
        </w:rPr>
        <w:t>Aty</w:t>
      </w:r>
      <w:r w:rsidR="00BE2715" w:rsidRPr="00305462">
        <w:rPr>
          <w:rStyle w:val="FontStyle21"/>
          <w:i/>
          <w:sz w:val="22"/>
          <w:szCs w:val="22"/>
          <w:lang w:val="sk-SK" w:eastAsia="pt-PT"/>
        </w:rPr>
        <w:t>pické zlomeniny stehennej kosti</w:t>
      </w:r>
      <w:r w:rsidRPr="00305462">
        <w:rPr>
          <w:rStyle w:val="FontStyle21"/>
          <w:i/>
          <w:sz w:val="22"/>
          <w:szCs w:val="22"/>
          <w:lang w:val="sk-SK" w:eastAsia="pt-PT"/>
        </w:rPr>
        <w:t xml:space="preserve"> </w:t>
      </w:r>
    </w:p>
    <w:p w:rsidR="00BE2715" w:rsidRPr="00305462" w:rsidRDefault="00BE2715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lastRenderedPageBreak/>
        <w:t xml:space="preserve">Pri liečbe </w:t>
      </w:r>
      <w:proofErr w:type="spellStart"/>
      <w:r w:rsidRPr="00305462">
        <w:rPr>
          <w:szCs w:val="22"/>
          <w:lang w:val="sk-SK" w:eastAsia="sk-SK"/>
        </w:rPr>
        <w:t>bisfosfonátmi</w:t>
      </w:r>
      <w:proofErr w:type="spellEnd"/>
      <w:r w:rsidRPr="00305462">
        <w:rPr>
          <w:szCs w:val="22"/>
          <w:lang w:val="sk-SK" w:eastAsia="sk-SK"/>
        </w:rPr>
        <w:t xml:space="preserve"> boli hlásené atypické </w:t>
      </w:r>
      <w:proofErr w:type="spellStart"/>
      <w:r w:rsidRPr="00305462">
        <w:rPr>
          <w:szCs w:val="22"/>
          <w:lang w:val="sk-SK" w:eastAsia="sk-SK"/>
        </w:rPr>
        <w:t>subtrochanterické</w:t>
      </w:r>
      <w:proofErr w:type="spellEnd"/>
      <w:r w:rsidRPr="00305462">
        <w:rPr>
          <w:szCs w:val="22"/>
          <w:lang w:val="sk-SK" w:eastAsia="sk-SK"/>
        </w:rPr>
        <w:t xml:space="preserve"> a </w:t>
      </w:r>
      <w:proofErr w:type="spellStart"/>
      <w:r w:rsidRPr="00305462">
        <w:rPr>
          <w:szCs w:val="22"/>
          <w:lang w:val="sk-SK" w:eastAsia="sk-SK"/>
        </w:rPr>
        <w:t>diafyzárne</w:t>
      </w:r>
      <w:proofErr w:type="spellEnd"/>
      <w:r w:rsidRPr="00305462">
        <w:rPr>
          <w:szCs w:val="22"/>
          <w:lang w:val="sk-SK" w:eastAsia="sk-SK"/>
        </w:rPr>
        <w:t xml:space="preserve"> zlomeniny stehennej</w:t>
      </w:r>
    </w:p>
    <w:p w:rsidR="00BE2715" w:rsidRPr="00305462" w:rsidRDefault="00FA3452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kosti, predovšetkým u pacient</w:t>
      </w:r>
      <w:r w:rsidR="00F76974" w:rsidRPr="00305462">
        <w:rPr>
          <w:szCs w:val="22"/>
          <w:lang w:val="sk-SK" w:eastAsia="sk-SK"/>
        </w:rPr>
        <w:t>o</w:t>
      </w:r>
      <w:r w:rsidRPr="00305462">
        <w:rPr>
          <w:szCs w:val="22"/>
          <w:lang w:val="sk-SK" w:eastAsia="sk-SK"/>
        </w:rPr>
        <w:t>k, ktoré</w:t>
      </w:r>
      <w:r w:rsidR="00BE2715" w:rsidRPr="00305462">
        <w:rPr>
          <w:szCs w:val="22"/>
          <w:lang w:val="sk-SK" w:eastAsia="sk-SK"/>
        </w:rPr>
        <w:t xml:space="preserve"> sa dlhodobo liečili na </w:t>
      </w:r>
      <w:proofErr w:type="spellStart"/>
      <w:r w:rsidR="00BE2715" w:rsidRPr="00305462">
        <w:rPr>
          <w:szCs w:val="22"/>
          <w:lang w:val="sk-SK" w:eastAsia="sk-SK"/>
        </w:rPr>
        <w:t>osteoporózu</w:t>
      </w:r>
      <w:proofErr w:type="spellEnd"/>
      <w:r w:rsidR="00BE2715" w:rsidRPr="00305462">
        <w:rPr>
          <w:szCs w:val="22"/>
          <w:lang w:val="sk-SK" w:eastAsia="sk-SK"/>
        </w:rPr>
        <w:t>. Tieto priečne alebo krátke</w:t>
      </w:r>
    </w:p>
    <w:p w:rsidR="00BE2715" w:rsidRPr="00305462" w:rsidRDefault="00BE2715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šikmé zlomeniny môžu vzniknúť kdekoľvek pozdĺž stehennej kosti, tesne pod malým </w:t>
      </w:r>
      <w:proofErr w:type="spellStart"/>
      <w:r w:rsidRPr="00305462">
        <w:rPr>
          <w:szCs w:val="22"/>
          <w:lang w:val="sk-SK" w:eastAsia="sk-SK"/>
        </w:rPr>
        <w:t>trochanterom</w:t>
      </w:r>
      <w:proofErr w:type="spellEnd"/>
      <w:r w:rsidRPr="00305462">
        <w:rPr>
          <w:szCs w:val="22"/>
          <w:lang w:val="sk-SK" w:eastAsia="sk-SK"/>
        </w:rPr>
        <w:t xml:space="preserve"> až</w:t>
      </w:r>
    </w:p>
    <w:p w:rsidR="00BE2715" w:rsidRPr="00305462" w:rsidRDefault="00BE2715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po </w:t>
      </w:r>
      <w:proofErr w:type="spellStart"/>
      <w:r w:rsidRPr="00305462">
        <w:rPr>
          <w:szCs w:val="22"/>
          <w:lang w:val="sk-SK" w:eastAsia="sk-SK"/>
        </w:rPr>
        <w:t>suprakondylickú</w:t>
      </w:r>
      <w:proofErr w:type="spellEnd"/>
      <w:r w:rsidRPr="00305462">
        <w:rPr>
          <w:szCs w:val="22"/>
          <w:lang w:val="sk-SK" w:eastAsia="sk-SK"/>
        </w:rPr>
        <w:t xml:space="preserve"> časť. K týmto z</w:t>
      </w:r>
      <w:r w:rsidR="00FA3452" w:rsidRPr="00305462">
        <w:rPr>
          <w:szCs w:val="22"/>
          <w:lang w:val="sk-SK" w:eastAsia="sk-SK"/>
        </w:rPr>
        <w:t>lomeninám dochádza po minimálnom alebo žiadnom úraze</w:t>
      </w:r>
      <w:r w:rsidRPr="00305462">
        <w:rPr>
          <w:szCs w:val="22"/>
          <w:lang w:val="sk-SK" w:eastAsia="sk-SK"/>
        </w:rPr>
        <w:t xml:space="preserve"> a</w:t>
      </w:r>
    </w:p>
    <w:p w:rsidR="00BE2715" w:rsidRPr="00305462" w:rsidRDefault="00FA3452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u niektorých pacient</w:t>
      </w:r>
      <w:r w:rsidR="00F76974" w:rsidRPr="00305462">
        <w:rPr>
          <w:szCs w:val="22"/>
          <w:lang w:val="sk-SK" w:eastAsia="sk-SK"/>
        </w:rPr>
        <w:t>o</w:t>
      </w:r>
      <w:r w:rsidRPr="00305462">
        <w:rPr>
          <w:szCs w:val="22"/>
          <w:lang w:val="sk-SK" w:eastAsia="sk-SK"/>
        </w:rPr>
        <w:t>k</w:t>
      </w:r>
      <w:r w:rsidR="00BE2715" w:rsidRPr="00305462">
        <w:rPr>
          <w:szCs w:val="22"/>
          <w:lang w:val="sk-SK" w:eastAsia="sk-SK"/>
        </w:rPr>
        <w:t xml:space="preserve"> sa niekoľko týždňov až mesiacov pred vznikom úplnej zlomeniny stehennej</w:t>
      </w:r>
    </w:p>
    <w:p w:rsidR="00BE2715" w:rsidRPr="00305462" w:rsidRDefault="00BE2715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kosti vyskytne bolesť v stehne alebo slabine, pri zobrazovacom vyšetrení často spojená s</w:t>
      </w:r>
    </w:p>
    <w:p w:rsidR="00BE2715" w:rsidRPr="00305462" w:rsidRDefault="00BE2715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charakteristikami únavovej zlomeniny. Zlomeniny sú často bila</w:t>
      </w:r>
      <w:r w:rsidR="00FA3452" w:rsidRPr="00305462">
        <w:rPr>
          <w:szCs w:val="22"/>
          <w:lang w:val="sk-SK" w:eastAsia="sk-SK"/>
        </w:rPr>
        <w:t>terálne, preto sa má u pacient</w:t>
      </w:r>
      <w:r w:rsidR="00AC631D" w:rsidRPr="00305462">
        <w:rPr>
          <w:szCs w:val="22"/>
          <w:lang w:val="sk-SK" w:eastAsia="sk-SK"/>
        </w:rPr>
        <w:t>o</w:t>
      </w:r>
      <w:r w:rsidR="00FA3452" w:rsidRPr="00305462">
        <w:rPr>
          <w:szCs w:val="22"/>
          <w:lang w:val="sk-SK" w:eastAsia="sk-SK"/>
        </w:rPr>
        <w:t>k</w:t>
      </w:r>
    </w:p>
    <w:p w:rsidR="00BE2715" w:rsidRPr="00305462" w:rsidRDefault="00FA3452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liečených </w:t>
      </w:r>
      <w:proofErr w:type="spellStart"/>
      <w:r w:rsidRPr="00305462">
        <w:rPr>
          <w:szCs w:val="22"/>
          <w:lang w:val="sk-SK" w:eastAsia="sk-SK"/>
        </w:rPr>
        <w:t>bisfosfonátmi</w:t>
      </w:r>
      <w:proofErr w:type="spellEnd"/>
      <w:r w:rsidRPr="00305462">
        <w:rPr>
          <w:szCs w:val="22"/>
          <w:lang w:val="sk-SK" w:eastAsia="sk-SK"/>
        </w:rPr>
        <w:t>, ktoré</w:t>
      </w:r>
      <w:r w:rsidR="00BE2715" w:rsidRPr="00305462">
        <w:rPr>
          <w:szCs w:val="22"/>
          <w:lang w:val="sk-SK" w:eastAsia="sk-SK"/>
        </w:rPr>
        <w:t xml:space="preserve"> utrpeli zlomeninu stehennej kosti, vyšetriť aj </w:t>
      </w:r>
      <w:proofErr w:type="spellStart"/>
      <w:r w:rsidR="00BE2715" w:rsidRPr="00305462">
        <w:rPr>
          <w:szCs w:val="22"/>
          <w:lang w:val="sk-SK" w:eastAsia="sk-SK"/>
        </w:rPr>
        <w:t>kontralaterálna</w:t>
      </w:r>
      <w:proofErr w:type="spellEnd"/>
      <w:r w:rsidR="00BE2715" w:rsidRPr="00305462">
        <w:rPr>
          <w:szCs w:val="22"/>
          <w:lang w:val="sk-SK" w:eastAsia="sk-SK"/>
        </w:rPr>
        <w:t xml:space="preserve"> stehenná</w:t>
      </w:r>
    </w:p>
    <w:p w:rsidR="00BE2715" w:rsidRPr="00305462" w:rsidRDefault="00BE2715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kosť</w:t>
      </w:r>
      <w:r w:rsidR="00FA3452" w:rsidRPr="00305462">
        <w:rPr>
          <w:szCs w:val="22"/>
          <w:lang w:val="sk-SK" w:eastAsia="sk-SK"/>
        </w:rPr>
        <w:t>. Hlásené bolo tiež nedostatočné</w:t>
      </w:r>
      <w:r w:rsidRPr="00305462">
        <w:rPr>
          <w:szCs w:val="22"/>
          <w:lang w:val="sk-SK" w:eastAsia="sk-SK"/>
        </w:rPr>
        <w:t xml:space="preserve"> hoje</w:t>
      </w:r>
      <w:r w:rsidR="00FA3452" w:rsidRPr="00305462">
        <w:rPr>
          <w:szCs w:val="22"/>
          <w:lang w:val="sk-SK" w:eastAsia="sk-SK"/>
        </w:rPr>
        <w:t>nie týchto zlomenín. U pacient</w:t>
      </w:r>
      <w:r w:rsidR="00AC631D" w:rsidRPr="00305462">
        <w:rPr>
          <w:szCs w:val="22"/>
          <w:lang w:val="sk-SK" w:eastAsia="sk-SK"/>
        </w:rPr>
        <w:t>o</w:t>
      </w:r>
      <w:r w:rsidR="00FA3452" w:rsidRPr="00305462">
        <w:rPr>
          <w:szCs w:val="22"/>
          <w:lang w:val="sk-SK" w:eastAsia="sk-SK"/>
        </w:rPr>
        <w:t>k</w:t>
      </w:r>
      <w:r w:rsidRPr="00305462">
        <w:rPr>
          <w:szCs w:val="22"/>
          <w:lang w:val="sk-SK" w:eastAsia="sk-SK"/>
        </w:rPr>
        <w:t xml:space="preserve"> s podozrením na atypickú</w:t>
      </w:r>
    </w:p>
    <w:p w:rsidR="00BE2715" w:rsidRPr="00305462" w:rsidRDefault="00BE2715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zlomeninu stehennej kosti sa má na základe individuálneho zhodnoten</w:t>
      </w:r>
      <w:r w:rsidR="00FA3452" w:rsidRPr="00305462">
        <w:rPr>
          <w:szCs w:val="22"/>
          <w:lang w:val="sk-SK" w:eastAsia="sk-SK"/>
        </w:rPr>
        <w:t>ia prínosu a rizika pre pacientku</w:t>
      </w:r>
    </w:p>
    <w:p w:rsidR="00BE2715" w:rsidRPr="00305462" w:rsidRDefault="00BE2715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zvážiť prerušenie liečby </w:t>
      </w:r>
      <w:proofErr w:type="spellStart"/>
      <w:r w:rsidRPr="00305462">
        <w:rPr>
          <w:szCs w:val="22"/>
          <w:lang w:val="sk-SK" w:eastAsia="sk-SK"/>
        </w:rPr>
        <w:t>bisfosfonátmi</w:t>
      </w:r>
      <w:proofErr w:type="spellEnd"/>
      <w:r w:rsidRPr="00305462">
        <w:rPr>
          <w:szCs w:val="22"/>
          <w:lang w:val="sk-SK" w:eastAsia="sk-SK"/>
        </w:rPr>
        <w:t>.</w:t>
      </w:r>
    </w:p>
    <w:p w:rsidR="00BE2715" w:rsidRPr="00305462" w:rsidRDefault="00BE2715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Počas liečby </w:t>
      </w:r>
      <w:proofErr w:type="spellStart"/>
      <w:r w:rsidRPr="00305462">
        <w:rPr>
          <w:szCs w:val="22"/>
          <w:lang w:val="sk-SK" w:eastAsia="sk-SK"/>
        </w:rPr>
        <w:t>bisfosfonátmi</w:t>
      </w:r>
      <w:proofErr w:type="spellEnd"/>
      <w:r w:rsidRPr="00305462">
        <w:rPr>
          <w:szCs w:val="22"/>
          <w:lang w:val="sk-SK" w:eastAsia="sk-SK"/>
        </w:rPr>
        <w:t xml:space="preserve"> treba pacientky poučiť, aby hlásili akúkoľvek bolesť v stehne, </w:t>
      </w:r>
      <w:proofErr w:type="spellStart"/>
      <w:r w:rsidRPr="00305462">
        <w:rPr>
          <w:szCs w:val="22"/>
          <w:lang w:val="sk-SK" w:eastAsia="sk-SK"/>
        </w:rPr>
        <w:t>bedre</w:t>
      </w:r>
      <w:proofErr w:type="spellEnd"/>
      <w:r w:rsidRPr="00305462">
        <w:rPr>
          <w:szCs w:val="22"/>
          <w:lang w:val="sk-SK" w:eastAsia="sk-SK"/>
        </w:rPr>
        <w:t xml:space="preserve"> alebo</w:t>
      </w:r>
    </w:p>
    <w:p w:rsidR="00BE2715" w:rsidRPr="00305462" w:rsidRDefault="00BE2715" w:rsidP="006626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slabine a každú pacientku s takýmito príznakmi je potrebné vyšetriť na prítomnosť neúplnej</w:t>
      </w:r>
    </w:p>
    <w:p w:rsidR="00B816F8" w:rsidRPr="00305462" w:rsidRDefault="00BE2715" w:rsidP="00662679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Fonts w:cs="Times New Roman"/>
          <w:sz w:val="22"/>
          <w:szCs w:val="22"/>
          <w:lang w:val="sk-SK" w:eastAsia="sk-SK"/>
        </w:rPr>
        <w:t>zlomeniny stehennej kosti.</w:t>
      </w:r>
      <w:r w:rsidR="00B816F8" w:rsidRPr="00305462">
        <w:rPr>
          <w:rStyle w:val="FontStyle21"/>
          <w:sz w:val="22"/>
          <w:szCs w:val="22"/>
          <w:lang w:val="sk-SK" w:eastAsia="pt-PT"/>
        </w:rPr>
        <w:t xml:space="preserve"> </w:t>
      </w:r>
    </w:p>
    <w:p w:rsidR="00811E01" w:rsidRPr="00305462" w:rsidRDefault="00811E01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lang w:val="sk-SK" w:eastAsia="pt-PT"/>
        </w:rPr>
      </w:pPr>
    </w:p>
    <w:p w:rsidR="006D1FC2" w:rsidRPr="00305462" w:rsidRDefault="006D1FC2" w:rsidP="00DF4855">
      <w:pPr>
        <w:autoSpaceDE w:val="0"/>
        <w:autoSpaceDN w:val="0"/>
        <w:adjustRightInd w:val="0"/>
        <w:jc w:val="both"/>
        <w:rPr>
          <w:rStyle w:val="FontStyle21"/>
          <w:sz w:val="22"/>
          <w:szCs w:val="22"/>
          <w:lang w:val="sk-SK" w:eastAsia="pt-PT"/>
        </w:rPr>
      </w:pPr>
      <w:proofErr w:type="spellStart"/>
      <w:r w:rsidRPr="00305462">
        <w:rPr>
          <w:rStyle w:val="FontStyle21"/>
          <w:sz w:val="22"/>
          <w:szCs w:val="22"/>
          <w:lang w:val="sk-SK" w:eastAsia="pt-PT"/>
        </w:rPr>
        <w:t>Ibandronic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="002303CF" w:rsidRPr="00305462">
        <w:rPr>
          <w:rStyle w:val="FontStyle21"/>
          <w:sz w:val="22"/>
          <w:szCs w:val="22"/>
          <w:lang w:val="sk-SK" w:eastAsia="pt-PT"/>
        </w:rPr>
        <w:t>A</w:t>
      </w:r>
      <w:r w:rsidRPr="00305462">
        <w:rPr>
          <w:rStyle w:val="FontStyle21"/>
          <w:sz w:val="22"/>
          <w:szCs w:val="22"/>
          <w:lang w:val="sk-SK" w:eastAsia="pt-PT"/>
        </w:rPr>
        <w:t>cid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Fresenius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Kabi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3 mg </w:t>
      </w:r>
      <w:r w:rsidR="00B57A2E" w:rsidRPr="00305462">
        <w:rPr>
          <w:rStyle w:val="FontStyle21"/>
          <w:sz w:val="22"/>
          <w:szCs w:val="22"/>
          <w:lang w:val="sk-SK" w:eastAsia="pt-PT"/>
        </w:rPr>
        <w:t>je v podstate bez sodíka</w:t>
      </w:r>
      <w:r w:rsidRPr="00305462">
        <w:rPr>
          <w:rStyle w:val="FontStyle21"/>
          <w:sz w:val="22"/>
          <w:szCs w:val="22"/>
          <w:lang w:val="sk-SK" w:eastAsia="pt-PT"/>
        </w:rPr>
        <w:t>.</w:t>
      </w:r>
    </w:p>
    <w:p w:rsidR="00005B8B" w:rsidRPr="00305462" w:rsidRDefault="00005B8B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lang w:val="sk-SK" w:eastAsia="pt-PT"/>
        </w:rPr>
      </w:pPr>
    </w:p>
    <w:p w:rsidR="00705DC5" w:rsidRPr="00305462" w:rsidRDefault="00705DC5" w:rsidP="00DF4855">
      <w:pPr>
        <w:pStyle w:val="Style4"/>
        <w:widowControl/>
        <w:tabs>
          <w:tab w:val="left" w:pos="567"/>
        </w:tabs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 xml:space="preserve">4.5 </w:t>
      </w:r>
      <w:r w:rsidR="00B57A2E" w:rsidRPr="00305462">
        <w:rPr>
          <w:rStyle w:val="FontStyle21"/>
          <w:b/>
          <w:sz w:val="22"/>
          <w:szCs w:val="22"/>
          <w:lang w:val="sk-SK" w:eastAsia="pt-PT"/>
        </w:rPr>
        <w:tab/>
        <w:t>Liekové a iné interakcie</w:t>
      </w:r>
    </w:p>
    <w:p w:rsidR="00CC056F" w:rsidRPr="00305462" w:rsidRDefault="00CC056F" w:rsidP="00DF4855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B57A2E" w:rsidRPr="00305462" w:rsidRDefault="00B57A2E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Metabolické interakcie sa nepovažujú za pravdepodobné, pretože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neinhibuje</w:t>
      </w:r>
      <w:proofErr w:type="spellEnd"/>
    </w:p>
    <w:p w:rsidR="00B57A2E" w:rsidRPr="00305462" w:rsidRDefault="00B57A2E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hlavné </w:t>
      </w:r>
      <w:proofErr w:type="spellStart"/>
      <w:r w:rsidRPr="00305462">
        <w:rPr>
          <w:szCs w:val="22"/>
          <w:lang w:val="sk-SK" w:eastAsia="sk-SK"/>
        </w:rPr>
        <w:t>izoenzýmy</w:t>
      </w:r>
      <w:proofErr w:type="spellEnd"/>
      <w:r w:rsidRPr="00305462">
        <w:rPr>
          <w:szCs w:val="22"/>
          <w:lang w:val="sk-SK" w:eastAsia="sk-SK"/>
        </w:rPr>
        <w:t xml:space="preserve"> pečeňového </w:t>
      </w:r>
      <w:proofErr w:type="spellStart"/>
      <w:r w:rsidRPr="00305462">
        <w:rPr>
          <w:szCs w:val="22"/>
          <w:lang w:val="sk-SK" w:eastAsia="sk-SK"/>
        </w:rPr>
        <w:t>cytochrómového</w:t>
      </w:r>
      <w:proofErr w:type="spellEnd"/>
      <w:r w:rsidRPr="00305462">
        <w:rPr>
          <w:szCs w:val="22"/>
          <w:lang w:val="sk-SK" w:eastAsia="sk-SK"/>
        </w:rPr>
        <w:t xml:space="preserve"> systému P450 u ľudí a ukázalo sa, že neindukuje</w:t>
      </w:r>
    </w:p>
    <w:p w:rsidR="00B57A2E" w:rsidRPr="00305462" w:rsidRDefault="00B57A2E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pečeňový </w:t>
      </w:r>
      <w:proofErr w:type="spellStart"/>
      <w:r w:rsidRPr="00305462">
        <w:rPr>
          <w:szCs w:val="22"/>
          <w:lang w:val="sk-SK" w:eastAsia="sk-SK"/>
        </w:rPr>
        <w:t>cytochrómový</w:t>
      </w:r>
      <w:proofErr w:type="spellEnd"/>
      <w:r w:rsidRPr="00305462">
        <w:rPr>
          <w:szCs w:val="22"/>
          <w:lang w:val="sk-SK" w:eastAsia="sk-SK"/>
        </w:rPr>
        <w:t xml:space="preserve"> systém P450 u potkanov (pozri časť 5.2).</w:t>
      </w:r>
    </w:p>
    <w:p w:rsidR="00811E01" w:rsidRPr="00305462" w:rsidRDefault="00B57A2E" w:rsidP="00DF4855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Fonts w:cs="Times New Roman"/>
          <w:sz w:val="22"/>
          <w:szCs w:val="22"/>
          <w:lang w:val="sk-SK" w:eastAsia="sk-SK"/>
        </w:rPr>
        <w:t xml:space="preserve">Kyselina </w:t>
      </w:r>
      <w:proofErr w:type="spellStart"/>
      <w:r w:rsidRPr="00305462">
        <w:rPr>
          <w:rFonts w:cs="Times New Roman"/>
          <w:sz w:val="22"/>
          <w:szCs w:val="22"/>
          <w:lang w:val="sk-SK" w:eastAsia="sk-SK"/>
        </w:rPr>
        <w:t>ibandrónová</w:t>
      </w:r>
      <w:proofErr w:type="spellEnd"/>
      <w:r w:rsidRPr="00305462">
        <w:rPr>
          <w:rFonts w:cs="Times New Roman"/>
          <w:sz w:val="22"/>
          <w:szCs w:val="22"/>
          <w:lang w:val="sk-SK" w:eastAsia="sk-SK"/>
        </w:rPr>
        <w:t xml:space="preserve"> sa vylučuje len </w:t>
      </w:r>
      <w:proofErr w:type="spellStart"/>
      <w:r w:rsidRPr="00305462">
        <w:rPr>
          <w:rFonts w:cs="Times New Roman"/>
          <w:sz w:val="22"/>
          <w:szCs w:val="22"/>
          <w:lang w:val="sk-SK" w:eastAsia="sk-SK"/>
        </w:rPr>
        <w:t>renálnou</w:t>
      </w:r>
      <w:proofErr w:type="spellEnd"/>
      <w:r w:rsidRPr="00305462">
        <w:rPr>
          <w:rFonts w:cs="Times New Roman"/>
          <w:sz w:val="22"/>
          <w:szCs w:val="22"/>
          <w:lang w:val="sk-SK" w:eastAsia="sk-SK"/>
        </w:rPr>
        <w:t xml:space="preserve"> exkréciou a nepodlieha žiadnej </w:t>
      </w:r>
      <w:proofErr w:type="spellStart"/>
      <w:r w:rsidRPr="00305462">
        <w:rPr>
          <w:rFonts w:cs="Times New Roman"/>
          <w:sz w:val="22"/>
          <w:szCs w:val="22"/>
          <w:lang w:val="sk-SK" w:eastAsia="sk-SK"/>
        </w:rPr>
        <w:t>biotransformácii</w:t>
      </w:r>
      <w:proofErr w:type="spellEnd"/>
      <w:r w:rsidRPr="00305462">
        <w:rPr>
          <w:rFonts w:cs="Times New Roman"/>
          <w:sz w:val="22"/>
          <w:szCs w:val="22"/>
          <w:lang w:val="sk-SK" w:eastAsia="sk-SK"/>
        </w:rPr>
        <w:t>.</w:t>
      </w:r>
    </w:p>
    <w:p w:rsidR="00DE151E" w:rsidRPr="00305462" w:rsidRDefault="00DE151E" w:rsidP="00DF4855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705DC5" w:rsidRPr="00305462" w:rsidRDefault="00705DC5" w:rsidP="00DF4855">
      <w:pPr>
        <w:pStyle w:val="Style4"/>
        <w:widowControl/>
        <w:tabs>
          <w:tab w:val="left" w:pos="567"/>
        </w:tabs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>4.6</w:t>
      </w:r>
      <w:r w:rsidR="00B57A2E" w:rsidRPr="00305462">
        <w:rPr>
          <w:rStyle w:val="FontStyle21"/>
          <w:b/>
          <w:sz w:val="22"/>
          <w:szCs w:val="22"/>
          <w:lang w:val="sk-SK" w:eastAsia="pt-PT"/>
        </w:rPr>
        <w:tab/>
      </w:r>
      <w:proofErr w:type="spellStart"/>
      <w:r w:rsidR="00B57A2E" w:rsidRPr="00305462">
        <w:rPr>
          <w:rStyle w:val="FontStyle21"/>
          <w:b/>
          <w:sz w:val="22"/>
          <w:szCs w:val="22"/>
          <w:lang w:val="sk-SK" w:eastAsia="pt-PT"/>
        </w:rPr>
        <w:t>Fertilita</w:t>
      </w:r>
      <w:proofErr w:type="spellEnd"/>
      <w:r w:rsidR="00B57A2E" w:rsidRPr="00305462">
        <w:rPr>
          <w:rStyle w:val="FontStyle21"/>
          <w:b/>
          <w:sz w:val="22"/>
          <w:szCs w:val="22"/>
          <w:lang w:val="sk-SK" w:eastAsia="pt-PT"/>
        </w:rPr>
        <w:t>, gravidita a laktácia</w:t>
      </w:r>
    </w:p>
    <w:p w:rsidR="00CC056F" w:rsidRPr="00305462" w:rsidRDefault="00CC056F" w:rsidP="00DF4855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8441B7" w:rsidRPr="00305462" w:rsidRDefault="00B57A2E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  <w:lang w:val="sk-SK" w:eastAsia="pt-PT"/>
        </w:rPr>
      </w:pPr>
      <w:r w:rsidRPr="00305462">
        <w:rPr>
          <w:b/>
          <w:szCs w:val="22"/>
          <w:lang w:val="sk-SK" w:eastAsia="pt-PT"/>
        </w:rPr>
        <w:t>Gravidita</w:t>
      </w:r>
    </w:p>
    <w:p w:rsidR="00B57A2E" w:rsidRPr="00305462" w:rsidRDefault="00B57A2E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222222"/>
          <w:szCs w:val="22"/>
          <w:lang w:val="sk-SK" w:eastAsia="sk-SK"/>
        </w:rPr>
      </w:pPr>
      <w:proofErr w:type="spellStart"/>
      <w:r w:rsidRPr="00305462">
        <w:rPr>
          <w:color w:val="222222"/>
          <w:szCs w:val="22"/>
          <w:lang w:val="sk-SK" w:eastAsia="sk-SK"/>
        </w:rPr>
        <w:t>Ibandronic</w:t>
      </w:r>
      <w:proofErr w:type="spellEnd"/>
      <w:r w:rsidRPr="00305462">
        <w:rPr>
          <w:color w:val="222222"/>
          <w:szCs w:val="22"/>
          <w:lang w:val="sk-SK" w:eastAsia="sk-SK"/>
        </w:rPr>
        <w:t xml:space="preserve"> </w:t>
      </w:r>
      <w:proofErr w:type="spellStart"/>
      <w:r w:rsidRPr="00305462">
        <w:rPr>
          <w:color w:val="222222"/>
          <w:szCs w:val="22"/>
          <w:lang w:val="sk-SK" w:eastAsia="sk-SK"/>
        </w:rPr>
        <w:t>Acid</w:t>
      </w:r>
      <w:proofErr w:type="spellEnd"/>
      <w:r w:rsidRPr="00305462">
        <w:rPr>
          <w:color w:val="222222"/>
          <w:szCs w:val="22"/>
          <w:lang w:val="sk-SK" w:eastAsia="sk-SK"/>
        </w:rPr>
        <w:t xml:space="preserve"> </w:t>
      </w:r>
      <w:proofErr w:type="spellStart"/>
      <w:r w:rsidRPr="00305462">
        <w:rPr>
          <w:color w:val="222222"/>
          <w:szCs w:val="22"/>
          <w:lang w:val="sk-SK" w:eastAsia="sk-SK"/>
        </w:rPr>
        <w:t>Fresenius</w:t>
      </w:r>
      <w:proofErr w:type="spellEnd"/>
      <w:r w:rsidRPr="00305462">
        <w:rPr>
          <w:color w:val="222222"/>
          <w:szCs w:val="22"/>
          <w:lang w:val="sk-SK" w:eastAsia="sk-SK"/>
        </w:rPr>
        <w:t xml:space="preserve"> </w:t>
      </w:r>
      <w:proofErr w:type="spellStart"/>
      <w:r w:rsidRPr="00305462">
        <w:rPr>
          <w:color w:val="222222"/>
          <w:szCs w:val="22"/>
          <w:lang w:val="sk-SK" w:eastAsia="sk-SK"/>
        </w:rPr>
        <w:t>Kabi</w:t>
      </w:r>
      <w:proofErr w:type="spellEnd"/>
      <w:r w:rsidRPr="00305462">
        <w:rPr>
          <w:color w:val="222222"/>
          <w:szCs w:val="22"/>
          <w:lang w:val="sk-SK" w:eastAsia="sk-SK"/>
        </w:rPr>
        <w:t xml:space="preserve"> 3 mg injekčný roztok naplnený v injekčnej striekačke je určený len na použitie u žien po </w:t>
      </w:r>
      <w:proofErr w:type="spellStart"/>
      <w:r w:rsidRPr="00305462">
        <w:rPr>
          <w:color w:val="222222"/>
          <w:szCs w:val="22"/>
          <w:lang w:val="sk-SK" w:eastAsia="sk-SK"/>
        </w:rPr>
        <w:t>menopauze</w:t>
      </w:r>
      <w:proofErr w:type="spellEnd"/>
      <w:r w:rsidRPr="00305462">
        <w:rPr>
          <w:color w:val="222222"/>
          <w:szCs w:val="22"/>
          <w:lang w:val="sk-SK" w:eastAsia="sk-SK"/>
        </w:rPr>
        <w:t xml:space="preserve"> a nesmú ju používať ženy v reprodukčnom veku.</w:t>
      </w:r>
    </w:p>
    <w:p w:rsidR="00B57A2E" w:rsidRPr="00305462" w:rsidRDefault="00B57A2E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sk-SK"/>
        </w:rPr>
      </w:pPr>
    </w:p>
    <w:p w:rsidR="00B57A2E" w:rsidRPr="00305462" w:rsidRDefault="00B57A2E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sk-SK"/>
        </w:rPr>
      </w:pPr>
      <w:r w:rsidRPr="00305462">
        <w:rPr>
          <w:color w:val="000000"/>
          <w:szCs w:val="22"/>
          <w:lang w:val="sk-SK" w:eastAsia="sk-SK"/>
        </w:rPr>
        <w:t xml:space="preserve">Nie sú dostupné žiadne adekvátne údaje o používaní kyseliny </w:t>
      </w:r>
      <w:proofErr w:type="spellStart"/>
      <w:r w:rsidRPr="00305462">
        <w:rPr>
          <w:color w:val="000000"/>
          <w:szCs w:val="22"/>
          <w:lang w:val="sk-SK" w:eastAsia="sk-SK"/>
        </w:rPr>
        <w:t>ibandrónovej</w:t>
      </w:r>
      <w:proofErr w:type="spellEnd"/>
      <w:r w:rsidRPr="00305462">
        <w:rPr>
          <w:color w:val="000000"/>
          <w:szCs w:val="22"/>
          <w:lang w:val="sk-SK" w:eastAsia="sk-SK"/>
        </w:rPr>
        <w:t xml:space="preserve"> u gravidných žien. Štúdie</w:t>
      </w:r>
    </w:p>
    <w:p w:rsidR="00B57A2E" w:rsidRPr="00305462" w:rsidRDefault="00B57A2E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sk-SK"/>
        </w:rPr>
      </w:pPr>
      <w:r w:rsidRPr="00305462">
        <w:rPr>
          <w:color w:val="000000"/>
          <w:szCs w:val="22"/>
          <w:lang w:val="sk-SK" w:eastAsia="sk-SK"/>
        </w:rPr>
        <w:t>vykonané na potkanoch dokázali určitú reprodukčnú toxicitu (pozri časť 5.3). Potenciálne riziko pre</w:t>
      </w:r>
    </w:p>
    <w:p w:rsidR="003C2A4C" w:rsidRPr="00305462" w:rsidRDefault="00B57A2E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color w:val="000000"/>
          <w:sz w:val="22"/>
          <w:szCs w:val="22"/>
          <w:lang w:val="sk-SK" w:eastAsia="sk-SK"/>
        </w:rPr>
      </w:pPr>
      <w:r w:rsidRPr="00305462">
        <w:rPr>
          <w:color w:val="000000"/>
          <w:szCs w:val="22"/>
          <w:lang w:val="sk-SK" w:eastAsia="sk-SK"/>
        </w:rPr>
        <w:t xml:space="preserve">ľudí nie je známe. Kyselina </w:t>
      </w:r>
      <w:proofErr w:type="spellStart"/>
      <w:r w:rsidRPr="00305462">
        <w:rPr>
          <w:color w:val="000000"/>
          <w:szCs w:val="22"/>
          <w:lang w:val="sk-SK" w:eastAsia="sk-SK"/>
        </w:rPr>
        <w:t>ibandrónová</w:t>
      </w:r>
      <w:proofErr w:type="spellEnd"/>
      <w:r w:rsidRPr="00305462">
        <w:rPr>
          <w:color w:val="000000"/>
          <w:szCs w:val="22"/>
          <w:lang w:val="sk-SK" w:eastAsia="sk-SK"/>
        </w:rPr>
        <w:t xml:space="preserve"> sa nemá používať počas gravidity.</w:t>
      </w:r>
    </w:p>
    <w:p w:rsidR="00B57A2E" w:rsidRPr="00305462" w:rsidRDefault="00B57A2E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b/>
          <w:sz w:val="22"/>
          <w:szCs w:val="22"/>
          <w:lang w:val="sk-SK"/>
        </w:rPr>
      </w:pPr>
    </w:p>
    <w:p w:rsidR="008441B7" w:rsidRPr="00305462" w:rsidRDefault="00820217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b/>
          <w:sz w:val="22"/>
          <w:szCs w:val="22"/>
          <w:lang w:val="sk-SK"/>
        </w:rPr>
      </w:pPr>
      <w:r w:rsidRPr="00305462">
        <w:rPr>
          <w:rStyle w:val="FontStyle21"/>
          <w:rFonts w:eastAsia="MS Mincho"/>
          <w:b/>
          <w:sz w:val="22"/>
          <w:szCs w:val="22"/>
          <w:lang w:val="sk-SK"/>
        </w:rPr>
        <w:t>Dojčenie</w:t>
      </w:r>
    </w:p>
    <w:p w:rsidR="00820217" w:rsidRPr="00305462" w:rsidRDefault="00820217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Nie je známe, či sa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vylučuje do materského mlieka. Štúdie vykonané u</w:t>
      </w:r>
    </w:p>
    <w:p w:rsidR="00820217" w:rsidRPr="00305462" w:rsidRDefault="00820217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dojčiacich potkanov dokázali prítomnosť nízkych hladín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v mlieku po</w:t>
      </w:r>
    </w:p>
    <w:p w:rsidR="00811E01" w:rsidRPr="00305462" w:rsidRDefault="00820217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sz w:val="22"/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intravenóznom podaní. </w:t>
      </w:r>
      <w:r w:rsidR="00781CEA" w:rsidRPr="00305462">
        <w:rPr>
          <w:color w:val="000000"/>
          <w:szCs w:val="22"/>
          <w:lang w:val="sk-SK" w:eastAsia="sk-SK"/>
        </w:rPr>
        <w:t xml:space="preserve">Kyselina </w:t>
      </w:r>
      <w:proofErr w:type="spellStart"/>
      <w:r w:rsidR="00781CEA" w:rsidRPr="00305462">
        <w:rPr>
          <w:color w:val="000000"/>
          <w:szCs w:val="22"/>
          <w:lang w:val="sk-SK" w:eastAsia="sk-SK"/>
        </w:rPr>
        <w:t>ibandrónová</w:t>
      </w:r>
      <w:proofErr w:type="spellEnd"/>
      <w:r w:rsidR="00781CEA" w:rsidRPr="00305462">
        <w:rPr>
          <w:color w:val="000000"/>
          <w:szCs w:val="22"/>
          <w:lang w:val="sk-SK" w:eastAsia="sk-SK"/>
        </w:rPr>
        <w:t xml:space="preserve"> sa nemá používať </w:t>
      </w:r>
      <w:r w:rsidRPr="00305462">
        <w:rPr>
          <w:szCs w:val="22"/>
          <w:lang w:val="sk-SK" w:eastAsia="sk-SK"/>
        </w:rPr>
        <w:t>počas</w:t>
      </w:r>
      <w:r w:rsidR="00781CEA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dojčenia.</w:t>
      </w:r>
    </w:p>
    <w:p w:rsidR="00811E01" w:rsidRPr="00305462" w:rsidRDefault="00811E01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sz w:val="22"/>
          <w:szCs w:val="22"/>
          <w:lang w:val="sk-SK" w:eastAsia="pt-PT"/>
        </w:rPr>
      </w:pPr>
    </w:p>
    <w:p w:rsidR="00811E01" w:rsidRPr="00305462" w:rsidRDefault="00811E01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rFonts w:eastAsia="MS Mincho"/>
          <w:b/>
          <w:sz w:val="22"/>
          <w:szCs w:val="22"/>
          <w:lang w:val="sk-SK" w:eastAsia="pt-PT"/>
        </w:rPr>
      </w:pPr>
      <w:proofErr w:type="spellStart"/>
      <w:r w:rsidRPr="00305462">
        <w:rPr>
          <w:rStyle w:val="FontStyle21"/>
          <w:rFonts w:eastAsia="MS Mincho"/>
          <w:b/>
          <w:sz w:val="22"/>
          <w:szCs w:val="22"/>
          <w:lang w:val="sk-SK" w:eastAsia="pt-PT"/>
        </w:rPr>
        <w:t>Fertilit</w:t>
      </w:r>
      <w:r w:rsidR="00781CEA" w:rsidRPr="00305462">
        <w:rPr>
          <w:rStyle w:val="FontStyle21"/>
          <w:rFonts w:eastAsia="MS Mincho"/>
          <w:b/>
          <w:sz w:val="22"/>
          <w:szCs w:val="22"/>
          <w:lang w:val="sk-SK" w:eastAsia="pt-PT"/>
        </w:rPr>
        <w:t>a</w:t>
      </w:r>
      <w:proofErr w:type="spellEnd"/>
      <w:r w:rsidRPr="00305462">
        <w:rPr>
          <w:rStyle w:val="FontStyle21"/>
          <w:rFonts w:eastAsia="MS Mincho"/>
          <w:b/>
          <w:sz w:val="22"/>
          <w:szCs w:val="22"/>
          <w:lang w:val="sk-SK" w:eastAsia="pt-PT"/>
        </w:rPr>
        <w:t xml:space="preserve"> </w:t>
      </w:r>
    </w:p>
    <w:p w:rsidR="00781CEA" w:rsidRPr="00305462" w:rsidRDefault="00781CEA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Nie sú k dispozícii údaje o účinkoch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u ľudí. V reprodukčných štúdiách u</w:t>
      </w:r>
    </w:p>
    <w:p w:rsidR="00781CEA" w:rsidRPr="00305462" w:rsidRDefault="00781CEA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potkanov perorálne podávaná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znížila </w:t>
      </w:r>
      <w:proofErr w:type="spellStart"/>
      <w:r w:rsidRPr="00305462">
        <w:rPr>
          <w:szCs w:val="22"/>
          <w:lang w:val="sk-SK" w:eastAsia="sk-SK"/>
        </w:rPr>
        <w:t>fertilitu</w:t>
      </w:r>
      <w:proofErr w:type="spellEnd"/>
      <w:r w:rsidRPr="00305462">
        <w:rPr>
          <w:szCs w:val="22"/>
          <w:lang w:val="sk-SK" w:eastAsia="sk-SK"/>
        </w:rPr>
        <w:t>. V štúdiách u potkanov</w:t>
      </w:r>
    </w:p>
    <w:p w:rsidR="00781CEA" w:rsidRPr="00305462" w:rsidRDefault="00781CEA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intravenózne podávaná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znížila </w:t>
      </w:r>
      <w:proofErr w:type="spellStart"/>
      <w:r w:rsidRPr="00305462">
        <w:rPr>
          <w:szCs w:val="22"/>
          <w:lang w:val="sk-SK" w:eastAsia="sk-SK"/>
        </w:rPr>
        <w:t>fertilitu</w:t>
      </w:r>
      <w:proofErr w:type="spellEnd"/>
      <w:r w:rsidRPr="00305462">
        <w:rPr>
          <w:szCs w:val="22"/>
          <w:lang w:val="sk-SK" w:eastAsia="sk-SK"/>
        </w:rPr>
        <w:t xml:space="preserve"> pri vysokých denných dávkach (pozri</w:t>
      </w:r>
    </w:p>
    <w:p w:rsidR="00811E01" w:rsidRPr="00305462" w:rsidRDefault="00781CEA" w:rsidP="00DF4855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  <w:r w:rsidRPr="00305462">
        <w:rPr>
          <w:rFonts w:cs="Times New Roman"/>
          <w:sz w:val="22"/>
          <w:szCs w:val="22"/>
          <w:lang w:val="sk-SK" w:eastAsia="sk-SK"/>
        </w:rPr>
        <w:t>časť 5.3).</w:t>
      </w:r>
    </w:p>
    <w:p w:rsidR="00781CEA" w:rsidRPr="00305462" w:rsidRDefault="00781CEA" w:rsidP="00DF4855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705DC5" w:rsidRPr="00305462" w:rsidRDefault="00705DC5" w:rsidP="00DF4855">
      <w:pPr>
        <w:pStyle w:val="Style4"/>
        <w:widowControl/>
        <w:tabs>
          <w:tab w:val="left" w:pos="567"/>
        </w:tabs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>4.7</w:t>
      </w:r>
      <w:r w:rsidR="00781CEA" w:rsidRPr="00305462">
        <w:rPr>
          <w:rStyle w:val="FontStyle21"/>
          <w:b/>
          <w:sz w:val="22"/>
          <w:szCs w:val="22"/>
          <w:lang w:val="sk-SK" w:eastAsia="pt-PT"/>
        </w:rPr>
        <w:tab/>
        <w:t>Ovplyvnenie schopnosti viesť vozidlá a obsluhovať stroje</w:t>
      </w:r>
    </w:p>
    <w:p w:rsidR="00B816F8" w:rsidRPr="00305462" w:rsidRDefault="00B816F8" w:rsidP="00DF4855">
      <w:pPr>
        <w:pStyle w:val="Style4"/>
        <w:widowControl/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</w:p>
    <w:p w:rsidR="00781CEA" w:rsidRPr="00305462" w:rsidRDefault="00781CEA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Na základe </w:t>
      </w:r>
      <w:proofErr w:type="spellStart"/>
      <w:r w:rsidRPr="00305462">
        <w:rPr>
          <w:szCs w:val="22"/>
          <w:lang w:val="sk-SK" w:eastAsia="sk-SK"/>
        </w:rPr>
        <w:t>farmakodynamického</w:t>
      </w:r>
      <w:proofErr w:type="spellEnd"/>
      <w:r w:rsidRPr="00305462">
        <w:rPr>
          <w:szCs w:val="22"/>
          <w:lang w:val="sk-SK" w:eastAsia="sk-SK"/>
        </w:rPr>
        <w:t xml:space="preserve"> a </w:t>
      </w:r>
      <w:proofErr w:type="spellStart"/>
      <w:r w:rsidRPr="00305462">
        <w:rPr>
          <w:szCs w:val="22"/>
          <w:lang w:val="sk-SK" w:eastAsia="sk-SK"/>
        </w:rPr>
        <w:t>farmakokinetického</w:t>
      </w:r>
      <w:proofErr w:type="spellEnd"/>
      <w:r w:rsidRPr="00305462">
        <w:rPr>
          <w:szCs w:val="22"/>
          <w:lang w:val="sk-SK" w:eastAsia="sk-SK"/>
        </w:rPr>
        <w:t xml:space="preserve"> profilu a hlásených nežiaducich reakcií sa</w:t>
      </w:r>
    </w:p>
    <w:p w:rsidR="00CC056F" w:rsidRPr="00305462" w:rsidRDefault="00781CEA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predpokladá, že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nemá žiadny alebo má zanedbateľný vplyv na schopnosť viesť vozidlá a obsluhovať stroje.</w:t>
      </w:r>
    </w:p>
    <w:p w:rsidR="00811E01" w:rsidRPr="00305462" w:rsidRDefault="00811E01" w:rsidP="00DF4855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705DC5" w:rsidRPr="00305462" w:rsidRDefault="00705DC5" w:rsidP="00DF4855">
      <w:pPr>
        <w:pStyle w:val="Style4"/>
        <w:widowControl/>
        <w:tabs>
          <w:tab w:val="left" w:pos="567"/>
        </w:tabs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  <w:r w:rsidRPr="00305462">
        <w:rPr>
          <w:rStyle w:val="FontStyle21"/>
          <w:b/>
          <w:sz w:val="22"/>
          <w:szCs w:val="22"/>
          <w:lang w:val="sk-SK" w:eastAsia="pt-PT"/>
        </w:rPr>
        <w:t>4.8</w:t>
      </w:r>
      <w:r w:rsidR="00DB26D8" w:rsidRPr="00305462">
        <w:rPr>
          <w:rStyle w:val="FontStyle21"/>
          <w:b/>
          <w:sz w:val="22"/>
          <w:szCs w:val="22"/>
          <w:lang w:val="sk-SK" w:eastAsia="pt-PT"/>
        </w:rPr>
        <w:tab/>
        <w:t>Nežiaduce účinky</w:t>
      </w:r>
    </w:p>
    <w:p w:rsidR="006D1FC2" w:rsidRPr="00305462" w:rsidRDefault="006D1FC2" w:rsidP="00DF4855">
      <w:pPr>
        <w:pStyle w:val="Style4"/>
        <w:widowControl/>
        <w:spacing w:before="14" w:line="250" w:lineRule="exact"/>
        <w:jc w:val="both"/>
        <w:rPr>
          <w:rStyle w:val="FontStyle21"/>
          <w:b/>
          <w:sz w:val="22"/>
          <w:szCs w:val="22"/>
          <w:lang w:val="sk-SK" w:eastAsia="pt-PT"/>
        </w:rPr>
      </w:pPr>
    </w:p>
    <w:p w:rsidR="00B816F8" w:rsidRPr="00305462" w:rsidRDefault="00B816F8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pt-PT"/>
        </w:rPr>
      </w:pPr>
      <w:r w:rsidRPr="00305462">
        <w:rPr>
          <w:color w:val="000000"/>
          <w:szCs w:val="22"/>
          <w:u w:val="single"/>
          <w:lang w:val="sk-SK" w:eastAsia="pt-PT"/>
        </w:rPr>
        <w:t>S</w:t>
      </w:r>
      <w:r w:rsidR="00DB26D8" w:rsidRPr="00305462">
        <w:rPr>
          <w:color w:val="000000"/>
          <w:szCs w:val="22"/>
          <w:u w:val="single"/>
          <w:lang w:val="sk-SK" w:eastAsia="pt-PT"/>
        </w:rPr>
        <w:t>úhrn bezpečnostného profilu</w:t>
      </w:r>
      <w:r w:rsidRPr="00305462">
        <w:rPr>
          <w:color w:val="000000"/>
          <w:szCs w:val="22"/>
          <w:u w:val="single"/>
          <w:lang w:val="sk-SK" w:eastAsia="pt-PT"/>
        </w:rPr>
        <w:t xml:space="preserve"> </w:t>
      </w:r>
    </w:p>
    <w:p w:rsidR="00B816F8" w:rsidRPr="00305462" w:rsidRDefault="00B816F8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pt-PT"/>
        </w:rPr>
      </w:pPr>
    </w:p>
    <w:p w:rsidR="00DB26D8" w:rsidRPr="00305462" w:rsidRDefault="00DB26D8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222222"/>
          <w:szCs w:val="22"/>
          <w:lang w:val="sk-SK" w:eastAsia="sk-SK"/>
        </w:rPr>
      </w:pPr>
      <w:r w:rsidRPr="00305462">
        <w:rPr>
          <w:color w:val="222222"/>
          <w:szCs w:val="22"/>
          <w:lang w:val="sk-SK" w:eastAsia="sk-SK"/>
        </w:rPr>
        <w:t xml:space="preserve">Najzávažnejšie hlásené nežiaduce reakcie sú </w:t>
      </w:r>
      <w:proofErr w:type="spellStart"/>
      <w:r w:rsidRPr="00305462">
        <w:rPr>
          <w:color w:val="222222"/>
          <w:szCs w:val="22"/>
          <w:lang w:val="sk-SK" w:eastAsia="sk-SK"/>
        </w:rPr>
        <w:t>anafylaktick</w:t>
      </w:r>
      <w:r w:rsidR="0074478F" w:rsidRPr="00305462">
        <w:rPr>
          <w:color w:val="222222"/>
          <w:szCs w:val="22"/>
          <w:lang w:val="sk-SK" w:eastAsia="sk-SK"/>
        </w:rPr>
        <w:t>á</w:t>
      </w:r>
      <w:proofErr w:type="spellEnd"/>
      <w:r w:rsidR="0074478F" w:rsidRPr="00305462">
        <w:rPr>
          <w:color w:val="222222"/>
          <w:szCs w:val="22"/>
          <w:lang w:val="sk-SK" w:eastAsia="sk-SK"/>
        </w:rPr>
        <w:t xml:space="preserve"> reakcia/</w:t>
      </w:r>
      <w:r w:rsidRPr="00305462">
        <w:rPr>
          <w:color w:val="222222"/>
          <w:szCs w:val="22"/>
          <w:lang w:val="sk-SK" w:eastAsia="sk-SK"/>
        </w:rPr>
        <w:t>šok, atypické zlomeniny stehennej</w:t>
      </w:r>
    </w:p>
    <w:p w:rsidR="00DB26D8" w:rsidRPr="00305462" w:rsidRDefault="00DB26D8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222222"/>
          <w:szCs w:val="22"/>
          <w:lang w:val="sk-SK" w:eastAsia="sk-SK"/>
        </w:rPr>
      </w:pPr>
      <w:r w:rsidRPr="00305462">
        <w:rPr>
          <w:color w:val="222222"/>
          <w:szCs w:val="22"/>
          <w:lang w:val="sk-SK" w:eastAsia="sk-SK"/>
        </w:rPr>
        <w:t xml:space="preserve">kosti, </w:t>
      </w:r>
      <w:proofErr w:type="spellStart"/>
      <w:r w:rsidRPr="00305462">
        <w:rPr>
          <w:color w:val="222222"/>
          <w:szCs w:val="22"/>
          <w:lang w:val="sk-SK" w:eastAsia="sk-SK"/>
        </w:rPr>
        <w:t>osteonekróza</w:t>
      </w:r>
      <w:proofErr w:type="spellEnd"/>
      <w:r w:rsidRPr="00305462">
        <w:rPr>
          <w:color w:val="222222"/>
          <w:szCs w:val="22"/>
          <w:lang w:val="sk-SK" w:eastAsia="sk-SK"/>
        </w:rPr>
        <w:t xml:space="preserve"> čeľ</w:t>
      </w:r>
      <w:r w:rsidR="0074478F" w:rsidRPr="00305462">
        <w:rPr>
          <w:color w:val="222222"/>
          <w:szCs w:val="22"/>
          <w:lang w:val="sk-SK" w:eastAsia="sk-SK"/>
        </w:rPr>
        <w:t>uste a z</w:t>
      </w:r>
      <w:r w:rsidRPr="00305462">
        <w:rPr>
          <w:color w:val="222222"/>
          <w:szCs w:val="22"/>
          <w:lang w:val="sk-SK" w:eastAsia="sk-SK"/>
        </w:rPr>
        <w:t>ápal oka (pozri odsek "Popis vybraných</w:t>
      </w:r>
      <w:r w:rsidR="0074478F" w:rsidRPr="00305462">
        <w:rPr>
          <w:color w:val="222222"/>
          <w:szCs w:val="22"/>
          <w:lang w:val="sk-SK" w:eastAsia="sk-SK"/>
        </w:rPr>
        <w:t xml:space="preserve"> </w:t>
      </w:r>
      <w:r w:rsidRPr="00305462">
        <w:rPr>
          <w:color w:val="222222"/>
          <w:szCs w:val="22"/>
          <w:lang w:val="sk-SK" w:eastAsia="sk-SK"/>
        </w:rPr>
        <w:t>nežiaducich reakcií" a časť 4.4).</w:t>
      </w:r>
    </w:p>
    <w:p w:rsidR="0074478F" w:rsidRPr="00305462" w:rsidRDefault="0074478F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sk-SK"/>
        </w:rPr>
      </w:pPr>
    </w:p>
    <w:p w:rsidR="00DB26D8" w:rsidRPr="00305462" w:rsidRDefault="00DB26D8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sk-SK"/>
        </w:rPr>
      </w:pPr>
      <w:r w:rsidRPr="00305462">
        <w:rPr>
          <w:color w:val="000000"/>
          <w:szCs w:val="22"/>
          <w:lang w:val="sk-SK" w:eastAsia="sk-SK"/>
        </w:rPr>
        <w:t>Najčastejšie hlásené než</w:t>
      </w:r>
      <w:r w:rsidR="0074478F" w:rsidRPr="00305462">
        <w:rPr>
          <w:color w:val="000000"/>
          <w:szCs w:val="22"/>
          <w:lang w:val="sk-SK" w:eastAsia="sk-SK"/>
        </w:rPr>
        <w:t xml:space="preserve">iaduce reakcie </w:t>
      </w:r>
      <w:r w:rsidRPr="00305462">
        <w:rPr>
          <w:color w:val="000000"/>
          <w:szCs w:val="22"/>
          <w:lang w:val="sk-SK" w:eastAsia="sk-SK"/>
        </w:rPr>
        <w:t xml:space="preserve">boli </w:t>
      </w:r>
      <w:proofErr w:type="spellStart"/>
      <w:r w:rsidRPr="00305462">
        <w:rPr>
          <w:color w:val="000000"/>
          <w:szCs w:val="22"/>
          <w:lang w:val="sk-SK" w:eastAsia="sk-SK"/>
        </w:rPr>
        <w:t>artralgia</w:t>
      </w:r>
      <w:proofErr w:type="spellEnd"/>
      <w:r w:rsidRPr="00305462">
        <w:rPr>
          <w:color w:val="000000"/>
          <w:szCs w:val="22"/>
          <w:lang w:val="sk-SK" w:eastAsia="sk-SK"/>
        </w:rPr>
        <w:t xml:space="preserve"> a príznaky podobné chrípke. Tieto príznaky</w:t>
      </w:r>
      <w:r w:rsidR="0074478F" w:rsidRPr="00305462">
        <w:rPr>
          <w:color w:val="000000"/>
          <w:szCs w:val="22"/>
          <w:lang w:val="sk-SK" w:eastAsia="sk-SK"/>
        </w:rPr>
        <w:t xml:space="preserve"> sú</w:t>
      </w:r>
    </w:p>
    <w:p w:rsidR="00DB26D8" w:rsidRPr="00305462" w:rsidRDefault="00DB26D8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sk-SK"/>
        </w:rPr>
      </w:pPr>
      <w:r w:rsidRPr="00305462">
        <w:rPr>
          <w:color w:val="000000"/>
          <w:szCs w:val="22"/>
          <w:lang w:val="sk-SK" w:eastAsia="sk-SK"/>
        </w:rPr>
        <w:t>typické pri podaní prvej dávky, zvyčajne majú krátke trvanie, miernu alebo strednú intenzitu</w:t>
      </w:r>
    </w:p>
    <w:p w:rsidR="00DB26D8" w:rsidRPr="00305462" w:rsidRDefault="00DB26D8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sk-SK"/>
        </w:rPr>
      </w:pPr>
      <w:r w:rsidRPr="00305462">
        <w:rPr>
          <w:color w:val="000000"/>
          <w:szCs w:val="22"/>
          <w:lang w:val="sk-SK" w:eastAsia="sk-SK"/>
        </w:rPr>
        <w:t>a zvyčajne ustúpia počas pokračovania v liečbe bez nutnosti ich liečby (pozri odsek „Ochorenie</w:t>
      </w:r>
    </w:p>
    <w:p w:rsidR="00B816F8" w:rsidRPr="00305462" w:rsidRDefault="00DB26D8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sk-SK" w:eastAsia="pt-PT"/>
        </w:rPr>
      </w:pPr>
      <w:r w:rsidRPr="00305462">
        <w:rPr>
          <w:color w:val="000000"/>
          <w:szCs w:val="22"/>
          <w:lang w:val="sk-SK" w:eastAsia="sk-SK"/>
        </w:rPr>
        <w:t>podobné chrípke“).</w:t>
      </w:r>
    </w:p>
    <w:p w:rsidR="0074478F" w:rsidRPr="00305462" w:rsidRDefault="0074478F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sk-SK" w:eastAsia="pt-PT"/>
        </w:rPr>
      </w:pPr>
    </w:p>
    <w:p w:rsidR="00B816F8" w:rsidRPr="00305462" w:rsidRDefault="0074478F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pt-PT"/>
        </w:rPr>
      </w:pPr>
      <w:r w:rsidRPr="00305462">
        <w:rPr>
          <w:color w:val="000000"/>
          <w:szCs w:val="22"/>
          <w:u w:val="single"/>
          <w:lang w:val="sk-SK" w:eastAsia="pt-PT"/>
        </w:rPr>
        <w:t>Zoznam nežiaducich reakcií v tabuľke</w:t>
      </w:r>
      <w:r w:rsidR="00B816F8" w:rsidRPr="00305462">
        <w:rPr>
          <w:color w:val="000000"/>
          <w:szCs w:val="22"/>
          <w:u w:val="single"/>
          <w:lang w:val="sk-SK" w:eastAsia="pt-PT"/>
        </w:rPr>
        <w:t xml:space="preserve"> </w:t>
      </w:r>
    </w:p>
    <w:p w:rsidR="00B816F8" w:rsidRPr="00305462" w:rsidRDefault="0074478F" w:rsidP="00DF48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>V tabuľke 1 je uvedený úplný zoznam známych nežiaducich reakcií.</w:t>
      </w:r>
    </w:p>
    <w:p w:rsidR="000C3724" w:rsidRPr="00305462" w:rsidRDefault="000C3724" w:rsidP="00B816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pt-PT"/>
        </w:rPr>
      </w:pPr>
    </w:p>
    <w:p w:rsidR="00B816F8" w:rsidRPr="00305462" w:rsidRDefault="0074478F" w:rsidP="009B688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Bezpečnosť perorálnej liečby </w:t>
      </w:r>
      <w:r w:rsidR="00097ABB" w:rsidRPr="00305462">
        <w:rPr>
          <w:szCs w:val="22"/>
          <w:lang w:val="sk-SK" w:eastAsia="sk-SK"/>
        </w:rPr>
        <w:t xml:space="preserve">2,5 mg </w:t>
      </w:r>
      <w:r w:rsidRPr="00305462">
        <w:rPr>
          <w:szCs w:val="22"/>
          <w:lang w:val="sk-SK" w:eastAsia="sk-SK"/>
        </w:rPr>
        <w:t xml:space="preserve">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="00097ABB" w:rsidRPr="00305462">
        <w:rPr>
          <w:szCs w:val="22"/>
          <w:lang w:val="sk-SK" w:eastAsia="sk-SK"/>
        </w:rPr>
        <w:t xml:space="preserve"> denne</w:t>
      </w:r>
      <w:r w:rsidRPr="00305462">
        <w:rPr>
          <w:szCs w:val="22"/>
          <w:lang w:val="sk-SK" w:eastAsia="sk-SK"/>
        </w:rPr>
        <w:t xml:space="preserve"> bola vyhodnotená u 1251 pacient</w:t>
      </w:r>
      <w:r w:rsidR="00AC631D" w:rsidRPr="00305462">
        <w:rPr>
          <w:szCs w:val="22"/>
          <w:lang w:val="sk-SK" w:eastAsia="sk-SK"/>
        </w:rPr>
        <w:t>o</w:t>
      </w:r>
      <w:r w:rsidR="00097ABB" w:rsidRPr="00305462">
        <w:rPr>
          <w:szCs w:val="22"/>
          <w:lang w:val="sk-SK" w:eastAsia="sk-SK"/>
        </w:rPr>
        <w:t>k</w:t>
      </w:r>
      <w:r w:rsidRPr="00305462">
        <w:rPr>
          <w:szCs w:val="22"/>
          <w:lang w:val="sk-SK" w:eastAsia="sk-SK"/>
        </w:rPr>
        <w:t xml:space="preserve"> liečených v 4 </w:t>
      </w:r>
      <w:proofErr w:type="spellStart"/>
      <w:r w:rsidRPr="00305462">
        <w:rPr>
          <w:szCs w:val="22"/>
          <w:lang w:val="sk-SK" w:eastAsia="sk-SK"/>
        </w:rPr>
        <w:t>placebom</w:t>
      </w:r>
      <w:proofErr w:type="spellEnd"/>
      <w:r w:rsidRPr="00305462">
        <w:rPr>
          <w:szCs w:val="22"/>
          <w:lang w:val="sk-SK" w:eastAsia="sk-SK"/>
        </w:rPr>
        <w:t xml:space="preserve"> kontrolovaných klinických štúdiách, z ktorých veľká väčšina pacient</w:t>
      </w:r>
      <w:r w:rsidR="00AC631D" w:rsidRPr="00305462">
        <w:rPr>
          <w:szCs w:val="22"/>
          <w:lang w:val="sk-SK" w:eastAsia="sk-SK"/>
        </w:rPr>
        <w:t>o</w:t>
      </w:r>
      <w:r w:rsidR="00097ABB" w:rsidRPr="00305462">
        <w:rPr>
          <w:szCs w:val="22"/>
          <w:lang w:val="sk-SK" w:eastAsia="sk-SK"/>
        </w:rPr>
        <w:t>k</w:t>
      </w:r>
      <w:r w:rsidRPr="00305462">
        <w:rPr>
          <w:szCs w:val="22"/>
          <w:lang w:val="sk-SK" w:eastAsia="sk-SK"/>
        </w:rPr>
        <w:t xml:space="preserve"> sa zúčastnila </w:t>
      </w:r>
      <w:proofErr w:type="spellStart"/>
      <w:r w:rsidRPr="00305462">
        <w:rPr>
          <w:szCs w:val="22"/>
          <w:lang w:val="sk-SK" w:eastAsia="sk-SK"/>
        </w:rPr>
        <w:t>pivotnej</w:t>
      </w:r>
      <w:proofErr w:type="spellEnd"/>
      <w:r w:rsidRPr="00305462">
        <w:rPr>
          <w:szCs w:val="22"/>
          <w:lang w:val="sk-SK" w:eastAsia="sk-SK"/>
        </w:rPr>
        <w:t xml:space="preserve"> trojročnej štúdie zameranej na zlomeniny (MF 4411).</w:t>
      </w:r>
    </w:p>
    <w:p w:rsidR="00B816F8" w:rsidRPr="00305462" w:rsidRDefault="00B816F8" w:rsidP="009B6882">
      <w:pPr>
        <w:pStyle w:val="Style4"/>
        <w:widowControl/>
        <w:spacing w:before="14" w:line="250" w:lineRule="exact"/>
        <w:jc w:val="both"/>
        <w:rPr>
          <w:rFonts w:eastAsia="Times New Roman" w:cs="Times New Roman"/>
          <w:color w:val="000000"/>
          <w:sz w:val="22"/>
          <w:szCs w:val="22"/>
          <w:lang w:val="sk-SK" w:eastAsia="pt-PT"/>
        </w:rPr>
      </w:pPr>
    </w:p>
    <w:p w:rsidR="00CC056F" w:rsidRPr="00305462" w:rsidRDefault="0074478F" w:rsidP="009B688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V </w:t>
      </w:r>
      <w:proofErr w:type="spellStart"/>
      <w:r w:rsidRPr="00305462">
        <w:rPr>
          <w:szCs w:val="22"/>
          <w:lang w:val="sk-SK" w:eastAsia="sk-SK"/>
        </w:rPr>
        <w:t>pivotnej</w:t>
      </w:r>
      <w:proofErr w:type="spellEnd"/>
      <w:r w:rsidRPr="00305462">
        <w:rPr>
          <w:szCs w:val="22"/>
          <w:lang w:val="sk-SK" w:eastAsia="sk-SK"/>
        </w:rPr>
        <w:t xml:space="preserve"> dvojročnej štúdii u žien po </w:t>
      </w:r>
      <w:proofErr w:type="spellStart"/>
      <w:r w:rsidRPr="00305462">
        <w:rPr>
          <w:szCs w:val="22"/>
          <w:lang w:val="sk-SK" w:eastAsia="sk-SK"/>
        </w:rPr>
        <w:t>menopauze</w:t>
      </w:r>
      <w:proofErr w:type="spellEnd"/>
      <w:r w:rsidRPr="00305462">
        <w:rPr>
          <w:szCs w:val="22"/>
          <w:lang w:val="sk-SK" w:eastAsia="sk-SK"/>
        </w:rPr>
        <w:t xml:space="preserve"> s </w:t>
      </w:r>
      <w:proofErr w:type="spellStart"/>
      <w:r w:rsidRPr="00305462">
        <w:rPr>
          <w:szCs w:val="22"/>
          <w:lang w:val="sk-SK" w:eastAsia="sk-SK"/>
        </w:rPr>
        <w:t>osteoporózou</w:t>
      </w:r>
      <w:proofErr w:type="spellEnd"/>
      <w:r w:rsidRPr="00305462">
        <w:rPr>
          <w:szCs w:val="22"/>
          <w:lang w:val="sk-SK" w:eastAsia="sk-SK"/>
        </w:rPr>
        <w:t xml:space="preserve"> (BM 16550) </w:t>
      </w:r>
      <w:r w:rsidR="000F41A3" w:rsidRPr="00305462">
        <w:rPr>
          <w:szCs w:val="22"/>
          <w:lang w:val="sk-SK" w:eastAsia="sk-SK"/>
        </w:rPr>
        <w:t>sa dokázala</w:t>
      </w:r>
      <w:r w:rsidRPr="00305462">
        <w:rPr>
          <w:szCs w:val="22"/>
          <w:lang w:val="sk-SK" w:eastAsia="sk-SK"/>
        </w:rPr>
        <w:t xml:space="preserve"> podobná celková bezpečnos</w:t>
      </w:r>
      <w:r w:rsidR="00AC5A8F" w:rsidRPr="00305462">
        <w:rPr>
          <w:szCs w:val="22"/>
          <w:lang w:val="sk-SK" w:eastAsia="sk-SK"/>
        </w:rPr>
        <w:t>ť</w:t>
      </w:r>
      <w:r w:rsidR="000F41A3" w:rsidRPr="00305462">
        <w:rPr>
          <w:szCs w:val="22"/>
          <w:lang w:val="sk-SK" w:eastAsia="sk-SK"/>
        </w:rPr>
        <w:t xml:space="preserve"> 3 mg </w:t>
      </w:r>
      <w:r w:rsidR="00AC5A8F" w:rsidRPr="00305462">
        <w:rPr>
          <w:szCs w:val="22"/>
          <w:lang w:val="sk-SK" w:eastAsia="sk-SK"/>
        </w:rPr>
        <w:t xml:space="preserve">intravenóznej injekcie kyseliny </w:t>
      </w:r>
      <w:proofErr w:type="spellStart"/>
      <w:r w:rsidR="00AC5A8F" w:rsidRPr="00305462">
        <w:rPr>
          <w:szCs w:val="22"/>
          <w:lang w:val="sk-SK" w:eastAsia="sk-SK"/>
        </w:rPr>
        <w:t>ibandrónovej</w:t>
      </w:r>
      <w:proofErr w:type="spellEnd"/>
      <w:r w:rsidR="000F41A3" w:rsidRPr="00305462">
        <w:rPr>
          <w:szCs w:val="22"/>
          <w:lang w:val="sk-SK" w:eastAsia="sk-SK"/>
        </w:rPr>
        <w:t xml:space="preserve"> podávanej</w:t>
      </w:r>
      <w:r w:rsidRPr="00305462">
        <w:rPr>
          <w:szCs w:val="22"/>
          <w:lang w:val="sk-SK" w:eastAsia="sk-SK"/>
        </w:rPr>
        <w:t xml:space="preserve"> každé 3 mesiace </w:t>
      </w:r>
      <w:r w:rsidR="000F41A3" w:rsidRPr="00305462">
        <w:rPr>
          <w:szCs w:val="22"/>
          <w:lang w:val="sk-SK" w:eastAsia="sk-SK"/>
        </w:rPr>
        <w:t>s 2,5 mg dennej perorálnej dávky</w:t>
      </w:r>
      <w:r w:rsidRPr="00305462">
        <w:rPr>
          <w:szCs w:val="22"/>
          <w:lang w:val="sk-SK" w:eastAsia="sk-SK"/>
        </w:rPr>
        <w:t xml:space="preserve"> kyseliny </w:t>
      </w:r>
      <w:proofErr w:type="spellStart"/>
      <w:r w:rsidRPr="00305462">
        <w:rPr>
          <w:szCs w:val="22"/>
          <w:lang w:val="sk-SK" w:eastAsia="sk-SK"/>
        </w:rPr>
        <w:t>ibandróvovej</w:t>
      </w:r>
      <w:proofErr w:type="spellEnd"/>
      <w:r w:rsidRPr="00305462">
        <w:rPr>
          <w:szCs w:val="22"/>
          <w:lang w:val="sk-SK" w:eastAsia="sk-SK"/>
        </w:rPr>
        <w:t xml:space="preserve">. Celkový podiel pacientok, u ktorých sa objavila nežiaduca reakcia, bol </w:t>
      </w:r>
      <w:r w:rsidR="00AC5A8F" w:rsidRPr="00305462">
        <w:rPr>
          <w:szCs w:val="22"/>
          <w:lang w:val="sk-SK" w:eastAsia="sk-SK"/>
        </w:rPr>
        <w:t xml:space="preserve">pre </w:t>
      </w:r>
      <w:r w:rsidRPr="00305462">
        <w:rPr>
          <w:szCs w:val="22"/>
          <w:lang w:val="sk-SK" w:eastAsia="sk-SK"/>
        </w:rPr>
        <w:t>3 mg injekciu</w:t>
      </w:r>
      <w:r w:rsidR="000F41A3" w:rsidRPr="00305462">
        <w:rPr>
          <w:szCs w:val="22"/>
          <w:lang w:val="sk-SK" w:eastAsia="sk-SK"/>
        </w:rPr>
        <w:t xml:space="preserve"> kyseliny </w:t>
      </w:r>
      <w:proofErr w:type="spellStart"/>
      <w:r w:rsidR="000F41A3"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</w:t>
      </w:r>
      <w:r w:rsidR="000F41A3" w:rsidRPr="00305462">
        <w:rPr>
          <w:szCs w:val="22"/>
          <w:lang w:val="sk-SK" w:eastAsia="sk-SK"/>
        </w:rPr>
        <w:t xml:space="preserve">podávanú </w:t>
      </w:r>
      <w:r w:rsidRPr="00305462">
        <w:rPr>
          <w:szCs w:val="22"/>
          <w:lang w:val="sk-SK" w:eastAsia="sk-SK"/>
        </w:rPr>
        <w:t xml:space="preserve">každé </w:t>
      </w:r>
      <w:r w:rsidR="000F41A3" w:rsidRPr="00305462">
        <w:rPr>
          <w:szCs w:val="22"/>
          <w:lang w:val="sk-SK" w:eastAsia="sk-SK"/>
        </w:rPr>
        <w:t>3</w:t>
      </w:r>
      <w:r w:rsidRPr="00305462">
        <w:rPr>
          <w:szCs w:val="22"/>
          <w:lang w:val="sk-SK" w:eastAsia="sk-SK"/>
        </w:rPr>
        <w:t xml:space="preserve"> mesiace 26,0 % po jednom roku a 28,6 % po dvoch </w:t>
      </w:r>
      <w:proofErr w:type="spellStart"/>
      <w:r w:rsidRPr="00305462">
        <w:rPr>
          <w:szCs w:val="22"/>
          <w:lang w:val="sk-SK" w:eastAsia="sk-SK"/>
        </w:rPr>
        <w:t>rokoch.Väčšina</w:t>
      </w:r>
      <w:proofErr w:type="spellEnd"/>
      <w:r w:rsidRPr="00305462">
        <w:rPr>
          <w:szCs w:val="22"/>
          <w:lang w:val="sk-SK" w:eastAsia="sk-SK"/>
        </w:rPr>
        <w:t xml:space="preserve"> prípadov nežiaducich reakcií neviedla k ukončeniu liečby.</w:t>
      </w:r>
    </w:p>
    <w:p w:rsidR="000C3724" w:rsidRPr="00305462" w:rsidRDefault="000C3724" w:rsidP="009B6882">
      <w:pPr>
        <w:pStyle w:val="Style4"/>
        <w:widowControl/>
        <w:spacing w:before="14" w:line="250" w:lineRule="exact"/>
        <w:jc w:val="both"/>
        <w:rPr>
          <w:rStyle w:val="FontStyle21"/>
          <w:sz w:val="22"/>
          <w:szCs w:val="22"/>
          <w:lang w:val="sk-SK" w:eastAsia="pt-PT"/>
        </w:rPr>
      </w:pPr>
    </w:p>
    <w:p w:rsidR="008E433A" w:rsidRPr="00305462" w:rsidRDefault="008E433A" w:rsidP="009B688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Nežiaduce reakcie sú uvedené podľa tried orgánových systémov </w:t>
      </w:r>
      <w:proofErr w:type="spellStart"/>
      <w:r w:rsidRPr="00305462">
        <w:rPr>
          <w:szCs w:val="22"/>
          <w:lang w:val="sk-SK" w:eastAsia="sk-SK"/>
        </w:rPr>
        <w:t>MedDRA</w:t>
      </w:r>
      <w:proofErr w:type="spellEnd"/>
      <w:r w:rsidRPr="00305462">
        <w:rPr>
          <w:szCs w:val="22"/>
          <w:lang w:val="sk-SK" w:eastAsia="sk-SK"/>
        </w:rPr>
        <w:t xml:space="preserve"> a kategórií frekvencie.</w:t>
      </w:r>
    </w:p>
    <w:p w:rsidR="00811E01" w:rsidRPr="00305462" w:rsidRDefault="008E433A" w:rsidP="009B688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Kategórie frekvencie sú definované nasledovne: veľmi časté (≥ 1/10), časté (≥ 1/100 až &lt; 1/10), menej časté (≥ 1/1000 až &lt; 1/100), zriedkavé (≥ 1/10 000 až &lt; 1/1000), veľmi zriedkavé (&lt; 1/10 000)</w:t>
      </w:r>
      <w:r w:rsidR="00883D63" w:rsidRPr="00305462">
        <w:rPr>
          <w:szCs w:val="22"/>
          <w:lang w:val="sk-SK" w:eastAsia="sk-SK"/>
        </w:rPr>
        <w:t xml:space="preserve"> a</w:t>
      </w:r>
      <w:r w:rsidRPr="00305462">
        <w:rPr>
          <w:szCs w:val="22"/>
          <w:lang w:val="sk-SK" w:eastAsia="sk-SK"/>
        </w:rPr>
        <w:t xml:space="preserve"> neznáme (nedajú sa odhadnúť z dostupných údajov). V rámci každej skupiny frekvencie sú nežiaduce reakcie uvedené podľa klesajúcej závažnosti.</w:t>
      </w:r>
    </w:p>
    <w:p w:rsidR="008E433A" w:rsidRPr="00305462" w:rsidRDefault="008E433A" w:rsidP="009B688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7202C8" w:rsidRPr="00305462" w:rsidRDefault="007202C8" w:rsidP="009B688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Tabuľka 1: Nežiaduce reakcie</w:t>
      </w:r>
      <w:r w:rsidR="00DD32BD" w:rsidRPr="00305462">
        <w:rPr>
          <w:szCs w:val="22"/>
          <w:lang w:val="sk-SK" w:eastAsia="sk-SK"/>
        </w:rPr>
        <w:t>, ktoré sa vyskytli</w:t>
      </w:r>
      <w:r w:rsidRPr="00305462">
        <w:rPr>
          <w:szCs w:val="22"/>
          <w:lang w:val="sk-SK" w:eastAsia="sk-SK"/>
        </w:rPr>
        <w:t xml:space="preserve"> u žien po </w:t>
      </w:r>
      <w:proofErr w:type="spellStart"/>
      <w:r w:rsidRPr="00305462">
        <w:rPr>
          <w:szCs w:val="22"/>
          <w:lang w:val="sk-SK" w:eastAsia="sk-SK"/>
        </w:rPr>
        <w:t>menopauze</w:t>
      </w:r>
      <w:proofErr w:type="spellEnd"/>
      <w:r w:rsidRPr="00305462">
        <w:rPr>
          <w:szCs w:val="22"/>
          <w:lang w:val="sk-SK" w:eastAsia="sk-SK"/>
        </w:rPr>
        <w:t>, ktoré dost</w:t>
      </w:r>
      <w:r w:rsidR="00DD32BD" w:rsidRPr="00305462">
        <w:rPr>
          <w:szCs w:val="22"/>
          <w:lang w:val="sk-SK" w:eastAsia="sk-SK"/>
        </w:rPr>
        <w:t>ávali</w:t>
      </w:r>
      <w:r w:rsidRPr="00305462">
        <w:rPr>
          <w:szCs w:val="22"/>
          <w:lang w:val="sk-SK" w:eastAsia="sk-SK"/>
        </w:rPr>
        <w:t xml:space="preserve"> intravenóznu</w:t>
      </w:r>
    </w:p>
    <w:p w:rsidR="00811E01" w:rsidRPr="00305462" w:rsidRDefault="007202C8" w:rsidP="009B688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injekciu </w:t>
      </w:r>
      <w:r w:rsidR="00DD32BD" w:rsidRPr="00305462">
        <w:rPr>
          <w:szCs w:val="22"/>
          <w:lang w:val="sk-SK" w:eastAsia="sk-SK"/>
        </w:rPr>
        <w:t xml:space="preserve">3 mg </w:t>
      </w:r>
      <w:r w:rsidRPr="00305462">
        <w:rPr>
          <w:szCs w:val="22"/>
          <w:lang w:val="sk-SK" w:eastAsia="sk-SK"/>
        </w:rPr>
        <w:t xml:space="preserve">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="00DD32BD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každé 3 mesiace alebo užívali </w:t>
      </w:r>
      <w:r w:rsidR="00DD32BD" w:rsidRPr="00305462">
        <w:rPr>
          <w:szCs w:val="22"/>
          <w:lang w:val="sk-SK" w:eastAsia="sk-SK"/>
        </w:rPr>
        <w:t xml:space="preserve">2,5 mg </w:t>
      </w:r>
      <w:r w:rsidRPr="00305462">
        <w:rPr>
          <w:szCs w:val="22"/>
          <w:lang w:val="sk-SK" w:eastAsia="sk-SK"/>
        </w:rPr>
        <w:t>kyselin</w:t>
      </w:r>
      <w:r w:rsidR="00DD32BD" w:rsidRPr="00305462">
        <w:rPr>
          <w:szCs w:val="22"/>
          <w:lang w:val="sk-SK" w:eastAsia="sk-SK"/>
        </w:rPr>
        <w:t>y</w:t>
      </w:r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ibandrónov</w:t>
      </w:r>
      <w:r w:rsidR="00DD32BD" w:rsidRPr="00305462">
        <w:rPr>
          <w:szCs w:val="22"/>
          <w:lang w:val="sk-SK" w:eastAsia="sk-SK"/>
        </w:rPr>
        <w:t>ej</w:t>
      </w:r>
      <w:proofErr w:type="spellEnd"/>
      <w:r w:rsidRPr="00305462">
        <w:rPr>
          <w:szCs w:val="22"/>
          <w:lang w:val="sk-SK" w:eastAsia="sk-SK"/>
        </w:rPr>
        <w:t xml:space="preserve"> denne vo fáze III štúdií BM16549 a MF4411 a zo skúseností po uvedení lieku na trh.</w:t>
      </w:r>
    </w:p>
    <w:p w:rsidR="007202C8" w:rsidRPr="00305462" w:rsidRDefault="007202C8" w:rsidP="009B688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</w:p>
    <w:tbl>
      <w:tblPr>
        <w:tblW w:w="9142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12"/>
        <w:gridCol w:w="1560"/>
        <w:gridCol w:w="1985"/>
        <w:gridCol w:w="1842"/>
        <w:gridCol w:w="1843"/>
      </w:tblGrid>
      <w:tr w:rsidR="00DF5AAA" w:rsidRPr="00305462" w:rsidTr="00CF7501">
        <w:trPr>
          <w:trHeight w:val="272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7202C8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pt-PT"/>
              </w:rPr>
            </w:pPr>
            <w:r w:rsidRPr="00305462">
              <w:rPr>
                <w:b/>
                <w:szCs w:val="22"/>
                <w:lang w:val="sk-SK" w:eastAsia="pt-PT"/>
              </w:rPr>
              <w:t>Trieda orgánových systémov</w:t>
            </w:r>
            <w:r w:rsidR="00811E01" w:rsidRPr="00305462">
              <w:rPr>
                <w:b/>
                <w:szCs w:val="22"/>
                <w:lang w:val="sk-SK" w:eastAsia="pt-PT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7202C8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pt-PT"/>
              </w:rPr>
            </w:pPr>
            <w:r w:rsidRPr="00305462">
              <w:rPr>
                <w:b/>
                <w:szCs w:val="22"/>
                <w:lang w:val="sk-SK" w:eastAsia="pt-PT"/>
              </w:rPr>
              <w:t>Časté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7202C8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pt-PT"/>
              </w:rPr>
            </w:pPr>
            <w:r w:rsidRPr="00305462">
              <w:rPr>
                <w:b/>
                <w:szCs w:val="22"/>
                <w:lang w:val="sk-SK" w:eastAsia="pt-PT"/>
              </w:rPr>
              <w:t>Menej časté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7202C8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pt-PT"/>
              </w:rPr>
            </w:pPr>
            <w:r w:rsidRPr="00305462">
              <w:rPr>
                <w:b/>
                <w:szCs w:val="22"/>
                <w:lang w:val="sk-SK" w:eastAsia="pt-PT"/>
              </w:rPr>
              <w:t>Zriedkavé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pt-PT"/>
              </w:rPr>
            </w:pPr>
            <w:r w:rsidRPr="00305462">
              <w:rPr>
                <w:b/>
                <w:szCs w:val="22"/>
                <w:lang w:val="sk-SK" w:eastAsia="pt-PT"/>
              </w:rPr>
              <w:t>V</w:t>
            </w:r>
            <w:r w:rsidR="007202C8" w:rsidRPr="00305462">
              <w:rPr>
                <w:b/>
                <w:szCs w:val="22"/>
                <w:lang w:val="sk-SK" w:eastAsia="pt-PT"/>
              </w:rPr>
              <w:t>eľmi zriedkavé</w:t>
            </w:r>
          </w:p>
        </w:tc>
      </w:tr>
      <w:tr w:rsidR="00811E01" w:rsidRPr="00305462" w:rsidTr="00CF7501">
        <w:trPr>
          <w:trHeight w:val="27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53272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pt-PT"/>
              </w:rPr>
            </w:pPr>
            <w:r w:rsidRPr="00305462">
              <w:rPr>
                <w:b/>
                <w:szCs w:val="22"/>
                <w:lang w:val="sk-SK" w:eastAsia="pt-PT"/>
              </w:rPr>
              <w:t>Poruchy imunitného systému</w:t>
            </w:r>
            <w:r w:rsidR="00811E01" w:rsidRPr="00305462">
              <w:rPr>
                <w:b/>
                <w:szCs w:val="22"/>
                <w:lang w:val="sk-SK" w:eastAsia="pt-PT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53272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pt-PT"/>
              </w:rPr>
              <w:t>exacerbácia</w:t>
            </w:r>
            <w:proofErr w:type="spellEnd"/>
            <w:r w:rsidRPr="00305462">
              <w:rPr>
                <w:szCs w:val="22"/>
                <w:lang w:val="sk-SK" w:eastAsia="pt-PT"/>
              </w:rPr>
              <w:t xml:space="preserve"> astmy</w:t>
            </w:r>
            <w:r w:rsidR="000C3724" w:rsidRPr="00305462">
              <w:rPr>
                <w:szCs w:val="22"/>
                <w:lang w:val="sk-SK" w:eastAsia="pt-PT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53272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reakcia z precitlivenosti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993" w:rsidRPr="00305462" w:rsidRDefault="00532721" w:rsidP="00933993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305462">
              <w:rPr>
                <w:sz w:val="22"/>
                <w:szCs w:val="22"/>
                <w:lang w:val="sk-SK"/>
              </w:rPr>
              <w:t>anafylaktická</w:t>
            </w:r>
            <w:proofErr w:type="spellEnd"/>
            <w:r w:rsidRPr="00305462">
              <w:rPr>
                <w:sz w:val="22"/>
                <w:szCs w:val="22"/>
                <w:lang w:val="sk-SK"/>
              </w:rPr>
              <w:t xml:space="preserve"> reakcia</w:t>
            </w:r>
            <w:r w:rsidR="00933993" w:rsidRPr="00305462">
              <w:rPr>
                <w:sz w:val="22"/>
                <w:szCs w:val="22"/>
                <w:lang w:val="sk-SK"/>
              </w:rPr>
              <w:t>/</w:t>
            </w:r>
            <w:r w:rsidRPr="00305462">
              <w:rPr>
                <w:sz w:val="22"/>
                <w:szCs w:val="22"/>
                <w:lang w:val="sk-SK"/>
              </w:rPr>
              <w:t>šok</w:t>
            </w:r>
            <w:r w:rsidR="00933993" w:rsidRPr="00305462">
              <w:rPr>
                <w:sz w:val="22"/>
                <w:szCs w:val="22"/>
                <w:lang w:val="sk-SK"/>
              </w:rPr>
              <w:t>*†</w:t>
            </w:r>
          </w:p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</w:tr>
      <w:tr w:rsidR="00811E01" w:rsidRPr="00305462" w:rsidTr="00CF7501">
        <w:trPr>
          <w:trHeight w:val="27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53272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pt-PT"/>
              </w:rPr>
            </w:pPr>
            <w:r w:rsidRPr="00305462">
              <w:rPr>
                <w:b/>
                <w:szCs w:val="22"/>
                <w:lang w:val="sk-SK" w:eastAsia="pt-PT"/>
              </w:rPr>
              <w:t>Poruchy nervového systému</w:t>
            </w:r>
            <w:r w:rsidR="00811E01" w:rsidRPr="00305462">
              <w:rPr>
                <w:b/>
                <w:szCs w:val="22"/>
                <w:lang w:val="sk-SK" w:eastAsia="pt-PT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53272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bolesť hlavy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</w:tr>
      <w:tr w:rsidR="00811E01" w:rsidRPr="00305462" w:rsidTr="00CF7501">
        <w:trPr>
          <w:trHeight w:val="27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53272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pt-PT"/>
              </w:rPr>
            </w:pPr>
            <w:r w:rsidRPr="00305462">
              <w:rPr>
                <w:b/>
                <w:szCs w:val="22"/>
                <w:lang w:val="sk-SK" w:eastAsia="pt-PT"/>
              </w:rPr>
              <w:t>Poruchy oka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53272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zápal oka</w:t>
            </w:r>
            <w:r w:rsidR="00DF5AAA" w:rsidRPr="00305462">
              <w:rPr>
                <w:szCs w:val="22"/>
                <w:lang w:val="sk-SK" w:eastAsia="pt-PT"/>
              </w:rPr>
              <w:t>*†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</w:tr>
      <w:tr w:rsidR="00811E01" w:rsidRPr="00305462" w:rsidTr="00CF7501">
        <w:trPr>
          <w:trHeight w:val="27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413191" w:rsidP="0041319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pt-PT"/>
              </w:rPr>
            </w:pPr>
            <w:r w:rsidRPr="00305462">
              <w:rPr>
                <w:b/>
                <w:szCs w:val="22"/>
                <w:lang w:val="sk-SK" w:eastAsia="pt-PT"/>
              </w:rPr>
              <w:t>Poruchy ciev</w:t>
            </w:r>
            <w:r w:rsidR="00811E01" w:rsidRPr="00305462">
              <w:rPr>
                <w:b/>
                <w:szCs w:val="22"/>
                <w:lang w:val="sk-SK" w:eastAsia="pt-PT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41319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pt-PT"/>
              </w:rPr>
              <w:t>flebitída</w:t>
            </w:r>
            <w:proofErr w:type="spellEnd"/>
            <w:r w:rsidR="00DF5AAA" w:rsidRPr="00305462">
              <w:rPr>
                <w:szCs w:val="22"/>
                <w:lang w:val="sk-SK" w:eastAsia="pt-PT"/>
              </w:rPr>
              <w:t>/</w:t>
            </w:r>
            <w:proofErr w:type="spellStart"/>
            <w:r w:rsidRPr="00305462">
              <w:rPr>
                <w:szCs w:val="22"/>
                <w:lang w:val="sk-SK" w:eastAsia="pt-PT"/>
              </w:rPr>
              <w:t>trombofle-bitída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</w:tr>
      <w:tr w:rsidR="00811E01" w:rsidRPr="00DA6E9D" w:rsidTr="00CF7501">
        <w:trPr>
          <w:trHeight w:val="523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41319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pt-PT"/>
              </w:rPr>
            </w:pPr>
            <w:r w:rsidRPr="00305462">
              <w:rPr>
                <w:b/>
                <w:szCs w:val="22"/>
                <w:lang w:val="sk-SK" w:eastAsia="pt-PT"/>
              </w:rPr>
              <w:t xml:space="preserve">Poruchy </w:t>
            </w:r>
            <w:proofErr w:type="spellStart"/>
            <w:r w:rsidRPr="00305462">
              <w:rPr>
                <w:b/>
                <w:szCs w:val="22"/>
                <w:lang w:val="sk-SK" w:eastAsia="pt-PT"/>
              </w:rPr>
              <w:t>gastrointestinálneho</w:t>
            </w:r>
            <w:proofErr w:type="spellEnd"/>
            <w:r w:rsidRPr="00305462">
              <w:rPr>
                <w:b/>
                <w:szCs w:val="22"/>
                <w:lang w:val="sk-SK" w:eastAsia="pt-PT"/>
              </w:rPr>
              <w:t xml:space="preserve"> traktu</w:t>
            </w:r>
            <w:r w:rsidR="00811E01" w:rsidRPr="00305462">
              <w:rPr>
                <w:b/>
                <w:szCs w:val="22"/>
                <w:lang w:val="sk-SK" w:eastAsia="pt-PT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413191" w:rsidP="00ED7CC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gastritída</w:t>
            </w:r>
            <w:r w:rsidR="00811E01" w:rsidRPr="00305462">
              <w:rPr>
                <w:szCs w:val="22"/>
                <w:lang w:val="sk-SK" w:eastAsia="pt-PT"/>
              </w:rPr>
              <w:t xml:space="preserve">, </w:t>
            </w:r>
            <w:proofErr w:type="spellStart"/>
            <w:r w:rsidRPr="00305462">
              <w:rPr>
                <w:szCs w:val="22"/>
                <w:lang w:val="sk-SK" w:eastAsia="pt-PT"/>
              </w:rPr>
              <w:t>dysp</w:t>
            </w:r>
            <w:r w:rsidR="00E93D1D" w:rsidRPr="00305462">
              <w:rPr>
                <w:szCs w:val="22"/>
                <w:lang w:val="sk-SK" w:eastAsia="pt-PT"/>
              </w:rPr>
              <w:t>e</w:t>
            </w:r>
            <w:r w:rsidRPr="00305462">
              <w:rPr>
                <w:szCs w:val="22"/>
                <w:lang w:val="sk-SK" w:eastAsia="pt-PT"/>
              </w:rPr>
              <w:t>psia</w:t>
            </w:r>
            <w:proofErr w:type="spellEnd"/>
            <w:r w:rsidR="00811E01" w:rsidRPr="00305462">
              <w:rPr>
                <w:szCs w:val="22"/>
                <w:lang w:val="sk-SK" w:eastAsia="pt-PT"/>
              </w:rPr>
              <w:t xml:space="preserve">, </w:t>
            </w:r>
            <w:r w:rsidRPr="00305462">
              <w:rPr>
                <w:szCs w:val="22"/>
                <w:lang w:val="sk-SK" w:eastAsia="pt-PT"/>
              </w:rPr>
              <w:t>hnačka</w:t>
            </w:r>
            <w:r w:rsidR="00811E01" w:rsidRPr="00305462">
              <w:rPr>
                <w:szCs w:val="22"/>
                <w:lang w:val="sk-SK" w:eastAsia="pt-PT"/>
              </w:rPr>
              <w:t xml:space="preserve">, </w:t>
            </w:r>
            <w:proofErr w:type="spellStart"/>
            <w:r w:rsidRPr="00305462">
              <w:rPr>
                <w:szCs w:val="22"/>
                <w:lang w:val="sk-SK" w:eastAsia="pt-PT"/>
              </w:rPr>
              <w:t>abdominálna</w:t>
            </w:r>
            <w:proofErr w:type="spellEnd"/>
            <w:r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lastRenderedPageBreak/>
              <w:t>bolesť</w:t>
            </w:r>
            <w:r w:rsidR="00811E01" w:rsidRPr="00305462">
              <w:rPr>
                <w:szCs w:val="22"/>
                <w:lang w:val="sk-SK" w:eastAsia="pt-PT"/>
              </w:rPr>
              <w:t xml:space="preserve">, </w:t>
            </w:r>
            <w:proofErr w:type="spellStart"/>
            <w:r w:rsidRPr="00305462">
              <w:rPr>
                <w:szCs w:val="22"/>
                <w:lang w:val="sk-SK" w:eastAsia="pt-PT"/>
              </w:rPr>
              <w:t>nauzea</w:t>
            </w:r>
            <w:proofErr w:type="spellEnd"/>
            <w:r w:rsidR="00811E01" w:rsidRPr="00305462">
              <w:rPr>
                <w:szCs w:val="22"/>
                <w:lang w:val="sk-SK" w:eastAsia="pt-PT"/>
              </w:rPr>
              <w:t xml:space="preserve">, </w:t>
            </w:r>
            <w:r w:rsidR="00ED7CCE" w:rsidRPr="00305462">
              <w:rPr>
                <w:szCs w:val="22"/>
                <w:lang w:val="sk-SK" w:eastAsia="pt-PT"/>
              </w:rPr>
              <w:t>zápcha</w:t>
            </w:r>
            <w:r w:rsidR="00ED7CCE" w:rsidRPr="00305462" w:rsidDel="00ED7CCE">
              <w:rPr>
                <w:szCs w:val="22"/>
                <w:lang w:val="sk-SK" w:eastAsia="pt-PT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E01" w:rsidRPr="00305462" w:rsidRDefault="00811E01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</w:tr>
      <w:tr w:rsidR="00DF5AAA" w:rsidRPr="00305462" w:rsidTr="00CF7501">
        <w:trPr>
          <w:trHeight w:val="524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C55BDE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pt-PT"/>
              </w:rPr>
            </w:pPr>
            <w:r w:rsidRPr="00305462">
              <w:rPr>
                <w:b/>
                <w:szCs w:val="22"/>
                <w:lang w:val="sk-SK" w:eastAsia="pt-PT"/>
              </w:rPr>
              <w:lastRenderedPageBreak/>
              <w:t>Poruchy kože a podkožného tkaniva</w:t>
            </w:r>
            <w:r w:rsidR="00DF5AAA" w:rsidRPr="00305462">
              <w:rPr>
                <w:b/>
                <w:szCs w:val="22"/>
                <w:lang w:val="sk-SK" w:eastAsia="pt-PT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B95A2F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vyrážky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C55BDE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pt-PT"/>
              </w:rPr>
              <w:t>angioedém</w:t>
            </w:r>
            <w:proofErr w:type="spellEnd"/>
            <w:r w:rsidR="00DF5AAA" w:rsidRPr="00305462">
              <w:rPr>
                <w:szCs w:val="22"/>
                <w:lang w:val="sk-SK" w:eastAsia="pt-PT"/>
              </w:rPr>
              <w:t xml:space="preserve">, </w:t>
            </w:r>
            <w:r w:rsidR="00B95A2F" w:rsidRPr="00305462">
              <w:rPr>
                <w:szCs w:val="22"/>
                <w:lang w:val="sk-SK" w:eastAsia="pt-PT"/>
              </w:rPr>
              <w:t>opuch tváre</w:t>
            </w:r>
            <w:r w:rsidR="00DF5AAA" w:rsidRPr="00305462">
              <w:rPr>
                <w:szCs w:val="22"/>
                <w:lang w:val="sk-SK" w:eastAsia="pt-PT"/>
              </w:rPr>
              <w:t>/</w:t>
            </w:r>
            <w:r w:rsidR="00B95A2F" w:rsidRPr="00305462">
              <w:rPr>
                <w:szCs w:val="22"/>
                <w:lang w:val="sk-SK" w:eastAsia="pt-PT"/>
              </w:rPr>
              <w:t>edém</w:t>
            </w:r>
            <w:r w:rsidR="00DF5AAA" w:rsidRPr="00305462">
              <w:rPr>
                <w:szCs w:val="22"/>
                <w:lang w:val="sk-SK" w:eastAsia="pt-PT"/>
              </w:rPr>
              <w:t xml:space="preserve">, </w:t>
            </w:r>
            <w:proofErr w:type="spellStart"/>
            <w:r w:rsidR="00B95A2F" w:rsidRPr="00305462">
              <w:rPr>
                <w:szCs w:val="22"/>
                <w:lang w:val="sk-SK" w:eastAsia="pt-PT"/>
              </w:rPr>
              <w:t>urtikária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8B4EE4" w:rsidP="00811E0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pt-PT"/>
              </w:rPr>
              <w:t>Stevens</w:t>
            </w:r>
            <w:r w:rsidR="00B95A2F" w:rsidRPr="00305462">
              <w:rPr>
                <w:szCs w:val="22"/>
                <w:lang w:val="sk-SK" w:eastAsia="pt-PT"/>
              </w:rPr>
              <w:t>ov</w:t>
            </w:r>
            <w:r w:rsidRPr="00305462">
              <w:rPr>
                <w:szCs w:val="22"/>
                <w:lang w:val="sk-SK" w:eastAsia="pt-PT"/>
              </w:rPr>
              <w:t>-Johnson</w:t>
            </w:r>
            <w:r w:rsidR="00B95A2F" w:rsidRPr="00305462">
              <w:rPr>
                <w:szCs w:val="22"/>
                <w:lang w:val="sk-SK" w:eastAsia="pt-PT"/>
              </w:rPr>
              <w:t>ov</w:t>
            </w:r>
            <w:proofErr w:type="spellEnd"/>
            <w:r w:rsidRPr="00305462">
              <w:rPr>
                <w:szCs w:val="22"/>
                <w:lang w:val="sk-SK" w:eastAsia="pt-PT"/>
              </w:rPr>
              <w:t xml:space="preserve"> </w:t>
            </w:r>
            <w:r w:rsidR="00B95A2F" w:rsidRPr="00305462">
              <w:rPr>
                <w:szCs w:val="22"/>
                <w:lang w:val="sk-SK" w:eastAsia="pt-PT"/>
              </w:rPr>
              <w:t>s</w:t>
            </w:r>
            <w:r w:rsidRPr="00305462">
              <w:rPr>
                <w:szCs w:val="22"/>
                <w:lang w:val="sk-SK" w:eastAsia="pt-PT"/>
              </w:rPr>
              <w:t>yndr</w:t>
            </w:r>
            <w:r w:rsidR="00B95A2F" w:rsidRPr="00305462">
              <w:rPr>
                <w:szCs w:val="22"/>
                <w:lang w:val="sk-SK" w:eastAsia="pt-PT"/>
              </w:rPr>
              <w:t>ó</w:t>
            </w:r>
            <w:r w:rsidRPr="00305462">
              <w:rPr>
                <w:szCs w:val="22"/>
                <w:lang w:val="sk-SK" w:eastAsia="pt-PT"/>
              </w:rPr>
              <w:t xml:space="preserve">m†, </w:t>
            </w:r>
            <w:proofErr w:type="spellStart"/>
            <w:r w:rsidRPr="00305462">
              <w:rPr>
                <w:szCs w:val="22"/>
                <w:lang w:val="sk-SK" w:eastAsia="pt-PT"/>
              </w:rPr>
              <w:t>Erythema</w:t>
            </w:r>
            <w:proofErr w:type="spellEnd"/>
            <w:r w:rsidRPr="00305462">
              <w:rPr>
                <w:szCs w:val="22"/>
                <w:lang w:val="sk-SK" w:eastAsia="pt-PT"/>
              </w:rPr>
              <w:t xml:space="preserve"> </w:t>
            </w:r>
            <w:proofErr w:type="spellStart"/>
            <w:r w:rsidRPr="00305462">
              <w:rPr>
                <w:szCs w:val="22"/>
                <w:lang w:val="sk-SK" w:eastAsia="pt-PT"/>
              </w:rPr>
              <w:t>Multiforme</w:t>
            </w:r>
            <w:proofErr w:type="spellEnd"/>
            <w:r w:rsidRPr="00305462">
              <w:rPr>
                <w:szCs w:val="22"/>
                <w:lang w:val="sk-SK" w:eastAsia="pt-PT"/>
              </w:rPr>
              <w:t xml:space="preserve">†, </w:t>
            </w:r>
            <w:proofErr w:type="spellStart"/>
            <w:r w:rsidR="00B95A2F" w:rsidRPr="00305462">
              <w:rPr>
                <w:szCs w:val="22"/>
                <w:lang w:val="sk-SK" w:eastAsia="pt-PT"/>
              </w:rPr>
              <w:t>bulózna</w:t>
            </w:r>
            <w:proofErr w:type="spellEnd"/>
            <w:r w:rsidR="00B95A2F" w:rsidRPr="00305462">
              <w:rPr>
                <w:szCs w:val="22"/>
                <w:lang w:val="sk-SK" w:eastAsia="pt-PT"/>
              </w:rPr>
              <w:t xml:space="preserve"> dermatitída</w:t>
            </w:r>
            <w:r w:rsidRPr="00305462">
              <w:rPr>
                <w:szCs w:val="22"/>
                <w:lang w:val="sk-SK" w:eastAsia="pt-PT"/>
              </w:rPr>
              <w:t>†</w:t>
            </w:r>
          </w:p>
        </w:tc>
      </w:tr>
      <w:tr w:rsidR="00DF5AAA" w:rsidRPr="00DA6E9D" w:rsidTr="00CF7501">
        <w:trPr>
          <w:trHeight w:val="1029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5A2F" w:rsidRPr="00305462" w:rsidRDefault="00B95A2F" w:rsidP="00B95A2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Poruchy kostrovej</w:t>
            </w:r>
          </w:p>
          <w:p w:rsidR="00B95A2F" w:rsidRPr="00305462" w:rsidRDefault="00B95A2F" w:rsidP="00B95A2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a svalovej sústavy</w:t>
            </w:r>
          </w:p>
          <w:p w:rsidR="00DF5AAA" w:rsidRPr="00305462" w:rsidRDefault="00B95A2F" w:rsidP="00B95A2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>a spojivového tkaniva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17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proofErr w:type="spellStart"/>
            <w:r w:rsidRPr="00305462">
              <w:rPr>
                <w:szCs w:val="22"/>
                <w:lang w:val="sk-SK" w:eastAsia="sk-SK"/>
              </w:rPr>
              <w:t>artralgia</w:t>
            </w:r>
            <w:proofErr w:type="spellEnd"/>
            <w:r w:rsidRPr="00305462">
              <w:rPr>
                <w:szCs w:val="22"/>
                <w:lang w:val="sk-SK" w:eastAsia="sk-SK"/>
              </w:rPr>
              <w:t xml:space="preserve">, </w:t>
            </w:r>
            <w:proofErr w:type="spellStart"/>
            <w:r w:rsidRPr="00305462">
              <w:rPr>
                <w:szCs w:val="22"/>
                <w:lang w:val="sk-SK" w:eastAsia="sk-SK"/>
              </w:rPr>
              <w:t>myalgia</w:t>
            </w:r>
            <w:proofErr w:type="spellEnd"/>
            <w:r w:rsidRPr="00305462">
              <w:rPr>
                <w:szCs w:val="22"/>
                <w:lang w:val="sk-SK" w:eastAsia="sk-SK"/>
              </w:rPr>
              <w:t>,</w:t>
            </w:r>
          </w:p>
          <w:p w:rsidR="00DF5AAA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sk-SK"/>
              </w:rPr>
              <w:t>muskuloskele-tálna</w:t>
            </w:r>
            <w:proofErr w:type="spellEnd"/>
            <w:r w:rsidR="00B82138" w:rsidRPr="00305462">
              <w:rPr>
                <w:szCs w:val="22"/>
                <w:lang w:val="sk-SK" w:eastAsia="sk-SK"/>
              </w:rPr>
              <w:t xml:space="preserve"> </w:t>
            </w:r>
            <w:r w:rsidRPr="00305462">
              <w:rPr>
                <w:szCs w:val="22"/>
                <w:lang w:val="sk-SK" w:eastAsia="sk-SK"/>
              </w:rPr>
              <w:t>bolesť, bolesť</w:t>
            </w:r>
            <w:r w:rsidR="00B82138" w:rsidRPr="00305462">
              <w:rPr>
                <w:szCs w:val="22"/>
                <w:lang w:val="sk-SK" w:eastAsia="sk-SK"/>
              </w:rPr>
              <w:t xml:space="preserve"> </w:t>
            </w:r>
            <w:r w:rsidRPr="00305462">
              <w:rPr>
                <w:szCs w:val="22"/>
                <w:lang w:val="sk-SK" w:eastAsia="sk-SK"/>
              </w:rPr>
              <w:t>chrbta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194817" w:rsidP="00DF5AA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color w:val="000000"/>
                <w:szCs w:val="22"/>
                <w:lang w:val="sk-SK" w:eastAsia="pt-PT"/>
              </w:rPr>
              <w:t>bolesť kostí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17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atypické</w:t>
            </w:r>
          </w:p>
          <w:p w:rsidR="00194817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proofErr w:type="spellStart"/>
            <w:r w:rsidRPr="00305462">
              <w:rPr>
                <w:szCs w:val="22"/>
                <w:lang w:val="sk-SK" w:eastAsia="sk-SK"/>
              </w:rPr>
              <w:t>subtrochanterické</w:t>
            </w:r>
            <w:proofErr w:type="spellEnd"/>
          </w:p>
          <w:p w:rsidR="00194817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 xml:space="preserve">a </w:t>
            </w:r>
            <w:proofErr w:type="spellStart"/>
            <w:r w:rsidRPr="00305462">
              <w:rPr>
                <w:szCs w:val="22"/>
                <w:lang w:val="sk-SK" w:eastAsia="sk-SK"/>
              </w:rPr>
              <w:t>diafyzárne</w:t>
            </w:r>
            <w:proofErr w:type="spellEnd"/>
          </w:p>
          <w:p w:rsidR="00194817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zlomeniny</w:t>
            </w:r>
          </w:p>
          <w:p w:rsidR="00DF5AAA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>stehennej kosti†</w:t>
            </w:r>
            <w:r w:rsidR="00DF5AAA" w:rsidRPr="00305462">
              <w:rPr>
                <w:color w:val="000000"/>
                <w:szCs w:val="22"/>
                <w:lang w:val="sk-SK" w:eastAsia="pt-PT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17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proofErr w:type="spellStart"/>
            <w:r w:rsidRPr="00305462">
              <w:rPr>
                <w:szCs w:val="22"/>
                <w:lang w:val="sk-SK" w:eastAsia="sk-SK"/>
              </w:rPr>
              <w:t>osteonekróza</w:t>
            </w:r>
            <w:proofErr w:type="spellEnd"/>
          </w:p>
          <w:p w:rsidR="00DF5AAA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>čeľuste</w:t>
            </w:r>
            <w:r w:rsidR="00DF5AAA" w:rsidRPr="00305462">
              <w:rPr>
                <w:color w:val="000000"/>
                <w:szCs w:val="22"/>
                <w:lang w:val="sk-SK" w:eastAsia="pt-PT"/>
              </w:rPr>
              <w:t>*†</w:t>
            </w:r>
            <w:r w:rsidR="00FB74D2" w:rsidRPr="00305462">
              <w:rPr>
                <w:color w:val="000000"/>
                <w:szCs w:val="22"/>
                <w:lang w:val="sk-SK" w:eastAsia="pt-PT"/>
              </w:rPr>
              <w:t xml:space="preserve">, </w:t>
            </w:r>
            <w:r w:rsidR="00DF5AAA" w:rsidRPr="00305462">
              <w:rPr>
                <w:color w:val="000000"/>
                <w:szCs w:val="22"/>
                <w:lang w:val="sk-SK" w:eastAsia="pt-PT"/>
              </w:rPr>
              <w:t xml:space="preserve"> </w:t>
            </w:r>
            <w:proofErr w:type="spellStart"/>
            <w:r w:rsidR="00FB74D2" w:rsidRPr="00305462">
              <w:rPr>
                <w:szCs w:val="22"/>
                <w:lang w:val="sk-SK" w:eastAsia="pt-PT"/>
              </w:rPr>
              <w:t>osteonekróza</w:t>
            </w:r>
            <w:proofErr w:type="spellEnd"/>
            <w:r w:rsidR="00FB74D2" w:rsidRPr="00305462">
              <w:rPr>
                <w:szCs w:val="22"/>
                <w:lang w:val="sk-SK" w:eastAsia="pt-PT"/>
              </w:rPr>
              <w:t xml:space="preserve"> vonkajšieho zvukovodu (nežiaduca reakcia triedy </w:t>
            </w:r>
            <w:proofErr w:type="spellStart"/>
            <w:r w:rsidR="00FB74D2" w:rsidRPr="00305462">
              <w:rPr>
                <w:szCs w:val="22"/>
                <w:lang w:val="sk-SK" w:eastAsia="pt-PT"/>
              </w:rPr>
              <w:t>bisfosfonátov</w:t>
            </w:r>
            <w:proofErr w:type="spellEnd"/>
            <w:r w:rsidR="00FB74D2" w:rsidRPr="00305462">
              <w:rPr>
                <w:szCs w:val="22"/>
                <w:lang w:val="sk-SK" w:eastAsia="pt-PT"/>
              </w:rPr>
              <w:t>)</w:t>
            </w:r>
            <w:r w:rsidR="00FB74D2" w:rsidRPr="00305462">
              <w:rPr>
                <w:color w:val="000000"/>
                <w:szCs w:val="22"/>
                <w:lang w:val="sk-SK" w:eastAsia="pt-PT"/>
              </w:rPr>
              <w:t>†</w:t>
            </w:r>
          </w:p>
        </w:tc>
      </w:tr>
      <w:tr w:rsidR="00DF5AAA" w:rsidRPr="00305462" w:rsidTr="00CF7501">
        <w:trPr>
          <w:trHeight w:val="523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17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Celkové poruchy a</w:t>
            </w:r>
          </w:p>
          <w:p w:rsidR="00194817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reakcie v mieste</w:t>
            </w:r>
          </w:p>
          <w:p w:rsidR="00DF5AAA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>podania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194817" w:rsidP="00DF5AA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color w:val="000000"/>
                <w:szCs w:val="22"/>
                <w:lang w:val="sk-SK" w:eastAsia="pt-PT"/>
              </w:rPr>
              <w:t>ochorenie podobné chrípke</w:t>
            </w:r>
            <w:r w:rsidR="00DF5AAA" w:rsidRPr="00305462">
              <w:rPr>
                <w:color w:val="000000"/>
                <w:szCs w:val="22"/>
                <w:lang w:val="sk-SK" w:eastAsia="pt-PT"/>
              </w:rPr>
              <w:t xml:space="preserve">*, </w:t>
            </w:r>
            <w:r w:rsidRPr="00305462">
              <w:rPr>
                <w:color w:val="000000"/>
                <w:szCs w:val="22"/>
                <w:lang w:val="sk-SK" w:eastAsia="pt-PT"/>
              </w:rPr>
              <w:t>únava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817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reakcie v</w:t>
            </w:r>
            <w:r w:rsidR="00B82138" w:rsidRPr="00305462">
              <w:rPr>
                <w:szCs w:val="22"/>
                <w:lang w:val="sk-SK" w:eastAsia="sk-SK"/>
              </w:rPr>
              <w:t xml:space="preserve"> </w:t>
            </w:r>
            <w:r w:rsidRPr="00305462">
              <w:rPr>
                <w:szCs w:val="22"/>
                <w:lang w:val="sk-SK" w:eastAsia="sk-SK"/>
              </w:rPr>
              <w:t>mieste podania</w:t>
            </w:r>
            <w:r w:rsidR="00B82138" w:rsidRPr="00305462">
              <w:rPr>
                <w:szCs w:val="22"/>
                <w:lang w:val="sk-SK" w:eastAsia="sk-SK"/>
              </w:rPr>
              <w:t xml:space="preserve"> </w:t>
            </w:r>
            <w:r w:rsidRPr="00305462">
              <w:rPr>
                <w:szCs w:val="22"/>
                <w:lang w:val="sk-SK" w:eastAsia="sk-SK"/>
              </w:rPr>
              <w:t>injekcie,</w:t>
            </w:r>
          </w:p>
          <w:p w:rsidR="00DF5AAA" w:rsidRPr="00305462" w:rsidRDefault="00194817" w:rsidP="001948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>asténia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DF5AA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 w:eastAsia="pt-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DF5AA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 w:eastAsia="pt-PT"/>
              </w:rPr>
            </w:pPr>
          </w:p>
        </w:tc>
      </w:tr>
    </w:tbl>
    <w:p w:rsidR="00DF5AAA" w:rsidRPr="00305462" w:rsidRDefault="00DF5AAA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pt-PT"/>
        </w:rPr>
        <w:t>*</w:t>
      </w:r>
      <w:r w:rsidR="00194817" w:rsidRPr="00305462">
        <w:rPr>
          <w:szCs w:val="22"/>
          <w:lang w:val="sk-SK" w:eastAsia="pt-PT"/>
        </w:rPr>
        <w:t>P</w:t>
      </w:r>
      <w:r w:rsidR="00194817" w:rsidRPr="00305462">
        <w:rPr>
          <w:szCs w:val="22"/>
          <w:lang w:val="sk-SK" w:eastAsia="sk-SK"/>
        </w:rPr>
        <w:t>ozri ďalšie informácie nižšie.</w:t>
      </w:r>
    </w:p>
    <w:p w:rsidR="00933993" w:rsidRPr="00305462" w:rsidRDefault="00DF5AAA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pt-PT"/>
        </w:rPr>
        <w:t>†</w:t>
      </w:r>
      <w:r w:rsidR="000C4815" w:rsidRPr="00305462">
        <w:rPr>
          <w:szCs w:val="22"/>
          <w:lang w:val="sk-SK" w:eastAsia="sk-SK"/>
        </w:rPr>
        <w:t xml:space="preserve">Stanovené </w:t>
      </w:r>
      <w:r w:rsidR="00194817" w:rsidRPr="00305462">
        <w:rPr>
          <w:szCs w:val="22"/>
          <w:lang w:val="sk-SK" w:eastAsia="sk-SK"/>
        </w:rPr>
        <w:t>zo skúseností po uvedení lieku na trh.</w:t>
      </w:r>
    </w:p>
    <w:p w:rsidR="00933993" w:rsidRPr="00305462" w:rsidRDefault="00933993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394DEF" w:rsidRPr="00305462" w:rsidRDefault="00394DEF" w:rsidP="007A29D8">
      <w:pPr>
        <w:tabs>
          <w:tab w:val="clear" w:pos="567"/>
        </w:tabs>
        <w:autoSpaceDE w:val="0"/>
        <w:autoSpaceDN w:val="0"/>
        <w:adjustRightInd w:val="0"/>
        <w:spacing w:before="120" w:line="240" w:lineRule="auto"/>
        <w:jc w:val="both"/>
        <w:rPr>
          <w:szCs w:val="22"/>
          <w:u w:val="single"/>
          <w:lang w:val="sk-SK" w:eastAsia="sk-SK"/>
        </w:rPr>
      </w:pPr>
      <w:r w:rsidRPr="00305462">
        <w:rPr>
          <w:szCs w:val="22"/>
          <w:u w:val="single"/>
          <w:lang w:val="sk-SK" w:eastAsia="sk-SK"/>
        </w:rPr>
        <w:t>Popis vybraných nežiaducich reakcií</w:t>
      </w:r>
    </w:p>
    <w:p w:rsidR="00394DEF" w:rsidRPr="00305462" w:rsidRDefault="00394DEF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sk-SK" w:eastAsia="sk-SK"/>
        </w:rPr>
      </w:pPr>
    </w:p>
    <w:p w:rsidR="00394DEF" w:rsidRPr="00305462" w:rsidRDefault="00394DEF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val="sk-SK" w:eastAsia="sk-SK"/>
        </w:rPr>
      </w:pPr>
      <w:r w:rsidRPr="00305462">
        <w:rPr>
          <w:iCs/>
          <w:szCs w:val="22"/>
          <w:u w:val="single"/>
          <w:lang w:val="sk-SK" w:eastAsia="sk-SK"/>
        </w:rPr>
        <w:t>Ochorenie podobné chrípke</w:t>
      </w:r>
    </w:p>
    <w:p w:rsidR="00394DEF" w:rsidRPr="00305462" w:rsidRDefault="00394DEF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Ochorenie podobné chrípke zahŕňa </w:t>
      </w:r>
      <w:r w:rsidR="009B6882" w:rsidRPr="00305462">
        <w:rPr>
          <w:szCs w:val="22"/>
          <w:lang w:val="sk-SK" w:eastAsia="sk-SK"/>
        </w:rPr>
        <w:t>prejavy</w:t>
      </w:r>
      <w:r w:rsidRPr="00305462">
        <w:rPr>
          <w:szCs w:val="22"/>
          <w:lang w:val="sk-SK" w:eastAsia="sk-SK"/>
        </w:rPr>
        <w:t xml:space="preserve"> hlásené ako reakcia alebo príznaky akútnej fázy,</w:t>
      </w:r>
    </w:p>
    <w:p w:rsidR="00DF5AAA" w:rsidRPr="00305462" w:rsidRDefault="00394DEF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305462">
        <w:rPr>
          <w:szCs w:val="22"/>
          <w:lang w:val="sk-SK" w:eastAsia="sk-SK"/>
        </w:rPr>
        <w:t xml:space="preserve">zahŕňajúce </w:t>
      </w:r>
      <w:proofErr w:type="spellStart"/>
      <w:r w:rsidRPr="00305462">
        <w:rPr>
          <w:szCs w:val="22"/>
          <w:lang w:val="sk-SK" w:eastAsia="sk-SK"/>
        </w:rPr>
        <w:t>myalgiu</w:t>
      </w:r>
      <w:proofErr w:type="spellEnd"/>
      <w:r w:rsidRPr="00305462">
        <w:rPr>
          <w:szCs w:val="22"/>
          <w:lang w:val="sk-SK" w:eastAsia="sk-SK"/>
        </w:rPr>
        <w:t xml:space="preserve">, </w:t>
      </w:r>
      <w:proofErr w:type="spellStart"/>
      <w:r w:rsidRPr="00305462">
        <w:rPr>
          <w:szCs w:val="22"/>
          <w:lang w:val="sk-SK" w:eastAsia="sk-SK"/>
        </w:rPr>
        <w:t>artralgiu</w:t>
      </w:r>
      <w:proofErr w:type="spellEnd"/>
      <w:r w:rsidRPr="00305462">
        <w:rPr>
          <w:szCs w:val="22"/>
          <w:lang w:val="sk-SK" w:eastAsia="sk-SK"/>
        </w:rPr>
        <w:t xml:space="preserve">, horúčku, triašku, únavu, </w:t>
      </w:r>
      <w:proofErr w:type="spellStart"/>
      <w:r w:rsidRPr="00305462">
        <w:rPr>
          <w:szCs w:val="22"/>
          <w:lang w:val="sk-SK" w:eastAsia="sk-SK"/>
        </w:rPr>
        <w:t>nauzeu</w:t>
      </w:r>
      <w:proofErr w:type="spellEnd"/>
      <w:r w:rsidRPr="00305462">
        <w:rPr>
          <w:szCs w:val="22"/>
          <w:lang w:val="sk-SK" w:eastAsia="sk-SK"/>
        </w:rPr>
        <w:t>, stratu chuti do jedla a bolesť kostí.</w:t>
      </w:r>
      <w:r w:rsidR="00933993" w:rsidRPr="00305462">
        <w:rPr>
          <w:szCs w:val="22"/>
          <w:lang w:val="sk-SK"/>
        </w:rPr>
        <w:t xml:space="preserve"> </w:t>
      </w:r>
    </w:p>
    <w:p w:rsidR="000C3724" w:rsidRPr="00305462" w:rsidRDefault="000C3724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F65FC0" w:rsidRPr="00305462" w:rsidRDefault="00394DEF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val="sk-SK" w:eastAsia="sk-SK"/>
        </w:rPr>
      </w:pPr>
      <w:proofErr w:type="spellStart"/>
      <w:r w:rsidRPr="00305462">
        <w:rPr>
          <w:iCs/>
          <w:szCs w:val="22"/>
          <w:u w:val="single"/>
          <w:lang w:val="sk-SK" w:eastAsia="sk-SK"/>
        </w:rPr>
        <w:t>Osteonekróza</w:t>
      </w:r>
      <w:proofErr w:type="spellEnd"/>
      <w:r w:rsidRPr="00305462">
        <w:rPr>
          <w:iCs/>
          <w:szCs w:val="22"/>
          <w:u w:val="single"/>
          <w:lang w:val="sk-SK" w:eastAsia="sk-SK"/>
        </w:rPr>
        <w:t xml:space="preserve"> čeľuste</w:t>
      </w:r>
    </w:p>
    <w:p w:rsidR="00DF5AAA" w:rsidRPr="00305462" w:rsidRDefault="00FB74D2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 w:eastAsia="pt-PT"/>
        </w:rPr>
      </w:pPr>
      <w:r w:rsidRPr="006A011B">
        <w:rPr>
          <w:szCs w:val="22"/>
          <w:lang w:val="sk-SK"/>
        </w:rPr>
        <w:t xml:space="preserve">Prípady </w:t>
      </w:r>
      <w:proofErr w:type="spellStart"/>
      <w:r w:rsidRPr="006A011B">
        <w:rPr>
          <w:szCs w:val="22"/>
          <w:lang w:val="sk-SK"/>
        </w:rPr>
        <w:t>osteonekrózy</w:t>
      </w:r>
      <w:proofErr w:type="spellEnd"/>
      <w:r w:rsidRPr="006A011B">
        <w:rPr>
          <w:szCs w:val="22"/>
          <w:lang w:val="sk-SK"/>
        </w:rPr>
        <w:t xml:space="preserve"> čeľuste boli zaznamenané predovšetkým u pacientok s nádorovým ochorením liečených liekmi, ktoré </w:t>
      </w:r>
      <w:proofErr w:type="spellStart"/>
      <w:r w:rsidRPr="006A011B">
        <w:rPr>
          <w:szCs w:val="22"/>
          <w:lang w:val="sk-SK"/>
        </w:rPr>
        <w:t>inhibujú</w:t>
      </w:r>
      <w:proofErr w:type="spellEnd"/>
      <w:r w:rsidRPr="006A011B">
        <w:rPr>
          <w:szCs w:val="22"/>
          <w:lang w:val="sk-SK"/>
        </w:rPr>
        <w:t xml:space="preserve"> </w:t>
      </w:r>
      <w:proofErr w:type="spellStart"/>
      <w:r w:rsidRPr="006A011B">
        <w:rPr>
          <w:szCs w:val="22"/>
          <w:lang w:val="sk-SK"/>
        </w:rPr>
        <w:t>resorbciu</w:t>
      </w:r>
      <w:proofErr w:type="spellEnd"/>
      <w:r w:rsidRPr="006A011B">
        <w:rPr>
          <w:szCs w:val="22"/>
          <w:lang w:val="sk-SK"/>
        </w:rPr>
        <w:t xml:space="preserve"> v kosti, ako napríklad kyselina </w:t>
      </w:r>
      <w:proofErr w:type="spellStart"/>
      <w:r w:rsidRPr="006A011B">
        <w:rPr>
          <w:szCs w:val="22"/>
          <w:lang w:val="sk-SK"/>
        </w:rPr>
        <w:t>ibandr</w:t>
      </w:r>
      <w:r w:rsidR="00230CB0" w:rsidRPr="006A011B">
        <w:rPr>
          <w:szCs w:val="22"/>
          <w:lang w:val="sk-SK"/>
        </w:rPr>
        <w:t>ó</w:t>
      </w:r>
      <w:r w:rsidRPr="006A011B">
        <w:rPr>
          <w:szCs w:val="22"/>
          <w:lang w:val="sk-SK"/>
        </w:rPr>
        <w:t>nová</w:t>
      </w:r>
      <w:proofErr w:type="spellEnd"/>
      <w:r w:rsidRPr="006A011B">
        <w:rPr>
          <w:szCs w:val="22"/>
          <w:lang w:val="sk-SK"/>
        </w:rPr>
        <w:t xml:space="preserve"> (pozri časť 4.4). Po uvedení kyseliny </w:t>
      </w:r>
      <w:proofErr w:type="spellStart"/>
      <w:r w:rsidRPr="006A011B">
        <w:rPr>
          <w:szCs w:val="22"/>
          <w:lang w:val="sk-SK"/>
        </w:rPr>
        <w:t>ibandr</w:t>
      </w:r>
      <w:r w:rsidR="00230CB0" w:rsidRPr="006A011B">
        <w:rPr>
          <w:szCs w:val="22"/>
          <w:lang w:val="sk-SK"/>
        </w:rPr>
        <w:t>ó</w:t>
      </w:r>
      <w:r w:rsidRPr="006A011B">
        <w:rPr>
          <w:szCs w:val="22"/>
          <w:lang w:val="sk-SK"/>
        </w:rPr>
        <w:t>novej</w:t>
      </w:r>
      <w:proofErr w:type="spellEnd"/>
      <w:r w:rsidRPr="006A011B">
        <w:rPr>
          <w:szCs w:val="22"/>
          <w:lang w:val="sk-SK"/>
        </w:rPr>
        <w:t xml:space="preserve"> na trh boli v hláseniach zaznamenané prípady ONJ. </w:t>
      </w:r>
    </w:p>
    <w:p w:rsidR="00F65FC0" w:rsidRPr="00305462" w:rsidRDefault="00F65FC0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val="sk-SK" w:eastAsia="sk-SK"/>
        </w:rPr>
      </w:pPr>
      <w:r w:rsidRPr="00305462">
        <w:rPr>
          <w:iCs/>
          <w:szCs w:val="22"/>
          <w:u w:val="single"/>
          <w:lang w:val="sk-SK" w:eastAsia="sk-SK"/>
        </w:rPr>
        <w:t>Zápal oka</w:t>
      </w:r>
    </w:p>
    <w:p w:rsidR="00645B5A" w:rsidRPr="00305462" w:rsidRDefault="00F65FC0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color w:val="000000"/>
          <w:szCs w:val="22"/>
          <w:u w:val="single"/>
          <w:lang w:val="sk-SK" w:eastAsia="pt-PT"/>
        </w:rPr>
      </w:pPr>
      <w:r w:rsidRPr="00305462">
        <w:rPr>
          <w:szCs w:val="22"/>
          <w:lang w:val="sk-SK" w:eastAsia="sk-SK"/>
        </w:rPr>
        <w:t xml:space="preserve">Zápaly oka ako </w:t>
      </w:r>
      <w:proofErr w:type="spellStart"/>
      <w:r w:rsidRPr="00305462">
        <w:rPr>
          <w:szCs w:val="22"/>
          <w:lang w:val="sk-SK" w:eastAsia="sk-SK"/>
        </w:rPr>
        <w:t>uveitída</w:t>
      </w:r>
      <w:proofErr w:type="spellEnd"/>
      <w:r w:rsidRPr="00305462">
        <w:rPr>
          <w:szCs w:val="22"/>
          <w:lang w:val="sk-SK" w:eastAsia="sk-SK"/>
        </w:rPr>
        <w:t xml:space="preserve">, </w:t>
      </w:r>
      <w:proofErr w:type="spellStart"/>
      <w:r w:rsidRPr="00305462">
        <w:rPr>
          <w:szCs w:val="22"/>
          <w:lang w:val="sk-SK" w:eastAsia="sk-SK"/>
        </w:rPr>
        <w:t>episkleritída</w:t>
      </w:r>
      <w:proofErr w:type="spellEnd"/>
      <w:r w:rsidRPr="00305462">
        <w:rPr>
          <w:szCs w:val="22"/>
          <w:lang w:val="sk-SK" w:eastAsia="sk-SK"/>
        </w:rPr>
        <w:t xml:space="preserve"> a </w:t>
      </w:r>
      <w:proofErr w:type="spellStart"/>
      <w:r w:rsidRPr="00305462">
        <w:rPr>
          <w:szCs w:val="22"/>
          <w:lang w:val="sk-SK" w:eastAsia="sk-SK"/>
        </w:rPr>
        <w:t>skleritída</w:t>
      </w:r>
      <w:proofErr w:type="spellEnd"/>
      <w:r w:rsidRPr="00305462">
        <w:rPr>
          <w:szCs w:val="22"/>
          <w:lang w:val="sk-SK" w:eastAsia="sk-SK"/>
        </w:rPr>
        <w:t xml:space="preserve"> boli hlásené pri liečbe kyselin</w:t>
      </w:r>
      <w:r w:rsidR="00924C27" w:rsidRPr="00305462">
        <w:rPr>
          <w:szCs w:val="22"/>
          <w:lang w:val="sk-SK" w:eastAsia="sk-SK"/>
        </w:rPr>
        <w:t>ou</w:t>
      </w:r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ibandrónov</w:t>
      </w:r>
      <w:r w:rsidR="00924C27" w:rsidRPr="00305462">
        <w:rPr>
          <w:szCs w:val="22"/>
          <w:lang w:val="sk-SK" w:eastAsia="sk-SK"/>
        </w:rPr>
        <w:t>ou</w:t>
      </w:r>
      <w:proofErr w:type="spellEnd"/>
      <w:r w:rsidRPr="00305462">
        <w:rPr>
          <w:szCs w:val="22"/>
          <w:lang w:val="sk-SK" w:eastAsia="sk-SK"/>
        </w:rPr>
        <w:t>. V niek</w:t>
      </w:r>
      <w:r w:rsidR="00924C27" w:rsidRPr="00305462">
        <w:rPr>
          <w:szCs w:val="22"/>
          <w:lang w:val="sk-SK" w:eastAsia="sk-SK"/>
        </w:rPr>
        <w:t>torých</w:t>
      </w:r>
      <w:r w:rsidRPr="00305462">
        <w:rPr>
          <w:szCs w:val="22"/>
          <w:lang w:val="sk-SK" w:eastAsia="sk-SK"/>
        </w:rPr>
        <w:t xml:space="preserve"> prípadoch tieto zápaly neustúpili, pokiaľ nebola prerušená liečba kyselinou </w:t>
      </w:r>
      <w:proofErr w:type="spellStart"/>
      <w:r w:rsidRPr="00305462">
        <w:rPr>
          <w:szCs w:val="22"/>
          <w:lang w:val="sk-SK" w:eastAsia="sk-SK"/>
        </w:rPr>
        <w:t>ibandrónovou</w:t>
      </w:r>
      <w:proofErr w:type="spellEnd"/>
      <w:r w:rsidRPr="00305462">
        <w:rPr>
          <w:szCs w:val="22"/>
          <w:lang w:val="sk-SK" w:eastAsia="sk-SK"/>
        </w:rPr>
        <w:t>.</w:t>
      </w:r>
    </w:p>
    <w:p w:rsidR="00F65FC0" w:rsidRPr="00305462" w:rsidRDefault="00F65FC0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color w:val="000000"/>
          <w:szCs w:val="22"/>
          <w:u w:val="single"/>
          <w:lang w:val="sk-SK" w:eastAsia="pt-PT"/>
        </w:rPr>
      </w:pPr>
    </w:p>
    <w:p w:rsidR="00F65FC0" w:rsidRPr="00305462" w:rsidRDefault="00F65FC0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val="sk-SK" w:eastAsia="sk-SK"/>
        </w:rPr>
      </w:pPr>
      <w:proofErr w:type="spellStart"/>
      <w:r w:rsidRPr="00305462">
        <w:rPr>
          <w:iCs/>
          <w:szCs w:val="22"/>
          <w:u w:val="single"/>
          <w:lang w:val="sk-SK" w:eastAsia="sk-SK"/>
        </w:rPr>
        <w:t>Anafylaktická</w:t>
      </w:r>
      <w:proofErr w:type="spellEnd"/>
      <w:r w:rsidRPr="00305462">
        <w:rPr>
          <w:iCs/>
          <w:szCs w:val="22"/>
          <w:u w:val="single"/>
          <w:lang w:val="sk-SK" w:eastAsia="sk-SK"/>
        </w:rPr>
        <w:t xml:space="preserve"> reakcia/šok</w:t>
      </w:r>
    </w:p>
    <w:p w:rsidR="00645B5A" w:rsidRPr="00305462" w:rsidRDefault="00F65FC0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Prípady </w:t>
      </w:r>
      <w:proofErr w:type="spellStart"/>
      <w:r w:rsidRPr="00305462">
        <w:rPr>
          <w:szCs w:val="22"/>
          <w:lang w:val="sk-SK" w:eastAsia="sk-SK"/>
        </w:rPr>
        <w:t>anafylaktickej</w:t>
      </w:r>
      <w:proofErr w:type="spellEnd"/>
      <w:r w:rsidRPr="00305462">
        <w:rPr>
          <w:szCs w:val="22"/>
          <w:lang w:val="sk-SK" w:eastAsia="sk-SK"/>
        </w:rPr>
        <w:t xml:space="preserve"> reakcie/šoku, vrátane fatálnych prípadov, boli hlásené u pacient</w:t>
      </w:r>
      <w:r w:rsidR="00ED7CCE" w:rsidRPr="00305462">
        <w:rPr>
          <w:szCs w:val="22"/>
          <w:lang w:val="sk-SK" w:eastAsia="sk-SK"/>
        </w:rPr>
        <w:t>o</w:t>
      </w:r>
      <w:r w:rsidR="007A29D8" w:rsidRPr="00305462">
        <w:rPr>
          <w:szCs w:val="22"/>
          <w:lang w:val="sk-SK" w:eastAsia="sk-SK"/>
        </w:rPr>
        <w:t>k</w:t>
      </w:r>
      <w:r w:rsidRPr="00305462">
        <w:rPr>
          <w:szCs w:val="22"/>
          <w:lang w:val="sk-SK" w:eastAsia="sk-SK"/>
        </w:rPr>
        <w:t xml:space="preserve"> liečených</w:t>
      </w:r>
      <w:r w:rsidR="007A29D8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intravenózne podávanou kyselinou </w:t>
      </w:r>
      <w:proofErr w:type="spellStart"/>
      <w:r w:rsidRPr="00305462">
        <w:rPr>
          <w:szCs w:val="22"/>
          <w:lang w:val="sk-SK" w:eastAsia="sk-SK"/>
        </w:rPr>
        <w:t>ibandrónovou</w:t>
      </w:r>
      <w:proofErr w:type="spellEnd"/>
      <w:r w:rsidRPr="00305462">
        <w:rPr>
          <w:szCs w:val="22"/>
          <w:lang w:val="sk-SK" w:eastAsia="sk-SK"/>
        </w:rPr>
        <w:t>.</w:t>
      </w:r>
    </w:p>
    <w:p w:rsidR="00F65FC0" w:rsidRPr="00305462" w:rsidRDefault="00F65FC0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 w:eastAsia="pt-PT"/>
        </w:rPr>
      </w:pPr>
    </w:p>
    <w:p w:rsidR="00F65FC0" w:rsidRPr="00305462" w:rsidRDefault="00F65FC0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sk-SK" w:eastAsia="sk-SK"/>
        </w:rPr>
      </w:pPr>
      <w:r w:rsidRPr="00305462">
        <w:rPr>
          <w:color w:val="000000"/>
          <w:szCs w:val="22"/>
          <w:u w:val="single"/>
          <w:lang w:val="sk-SK" w:eastAsia="sk-SK"/>
        </w:rPr>
        <w:t>Hlásenie podozrení na nežiaduce reakcie</w:t>
      </w:r>
    </w:p>
    <w:p w:rsidR="00F65FC0" w:rsidRPr="00305462" w:rsidRDefault="00F65FC0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sk-SK"/>
        </w:rPr>
      </w:pPr>
      <w:r w:rsidRPr="00305462">
        <w:rPr>
          <w:color w:val="000000"/>
          <w:szCs w:val="22"/>
          <w:lang w:val="sk-SK" w:eastAsia="sk-SK"/>
        </w:rPr>
        <w:t>Hlásenie podozrení na nežiaduce reakcie po registrácii lieku je dôležité. Umožňuje priebežné</w:t>
      </w:r>
    </w:p>
    <w:p w:rsidR="00F65FC0" w:rsidRPr="00305462" w:rsidRDefault="00F65FC0" w:rsidP="007A29D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sk-SK"/>
        </w:rPr>
      </w:pPr>
      <w:r w:rsidRPr="00305462">
        <w:rPr>
          <w:color w:val="000000"/>
          <w:szCs w:val="22"/>
          <w:lang w:val="sk-SK" w:eastAsia="sk-SK"/>
        </w:rPr>
        <w:t>monitorovanie pomeru prínosu a rizika lieku. Od zdravotníckych pracovníkov sa vyžaduje, aby hlásili</w:t>
      </w:r>
    </w:p>
    <w:p w:rsidR="001D29E6" w:rsidRPr="00305462" w:rsidRDefault="00F65FC0" w:rsidP="00754D1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  <w:lang w:val="sk-SK"/>
        </w:rPr>
      </w:pPr>
      <w:r w:rsidRPr="00305462">
        <w:rPr>
          <w:color w:val="000000"/>
          <w:szCs w:val="22"/>
          <w:lang w:val="sk-SK" w:eastAsia="sk-SK"/>
        </w:rPr>
        <w:t xml:space="preserve">akékoľvek podozrenia na nežiaduce reakcie </w:t>
      </w:r>
      <w:r w:rsidR="00754D1E" w:rsidRPr="00305462">
        <w:rPr>
          <w:color w:val="000000"/>
          <w:szCs w:val="22"/>
          <w:lang w:val="sk-SK" w:eastAsia="sk-SK"/>
        </w:rPr>
        <w:t>na</w:t>
      </w:r>
      <w:r w:rsidRPr="00305462">
        <w:rPr>
          <w:color w:val="000000"/>
          <w:szCs w:val="22"/>
          <w:lang w:val="sk-SK" w:eastAsia="sk-SK"/>
        </w:rPr>
        <w:t xml:space="preserve"> </w:t>
      </w:r>
      <w:r w:rsidRPr="00305462">
        <w:rPr>
          <w:color w:val="000000"/>
          <w:szCs w:val="22"/>
          <w:highlight w:val="lightGray"/>
          <w:lang w:val="sk-SK" w:eastAsia="sk-SK"/>
        </w:rPr>
        <w:t>národn</w:t>
      </w:r>
      <w:r w:rsidR="00754D1E" w:rsidRPr="00305462">
        <w:rPr>
          <w:color w:val="000000"/>
          <w:szCs w:val="22"/>
          <w:highlight w:val="lightGray"/>
          <w:lang w:val="sk-SK" w:eastAsia="sk-SK"/>
        </w:rPr>
        <w:t>ý</w:t>
      </w:r>
      <w:r w:rsidRPr="00305462">
        <w:rPr>
          <w:color w:val="000000"/>
          <w:szCs w:val="22"/>
          <w:highlight w:val="lightGray"/>
          <w:lang w:val="sk-SK" w:eastAsia="sk-SK"/>
        </w:rPr>
        <w:t xml:space="preserve"> systém hlásenia uveden</w:t>
      </w:r>
      <w:r w:rsidR="00754D1E" w:rsidRPr="00305462">
        <w:rPr>
          <w:color w:val="000000"/>
          <w:szCs w:val="22"/>
          <w:highlight w:val="lightGray"/>
          <w:lang w:val="sk-SK" w:eastAsia="sk-SK"/>
        </w:rPr>
        <w:t xml:space="preserve">ý </w:t>
      </w:r>
      <w:r w:rsidRPr="00305462">
        <w:rPr>
          <w:color w:val="000000"/>
          <w:szCs w:val="22"/>
          <w:highlight w:val="lightGray"/>
          <w:lang w:val="sk-SK" w:eastAsia="sk-SK"/>
        </w:rPr>
        <w:t>v</w:t>
      </w:r>
      <w:r w:rsidR="00ED7CCE" w:rsidRPr="00305462">
        <w:rPr>
          <w:color w:val="000000"/>
          <w:szCs w:val="22"/>
          <w:highlight w:val="lightGray"/>
          <w:lang w:val="sk-SK" w:eastAsia="sk-SK"/>
        </w:rPr>
        <w:t xml:space="preserve"> </w:t>
      </w:r>
      <w:hyperlink r:id="rId7" w:history="1">
        <w:r w:rsidR="00ED7CCE" w:rsidRPr="006A011B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305462">
        <w:rPr>
          <w:color w:val="000000"/>
          <w:szCs w:val="22"/>
          <w:lang w:val="sk-SK" w:eastAsia="sk-SK"/>
        </w:rPr>
        <w:t>.</w:t>
      </w:r>
    </w:p>
    <w:p w:rsidR="00737679" w:rsidRPr="00305462" w:rsidRDefault="00737679" w:rsidP="007A29D8">
      <w:pPr>
        <w:ind w:left="567" w:hanging="567"/>
        <w:jc w:val="both"/>
        <w:rPr>
          <w:b/>
          <w:szCs w:val="22"/>
          <w:lang w:val="sk-SK"/>
        </w:rPr>
      </w:pPr>
    </w:p>
    <w:p w:rsidR="001D29E6" w:rsidRPr="00305462" w:rsidRDefault="001D29E6" w:rsidP="007A29D8">
      <w:pPr>
        <w:ind w:left="567" w:hanging="567"/>
        <w:jc w:val="both"/>
        <w:rPr>
          <w:szCs w:val="22"/>
          <w:lang w:val="sk-SK"/>
        </w:rPr>
      </w:pPr>
      <w:r w:rsidRPr="00305462">
        <w:rPr>
          <w:b/>
          <w:szCs w:val="22"/>
          <w:lang w:val="sk-SK"/>
        </w:rPr>
        <w:t>4.9</w:t>
      </w:r>
      <w:r w:rsidRPr="00305462">
        <w:rPr>
          <w:b/>
          <w:szCs w:val="22"/>
          <w:lang w:val="sk-SK"/>
        </w:rPr>
        <w:tab/>
      </w:r>
      <w:r w:rsidR="00F65FC0" w:rsidRPr="00305462">
        <w:rPr>
          <w:b/>
          <w:szCs w:val="22"/>
          <w:lang w:val="sk-SK"/>
        </w:rPr>
        <w:t>Predávkovanie</w:t>
      </w:r>
    </w:p>
    <w:p w:rsidR="001D29E6" w:rsidRPr="00305462" w:rsidRDefault="001D29E6" w:rsidP="007A29D8">
      <w:pPr>
        <w:jc w:val="both"/>
        <w:rPr>
          <w:szCs w:val="22"/>
          <w:lang w:val="sk-SK"/>
        </w:rPr>
      </w:pPr>
    </w:p>
    <w:p w:rsidR="00F65FC0" w:rsidRPr="00305462" w:rsidRDefault="00F65FC0" w:rsidP="007A29D8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Nie sú dostupné žiadne špecifické informácie o liečbe pri predávkovaní kyselinou </w:t>
      </w:r>
      <w:proofErr w:type="spellStart"/>
      <w:r w:rsidRPr="00305462">
        <w:rPr>
          <w:szCs w:val="22"/>
          <w:lang w:val="sk-SK" w:eastAsia="sk-SK"/>
        </w:rPr>
        <w:t>ibandrónovou</w:t>
      </w:r>
      <w:proofErr w:type="spellEnd"/>
      <w:r w:rsidRPr="00305462">
        <w:rPr>
          <w:szCs w:val="22"/>
          <w:lang w:val="sk-SK" w:eastAsia="sk-SK"/>
        </w:rPr>
        <w:t>.</w:t>
      </w:r>
    </w:p>
    <w:p w:rsidR="00F65FC0" w:rsidRPr="00305462" w:rsidRDefault="00F65FC0" w:rsidP="007A29D8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Na základe poznatkov tejto skupiny zlúčenín </w:t>
      </w:r>
      <w:r w:rsidR="0073053B" w:rsidRPr="00305462">
        <w:rPr>
          <w:szCs w:val="22"/>
          <w:lang w:val="sk-SK" w:eastAsia="sk-SK"/>
        </w:rPr>
        <w:t xml:space="preserve">môže intravenózne predávkovanie </w:t>
      </w:r>
      <w:r w:rsidRPr="00305462">
        <w:rPr>
          <w:szCs w:val="22"/>
          <w:lang w:val="sk-SK" w:eastAsia="sk-SK"/>
        </w:rPr>
        <w:t>mať za následok</w:t>
      </w:r>
    </w:p>
    <w:p w:rsidR="00F65FC0" w:rsidRPr="00305462" w:rsidRDefault="00F65FC0" w:rsidP="007A29D8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proofErr w:type="spellStart"/>
      <w:r w:rsidRPr="00305462">
        <w:rPr>
          <w:szCs w:val="22"/>
          <w:lang w:val="sk-SK" w:eastAsia="sk-SK"/>
        </w:rPr>
        <w:lastRenderedPageBreak/>
        <w:t>hypokalciémiu</w:t>
      </w:r>
      <w:proofErr w:type="spellEnd"/>
      <w:r w:rsidRPr="00305462">
        <w:rPr>
          <w:szCs w:val="22"/>
          <w:lang w:val="sk-SK" w:eastAsia="sk-SK"/>
        </w:rPr>
        <w:t xml:space="preserve">, </w:t>
      </w:r>
      <w:proofErr w:type="spellStart"/>
      <w:r w:rsidRPr="00305462">
        <w:rPr>
          <w:szCs w:val="22"/>
          <w:lang w:val="sk-SK" w:eastAsia="sk-SK"/>
        </w:rPr>
        <w:t>hypofosfatémiu</w:t>
      </w:r>
      <w:proofErr w:type="spellEnd"/>
      <w:r w:rsidRPr="00305462">
        <w:rPr>
          <w:szCs w:val="22"/>
          <w:lang w:val="sk-SK" w:eastAsia="sk-SK"/>
        </w:rPr>
        <w:t xml:space="preserve"> a </w:t>
      </w:r>
      <w:proofErr w:type="spellStart"/>
      <w:r w:rsidRPr="00305462">
        <w:rPr>
          <w:szCs w:val="22"/>
          <w:lang w:val="sk-SK" w:eastAsia="sk-SK"/>
        </w:rPr>
        <w:t>hypomagneziémiu</w:t>
      </w:r>
      <w:proofErr w:type="spellEnd"/>
      <w:r w:rsidRPr="00305462">
        <w:rPr>
          <w:szCs w:val="22"/>
          <w:lang w:val="sk-SK" w:eastAsia="sk-SK"/>
        </w:rPr>
        <w:t>. Klinicky významné poklesy sérových hladín</w:t>
      </w:r>
    </w:p>
    <w:p w:rsidR="00F65FC0" w:rsidRPr="00305462" w:rsidRDefault="00F65FC0" w:rsidP="007A29D8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vápnika, fosforu a horčíka sa majú upraviť intravenóznym podaním </w:t>
      </w:r>
      <w:proofErr w:type="spellStart"/>
      <w:r w:rsidRPr="00305462">
        <w:rPr>
          <w:szCs w:val="22"/>
          <w:lang w:val="sk-SK" w:eastAsia="sk-SK"/>
        </w:rPr>
        <w:t>glukonátu</w:t>
      </w:r>
      <w:proofErr w:type="spellEnd"/>
      <w:r w:rsidRPr="00305462">
        <w:rPr>
          <w:szCs w:val="22"/>
          <w:lang w:val="sk-SK" w:eastAsia="sk-SK"/>
        </w:rPr>
        <w:t xml:space="preserve"> vápenatého, draslíka</w:t>
      </w:r>
    </w:p>
    <w:p w:rsidR="00F65FC0" w:rsidRPr="00305462" w:rsidRDefault="00F65FC0" w:rsidP="007A29D8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alebo fosforečnanu sodného a síranu </w:t>
      </w:r>
      <w:proofErr w:type="spellStart"/>
      <w:r w:rsidRPr="00305462">
        <w:rPr>
          <w:szCs w:val="22"/>
          <w:lang w:val="sk-SK" w:eastAsia="sk-SK"/>
        </w:rPr>
        <w:t>horečnatého</w:t>
      </w:r>
      <w:proofErr w:type="spellEnd"/>
      <w:r w:rsidR="00A11CAB" w:rsidRPr="00305462">
        <w:rPr>
          <w:szCs w:val="22"/>
          <w:lang w:val="sk-SK" w:eastAsia="sk-SK"/>
        </w:rPr>
        <w:t xml:space="preserve"> v tomto poradí</w:t>
      </w:r>
      <w:r w:rsidRPr="00305462">
        <w:rPr>
          <w:szCs w:val="22"/>
          <w:lang w:val="sk-SK" w:eastAsia="sk-SK"/>
        </w:rPr>
        <w:t>.</w:t>
      </w:r>
    </w:p>
    <w:p w:rsidR="00DF5AAA" w:rsidRPr="00305462" w:rsidRDefault="00DF5AAA" w:rsidP="007A29D8">
      <w:pPr>
        <w:jc w:val="both"/>
        <w:rPr>
          <w:szCs w:val="22"/>
          <w:lang w:val="sk-SK"/>
        </w:rPr>
      </w:pPr>
    </w:p>
    <w:p w:rsidR="00C77498" w:rsidRPr="00305462" w:rsidRDefault="00C77498" w:rsidP="007A29D8">
      <w:pPr>
        <w:jc w:val="both"/>
        <w:rPr>
          <w:szCs w:val="22"/>
          <w:lang w:val="sk-SK"/>
        </w:rPr>
      </w:pPr>
    </w:p>
    <w:p w:rsidR="001D29E6" w:rsidRPr="00305462" w:rsidRDefault="001D29E6" w:rsidP="007A29D8">
      <w:pPr>
        <w:ind w:left="567" w:hanging="567"/>
        <w:jc w:val="both"/>
        <w:rPr>
          <w:szCs w:val="22"/>
          <w:lang w:val="sk-SK"/>
        </w:rPr>
      </w:pPr>
      <w:r w:rsidRPr="00305462">
        <w:rPr>
          <w:b/>
          <w:szCs w:val="22"/>
          <w:lang w:val="sk-SK"/>
        </w:rPr>
        <w:t>5.</w:t>
      </w:r>
      <w:r w:rsidRPr="00305462">
        <w:rPr>
          <w:b/>
          <w:szCs w:val="22"/>
          <w:lang w:val="sk-SK"/>
        </w:rPr>
        <w:tab/>
      </w:r>
      <w:r w:rsidR="00A11CAB" w:rsidRPr="00305462">
        <w:rPr>
          <w:b/>
          <w:szCs w:val="22"/>
          <w:lang w:val="sk-SK"/>
        </w:rPr>
        <w:t>FARMAKOLOGICKÉ VLASTNOSTI</w:t>
      </w:r>
    </w:p>
    <w:p w:rsidR="001D29E6" w:rsidRPr="00305462" w:rsidRDefault="001D29E6" w:rsidP="000555A7">
      <w:pPr>
        <w:jc w:val="both"/>
        <w:rPr>
          <w:b/>
          <w:szCs w:val="22"/>
          <w:lang w:val="sk-SK"/>
        </w:rPr>
      </w:pPr>
    </w:p>
    <w:p w:rsidR="001D29E6" w:rsidRPr="00305462" w:rsidRDefault="001D29E6" w:rsidP="000555A7">
      <w:pPr>
        <w:ind w:left="567" w:hanging="567"/>
        <w:jc w:val="both"/>
        <w:rPr>
          <w:szCs w:val="22"/>
          <w:lang w:val="sk-SK"/>
        </w:rPr>
      </w:pPr>
      <w:r w:rsidRPr="00305462">
        <w:rPr>
          <w:b/>
          <w:szCs w:val="22"/>
          <w:lang w:val="sk-SK"/>
        </w:rPr>
        <w:t xml:space="preserve">5.1 </w:t>
      </w:r>
      <w:r w:rsidRPr="00305462">
        <w:rPr>
          <w:b/>
          <w:szCs w:val="22"/>
          <w:lang w:val="sk-SK"/>
        </w:rPr>
        <w:tab/>
      </w:r>
      <w:proofErr w:type="spellStart"/>
      <w:r w:rsidR="00C77498" w:rsidRPr="00305462">
        <w:rPr>
          <w:b/>
          <w:szCs w:val="22"/>
          <w:lang w:val="sk-SK"/>
        </w:rPr>
        <w:t>Farmakodynamické</w:t>
      </w:r>
      <w:proofErr w:type="spellEnd"/>
      <w:r w:rsidR="00C77498" w:rsidRPr="00305462">
        <w:rPr>
          <w:b/>
          <w:szCs w:val="22"/>
          <w:lang w:val="sk-SK"/>
        </w:rPr>
        <w:t xml:space="preserve"> vlastnosti</w:t>
      </w:r>
    </w:p>
    <w:p w:rsidR="001D29E6" w:rsidRPr="00305462" w:rsidRDefault="001D29E6" w:rsidP="00E55893">
      <w:pPr>
        <w:jc w:val="both"/>
        <w:rPr>
          <w:szCs w:val="22"/>
          <w:lang w:val="sk-SK"/>
        </w:rPr>
      </w:pPr>
    </w:p>
    <w:p w:rsidR="00F756B3" w:rsidRPr="00305462" w:rsidRDefault="00C77498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proofErr w:type="spellStart"/>
      <w:r w:rsidRPr="00305462">
        <w:rPr>
          <w:szCs w:val="22"/>
          <w:lang w:val="sk-SK" w:eastAsia="sk-SK"/>
        </w:rPr>
        <w:t>Farmakoterapeutická</w:t>
      </w:r>
      <w:proofErr w:type="spellEnd"/>
      <w:r w:rsidRPr="00305462">
        <w:rPr>
          <w:szCs w:val="22"/>
          <w:lang w:val="sk-SK" w:eastAsia="sk-SK"/>
        </w:rPr>
        <w:t xml:space="preserve"> skupina: </w:t>
      </w:r>
      <w:r w:rsidR="00D56B2F" w:rsidRPr="00305462">
        <w:rPr>
          <w:szCs w:val="22"/>
          <w:lang w:val="sk-SK" w:eastAsia="sk-SK"/>
        </w:rPr>
        <w:t>l</w:t>
      </w:r>
      <w:r w:rsidRPr="00305462">
        <w:rPr>
          <w:szCs w:val="22"/>
          <w:lang w:val="sk-SK" w:eastAsia="sk-SK"/>
        </w:rPr>
        <w:t xml:space="preserve">ieky na liečbu ochorenia kostí, </w:t>
      </w:r>
      <w:proofErr w:type="spellStart"/>
      <w:r w:rsidRPr="00305462">
        <w:rPr>
          <w:szCs w:val="22"/>
          <w:lang w:val="sk-SK" w:eastAsia="sk-SK"/>
        </w:rPr>
        <w:t>bisfosfonáty</w:t>
      </w:r>
      <w:proofErr w:type="spellEnd"/>
      <w:r w:rsidRPr="00305462">
        <w:rPr>
          <w:szCs w:val="22"/>
          <w:lang w:val="sk-SK" w:eastAsia="sk-SK"/>
        </w:rPr>
        <w:t>, ATC kód: M05BA06</w:t>
      </w:r>
    </w:p>
    <w:p w:rsidR="00C77498" w:rsidRPr="00305462" w:rsidRDefault="00C77498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</w:p>
    <w:p w:rsidR="00DF5AAA" w:rsidRPr="00305462" w:rsidRDefault="00DF5AAA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proofErr w:type="spellStart"/>
      <w:r w:rsidRPr="00305462">
        <w:rPr>
          <w:i/>
          <w:szCs w:val="22"/>
          <w:lang w:val="sk-SK" w:eastAsia="pt-PT"/>
        </w:rPr>
        <w:t>Mechani</w:t>
      </w:r>
      <w:r w:rsidR="00C77498" w:rsidRPr="00305462">
        <w:rPr>
          <w:i/>
          <w:szCs w:val="22"/>
          <w:lang w:val="sk-SK" w:eastAsia="pt-PT"/>
        </w:rPr>
        <w:t>zus</w:t>
      </w:r>
      <w:proofErr w:type="spellEnd"/>
      <w:r w:rsidR="00C77498" w:rsidRPr="00305462">
        <w:rPr>
          <w:i/>
          <w:szCs w:val="22"/>
          <w:lang w:val="sk-SK" w:eastAsia="pt-PT"/>
        </w:rPr>
        <w:t xml:space="preserve"> účinku</w:t>
      </w:r>
      <w:r w:rsidRPr="00305462">
        <w:rPr>
          <w:i/>
          <w:szCs w:val="22"/>
          <w:lang w:val="sk-SK" w:eastAsia="pt-PT"/>
        </w:rPr>
        <w:t xml:space="preserve"> </w:t>
      </w:r>
      <w:r w:rsidR="0087094A" w:rsidRPr="00305462">
        <w:rPr>
          <w:i/>
          <w:szCs w:val="22"/>
          <w:lang w:val="sk-SK" w:eastAsia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5AAA" w:rsidRPr="00305462" w:rsidRDefault="00C77498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je vysoko účinný </w:t>
      </w:r>
      <w:proofErr w:type="spellStart"/>
      <w:r w:rsidRPr="00305462">
        <w:rPr>
          <w:szCs w:val="22"/>
          <w:lang w:val="sk-SK" w:eastAsia="sk-SK"/>
        </w:rPr>
        <w:t>bisfosfonát</w:t>
      </w:r>
      <w:proofErr w:type="spellEnd"/>
      <w:r w:rsidRPr="00305462">
        <w:rPr>
          <w:szCs w:val="22"/>
          <w:lang w:val="sk-SK" w:eastAsia="sk-SK"/>
        </w:rPr>
        <w:t xml:space="preserve"> patriaci k skupine </w:t>
      </w:r>
      <w:proofErr w:type="spellStart"/>
      <w:r w:rsidRPr="00305462">
        <w:rPr>
          <w:szCs w:val="22"/>
          <w:lang w:val="sk-SK" w:eastAsia="sk-SK"/>
        </w:rPr>
        <w:t>bisfosfonátov</w:t>
      </w:r>
      <w:proofErr w:type="spellEnd"/>
      <w:r w:rsidRPr="00305462">
        <w:rPr>
          <w:szCs w:val="22"/>
          <w:lang w:val="sk-SK" w:eastAsia="sk-SK"/>
        </w:rPr>
        <w:t xml:space="preserve"> obsahujúcich</w:t>
      </w:r>
      <w:r w:rsidR="00C82074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dusík, ktoré pôsobia selektívne na kostné tkanivo a špecificky </w:t>
      </w:r>
      <w:proofErr w:type="spellStart"/>
      <w:r w:rsidRPr="00305462">
        <w:rPr>
          <w:szCs w:val="22"/>
          <w:lang w:val="sk-SK" w:eastAsia="sk-SK"/>
        </w:rPr>
        <w:t>inhibujú</w:t>
      </w:r>
      <w:proofErr w:type="spellEnd"/>
      <w:r w:rsidRPr="00305462">
        <w:rPr>
          <w:szCs w:val="22"/>
          <w:lang w:val="sk-SK" w:eastAsia="sk-SK"/>
        </w:rPr>
        <w:t xml:space="preserve"> aktivitu </w:t>
      </w:r>
      <w:proofErr w:type="spellStart"/>
      <w:r w:rsidRPr="00305462">
        <w:rPr>
          <w:szCs w:val="22"/>
          <w:lang w:val="sk-SK" w:eastAsia="sk-SK"/>
        </w:rPr>
        <w:t>osteoklastov</w:t>
      </w:r>
      <w:proofErr w:type="spellEnd"/>
      <w:r w:rsidRPr="00305462">
        <w:rPr>
          <w:szCs w:val="22"/>
          <w:lang w:val="sk-SK" w:eastAsia="sk-SK"/>
        </w:rPr>
        <w:t xml:space="preserve"> bez</w:t>
      </w:r>
      <w:r w:rsidR="00C82074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priameho vplyvu na tvorbu kostí. Neinterferuje so zhlukovaním </w:t>
      </w:r>
      <w:proofErr w:type="spellStart"/>
      <w:r w:rsidRPr="00305462">
        <w:rPr>
          <w:szCs w:val="22"/>
          <w:lang w:val="sk-SK" w:eastAsia="sk-SK"/>
        </w:rPr>
        <w:t>osteoklastov</w:t>
      </w:r>
      <w:proofErr w:type="spellEnd"/>
      <w:r w:rsidRPr="00305462">
        <w:rPr>
          <w:szCs w:val="22"/>
          <w:lang w:val="sk-SK" w:eastAsia="sk-SK"/>
        </w:rPr>
        <w:t xml:space="preserve">.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="00C82074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vedie k progresívnym čistým prírastkom kostnej hmoty a k zníženiu výskytu zlomenín v</w:t>
      </w:r>
      <w:r w:rsidR="00C82074" w:rsidRPr="00305462">
        <w:rPr>
          <w:szCs w:val="22"/>
          <w:lang w:val="sk-SK" w:eastAsia="sk-SK"/>
        </w:rPr>
        <w:t> </w:t>
      </w:r>
      <w:r w:rsidRPr="00305462">
        <w:rPr>
          <w:szCs w:val="22"/>
          <w:lang w:val="sk-SK" w:eastAsia="sk-SK"/>
        </w:rPr>
        <w:t>dôsledku</w:t>
      </w:r>
      <w:r w:rsidR="00C82074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redukcie zvýšeného kostného obratu u žien po </w:t>
      </w:r>
      <w:proofErr w:type="spellStart"/>
      <w:r w:rsidRPr="00305462">
        <w:rPr>
          <w:szCs w:val="22"/>
          <w:lang w:val="sk-SK" w:eastAsia="sk-SK"/>
        </w:rPr>
        <w:t>menopauze</w:t>
      </w:r>
      <w:proofErr w:type="spellEnd"/>
      <w:r w:rsidRPr="00305462">
        <w:rPr>
          <w:szCs w:val="22"/>
          <w:lang w:val="sk-SK" w:eastAsia="sk-SK"/>
        </w:rPr>
        <w:t xml:space="preserve"> smerom k úrovni pred </w:t>
      </w:r>
      <w:proofErr w:type="spellStart"/>
      <w:r w:rsidRPr="00305462">
        <w:rPr>
          <w:szCs w:val="22"/>
          <w:lang w:val="sk-SK" w:eastAsia="sk-SK"/>
        </w:rPr>
        <w:t>menopauzou</w:t>
      </w:r>
      <w:proofErr w:type="spellEnd"/>
      <w:r w:rsidRPr="00305462">
        <w:rPr>
          <w:szCs w:val="22"/>
          <w:lang w:val="sk-SK" w:eastAsia="sk-SK"/>
        </w:rPr>
        <w:t>.</w:t>
      </w:r>
    </w:p>
    <w:p w:rsidR="00F756B3" w:rsidRPr="00305462" w:rsidRDefault="00F756B3" w:rsidP="00E55893">
      <w:pPr>
        <w:pStyle w:val="Default"/>
        <w:jc w:val="both"/>
        <w:rPr>
          <w:sz w:val="22"/>
          <w:szCs w:val="22"/>
          <w:lang w:val="sk-SK" w:eastAsia="pt-PT"/>
        </w:rPr>
      </w:pPr>
    </w:p>
    <w:p w:rsidR="00DF5AAA" w:rsidRPr="00305462" w:rsidRDefault="00C82074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proofErr w:type="spellStart"/>
      <w:r w:rsidRPr="00305462">
        <w:rPr>
          <w:i/>
          <w:szCs w:val="22"/>
          <w:lang w:val="sk-SK" w:eastAsia="pt-PT"/>
        </w:rPr>
        <w:t>Farmakodynamické</w:t>
      </w:r>
      <w:proofErr w:type="spellEnd"/>
      <w:r w:rsidRPr="00305462">
        <w:rPr>
          <w:i/>
          <w:szCs w:val="22"/>
          <w:lang w:val="sk-SK" w:eastAsia="pt-PT"/>
        </w:rPr>
        <w:t xml:space="preserve"> účinky</w:t>
      </w:r>
    </w:p>
    <w:p w:rsidR="00C82074" w:rsidRPr="00305462" w:rsidRDefault="00C82074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proofErr w:type="spellStart"/>
      <w:r w:rsidRPr="00305462">
        <w:rPr>
          <w:szCs w:val="22"/>
          <w:lang w:val="sk-SK" w:eastAsia="sk-SK"/>
        </w:rPr>
        <w:t>Farmakodynamickým</w:t>
      </w:r>
      <w:proofErr w:type="spellEnd"/>
      <w:r w:rsidRPr="00305462">
        <w:rPr>
          <w:szCs w:val="22"/>
          <w:lang w:val="sk-SK" w:eastAsia="sk-SK"/>
        </w:rPr>
        <w:t xml:space="preserve"> účinkom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je inhibícia kostnej </w:t>
      </w:r>
      <w:proofErr w:type="spellStart"/>
      <w:r w:rsidRPr="00305462">
        <w:rPr>
          <w:szCs w:val="22"/>
          <w:lang w:val="sk-SK" w:eastAsia="sk-SK"/>
        </w:rPr>
        <w:t>resorpcie</w:t>
      </w:r>
      <w:proofErr w:type="spellEnd"/>
      <w:r w:rsidRPr="00305462">
        <w:rPr>
          <w:szCs w:val="22"/>
          <w:lang w:val="sk-SK" w:eastAsia="sk-SK"/>
        </w:rPr>
        <w:t>. Kyselina</w:t>
      </w:r>
    </w:p>
    <w:p w:rsidR="00F756B3" w:rsidRPr="00305462" w:rsidRDefault="00C82074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</w:t>
      </w:r>
      <w:r w:rsidRPr="00305462">
        <w:rPr>
          <w:i/>
          <w:iCs/>
          <w:szCs w:val="22"/>
          <w:lang w:val="sk-SK" w:eastAsia="sk-SK"/>
        </w:rPr>
        <w:t xml:space="preserve">in </w:t>
      </w:r>
      <w:proofErr w:type="spellStart"/>
      <w:r w:rsidRPr="00305462">
        <w:rPr>
          <w:i/>
          <w:iCs/>
          <w:szCs w:val="22"/>
          <w:lang w:val="sk-SK" w:eastAsia="sk-SK"/>
        </w:rPr>
        <w:t>vivo</w:t>
      </w:r>
      <w:proofErr w:type="spellEnd"/>
      <w:r w:rsidRPr="00305462">
        <w:rPr>
          <w:i/>
          <w:iCs/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bráni experimentálne indukovanej deštrukcii kostí, spôsobenej prerušením funkcie</w:t>
      </w:r>
      <w:r w:rsidR="00926505"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gonád</w:t>
      </w:r>
      <w:proofErr w:type="spellEnd"/>
      <w:r w:rsidRPr="00305462">
        <w:rPr>
          <w:szCs w:val="22"/>
          <w:lang w:val="sk-SK" w:eastAsia="sk-SK"/>
        </w:rPr>
        <w:t xml:space="preserve">, vplyvom </w:t>
      </w:r>
      <w:proofErr w:type="spellStart"/>
      <w:r w:rsidRPr="00305462">
        <w:rPr>
          <w:szCs w:val="22"/>
          <w:lang w:val="sk-SK" w:eastAsia="sk-SK"/>
        </w:rPr>
        <w:t>retinoidov</w:t>
      </w:r>
      <w:proofErr w:type="spellEnd"/>
      <w:r w:rsidRPr="00305462">
        <w:rPr>
          <w:szCs w:val="22"/>
          <w:lang w:val="sk-SK" w:eastAsia="sk-SK"/>
        </w:rPr>
        <w:t>, nádorov alebo nádorových extraktov. U mladých (rýchlo rastúcich)</w:t>
      </w:r>
      <w:r w:rsidR="00926505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potkanov je tiež </w:t>
      </w:r>
      <w:proofErr w:type="spellStart"/>
      <w:r w:rsidRPr="00305462">
        <w:rPr>
          <w:szCs w:val="22"/>
          <w:lang w:val="sk-SK" w:eastAsia="sk-SK"/>
        </w:rPr>
        <w:t>inhibovaná</w:t>
      </w:r>
      <w:proofErr w:type="spellEnd"/>
      <w:r w:rsidRPr="00305462">
        <w:rPr>
          <w:szCs w:val="22"/>
          <w:lang w:val="sk-SK" w:eastAsia="sk-SK"/>
        </w:rPr>
        <w:t xml:space="preserve"> endogénna kostná </w:t>
      </w:r>
      <w:proofErr w:type="spellStart"/>
      <w:r w:rsidRPr="00305462">
        <w:rPr>
          <w:szCs w:val="22"/>
          <w:lang w:val="sk-SK" w:eastAsia="sk-SK"/>
        </w:rPr>
        <w:t>re</w:t>
      </w:r>
      <w:r w:rsidR="00D16C32" w:rsidRPr="00305462">
        <w:rPr>
          <w:szCs w:val="22"/>
          <w:lang w:val="sk-SK" w:eastAsia="sk-SK"/>
        </w:rPr>
        <w:t>s</w:t>
      </w:r>
      <w:r w:rsidRPr="00305462">
        <w:rPr>
          <w:szCs w:val="22"/>
          <w:lang w:val="sk-SK" w:eastAsia="sk-SK"/>
        </w:rPr>
        <w:t>or</w:t>
      </w:r>
      <w:r w:rsidR="00D16C32" w:rsidRPr="00305462">
        <w:rPr>
          <w:szCs w:val="22"/>
          <w:lang w:val="sk-SK" w:eastAsia="sk-SK"/>
        </w:rPr>
        <w:t>p</w:t>
      </w:r>
      <w:r w:rsidRPr="00305462">
        <w:rPr>
          <w:szCs w:val="22"/>
          <w:lang w:val="sk-SK" w:eastAsia="sk-SK"/>
        </w:rPr>
        <w:t>cia</w:t>
      </w:r>
      <w:proofErr w:type="spellEnd"/>
      <w:r w:rsidRPr="00305462">
        <w:rPr>
          <w:szCs w:val="22"/>
          <w:lang w:val="sk-SK" w:eastAsia="sk-SK"/>
        </w:rPr>
        <w:t>, čo vedie k nárastu normálnej kostnej hmoty</w:t>
      </w:r>
      <w:r w:rsidR="00926505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v porovnaní so zvieratami, ktoré nepodstúpili liečbu.</w:t>
      </w:r>
    </w:p>
    <w:p w:rsidR="00926505" w:rsidRPr="00305462" w:rsidRDefault="00926505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926505" w:rsidRPr="00305462" w:rsidRDefault="00926505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Živočíšne modely potvrdzujú, že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je vysoko účinný inhibítor aktivity</w:t>
      </w:r>
    </w:p>
    <w:p w:rsidR="00926505" w:rsidRPr="00305462" w:rsidRDefault="00926505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proofErr w:type="spellStart"/>
      <w:r w:rsidRPr="00305462">
        <w:rPr>
          <w:szCs w:val="22"/>
          <w:lang w:val="sk-SK" w:eastAsia="sk-SK"/>
        </w:rPr>
        <w:t>osteoklastov</w:t>
      </w:r>
      <w:proofErr w:type="spellEnd"/>
      <w:r w:rsidRPr="00305462">
        <w:rPr>
          <w:szCs w:val="22"/>
          <w:lang w:val="sk-SK" w:eastAsia="sk-SK"/>
        </w:rPr>
        <w:t xml:space="preserve">. U rastúcich potkanov nebol žiadny náznak poruchy </w:t>
      </w:r>
      <w:proofErr w:type="spellStart"/>
      <w:r w:rsidRPr="00305462">
        <w:rPr>
          <w:szCs w:val="22"/>
          <w:lang w:val="sk-SK" w:eastAsia="sk-SK"/>
        </w:rPr>
        <w:t>mineralizácie</w:t>
      </w:r>
      <w:proofErr w:type="spellEnd"/>
      <w:r w:rsidRPr="00305462">
        <w:rPr>
          <w:szCs w:val="22"/>
          <w:lang w:val="sk-SK" w:eastAsia="sk-SK"/>
        </w:rPr>
        <w:t xml:space="preserve"> kostí, ani pri dávkach</w:t>
      </w:r>
    </w:p>
    <w:p w:rsidR="00DF5AAA" w:rsidRPr="00305462" w:rsidRDefault="00926505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vyšších ako 5000-násobok dávky potrebnej na liečbu </w:t>
      </w:r>
      <w:proofErr w:type="spellStart"/>
      <w:r w:rsidRPr="00305462">
        <w:rPr>
          <w:szCs w:val="22"/>
          <w:lang w:val="sk-SK" w:eastAsia="sk-SK"/>
        </w:rPr>
        <w:t>osteoporózy</w:t>
      </w:r>
      <w:proofErr w:type="spellEnd"/>
      <w:r w:rsidRPr="00305462">
        <w:rPr>
          <w:szCs w:val="22"/>
          <w:lang w:val="sk-SK" w:eastAsia="sk-SK"/>
        </w:rPr>
        <w:t>.</w:t>
      </w:r>
      <w:r w:rsidR="00DF5AAA" w:rsidRPr="00305462">
        <w:rPr>
          <w:szCs w:val="22"/>
          <w:lang w:val="sk-SK" w:eastAsia="pt-PT"/>
        </w:rPr>
        <w:t xml:space="preserve"> </w:t>
      </w:r>
    </w:p>
    <w:p w:rsidR="00F756B3" w:rsidRPr="00305462" w:rsidRDefault="00F756B3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926505" w:rsidRPr="00305462" w:rsidRDefault="00926505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Každodenné aj </w:t>
      </w:r>
      <w:proofErr w:type="spellStart"/>
      <w:r w:rsidRPr="00305462">
        <w:rPr>
          <w:szCs w:val="22"/>
          <w:lang w:val="sk-SK" w:eastAsia="sk-SK"/>
        </w:rPr>
        <w:t>intermitentné</w:t>
      </w:r>
      <w:proofErr w:type="spellEnd"/>
      <w:r w:rsidRPr="00305462">
        <w:rPr>
          <w:szCs w:val="22"/>
          <w:lang w:val="sk-SK" w:eastAsia="sk-SK"/>
        </w:rPr>
        <w:t xml:space="preserve"> (s predĺženými intervalmi bez dávky) dlhodobé podávanie lieku u</w:t>
      </w:r>
    </w:p>
    <w:p w:rsidR="00926505" w:rsidRPr="00305462" w:rsidRDefault="00926505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potkanov, psov a opíc bolo spojené s tvorbou novej kosti normálnej kvality, pričom sa udržala alebo</w:t>
      </w:r>
    </w:p>
    <w:p w:rsidR="00926505" w:rsidRPr="00305462" w:rsidRDefault="00926505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zvýšila mechanická pevnosť kosti dokonca aj pri dávkach v toxickom rozsahu. U ľudí bola účinnosť</w:t>
      </w:r>
    </w:p>
    <w:p w:rsidR="00926505" w:rsidRPr="00305462" w:rsidRDefault="00926505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každodenného aj </w:t>
      </w:r>
      <w:proofErr w:type="spellStart"/>
      <w:r w:rsidRPr="00305462">
        <w:rPr>
          <w:szCs w:val="22"/>
          <w:lang w:val="sk-SK" w:eastAsia="sk-SK"/>
        </w:rPr>
        <w:t>intermitentného</w:t>
      </w:r>
      <w:proofErr w:type="spellEnd"/>
      <w:r w:rsidRPr="00305462">
        <w:rPr>
          <w:szCs w:val="22"/>
          <w:lang w:val="sk-SK" w:eastAsia="sk-SK"/>
        </w:rPr>
        <w:t xml:space="preserve"> podáv</w:t>
      </w:r>
      <w:r w:rsidR="00CA4BE9" w:rsidRPr="00305462">
        <w:rPr>
          <w:szCs w:val="22"/>
          <w:lang w:val="sk-SK" w:eastAsia="sk-SK"/>
        </w:rPr>
        <w:t xml:space="preserve">ania </w:t>
      </w:r>
      <w:r w:rsidRPr="00305462">
        <w:rPr>
          <w:szCs w:val="22"/>
          <w:lang w:val="sk-SK" w:eastAsia="sk-SK"/>
        </w:rPr>
        <w:t>s 9 až 10-týždň</w:t>
      </w:r>
      <w:r w:rsidR="00CA4BE9" w:rsidRPr="00305462">
        <w:rPr>
          <w:szCs w:val="22"/>
          <w:lang w:val="sk-SK" w:eastAsia="sk-SK"/>
        </w:rPr>
        <w:t xml:space="preserve">ovými intervalmi bez dávky </w:t>
      </w:r>
      <w:r w:rsidRPr="00305462">
        <w:rPr>
          <w:szCs w:val="22"/>
          <w:lang w:val="sk-SK" w:eastAsia="sk-SK"/>
        </w:rPr>
        <w:t>kyseliny</w:t>
      </w:r>
    </w:p>
    <w:p w:rsidR="00926505" w:rsidRPr="00305462" w:rsidRDefault="00926505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potvrdená v klinickej štúdii (MF 4411), v ktorej sa preukázala účinnosť kyseliny</w:t>
      </w:r>
    </w:p>
    <w:p w:rsidR="00F756B3" w:rsidRPr="00305462" w:rsidRDefault="00926505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proti fraktúram.</w:t>
      </w:r>
    </w:p>
    <w:p w:rsidR="00CA4BE9" w:rsidRPr="00305462" w:rsidRDefault="00CA4BE9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B046F7" w:rsidRPr="00305462" w:rsidRDefault="00B046F7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Na zvieracích modeloch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spôsobila biochemické zmeny, ktoré poukazujú na</w:t>
      </w:r>
    </w:p>
    <w:p w:rsidR="00B046F7" w:rsidRPr="00305462" w:rsidRDefault="00B046F7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inhibíciu kostnej </w:t>
      </w:r>
      <w:proofErr w:type="spellStart"/>
      <w:r w:rsidRPr="00305462">
        <w:rPr>
          <w:szCs w:val="22"/>
          <w:lang w:val="sk-SK" w:eastAsia="sk-SK"/>
        </w:rPr>
        <w:t>resorpcie</w:t>
      </w:r>
      <w:proofErr w:type="spellEnd"/>
      <w:r w:rsidRPr="00305462">
        <w:rPr>
          <w:szCs w:val="22"/>
          <w:lang w:val="sk-SK" w:eastAsia="sk-SK"/>
        </w:rPr>
        <w:t xml:space="preserve"> v závislosti od dávky, vrátane </w:t>
      </w:r>
      <w:proofErr w:type="spellStart"/>
      <w:r w:rsidRPr="00305462">
        <w:rPr>
          <w:szCs w:val="22"/>
          <w:lang w:val="sk-SK" w:eastAsia="sk-SK"/>
        </w:rPr>
        <w:t>supresie</w:t>
      </w:r>
      <w:proofErr w:type="spellEnd"/>
      <w:r w:rsidRPr="00305462">
        <w:rPr>
          <w:szCs w:val="22"/>
          <w:lang w:val="sk-SK" w:eastAsia="sk-SK"/>
        </w:rPr>
        <w:t xml:space="preserve"> biochemických </w:t>
      </w:r>
      <w:proofErr w:type="spellStart"/>
      <w:r w:rsidRPr="00305462">
        <w:rPr>
          <w:szCs w:val="22"/>
          <w:lang w:val="sk-SK" w:eastAsia="sk-SK"/>
        </w:rPr>
        <w:t>markerov</w:t>
      </w:r>
      <w:proofErr w:type="spellEnd"/>
    </w:p>
    <w:p w:rsidR="00B046F7" w:rsidRPr="00305462" w:rsidRDefault="00B046F7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degradácie kostného kolagénu (napríklad </w:t>
      </w:r>
      <w:proofErr w:type="spellStart"/>
      <w:r w:rsidRPr="00305462">
        <w:rPr>
          <w:szCs w:val="22"/>
          <w:lang w:val="sk-SK" w:eastAsia="sk-SK"/>
        </w:rPr>
        <w:t>deoxypyridinolínu</w:t>
      </w:r>
      <w:proofErr w:type="spellEnd"/>
      <w:r w:rsidRPr="00305462">
        <w:rPr>
          <w:szCs w:val="22"/>
          <w:lang w:val="sk-SK" w:eastAsia="sk-SK"/>
        </w:rPr>
        <w:t xml:space="preserve"> a priečne viazaných </w:t>
      </w:r>
      <w:proofErr w:type="spellStart"/>
      <w:r w:rsidRPr="00305462">
        <w:rPr>
          <w:szCs w:val="22"/>
          <w:lang w:val="sk-SK" w:eastAsia="sk-SK"/>
        </w:rPr>
        <w:t>N-telopeptidov</w:t>
      </w:r>
      <w:proofErr w:type="spellEnd"/>
    </w:p>
    <w:p w:rsidR="00E55893" w:rsidRPr="00305462" w:rsidRDefault="00B046F7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proofErr w:type="spellStart"/>
      <w:r w:rsidRPr="00305462">
        <w:rPr>
          <w:szCs w:val="22"/>
          <w:lang w:val="sk-SK" w:eastAsia="sk-SK"/>
        </w:rPr>
        <w:t>kolagénneho</w:t>
      </w:r>
      <w:proofErr w:type="spellEnd"/>
      <w:r w:rsidRPr="00305462">
        <w:rPr>
          <w:szCs w:val="22"/>
          <w:lang w:val="sk-SK" w:eastAsia="sk-SK"/>
        </w:rPr>
        <w:t xml:space="preserve"> typu I (NTX)) v moči.</w:t>
      </w:r>
    </w:p>
    <w:p w:rsidR="00F756B3" w:rsidRPr="00305462" w:rsidRDefault="00B046F7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Každodenné aj </w:t>
      </w:r>
      <w:proofErr w:type="spellStart"/>
      <w:r w:rsidRPr="00305462">
        <w:rPr>
          <w:szCs w:val="22"/>
          <w:lang w:val="sk-SK" w:eastAsia="sk-SK"/>
        </w:rPr>
        <w:t>intermitentné</w:t>
      </w:r>
      <w:proofErr w:type="spellEnd"/>
      <w:r w:rsidRPr="00305462">
        <w:rPr>
          <w:szCs w:val="22"/>
          <w:lang w:val="sk-SK" w:eastAsia="sk-SK"/>
        </w:rPr>
        <w:t xml:space="preserve"> (s 9 až 10-týždňovými intervalmi bez dávky na štvrťrok) perorálne dávky ako aj intravenózne dávky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u žien po </w:t>
      </w:r>
      <w:proofErr w:type="spellStart"/>
      <w:r w:rsidRPr="00305462">
        <w:rPr>
          <w:szCs w:val="22"/>
          <w:lang w:val="sk-SK" w:eastAsia="sk-SK"/>
        </w:rPr>
        <w:t>menopauze</w:t>
      </w:r>
      <w:proofErr w:type="spellEnd"/>
      <w:r w:rsidRPr="00305462">
        <w:rPr>
          <w:szCs w:val="22"/>
          <w:lang w:val="sk-SK" w:eastAsia="sk-SK"/>
        </w:rPr>
        <w:t xml:space="preserve"> spôsobili biochemické zmeny poukazujúce na inhibíciu kostnej </w:t>
      </w:r>
      <w:proofErr w:type="spellStart"/>
      <w:r w:rsidRPr="00305462">
        <w:rPr>
          <w:szCs w:val="22"/>
          <w:lang w:val="sk-SK" w:eastAsia="sk-SK"/>
        </w:rPr>
        <w:t>re</w:t>
      </w:r>
      <w:r w:rsidR="00D16C32" w:rsidRPr="00305462">
        <w:rPr>
          <w:szCs w:val="22"/>
          <w:lang w:val="sk-SK" w:eastAsia="sk-SK"/>
        </w:rPr>
        <w:t>s</w:t>
      </w:r>
      <w:r w:rsidRPr="00305462">
        <w:rPr>
          <w:szCs w:val="22"/>
          <w:lang w:val="sk-SK" w:eastAsia="sk-SK"/>
        </w:rPr>
        <w:t>or</w:t>
      </w:r>
      <w:r w:rsidR="00D16C32" w:rsidRPr="00305462">
        <w:rPr>
          <w:szCs w:val="22"/>
          <w:lang w:val="sk-SK" w:eastAsia="sk-SK"/>
        </w:rPr>
        <w:t>p</w:t>
      </w:r>
      <w:r w:rsidRPr="00305462">
        <w:rPr>
          <w:szCs w:val="22"/>
          <w:lang w:val="sk-SK" w:eastAsia="sk-SK"/>
        </w:rPr>
        <w:t>cie</w:t>
      </w:r>
      <w:proofErr w:type="spellEnd"/>
      <w:r w:rsidRPr="00305462">
        <w:rPr>
          <w:szCs w:val="22"/>
          <w:lang w:val="sk-SK" w:eastAsia="sk-SK"/>
        </w:rPr>
        <w:t xml:space="preserve"> v závislosti od dávky.</w:t>
      </w:r>
    </w:p>
    <w:p w:rsidR="00B046F7" w:rsidRPr="00305462" w:rsidRDefault="00B046F7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DF5AAA" w:rsidRPr="00305462" w:rsidRDefault="00B046F7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Intravenózna injekcia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znížila hladiny sérového </w:t>
      </w:r>
      <w:proofErr w:type="spellStart"/>
      <w:r w:rsidRPr="00305462">
        <w:rPr>
          <w:szCs w:val="22"/>
          <w:lang w:val="sk-SK" w:eastAsia="sk-SK"/>
        </w:rPr>
        <w:t>C-telopeptidu</w:t>
      </w:r>
      <w:proofErr w:type="spellEnd"/>
      <w:r w:rsidRPr="00305462">
        <w:rPr>
          <w:szCs w:val="22"/>
          <w:lang w:val="sk-SK" w:eastAsia="sk-SK"/>
        </w:rPr>
        <w:t xml:space="preserve"> alfa reťazca kolagénu I. typu (CTX) v priebehu 3 - 7 dní od začiatku liečby a znížila hladiny </w:t>
      </w:r>
      <w:proofErr w:type="spellStart"/>
      <w:r w:rsidRPr="00305462">
        <w:rPr>
          <w:szCs w:val="22"/>
          <w:lang w:val="sk-SK" w:eastAsia="sk-SK"/>
        </w:rPr>
        <w:t>osteokalcínu</w:t>
      </w:r>
      <w:proofErr w:type="spellEnd"/>
      <w:r w:rsidRPr="00305462">
        <w:rPr>
          <w:szCs w:val="22"/>
          <w:lang w:val="sk-SK" w:eastAsia="sk-SK"/>
        </w:rPr>
        <w:t xml:space="preserve"> v priebehu 3 mesiacov.</w:t>
      </w:r>
    </w:p>
    <w:p w:rsidR="00F756B3" w:rsidRPr="00305462" w:rsidRDefault="00F756B3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B046F7" w:rsidRPr="00305462" w:rsidRDefault="00B046F7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Po skončení liečby dochádza k návratu k patologickým ukazovateľom zvýšenej kostnej </w:t>
      </w:r>
      <w:proofErr w:type="spellStart"/>
      <w:r w:rsidRPr="00305462">
        <w:rPr>
          <w:szCs w:val="22"/>
          <w:lang w:val="sk-SK" w:eastAsia="sk-SK"/>
        </w:rPr>
        <w:t>re</w:t>
      </w:r>
      <w:r w:rsidR="00D16C32" w:rsidRPr="00305462">
        <w:rPr>
          <w:szCs w:val="22"/>
          <w:lang w:val="sk-SK" w:eastAsia="sk-SK"/>
        </w:rPr>
        <w:t>s</w:t>
      </w:r>
      <w:r w:rsidRPr="00305462">
        <w:rPr>
          <w:szCs w:val="22"/>
          <w:lang w:val="sk-SK" w:eastAsia="sk-SK"/>
        </w:rPr>
        <w:t>or</w:t>
      </w:r>
      <w:r w:rsidR="00D16C32" w:rsidRPr="00305462">
        <w:rPr>
          <w:szCs w:val="22"/>
          <w:lang w:val="sk-SK" w:eastAsia="sk-SK"/>
        </w:rPr>
        <w:t>p</w:t>
      </w:r>
      <w:r w:rsidRPr="00305462">
        <w:rPr>
          <w:szCs w:val="22"/>
          <w:lang w:val="sk-SK" w:eastAsia="sk-SK"/>
        </w:rPr>
        <w:t>cie</w:t>
      </w:r>
      <w:proofErr w:type="spellEnd"/>
      <w:r w:rsidRPr="00305462">
        <w:rPr>
          <w:szCs w:val="22"/>
          <w:lang w:val="sk-SK" w:eastAsia="sk-SK"/>
        </w:rPr>
        <w:t>,</w:t>
      </w:r>
    </w:p>
    <w:p w:rsidR="00DF5AAA" w:rsidRPr="00305462" w:rsidRDefault="00B046F7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ktoré sa vyskytovali pred liečbou v súvislosti s </w:t>
      </w:r>
      <w:proofErr w:type="spellStart"/>
      <w:r w:rsidRPr="00305462">
        <w:rPr>
          <w:szCs w:val="22"/>
          <w:lang w:val="sk-SK" w:eastAsia="sk-SK"/>
        </w:rPr>
        <w:t>postmenopauzálnou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osteoporózou</w:t>
      </w:r>
      <w:proofErr w:type="spellEnd"/>
      <w:r w:rsidRPr="00305462">
        <w:rPr>
          <w:szCs w:val="22"/>
          <w:lang w:val="sk-SK" w:eastAsia="sk-SK"/>
        </w:rPr>
        <w:t>.</w:t>
      </w:r>
    </w:p>
    <w:p w:rsidR="00F756B3" w:rsidRPr="00305462" w:rsidRDefault="00F756B3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B046F7" w:rsidRPr="00305462" w:rsidRDefault="00B046F7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Histologické vyšetrenie kostných </w:t>
      </w:r>
      <w:proofErr w:type="spellStart"/>
      <w:r w:rsidRPr="00305462">
        <w:rPr>
          <w:szCs w:val="22"/>
          <w:lang w:val="sk-SK" w:eastAsia="sk-SK"/>
        </w:rPr>
        <w:t>biopsií</w:t>
      </w:r>
      <w:proofErr w:type="spellEnd"/>
      <w:r w:rsidRPr="00305462">
        <w:rPr>
          <w:szCs w:val="22"/>
          <w:lang w:val="sk-SK" w:eastAsia="sk-SK"/>
        </w:rPr>
        <w:t xml:space="preserve"> po dvoch a troch rokoch liečby žien po </w:t>
      </w:r>
      <w:proofErr w:type="spellStart"/>
      <w:r w:rsidRPr="00305462">
        <w:rPr>
          <w:szCs w:val="22"/>
          <w:lang w:val="sk-SK" w:eastAsia="sk-SK"/>
        </w:rPr>
        <w:t>menopauze</w:t>
      </w:r>
      <w:proofErr w:type="spellEnd"/>
    </w:p>
    <w:p w:rsidR="00DF5AAA" w:rsidRPr="00305462" w:rsidRDefault="00B046F7" w:rsidP="00E558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lastRenderedPageBreak/>
        <w:t>s</w:t>
      </w:r>
      <w:r w:rsidR="00457198" w:rsidRPr="00305462">
        <w:rPr>
          <w:szCs w:val="22"/>
          <w:lang w:val="sk-SK" w:eastAsia="sk-SK"/>
        </w:rPr>
        <w:t xml:space="preserve"> perorálnymi </w:t>
      </w:r>
      <w:r w:rsidRPr="00305462">
        <w:rPr>
          <w:szCs w:val="22"/>
          <w:lang w:val="sk-SK" w:eastAsia="sk-SK"/>
        </w:rPr>
        <w:t xml:space="preserve">dávkami </w:t>
      </w:r>
      <w:r w:rsidR="00457198" w:rsidRPr="00305462">
        <w:rPr>
          <w:szCs w:val="22"/>
          <w:lang w:val="sk-SK" w:eastAsia="sk-SK"/>
        </w:rPr>
        <w:t xml:space="preserve">2,5 mg kyseliny </w:t>
      </w:r>
      <w:proofErr w:type="spellStart"/>
      <w:r w:rsidR="00457198" w:rsidRPr="00305462">
        <w:rPr>
          <w:szCs w:val="22"/>
          <w:lang w:val="sk-SK" w:eastAsia="sk-SK"/>
        </w:rPr>
        <w:t>ibandrónovej</w:t>
      </w:r>
      <w:proofErr w:type="spellEnd"/>
      <w:r w:rsidR="00457198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denne a </w:t>
      </w:r>
      <w:proofErr w:type="spellStart"/>
      <w:r w:rsidRPr="00305462">
        <w:rPr>
          <w:szCs w:val="22"/>
          <w:lang w:val="sk-SK" w:eastAsia="sk-SK"/>
        </w:rPr>
        <w:t>intermitentnými</w:t>
      </w:r>
      <w:proofErr w:type="spellEnd"/>
      <w:r w:rsidRPr="00305462">
        <w:rPr>
          <w:szCs w:val="22"/>
          <w:lang w:val="sk-SK" w:eastAsia="sk-SK"/>
        </w:rPr>
        <w:t xml:space="preserve"> intravenóznymi dávkami</w:t>
      </w:r>
      <w:r w:rsidR="00457198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až do 1 mg každé tri mesiace, dokázalo normálnu kvalitu kostí, bez náznaku poruchy </w:t>
      </w:r>
      <w:proofErr w:type="spellStart"/>
      <w:r w:rsidRPr="00305462">
        <w:rPr>
          <w:szCs w:val="22"/>
          <w:lang w:val="sk-SK" w:eastAsia="sk-SK"/>
        </w:rPr>
        <w:t>mineralizácie</w:t>
      </w:r>
      <w:proofErr w:type="spellEnd"/>
      <w:r w:rsidR="00457198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kostí. Očakávané zníženie kostného obratu, kosti normálnej kvality a neprítomnosť poruchy minerálov</w:t>
      </w:r>
      <w:r w:rsidR="00457198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sa pozorovali aj po dvoch rokoch lieč</w:t>
      </w:r>
      <w:r w:rsidR="00457198" w:rsidRPr="00305462">
        <w:rPr>
          <w:szCs w:val="22"/>
          <w:lang w:val="sk-SK" w:eastAsia="sk-SK"/>
        </w:rPr>
        <w:t xml:space="preserve">by </w:t>
      </w:r>
      <w:r w:rsidR="001D6887" w:rsidRPr="00305462">
        <w:rPr>
          <w:szCs w:val="22"/>
          <w:lang w:val="sk-SK" w:eastAsia="sk-SK"/>
        </w:rPr>
        <w:t xml:space="preserve">3 mg </w:t>
      </w:r>
      <w:r w:rsidR="00457198" w:rsidRPr="00305462">
        <w:rPr>
          <w:szCs w:val="22"/>
          <w:lang w:val="sk-SK" w:eastAsia="sk-SK"/>
        </w:rPr>
        <w:t xml:space="preserve">injekčnou kyselinou </w:t>
      </w:r>
      <w:proofErr w:type="spellStart"/>
      <w:r w:rsidR="00457198" w:rsidRPr="00305462">
        <w:rPr>
          <w:szCs w:val="22"/>
          <w:lang w:val="sk-SK" w:eastAsia="sk-SK"/>
        </w:rPr>
        <w:t>ibandrónovou</w:t>
      </w:r>
      <w:proofErr w:type="spellEnd"/>
      <w:r w:rsidRPr="00305462">
        <w:rPr>
          <w:szCs w:val="22"/>
          <w:lang w:val="sk-SK" w:eastAsia="sk-SK"/>
        </w:rPr>
        <w:t>.</w:t>
      </w:r>
    </w:p>
    <w:p w:rsidR="001D6887" w:rsidRPr="00305462" w:rsidRDefault="001D6887" w:rsidP="00F756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442A9C" w:rsidRPr="00305462" w:rsidRDefault="00442A9C" w:rsidP="00442A9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u w:val="single"/>
          <w:lang w:val="sk-SK" w:eastAsia="sk-SK"/>
        </w:rPr>
      </w:pPr>
      <w:r w:rsidRPr="00305462">
        <w:rPr>
          <w:iCs/>
          <w:szCs w:val="22"/>
          <w:u w:val="single"/>
          <w:lang w:val="sk-SK" w:eastAsia="sk-SK"/>
        </w:rPr>
        <w:t>Klinická účinnosť</w:t>
      </w:r>
    </w:p>
    <w:p w:rsidR="00F756B3" w:rsidRPr="00305462" w:rsidRDefault="00442A9C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Nezávislé rizikové faktory, napríklad nízka </w:t>
      </w:r>
      <w:r w:rsidR="006853A7" w:rsidRPr="00305462">
        <w:rPr>
          <w:szCs w:val="22"/>
          <w:lang w:val="sk-SK" w:eastAsia="sk-SK"/>
        </w:rPr>
        <w:t>minerálna hustota kostí (</w:t>
      </w:r>
      <w:r w:rsidRPr="00305462">
        <w:rPr>
          <w:szCs w:val="22"/>
          <w:lang w:val="sk-SK" w:eastAsia="sk-SK"/>
        </w:rPr>
        <w:t>BMD</w:t>
      </w:r>
      <w:r w:rsidR="006853A7" w:rsidRPr="00305462">
        <w:rPr>
          <w:szCs w:val="22"/>
          <w:lang w:val="sk-SK" w:eastAsia="sk-SK"/>
        </w:rPr>
        <w:t>)</w:t>
      </w:r>
      <w:r w:rsidRPr="00305462">
        <w:rPr>
          <w:szCs w:val="22"/>
          <w:lang w:val="sk-SK" w:eastAsia="sk-SK"/>
        </w:rPr>
        <w:t>, vek, prítomnosť prekonaných fraktúr, fraktúry v</w:t>
      </w:r>
      <w:r w:rsidR="006853A7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rodinnej anamnéze, značný úbytok kostnej hmoty a nízky index telesnej hmotnosti sa majú brať do</w:t>
      </w:r>
      <w:r w:rsidR="006853A7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úvahy, aby sa zistilo, či má žena zvýšené riziko </w:t>
      </w:r>
      <w:proofErr w:type="spellStart"/>
      <w:r w:rsidRPr="00305462">
        <w:rPr>
          <w:szCs w:val="22"/>
          <w:lang w:val="sk-SK" w:eastAsia="sk-SK"/>
        </w:rPr>
        <w:t>osteoporotických</w:t>
      </w:r>
      <w:proofErr w:type="spellEnd"/>
      <w:r w:rsidRPr="00305462">
        <w:rPr>
          <w:szCs w:val="22"/>
          <w:lang w:val="sk-SK" w:eastAsia="sk-SK"/>
        </w:rPr>
        <w:t xml:space="preserve"> fraktúr.</w:t>
      </w:r>
    </w:p>
    <w:p w:rsidR="00442A9C" w:rsidRPr="00305462" w:rsidRDefault="00442A9C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FontStyle21"/>
          <w:sz w:val="22"/>
          <w:szCs w:val="22"/>
          <w:u w:val="single"/>
          <w:lang w:val="sk-SK" w:eastAsia="pt-PT"/>
        </w:rPr>
      </w:pPr>
    </w:p>
    <w:p w:rsidR="00DF5AAA" w:rsidRPr="00305462" w:rsidRDefault="00F756B3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 w:eastAsia="pt-PT"/>
        </w:rPr>
      </w:pPr>
      <w:proofErr w:type="spellStart"/>
      <w:r w:rsidRPr="00305462">
        <w:rPr>
          <w:rStyle w:val="FontStyle21"/>
          <w:sz w:val="22"/>
          <w:szCs w:val="22"/>
          <w:u w:val="single"/>
          <w:lang w:val="sk-SK" w:eastAsia="pt-PT"/>
        </w:rPr>
        <w:t>Ibandronic</w:t>
      </w:r>
      <w:proofErr w:type="spellEnd"/>
      <w:r w:rsidRPr="00305462">
        <w:rPr>
          <w:rStyle w:val="FontStyle21"/>
          <w:sz w:val="22"/>
          <w:szCs w:val="22"/>
          <w:u w:val="single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u w:val="single"/>
          <w:lang w:val="sk-SK" w:eastAsia="pt-PT"/>
        </w:rPr>
        <w:t>Acid</w:t>
      </w:r>
      <w:proofErr w:type="spellEnd"/>
      <w:r w:rsidRPr="00305462">
        <w:rPr>
          <w:rStyle w:val="FontStyle21"/>
          <w:sz w:val="22"/>
          <w:szCs w:val="22"/>
          <w:u w:val="single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u w:val="single"/>
          <w:lang w:val="sk-SK" w:eastAsia="pt-PT"/>
        </w:rPr>
        <w:t>Fresenius</w:t>
      </w:r>
      <w:proofErr w:type="spellEnd"/>
      <w:r w:rsidRPr="00305462">
        <w:rPr>
          <w:rStyle w:val="FontStyle21"/>
          <w:sz w:val="22"/>
          <w:szCs w:val="22"/>
          <w:u w:val="single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u w:val="single"/>
          <w:lang w:val="sk-SK" w:eastAsia="pt-PT"/>
        </w:rPr>
        <w:t>Kabi</w:t>
      </w:r>
      <w:proofErr w:type="spellEnd"/>
      <w:r w:rsidRPr="00305462">
        <w:rPr>
          <w:rStyle w:val="FontStyle21"/>
          <w:sz w:val="22"/>
          <w:szCs w:val="22"/>
          <w:u w:val="single"/>
          <w:lang w:val="sk-SK" w:eastAsia="pt-PT"/>
        </w:rPr>
        <w:t xml:space="preserve"> 3 mg </w:t>
      </w:r>
      <w:r w:rsidR="00227D00" w:rsidRPr="00305462">
        <w:rPr>
          <w:rStyle w:val="FontStyle21"/>
          <w:sz w:val="22"/>
          <w:szCs w:val="22"/>
          <w:u w:val="single"/>
          <w:lang w:val="sk-SK" w:eastAsia="pt-PT"/>
        </w:rPr>
        <w:t>injekčný roztok naplnený v injekčnej striekačke</w:t>
      </w:r>
      <w:r w:rsidR="00F14136" w:rsidRPr="00305462">
        <w:rPr>
          <w:szCs w:val="22"/>
          <w:u w:val="single"/>
          <w:lang w:val="sk-SK" w:eastAsia="pt-PT"/>
        </w:rPr>
        <w:t xml:space="preserve"> podávaný </w:t>
      </w:r>
      <w:r w:rsidR="00227D00" w:rsidRPr="00305462">
        <w:rPr>
          <w:szCs w:val="22"/>
          <w:u w:val="single"/>
          <w:lang w:val="sk-SK" w:eastAsia="pt-PT"/>
        </w:rPr>
        <w:t>každé 3 mesiace</w:t>
      </w:r>
      <w:r w:rsidR="00DF5AAA" w:rsidRPr="00305462">
        <w:rPr>
          <w:szCs w:val="22"/>
          <w:u w:val="single"/>
          <w:lang w:val="sk-SK" w:eastAsia="pt-PT"/>
        </w:rPr>
        <w:t xml:space="preserve"> </w:t>
      </w:r>
    </w:p>
    <w:p w:rsidR="00F756B3" w:rsidRPr="00305462" w:rsidRDefault="00F756B3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 w:eastAsia="pt-PT"/>
        </w:rPr>
      </w:pPr>
    </w:p>
    <w:p w:rsidR="00DF5AAA" w:rsidRPr="00305462" w:rsidRDefault="00F14136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>Minerálna hustota kostí</w:t>
      </w:r>
      <w:r w:rsidR="00DF5AAA" w:rsidRPr="00305462">
        <w:rPr>
          <w:i/>
          <w:szCs w:val="22"/>
          <w:lang w:val="sk-SK" w:eastAsia="pt-PT"/>
        </w:rPr>
        <w:t xml:space="preserve"> (BMD) </w:t>
      </w:r>
    </w:p>
    <w:p w:rsidR="00F756B3" w:rsidRPr="00305462" w:rsidRDefault="00F756B3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</w:p>
    <w:p w:rsidR="00227D00" w:rsidRPr="00305462" w:rsidRDefault="00227D00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V dvojročnej, </w:t>
      </w:r>
      <w:proofErr w:type="spellStart"/>
      <w:r w:rsidRPr="00305462">
        <w:rPr>
          <w:szCs w:val="22"/>
          <w:lang w:val="sk-SK" w:eastAsia="sk-SK"/>
        </w:rPr>
        <w:t>randomizovanej</w:t>
      </w:r>
      <w:proofErr w:type="spellEnd"/>
      <w:r w:rsidRPr="00305462">
        <w:rPr>
          <w:szCs w:val="22"/>
          <w:lang w:val="sk-SK" w:eastAsia="sk-SK"/>
        </w:rPr>
        <w:t xml:space="preserve">, dvojito zaslepenej, </w:t>
      </w:r>
      <w:proofErr w:type="spellStart"/>
      <w:r w:rsidRPr="00305462">
        <w:rPr>
          <w:szCs w:val="22"/>
          <w:lang w:val="sk-SK" w:eastAsia="sk-SK"/>
        </w:rPr>
        <w:t>multicentrickej</w:t>
      </w:r>
      <w:proofErr w:type="spellEnd"/>
      <w:r w:rsidRPr="00305462">
        <w:rPr>
          <w:szCs w:val="22"/>
          <w:lang w:val="sk-SK" w:eastAsia="sk-SK"/>
        </w:rPr>
        <w:t xml:space="preserve"> štúdii (BM</w:t>
      </w:r>
      <w:r w:rsidR="00713BF5" w:rsidRPr="00305462">
        <w:rPr>
          <w:szCs w:val="22"/>
          <w:lang w:val="sk-SK" w:eastAsia="sk-SK"/>
        </w:rPr>
        <w:t xml:space="preserve"> </w:t>
      </w:r>
      <w:r w:rsidR="002C739C" w:rsidRPr="00305462">
        <w:rPr>
          <w:szCs w:val="22"/>
          <w:lang w:val="sk-SK" w:eastAsia="sk-SK"/>
        </w:rPr>
        <w:t>16550)</w:t>
      </w:r>
      <w:r w:rsidRPr="00305462">
        <w:rPr>
          <w:szCs w:val="22"/>
          <w:lang w:val="sk-SK" w:eastAsia="sk-SK"/>
        </w:rPr>
        <w:t xml:space="preserve"> u žien (1386 žien vo veku 55</w:t>
      </w:r>
      <w:r w:rsidR="002C739C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-</w:t>
      </w:r>
      <w:r w:rsidR="002C739C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80 rokov) s </w:t>
      </w:r>
      <w:proofErr w:type="spellStart"/>
      <w:r w:rsidRPr="00305462">
        <w:rPr>
          <w:szCs w:val="22"/>
          <w:lang w:val="sk-SK" w:eastAsia="sk-SK"/>
        </w:rPr>
        <w:t>osteoporózou</w:t>
      </w:r>
      <w:proofErr w:type="spellEnd"/>
      <w:r w:rsidRPr="00305462">
        <w:rPr>
          <w:szCs w:val="22"/>
          <w:lang w:val="sk-SK" w:eastAsia="sk-SK"/>
        </w:rPr>
        <w:t xml:space="preserve"> (východiskové </w:t>
      </w:r>
      <w:proofErr w:type="spellStart"/>
      <w:r w:rsidRPr="00305462">
        <w:rPr>
          <w:szCs w:val="22"/>
          <w:lang w:val="sk-SK" w:eastAsia="sk-SK"/>
        </w:rPr>
        <w:t>T</w:t>
      </w:r>
      <w:r w:rsidR="002C739C" w:rsidRPr="00305462">
        <w:rPr>
          <w:szCs w:val="22"/>
          <w:lang w:val="sk-SK" w:eastAsia="sk-SK"/>
        </w:rPr>
        <w:t>-</w:t>
      </w:r>
      <w:r w:rsidRPr="00305462">
        <w:rPr>
          <w:szCs w:val="22"/>
          <w:lang w:val="sk-SK" w:eastAsia="sk-SK"/>
        </w:rPr>
        <w:t>skóre</w:t>
      </w:r>
      <w:proofErr w:type="spellEnd"/>
      <w:r w:rsidR="002C739C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BMD driekovej chrbtice nižšie ako -2,5</w:t>
      </w:r>
      <w:r w:rsidR="002C739C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SD) po </w:t>
      </w:r>
      <w:proofErr w:type="spellStart"/>
      <w:r w:rsidRPr="00305462">
        <w:rPr>
          <w:szCs w:val="22"/>
          <w:lang w:val="sk-SK" w:eastAsia="sk-SK"/>
        </w:rPr>
        <w:t>menopauze</w:t>
      </w:r>
      <w:proofErr w:type="spellEnd"/>
      <w:r w:rsidRPr="00305462">
        <w:rPr>
          <w:szCs w:val="22"/>
          <w:lang w:val="sk-SK" w:eastAsia="sk-SK"/>
        </w:rPr>
        <w:t xml:space="preserve"> sa dokázalo, ž</w:t>
      </w:r>
      <w:r w:rsidR="002C739C" w:rsidRPr="00305462">
        <w:rPr>
          <w:szCs w:val="22"/>
          <w:lang w:val="sk-SK" w:eastAsia="sk-SK"/>
        </w:rPr>
        <w:t xml:space="preserve">e </w:t>
      </w:r>
      <w:r w:rsidRPr="00305462">
        <w:rPr>
          <w:szCs w:val="22"/>
          <w:lang w:val="sk-SK" w:eastAsia="sk-SK"/>
        </w:rPr>
        <w:t>intravenózna injekcia</w:t>
      </w:r>
      <w:r w:rsidR="002C739C" w:rsidRPr="00305462">
        <w:rPr>
          <w:szCs w:val="22"/>
          <w:lang w:val="sk-SK" w:eastAsia="sk-SK"/>
        </w:rPr>
        <w:t xml:space="preserve"> 3 mg kyseliny </w:t>
      </w:r>
      <w:proofErr w:type="spellStart"/>
      <w:r w:rsidR="002C739C" w:rsidRPr="00305462">
        <w:rPr>
          <w:szCs w:val="22"/>
          <w:lang w:val="sk-SK" w:eastAsia="sk-SK"/>
        </w:rPr>
        <w:t>ibandrónovej</w:t>
      </w:r>
      <w:proofErr w:type="spellEnd"/>
      <w:r w:rsidR="00F14136" w:rsidRPr="00305462">
        <w:rPr>
          <w:szCs w:val="22"/>
          <w:lang w:val="sk-SK" w:eastAsia="sk-SK"/>
        </w:rPr>
        <w:t>, podávaná</w:t>
      </w:r>
      <w:r w:rsidRPr="00305462">
        <w:rPr>
          <w:szCs w:val="22"/>
          <w:lang w:val="sk-SK" w:eastAsia="sk-SK"/>
        </w:rPr>
        <w:t xml:space="preserve"> každé 3 mesiace</w:t>
      </w:r>
      <w:r w:rsidR="00F14136" w:rsidRPr="00305462">
        <w:rPr>
          <w:szCs w:val="22"/>
          <w:lang w:val="sk-SK" w:eastAsia="sk-SK"/>
        </w:rPr>
        <w:t>, je aspoň tak</w:t>
      </w:r>
      <w:r w:rsidRPr="00305462">
        <w:rPr>
          <w:szCs w:val="22"/>
          <w:lang w:val="sk-SK" w:eastAsia="sk-SK"/>
        </w:rPr>
        <w:t xml:space="preserve"> účinná ako </w:t>
      </w:r>
      <w:r w:rsidR="002C739C" w:rsidRPr="00305462">
        <w:rPr>
          <w:szCs w:val="22"/>
          <w:lang w:val="sk-SK" w:eastAsia="sk-SK"/>
        </w:rPr>
        <w:t xml:space="preserve">denne užívaná </w:t>
      </w:r>
      <w:r w:rsidRPr="00305462">
        <w:rPr>
          <w:szCs w:val="22"/>
          <w:lang w:val="sk-SK" w:eastAsia="sk-SK"/>
        </w:rPr>
        <w:t xml:space="preserve">perorálna </w:t>
      </w:r>
      <w:r w:rsidR="002C739C" w:rsidRPr="00305462">
        <w:rPr>
          <w:szCs w:val="22"/>
          <w:lang w:val="sk-SK" w:eastAsia="sk-SK"/>
        </w:rPr>
        <w:t xml:space="preserve">2,5 mg </w:t>
      </w:r>
      <w:r w:rsidRPr="00305462">
        <w:rPr>
          <w:szCs w:val="22"/>
          <w:lang w:val="sk-SK" w:eastAsia="sk-SK"/>
        </w:rPr>
        <w:t>kyselina</w:t>
      </w:r>
    </w:p>
    <w:p w:rsidR="00F756B3" w:rsidRPr="00305462" w:rsidRDefault="002C739C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. </w:t>
      </w:r>
      <w:r w:rsidR="00F14136" w:rsidRPr="00305462">
        <w:rPr>
          <w:szCs w:val="22"/>
          <w:lang w:val="sk-SK" w:eastAsia="sk-SK"/>
        </w:rPr>
        <w:t>Bolo</w:t>
      </w:r>
      <w:r w:rsidRPr="00305462">
        <w:rPr>
          <w:szCs w:val="22"/>
          <w:lang w:val="sk-SK" w:eastAsia="sk-SK"/>
        </w:rPr>
        <w:t xml:space="preserve"> to</w:t>
      </w:r>
      <w:r w:rsidR="00F14136" w:rsidRPr="00305462">
        <w:rPr>
          <w:szCs w:val="22"/>
          <w:lang w:val="sk-SK" w:eastAsia="sk-SK"/>
        </w:rPr>
        <w:t xml:space="preserve"> dokázané</w:t>
      </w:r>
      <w:r w:rsidR="00227D00" w:rsidRPr="00305462">
        <w:rPr>
          <w:szCs w:val="22"/>
          <w:lang w:val="sk-SK" w:eastAsia="sk-SK"/>
        </w:rPr>
        <w:t xml:space="preserve"> v primárnej analýze jednoroč</w:t>
      </w:r>
      <w:r w:rsidRPr="00305462">
        <w:rPr>
          <w:szCs w:val="22"/>
          <w:lang w:val="sk-SK" w:eastAsia="sk-SK"/>
        </w:rPr>
        <w:t xml:space="preserve">ných výsledkov a </w:t>
      </w:r>
      <w:r w:rsidR="00227D00" w:rsidRPr="00305462">
        <w:rPr>
          <w:szCs w:val="22"/>
          <w:lang w:val="sk-SK" w:eastAsia="sk-SK"/>
        </w:rPr>
        <w:t>aj v konfirmačnej analýze dvojročných konečných výsledkov (tabuľka 2).</w:t>
      </w:r>
    </w:p>
    <w:p w:rsidR="002C739C" w:rsidRPr="00305462" w:rsidRDefault="002C739C" w:rsidP="00886B7B">
      <w:pPr>
        <w:pStyle w:val="Default"/>
        <w:jc w:val="both"/>
        <w:rPr>
          <w:sz w:val="22"/>
          <w:szCs w:val="22"/>
          <w:lang w:val="sk-SK" w:eastAsia="pt-PT"/>
        </w:rPr>
      </w:pPr>
    </w:p>
    <w:p w:rsidR="002C739C" w:rsidRPr="00305462" w:rsidRDefault="002C739C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Primárna analýza údajov zo štúdie BM</w:t>
      </w:r>
      <w:r w:rsidR="00713BF5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16550 po jednom roku a potvrdzujúca analýza po 2 rokoch</w:t>
      </w:r>
    </w:p>
    <w:p w:rsidR="002C739C" w:rsidRPr="00305462" w:rsidRDefault="002C739C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nepreukázali nižšiu účinnosť dávkovacej schémy s 3 mg injekciou každé 3 mesiace v porovnaní s</w:t>
      </w:r>
    </w:p>
    <w:p w:rsidR="002C739C" w:rsidRPr="00305462" w:rsidRDefault="002C739C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dávkovacou schémou s 2,5 mg dennou perorálnou dávkou, pokiaľ ide o priemerné zvýšenia BMD</w:t>
      </w:r>
    </w:p>
    <w:p w:rsidR="00F756B3" w:rsidRPr="00305462" w:rsidRDefault="002C739C" w:rsidP="00886B7B">
      <w:pPr>
        <w:pStyle w:val="Default"/>
        <w:jc w:val="both"/>
        <w:rPr>
          <w:sz w:val="22"/>
          <w:szCs w:val="22"/>
          <w:lang w:val="sk-SK" w:eastAsia="pt-PT"/>
        </w:rPr>
      </w:pPr>
      <w:r w:rsidRPr="00305462">
        <w:rPr>
          <w:sz w:val="22"/>
          <w:szCs w:val="22"/>
          <w:lang w:val="sk-SK" w:eastAsia="sk-SK"/>
        </w:rPr>
        <w:t xml:space="preserve">driekovej chrbtice, bedrovej oblasti, </w:t>
      </w:r>
      <w:proofErr w:type="spellStart"/>
      <w:r w:rsidRPr="00305462">
        <w:rPr>
          <w:sz w:val="22"/>
          <w:szCs w:val="22"/>
          <w:lang w:val="sk-SK" w:eastAsia="sk-SK"/>
        </w:rPr>
        <w:t>femorálneho</w:t>
      </w:r>
      <w:proofErr w:type="spellEnd"/>
      <w:r w:rsidRPr="00305462">
        <w:rPr>
          <w:sz w:val="22"/>
          <w:szCs w:val="22"/>
          <w:lang w:val="sk-SK" w:eastAsia="sk-SK"/>
        </w:rPr>
        <w:t xml:space="preserve"> krčka a </w:t>
      </w:r>
      <w:proofErr w:type="spellStart"/>
      <w:r w:rsidRPr="00305462">
        <w:rPr>
          <w:sz w:val="22"/>
          <w:szCs w:val="22"/>
          <w:lang w:val="sk-SK" w:eastAsia="sk-SK"/>
        </w:rPr>
        <w:t>trochantera</w:t>
      </w:r>
      <w:proofErr w:type="spellEnd"/>
      <w:r w:rsidRPr="00305462">
        <w:rPr>
          <w:sz w:val="22"/>
          <w:szCs w:val="22"/>
          <w:lang w:val="sk-SK" w:eastAsia="sk-SK"/>
        </w:rPr>
        <w:t xml:space="preserve"> (tabuľka 2).</w:t>
      </w:r>
    </w:p>
    <w:p w:rsidR="002C739C" w:rsidRPr="00305462" w:rsidRDefault="002C739C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DF5AAA" w:rsidRPr="00305462" w:rsidRDefault="001767AA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Tabuľka 2: Priemerná relatívna zmena od východiskovej hodnoty BMD driekovej chrbtice, bedrovej oblasti, </w:t>
      </w:r>
      <w:proofErr w:type="spellStart"/>
      <w:r w:rsidRPr="00305462">
        <w:rPr>
          <w:szCs w:val="22"/>
          <w:lang w:val="sk-SK" w:eastAsia="sk-SK"/>
        </w:rPr>
        <w:t>femorálneho</w:t>
      </w:r>
      <w:proofErr w:type="spellEnd"/>
      <w:r w:rsidRPr="00305462">
        <w:rPr>
          <w:szCs w:val="22"/>
          <w:lang w:val="sk-SK" w:eastAsia="sk-SK"/>
        </w:rPr>
        <w:t xml:space="preserve"> krčka a </w:t>
      </w:r>
      <w:proofErr w:type="spellStart"/>
      <w:r w:rsidRPr="00305462">
        <w:rPr>
          <w:szCs w:val="22"/>
          <w:lang w:val="sk-SK" w:eastAsia="sk-SK"/>
        </w:rPr>
        <w:t>trochantera</w:t>
      </w:r>
      <w:proofErr w:type="spellEnd"/>
      <w:r w:rsidRPr="00305462">
        <w:rPr>
          <w:szCs w:val="22"/>
          <w:lang w:val="sk-SK" w:eastAsia="sk-SK"/>
        </w:rPr>
        <w:t xml:space="preserve"> po jednoročnej liečbe (primárna analýza)</w:t>
      </w:r>
      <w:r w:rsidR="00B13F06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a dvojročnej liečbe (populácia podľa protokolu) v štúdii BM</w:t>
      </w:r>
      <w:r w:rsidR="00713BF5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16550.</w:t>
      </w:r>
    </w:p>
    <w:p w:rsidR="00F756B3" w:rsidRPr="00305462" w:rsidRDefault="00F756B3" w:rsidP="00F756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DF5AAA" w:rsidRPr="00305462" w:rsidRDefault="00DF5AAA" w:rsidP="00F756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999"/>
        <w:gridCol w:w="1757"/>
        <w:gridCol w:w="1775"/>
        <w:gridCol w:w="1768"/>
        <w:gridCol w:w="1764"/>
      </w:tblGrid>
      <w:tr w:rsidR="00713BF5" w:rsidRPr="00DA6E9D" w:rsidTr="009A4A6D">
        <w:trPr>
          <w:trHeight w:val="27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B3" w:rsidRPr="00305462" w:rsidRDefault="00F756B3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</w:p>
        </w:tc>
        <w:tc>
          <w:tcPr>
            <w:tcW w:w="3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B3" w:rsidRPr="00305462" w:rsidRDefault="00713BF5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highlight w:val="yellow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Jednoročné údaje zo štúdie</w:t>
            </w:r>
            <w:r w:rsidR="00F756B3" w:rsidRPr="00305462">
              <w:rPr>
                <w:szCs w:val="22"/>
                <w:lang w:val="sk-SK" w:eastAsia="pt-PT"/>
              </w:rPr>
              <w:t xml:space="preserve"> BM 16550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B3" w:rsidRPr="00305462" w:rsidRDefault="00713BF5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highlight w:val="yellow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Dvojročné údaje zo štúdie</w:t>
            </w:r>
            <w:r w:rsidR="00F756B3" w:rsidRPr="00305462">
              <w:rPr>
                <w:szCs w:val="22"/>
                <w:lang w:val="sk-SK" w:eastAsia="pt-PT"/>
              </w:rPr>
              <w:t xml:space="preserve"> BM 16550 </w:t>
            </w:r>
          </w:p>
        </w:tc>
      </w:tr>
      <w:tr w:rsidR="00713BF5" w:rsidRPr="00305462" w:rsidTr="009A4A6D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713BF5" w:rsidP="00713BF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 xml:space="preserve">Priemerné relatívne zmeny od východiskovej hodnoty </w:t>
            </w:r>
            <w:r w:rsidR="00DF5AAA" w:rsidRPr="00305462">
              <w:rPr>
                <w:szCs w:val="22"/>
                <w:lang w:val="sk-SK" w:eastAsia="pt-PT"/>
              </w:rPr>
              <w:t xml:space="preserve">% [95% CI]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713BF5" w:rsidP="00713BF5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denne 2,5 mg kyseliny </w:t>
            </w:r>
            <w:proofErr w:type="spellStart"/>
            <w:r w:rsidRPr="00305462">
              <w:rPr>
                <w:szCs w:val="22"/>
                <w:lang w:val="sk-SK" w:eastAsia="pt-PT"/>
              </w:rPr>
              <w:t>ibandrónovej</w:t>
            </w:r>
            <w:proofErr w:type="spellEnd"/>
          </w:p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(N=377)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713BF5" w:rsidP="00713BF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injekcia 3 mg kyseliny </w:t>
            </w:r>
            <w:proofErr w:type="spellStart"/>
            <w:r w:rsidRPr="00305462">
              <w:rPr>
                <w:szCs w:val="22"/>
                <w:lang w:val="sk-SK" w:eastAsia="pt-PT"/>
              </w:rPr>
              <w:t>ibandrónovej</w:t>
            </w:r>
            <w:proofErr w:type="spellEnd"/>
            <w:r w:rsidRPr="00305462">
              <w:rPr>
                <w:szCs w:val="22"/>
                <w:lang w:val="sk-SK" w:eastAsia="pt-PT"/>
              </w:rPr>
              <w:t xml:space="preserve"> každé 3 mesiace</w:t>
            </w:r>
          </w:p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(N=365) 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4CE" w:rsidRPr="00305462" w:rsidRDefault="00D704CE" w:rsidP="007C0C1D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denne 2,5 mg kyseliny </w:t>
            </w:r>
            <w:proofErr w:type="spellStart"/>
            <w:r w:rsidRPr="00305462">
              <w:rPr>
                <w:szCs w:val="22"/>
                <w:lang w:val="sk-SK" w:eastAsia="pt-PT"/>
              </w:rPr>
              <w:t>ibandrónovej</w:t>
            </w:r>
            <w:proofErr w:type="spellEnd"/>
          </w:p>
          <w:p w:rsidR="00DF5AAA" w:rsidRPr="00305462" w:rsidRDefault="00D704CE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 w:rsidDel="00D704CE">
              <w:rPr>
                <w:szCs w:val="22"/>
                <w:lang w:val="sk-SK" w:eastAsia="pt-PT"/>
              </w:rPr>
              <w:t xml:space="preserve"> </w:t>
            </w:r>
            <w:r w:rsidR="00DF5AAA" w:rsidRPr="00305462">
              <w:rPr>
                <w:szCs w:val="22"/>
                <w:lang w:val="sk-SK" w:eastAsia="pt-PT"/>
              </w:rPr>
              <w:t xml:space="preserve">(N=334)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4CE" w:rsidRPr="00305462" w:rsidRDefault="00D704CE" w:rsidP="00D704C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injekcia 3 mg kyseliny </w:t>
            </w:r>
            <w:proofErr w:type="spellStart"/>
            <w:r w:rsidRPr="00305462">
              <w:rPr>
                <w:szCs w:val="22"/>
                <w:lang w:val="sk-SK" w:eastAsia="pt-PT"/>
              </w:rPr>
              <w:t>ibandrónovej</w:t>
            </w:r>
            <w:proofErr w:type="spellEnd"/>
            <w:r w:rsidRPr="00305462">
              <w:rPr>
                <w:szCs w:val="22"/>
                <w:lang w:val="sk-SK" w:eastAsia="pt-PT"/>
              </w:rPr>
              <w:t xml:space="preserve"> každé 3 mesiace</w:t>
            </w:r>
          </w:p>
          <w:p w:rsidR="00DF5AAA" w:rsidRPr="00305462" w:rsidRDefault="00D704CE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 w:rsidDel="00D704CE">
              <w:rPr>
                <w:szCs w:val="22"/>
                <w:lang w:val="sk-SK" w:eastAsia="pt-PT"/>
              </w:rPr>
              <w:t xml:space="preserve"> </w:t>
            </w:r>
            <w:r w:rsidR="00DF5AAA" w:rsidRPr="00305462">
              <w:rPr>
                <w:szCs w:val="22"/>
                <w:lang w:val="sk-SK" w:eastAsia="pt-PT"/>
              </w:rPr>
              <w:t xml:space="preserve">(N=334) </w:t>
            </w:r>
          </w:p>
        </w:tc>
      </w:tr>
      <w:tr w:rsidR="00713BF5" w:rsidRPr="00305462" w:rsidTr="009A4A6D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BMD </w:t>
            </w:r>
            <w:r w:rsidR="00D704CE" w:rsidRPr="00305462">
              <w:rPr>
                <w:szCs w:val="22"/>
                <w:lang w:val="sk-SK" w:eastAsia="sk-SK"/>
              </w:rPr>
              <w:t>driekovej chrbtice (L2 – L4)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3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8 [3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4</w:t>
            </w:r>
            <w:r w:rsidR="00FC61CD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4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2]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4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8 [4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5</w:t>
            </w:r>
            <w:r w:rsidR="00FC61CD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5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2] 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4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8 [4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3</w:t>
            </w:r>
            <w:r w:rsidR="00860A24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5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4]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6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3 [5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7</w:t>
            </w:r>
            <w:r w:rsidR="00860A24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6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8] </w:t>
            </w:r>
          </w:p>
        </w:tc>
      </w:tr>
      <w:tr w:rsidR="00713BF5" w:rsidRPr="00305462" w:rsidTr="009A4A6D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BMD </w:t>
            </w:r>
            <w:r w:rsidR="00D704CE" w:rsidRPr="00305462">
              <w:rPr>
                <w:szCs w:val="22"/>
                <w:lang w:val="sk-SK" w:eastAsia="sk-SK"/>
              </w:rPr>
              <w:t>bedrovej oblasti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1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8 [1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5</w:t>
            </w:r>
            <w:r w:rsidR="00FC61CD" w:rsidRPr="00305462">
              <w:rPr>
                <w:szCs w:val="22"/>
                <w:lang w:val="sk-SK" w:eastAsia="pt-PT"/>
              </w:rPr>
              <w:t xml:space="preserve">; </w:t>
            </w:r>
            <w:r w:rsidRPr="00305462">
              <w:rPr>
                <w:szCs w:val="22"/>
                <w:lang w:val="sk-SK" w:eastAsia="pt-PT"/>
              </w:rPr>
              <w:t>2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1]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2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4 [2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0</w:t>
            </w:r>
            <w:r w:rsidR="00FC61CD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2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7] 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2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2 [1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8</w:t>
            </w:r>
            <w:r w:rsidR="00860A24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2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6]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3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1 [2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6</w:t>
            </w:r>
            <w:r w:rsidR="00860A24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3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6] </w:t>
            </w:r>
          </w:p>
        </w:tc>
      </w:tr>
      <w:tr w:rsidR="00713BF5" w:rsidRPr="00305462" w:rsidTr="009A4A6D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BMD </w:t>
            </w:r>
            <w:proofErr w:type="spellStart"/>
            <w:r w:rsidR="00D704CE" w:rsidRPr="00305462">
              <w:rPr>
                <w:szCs w:val="22"/>
                <w:lang w:val="sk-SK" w:eastAsia="sk-SK"/>
              </w:rPr>
              <w:t>femorálneho</w:t>
            </w:r>
            <w:proofErr w:type="spellEnd"/>
            <w:r w:rsidR="00D704CE" w:rsidRPr="00305462">
              <w:rPr>
                <w:szCs w:val="22"/>
                <w:lang w:val="sk-SK" w:eastAsia="sk-SK"/>
              </w:rPr>
              <w:t xml:space="preserve"> krčka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1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6 [1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2</w:t>
            </w:r>
            <w:r w:rsidR="00FC61CD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2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0]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2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3 [1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9</w:t>
            </w:r>
            <w:r w:rsidR="00FC61CD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2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7] 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2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2 [1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8</w:t>
            </w:r>
            <w:r w:rsidR="00860A24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2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7]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2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8 [2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3</w:t>
            </w:r>
            <w:r w:rsidR="00860A24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3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3] </w:t>
            </w:r>
          </w:p>
        </w:tc>
      </w:tr>
      <w:tr w:rsidR="00713BF5" w:rsidRPr="00305462" w:rsidTr="009A4A6D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BMD</w:t>
            </w:r>
            <w:r w:rsidR="00D704CE" w:rsidRPr="00305462">
              <w:rPr>
                <w:szCs w:val="22"/>
                <w:lang w:val="sk-SK" w:eastAsia="sk-SK"/>
              </w:rPr>
              <w:t xml:space="preserve"> </w:t>
            </w:r>
            <w:proofErr w:type="spellStart"/>
            <w:r w:rsidR="00D704CE" w:rsidRPr="00305462">
              <w:rPr>
                <w:szCs w:val="22"/>
                <w:lang w:val="sk-SK" w:eastAsia="sk-SK"/>
              </w:rPr>
              <w:t>trochantera</w:t>
            </w:r>
            <w:proofErr w:type="spellEnd"/>
            <w:r w:rsidRPr="00305462">
              <w:rPr>
                <w:szCs w:val="22"/>
                <w:lang w:val="sk-SK" w:eastAsia="pt-PT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3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0 [2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6</w:t>
            </w:r>
            <w:r w:rsidR="00FC61CD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3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4]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3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8 [3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2</w:t>
            </w:r>
            <w:r w:rsidR="00FC61CD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4</w:t>
            </w:r>
            <w:r w:rsidR="00FC61CD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4] 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3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5 [3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0</w:t>
            </w:r>
            <w:r w:rsidR="00860A24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4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0]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AAA" w:rsidRPr="00305462" w:rsidRDefault="00DF5AAA" w:rsidP="00F756B3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4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9 [4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1</w:t>
            </w:r>
            <w:r w:rsidR="00860A24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5</w:t>
            </w:r>
            <w:r w:rsidR="00860A24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 xml:space="preserve">7] </w:t>
            </w:r>
          </w:p>
        </w:tc>
      </w:tr>
    </w:tbl>
    <w:p w:rsidR="00DF5AAA" w:rsidRPr="00305462" w:rsidRDefault="00DF5AAA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DF5AAA" w:rsidRPr="00305462" w:rsidRDefault="0061551C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highlight w:val="yellow"/>
          <w:lang w:val="sk-SK" w:eastAsia="sk-SK"/>
        </w:rPr>
      </w:pPr>
      <w:r w:rsidRPr="00305462">
        <w:rPr>
          <w:szCs w:val="22"/>
          <w:lang w:val="sk-SK" w:eastAsia="sk-SK"/>
        </w:rPr>
        <w:lastRenderedPageBreak/>
        <w:t xml:space="preserve">V </w:t>
      </w:r>
      <w:proofErr w:type="spellStart"/>
      <w:r w:rsidRPr="00305462">
        <w:rPr>
          <w:szCs w:val="22"/>
          <w:lang w:val="sk-SK" w:eastAsia="sk-SK"/>
        </w:rPr>
        <w:t>prospektívne</w:t>
      </w:r>
      <w:proofErr w:type="spellEnd"/>
      <w:r w:rsidRPr="00305462">
        <w:rPr>
          <w:szCs w:val="22"/>
          <w:lang w:val="sk-SK" w:eastAsia="sk-SK"/>
        </w:rPr>
        <w:t xml:space="preserve"> plánovanej analýze sa okrem toho dokázalo, že injekcia 3 mg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každé 3 mesiace je účinnejšia ako denne užívaná perorálna 2,5 mg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</w:t>
      </w:r>
      <w:r w:rsidR="0085214D" w:rsidRPr="00305462">
        <w:rPr>
          <w:szCs w:val="22"/>
          <w:lang w:val="sk-SK" w:eastAsia="sk-SK"/>
        </w:rPr>
        <w:t>pri</w:t>
      </w:r>
      <w:r w:rsidRPr="00305462">
        <w:rPr>
          <w:szCs w:val="22"/>
          <w:lang w:val="sk-SK" w:eastAsia="sk-SK"/>
        </w:rPr>
        <w:t xml:space="preserve"> zvýšení BMD driekovej chrbtice po jednom roku, p &lt; 0,001 a po dvoch rokoch, p&lt; 0,001.</w:t>
      </w:r>
    </w:p>
    <w:p w:rsidR="00F756B3" w:rsidRPr="00305462" w:rsidRDefault="00F756B3" w:rsidP="00886B7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DF5AAA" w:rsidRPr="00305462" w:rsidRDefault="00886B7B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Pokiaľ ide o BMD driekovej oblasti, </w:t>
      </w:r>
      <w:r w:rsidR="00992360" w:rsidRPr="00305462">
        <w:rPr>
          <w:szCs w:val="22"/>
          <w:lang w:val="sk-SK" w:eastAsia="sk-SK"/>
        </w:rPr>
        <w:t xml:space="preserve">po </w:t>
      </w:r>
      <w:r w:rsidR="005A2190" w:rsidRPr="00305462">
        <w:rPr>
          <w:szCs w:val="22"/>
          <w:lang w:val="sk-SK" w:eastAsia="sk-SK"/>
        </w:rPr>
        <w:t>1</w:t>
      </w:r>
      <w:r w:rsidR="00992360" w:rsidRPr="00305462">
        <w:rPr>
          <w:szCs w:val="22"/>
          <w:lang w:val="sk-SK" w:eastAsia="sk-SK"/>
        </w:rPr>
        <w:t xml:space="preserve"> roku lieč</w:t>
      </w:r>
      <w:r w:rsidR="00BB38D3" w:rsidRPr="00305462">
        <w:rPr>
          <w:szCs w:val="22"/>
          <w:lang w:val="sk-SK" w:eastAsia="sk-SK"/>
        </w:rPr>
        <w:t>by</w:t>
      </w:r>
      <w:r w:rsidRPr="00305462">
        <w:rPr>
          <w:szCs w:val="22"/>
          <w:lang w:val="sk-SK" w:eastAsia="sk-SK"/>
        </w:rPr>
        <w:t xml:space="preserve"> sa BMD driekovej oblasti</w:t>
      </w:r>
      <w:r w:rsidR="00BB38D3" w:rsidRPr="00305462">
        <w:rPr>
          <w:szCs w:val="22"/>
          <w:lang w:val="sk-SK" w:eastAsia="sk-SK"/>
        </w:rPr>
        <w:t xml:space="preserve"> </w:t>
      </w:r>
      <w:r w:rsidR="00992360" w:rsidRPr="00305462">
        <w:rPr>
          <w:szCs w:val="22"/>
          <w:lang w:val="sk-SK" w:eastAsia="sk-SK"/>
        </w:rPr>
        <w:t>zvýšila alebo udržala (t.j. pacient</w:t>
      </w:r>
      <w:r w:rsidR="00D945DA" w:rsidRPr="00305462">
        <w:rPr>
          <w:szCs w:val="22"/>
          <w:lang w:val="sk-SK" w:eastAsia="sk-SK"/>
        </w:rPr>
        <w:t>ky</w:t>
      </w:r>
      <w:r w:rsidR="00BB38D3" w:rsidRPr="00305462">
        <w:rPr>
          <w:szCs w:val="22"/>
          <w:lang w:val="sk-SK" w:eastAsia="sk-SK"/>
        </w:rPr>
        <w:t xml:space="preserve"> </w:t>
      </w:r>
      <w:r w:rsidR="00992360" w:rsidRPr="00305462">
        <w:rPr>
          <w:szCs w:val="22"/>
          <w:lang w:val="sk-SK" w:eastAsia="sk-SK"/>
        </w:rPr>
        <w:t>reagovali na liečbu) u</w:t>
      </w:r>
      <w:r w:rsidR="00BB38D3" w:rsidRPr="00305462">
        <w:rPr>
          <w:szCs w:val="22"/>
          <w:lang w:val="sk-SK" w:eastAsia="sk-SK"/>
        </w:rPr>
        <w:t xml:space="preserve"> 92,1 % pacientok, ktoré dostávali 3 mg injekčne</w:t>
      </w:r>
      <w:r w:rsidR="00992360" w:rsidRPr="00305462">
        <w:rPr>
          <w:szCs w:val="22"/>
          <w:lang w:val="sk-SK" w:eastAsia="sk-SK"/>
        </w:rPr>
        <w:t xml:space="preserve"> každé tri mesiace v porovnaní s</w:t>
      </w:r>
      <w:r w:rsidR="00BB38D3" w:rsidRPr="00305462">
        <w:rPr>
          <w:szCs w:val="22"/>
          <w:lang w:val="sk-SK" w:eastAsia="sk-SK"/>
        </w:rPr>
        <w:t xml:space="preserve"> 84,9 % pacientok, ktoré</w:t>
      </w:r>
      <w:r w:rsidR="00992360" w:rsidRPr="00305462">
        <w:rPr>
          <w:szCs w:val="22"/>
          <w:lang w:val="sk-SK" w:eastAsia="sk-SK"/>
        </w:rPr>
        <w:t xml:space="preserve"> </w:t>
      </w:r>
      <w:r w:rsidR="00D945DA" w:rsidRPr="00305462">
        <w:rPr>
          <w:szCs w:val="22"/>
          <w:lang w:val="sk-SK" w:eastAsia="sk-SK"/>
        </w:rPr>
        <w:t xml:space="preserve">denne </w:t>
      </w:r>
      <w:r w:rsidR="00992360" w:rsidRPr="00305462">
        <w:rPr>
          <w:szCs w:val="22"/>
          <w:lang w:val="sk-SK" w:eastAsia="sk-SK"/>
        </w:rPr>
        <w:t xml:space="preserve">užívali </w:t>
      </w:r>
      <w:r w:rsidR="00BB38D3" w:rsidRPr="00305462">
        <w:rPr>
          <w:szCs w:val="22"/>
          <w:lang w:val="sk-SK" w:eastAsia="sk-SK"/>
        </w:rPr>
        <w:t>perorálne 2,5 mg</w:t>
      </w:r>
      <w:r w:rsidR="00992360" w:rsidRPr="00305462">
        <w:rPr>
          <w:szCs w:val="22"/>
          <w:lang w:val="sk-SK" w:eastAsia="sk-SK"/>
        </w:rPr>
        <w:t xml:space="preserve"> (p=0,002). Po 2 rokoch liečby sa BMD</w:t>
      </w:r>
      <w:r w:rsidR="00BB38D3" w:rsidRPr="00305462">
        <w:rPr>
          <w:szCs w:val="22"/>
          <w:lang w:val="sk-SK" w:eastAsia="sk-SK"/>
        </w:rPr>
        <w:t xml:space="preserve"> </w:t>
      </w:r>
      <w:r w:rsidR="00992360" w:rsidRPr="00305462">
        <w:rPr>
          <w:szCs w:val="22"/>
          <w:lang w:val="sk-SK" w:eastAsia="sk-SK"/>
        </w:rPr>
        <w:t xml:space="preserve">driekovej chrbtice zvýšila </w:t>
      </w:r>
      <w:r w:rsidR="00BB38D3" w:rsidRPr="00305462">
        <w:rPr>
          <w:szCs w:val="22"/>
          <w:lang w:val="sk-SK" w:eastAsia="sk-SK"/>
        </w:rPr>
        <w:t>alebo udržala u 92,8 % pacientok, ktoré dostávali 3 mg injekčne</w:t>
      </w:r>
      <w:r w:rsidR="00992360" w:rsidRPr="00305462">
        <w:rPr>
          <w:szCs w:val="22"/>
          <w:lang w:val="sk-SK" w:eastAsia="sk-SK"/>
        </w:rPr>
        <w:t xml:space="preserve"> a u 84,7 %</w:t>
      </w:r>
      <w:r w:rsidR="00BB38D3" w:rsidRPr="00305462">
        <w:rPr>
          <w:szCs w:val="22"/>
          <w:lang w:val="sk-SK" w:eastAsia="sk-SK"/>
        </w:rPr>
        <w:t xml:space="preserve"> pacientok, ktoré</w:t>
      </w:r>
      <w:r w:rsidR="00992360" w:rsidRPr="00305462">
        <w:rPr>
          <w:szCs w:val="22"/>
          <w:lang w:val="sk-SK" w:eastAsia="sk-SK"/>
        </w:rPr>
        <w:t xml:space="preserve"> </w:t>
      </w:r>
      <w:r w:rsidR="00D945DA" w:rsidRPr="00305462">
        <w:rPr>
          <w:szCs w:val="22"/>
          <w:lang w:val="sk-SK" w:eastAsia="sk-SK"/>
        </w:rPr>
        <w:t xml:space="preserve">denne </w:t>
      </w:r>
      <w:r w:rsidR="00992360" w:rsidRPr="00305462">
        <w:rPr>
          <w:szCs w:val="22"/>
          <w:lang w:val="sk-SK" w:eastAsia="sk-SK"/>
        </w:rPr>
        <w:t>užívali</w:t>
      </w:r>
      <w:r w:rsidR="00D945DA" w:rsidRPr="00305462">
        <w:rPr>
          <w:szCs w:val="22"/>
          <w:lang w:val="sk-SK" w:eastAsia="sk-SK"/>
        </w:rPr>
        <w:t xml:space="preserve"> </w:t>
      </w:r>
      <w:r w:rsidR="00BB38D3" w:rsidRPr="00305462">
        <w:rPr>
          <w:szCs w:val="22"/>
          <w:lang w:val="sk-SK" w:eastAsia="sk-SK"/>
        </w:rPr>
        <w:t>perorálne 2,5 mg</w:t>
      </w:r>
      <w:r w:rsidR="00992360" w:rsidRPr="00305462">
        <w:rPr>
          <w:szCs w:val="22"/>
          <w:lang w:val="sk-SK" w:eastAsia="sk-SK"/>
        </w:rPr>
        <w:t xml:space="preserve"> (p=0,001).</w:t>
      </w:r>
    </w:p>
    <w:p w:rsidR="00F756B3" w:rsidRPr="00305462" w:rsidRDefault="00F756B3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DF5AAA" w:rsidRPr="00305462" w:rsidRDefault="00992360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Pokiaľ ide o BMD bedrovej oblasti po </w:t>
      </w:r>
      <w:r w:rsidR="005A2190" w:rsidRPr="00305462">
        <w:rPr>
          <w:szCs w:val="22"/>
          <w:lang w:val="sk-SK" w:eastAsia="sk-SK"/>
        </w:rPr>
        <w:t>1</w:t>
      </w:r>
      <w:r w:rsidRPr="00305462">
        <w:rPr>
          <w:szCs w:val="22"/>
          <w:lang w:val="sk-SK" w:eastAsia="sk-SK"/>
        </w:rPr>
        <w:t xml:space="preserve"> roku, na lieč</w:t>
      </w:r>
      <w:r w:rsidR="00EF67CB" w:rsidRPr="00305462">
        <w:rPr>
          <w:szCs w:val="22"/>
          <w:lang w:val="sk-SK" w:eastAsia="sk-SK"/>
        </w:rPr>
        <w:t>bu reagovalo 82,3 % pacientok, ktoré dostávali 3 mg injekčne</w:t>
      </w:r>
      <w:r w:rsidRPr="00305462">
        <w:rPr>
          <w:szCs w:val="22"/>
          <w:lang w:val="sk-SK" w:eastAsia="sk-SK"/>
        </w:rPr>
        <w:t xml:space="preserve"> každé tri mesiace</w:t>
      </w:r>
      <w:r w:rsidR="00EF67CB" w:rsidRPr="00305462">
        <w:rPr>
          <w:szCs w:val="22"/>
          <w:lang w:val="sk-SK" w:eastAsia="sk-SK"/>
        </w:rPr>
        <w:t xml:space="preserve"> v porovnaní so 75,1 % pacientok, ktoré</w:t>
      </w:r>
      <w:r w:rsidRPr="00305462">
        <w:rPr>
          <w:szCs w:val="22"/>
          <w:lang w:val="sk-SK" w:eastAsia="sk-SK"/>
        </w:rPr>
        <w:t xml:space="preserve"> </w:t>
      </w:r>
      <w:r w:rsidR="00EF67CB" w:rsidRPr="00305462">
        <w:rPr>
          <w:szCs w:val="22"/>
          <w:lang w:val="sk-SK" w:eastAsia="sk-SK"/>
        </w:rPr>
        <w:t xml:space="preserve">denne </w:t>
      </w:r>
      <w:r w:rsidRPr="00305462">
        <w:rPr>
          <w:szCs w:val="22"/>
          <w:lang w:val="sk-SK" w:eastAsia="sk-SK"/>
        </w:rPr>
        <w:t>užívali perorálne</w:t>
      </w:r>
      <w:r w:rsidR="00EF67CB" w:rsidRPr="00305462">
        <w:rPr>
          <w:szCs w:val="22"/>
          <w:lang w:val="sk-SK" w:eastAsia="sk-SK"/>
        </w:rPr>
        <w:t xml:space="preserve"> 2,5 mg</w:t>
      </w:r>
      <w:r w:rsidRPr="00305462">
        <w:rPr>
          <w:szCs w:val="22"/>
          <w:lang w:val="sk-SK" w:eastAsia="sk-SK"/>
        </w:rPr>
        <w:t xml:space="preserve"> (p=0,02). Po 2 rokoch liečby sa BMD bedrovej oblasti zvýšila alebo udržala u 85,6 %</w:t>
      </w:r>
      <w:r w:rsidR="00EF67CB" w:rsidRPr="00305462">
        <w:rPr>
          <w:szCs w:val="22"/>
          <w:lang w:val="sk-SK" w:eastAsia="sk-SK"/>
        </w:rPr>
        <w:t xml:space="preserve"> pacientok, ktoré</w:t>
      </w:r>
      <w:r w:rsidR="00957C0E" w:rsidRPr="00305462">
        <w:rPr>
          <w:szCs w:val="22"/>
          <w:lang w:val="sk-SK" w:eastAsia="sk-SK"/>
        </w:rPr>
        <w:t xml:space="preserve"> dostávali</w:t>
      </w:r>
      <w:r w:rsidR="00EF67CB" w:rsidRPr="00305462">
        <w:rPr>
          <w:szCs w:val="22"/>
          <w:lang w:val="sk-SK" w:eastAsia="sk-SK"/>
        </w:rPr>
        <w:t xml:space="preserve"> 3 mg injekčne a</w:t>
      </w:r>
      <w:r w:rsidR="005A2190" w:rsidRPr="00305462">
        <w:rPr>
          <w:szCs w:val="22"/>
          <w:lang w:val="sk-SK" w:eastAsia="sk-SK"/>
        </w:rPr>
        <w:t xml:space="preserve"> u </w:t>
      </w:r>
      <w:r w:rsidRPr="00305462">
        <w:rPr>
          <w:szCs w:val="22"/>
          <w:lang w:val="sk-SK" w:eastAsia="sk-SK"/>
        </w:rPr>
        <w:t xml:space="preserve">77,0 % </w:t>
      </w:r>
      <w:r w:rsidR="00EF67CB" w:rsidRPr="00305462">
        <w:rPr>
          <w:szCs w:val="22"/>
          <w:lang w:val="sk-SK" w:eastAsia="sk-SK"/>
        </w:rPr>
        <w:t xml:space="preserve"> pacientok, ktoré denne</w:t>
      </w:r>
      <w:r w:rsidRPr="00305462">
        <w:rPr>
          <w:szCs w:val="22"/>
          <w:lang w:val="sk-SK" w:eastAsia="sk-SK"/>
        </w:rPr>
        <w:t xml:space="preserve"> užívali perorálne 2,5 mg</w:t>
      </w:r>
      <w:r w:rsidR="00054A55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(p=0,004).</w:t>
      </w:r>
    </w:p>
    <w:p w:rsidR="00F756B3" w:rsidRPr="00305462" w:rsidRDefault="00F756B3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DF5AAA" w:rsidRPr="00305462" w:rsidRDefault="0053173E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Podiel pacientok</w:t>
      </w:r>
      <w:r w:rsidR="0082385E" w:rsidRPr="00305462">
        <w:rPr>
          <w:szCs w:val="22"/>
          <w:lang w:val="sk-SK" w:eastAsia="sk-SK"/>
        </w:rPr>
        <w:t xml:space="preserve">, u ktorých sa po jednom roku BMD driekovej chrbtice aj bedrovej oblasti zvýšila alebo udržala, bol 76,2 % v skupine s 3 mg injekciou </w:t>
      </w:r>
      <w:r w:rsidRPr="00305462">
        <w:rPr>
          <w:szCs w:val="22"/>
          <w:lang w:val="sk-SK" w:eastAsia="sk-SK"/>
        </w:rPr>
        <w:t xml:space="preserve">podávanou </w:t>
      </w:r>
      <w:r w:rsidR="0082385E" w:rsidRPr="00305462">
        <w:rPr>
          <w:szCs w:val="22"/>
          <w:lang w:val="sk-SK" w:eastAsia="sk-SK"/>
        </w:rPr>
        <w:t>každé 3 mesiace a 67,2 % v skupine s 2,5 mg dennou perorálnou dávkou (p=0,007). Po dvoch rokoch toto kr</w:t>
      </w:r>
      <w:r w:rsidRPr="00305462">
        <w:rPr>
          <w:szCs w:val="22"/>
          <w:lang w:val="sk-SK" w:eastAsia="sk-SK"/>
        </w:rPr>
        <w:t>itérium splnilo 80,1 % pacientok</w:t>
      </w:r>
      <w:r w:rsidR="0082385E" w:rsidRPr="00305462">
        <w:rPr>
          <w:szCs w:val="22"/>
          <w:lang w:val="sk-SK" w:eastAsia="sk-SK"/>
        </w:rPr>
        <w:t xml:space="preserve"> v skupine s 3 mg injekciou </w:t>
      </w:r>
      <w:r w:rsidRPr="00305462">
        <w:rPr>
          <w:szCs w:val="22"/>
          <w:lang w:val="sk-SK" w:eastAsia="sk-SK"/>
        </w:rPr>
        <w:t xml:space="preserve">podávanou </w:t>
      </w:r>
      <w:r w:rsidR="0082385E" w:rsidRPr="00305462">
        <w:rPr>
          <w:szCs w:val="22"/>
          <w:lang w:val="sk-SK" w:eastAsia="sk-SK"/>
        </w:rPr>
        <w:t>ka</w:t>
      </w:r>
      <w:r w:rsidRPr="00305462">
        <w:rPr>
          <w:szCs w:val="22"/>
          <w:lang w:val="sk-SK" w:eastAsia="sk-SK"/>
        </w:rPr>
        <w:t>ždé 3 mesiace a 68,8 % pacientok</w:t>
      </w:r>
      <w:r w:rsidR="0082385E" w:rsidRPr="00305462">
        <w:rPr>
          <w:szCs w:val="22"/>
          <w:lang w:val="sk-SK" w:eastAsia="sk-SK"/>
        </w:rPr>
        <w:t xml:space="preserve"> v skupine s 2,5 mg dennou perorálnou dávkou (p=0,001).</w:t>
      </w:r>
    </w:p>
    <w:p w:rsidR="00F756B3" w:rsidRPr="00305462" w:rsidRDefault="00F756B3" w:rsidP="00F756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DF5AAA" w:rsidRPr="00305462" w:rsidRDefault="00AB555D" w:rsidP="00F756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 xml:space="preserve">Biochemické </w:t>
      </w:r>
      <w:proofErr w:type="spellStart"/>
      <w:r w:rsidRPr="00305462">
        <w:rPr>
          <w:i/>
          <w:szCs w:val="22"/>
          <w:lang w:val="sk-SK" w:eastAsia="pt-PT"/>
        </w:rPr>
        <w:t>markery</w:t>
      </w:r>
      <w:proofErr w:type="spellEnd"/>
      <w:r w:rsidRPr="00305462">
        <w:rPr>
          <w:i/>
          <w:szCs w:val="22"/>
          <w:lang w:val="sk-SK" w:eastAsia="pt-PT"/>
        </w:rPr>
        <w:t xml:space="preserve"> kostného obratu</w:t>
      </w:r>
    </w:p>
    <w:p w:rsidR="00F756B3" w:rsidRPr="00305462" w:rsidRDefault="00F756B3" w:rsidP="00F756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</w:p>
    <w:p w:rsidR="00DF5AAA" w:rsidRPr="00305462" w:rsidRDefault="00AB555D" w:rsidP="00A2406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Klinicky významné zníženia sérových hladín CTX sa pozorovali vo všetkých hodnotených časových obdobiach. Po 12 mesiacoch bola stredná hodnota relatívnych zmien od východiskovej hodnoty –58,6 % pre schému s 3 mg intravenóznou injekciou </w:t>
      </w:r>
      <w:r w:rsidR="00A24062" w:rsidRPr="00305462">
        <w:rPr>
          <w:szCs w:val="22"/>
          <w:lang w:val="sk-SK" w:eastAsia="sk-SK"/>
        </w:rPr>
        <w:t xml:space="preserve">podávanou </w:t>
      </w:r>
      <w:r w:rsidRPr="00305462">
        <w:rPr>
          <w:szCs w:val="22"/>
          <w:lang w:val="sk-SK" w:eastAsia="sk-SK"/>
        </w:rPr>
        <w:t>každé 3 mesiace a –62,6 % pre schému s 2,5 mg dennou perorálnou dávkou. Okrem toho sa zistilo, že na liečbu reagovalo (t.j. zníženie o ≥ 50 % od</w:t>
      </w:r>
      <w:r w:rsidR="005A72BA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východiskovej hodnoty)</w:t>
      </w:r>
      <w:r w:rsidR="00A24062" w:rsidRPr="00305462">
        <w:rPr>
          <w:szCs w:val="22"/>
          <w:lang w:val="sk-SK" w:eastAsia="sk-SK"/>
        </w:rPr>
        <w:t xml:space="preserve"> 64,8 % pacientok, ktoré</w:t>
      </w:r>
      <w:r w:rsidR="005A72BA" w:rsidRPr="00305462">
        <w:rPr>
          <w:szCs w:val="22"/>
          <w:lang w:val="sk-SK" w:eastAsia="sk-SK"/>
        </w:rPr>
        <w:t xml:space="preserve"> dostávali</w:t>
      </w:r>
      <w:r w:rsidRPr="00305462">
        <w:rPr>
          <w:szCs w:val="22"/>
          <w:lang w:val="sk-SK" w:eastAsia="sk-SK"/>
        </w:rPr>
        <w:t xml:space="preserve"> 3 mg injekciu každé 3 mesiace v porovnaní so</w:t>
      </w:r>
      <w:r w:rsidR="005A72BA" w:rsidRPr="00305462">
        <w:rPr>
          <w:szCs w:val="22"/>
          <w:lang w:val="sk-SK" w:eastAsia="sk-SK"/>
        </w:rPr>
        <w:t xml:space="preserve"> </w:t>
      </w:r>
      <w:r w:rsidR="00A24062" w:rsidRPr="00305462">
        <w:rPr>
          <w:szCs w:val="22"/>
          <w:lang w:val="sk-SK" w:eastAsia="sk-SK"/>
        </w:rPr>
        <w:t>64,9 % pacientok</w:t>
      </w:r>
      <w:r w:rsidRPr="00305462">
        <w:rPr>
          <w:szCs w:val="22"/>
          <w:lang w:val="sk-SK" w:eastAsia="sk-SK"/>
        </w:rPr>
        <w:t xml:space="preserve">, ktorí </w:t>
      </w:r>
      <w:r w:rsidR="00A24062" w:rsidRPr="00305462">
        <w:rPr>
          <w:szCs w:val="22"/>
          <w:lang w:val="sk-SK" w:eastAsia="sk-SK"/>
        </w:rPr>
        <w:t>denne užívali perorálne 2,5 mg</w:t>
      </w:r>
      <w:r w:rsidRPr="00305462">
        <w:rPr>
          <w:szCs w:val="22"/>
          <w:lang w:val="sk-SK" w:eastAsia="sk-SK"/>
        </w:rPr>
        <w:t>. Zníženie sérových hladín CTX sa udržalo</w:t>
      </w:r>
      <w:r w:rsidR="005A72BA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počas 2 rokov, pričom v oboch skupinách na liečbu reago</w:t>
      </w:r>
      <w:r w:rsidR="00A24062" w:rsidRPr="00305462">
        <w:rPr>
          <w:szCs w:val="22"/>
          <w:lang w:val="sk-SK" w:eastAsia="sk-SK"/>
        </w:rPr>
        <w:t>vala viac ako polovica pacientok</w:t>
      </w:r>
      <w:r w:rsidRPr="00305462">
        <w:rPr>
          <w:szCs w:val="22"/>
          <w:lang w:val="sk-SK" w:eastAsia="sk-SK"/>
        </w:rPr>
        <w:t>.</w:t>
      </w:r>
    </w:p>
    <w:p w:rsidR="00E61A7B" w:rsidRPr="00305462" w:rsidRDefault="00E61A7B" w:rsidP="00A2406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Na základe výsledkov štúdie BM 16550 sa očakáva, že 3 mg intrav</w:t>
      </w:r>
      <w:r w:rsidR="00A24062" w:rsidRPr="00305462">
        <w:rPr>
          <w:szCs w:val="22"/>
          <w:lang w:val="sk-SK" w:eastAsia="sk-SK"/>
        </w:rPr>
        <w:t xml:space="preserve">enózna injekcia kyseliny </w:t>
      </w:r>
      <w:proofErr w:type="spellStart"/>
      <w:r w:rsidR="00A24062" w:rsidRPr="00305462">
        <w:rPr>
          <w:szCs w:val="22"/>
          <w:lang w:val="sk-SK" w:eastAsia="sk-SK"/>
        </w:rPr>
        <w:t>ibandrónovej</w:t>
      </w:r>
      <w:proofErr w:type="spellEnd"/>
      <w:r w:rsidR="00A24062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podávaná každé 3 mesiace, je prinajmenšom rovnako účinná v prevencii zlomenín ako schéma s 2,5 mg dennou perorálnou dávkou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>.</w:t>
      </w:r>
    </w:p>
    <w:p w:rsidR="00DF5AAA" w:rsidRPr="00305462" w:rsidRDefault="00DF5AAA" w:rsidP="00DF5A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:rsidR="006271F0" w:rsidRPr="00305462" w:rsidRDefault="00C73450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 w:eastAsia="pt-PT"/>
        </w:rPr>
      </w:pPr>
      <w:r w:rsidRPr="00305462">
        <w:rPr>
          <w:szCs w:val="22"/>
          <w:u w:val="single"/>
          <w:lang w:val="sk-SK" w:eastAsia="pt-PT"/>
        </w:rPr>
        <w:t xml:space="preserve">2,5 mg tablety kyseliny </w:t>
      </w:r>
      <w:proofErr w:type="spellStart"/>
      <w:r w:rsidRPr="00305462">
        <w:rPr>
          <w:szCs w:val="22"/>
          <w:u w:val="single"/>
          <w:lang w:val="sk-SK" w:eastAsia="pt-PT"/>
        </w:rPr>
        <w:t>ibandrónovej</w:t>
      </w:r>
      <w:proofErr w:type="spellEnd"/>
      <w:r w:rsidRPr="00305462">
        <w:rPr>
          <w:szCs w:val="22"/>
          <w:u w:val="single"/>
          <w:lang w:val="sk-SK" w:eastAsia="pt-PT"/>
        </w:rPr>
        <w:t xml:space="preserve"> denne 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V úvodnej trojročnej, </w:t>
      </w:r>
      <w:proofErr w:type="spellStart"/>
      <w:r w:rsidRPr="00305462">
        <w:rPr>
          <w:szCs w:val="22"/>
          <w:lang w:val="sk-SK" w:eastAsia="sk-SK"/>
        </w:rPr>
        <w:t>randomizovanej</w:t>
      </w:r>
      <w:proofErr w:type="spellEnd"/>
      <w:r w:rsidRPr="00305462">
        <w:rPr>
          <w:szCs w:val="22"/>
          <w:lang w:val="sk-SK" w:eastAsia="sk-SK"/>
        </w:rPr>
        <w:t xml:space="preserve">, dvojito zaslepenej, </w:t>
      </w:r>
      <w:proofErr w:type="spellStart"/>
      <w:r w:rsidRPr="00305462">
        <w:rPr>
          <w:szCs w:val="22"/>
          <w:lang w:val="sk-SK" w:eastAsia="sk-SK"/>
        </w:rPr>
        <w:t>placebom</w:t>
      </w:r>
      <w:proofErr w:type="spellEnd"/>
      <w:r w:rsidRPr="00305462">
        <w:rPr>
          <w:szCs w:val="22"/>
          <w:lang w:val="sk-SK" w:eastAsia="sk-SK"/>
        </w:rPr>
        <w:t xml:space="preserve"> kontrolovanej štúdii zameranej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na zlomeniny (MF 4411) sa dokázal štatisticky významný, s liečbou súvisiaci pokles výskytu nových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proofErr w:type="spellStart"/>
      <w:r w:rsidRPr="00305462">
        <w:rPr>
          <w:szCs w:val="22"/>
          <w:lang w:val="sk-SK" w:eastAsia="sk-SK"/>
        </w:rPr>
        <w:t>rádiografických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morfometrických</w:t>
      </w:r>
      <w:proofErr w:type="spellEnd"/>
      <w:r w:rsidRPr="00305462">
        <w:rPr>
          <w:szCs w:val="22"/>
          <w:lang w:val="sk-SK" w:eastAsia="sk-SK"/>
        </w:rPr>
        <w:t xml:space="preserve"> a klinických </w:t>
      </w:r>
      <w:proofErr w:type="spellStart"/>
      <w:r w:rsidRPr="00305462">
        <w:rPr>
          <w:szCs w:val="22"/>
          <w:lang w:val="sk-SK" w:eastAsia="sk-SK"/>
        </w:rPr>
        <w:t>vertebrálnych</w:t>
      </w:r>
      <w:proofErr w:type="spellEnd"/>
      <w:r w:rsidRPr="00305462">
        <w:rPr>
          <w:szCs w:val="22"/>
          <w:lang w:val="sk-SK" w:eastAsia="sk-SK"/>
        </w:rPr>
        <w:t xml:space="preserve"> fraktúr (tabuľka 3). V tejto štúdii bola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vyhodnocovaná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pri denných perorálnych dávkach 2,5 mg a </w:t>
      </w:r>
      <w:proofErr w:type="spellStart"/>
      <w:r w:rsidRPr="00305462">
        <w:rPr>
          <w:szCs w:val="22"/>
          <w:lang w:val="sk-SK" w:eastAsia="sk-SK"/>
        </w:rPr>
        <w:t>intermitentných</w:t>
      </w:r>
      <w:proofErr w:type="spellEnd"/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perorálnych dávkach 20 mg, ktoré sa použili ako výskumný režim.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sa užívala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60 minút pred prvým jedlom alebo nápojom dňa (obdobie na prázdny žalúdok po podaní dávky).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Štúdia skúmala ženy vo veku 55 až 80 rokov, ktoré boli najmenej 5 rokov po </w:t>
      </w:r>
      <w:proofErr w:type="spellStart"/>
      <w:r w:rsidRPr="00305462">
        <w:rPr>
          <w:szCs w:val="22"/>
          <w:lang w:val="sk-SK" w:eastAsia="sk-SK"/>
        </w:rPr>
        <w:t>menopauze</w:t>
      </w:r>
      <w:proofErr w:type="spellEnd"/>
      <w:r w:rsidRPr="00305462">
        <w:rPr>
          <w:szCs w:val="22"/>
          <w:lang w:val="sk-SK" w:eastAsia="sk-SK"/>
        </w:rPr>
        <w:t>, a u ktorých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bola BMD v driekovej chrbtici s SD od -2 do 5-krát nižšej ako priemerná hodnota pred </w:t>
      </w:r>
      <w:proofErr w:type="spellStart"/>
      <w:r w:rsidRPr="00305462">
        <w:rPr>
          <w:szCs w:val="22"/>
          <w:lang w:val="sk-SK" w:eastAsia="sk-SK"/>
        </w:rPr>
        <w:t>menopauzou</w:t>
      </w:r>
      <w:proofErr w:type="spellEnd"/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(</w:t>
      </w:r>
      <w:proofErr w:type="spellStart"/>
      <w:r w:rsidRPr="00305462">
        <w:rPr>
          <w:szCs w:val="22"/>
          <w:lang w:val="sk-SK" w:eastAsia="sk-SK"/>
        </w:rPr>
        <w:t>T-skóre</w:t>
      </w:r>
      <w:proofErr w:type="spellEnd"/>
      <w:r w:rsidRPr="00305462">
        <w:rPr>
          <w:szCs w:val="22"/>
          <w:lang w:val="sk-SK" w:eastAsia="sk-SK"/>
        </w:rPr>
        <w:t>) najmenej v jednom stavci [L1-L4], a ktoré mali jednu až štyri bežné fraktúry stavcov. Všetky pacientky dostávali denne 500 mg vápnika a 400 IU vitamínu D. Účinnosť bola vyhodnotená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u 2928 pacientok. Pri dennom užívaní 2,5 mg kyseliny </w:t>
      </w:r>
      <w:proofErr w:type="spellStart"/>
      <w:r w:rsidRPr="00305462">
        <w:rPr>
          <w:szCs w:val="22"/>
          <w:lang w:val="sk-SK" w:eastAsia="sk-SK"/>
        </w:rPr>
        <w:t>ibandróvej</w:t>
      </w:r>
      <w:proofErr w:type="spellEnd"/>
      <w:r w:rsidRPr="00305462">
        <w:rPr>
          <w:szCs w:val="22"/>
          <w:lang w:val="sk-SK" w:eastAsia="sk-SK"/>
        </w:rPr>
        <w:t xml:space="preserve"> sa prejavilo štatisticky významné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zníženie výskytu nových </w:t>
      </w:r>
      <w:proofErr w:type="spellStart"/>
      <w:r w:rsidRPr="00305462">
        <w:rPr>
          <w:szCs w:val="22"/>
          <w:lang w:val="sk-SK" w:eastAsia="sk-SK"/>
        </w:rPr>
        <w:t>vertebrálnych</w:t>
      </w:r>
      <w:proofErr w:type="spellEnd"/>
      <w:r w:rsidRPr="00305462">
        <w:rPr>
          <w:szCs w:val="22"/>
          <w:lang w:val="sk-SK" w:eastAsia="sk-SK"/>
        </w:rPr>
        <w:t xml:space="preserve"> fraktúr v dôsledku liečby. Tento režim počas 3 rokov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trvania štúdie znížil výskyt nových </w:t>
      </w:r>
      <w:proofErr w:type="spellStart"/>
      <w:r w:rsidRPr="00305462">
        <w:rPr>
          <w:szCs w:val="22"/>
          <w:lang w:val="sk-SK" w:eastAsia="sk-SK"/>
        </w:rPr>
        <w:t>rádiografických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vertebrálnych</w:t>
      </w:r>
      <w:proofErr w:type="spellEnd"/>
      <w:r w:rsidRPr="00305462">
        <w:rPr>
          <w:szCs w:val="22"/>
          <w:lang w:val="sk-SK" w:eastAsia="sk-SK"/>
        </w:rPr>
        <w:t xml:space="preserve"> fraktúr o 62 % (p = 0,0001).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Zníženie relatívneho rizika o 61 % sa pozorovalo po 2 rokoch (p = 0,0006). Po 1 roku liečby sa</w:t>
      </w:r>
    </w:p>
    <w:p w:rsidR="00441F1D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nedosiahol žiadny štatisticky významný rozdiel (p = 0,056). Úč</w:t>
      </w:r>
      <w:r w:rsidR="00962804" w:rsidRPr="00305462">
        <w:rPr>
          <w:szCs w:val="22"/>
          <w:lang w:val="sk-SK" w:eastAsia="sk-SK"/>
        </w:rPr>
        <w:t>inok voči fraktúram</w:t>
      </w:r>
      <w:r w:rsidRPr="00305462">
        <w:rPr>
          <w:szCs w:val="22"/>
          <w:lang w:val="sk-SK" w:eastAsia="sk-SK"/>
        </w:rPr>
        <w:t xml:space="preserve"> sa udržiaval počas</w:t>
      </w:r>
    </w:p>
    <w:p w:rsidR="006271F0" w:rsidRPr="00305462" w:rsidRDefault="00441F1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>trvania štúdie. V priebehu času sa nepozoroval žiaden náznak nižšieho účinku.</w:t>
      </w:r>
    </w:p>
    <w:p w:rsidR="00167DAD" w:rsidRPr="00305462" w:rsidRDefault="00167DAD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6271F0" w:rsidRPr="00305462" w:rsidRDefault="00D434E6" w:rsidP="0027334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lastRenderedPageBreak/>
        <w:t xml:space="preserve">Tiež sa významne znížil výskyt klinických </w:t>
      </w:r>
      <w:proofErr w:type="spellStart"/>
      <w:r w:rsidRPr="00305462">
        <w:rPr>
          <w:szCs w:val="22"/>
          <w:lang w:val="sk-SK" w:eastAsia="sk-SK"/>
        </w:rPr>
        <w:t>vertebrálnych</w:t>
      </w:r>
      <w:proofErr w:type="spellEnd"/>
      <w:r w:rsidRPr="00305462">
        <w:rPr>
          <w:szCs w:val="22"/>
          <w:lang w:val="sk-SK" w:eastAsia="sk-SK"/>
        </w:rPr>
        <w:t xml:space="preserve"> fraktúr o 49 % po 3 rokoch (p = 0,011).</w:t>
      </w:r>
      <w:r w:rsidR="006600D7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Silný vplyv na </w:t>
      </w:r>
      <w:proofErr w:type="spellStart"/>
      <w:r w:rsidRPr="00305462">
        <w:rPr>
          <w:szCs w:val="22"/>
          <w:lang w:val="sk-SK" w:eastAsia="sk-SK"/>
        </w:rPr>
        <w:t>vertebrálne</w:t>
      </w:r>
      <w:proofErr w:type="spellEnd"/>
      <w:r w:rsidRPr="00305462">
        <w:rPr>
          <w:szCs w:val="22"/>
          <w:lang w:val="sk-SK" w:eastAsia="sk-SK"/>
        </w:rPr>
        <w:t xml:space="preserve"> fraktúry tiež odrážala štatisticky významná redukcia straty telesnej výšky</w:t>
      </w:r>
      <w:r w:rsidR="006600D7" w:rsidRPr="00305462">
        <w:rPr>
          <w:szCs w:val="22"/>
          <w:lang w:val="sk-SK" w:eastAsia="sk-SK"/>
        </w:rPr>
        <w:t xml:space="preserve"> v porovnaní s </w:t>
      </w:r>
      <w:proofErr w:type="spellStart"/>
      <w:r w:rsidR="006600D7" w:rsidRPr="00305462">
        <w:rPr>
          <w:szCs w:val="22"/>
          <w:lang w:val="sk-SK" w:eastAsia="sk-SK"/>
        </w:rPr>
        <w:t>placebom</w:t>
      </w:r>
      <w:proofErr w:type="spellEnd"/>
      <w:r w:rsidR="006600D7" w:rsidRPr="00305462">
        <w:rPr>
          <w:szCs w:val="22"/>
          <w:lang w:val="sk-SK" w:eastAsia="sk-SK"/>
        </w:rPr>
        <w:t xml:space="preserve"> (p &lt; </w:t>
      </w:r>
      <w:r w:rsidRPr="00305462">
        <w:rPr>
          <w:szCs w:val="22"/>
          <w:lang w:val="sk-SK" w:eastAsia="sk-SK"/>
        </w:rPr>
        <w:t>0,0001).</w:t>
      </w:r>
    </w:p>
    <w:p w:rsidR="006271F0" w:rsidRPr="00305462" w:rsidRDefault="006271F0" w:rsidP="006271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273341" w:rsidRPr="00305462" w:rsidRDefault="00273341" w:rsidP="006271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273341" w:rsidRPr="00305462" w:rsidRDefault="00273341" w:rsidP="006271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273341" w:rsidRPr="00305462" w:rsidRDefault="00273341" w:rsidP="006271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6271F0" w:rsidRPr="00305462" w:rsidRDefault="006271F0" w:rsidP="006271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pt-PT"/>
        </w:rPr>
        <w:t>Tab</w:t>
      </w:r>
      <w:r w:rsidR="00A4315F" w:rsidRPr="00305462">
        <w:rPr>
          <w:szCs w:val="22"/>
          <w:lang w:val="sk-SK" w:eastAsia="pt-PT"/>
        </w:rPr>
        <w:t>uľka</w:t>
      </w:r>
      <w:r w:rsidRPr="00305462">
        <w:rPr>
          <w:szCs w:val="22"/>
          <w:lang w:val="sk-SK" w:eastAsia="pt-PT"/>
        </w:rPr>
        <w:t xml:space="preserve"> 3: </w:t>
      </w:r>
      <w:r w:rsidR="00A4315F" w:rsidRPr="00305462">
        <w:rPr>
          <w:szCs w:val="22"/>
          <w:lang w:val="sk-SK" w:eastAsia="sk-SK"/>
        </w:rPr>
        <w:t>Výsledky trojročnej štúdie MF 4411 (%, 95 % IS) zameranej na fraktúry</w:t>
      </w:r>
    </w:p>
    <w:p w:rsidR="00273341" w:rsidRPr="00305462" w:rsidRDefault="00273341" w:rsidP="006271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tbl>
      <w:tblPr>
        <w:tblW w:w="900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614"/>
        <w:gridCol w:w="2551"/>
        <w:gridCol w:w="2835"/>
      </w:tblGrid>
      <w:tr w:rsidR="006271F0" w:rsidRPr="00DA6E9D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pt-PT"/>
              </w:rPr>
            </w:pPr>
          </w:p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pt-PT"/>
              </w:rPr>
              <w:t>Placebo</w:t>
            </w:r>
            <w:proofErr w:type="spellEnd"/>
          </w:p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(N=974)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E53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 2</w:t>
            </w:r>
            <w:r w:rsidR="00A4315F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5 mg</w:t>
            </w:r>
            <w:r w:rsidR="00A4315F" w:rsidRPr="00305462">
              <w:rPr>
                <w:szCs w:val="22"/>
                <w:lang w:val="sk-SK" w:eastAsia="pt-PT"/>
              </w:rPr>
              <w:t xml:space="preserve"> kyseliny </w:t>
            </w:r>
            <w:proofErr w:type="spellStart"/>
            <w:r w:rsidR="00A4315F" w:rsidRPr="00305462">
              <w:rPr>
                <w:szCs w:val="22"/>
                <w:lang w:val="sk-SK" w:eastAsia="pt-PT"/>
              </w:rPr>
              <w:t>ibandrónovej</w:t>
            </w:r>
            <w:proofErr w:type="spellEnd"/>
            <w:r w:rsidRPr="00305462">
              <w:rPr>
                <w:szCs w:val="22"/>
                <w:lang w:val="sk-SK" w:eastAsia="pt-PT"/>
              </w:rPr>
              <w:t xml:space="preserve"> d</w:t>
            </w:r>
            <w:r w:rsidR="00A4315F" w:rsidRPr="00305462">
              <w:rPr>
                <w:szCs w:val="22"/>
                <w:lang w:val="sk-SK" w:eastAsia="pt-PT"/>
              </w:rPr>
              <w:t>enne</w:t>
            </w:r>
            <w:r w:rsidRPr="00305462">
              <w:rPr>
                <w:szCs w:val="22"/>
                <w:lang w:val="sk-SK" w:eastAsia="pt-PT"/>
              </w:rPr>
              <w:t xml:space="preserve"> </w:t>
            </w:r>
          </w:p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(N=977)</w:t>
            </w:r>
          </w:p>
        </w:tc>
      </w:tr>
      <w:tr w:rsidR="006271F0" w:rsidRPr="00305462" w:rsidTr="006271F0">
        <w:trPr>
          <w:trHeight w:val="396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15F" w:rsidRPr="00305462" w:rsidRDefault="00A4315F" w:rsidP="00A4315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 xml:space="preserve">Zníženie relatívneho rizika výskytu nových </w:t>
            </w:r>
            <w:proofErr w:type="spellStart"/>
            <w:r w:rsidRPr="00305462">
              <w:rPr>
                <w:szCs w:val="22"/>
                <w:lang w:val="sk-SK" w:eastAsia="sk-SK"/>
              </w:rPr>
              <w:t>morfometrických</w:t>
            </w:r>
            <w:proofErr w:type="spellEnd"/>
          </w:p>
          <w:p w:rsidR="006271F0" w:rsidRPr="00305462" w:rsidRDefault="00A4315F" w:rsidP="00A4315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sk-SK"/>
              </w:rPr>
              <w:t>vertebrálnych</w:t>
            </w:r>
            <w:proofErr w:type="spellEnd"/>
            <w:r w:rsidRPr="00305462">
              <w:rPr>
                <w:szCs w:val="22"/>
                <w:lang w:val="sk-SK" w:eastAsia="sk-SK"/>
              </w:rPr>
              <w:t xml:space="preserve"> fraktúr</w:t>
            </w:r>
            <w:r w:rsidR="006271F0" w:rsidRPr="00305462">
              <w:rPr>
                <w:szCs w:val="22"/>
                <w:lang w:val="sk-SK" w:eastAsia="pt-PT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62</w:t>
            </w:r>
            <w:r w:rsidR="00A4315F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 (40</w:t>
            </w:r>
            <w:r w:rsidR="00A4315F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9</w:t>
            </w:r>
            <w:r w:rsidR="00A4315F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75</w:t>
            </w:r>
            <w:r w:rsidR="00A4315F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1)</w:t>
            </w:r>
          </w:p>
        </w:tc>
      </w:tr>
      <w:tr w:rsidR="006271F0" w:rsidRPr="00305462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A4315F" w:rsidP="00A4315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 xml:space="preserve">Výskyt nových </w:t>
            </w:r>
            <w:proofErr w:type="spellStart"/>
            <w:r w:rsidRPr="00305462">
              <w:rPr>
                <w:szCs w:val="22"/>
                <w:lang w:val="sk-SK" w:eastAsia="sk-SK"/>
              </w:rPr>
              <w:t>morfometrických</w:t>
            </w:r>
            <w:proofErr w:type="spellEnd"/>
            <w:r w:rsidRPr="00305462">
              <w:rPr>
                <w:szCs w:val="22"/>
                <w:lang w:val="sk-SK" w:eastAsia="sk-SK"/>
              </w:rPr>
              <w:t xml:space="preserve"> </w:t>
            </w:r>
            <w:proofErr w:type="spellStart"/>
            <w:r w:rsidRPr="00305462">
              <w:rPr>
                <w:szCs w:val="22"/>
                <w:lang w:val="sk-SK" w:eastAsia="sk-SK"/>
              </w:rPr>
              <w:t>vertebrálnych</w:t>
            </w:r>
            <w:proofErr w:type="spellEnd"/>
            <w:r w:rsidRPr="00305462">
              <w:rPr>
                <w:szCs w:val="22"/>
                <w:lang w:val="sk-SK" w:eastAsia="sk-SK"/>
              </w:rPr>
              <w:t xml:space="preserve"> fraktúr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9</w:t>
            </w:r>
            <w:r w:rsidR="00A4315F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56</w:t>
            </w:r>
            <w:r w:rsidR="00A4315F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 (7</w:t>
            </w:r>
            <w:r w:rsidR="00A4315F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5</w:t>
            </w:r>
            <w:r w:rsidR="00A4315F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11</w:t>
            </w:r>
            <w:r w:rsidR="00A4315F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7)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75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4</w:t>
            </w:r>
            <w:r w:rsidR="00E92FDA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68</w:t>
            </w:r>
            <w:r w:rsidR="00E92FDA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 (3</w:t>
            </w:r>
            <w:r w:rsidR="00E92FDA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2</w:t>
            </w:r>
            <w:r w:rsidR="00E92FDA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6</w:t>
            </w:r>
            <w:r w:rsidR="00E92FDA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2)</w:t>
            </w:r>
          </w:p>
        </w:tc>
      </w:tr>
      <w:tr w:rsidR="006271F0" w:rsidRPr="00305462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32B" w:rsidRPr="00305462" w:rsidRDefault="00C3432B" w:rsidP="00C343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Zníženie relatívneho rizika klinickej</w:t>
            </w:r>
          </w:p>
          <w:p w:rsidR="006271F0" w:rsidRPr="00305462" w:rsidRDefault="00C3432B" w:rsidP="00C343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sk-SK"/>
              </w:rPr>
              <w:t>vertebrálnej</w:t>
            </w:r>
            <w:proofErr w:type="spellEnd"/>
            <w:r w:rsidRPr="00305462">
              <w:rPr>
                <w:szCs w:val="22"/>
                <w:lang w:val="sk-SK" w:eastAsia="sk-SK"/>
              </w:rPr>
              <w:t xml:space="preserve"> fraktúry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49</w:t>
            </w:r>
            <w:r w:rsidR="00C3432B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</w:t>
            </w:r>
          </w:p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(14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03</w:t>
            </w:r>
            <w:r w:rsidR="00C3432B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69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49)</w:t>
            </w:r>
          </w:p>
        </w:tc>
      </w:tr>
      <w:tr w:rsidR="006271F0" w:rsidRPr="00305462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32B" w:rsidRPr="00305462" w:rsidRDefault="00C3432B" w:rsidP="00C343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 xml:space="preserve">Výskyt klinickej </w:t>
            </w:r>
            <w:proofErr w:type="spellStart"/>
            <w:r w:rsidRPr="00305462">
              <w:rPr>
                <w:szCs w:val="22"/>
                <w:lang w:val="sk-SK" w:eastAsia="sk-SK"/>
              </w:rPr>
              <w:t>vertebrálnej</w:t>
            </w:r>
            <w:proofErr w:type="spellEnd"/>
          </w:p>
          <w:p w:rsidR="006271F0" w:rsidRPr="00305462" w:rsidRDefault="00C3432B" w:rsidP="00C343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>fraktúry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5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33</w:t>
            </w:r>
            <w:r w:rsidR="00C3432B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 (3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73</w:t>
            </w:r>
            <w:r w:rsidR="00C3432B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6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92)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32B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2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75</w:t>
            </w:r>
            <w:r w:rsidR="00C3432B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 xml:space="preserve">% </w:t>
            </w:r>
          </w:p>
          <w:p w:rsidR="006271F0" w:rsidRPr="00305462" w:rsidRDefault="006271F0" w:rsidP="00C343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(1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61</w:t>
            </w:r>
            <w:r w:rsidR="00C3432B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3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89)</w:t>
            </w:r>
          </w:p>
        </w:tc>
      </w:tr>
      <w:tr w:rsidR="006271F0" w:rsidRPr="00305462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32B" w:rsidRPr="00305462" w:rsidRDefault="00C3432B" w:rsidP="00C343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BMD – priemerná zmena vzhľadom</w:t>
            </w:r>
          </w:p>
          <w:p w:rsidR="00C3432B" w:rsidRPr="00305462" w:rsidRDefault="00C3432B" w:rsidP="00C343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na východiskový stav driekovej</w:t>
            </w:r>
          </w:p>
          <w:p w:rsidR="006271F0" w:rsidRPr="00305462" w:rsidRDefault="00C3432B" w:rsidP="00C343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>chrbtice v 3. roku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1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26</w:t>
            </w:r>
            <w:r w:rsidR="00C3432B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 (0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8</w:t>
            </w:r>
            <w:r w:rsidR="00C3432B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1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7)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6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54</w:t>
            </w:r>
            <w:r w:rsidR="00C3432B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 (6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1</w:t>
            </w:r>
            <w:r w:rsidR="00C3432B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7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0)</w:t>
            </w:r>
          </w:p>
        </w:tc>
      </w:tr>
      <w:tr w:rsidR="006271F0" w:rsidRPr="00305462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32B" w:rsidRPr="00305462" w:rsidRDefault="00C3432B" w:rsidP="00C343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BMD – priemerná zmena vzhľadom</w:t>
            </w:r>
          </w:p>
          <w:p w:rsidR="00C3432B" w:rsidRPr="00305462" w:rsidRDefault="00C3432B" w:rsidP="00C343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na východiskový stav bedrovej</w:t>
            </w:r>
          </w:p>
          <w:p w:rsidR="006271F0" w:rsidRPr="00305462" w:rsidRDefault="00C3432B" w:rsidP="00C343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>oblasti v 3. roku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-0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69</w:t>
            </w:r>
            <w:r w:rsidR="00C3432B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</w:t>
            </w:r>
          </w:p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(-1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0</w:t>
            </w:r>
            <w:r w:rsidR="00C3432B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-0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4)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3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36</w:t>
            </w:r>
            <w:r w:rsidR="00C3432B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</w:t>
            </w:r>
          </w:p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(3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0</w:t>
            </w:r>
            <w:r w:rsidR="00C3432B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3</w:t>
            </w:r>
            <w:r w:rsidR="00C3432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7)</w:t>
            </w:r>
          </w:p>
        </w:tc>
      </w:tr>
    </w:tbl>
    <w:p w:rsidR="006271F0" w:rsidRPr="00305462" w:rsidRDefault="006271F0" w:rsidP="006271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6E5E53" w:rsidRPr="00305462" w:rsidRDefault="006E5E53" w:rsidP="008A09F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Účinok liečby kyselinou </w:t>
      </w:r>
      <w:proofErr w:type="spellStart"/>
      <w:r w:rsidRPr="00305462">
        <w:rPr>
          <w:szCs w:val="22"/>
          <w:lang w:val="sk-SK" w:eastAsia="sk-SK"/>
        </w:rPr>
        <w:t>ibandrónovou</w:t>
      </w:r>
      <w:proofErr w:type="spellEnd"/>
      <w:r w:rsidRPr="00305462">
        <w:rPr>
          <w:szCs w:val="22"/>
          <w:lang w:val="sk-SK" w:eastAsia="sk-SK"/>
        </w:rPr>
        <w:t xml:space="preserve"> bol ďalej stanovený na základe analýzy podskupiny pacientok,</w:t>
      </w:r>
    </w:p>
    <w:p w:rsidR="006271F0" w:rsidRPr="00305462" w:rsidRDefault="006E5E53" w:rsidP="008A09F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ktoré mali vo východiskovom bode </w:t>
      </w:r>
      <w:proofErr w:type="spellStart"/>
      <w:r w:rsidRPr="00305462">
        <w:rPr>
          <w:szCs w:val="22"/>
          <w:lang w:val="sk-SK" w:eastAsia="sk-SK"/>
        </w:rPr>
        <w:t>T-skóre</w:t>
      </w:r>
      <w:proofErr w:type="spellEnd"/>
      <w:r w:rsidRPr="00305462">
        <w:rPr>
          <w:szCs w:val="22"/>
          <w:lang w:val="sk-SK" w:eastAsia="sk-SK"/>
        </w:rPr>
        <w:t xml:space="preserve"> BMD driekovej chrbtice nižšie ako –2,5</w:t>
      </w:r>
      <w:r w:rsidR="008A09F1" w:rsidRPr="00305462">
        <w:rPr>
          <w:szCs w:val="22"/>
          <w:lang w:val="sk-SK" w:eastAsia="sk-SK"/>
        </w:rPr>
        <w:t xml:space="preserve"> (tabuľka 4). </w:t>
      </w:r>
      <w:r w:rsidRPr="00305462">
        <w:rPr>
          <w:szCs w:val="22"/>
          <w:lang w:val="sk-SK" w:eastAsia="sk-SK"/>
        </w:rPr>
        <w:t>Zníženie rizika</w:t>
      </w:r>
      <w:r w:rsidR="008A09F1"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vertebrálnych</w:t>
      </w:r>
      <w:proofErr w:type="spellEnd"/>
      <w:r w:rsidRPr="00305462">
        <w:rPr>
          <w:szCs w:val="22"/>
          <w:lang w:val="sk-SK" w:eastAsia="sk-SK"/>
        </w:rPr>
        <w:t xml:space="preserve"> fraktúr bolo s tým v úplnej zhode a bolo pozorované v celkovej populácii.</w:t>
      </w:r>
      <w:r w:rsidR="006271F0" w:rsidRPr="00305462">
        <w:rPr>
          <w:szCs w:val="22"/>
          <w:lang w:val="sk-SK" w:eastAsia="pt-PT"/>
        </w:rPr>
        <w:t xml:space="preserve"> </w:t>
      </w:r>
    </w:p>
    <w:p w:rsidR="006271F0" w:rsidRPr="00305462" w:rsidRDefault="006271F0" w:rsidP="006271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6271F0" w:rsidRPr="00305462" w:rsidRDefault="006271F0" w:rsidP="00E75D3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pt-PT"/>
        </w:rPr>
        <w:t>Tab</w:t>
      </w:r>
      <w:r w:rsidR="006E5E53" w:rsidRPr="00305462">
        <w:rPr>
          <w:szCs w:val="22"/>
          <w:lang w:val="sk-SK" w:eastAsia="pt-PT"/>
        </w:rPr>
        <w:t>uľka</w:t>
      </w:r>
      <w:r w:rsidRPr="00305462">
        <w:rPr>
          <w:szCs w:val="22"/>
          <w:lang w:val="sk-SK" w:eastAsia="pt-PT"/>
        </w:rPr>
        <w:t xml:space="preserve"> 4: </w:t>
      </w:r>
      <w:r w:rsidR="006E5E53" w:rsidRPr="00305462">
        <w:rPr>
          <w:szCs w:val="22"/>
          <w:lang w:val="sk-SK" w:eastAsia="sk-SK"/>
        </w:rPr>
        <w:t xml:space="preserve">Výsledky trojročnej štúdie MF 4411 (%, 95 % IS) zameranej na fraktúry u pacientok, ktoré mali vo východiskovom bode </w:t>
      </w:r>
      <w:proofErr w:type="spellStart"/>
      <w:r w:rsidR="006E5E53" w:rsidRPr="00305462">
        <w:rPr>
          <w:szCs w:val="22"/>
          <w:lang w:val="sk-SK" w:eastAsia="sk-SK"/>
        </w:rPr>
        <w:t>T-skóre</w:t>
      </w:r>
      <w:proofErr w:type="spellEnd"/>
      <w:r w:rsidR="006E5E53" w:rsidRPr="00305462">
        <w:rPr>
          <w:szCs w:val="22"/>
          <w:lang w:val="sk-SK" w:eastAsia="sk-SK"/>
        </w:rPr>
        <w:t xml:space="preserve"> BMD driekovej chrbtice nižšie ako –2,5</w:t>
      </w:r>
    </w:p>
    <w:p w:rsidR="006271F0" w:rsidRPr="00305462" w:rsidRDefault="006271F0" w:rsidP="006271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tbl>
      <w:tblPr>
        <w:tblW w:w="900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614"/>
        <w:gridCol w:w="2551"/>
        <w:gridCol w:w="2835"/>
      </w:tblGrid>
      <w:tr w:rsidR="006271F0" w:rsidRPr="00DA6E9D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pt-PT"/>
              </w:rPr>
              <w:t>Placebo</w:t>
            </w:r>
            <w:proofErr w:type="spellEnd"/>
          </w:p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(N=587)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E53" w:rsidRPr="00305462" w:rsidRDefault="006E5E53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 xml:space="preserve">2,5 mg kyseliny </w:t>
            </w:r>
            <w:proofErr w:type="spellStart"/>
            <w:r w:rsidRPr="00305462">
              <w:rPr>
                <w:szCs w:val="22"/>
                <w:lang w:val="sk-SK" w:eastAsia="pt-PT"/>
              </w:rPr>
              <w:t>ibandrónovej</w:t>
            </w:r>
            <w:proofErr w:type="spellEnd"/>
            <w:r w:rsidRPr="00305462">
              <w:rPr>
                <w:szCs w:val="22"/>
                <w:lang w:val="sk-SK" w:eastAsia="pt-PT"/>
              </w:rPr>
              <w:t xml:space="preserve"> denne </w:t>
            </w:r>
          </w:p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(N=575)</w:t>
            </w:r>
          </w:p>
        </w:tc>
      </w:tr>
      <w:tr w:rsidR="006271F0" w:rsidRPr="00305462" w:rsidTr="006271F0">
        <w:trPr>
          <w:trHeight w:val="397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92E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Zníženie relatívneho rizika výskytu</w:t>
            </w:r>
          </w:p>
          <w:p w:rsidR="00FA092E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 xml:space="preserve">nových </w:t>
            </w:r>
            <w:proofErr w:type="spellStart"/>
            <w:r w:rsidRPr="00305462">
              <w:rPr>
                <w:szCs w:val="22"/>
                <w:lang w:val="sk-SK" w:eastAsia="sk-SK"/>
              </w:rPr>
              <w:t>morfometrických</w:t>
            </w:r>
            <w:proofErr w:type="spellEnd"/>
          </w:p>
          <w:p w:rsidR="006271F0" w:rsidRPr="00305462" w:rsidRDefault="00FA092E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sk-SK"/>
              </w:rPr>
              <w:t>vertebrálnych</w:t>
            </w:r>
            <w:proofErr w:type="spellEnd"/>
            <w:r w:rsidRPr="00305462">
              <w:rPr>
                <w:szCs w:val="22"/>
                <w:lang w:val="sk-SK" w:eastAsia="sk-SK"/>
              </w:rPr>
              <w:t xml:space="preserve"> fraktúr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59</w:t>
            </w:r>
            <w:r w:rsidR="00FA092E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 (34</w:t>
            </w:r>
            <w:r w:rsidR="00FA092E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5</w:t>
            </w:r>
            <w:r w:rsidR="00FA092E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74</w:t>
            </w:r>
            <w:r w:rsidR="00FA092E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3)</w:t>
            </w:r>
          </w:p>
        </w:tc>
      </w:tr>
      <w:tr w:rsidR="006271F0" w:rsidRPr="00305462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92E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 xml:space="preserve">Výskyt nových </w:t>
            </w:r>
            <w:proofErr w:type="spellStart"/>
            <w:r w:rsidRPr="00305462">
              <w:rPr>
                <w:szCs w:val="22"/>
                <w:lang w:val="sk-SK" w:eastAsia="sk-SK"/>
              </w:rPr>
              <w:t>morfometrických</w:t>
            </w:r>
            <w:proofErr w:type="spellEnd"/>
          </w:p>
          <w:p w:rsidR="006271F0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sk-SK"/>
              </w:rPr>
              <w:t>vertebrálnych</w:t>
            </w:r>
            <w:proofErr w:type="spellEnd"/>
            <w:r w:rsidRPr="00305462">
              <w:rPr>
                <w:szCs w:val="22"/>
                <w:lang w:val="sk-SK" w:eastAsia="sk-SK"/>
              </w:rPr>
              <w:t xml:space="preserve"> fraktúr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12</w:t>
            </w:r>
            <w:r w:rsidR="00FA092E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54</w:t>
            </w:r>
            <w:r w:rsidR="00FA092E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 (9</w:t>
            </w:r>
            <w:r w:rsidR="00FA092E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53</w:t>
            </w:r>
            <w:r w:rsidR="00FA092E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15</w:t>
            </w:r>
            <w:r w:rsidR="00FA092E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55)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5</w:t>
            </w:r>
            <w:r w:rsidR="00FA092E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36</w:t>
            </w:r>
            <w:r w:rsidR="00FA092E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 (3</w:t>
            </w:r>
            <w:r w:rsidR="00FA092E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31</w:t>
            </w:r>
            <w:r w:rsidR="00FA092E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7</w:t>
            </w:r>
            <w:r w:rsidR="00FA092E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41)</w:t>
            </w:r>
          </w:p>
        </w:tc>
      </w:tr>
      <w:tr w:rsidR="006271F0" w:rsidRPr="00305462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92E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Zníženie relatívneho rizika klinickej</w:t>
            </w:r>
          </w:p>
          <w:p w:rsidR="006271F0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pt-PT"/>
              </w:rPr>
            </w:pPr>
            <w:proofErr w:type="spellStart"/>
            <w:r w:rsidRPr="00305462">
              <w:rPr>
                <w:szCs w:val="22"/>
                <w:lang w:val="sk-SK" w:eastAsia="sk-SK"/>
              </w:rPr>
              <w:t>vertebrálnej</w:t>
            </w:r>
            <w:proofErr w:type="spellEnd"/>
            <w:r w:rsidRPr="00305462">
              <w:rPr>
                <w:szCs w:val="22"/>
                <w:lang w:val="sk-SK" w:eastAsia="sk-SK"/>
              </w:rPr>
              <w:t xml:space="preserve"> fraktúry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pt-PT"/>
              </w:rPr>
              <w:t>50</w:t>
            </w:r>
            <w:r w:rsidR="00FA092E" w:rsidRPr="00305462">
              <w:rPr>
                <w:szCs w:val="22"/>
                <w:lang w:val="sk-SK" w:eastAsia="pt-PT"/>
              </w:rPr>
              <w:t xml:space="preserve"> </w:t>
            </w:r>
            <w:r w:rsidRPr="00305462">
              <w:rPr>
                <w:szCs w:val="22"/>
                <w:lang w:val="sk-SK" w:eastAsia="pt-PT"/>
              </w:rPr>
              <w:t>% (9</w:t>
            </w:r>
            <w:r w:rsidR="00BB7E5B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49</w:t>
            </w:r>
            <w:r w:rsidR="00FA092E" w:rsidRPr="00305462">
              <w:rPr>
                <w:szCs w:val="22"/>
                <w:lang w:val="sk-SK" w:eastAsia="pt-PT"/>
              </w:rPr>
              <w:t>;</w:t>
            </w:r>
            <w:r w:rsidRPr="00305462">
              <w:rPr>
                <w:szCs w:val="22"/>
                <w:lang w:val="sk-SK" w:eastAsia="pt-PT"/>
              </w:rPr>
              <w:t xml:space="preserve"> 71</w:t>
            </w:r>
            <w:r w:rsidR="00FA092E" w:rsidRPr="00305462">
              <w:rPr>
                <w:szCs w:val="22"/>
                <w:lang w:val="sk-SK" w:eastAsia="pt-PT"/>
              </w:rPr>
              <w:t>,</w:t>
            </w:r>
            <w:r w:rsidRPr="00305462">
              <w:rPr>
                <w:szCs w:val="22"/>
                <w:lang w:val="sk-SK" w:eastAsia="pt-PT"/>
              </w:rPr>
              <w:t>91)</w:t>
            </w:r>
          </w:p>
        </w:tc>
      </w:tr>
      <w:tr w:rsidR="006271F0" w:rsidRPr="00305462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92E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 xml:space="preserve">Výskyt klinickej </w:t>
            </w:r>
            <w:proofErr w:type="spellStart"/>
            <w:r w:rsidRPr="00305462">
              <w:rPr>
                <w:szCs w:val="22"/>
                <w:lang w:val="sk-SK" w:eastAsia="sk-SK"/>
              </w:rPr>
              <w:t>vertebrálnej</w:t>
            </w:r>
            <w:proofErr w:type="spellEnd"/>
          </w:p>
          <w:p w:rsidR="006271F0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>fraktúry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color w:val="000000"/>
                <w:szCs w:val="22"/>
                <w:lang w:val="sk-SK" w:eastAsia="pt-PT"/>
              </w:rPr>
              <w:t>6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97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 xml:space="preserve"> </w:t>
            </w:r>
            <w:r w:rsidRPr="00305462">
              <w:rPr>
                <w:color w:val="000000"/>
                <w:szCs w:val="22"/>
                <w:lang w:val="sk-SK" w:eastAsia="pt-PT"/>
              </w:rPr>
              <w:t>% (4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67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;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 9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27)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color w:val="000000"/>
                <w:szCs w:val="22"/>
                <w:lang w:val="sk-SK" w:eastAsia="pt-PT"/>
              </w:rPr>
              <w:t>3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57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 xml:space="preserve"> </w:t>
            </w:r>
            <w:r w:rsidRPr="00305462">
              <w:rPr>
                <w:color w:val="000000"/>
                <w:szCs w:val="22"/>
                <w:lang w:val="sk-SK" w:eastAsia="pt-PT"/>
              </w:rPr>
              <w:t>% (1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89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;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 5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24) </w:t>
            </w:r>
          </w:p>
        </w:tc>
      </w:tr>
      <w:tr w:rsidR="006271F0" w:rsidRPr="00305462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92E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BMD – priemerná zmena vzhľadom</w:t>
            </w:r>
          </w:p>
          <w:p w:rsidR="00FA092E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na východiskový stav driekovej</w:t>
            </w:r>
          </w:p>
          <w:p w:rsidR="006271F0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>chrbtice v 3. roku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color w:val="000000"/>
                <w:szCs w:val="22"/>
                <w:lang w:val="sk-SK" w:eastAsia="pt-PT"/>
              </w:rPr>
              <w:t>1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13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 xml:space="preserve"> </w:t>
            </w:r>
            <w:r w:rsidRPr="00305462">
              <w:rPr>
                <w:color w:val="000000"/>
                <w:szCs w:val="22"/>
                <w:lang w:val="sk-SK" w:eastAsia="pt-PT"/>
              </w:rPr>
              <w:t>% (0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6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;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 1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7)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color w:val="000000"/>
                <w:szCs w:val="22"/>
                <w:lang w:val="sk-SK" w:eastAsia="pt-PT"/>
              </w:rPr>
              <w:t>7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01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 xml:space="preserve"> </w:t>
            </w:r>
            <w:r w:rsidRPr="00305462">
              <w:rPr>
                <w:color w:val="000000"/>
                <w:szCs w:val="22"/>
                <w:lang w:val="sk-SK" w:eastAsia="pt-PT"/>
              </w:rPr>
              <w:t>% (6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5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;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 7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6) </w:t>
            </w:r>
          </w:p>
        </w:tc>
      </w:tr>
      <w:tr w:rsidR="006271F0" w:rsidRPr="00305462" w:rsidTr="006271F0">
        <w:trPr>
          <w:trHeight w:val="27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92E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lastRenderedPageBreak/>
              <w:t>BMD – priemerná zmena vzhľadom</w:t>
            </w:r>
          </w:p>
          <w:p w:rsidR="00FA092E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sk-SK"/>
              </w:rPr>
            </w:pPr>
            <w:r w:rsidRPr="00305462">
              <w:rPr>
                <w:szCs w:val="22"/>
                <w:lang w:val="sk-SK" w:eastAsia="sk-SK"/>
              </w:rPr>
              <w:t>na východiskový stav bedrovej</w:t>
            </w:r>
          </w:p>
          <w:p w:rsidR="006271F0" w:rsidRPr="00305462" w:rsidRDefault="00FA092E" w:rsidP="00FA092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szCs w:val="22"/>
                <w:lang w:val="sk-SK" w:eastAsia="sk-SK"/>
              </w:rPr>
              <w:t>oblasti v 3. roku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color w:val="000000"/>
                <w:szCs w:val="22"/>
                <w:lang w:val="sk-SK" w:eastAsia="pt-PT"/>
              </w:rPr>
              <w:t>-0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70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 xml:space="preserve"> </w:t>
            </w:r>
            <w:r w:rsidRPr="00305462">
              <w:rPr>
                <w:color w:val="000000"/>
                <w:szCs w:val="22"/>
                <w:lang w:val="sk-SK" w:eastAsia="pt-PT"/>
              </w:rPr>
              <w:t>% (-1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1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;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 -0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2)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1F0" w:rsidRPr="00305462" w:rsidRDefault="006271F0" w:rsidP="006271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sk-SK" w:eastAsia="pt-PT"/>
              </w:rPr>
            </w:pPr>
            <w:r w:rsidRPr="00305462">
              <w:rPr>
                <w:color w:val="000000"/>
                <w:szCs w:val="22"/>
                <w:lang w:val="sk-SK" w:eastAsia="pt-PT"/>
              </w:rPr>
              <w:t>3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59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 xml:space="preserve"> </w:t>
            </w:r>
            <w:r w:rsidRPr="00305462">
              <w:rPr>
                <w:color w:val="000000"/>
                <w:szCs w:val="22"/>
                <w:lang w:val="sk-SK" w:eastAsia="pt-PT"/>
              </w:rPr>
              <w:t>% (3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>1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;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 4</w:t>
            </w:r>
            <w:r w:rsidR="00FA092E" w:rsidRPr="00305462">
              <w:rPr>
                <w:color w:val="000000"/>
                <w:szCs w:val="22"/>
                <w:lang w:val="sk-SK" w:eastAsia="pt-PT"/>
              </w:rPr>
              <w:t>,</w:t>
            </w:r>
            <w:r w:rsidRPr="00305462">
              <w:rPr>
                <w:color w:val="000000"/>
                <w:szCs w:val="22"/>
                <w:lang w:val="sk-SK" w:eastAsia="pt-PT"/>
              </w:rPr>
              <w:t xml:space="preserve">1) </w:t>
            </w:r>
          </w:p>
        </w:tc>
      </w:tr>
    </w:tbl>
    <w:p w:rsidR="006271F0" w:rsidRPr="00305462" w:rsidRDefault="006271F0" w:rsidP="006271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6271F0" w:rsidRPr="00305462" w:rsidRDefault="000F6C35" w:rsidP="00A80C4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V celej populácii pacientok v štúdii MF</w:t>
      </w:r>
      <w:r w:rsidR="006C25BA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4411sa nezaznamenalo zníženie výskytu </w:t>
      </w:r>
      <w:proofErr w:type="spellStart"/>
      <w:r w:rsidRPr="00305462">
        <w:rPr>
          <w:szCs w:val="22"/>
          <w:lang w:val="sk-SK" w:eastAsia="sk-SK"/>
        </w:rPr>
        <w:t>nevertebrálnych</w:t>
      </w:r>
      <w:proofErr w:type="spellEnd"/>
      <w:r w:rsidRPr="00305462">
        <w:rPr>
          <w:szCs w:val="22"/>
          <w:lang w:val="sk-SK" w:eastAsia="sk-SK"/>
        </w:rPr>
        <w:t xml:space="preserve"> fraktúr, avšak pri dennom podávaní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sa dokázala účinnosť u vysoko rizikovej podskupiny (s hodnotami </w:t>
      </w:r>
      <w:proofErr w:type="spellStart"/>
      <w:r w:rsidRPr="00305462">
        <w:rPr>
          <w:szCs w:val="22"/>
          <w:lang w:val="sk-SK" w:eastAsia="sk-SK"/>
        </w:rPr>
        <w:t>T-skóre</w:t>
      </w:r>
      <w:proofErr w:type="spellEnd"/>
      <w:r w:rsidRPr="00305462">
        <w:rPr>
          <w:szCs w:val="22"/>
          <w:lang w:val="sk-SK" w:eastAsia="sk-SK"/>
        </w:rPr>
        <w:t xml:space="preserve"> BMD stehenného krčku &lt; -3,0), kde sa zaznamenalo zníženie rizika </w:t>
      </w:r>
      <w:proofErr w:type="spellStart"/>
      <w:r w:rsidRPr="00305462">
        <w:rPr>
          <w:szCs w:val="22"/>
          <w:lang w:val="sk-SK" w:eastAsia="sk-SK"/>
        </w:rPr>
        <w:t>nevertebrálnych</w:t>
      </w:r>
      <w:proofErr w:type="spellEnd"/>
      <w:r w:rsidRPr="00305462">
        <w:rPr>
          <w:szCs w:val="22"/>
          <w:lang w:val="sk-SK" w:eastAsia="sk-SK"/>
        </w:rPr>
        <w:t xml:space="preserve"> fraktúr o 69 %.</w:t>
      </w:r>
    </w:p>
    <w:p w:rsidR="006271F0" w:rsidRPr="00305462" w:rsidRDefault="006271F0" w:rsidP="00A80C4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6271F0" w:rsidRPr="00305462" w:rsidRDefault="000F6C35" w:rsidP="00A80C4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Denná perorálna liečba s 2,5 mg dávkou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mala za následok progresívny nárast BMD na </w:t>
      </w:r>
      <w:proofErr w:type="spellStart"/>
      <w:r w:rsidRPr="00305462">
        <w:rPr>
          <w:szCs w:val="22"/>
          <w:lang w:val="sk-SK" w:eastAsia="sk-SK"/>
        </w:rPr>
        <w:t>vertebrálnych</w:t>
      </w:r>
      <w:proofErr w:type="spellEnd"/>
      <w:r w:rsidRPr="00305462">
        <w:rPr>
          <w:szCs w:val="22"/>
          <w:lang w:val="sk-SK" w:eastAsia="sk-SK"/>
        </w:rPr>
        <w:t xml:space="preserve"> i </w:t>
      </w:r>
      <w:proofErr w:type="spellStart"/>
      <w:r w:rsidRPr="00305462">
        <w:rPr>
          <w:szCs w:val="22"/>
          <w:lang w:val="sk-SK" w:eastAsia="sk-SK"/>
        </w:rPr>
        <w:t>nevertebrálnych</w:t>
      </w:r>
      <w:proofErr w:type="spellEnd"/>
      <w:r w:rsidRPr="00305462">
        <w:rPr>
          <w:szCs w:val="22"/>
          <w:lang w:val="sk-SK" w:eastAsia="sk-SK"/>
        </w:rPr>
        <w:t xml:space="preserve"> miestach kostry.</w:t>
      </w:r>
    </w:p>
    <w:p w:rsidR="006271F0" w:rsidRPr="00305462" w:rsidRDefault="006271F0" w:rsidP="00A80C4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6271F0" w:rsidRPr="00305462" w:rsidRDefault="00F8018F" w:rsidP="00A80C4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Nárast BMD driekovej chrbtice počas troch rokov v porovnaní s </w:t>
      </w:r>
      <w:proofErr w:type="spellStart"/>
      <w:r w:rsidRPr="00305462">
        <w:rPr>
          <w:szCs w:val="22"/>
          <w:lang w:val="sk-SK" w:eastAsia="sk-SK"/>
        </w:rPr>
        <w:t>placebom</w:t>
      </w:r>
      <w:proofErr w:type="spellEnd"/>
      <w:r w:rsidRPr="00305462">
        <w:rPr>
          <w:szCs w:val="22"/>
          <w:lang w:val="sk-SK" w:eastAsia="sk-SK"/>
        </w:rPr>
        <w:t xml:space="preserve"> bol 5,3 % a 6,5 % v porovnaní s východiskovým stavom. Nárast v bedrovej oblasti, v mieste stehnového krčku v porovnaní s východiskovým bodom bol 2,8 %, v celej bedrovej oblasti 3,4 % a 5,5 % v </w:t>
      </w:r>
      <w:proofErr w:type="spellStart"/>
      <w:r w:rsidRPr="00305462">
        <w:rPr>
          <w:szCs w:val="22"/>
          <w:lang w:val="sk-SK" w:eastAsia="sk-SK"/>
        </w:rPr>
        <w:t>trochanteri</w:t>
      </w:r>
      <w:proofErr w:type="spellEnd"/>
      <w:r w:rsidRPr="00305462">
        <w:rPr>
          <w:szCs w:val="22"/>
          <w:lang w:val="sk-SK" w:eastAsia="sk-SK"/>
        </w:rPr>
        <w:t>.</w:t>
      </w:r>
    </w:p>
    <w:p w:rsidR="006271F0" w:rsidRPr="00305462" w:rsidRDefault="006271F0" w:rsidP="00A80C4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6271F0" w:rsidRPr="00305462" w:rsidRDefault="00BC6429" w:rsidP="00A80C4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Biochemické </w:t>
      </w:r>
      <w:proofErr w:type="spellStart"/>
      <w:r w:rsidRPr="00305462">
        <w:rPr>
          <w:szCs w:val="22"/>
          <w:lang w:val="sk-SK" w:eastAsia="sk-SK"/>
        </w:rPr>
        <w:t>markery</w:t>
      </w:r>
      <w:proofErr w:type="spellEnd"/>
      <w:r w:rsidRPr="00305462">
        <w:rPr>
          <w:szCs w:val="22"/>
          <w:lang w:val="sk-SK" w:eastAsia="sk-SK"/>
        </w:rPr>
        <w:t xml:space="preserve"> kostného metabolizmu (napríklad </w:t>
      </w:r>
      <w:proofErr w:type="spellStart"/>
      <w:r w:rsidRPr="00305462">
        <w:rPr>
          <w:szCs w:val="22"/>
          <w:lang w:val="sk-SK" w:eastAsia="sk-SK"/>
        </w:rPr>
        <w:t>urinárny</w:t>
      </w:r>
      <w:proofErr w:type="spellEnd"/>
      <w:r w:rsidRPr="00305462">
        <w:rPr>
          <w:szCs w:val="22"/>
          <w:lang w:val="sk-SK" w:eastAsia="sk-SK"/>
        </w:rPr>
        <w:t xml:space="preserve"> CTX a sérový </w:t>
      </w:r>
      <w:proofErr w:type="spellStart"/>
      <w:r w:rsidRPr="00305462">
        <w:rPr>
          <w:szCs w:val="22"/>
          <w:lang w:val="sk-SK" w:eastAsia="sk-SK"/>
        </w:rPr>
        <w:t>osteokalcín</w:t>
      </w:r>
      <w:proofErr w:type="spellEnd"/>
      <w:r w:rsidRPr="00305462">
        <w:rPr>
          <w:szCs w:val="22"/>
          <w:lang w:val="sk-SK" w:eastAsia="sk-SK"/>
        </w:rPr>
        <w:t xml:space="preserve">) dokázali očakávanú </w:t>
      </w:r>
      <w:proofErr w:type="spellStart"/>
      <w:r w:rsidRPr="00305462">
        <w:rPr>
          <w:szCs w:val="22"/>
          <w:lang w:val="sk-SK" w:eastAsia="sk-SK"/>
        </w:rPr>
        <w:t>supresiu</w:t>
      </w:r>
      <w:proofErr w:type="spellEnd"/>
      <w:r w:rsidRPr="00305462">
        <w:rPr>
          <w:szCs w:val="22"/>
          <w:lang w:val="sk-SK" w:eastAsia="sk-SK"/>
        </w:rPr>
        <w:t xml:space="preserve"> až po hladiny pred </w:t>
      </w:r>
      <w:proofErr w:type="spellStart"/>
      <w:r w:rsidRPr="00305462">
        <w:rPr>
          <w:szCs w:val="22"/>
          <w:lang w:val="sk-SK" w:eastAsia="sk-SK"/>
        </w:rPr>
        <w:t>menopauzou</w:t>
      </w:r>
      <w:proofErr w:type="spellEnd"/>
      <w:r w:rsidRPr="00305462">
        <w:rPr>
          <w:szCs w:val="22"/>
          <w:lang w:val="sk-SK" w:eastAsia="sk-SK"/>
        </w:rPr>
        <w:t xml:space="preserve"> a maximálna </w:t>
      </w:r>
      <w:proofErr w:type="spellStart"/>
      <w:r w:rsidRPr="00305462">
        <w:rPr>
          <w:szCs w:val="22"/>
          <w:lang w:val="sk-SK" w:eastAsia="sk-SK"/>
        </w:rPr>
        <w:t>supresia</w:t>
      </w:r>
      <w:proofErr w:type="spellEnd"/>
      <w:r w:rsidRPr="00305462">
        <w:rPr>
          <w:szCs w:val="22"/>
          <w:lang w:val="sk-SK" w:eastAsia="sk-SK"/>
        </w:rPr>
        <w:t xml:space="preserve"> bola dosiahnutá v období 3 až 6 mesiacov pri užívaní 2,5 mg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denne.</w:t>
      </w:r>
      <w:r w:rsidR="006271F0" w:rsidRPr="00305462">
        <w:rPr>
          <w:szCs w:val="22"/>
          <w:lang w:val="sk-SK" w:eastAsia="pt-PT"/>
        </w:rPr>
        <w:t xml:space="preserve"> </w:t>
      </w:r>
    </w:p>
    <w:p w:rsidR="006271F0" w:rsidRPr="00305462" w:rsidRDefault="006271F0" w:rsidP="00A80C4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6271F0" w:rsidRPr="00305462" w:rsidRDefault="00402064" w:rsidP="00A80C4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Klinicky významná 50 %-</w:t>
      </w:r>
      <w:proofErr w:type="spellStart"/>
      <w:r w:rsidRPr="00305462">
        <w:rPr>
          <w:szCs w:val="22"/>
          <w:lang w:val="sk-SK" w:eastAsia="sk-SK"/>
        </w:rPr>
        <w:t>ná</w:t>
      </w:r>
      <w:proofErr w:type="spellEnd"/>
      <w:r w:rsidRPr="00305462">
        <w:rPr>
          <w:szCs w:val="22"/>
          <w:lang w:val="sk-SK" w:eastAsia="sk-SK"/>
        </w:rPr>
        <w:t xml:space="preserve"> redukcia biochemických </w:t>
      </w:r>
      <w:proofErr w:type="spellStart"/>
      <w:r w:rsidRPr="00305462">
        <w:rPr>
          <w:szCs w:val="22"/>
          <w:lang w:val="sk-SK" w:eastAsia="sk-SK"/>
        </w:rPr>
        <w:t>markerov</w:t>
      </w:r>
      <w:proofErr w:type="spellEnd"/>
      <w:r w:rsidRPr="00305462">
        <w:rPr>
          <w:szCs w:val="22"/>
          <w:lang w:val="sk-SK" w:eastAsia="sk-SK"/>
        </w:rPr>
        <w:t xml:space="preserve"> kostnej </w:t>
      </w:r>
      <w:proofErr w:type="spellStart"/>
      <w:r w:rsidRPr="00305462">
        <w:rPr>
          <w:szCs w:val="22"/>
          <w:lang w:val="sk-SK" w:eastAsia="sk-SK"/>
        </w:rPr>
        <w:t>re</w:t>
      </w:r>
      <w:r w:rsidR="00D16C32" w:rsidRPr="00305462">
        <w:rPr>
          <w:szCs w:val="22"/>
          <w:lang w:val="sk-SK" w:eastAsia="sk-SK"/>
        </w:rPr>
        <w:t>s</w:t>
      </w:r>
      <w:r w:rsidRPr="00305462">
        <w:rPr>
          <w:szCs w:val="22"/>
          <w:lang w:val="sk-SK" w:eastAsia="sk-SK"/>
        </w:rPr>
        <w:t>or</w:t>
      </w:r>
      <w:r w:rsidR="00D16C32" w:rsidRPr="00305462">
        <w:rPr>
          <w:szCs w:val="22"/>
          <w:lang w:val="sk-SK" w:eastAsia="sk-SK"/>
        </w:rPr>
        <w:t>p</w:t>
      </w:r>
      <w:r w:rsidRPr="00305462">
        <w:rPr>
          <w:szCs w:val="22"/>
          <w:lang w:val="sk-SK" w:eastAsia="sk-SK"/>
        </w:rPr>
        <w:t>cie</w:t>
      </w:r>
      <w:proofErr w:type="spellEnd"/>
      <w:r w:rsidRPr="00305462">
        <w:rPr>
          <w:szCs w:val="22"/>
          <w:lang w:val="sk-SK" w:eastAsia="sk-SK"/>
        </w:rPr>
        <w:t xml:space="preserve"> bola pozorovaná skoro, už jeden mesiac po začiatku liečby 2,5 mg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>.</w:t>
      </w:r>
    </w:p>
    <w:p w:rsidR="006271F0" w:rsidRPr="00305462" w:rsidRDefault="006271F0" w:rsidP="006271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F756B3" w:rsidRPr="00305462" w:rsidRDefault="00F756B3" w:rsidP="0042141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>Pediatric</w:t>
      </w:r>
      <w:r w:rsidR="00FA59D3" w:rsidRPr="00305462">
        <w:rPr>
          <w:i/>
          <w:szCs w:val="22"/>
          <w:lang w:val="sk-SK" w:eastAsia="pt-PT"/>
        </w:rPr>
        <w:t>ká populácia</w:t>
      </w:r>
      <w:r w:rsidRPr="00305462">
        <w:rPr>
          <w:i/>
          <w:szCs w:val="22"/>
          <w:lang w:val="sk-SK" w:eastAsia="pt-PT"/>
        </w:rPr>
        <w:t xml:space="preserve"> </w:t>
      </w:r>
      <w:r w:rsidR="00E34C6E" w:rsidRPr="00305462">
        <w:rPr>
          <w:i/>
          <w:szCs w:val="22"/>
          <w:lang w:val="sk-SK" w:eastAsia="pt-PT"/>
        </w:rPr>
        <w:t xml:space="preserve"> (</w:t>
      </w:r>
      <w:r w:rsidR="00FA59D3" w:rsidRPr="00305462">
        <w:rPr>
          <w:i/>
          <w:szCs w:val="22"/>
          <w:lang w:val="sk-SK" w:eastAsia="pt-PT"/>
        </w:rPr>
        <w:t>pozri časť</w:t>
      </w:r>
      <w:r w:rsidR="00E34C6E" w:rsidRPr="00305462">
        <w:rPr>
          <w:i/>
          <w:szCs w:val="22"/>
          <w:lang w:val="sk-SK" w:eastAsia="pt-PT"/>
        </w:rPr>
        <w:t xml:space="preserve"> 4.2 a </w:t>
      </w:r>
      <w:r w:rsidR="00FA59D3" w:rsidRPr="00305462">
        <w:rPr>
          <w:i/>
          <w:szCs w:val="22"/>
          <w:lang w:val="sk-SK" w:eastAsia="pt-PT"/>
        </w:rPr>
        <w:t>časť</w:t>
      </w:r>
      <w:r w:rsidR="00E34C6E" w:rsidRPr="00305462">
        <w:rPr>
          <w:i/>
          <w:szCs w:val="22"/>
          <w:lang w:val="sk-SK" w:eastAsia="pt-PT"/>
        </w:rPr>
        <w:t xml:space="preserve"> 5.2).</w:t>
      </w:r>
    </w:p>
    <w:p w:rsidR="00F756B3" w:rsidRPr="00305462" w:rsidRDefault="00FA59D3" w:rsidP="0042141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/>
        </w:rPr>
        <w:t xml:space="preserve">Kyselina </w:t>
      </w:r>
      <w:proofErr w:type="spellStart"/>
      <w:r w:rsidRPr="00305462">
        <w:rPr>
          <w:szCs w:val="22"/>
          <w:lang w:val="sk-SK"/>
        </w:rPr>
        <w:t>ibandrónová</w:t>
      </w:r>
      <w:proofErr w:type="spellEnd"/>
      <w:r w:rsidRPr="00305462">
        <w:rPr>
          <w:szCs w:val="22"/>
          <w:lang w:val="sk-SK"/>
        </w:rPr>
        <w:t xml:space="preserve"> sa neskúmala</w:t>
      </w:r>
      <w:r w:rsidR="00421410" w:rsidRPr="00305462">
        <w:rPr>
          <w:szCs w:val="22"/>
          <w:lang w:val="sk-SK"/>
        </w:rPr>
        <w:t xml:space="preserve"> </w:t>
      </w:r>
      <w:r w:rsidRPr="00305462">
        <w:rPr>
          <w:szCs w:val="22"/>
          <w:lang w:val="sk-SK" w:eastAsia="sk-SK"/>
        </w:rPr>
        <w:t>u pediatrickej populácii, preto nie sú k dispozícii žiadne údaje o účinnosti a bezpečnosti pre túto skupinu pacientov.</w:t>
      </w:r>
    </w:p>
    <w:p w:rsidR="00F756B3" w:rsidRPr="00305462" w:rsidRDefault="00F756B3" w:rsidP="00AB4B1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:rsidR="001D29E6" w:rsidRPr="00305462" w:rsidRDefault="001D29E6" w:rsidP="00AB4B1B">
      <w:pPr>
        <w:ind w:left="567" w:hanging="567"/>
        <w:jc w:val="both"/>
        <w:rPr>
          <w:b/>
          <w:szCs w:val="22"/>
          <w:lang w:val="sk-SK"/>
        </w:rPr>
      </w:pPr>
      <w:r w:rsidRPr="00305462">
        <w:rPr>
          <w:b/>
          <w:szCs w:val="22"/>
          <w:lang w:val="sk-SK"/>
        </w:rPr>
        <w:t>5.2</w:t>
      </w:r>
      <w:r w:rsidRPr="00305462">
        <w:rPr>
          <w:b/>
          <w:szCs w:val="22"/>
          <w:lang w:val="sk-SK"/>
        </w:rPr>
        <w:tab/>
      </w:r>
      <w:proofErr w:type="spellStart"/>
      <w:r w:rsidR="0076222A" w:rsidRPr="00305462">
        <w:rPr>
          <w:b/>
          <w:szCs w:val="22"/>
          <w:lang w:val="sk-SK"/>
        </w:rPr>
        <w:t>Farmakokinetické</w:t>
      </w:r>
      <w:proofErr w:type="spellEnd"/>
      <w:r w:rsidR="0076222A" w:rsidRPr="00305462">
        <w:rPr>
          <w:b/>
          <w:szCs w:val="22"/>
          <w:lang w:val="sk-SK"/>
        </w:rPr>
        <w:t xml:space="preserve"> vlastnosti</w:t>
      </w:r>
    </w:p>
    <w:p w:rsidR="00C53ACC" w:rsidRPr="00305462" w:rsidRDefault="00C53ACC" w:rsidP="00AB4B1B">
      <w:pPr>
        <w:ind w:left="567" w:hanging="567"/>
        <w:jc w:val="both"/>
        <w:rPr>
          <w:szCs w:val="22"/>
          <w:lang w:val="sk-SK"/>
        </w:rPr>
      </w:pPr>
    </w:p>
    <w:p w:rsidR="00F756B3" w:rsidRPr="00305462" w:rsidRDefault="0076222A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Primárne farmakologické účinky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na kosť nesúvisia priamo s aktuálnymi koncentráciami v plazme, ako dokázali rôzne štúdie na zvieratách a ľuďoch.</w:t>
      </w:r>
    </w:p>
    <w:p w:rsidR="00F756B3" w:rsidRPr="00305462" w:rsidRDefault="00F756B3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F756B3" w:rsidRPr="00305462" w:rsidRDefault="0076222A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pt-PT"/>
        </w:rPr>
        <w:t xml:space="preserve">Koncentrácie kyseliny </w:t>
      </w:r>
      <w:proofErr w:type="spellStart"/>
      <w:r w:rsidRPr="00305462">
        <w:rPr>
          <w:szCs w:val="22"/>
          <w:lang w:val="sk-SK" w:eastAsia="pt-PT"/>
        </w:rPr>
        <w:t>ibandrónovej</w:t>
      </w:r>
      <w:proofErr w:type="spellEnd"/>
      <w:r w:rsidRPr="00305462">
        <w:rPr>
          <w:szCs w:val="22"/>
          <w:lang w:val="sk-SK" w:eastAsia="pt-PT"/>
        </w:rPr>
        <w:t xml:space="preserve"> v plazme sa zvyšujú podľa proporčných dávok od 0,5 do 6 mg po intravenóznom podaní.</w:t>
      </w:r>
    </w:p>
    <w:p w:rsidR="00F756B3" w:rsidRPr="00305462" w:rsidRDefault="00F756B3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F756B3" w:rsidRPr="00305462" w:rsidRDefault="00F756B3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>Abs</w:t>
      </w:r>
      <w:r w:rsidR="0076222A" w:rsidRPr="00305462">
        <w:rPr>
          <w:i/>
          <w:szCs w:val="22"/>
          <w:lang w:val="sk-SK" w:eastAsia="pt-PT"/>
        </w:rPr>
        <w:t>orpcia</w:t>
      </w:r>
      <w:r w:rsidRPr="00305462">
        <w:rPr>
          <w:i/>
          <w:szCs w:val="22"/>
          <w:lang w:val="sk-SK" w:eastAsia="pt-PT"/>
        </w:rPr>
        <w:t xml:space="preserve"> </w:t>
      </w:r>
    </w:p>
    <w:p w:rsidR="00F756B3" w:rsidRPr="00305462" w:rsidRDefault="00F756B3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pt-PT"/>
        </w:rPr>
        <w:t>N</w:t>
      </w:r>
      <w:r w:rsidR="0076222A" w:rsidRPr="00305462">
        <w:rPr>
          <w:szCs w:val="22"/>
          <w:lang w:val="sk-SK" w:eastAsia="pt-PT"/>
        </w:rPr>
        <w:t>etýka sa.</w:t>
      </w:r>
    </w:p>
    <w:p w:rsidR="00F756B3" w:rsidRPr="00305462" w:rsidRDefault="00F756B3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F756B3" w:rsidRPr="00305462" w:rsidRDefault="00F756B3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>Distrib</w:t>
      </w:r>
      <w:r w:rsidR="00560439" w:rsidRPr="00305462">
        <w:rPr>
          <w:i/>
          <w:szCs w:val="22"/>
          <w:lang w:val="sk-SK" w:eastAsia="pt-PT"/>
        </w:rPr>
        <w:t>úcia</w:t>
      </w:r>
      <w:r w:rsidRPr="00305462">
        <w:rPr>
          <w:i/>
          <w:szCs w:val="22"/>
          <w:lang w:val="sk-SK" w:eastAsia="pt-PT"/>
        </w:rPr>
        <w:t xml:space="preserve"> </w:t>
      </w:r>
    </w:p>
    <w:p w:rsidR="00560439" w:rsidRPr="00305462" w:rsidRDefault="00560439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sa po počiatočnej systémovej expozícii rýchlo viaže na kosť alebo sa vylúči do</w:t>
      </w:r>
    </w:p>
    <w:p w:rsidR="00560439" w:rsidRPr="00305462" w:rsidRDefault="00560439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moču. U ľudí je zrejmý terminálny distribučný objem najmenej 90 l a množstvo dávky, ktoré sa</w:t>
      </w:r>
    </w:p>
    <w:p w:rsidR="00560439" w:rsidRPr="00305462" w:rsidRDefault="00560439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dostane do kosti, sa odhaduje na 40 až 50 % cirkulujúcej dávky. Väzba na proteíny v ľudskej plazme</w:t>
      </w:r>
    </w:p>
    <w:p w:rsidR="00F756B3" w:rsidRPr="00305462" w:rsidRDefault="00560439" w:rsidP="00C0766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je približne 85 až 87 % (stanovená </w:t>
      </w:r>
      <w:r w:rsidRPr="00305462">
        <w:rPr>
          <w:i/>
          <w:iCs/>
          <w:szCs w:val="22"/>
          <w:lang w:val="sk-SK" w:eastAsia="sk-SK"/>
        </w:rPr>
        <w:t xml:space="preserve">in </w:t>
      </w:r>
      <w:proofErr w:type="spellStart"/>
      <w:r w:rsidRPr="00305462">
        <w:rPr>
          <w:i/>
          <w:iCs/>
          <w:szCs w:val="22"/>
          <w:lang w:val="sk-SK" w:eastAsia="sk-SK"/>
        </w:rPr>
        <w:t>vitro</w:t>
      </w:r>
      <w:proofErr w:type="spellEnd"/>
      <w:r w:rsidRPr="00305462">
        <w:rPr>
          <w:i/>
          <w:iCs/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pri ter</w:t>
      </w:r>
      <w:r w:rsidR="004270F5" w:rsidRPr="00305462">
        <w:rPr>
          <w:szCs w:val="22"/>
          <w:lang w:val="sk-SK" w:eastAsia="sk-SK"/>
        </w:rPr>
        <w:t xml:space="preserve">apeutických koncentráciách kyseliny </w:t>
      </w:r>
      <w:proofErr w:type="spellStart"/>
      <w:r w:rsidR="004270F5"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>), a preto existuje</w:t>
      </w:r>
      <w:r w:rsidR="004270F5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len malý potenciál interakcie s inými liekmi v dôsledku vytesnenia.</w:t>
      </w:r>
    </w:p>
    <w:p w:rsidR="004270F5" w:rsidRPr="00305462" w:rsidRDefault="004270F5" w:rsidP="00F756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</w:p>
    <w:p w:rsidR="00F756B3" w:rsidRPr="00305462" w:rsidRDefault="00F756B3" w:rsidP="001661B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proofErr w:type="spellStart"/>
      <w:r w:rsidRPr="00305462">
        <w:rPr>
          <w:i/>
          <w:szCs w:val="22"/>
          <w:lang w:val="sk-SK" w:eastAsia="pt-PT"/>
        </w:rPr>
        <w:t>Biotransform</w:t>
      </w:r>
      <w:r w:rsidR="004270F5" w:rsidRPr="00305462">
        <w:rPr>
          <w:i/>
          <w:szCs w:val="22"/>
          <w:lang w:val="sk-SK" w:eastAsia="pt-PT"/>
        </w:rPr>
        <w:t>ácia</w:t>
      </w:r>
      <w:proofErr w:type="spellEnd"/>
      <w:r w:rsidRPr="00305462">
        <w:rPr>
          <w:i/>
          <w:szCs w:val="22"/>
          <w:lang w:val="sk-SK" w:eastAsia="pt-PT"/>
        </w:rPr>
        <w:t xml:space="preserve"> </w:t>
      </w:r>
    </w:p>
    <w:p w:rsidR="00F756B3" w:rsidRPr="00305462" w:rsidRDefault="004270F5" w:rsidP="001661B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Neexistuje žiadny dôkaz, že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sa u zvierat alebo u ľudí metabolizuje.</w:t>
      </w:r>
      <w:r w:rsidR="00F756B3" w:rsidRPr="00305462">
        <w:rPr>
          <w:szCs w:val="22"/>
          <w:lang w:val="sk-SK" w:eastAsia="pt-PT"/>
        </w:rPr>
        <w:t xml:space="preserve"> </w:t>
      </w:r>
    </w:p>
    <w:p w:rsidR="00F756B3" w:rsidRPr="00305462" w:rsidRDefault="00F756B3" w:rsidP="00F756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F756B3" w:rsidRPr="00305462" w:rsidRDefault="00F756B3" w:rsidP="00F756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>Elimin</w:t>
      </w:r>
      <w:r w:rsidR="004270F5" w:rsidRPr="00305462">
        <w:rPr>
          <w:i/>
          <w:szCs w:val="22"/>
          <w:lang w:val="sk-SK" w:eastAsia="pt-PT"/>
        </w:rPr>
        <w:t>ácia</w:t>
      </w:r>
      <w:r w:rsidRPr="00305462">
        <w:rPr>
          <w:i/>
          <w:szCs w:val="22"/>
          <w:lang w:val="sk-SK" w:eastAsia="pt-PT"/>
        </w:rPr>
        <w:t xml:space="preserve"> </w:t>
      </w:r>
    </w:p>
    <w:p w:rsidR="00F756B3" w:rsidRPr="00305462" w:rsidRDefault="00F756B3" w:rsidP="00F756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E41EB7" w:rsidRPr="00305462" w:rsidRDefault="00E41EB7" w:rsidP="00AE79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pt-PT"/>
        </w:rPr>
        <w:lastRenderedPageBreak/>
        <w:t xml:space="preserve">Kyselina </w:t>
      </w:r>
      <w:proofErr w:type="spellStart"/>
      <w:r w:rsidRPr="00305462">
        <w:rPr>
          <w:szCs w:val="22"/>
          <w:lang w:val="sk-SK" w:eastAsia="pt-PT"/>
        </w:rPr>
        <w:t>ibandrónová</w:t>
      </w:r>
      <w:proofErr w:type="spellEnd"/>
      <w:r w:rsidRPr="00305462">
        <w:rPr>
          <w:szCs w:val="22"/>
          <w:lang w:val="sk-SK" w:eastAsia="pt-PT"/>
        </w:rPr>
        <w:t xml:space="preserve"> sa vylučuje </w:t>
      </w:r>
      <w:r w:rsidR="00143212" w:rsidRPr="00305462">
        <w:rPr>
          <w:szCs w:val="22"/>
          <w:lang w:val="sk-SK" w:eastAsia="sk-SK"/>
        </w:rPr>
        <w:t>z obehu prostredníctvom kostnej absorpcie</w:t>
      </w:r>
      <w:r w:rsidRPr="00305462">
        <w:rPr>
          <w:szCs w:val="22"/>
          <w:lang w:val="sk-SK" w:eastAsia="sk-SK"/>
        </w:rPr>
        <w:t xml:space="preserve"> </w:t>
      </w:r>
      <w:r w:rsidR="00143212" w:rsidRPr="00305462">
        <w:rPr>
          <w:szCs w:val="22"/>
          <w:lang w:val="sk-SK" w:eastAsia="sk-SK"/>
        </w:rPr>
        <w:t>(odhaduje sa, že je to 40 až 50 % absor</w:t>
      </w:r>
      <w:r w:rsidR="00BB7E5B" w:rsidRPr="00305462">
        <w:rPr>
          <w:szCs w:val="22"/>
          <w:lang w:val="sk-SK" w:eastAsia="sk-SK"/>
        </w:rPr>
        <w:t>p</w:t>
      </w:r>
      <w:r w:rsidR="00143212" w:rsidRPr="00305462">
        <w:rPr>
          <w:szCs w:val="22"/>
          <w:lang w:val="sk-SK" w:eastAsia="sk-SK"/>
        </w:rPr>
        <w:t xml:space="preserve">cie u žien po </w:t>
      </w:r>
      <w:proofErr w:type="spellStart"/>
      <w:r w:rsidR="00143212" w:rsidRPr="00305462">
        <w:rPr>
          <w:szCs w:val="22"/>
          <w:lang w:val="sk-SK" w:eastAsia="sk-SK"/>
        </w:rPr>
        <w:t>menopauze</w:t>
      </w:r>
      <w:proofErr w:type="spellEnd"/>
      <w:r w:rsidR="00143212" w:rsidRPr="00305462">
        <w:rPr>
          <w:szCs w:val="22"/>
          <w:lang w:val="sk-SK" w:eastAsia="sk-SK"/>
        </w:rPr>
        <w:t>) a zvyš</w:t>
      </w:r>
      <w:r w:rsidRPr="00305462">
        <w:rPr>
          <w:szCs w:val="22"/>
          <w:lang w:val="sk-SK" w:eastAsia="sk-SK"/>
        </w:rPr>
        <w:t xml:space="preserve">ok sa eliminuje </w:t>
      </w:r>
      <w:r w:rsidR="00143212" w:rsidRPr="00305462">
        <w:rPr>
          <w:szCs w:val="22"/>
          <w:lang w:val="sk-SK" w:eastAsia="sk-SK"/>
        </w:rPr>
        <w:t xml:space="preserve">v nezmenenom stave obličkami. </w:t>
      </w:r>
      <w:r w:rsidRPr="00305462">
        <w:rPr>
          <w:szCs w:val="22"/>
          <w:lang w:val="sk-SK" w:eastAsia="sk-SK"/>
        </w:rPr>
        <w:t>Rozsah pozorovaných zrejmých polčasov je široký, zrejmý terminálny polčas sa vo všeobecnosti</w:t>
      </w:r>
    </w:p>
    <w:p w:rsidR="00E41EB7" w:rsidRPr="00305462" w:rsidRDefault="00E41EB7" w:rsidP="00AE79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pohybuje v rozsahu 10 – 72 hodín. Keďže vypočítané hodnoty sú z veľkej časti závislé od dĺžky</w:t>
      </w:r>
    </w:p>
    <w:p w:rsidR="00E41EB7" w:rsidRPr="00305462" w:rsidRDefault="00E41EB7" w:rsidP="00AE79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štúdie, použitej dávky a citlivosti testu, skutočný terminálny polčas je pravdepodobne podstatne dlhší,</w:t>
      </w:r>
    </w:p>
    <w:p w:rsidR="00E41EB7" w:rsidRPr="00305462" w:rsidRDefault="00E41EB7" w:rsidP="00AE79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rovnako ako u ostatných </w:t>
      </w:r>
      <w:proofErr w:type="spellStart"/>
      <w:r w:rsidRPr="00305462">
        <w:rPr>
          <w:szCs w:val="22"/>
          <w:lang w:val="sk-SK" w:eastAsia="sk-SK"/>
        </w:rPr>
        <w:t>bisfosfonátov</w:t>
      </w:r>
      <w:proofErr w:type="spellEnd"/>
      <w:r w:rsidRPr="00305462">
        <w:rPr>
          <w:szCs w:val="22"/>
          <w:lang w:val="sk-SK" w:eastAsia="sk-SK"/>
        </w:rPr>
        <w:t>. Skoré plazmatické hladiny rýchlo klesajú dosahujúc 10 %</w:t>
      </w:r>
    </w:p>
    <w:p w:rsidR="00F756B3" w:rsidRPr="00305462" w:rsidRDefault="00E41EB7" w:rsidP="00AE791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>maximálnych hodnôt po 3</w:t>
      </w:r>
      <w:r w:rsidR="00AE791F" w:rsidRPr="00305462">
        <w:rPr>
          <w:szCs w:val="22"/>
          <w:lang w:val="sk-SK" w:eastAsia="sk-SK"/>
        </w:rPr>
        <w:t xml:space="preserve"> hodinách po intravenóznom alebo po </w:t>
      </w:r>
      <w:r w:rsidRPr="00305462">
        <w:rPr>
          <w:szCs w:val="22"/>
          <w:lang w:val="sk-SK" w:eastAsia="sk-SK"/>
        </w:rPr>
        <w:t>8</w:t>
      </w:r>
      <w:r w:rsidR="00AE791F" w:rsidRPr="00305462">
        <w:rPr>
          <w:szCs w:val="22"/>
          <w:lang w:val="sk-SK" w:eastAsia="sk-SK"/>
        </w:rPr>
        <w:t xml:space="preserve"> hodinách po</w:t>
      </w:r>
      <w:r w:rsidRPr="00305462">
        <w:rPr>
          <w:szCs w:val="22"/>
          <w:lang w:val="sk-SK" w:eastAsia="sk-SK"/>
        </w:rPr>
        <w:t xml:space="preserve"> perorálnom podaní.</w:t>
      </w:r>
    </w:p>
    <w:p w:rsidR="00F756B3" w:rsidRPr="00305462" w:rsidRDefault="001B142D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Celkový </w:t>
      </w:r>
      <w:proofErr w:type="spellStart"/>
      <w:r w:rsidRPr="00305462">
        <w:rPr>
          <w:szCs w:val="22"/>
          <w:lang w:val="sk-SK" w:eastAsia="sk-SK"/>
        </w:rPr>
        <w:t>klírens</w:t>
      </w:r>
      <w:proofErr w:type="spellEnd"/>
      <w:r w:rsidRPr="00305462">
        <w:rPr>
          <w:szCs w:val="22"/>
          <w:lang w:val="sk-SK" w:eastAsia="sk-SK"/>
        </w:rPr>
        <w:t xml:space="preserve">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je nízky s priemernými hodnotami v rozsahu 84 až 160 ml/min. </w:t>
      </w:r>
      <w:proofErr w:type="spellStart"/>
      <w:r w:rsidRPr="00305462">
        <w:rPr>
          <w:szCs w:val="22"/>
          <w:lang w:val="sk-SK" w:eastAsia="sk-SK"/>
        </w:rPr>
        <w:t>Renálny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klírens</w:t>
      </w:r>
      <w:proofErr w:type="spellEnd"/>
      <w:r w:rsidRPr="00305462">
        <w:rPr>
          <w:szCs w:val="22"/>
          <w:lang w:val="sk-SK" w:eastAsia="sk-SK"/>
        </w:rPr>
        <w:t xml:space="preserve"> (približne 60 ml/min u zdravých žien po </w:t>
      </w:r>
      <w:proofErr w:type="spellStart"/>
      <w:r w:rsidRPr="00305462">
        <w:rPr>
          <w:szCs w:val="22"/>
          <w:lang w:val="sk-SK" w:eastAsia="sk-SK"/>
        </w:rPr>
        <w:t>menopauze</w:t>
      </w:r>
      <w:proofErr w:type="spellEnd"/>
      <w:r w:rsidRPr="00305462">
        <w:rPr>
          <w:szCs w:val="22"/>
          <w:lang w:val="sk-SK" w:eastAsia="sk-SK"/>
        </w:rPr>
        <w:t xml:space="preserve">) predstavuje 50 – 60 % celkového </w:t>
      </w:r>
      <w:proofErr w:type="spellStart"/>
      <w:r w:rsidRPr="00305462">
        <w:rPr>
          <w:szCs w:val="22"/>
          <w:lang w:val="sk-SK" w:eastAsia="sk-SK"/>
        </w:rPr>
        <w:t>klírensu</w:t>
      </w:r>
      <w:proofErr w:type="spellEnd"/>
      <w:r w:rsidRPr="00305462">
        <w:rPr>
          <w:szCs w:val="22"/>
          <w:lang w:val="sk-SK" w:eastAsia="sk-SK"/>
        </w:rPr>
        <w:t xml:space="preserve"> a súvisí s </w:t>
      </w:r>
      <w:proofErr w:type="spellStart"/>
      <w:r w:rsidRPr="00305462">
        <w:rPr>
          <w:szCs w:val="22"/>
          <w:lang w:val="sk-SK" w:eastAsia="sk-SK"/>
        </w:rPr>
        <w:t>klírensom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kreatinínu</w:t>
      </w:r>
      <w:proofErr w:type="spellEnd"/>
      <w:r w:rsidRPr="00305462">
        <w:rPr>
          <w:szCs w:val="22"/>
          <w:lang w:val="sk-SK" w:eastAsia="sk-SK"/>
        </w:rPr>
        <w:t>. Rozdiel medzi zdanlivým celkovým a </w:t>
      </w:r>
      <w:proofErr w:type="spellStart"/>
      <w:r w:rsidRPr="00305462">
        <w:rPr>
          <w:szCs w:val="22"/>
          <w:lang w:val="sk-SK" w:eastAsia="sk-SK"/>
        </w:rPr>
        <w:t>renálnym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klírensom</w:t>
      </w:r>
      <w:proofErr w:type="spellEnd"/>
      <w:r w:rsidRPr="00305462">
        <w:rPr>
          <w:szCs w:val="22"/>
          <w:lang w:val="sk-SK" w:eastAsia="sk-SK"/>
        </w:rPr>
        <w:t xml:space="preserve"> sa považuje za odraz príjmu kosťou.</w:t>
      </w:r>
    </w:p>
    <w:p w:rsidR="0000717B" w:rsidRPr="00305462" w:rsidRDefault="0000717B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E25CB1" w:rsidRPr="00305462" w:rsidRDefault="00E25CB1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Zdá sa, že sekrečná dráha eliminácie nezahŕňa známe kyslé alebo zásadité transportné systémy</w:t>
      </w:r>
    </w:p>
    <w:p w:rsidR="0000717B" w:rsidRPr="00305462" w:rsidRDefault="00E25CB1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podieľajúce sa na vylučovaní iných liečiv (pozri časť 4.5). Okrem toho</w:t>
      </w:r>
      <w:r w:rsidR="0073339D" w:rsidRPr="00305462">
        <w:rPr>
          <w:szCs w:val="22"/>
          <w:lang w:val="sk-SK" w:eastAsia="sk-SK"/>
        </w:rPr>
        <w:t xml:space="preserve"> kyselina </w:t>
      </w:r>
      <w:proofErr w:type="spellStart"/>
      <w:r w:rsidR="0073339D" w:rsidRPr="00305462">
        <w:rPr>
          <w:szCs w:val="22"/>
          <w:lang w:val="sk-SK" w:eastAsia="sk-SK"/>
        </w:rPr>
        <w:t>ibandrónová</w:t>
      </w:r>
      <w:proofErr w:type="spellEnd"/>
      <w:r w:rsidR="0073339D" w:rsidRPr="00305462">
        <w:rPr>
          <w:szCs w:val="22"/>
          <w:lang w:val="sk-SK" w:eastAsia="sk-SK"/>
        </w:rPr>
        <w:t xml:space="preserve"> neblokuje</w:t>
      </w:r>
      <w:r w:rsidRPr="00305462">
        <w:rPr>
          <w:szCs w:val="22"/>
          <w:lang w:val="sk-SK" w:eastAsia="sk-SK"/>
        </w:rPr>
        <w:t xml:space="preserve"> hlavné </w:t>
      </w:r>
      <w:proofErr w:type="spellStart"/>
      <w:r w:rsidRPr="00305462">
        <w:rPr>
          <w:szCs w:val="22"/>
          <w:lang w:val="sk-SK" w:eastAsia="sk-SK"/>
        </w:rPr>
        <w:t>izoenzýmy</w:t>
      </w:r>
      <w:proofErr w:type="spellEnd"/>
      <w:r w:rsidRPr="00305462">
        <w:rPr>
          <w:szCs w:val="22"/>
          <w:lang w:val="sk-SK" w:eastAsia="sk-SK"/>
        </w:rPr>
        <w:t xml:space="preserve"> pečeňového </w:t>
      </w:r>
      <w:proofErr w:type="spellStart"/>
      <w:r w:rsidRPr="00305462">
        <w:rPr>
          <w:szCs w:val="22"/>
          <w:lang w:val="sk-SK" w:eastAsia="sk-SK"/>
        </w:rPr>
        <w:t>cytochrómového</w:t>
      </w:r>
      <w:proofErr w:type="spellEnd"/>
      <w:r w:rsidRPr="00305462">
        <w:rPr>
          <w:szCs w:val="22"/>
          <w:lang w:val="sk-SK" w:eastAsia="sk-SK"/>
        </w:rPr>
        <w:t xml:space="preserve"> systému P450 u ľudí a</w:t>
      </w:r>
      <w:r w:rsidR="0073339D" w:rsidRPr="00305462">
        <w:rPr>
          <w:szCs w:val="22"/>
          <w:lang w:val="sk-SK" w:eastAsia="sk-SK"/>
        </w:rPr>
        <w:t> </w:t>
      </w:r>
      <w:r w:rsidRPr="00305462">
        <w:rPr>
          <w:szCs w:val="22"/>
          <w:lang w:val="sk-SK" w:eastAsia="sk-SK"/>
        </w:rPr>
        <w:t>n</w:t>
      </w:r>
      <w:r w:rsidR="0073339D" w:rsidRPr="00305462">
        <w:rPr>
          <w:szCs w:val="22"/>
          <w:lang w:val="sk-SK" w:eastAsia="sk-SK"/>
        </w:rPr>
        <w:t xml:space="preserve">eindikuje </w:t>
      </w:r>
      <w:r w:rsidRPr="00305462">
        <w:rPr>
          <w:szCs w:val="22"/>
          <w:lang w:val="sk-SK" w:eastAsia="sk-SK"/>
        </w:rPr>
        <w:t xml:space="preserve">pečeňový </w:t>
      </w:r>
      <w:proofErr w:type="spellStart"/>
      <w:r w:rsidRPr="00305462">
        <w:rPr>
          <w:szCs w:val="22"/>
          <w:lang w:val="sk-SK" w:eastAsia="sk-SK"/>
        </w:rPr>
        <w:t>cytochrómový</w:t>
      </w:r>
      <w:proofErr w:type="spellEnd"/>
      <w:r w:rsidRPr="00305462">
        <w:rPr>
          <w:szCs w:val="22"/>
          <w:lang w:val="sk-SK" w:eastAsia="sk-SK"/>
        </w:rPr>
        <w:t xml:space="preserve"> systém P450 u potkanov.</w:t>
      </w:r>
    </w:p>
    <w:p w:rsidR="0000717B" w:rsidRPr="00305462" w:rsidRDefault="0000717B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F756B3" w:rsidRPr="00305462" w:rsidRDefault="00D1278E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 w:eastAsia="pt-PT"/>
        </w:rPr>
      </w:pPr>
      <w:proofErr w:type="spellStart"/>
      <w:r w:rsidRPr="00305462">
        <w:rPr>
          <w:szCs w:val="22"/>
          <w:u w:val="single"/>
          <w:lang w:val="sk-SK" w:eastAsia="pt-PT"/>
        </w:rPr>
        <w:t>Farmakokinetika</w:t>
      </w:r>
      <w:proofErr w:type="spellEnd"/>
      <w:r w:rsidRPr="00305462">
        <w:rPr>
          <w:szCs w:val="22"/>
          <w:u w:val="single"/>
          <w:lang w:val="sk-SK" w:eastAsia="pt-PT"/>
        </w:rPr>
        <w:t xml:space="preserve"> v osobitných klinických situáciách</w:t>
      </w:r>
      <w:r w:rsidR="00F756B3" w:rsidRPr="00305462">
        <w:rPr>
          <w:szCs w:val="22"/>
          <w:u w:val="single"/>
          <w:lang w:val="sk-SK" w:eastAsia="pt-PT"/>
        </w:rPr>
        <w:t xml:space="preserve"> </w:t>
      </w:r>
    </w:p>
    <w:p w:rsidR="00F756B3" w:rsidRPr="00305462" w:rsidRDefault="00F756B3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 w:eastAsia="pt-PT"/>
        </w:rPr>
      </w:pPr>
    </w:p>
    <w:p w:rsidR="00F756B3" w:rsidRPr="00305462" w:rsidRDefault="00D1278E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>Pohlavie</w:t>
      </w:r>
      <w:r w:rsidR="00F756B3" w:rsidRPr="00305462">
        <w:rPr>
          <w:i/>
          <w:szCs w:val="22"/>
          <w:lang w:val="sk-SK" w:eastAsia="pt-PT"/>
        </w:rPr>
        <w:t xml:space="preserve"> </w:t>
      </w:r>
    </w:p>
    <w:p w:rsidR="00F756B3" w:rsidRPr="00305462" w:rsidRDefault="00D1278E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proofErr w:type="spellStart"/>
      <w:r w:rsidRPr="00305462">
        <w:rPr>
          <w:szCs w:val="22"/>
          <w:lang w:val="sk-SK" w:eastAsia="sk-SK"/>
        </w:rPr>
        <w:t>Farmakokinetika</w:t>
      </w:r>
      <w:proofErr w:type="spellEnd"/>
      <w:r w:rsidRPr="00305462">
        <w:rPr>
          <w:szCs w:val="22"/>
          <w:lang w:val="sk-SK" w:eastAsia="sk-SK"/>
        </w:rPr>
        <w:t xml:space="preserve">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je u mužov a žien podobná.</w:t>
      </w:r>
      <w:r w:rsidRPr="00305462" w:rsidDel="00D1278E">
        <w:rPr>
          <w:szCs w:val="22"/>
          <w:lang w:val="sk-SK" w:eastAsia="pt-PT"/>
        </w:rPr>
        <w:t xml:space="preserve"> </w:t>
      </w:r>
    </w:p>
    <w:p w:rsidR="00D1278E" w:rsidRPr="00305462" w:rsidRDefault="00D1278E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</w:p>
    <w:p w:rsidR="00F756B3" w:rsidRPr="00305462" w:rsidRDefault="00F756B3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>Ra</w:t>
      </w:r>
      <w:r w:rsidR="00D1278E" w:rsidRPr="00305462">
        <w:rPr>
          <w:i/>
          <w:szCs w:val="22"/>
          <w:lang w:val="sk-SK" w:eastAsia="pt-PT"/>
        </w:rPr>
        <w:t>sa</w:t>
      </w:r>
      <w:r w:rsidRPr="00305462">
        <w:rPr>
          <w:i/>
          <w:szCs w:val="22"/>
          <w:lang w:val="sk-SK" w:eastAsia="pt-PT"/>
        </w:rPr>
        <w:t xml:space="preserve"> </w:t>
      </w:r>
    </w:p>
    <w:p w:rsidR="00F756B3" w:rsidRPr="00305462" w:rsidRDefault="00D1278E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>Neexistuje žiadny dôkaz klinicky významných etnických rozdielov medzi aziatmi a</w:t>
      </w:r>
      <w:r w:rsidR="00384372" w:rsidRPr="00305462">
        <w:rPr>
          <w:szCs w:val="22"/>
          <w:lang w:val="sk-SK" w:eastAsia="sk-SK"/>
        </w:rPr>
        <w:t> </w:t>
      </w:r>
      <w:r w:rsidRPr="00305462">
        <w:rPr>
          <w:szCs w:val="22"/>
          <w:lang w:val="sk-SK" w:eastAsia="sk-SK"/>
        </w:rPr>
        <w:t>belochmi</w:t>
      </w:r>
      <w:r w:rsidR="00384372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o vylučovaní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>. Je dostupných len veľmi málo údajov o pacientoch s</w:t>
      </w:r>
      <w:r w:rsidR="00384372" w:rsidRPr="00305462">
        <w:rPr>
          <w:szCs w:val="22"/>
          <w:lang w:val="sk-SK" w:eastAsia="sk-SK"/>
        </w:rPr>
        <w:t> </w:t>
      </w:r>
      <w:r w:rsidRPr="00305462">
        <w:rPr>
          <w:szCs w:val="22"/>
          <w:lang w:val="sk-SK" w:eastAsia="sk-SK"/>
        </w:rPr>
        <w:t>africkým</w:t>
      </w:r>
      <w:r w:rsidR="00384372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pôvodom.</w:t>
      </w:r>
      <w:r w:rsidR="00F756B3" w:rsidRPr="00305462">
        <w:rPr>
          <w:szCs w:val="22"/>
          <w:lang w:val="sk-SK" w:eastAsia="pt-PT"/>
        </w:rPr>
        <w:t xml:space="preserve"> </w:t>
      </w:r>
    </w:p>
    <w:p w:rsidR="00F756B3" w:rsidRPr="00305462" w:rsidRDefault="00F756B3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F756B3" w:rsidRPr="00305462" w:rsidRDefault="00F756B3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>Pa</w:t>
      </w:r>
      <w:r w:rsidR="00B52A90" w:rsidRPr="00305462">
        <w:rPr>
          <w:i/>
          <w:szCs w:val="22"/>
          <w:lang w:val="sk-SK" w:eastAsia="pt-PT"/>
        </w:rPr>
        <w:t>cient</w:t>
      </w:r>
      <w:r w:rsidR="00845CC7" w:rsidRPr="00305462">
        <w:rPr>
          <w:i/>
          <w:szCs w:val="22"/>
          <w:lang w:val="sk-SK" w:eastAsia="pt-PT"/>
        </w:rPr>
        <w:t>ky</w:t>
      </w:r>
      <w:r w:rsidR="00B52A90" w:rsidRPr="00305462">
        <w:rPr>
          <w:i/>
          <w:szCs w:val="22"/>
          <w:lang w:val="sk-SK" w:eastAsia="pt-PT"/>
        </w:rPr>
        <w:t xml:space="preserve"> s poruchou funkcie obličiek</w:t>
      </w:r>
      <w:r w:rsidRPr="00305462">
        <w:rPr>
          <w:i/>
          <w:szCs w:val="22"/>
          <w:lang w:val="sk-SK" w:eastAsia="pt-PT"/>
        </w:rPr>
        <w:t xml:space="preserve"> </w:t>
      </w:r>
    </w:p>
    <w:p w:rsidR="00F756B3" w:rsidRPr="00305462" w:rsidRDefault="00B52A90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proofErr w:type="spellStart"/>
      <w:r w:rsidRPr="00305462">
        <w:rPr>
          <w:szCs w:val="22"/>
          <w:lang w:val="sk-SK" w:eastAsia="sk-SK"/>
        </w:rPr>
        <w:t>Renálny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klírens</w:t>
      </w:r>
      <w:proofErr w:type="spellEnd"/>
      <w:r w:rsidRPr="00305462">
        <w:rPr>
          <w:szCs w:val="22"/>
          <w:lang w:val="sk-SK" w:eastAsia="sk-SK"/>
        </w:rPr>
        <w:t xml:space="preserve">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u</w:t>
      </w:r>
      <w:r w:rsidR="00384372" w:rsidRPr="00305462">
        <w:rPr>
          <w:szCs w:val="22"/>
          <w:lang w:val="sk-SK" w:eastAsia="sk-SK"/>
        </w:rPr>
        <w:t> </w:t>
      </w:r>
      <w:r w:rsidRPr="00305462">
        <w:rPr>
          <w:szCs w:val="22"/>
          <w:lang w:val="sk-SK" w:eastAsia="sk-SK"/>
        </w:rPr>
        <w:t>paciento</w:t>
      </w:r>
      <w:r w:rsidR="00845CC7" w:rsidRPr="00305462">
        <w:rPr>
          <w:szCs w:val="22"/>
          <w:lang w:val="sk-SK" w:eastAsia="sk-SK"/>
        </w:rPr>
        <w:t>k</w:t>
      </w:r>
      <w:r w:rsidRPr="00305462">
        <w:rPr>
          <w:szCs w:val="22"/>
          <w:lang w:val="sk-SK" w:eastAsia="sk-SK"/>
        </w:rPr>
        <w:t xml:space="preserve"> s rôznymi stupňami </w:t>
      </w:r>
      <w:proofErr w:type="spellStart"/>
      <w:r w:rsidRPr="00305462">
        <w:rPr>
          <w:szCs w:val="22"/>
          <w:lang w:val="sk-SK" w:eastAsia="sk-SK"/>
        </w:rPr>
        <w:t>renálnej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insuficiencie</w:t>
      </w:r>
      <w:proofErr w:type="spellEnd"/>
      <w:r w:rsidRPr="00305462">
        <w:rPr>
          <w:szCs w:val="22"/>
          <w:lang w:val="sk-SK" w:eastAsia="sk-SK"/>
        </w:rPr>
        <w:t xml:space="preserve"> je lineárne úmerný </w:t>
      </w:r>
      <w:proofErr w:type="spellStart"/>
      <w:r w:rsidRPr="00305462">
        <w:rPr>
          <w:szCs w:val="22"/>
          <w:lang w:val="sk-SK" w:eastAsia="sk-SK"/>
        </w:rPr>
        <w:t>klírensu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kreatinínu</w:t>
      </w:r>
      <w:proofErr w:type="spellEnd"/>
      <w:r w:rsidRPr="00305462">
        <w:rPr>
          <w:szCs w:val="22"/>
          <w:lang w:val="sk-SK" w:eastAsia="sk-SK"/>
        </w:rPr>
        <w:t xml:space="preserve"> (</w:t>
      </w:r>
      <w:proofErr w:type="spellStart"/>
      <w:r w:rsidRPr="00305462">
        <w:rPr>
          <w:szCs w:val="22"/>
          <w:lang w:val="sk-SK" w:eastAsia="sk-SK"/>
        </w:rPr>
        <w:t>CLcr</w:t>
      </w:r>
      <w:proofErr w:type="spellEnd"/>
      <w:r w:rsidRPr="00305462">
        <w:rPr>
          <w:szCs w:val="22"/>
          <w:lang w:val="sk-SK" w:eastAsia="sk-SK"/>
        </w:rPr>
        <w:t>).</w:t>
      </w:r>
      <w:r w:rsidR="00F756B3" w:rsidRPr="00305462">
        <w:rPr>
          <w:szCs w:val="22"/>
          <w:lang w:val="sk-SK" w:eastAsia="pt-PT"/>
        </w:rPr>
        <w:t xml:space="preserve"> </w:t>
      </w:r>
    </w:p>
    <w:p w:rsidR="00F756B3" w:rsidRPr="00305462" w:rsidRDefault="00F756B3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F756B3" w:rsidRPr="00305462" w:rsidRDefault="00B52A90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U</w:t>
      </w:r>
      <w:r w:rsidR="00384372" w:rsidRPr="00305462">
        <w:rPr>
          <w:szCs w:val="22"/>
          <w:lang w:val="sk-SK" w:eastAsia="sk-SK"/>
        </w:rPr>
        <w:t> </w:t>
      </w:r>
      <w:r w:rsidRPr="00305462">
        <w:rPr>
          <w:szCs w:val="22"/>
          <w:lang w:val="sk-SK" w:eastAsia="sk-SK"/>
        </w:rPr>
        <w:t>paciento</w:t>
      </w:r>
      <w:r w:rsidR="00845CC7" w:rsidRPr="00305462">
        <w:rPr>
          <w:szCs w:val="22"/>
          <w:lang w:val="sk-SK" w:eastAsia="sk-SK"/>
        </w:rPr>
        <w:t>k</w:t>
      </w:r>
      <w:r w:rsidRPr="00305462">
        <w:rPr>
          <w:szCs w:val="22"/>
          <w:lang w:val="sk-SK" w:eastAsia="sk-SK"/>
        </w:rPr>
        <w:t xml:space="preserve"> s miern</w:t>
      </w:r>
      <w:r w:rsidR="00845CC7" w:rsidRPr="00305462">
        <w:rPr>
          <w:szCs w:val="22"/>
          <w:lang w:val="sk-SK" w:eastAsia="sk-SK"/>
        </w:rPr>
        <w:t>ou</w:t>
      </w:r>
      <w:r w:rsidRPr="00305462">
        <w:rPr>
          <w:szCs w:val="22"/>
          <w:lang w:val="sk-SK" w:eastAsia="sk-SK"/>
        </w:rPr>
        <w:t xml:space="preserve"> alebo stredne závažnou poruchou funkcie obličiek (</w:t>
      </w:r>
      <w:proofErr w:type="spellStart"/>
      <w:r w:rsidRPr="00305462">
        <w:rPr>
          <w:szCs w:val="22"/>
          <w:lang w:val="sk-SK" w:eastAsia="sk-SK"/>
        </w:rPr>
        <w:t>CLcr</w:t>
      </w:r>
      <w:proofErr w:type="spellEnd"/>
      <w:r w:rsidRPr="00305462">
        <w:rPr>
          <w:szCs w:val="22"/>
          <w:lang w:val="sk-SK" w:eastAsia="sk-SK"/>
        </w:rPr>
        <w:t xml:space="preserve"> rovný alebo vyšší ako 30 ml/min) nie je potrebné upraviť dávku.</w:t>
      </w:r>
    </w:p>
    <w:p w:rsidR="00F756B3" w:rsidRPr="00305462" w:rsidRDefault="00F756B3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7C3D4E" w:rsidRPr="00305462" w:rsidRDefault="007C3D4E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Pacientky s ťažkou poruchou funkcie obličiek (</w:t>
      </w:r>
      <w:proofErr w:type="spellStart"/>
      <w:r w:rsidRPr="00305462">
        <w:rPr>
          <w:szCs w:val="22"/>
          <w:lang w:val="sk-SK" w:eastAsia="sk-SK"/>
        </w:rPr>
        <w:t>CLcr</w:t>
      </w:r>
      <w:proofErr w:type="spellEnd"/>
      <w:r w:rsidRPr="00305462">
        <w:rPr>
          <w:szCs w:val="22"/>
          <w:lang w:val="sk-SK" w:eastAsia="sk-SK"/>
        </w:rPr>
        <w:t xml:space="preserve"> menší ako 30 ml/min), ktoré denne dostávali perorálnu dávku 10 mg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počas 21 dní, mali 2 až 3-krát vyššie plazmatické koncentrácie ako pacientky s normálnou </w:t>
      </w:r>
      <w:proofErr w:type="spellStart"/>
      <w:r w:rsidRPr="00305462">
        <w:rPr>
          <w:szCs w:val="22"/>
          <w:lang w:val="sk-SK" w:eastAsia="sk-SK"/>
        </w:rPr>
        <w:t>renálnou</w:t>
      </w:r>
      <w:proofErr w:type="spellEnd"/>
      <w:r w:rsidRPr="00305462">
        <w:rPr>
          <w:szCs w:val="22"/>
          <w:lang w:val="sk-SK" w:eastAsia="sk-SK"/>
        </w:rPr>
        <w:t xml:space="preserve"> funkciou a celkový </w:t>
      </w:r>
      <w:proofErr w:type="spellStart"/>
      <w:r w:rsidRPr="00305462">
        <w:rPr>
          <w:szCs w:val="22"/>
          <w:lang w:val="sk-SK" w:eastAsia="sk-SK"/>
        </w:rPr>
        <w:t>klírens</w:t>
      </w:r>
      <w:proofErr w:type="spellEnd"/>
      <w:r w:rsidRPr="00305462">
        <w:rPr>
          <w:szCs w:val="22"/>
          <w:lang w:val="sk-SK" w:eastAsia="sk-SK"/>
        </w:rPr>
        <w:t xml:space="preserve">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u nich bol 44 ml/min. Po intravenóznom podaní 0,5 mg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pacientkám</w:t>
      </w:r>
      <w:proofErr w:type="spellEnd"/>
      <w:r w:rsidRPr="00305462">
        <w:rPr>
          <w:szCs w:val="22"/>
          <w:lang w:val="sk-SK" w:eastAsia="sk-SK"/>
        </w:rPr>
        <w:t xml:space="preserve"> s ťažkým stupňom </w:t>
      </w:r>
      <w:proofErr w:type="spellStart"/>
      <w:r w:rsidRPr="00305462">
        <w:rPr>
          <w:szCs w:val="22"/>
          <w:lang w:val="sk-SK" w:eastAsia="sk-SK"/>
        </w:rPr>
        <w:t>renálnej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insuficiencie</w:t>
      </w:r>
      <w:proofErr w:type="spellEnd"/>
      <w:r w:rsidRPr="00305462">
        <w:rPr>
          <w:szCs w:val="22"/>
          <w:lang w:val="sk-SK" w:eastAsia="sk-SK"/>
        </w:rPr>
        <w:t xml:space="preserve"> poklesol celkový </w:t>
      </w:r>
      <w:proofErr w:type="spellStart"/>
      <w:r w:rsidRPr="00305462">
        <w:rPr>
          <w:szCs w:val="22"/>
          <w:lang w:val="sk-SK" w:eastAsia="sk-SK"/>
        </w:rPr>
        <w:t>klírens</w:t>
      </w:r>
      <w:proofErr w:type="spellEnd"/>
      <w:r w:rsidRPr="00305462">
        <w:rPr>
          <w:szCs w:val="22"/>
          <w:lang w:val="sk-SK" w:eastAsia="sk-SK"/>
        </w:rPr>
        <w:t xml:space="preserve"> o 67 %, </w:t>
      </w:r>
      <w:proofErr w:type="spellStart"/>
      <w:r w:rsidRPr="00305462">
        <w:rPr>
          <w:szCs w:val="22"/>
          <w:lang w:val="sk-SK" w:eastAsia="sk-SK"/>
        </w:rPr>
        <w:t>renálny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klírens</w:t>
      </w:r>
      <w:proofErr w:type="spellEnd"/>
      <w:r w:rsidRPr="00305462">
        <w:rPr>
          <w:szCs w:val="22"/>
          <w:lang w:val="sk-SK" w:eastAsia="sk-SK"/>
        </w:rPr>
        <w:t xml:space="preserve"> o 77 % a </w:t>
      </w:r>
      <w:proofErr w:type="spellStart"/>
      <w:r w:rsidRPr="00305462">
        <w:rPr>
          <w:szCs w:val="22"/>
          <w:lang w:val="sk-SK" w:eastAsia="sk-SK"/>
        </w:rPr>
        <w:t>nerenálny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klírens</w:t>
      </w:r>
      <w:proofErr w:type="spellEnd"/>
      <w:r w:rsidRPr="00305462">
        <w:rPr>
          <w:szCs w:val="22"/>
          <w:lang w:val="sk-SK" w:eastAsia="sk-SK"/>
        </w:rPr>
        <w:t xml:space="preserve"> o 50 %. Avšak nepozorovalo sa žiadne zníženie znášanlivosti spojené so zvýšením expozície.</w:t>
      </w:r>
    </w:p>
    <w:p w:rsidR="00F756B3" w:rsidRPr="00305462" w:rsidRDefault="007C3D4E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Vzhľadom na obmedzen</w:t>
      </w:r>
      <w:r w:rsidR="009533A8" w:rsidRPr="00305462">
        <w:rPr>
          <w:szCs w:val="22"/>
          <w:lang w:val="sk-SK" w:eastAsia="sk-SK"/>
        </w:rPr>
        <w:t xml:space="preserve">é klinické skúsenosti sa kyselina </w:t>
      </w:r>
      <w:proofErr w:type="spellStart"/>
      <w:r w:rsidR="009533A8"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neodporúč</w:t>
      </w:r>
      <w:r w:rsidR="00845CC7" w:rsidRPr="00305462">
        <w:rPr>
          <w:szCs w:val="22"/>
          <w:lang w:val="sk-SK" w:eastAsia="sk-SK"/>
        </w:rPr>
        <w:t xml:space="preserve">a </w:t>
      </w:r>
      <w:proofErr w:type="spellStart"/>
      <w:r w:rsidR="00845CC7" w:rsidRPr="00305462">
        <w:rPr>
          <w:szCs w:val="22"/>
          <w:lang w:val="sk-SK" w:eastAsia="sk-SK"/>
        </w:rPr>
        <w:t>pacientkám</w:t>
      </w:r>
      <w:proofErr w:type="spellEnd"/>
      <w:r w:rsidRPr="00305462">
        <w:rPr>
          <w:szCs w:val="22"/>
          <w:lang w:val="sk-SK" w:eastAsia="sk-SK"/>
        </w:rPr>
        <w:t xml:space="preserve"> s ťažkou </w:t>
      </w:r>
      <w:proofErr w:type="spellStart"/>
      <w:r w:rsidRPr="00305462">
        <w:rPr>
          <w:szCs w:val="22"/>
          <w:lang w:val="sk-SK" w:eastAsia="sk-SK"/>
        </w:rPr>
        <w:t>renálnou</w:t>
      </w:r>
      <w:proofErr w:type="spellEnd"/>
      <w:r w:rsidR="009533A8"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insuficienciou</w:t>
      </w:r>
      <w:proofErr w:type="spellEnd"/>
      <w:r w:rsidRPr="00305462">
        <w:rPr>
          <w:szCs w:val="22"/>
          <w:lang w:val="sk-SK" w:eastAsia="sk-SK"/>
        </w:rPr>
        <w:t xml:space="preserve"> (pozri časť 4.2 a časť 4.4). </w:t>
      </w:r>
      <w:proofErr w:type="spellStart"/>
      <w:r w:rsidRPr="00305462">
        <w:rPr>
          <w:szCs w:val="22"/>
          <w:lang w:val="sk-SK" w:eastAsia="sk-SK"/>
        </w:rPr>
        <w:t>Farmakokinetika</w:t>
      </w:r>
      <w:proofErr w:type="spellEnd"/>
      <w:r w:rsidRPr="00305462">
        <w:rPr>
          <w:szCs w:val="22"/>
          <w:lang w:val="sk-SK" w:eastAsia="sk-SK"/>
        </w:rPr>
        <w:t xml:space="preserve">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u</w:t>
      </w:r>
      <w:r w:rsidR="009533A8" w:rsidRPr="00305462">
        <w:rPr>
          <w:szCs w:val="22"/>
          <w:lang w:val="sk-SK" w:eastAsia="sk-SK"/>
        </w:rPr>
        <w:t> </w:t>
      </w:r>
      <w:proofErr w:type="spellStart"/>
      <w:r w:rsidRPr="00305462">
        <w:rPr>
          <w:szCs w:val="22"/>
          <w:lang w:val="sk-SK" w:eastAsia="sk-SK"/>
        </w:rPr>
        <w:t>pacient</w:t>
      </w:r>
      <w:r w:rsidR="009533A8" w:rsidRPr="00305462">
        <w:rPr>
          <w:szCs w:val="22"/>
          <w:lang w:val="sk-SK" w:eastAsia="sk-SK"/>
        </w:rPr>
        <w:t>iek</w:t>
      </w:r>
      <w:proofErr w:type="spellEnd"/>
      <w:r w:rsidR="009533A8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s </w:t>
      </w:r>
      <w:proofErr w:type="spellStart"/>
      <w:r w:rsidRPr="00305462">
        <w:rPr>
          <w:szCs w:val="22"/>
          <w:lang w:val="sk-SK" w:eastAsia="sk-SK"/>
        </w:rPr>
        <w:t>renálnym</w:t>
      </w:r>
      <w:proofErr w:type="spellEnd"/>
      <w:r w:rsidRPr="00305462">
        <w:rPr>
          <w:szCs w:val="22"/>
          <w:lang w:val="sk-SK" w:eastAsia="sk-SK"/>
        </w:rPr>
        <w:t xml:space="preserve"> ochorením v konečnej fáze bola stanovená len u malého poč</w:t>
      </w:r>
      <w:r w:rsidR="009533A8" w:rsidRPr="00305462">
        <w:rPr>
          <w:szCs w:val="22"/>
          <w:lang w:val="sk-SK" w:eastAsia="sk-SK"/>
        </w:rPr>
        <w:t xml:space="preserve">tu </w:t>
      </w:r>
      <w:proofErr w:type="spellStart"/>
      <w:r w:rsidR="009533A8" w:rsidRPr="00305462">
        <w:rPr>
          <w:szCs w:val="22"/>
          <w:lang w:val="sk-SK" w:eastAsia="sk-SK"/>
        </w:rPr>
        <w:t>pacientiek</w:t>
      </w:r>
      <w:proofErr w:type="spellEnd"/>
      <w:r w:rsidRPr="00305462">
        <w:rPr>
          <w:szCs w:val="22"/>
          <w:lang w:val="sk-SK" w:eastAsia="sk-SK"/>
        </w:rPr>
        <w:t xml:space="preserve"> kontrolovaných</w:t>
      </w:r>
      <w:r w:rsidR="009533A8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hemodialýzou, a z tohto dôvodu </w:t>
      </w:r>
      <w:proofErr w:type="spellStart"/>
      <w:r w:rsidRPr="00305462">
        <w:rPr>
          <w:szCs w:val="22"/>
          <w:lang w:val="sk-SK" w:eastAsia="sk-SK"/>
        </w:rPr>
        <w:t>farmakokinetika</w:t>
      </w:r>
      <w:proofErr w:type="spellEnd"/>
      <w:r w:rsidRPr="00305462">
        <w:rPr>
          <w:szCs w:val="22"/>
          <w:lang w:val="sk-SK" w:eastAsia="sk-SK"/>
        </w:rPr>
        <w:t xml:space="preserve"> k</w:t>
      </w:r>
      <w:r w:rsidR="009533A8" w:rsidRPr="00305462">
        <w:rPr>
          <w:szCs w:val="22"/>
          <w:lang w:val="sk-SK" w:eastAsia="sk-SK"/>
        </w:rPr>
        <w:t xml:space="preserve">yseliny </w:t>
      </w:r>
      <w:proofErr w:type="spellStart"/>
      <w:r w:rsidR="009533A8" w:rsidRPr="00305462">
        <w:rPr>
          <w:szCs w:val="22"/>
          <w:lang w:val="sk-SK" w:eastAsia="sk-SK"/>
        </w:rPr>
        <w:t>ibandrónovej</w:t>
      </w:r>
      <w:proofErr w:type="spellEnd"/>
      <w:r w:rsidR="009533A8" w:rsidRPr="00305462">
        <w:rPr>
          <w:szCs w:val="22"/>
          <w:lang w:val="sk-SK" w:eastAsia="sk-SK"/>
        </w:rPr>
        <w:t xml:space="preserve"> u </w:t>
      </w:r>
      <w:proofErr w:type="spellStart"/>
      <w:r w:rsidR="009533A8" w:rsidRPr="00305462">
        <w:rPr>
          <w:szCs w:val="22"/>
          <w:lang w:val="sk-SK" w:eastAsia="sk-SK"/>
        </w:rPr>
        <w:t>pacientiek</w:t>
      </w:r>
      <w:proofErr w:type="spellEnd"/>
      <w:r w:rsidR="009533A8" w:rsidRPr="00305462">
        <w:rPr>
          <w:szCs w:val="22"/>
          <w:lang w:val="sk-SK" w:eastAsia="sk-SK"/>
        </w:rPr>
        <w:t xml:space="preserve">, ktoré </w:t>
      </w:r>
      <w:r w:rsidRPr="00305462">
        <w:rPr>
          <w:szCs w:val="22"/>
          <w:lang w:val="sk-SK" w:eastAsia="sk-SK"/>
        </w:rPr>
        <w:t>nepodstupujú hemodialýzu, nie je známa. Vzhľadom k tomu, že k dispozícii sú len obmedzené údaje,</w:t>
      </w:r>
      <w:r w:rsidR="009533A8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sa nemá používať u všetkých pacientok s </w:t>
      </w:r>
      <w:proofErr w:type="spellStart"/>
      <w:r w:rsidRPr="00305462">
        <w:rPr>
          <w:szCs w:val="22"/>
          <w:lang w:val="sk-SK" w:eastAsia="sk-SK"/>
        </w:rPr>
        <w:t>renálnym</w:t>
      </w:r>
      <w:proofErr w:type="spellEnd"/>
      <w:r w:rsidRPr="00305462">
        <w:rPr>
          <w:szCs w:val="22"/>
          <w:lang w:val="sk-SK" w:eastAsia="sk-SK"/>
        </w:rPr>
        <w:t xml:space="preserve"> ochorením v</w:t>
      </w:r>
      <w:r w:rsidR="009533A8" w:rsidRPr="00305462">
        <w:rPr>
          <w:szCs w:val="22"/>
          <w:lang w:val="sk-SK" w:eastAsia="sk-SK"/>
        </w:rPr>
        <w:t> </w:t>
      </w:r>
      <w:r w:rsidRPr="00305462">
        <w:rPr>
          <w:szCs w:val="22"/>
          <w:lang w:val="sk-SK" w:eastAsia="sk-SK"/>
        </w:rPr>
        <w:t>terminálnej</w:t>
      </w:r>
      <w:r w:rsidR="009533A8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fáze.</w:t>
      </w:r>
    </w:p>
    <w:p w:rsidR="00F756B3" w:rsidRPr="00305462" w:rsidRDefault="00F756B3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F756B3" w:rsidRPr="00305462" w:rsidRDefault="00F756B3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proofErr w:type="spellStart"/>
      <w:r w:rsidRPr="00305462">
        <w:rPr>
          <w:i/>
          <w:szCs w:val="22"/>
          <w:lang w:val="sk-SK" w:eastAsia="pt-PT"/>
        </w:rPr>
        <w:t>Patient</w:t>
      </w:r>
      <w:r w:rsidR="009533A8" w:rsidRPr="00305462">
        <w:rPr>
          <w:i/>
          <w:szCs w:val="22"/>
          <w:lang w:val="sk-SK" w:eastAsia="pt-PT"/>
        </w:rPr>
        <w:t>ky</w:t>
      </w:r>
      <w:proofErr w:type="spellEnd"/>
      <w:r w:rsidR="009533A8" w:rsidRPr="00305462">
        <w:rPr>
          <w:i/>
          <w:szCs w:val="22"/>
          <w:lang w:val="sk-SK" w:eastAsia="pt-PT"/>
        </w:rPr>
        <w:t xml:space="preserve"> s poruchou funkcie pečene </w:t>
      </w:r>
      <w:r w:rsidR="00FD563B" w:rsidRPr="00305462">
        <w:rPr>
          <w:i/>
          <w:szCs w:val="22"/>
          <w:lang w:val="sk-SK" w:eastAsia="pt-PT"/>
        </w:rPr>
        <w:t>(</w:t>
      </w:r>
      <w:r w:rsidR="00150F83" w:rsidRPr="00305462">
        <w:rPr>
          <w:i/>
          <w:szCs w:val="22"/>
          <w:lang w:val="sk-SK" w:eastAsia="pt-PT"/>
        </w:rPr>
        <w:t>pozri časť</w:t>
      </w:r>
      <w:r w:rsidR="00FD563B" w:rsidRPr="00305462">
        <w:rPr>
          <w:i/>
          <w:szCs w:val="22"/>
          <w:lang w:val="sk-SK" w:eastAsia="pt-PT"/>
        </w:rPr>
        <w:t xml:space="preserve"> 4.2)</w:t>
      </w:r>
      <w:r w:rsidRPr="00305462">
        <w:rPr>
          <w:i/>
          <w:szCs w:val="22"/>
          <w:lang w:val="sk-SK" w:eastAsia="pt-PT"/>
        </w:rPr>
        <w:t xml:space="preserve"> </w:t>
      </w:r>
    </w:p>
    <w:p w:rsidR="00F756B3" w:rsidRPr="00305462" w:rsidRDefault="009533A8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Nie sú známe žiadne </w:t>
      </w:r>
      <w:proofErr w:type="spellStart"/>
      <w:r w:rsidRPr="00305462">
        <w:rPr>
          <w:szCs w:val="22"/>
          <w:lang w:val="sk-SK" w:eastAsia="sk-SK"/>
        </w:rPr>
        <w:t>farmakokinetické</w:t>
      </w:r>
      <w:proofErr w:type="spellEnd"/>
      <w:r w:rsidRPr="00305462">
        <w:rPr>
          <w:szCs w:val="22"/>
          <w:lang w:val="sk-SK" w:eastAsia="sk-SK"/>
        </w:rPr>
        <w:t xml:space="preserve"> údaje o kyseline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u pacientok s </w:t>
      </w:r>
      <w:proofErr w:type="spellStart"/>
      <w:r w:rsidRPr="00305462">
        <w:rPr>
          <w:szCs w:val="22"/>
          <w:lang w:val="sk-SK" w:eastAsia="sk-SK"/>
        </w:rPr>
        <w:t>hepatálnou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insuficienciou</w:t>
      </w:r>
      <w:proofErr w:type="spellEnd"/>
      <w:r w:rsidRPr="00305462">
        <w:rPr>
          <w:szCs w:val="22"/>
          <w:lang w:val="sk-SK" w:eastAsia="sk-SK"/>
        </w:rPr>
        <w:t xml:space="preserve">. Pečeň nehrá žiadnu významnú úlohu pri </w:t>
      </w:r>
      <w:proofErr w:type="spellStart"/>
      <w:r w:rsidRPr="00305462">
        <w:rPr>
          <w:szCs w:val="22"/>
          <w:lang w:val="sk-SK" w:eastAsia="sk-SK"/>
        </w:rPr>
        <w:t>klírense</w:t>
      </w:r>
      <w:proofErr w:type="spellEnd"/>
      <w:r w:rsidRPr="00305462">
        <w:rPr>
          <w:szCs w:val="22"/>
          <w:lang w:val="sk-SK" w:eastAsia="sk-SK"/>
        </w:rPr>
        <w:t xml:space="preserve">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, ktorá nie je metabolizovaná, ale je uvoľnená </w:t>
      </w:r>
      <w:proofErr w:type="spellStart"/>
      <w:r w:rsidRPr="00305462">
        <w:rPr>
          <w:szCs w:val="22"/>
          <w:lang w:val="sk-SK" w:eastAsia="sk-SK"/>
        </w:rPr>
        <w:t>renálnou</w:t>
      </w:r>
      <w:proofErr w:type="spellEnd"/>
      <w:r w:rsidRPr="00305462">
        <w:rPr>
          <w:szCs w:val="22"/>
          <w:lang w:val="sk-SK" w:eastAsia="sk-SK"/>
        </w:rPr>
        <w:t xml:space="preserve"> exkréciou a absorbovaná kosťami. Preto u pacientok s </w:t>
      </w:r>
      <w:proofErr w:type="spellStart"/>
      <w:r w:rsidRPr="00305462">
        <w:rPr>
          <w:szCs w:val="22"/>
          <w:lang w:val="sk-SK" w:eastAsia="sk-SK"/>
        </w:rPr>
        <w:t>hepatálnou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insuficienciou</w:t>
      </w:r>
      <w:proofErr w:type="spellEnd"/>
      <w:r w:rsidRPr="00305462">
        <w:rPr>
          <w:szCs w:val="22"/>
          <w:lang w:val="sk-SK" w:eastAsia="sk-SK"/>
        </w:rPr>
        <w:t xml:space="preserve"> nie je potrebné upraviť dávku.</w:t>
      </w:r>
    </w:p>
    <w:p w:rsidR="0067755A" w:rsidRPr="00305462" w:rsidRDefault="0067755A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F756B3" w:rsidRPr="00305462" w:rsidRDefault="0011581C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>Staršie pacientky</w:t>
      </w:r>
      <w:r w:rsidR="00F756B3" w:rsidRPr="00305462">
        <w:rPr>
          <w:i/>
          <w:szCs w:val="22"/>
          <w:lang w:val="sk-SK" w:eastAsia="pt-PT"/>
        </w:rPr>
        <w:t xml:space="preserve"> </w:t>
      </w:r>
      <w:r w:rsidR="00FD563B" w:rsidRPr="00305462">
        <w:rPr>
          <w:i/>
          <w:szCs w:val="22"/>
          <w:lang w:val="sk-SK" w:eastAsia="pt-PT"/>
        </w:rPr>
        <w:t>(</w:t>
      </w:r>
      <w:r w:rsidR="00150F83" w:rsidRPr="00305462">
        <w:rPr>
          <w:i/>
          <w:szCs w:val="22"/>
          <w:lang w:val="sk-SK" w:eastAsia="pt-PT"/>
        </w:rPr>
        <w:t>pozri časť</w:t>
      </w:r>
      <w:r w:rsidR="00FD563B" w:rsidRPr="00305462">
        <w:rPr>
          <w:i/>
          <w:szCs w:val="22"/>
          <w:lang w:val="sk-SK" w:eastAsia="pt-PT"/>
        </w:rPr>
        <w:t xml:space="preserve"> 4.2)</w:t>
      </w:r>
    </w:p>
    <w:p w:rsidR="00F756B3" w:rsidRPr="00305462" w:rsidRDefault="0011581C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Na základe viacnásobnej analýzy sa nezistilo, že by akýkoľvek zo študovaných </w:t>
      </w:r>
      <w:proofErr w:type="spellStart"/>
      <w:r w:rsidRPr="00305462">
        <w:rPr>
          <w:szCs w:val="22"/>
          <w:lang w:val="sk-SK" w:eastAsia="sk-SK"/>
        </w:rPr>
        <w:t>farmakokinetických</w:t>
      </w:r>
      <w:proofErr w:type="spellEnd"/>
      <w:r w:rsidR="00150F83"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paramentrov</w:t>
      </w:r>
      <w:proofErr w:type="spellEnd"/>
      <w:r w:rsidRPr="00305462">
        <w:rPr>
          <w:szCs w:val="22"/>
          <w:lang w:val="sk-SK" w:eastAsia="sk-SK"/>
        </w:rPr>
        <w:t xml:space="preserve"> bol závislý od veku. Keďže funkcia obličiek sa vekom zhoršuje, je to jediný faktor, ktorý</w:t>
      </w:r>
      <w:r w:rsidR="00150F83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treba brať do úvahy (pozri časť Po</w:t>
      </w:r>
      <w:r w:rsidR="00150F83" w:rsidRPr="00305462">
        <w:rPr>
          <w:szCs w:val="22"/>
          <w:lang w:val="sk-SK" w:eastAsia="sk-SK"/>
        </w:rPr>
        <w:t xml:space="preserve">rucha </w:t>
      </w:r>
      <w:r w:rsidRPr="00305462">
        <w:rPr>
          <w:szCs w:val="22"/>
          <w:lang w:val="sk-SK" w:eastAsia="sk-SK"/>
        </w:rPr>
        <w:t>funkcie obličiek).</w:t>
      </w:r>
      <w:r w:rsidR="00F756B3" w:rsidRPr="00305462">
        <w:rPr>
          <w:szCs w:val="22"/>
          <w:lang w:val="sk-SK" w:eastAsia="pt-PT"/>
        </w:rPr>
        <w:t xml:space="preserve"> </w:t>
      </w:r>
    </w:p>
    <w:p w:rsidR="0067755A" w:rsidRPr="00305462" w:rsidRDefault="0067755A" w:rsidP="005570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557043" w:rsidRPr="00305462" w:rsidRDefault="00557043" w:rsidP="00F756B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</w:p>
    <w:p w:rsidR="00F756B3" w:rsidRPr="00305462" w:rsidRDefault="00F756B3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>P</w:t>
      </w:r>
      <w:r w:rsidR="006A4038" w:rsidRPr="00305462">
        <w:rPr>
          <w:i/>
          <w:szCs w:val="22"/>
          <w:lang w:val="sk-SK" w:eastAsia="pt-PT"/>
        </w:rPr>
        <w:t>ediatrická populácia</w:t>
      </w:r>
      <w:r w:rsidRPr="00305462">
        <w:rPr>
          <w:i/>
          <w:szCs w:val="22"/>
          <w:lang w:val="sk-SK" w:eastAsia="pt-PT"/>
        </w:rPr>
        <w:t xml:space="preserve"> </w:t>
      </w:r>
      <w:r w:rsidR="00FD563B" w:rsidRPr="00305462">
        <w:rPr>
          <w:i/>
          <w:szCs w:val="22"/>
          <w:lang w:val="sk-SK" w:eastAsia="pt-PT"/>
        </w:rPr>
        <w:t>(</w:t>
      </w:r>
      <w:r w:rsidR="006A4038" w:rsidRPr="00305462">
        <w:rPr>
          <w:i/>
          <w:szCs w:val="22"/>
          <w:lang w:val="sk-SK" w:eastAsia="pt-PT"/>
        </w:rPr>
        <w:t>pozri časť</w:t>
      </w:r>
      <w:r w:rsidR="00FD563B" w:rsidRPr="00305462">
        <w:rPr>
          <w:i/>
          <w:szCs w:val="22"/>
          <w:lang w:val="sk-SK" w:eastAsia="pt-PT"/>
        </w:rPr>
        <w:t xml:space="preserve"> 4.2 a </w:t>
      </w:r>
      <w:r w:rsidR="006A4038" w:rsidRPr="00305462">
        <w:rPr>
          <w:i/>
          <w:szCs w:val="22"/>
          <w:lang w:val="sk-SK" w:eastAsia="pt-PT"/>
        </w:rPr>
        <w:t>časť</w:t>
      </w:r>
      <w:r w:rsidR="00FD563B" w:rsidRPr="00305462">
        <w:rPr>
          <w:i/>
          <w:szCs w:val="22"/>
          <w:lang w:val="sk-SK" w:eastAsia="pt-PT"/>
        </w:rPr>
        <w:t xml:space="preserve"> 5.1)</w:t>
      </w:r>
    </w:p>
    <w:p w:rsidR="00F756B3" w:rsidRPr="00305462" w:rsidRDefault="006A4038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 xml:space="preserve">Neexistujú žiadne údaje o používaní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u tejto vekovej skupiny.</w:t>
      </w:r>
    </w:p>
    <w:p w:rsidR="00F756B3" w:rsidRPr="00305462" w:rsidRDefault="00F756B3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  <w:lang w:val="sk-SK"/>
        </w:rPr>
      </w:pPr>
    </w:p>
    <w:p w:rsidR="001D29E6" w:rsidRPr="00305462" w:rsidRDefault="001D29E6" w:rsidP="008E5BDE">
      <w:pPr>
        <w:ind w:left="567" w:hanging="567"/>
        <w:jc w:val="both"/>
        <w:rPr>
          <w:b/>
          <w:szCs w:val="22"/>
          <w:lang w:val="sk-SK"/>
        </w:rPr>
      </w:pPr>
      <w:r w:rsidRPr="00305462">
        <w:rPr>
          <w:b/>
          <w:szCs w:val="22"/>
          <w:lang w:val="sk-SK"/>
        </w:rPr>
        <w:t>5.3</w:t>
      </w:r>
      <w:r w:rsidRPr="00305462">
        <w:rPr>
          <w:b/>
          <w:szCs w:val="22"/>
          <w:lang w:val="sk-SK"/>
        </w:rPr>
        <w:tab/>
        <w:t>Pre</w:t>
      </w:r>
      <w:r w:rsidR="00B44280" w:rsidRPr="00305462">
        <w:rPr>
          <w:b/>
          <w:szCs w:val="22"/>
          <w:lang w:val="sk-SK"/>
        </w:rPr>
        <w:t>dklinické údaje o bezpečnosti</w:t>
      </w:r>
    </w:p>
    <w:p w:rsidR="00AC2712" w:rsidRPr="00305462" w:rsidRDefault="00AC2712" w:rsidP="008E5BDE">
      <w:pPr>
        <w:ind w:left="567" w:hanging="567"/>
        <w:jc w:val="both"/>
        <w:rPr>
          <w:szCs w:val="22"/>
          <w:lang w:val="sk-SK"/>
        </w:rPr>
      </w:pPr>
    </w:p>
    <w:p w:rsidR="00B44280" w:rsidRPr="00305462" w:rsidRDefault="00B44280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Toxické účinky, t. j. príznaky </w:t>
      </w:r>
      <w:proofErr w:type="spellStart"/>
      <w:r w:rsidRPr="00305462">
        <w:rPr>
          <w:szCs w:val="22"/>
          <w:lang w:val="sk-SK" w:eastAsia="sk-SK"/>
        </w:rPr>
        <w:t>renálneho</w:t>
      </w:r>
      <w:proofErr w:type="spellEnd"/>
      <w:r w:rsidRPr="00305462">
        <w:rPr>
          <w:szCs w:val="22"/>
          <w:lang w:val="sk-SK" w:eastAsia="sk-SK"/>
        </w:rPr>
        <w:t xml:space="preserve"> poškodenia, sa pozorovali u psov len pri expozíciách</w:t>
      </w:r>
    </w:p>
    <w:p w:rsidR="00B44280" w:rsidRPr="00305462" w:rsidRDefault="00B44280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dostatočne prevyšujúcich maximálne expozície u ľudí, čo naznačuje malý význam pre klinické</w:t>
      </w:r>
    </w:p>
    <w:p w:rsidR="0067755A" w:rsidRPr="00305462" w:rsidRDefault="00B44280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sk-SK"/>
        </w:rPr>
        <w:t>použitie.</w:t>
      </w:r>
    </w:p>
    <w:p w:rsidR="0067755A" w:rsidRPr="00305462" w:rsidRDefault="0067755A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8E7337" w:rsidRPr="00305462" w:rsidRDefault="00410900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  <w:lang w:val="sk-SK" w:eastAsia="sk-SK"/>
        </w:rPr>
      </w:pPr>
      <w:proofErr w:type="spellStart"/>
      <w:r w:rsidRPr="00305462">
        <w:rPr>
          <w:i/>
          <w:iCs/>
          <w:szCs w:val="22"/>
          <w:lang w:val="sk-SK" w:eastAsia="sk-SK"/>
        </w:rPr>
        <w:t>Mutagenita</w:t>
      </w:r>
      <w:proofErr w:type="spellEnd"/>
      <w:r w:rsidRPr="00305462">
        <w:rPr>
          <w:i/>
          <w:iCs/>
          <w:szCs w:val="22"/>
          <w:lang w:val="sk-SK" w:eastAsia="sk-SK"/>
        </w:rPr>
        <w:t>/Karcinogenita</w:t>
      </w:r>
    </w:p>
    <w:p w:rsidR="0067755A" w:rsidRPr="00305462" w:rsidRDefault="00410900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Nepozoroval sa žiadny náznak karcinogénneho potenciálu. Testy na </w:t>
      </w:r>
      <w:proofErr w:type="spellStart"/>
      <w:r w:rsidRPr="00305462">
        <w:rPr>
          <w:szCs w:val="22"/>
          <w:lang w:val="sk-SK" w:eastAsia="sk-SK"/>
        </w:rPr>
        <w:t>genotoxicitu</w:t>
      </w:r>
      <w:proofErr w:type="spellEnd"/>
      <w:r w:rsidRPr="00305462">
        <w:rPr>
          <w:szCs w:val="22"/>
          <w:lang w:val="sk-SK" w:eastAsia="sk-SK"/>
        </w:rPr>
        <w:t xml:space="preserve"> nedokázali genetickú aktivitu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>.</w:t>
      </w:r>
    </w:p>
    <w:p w:rsidR="0067755A" w:rsidRPr="00305462" w:rsidRDefault="0067755A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</w:p>
    <w:p w:rsidR="0067755A" w:rsidRPr="00305462" w:rsidRDefault="0067755A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 w:eastAsia="pt-PT"/>
        </w:rPr>
      </w:pPr>
      <w:r w:rsidRPr="00305462">
        <w:rPr>
          <w:i/>
          <w:szCs w:val="22"/>
          <w:lang w:val="sk-SK" w:eastAsia="pt-PT"/>
        </w:rPr>
        <w:t>Reprodu</w:t>
      </w:r>
      <w:r w:rsidR="00716239" w:rsidRPr="00305462">
        <w:rPr>
          <w:i/>
          <w:szCs w:val="22"/>
          <w:lang w:val="sk-SK" w:eastAsia="pt-PT"/>
        </w:rPr>
        <w:t>kčná toxicita</w:t>
      </w:r>
    </w:p>
    <w:p w:rsidR="001D29E6" w:rsidRPr="00305462" w:rsidRDefault="00716239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Špecifické š</w:t>
      </w:r>
      <w:r w:rsidR="00110251" w:rsidRPr="00305462">
        <w:rPr>
          <w:szCs w:val="22"/>
          <w:lang w:val="sk-SK" w:eastAsia="sk-SK"/>
        </w:rPr>
        <w:t xml:space="preserve">túdie zamerané na </w:t>
      </w:r>
      <w:r w:rsidRPr="00305462">
        <w:rPr>
          <w:szCs w:val="22"/>
          <w:lang w:val="sk-SK" w:eastAsia="sk-SK"/>
        </w:rPr>
        <w:t>dávkovací režim s podaním každé 3 mesiace sa neuskutočnili.</w:t>
      </w:r>
      <w:r w:rsidR="00110251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V štúdiách zameraných na denné intravenózne podávanie kyseliny </w:t>
      </w:r>
      <w:proofErr w:type="spellStart"/>
      <w:r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sa u potkanov a</w:t>
      </w:r>
      <w:r w:rsidR="00110251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králikov nedokázal priamy toxický alebo </w:t>
      </w:r>
      <w:proofErr w:type="spellStart"/>
      <w:r w:rsidRPr="00305462">
        <w:rPr>
          <w:szCs w:val="22"/>
          <w:lang w:val="sk-SK" w:eastAsia="sk-SK"/>
        </w:rPr>
        <w:t>teratogénny</w:t>
      </w:r>
      <w:proofErr w:type="spellEnd"/>
      <w:r w:rsidRPr="00305462">
        <w:rPr>
          <w:szCs w:val="22"/>
          <w:lang w:val="sk-SK" w:eastAsia="sk-SK"/>
        </w:rPr>
        <w:t xml:space="preserve"> vplyv na plod. Nárast telesnej hmotnosti bol</w:t>
      </w:r>
      <w:r w:rsidR="00110251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znížený u potomstva F1 u potkanov. V reprodukčných štúdiách u potkanov perorálne podávanie pri</w:t>
      </w:r>
      <w:r w:rsidR="00110251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dávkach 1 mg/kg/deň a vyšších viedlo k nárastu </w:t>
      </w:r>
      <w:proofErr w:type="spellStart"/>
      <w:r w:rsidRPr="00305462">
        <w:rPr>
          <w:szCs w:val="22"/>
          <w:lang w:val="sk-SK" w:eastAsia="sk-SK"/>
        </w:rPr>
        <w:t>preimplantačných</w:t>
      </w:r>
      <w:proofErr w:type="spellEnd"/>
      <w:r w:rsidRPr="00305462">
        <w:rPr>
          <w:szCs w:val="22"/>
          <w:lang w:val="sk-SK" w:eastAsia="sk-SK"/>
        </w:rPr>
        <w:t xml:space="preserve"> potratov. V</w:t>
      </w:r>
      <w:r w:rsidR="00110251" w:rsidRPr="00305462">
        <w:rPr>
          <w:szCs w:val="22"/>
          <w:lang w:val="sk-SK" w:eastAsia="sk-SK"/>
        </w:rPr>
        <w:t> </w:t>
      </w:r>
      <w:r w:rsidRPr="00305462">
        <w:rPr>
          <w:szCs w:val="22"/>
          <w:lang w:val="sk-SK" w:eastAsia="sk-SK"/>
        </w:rPr>
        <w:t>reprodukčných</w:t>
      </w:r>
      <w:r w:rsidR="00110251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štúdiách u potkanov intravenózne podávaná kyselina </w:t>
      </w:r>
      <w:proofErr w:type="spellStart"/>
      <w:r w:rsidRPr="00305462">
        <w:rPr>
          <w:szCs w:val="22"/>
          <w:lang w:val="sk-SK" w:eastAsia="sk-SK"/>
        </w:rPr>
        <w:t>ibandrónová</w:t>
      </w:r>
      <w:proofErr w:type="spellEnd"/>
      <w:r w:rsidRPr="00305462">
        <w:rPr>
          <w:szCs w:val="22"/>
          <w:lang w:val="sk-SK" w:eastAsia="sk-SK"/>
        </w:rPr>
        <w:t xml:space="preserve"> znížila počet spermií pri dávkach</w:t>
      </w:r>
      <w:r w:rsidR="00110251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0,3 a 1 mg/kg/deň a znížila </w:t>
      </w:r>
      <w:proofErr w:type="spellStart"/>
      <w:r w:rsidRPr="00305462">
        <w:rPr>
          <w:szCs w:val="22"/>
          <w:lang w:val="sk-SK" w:eastAsia="sk-SK"/>
        </w:rPr>
        <w:t>fertilitu</w:t>
      </w:r>
      <w:proofErr w:type="spellEnd"/>
      <w:r w:rsidRPr="00305462">
        <w:rPr>
          <w:szCs w:val="22"/>
          <w:lang w:val="sk-SK" w:eastAsia="sk-SK"/>
        </w:rPr>
        <w:t xml:space="preserve"> u samcov pri dávke 1 mg/kg/deň a u </w:t>
      </w:r>
      <w:r w:rsidR="00110251" w:rsidRPr="00305462">
        <w:rPr>
          <w:szCs w:val="22"/>
          <w:lang w:val="sk-SK" w:eastAsia="sk-SK"/>
        </w:rPr>
        <w:t>samíc</w:t>
      </w:r>
      <w:r w:rsidRPr="00305462">
        <w:rPr>
          <w:szCs w:val="22"/>
          <w:lang w:val="sk-SK" w:eastAsia="sk-SK"/>
        </w:rPr>
        <w:t xml:space="preserve"> pri dávke na</w:t>
      </w:r>
      <w:r w:rsidR="00110251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1,2 mg/kg/deň. Ďalš</w:t>
      </w:r>
      <w:r w:rsidR="00B96FEA" w:rsidRPr="00305462">
        <w:rPr>
          <w:szCs w:val="22"/>
          <w:lang w:val="sk-SK" w:eastAsia="sk-SK"/>
        </w:rPr>
        <w:t xml:space="preserve">ie nežiaduce reakcie kyseliny </w:t>
      </w:r>
      <w:proofErr w:type="spellStart"/>
      <w:r w:rsidR="00B96FEA" w:rsidRPr="00305462">
        <w:rPr>
          <w:szCs w:val="22"/>
          <w:lang w:val="sk-SK" w:eastAsia="sk-SK"/>
        </w:rPr>
        <w:t>ibandrónovej</w:t>
      </w:r>
      <w:proofErr w:type="spellEnd"/>
      <w:r w:rsidRPr="00305462">
        <w:rPr>
          <w:szCs w:val="22"/>
          <w:lang w:val="sk-SK" w:eastAsia="sk-SK"/>
        </w:rPr>
        <w:t xml:space="preserve"> v štúdiách reprodukčnej toxicity u</w:t>
      </w:r>
      <w:r w:rsidR="00110251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potkanov sa nelíšili od nežiaducich reakcií, ktoré sa zvyčajne pozorujú u </w:t>
      </w:r>
      <w:proofErr w:type="spellStart"/>
      <w:r w:rsidRPr="00305462">
        <w:rPr>
          <w:szCs w:val="22"/>
          <w:lang w:val="sk-SK" w:eastAsia="sk-SK"/>
        </w:rPr>
        <w:t>bisfosfonátov</w:t>
      </w:r>
      <w:proofErr w:type="spellEnd"/>
      <w:r w:rsidRPr="00305462">
        <w:rPr>
          <w:szCs w:val="22"/>
          <w:lang w:val="sk-SK" w:eastAsia="sk-SK"/>
        </w:rPr>
        <w:t>. Zahŕňajú</w:t>
      </w:r>
      <w:r w:rsidR="00110251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znížený počet implantačných miest, narušenie prirodzeného pôrodu (</w:t>
      </w:r>
      <w:proofErr w:type="spellStart"/>
      <w:r w:rsidRPr="00305462">
        <w:rPr>
          <w:szCs w:val="22"/>
          <w:lang w:val="sk-SK" w:eastAsia="sk-SK"/>
        </w:rPr>
        <w:t>dystokia</w:t>
      </w:r>
      <w:proofErr w:type="spellEnd"/>
      <w:r w:rsidRPr="00305462">
        <w:rPr>
          <w:szCs w:val="22"/>
          <w:lang w:val="sk-SK" w:eastAsia="sk-SK"/>
        </w:rPr>
        <w:t xml:space="preserve">) a nárast </w:t>
      </w:r>
      <w:proofErr w:type="spellStart"/>
      <w:r w:rsidRPr="00305462">
        <w:rPr>
          <w:szCs w:val="22"/>
          <w:lang w:val="sk-SK" w:eastAsia="sk-SK"/>
        </w:rPr>
        <w:t>viscerálnych</w:t>
      </w:r>
      <w:proofErr w:type="spellEnd"/>
      <w:r w:rsidR="00110251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>odchýlok (</w:t>
      </w:r>
      <w:proofErr w:type="spellStart"/>
      <w:r w:rsidRPr="00305462">
        <w:rPr>
          <w:szCs w:val="22"/>
          <w:lang w:val="sk-SK" w:eastAsia="sk-SK"/>
        </w:rPr>
        <w:t>renal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pelvis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ureter</w:t>
      </w:r>
      <w:proofErr w:type="spellEnd"/>
      <w:r w:rsidRPr="00305462">
        <w:rPr>
          <w:szCs w:val="22"/>
          <w:lang w:val="sk-SK" w:eastAsia="sk-SK"/>
        </w:rPr>
        <w:t xml:space="preserve"> </w:t>
      </w:r>
      <w:proofErr w:type="spellStart"/>
      <w:r w:rsidRPr="00305462">
        <w:rPr>
          <w:szCs w:val="22"/>
          <w:lang w:val="sk-SK" w:eastAsia="sk-SK"/>
        </w:rPr>
        <w:t>syndrome</w:t>
      </w:r>
      <w:proofErr w:type="spellEnd"/>
      <w:r w:rsidRPr="00305462">
        <w:rPr>
          <w:szCs w:val="22"/>
          <w:lang w:val="sk-SK" w:eastAsia="sk-SK"/>
        </w:rPr>
        <w:t>).</w:t>
      </w:r>
    </w:p>
    <w:p w:rsidR="0067755A" w:rsidRPr="00305462" w:rsidRDefault="0067755A" w:rsidP="008E5BDE">
      <w:pPr>
        <w:ind w:left="567" w:hanging="567"/>
        <w:jc w:val="both"/>
        <w:rPr>
          <w:b/>
          <w:szCs w:val="22"/>
          <w:lang w:val="sk-SK"/>
        </w:rPr>
      </w:pPr>
    </w:p>
    <w:p w:rsidR="0067755A" w:rsidRPr="00305462" w:rsidRDefault="0067755A" w:rsidP="008E5BDE">
      <w:pPr>
        <w:ind w:left="567" w:hanging="567"/>
        <w:jc w:val="both"/>
        <w:rPr>
          <w:b/>
          <w:szCs w:val="22"/>
          <w:lang w:val="sk-SK"/>
        </w:rPr>
      </w:pPr>
    </w:p>
    <w:p w:rsidR="001D29E6" w:rsidRPr="00305462" w:rsidRDefault="001D29E6" w:rsidP="008E5BDE">
      <w:pPr>
        <w:ind w:left="567" w:hanging="567"/>
        <w:jc w:val="both"/>
        <w:rPr>
          <w:b/>
          <w:szCs w:val="22"/>
          <w:lang w:val="sk-SK"/>
        </w:rPr>
      </w:pPr>
      <w:r w:rsidRPr="00305462">
        <w:rPr>
          <w:b/>
          <w:szCs w:val="22"/>
          <w:lang w:val="sk-SK"/>
        </w:rPr>
        <w:t>6.</w:t>
      </w:r>
      <w:r w:rsidRPr="00305462">
        <w:rPr>
          <w:b/>
          <w:szCs w:val="22"/>
          <w:lang w:val="sk-SK"/>
        </w:rPr>
        <w:tab/>
      </w:r>
      <w:r w:rsidR="00110251" w:rsidRPr="00305462">
        <w:rPr>
          <w:b/>
          <w:szCs w:val="22"/>
          <w:lang w:val="sk-SK"/>
        </w:rPr>
        <w:t>FARMACEUTICKÉ INFORMÁCIE</w:t>
      </w:r>
    </w:p>
    <w:p w:rsidR="001D29E6" w:rsidRPr="00305462" w:rsidRDefault="001D29E6" w:rsidP="008E5BDE">
      <w:pPr>
        <w:jc w:val="both"/>
        <w:rPr>
          <w:b/>
          <w:szCs w:val="22"/>
          <w:lang w:val="sk-SK"/>
        </w:rPr>
      </w:pPr>
    </w:p>
    <w:p w:rsidR="001D29E6" w:rsidRPr="00305462" w:rsidRDefault="001D29E6" w:rsidP="008E5BDE">
      <w:pPr>
        <w:ind w:left="567" w:hanging="567"/>
        <w:jc w:val="both"/>
        <w:rPr>
          <w:b/>
          <w:szCs w:val="22"/>
          <w:lang w:val="sk-SK"/>
        </w:rPr>
      </w:pPr>
      <w:r w:rsidRPr="00305462">
        <w:rPr>
          <w:b/>
          <w:szCs w:val="22"/>
          <w:lang w:val="sk-SK"/>
        </w:rPr>
        <w:t>6.1</w:t>
      </w:r>
      <w:r w:rsidRPr="00305462">
        <w:rPr>
          <w:b/>
          <w:szCs w:val="22"/>
          <w:lang w:val="sk-SK"/>
        </w:rPr>
        <w:tab/>
      </w:r>
      <w:r w:rsidR="00110251" w:rsidRPr="00305462">
        <w:rPr>
          <w:b/>
          <w:szCs w:val="22"/>
          <w:lang w:val="sk-SK"/>
        </w:rPr>
        <w:t>Zoznam pomocných látok</w:t>
      </w:r>
    </w:p>
    <w:p w:rsidR="001D29E6" w:rsidRPr="00305462" w:rsidRDefault="001D29E6" w:rsidP="008E5BDE">
      <w:pPr>
        <w:jc w:val="both"/>
        <w:rPr>
          <w:szCs w:val="22"/>
          <w:lang w:val="sk-SK"/>
        </w:rPr>
      </w:pPr>
    </w:p>
    <w:p w:rsidR="001E0FB7" w:rsidRPr="00305462" w:rsidRDefault="001E0FB7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pt-PT"/>
        </w:rPr>
        <w:t>c</w:t>
      </w:r>
      <w:r w:rsidR="00110251" w:rsidRPr="00305462">
        <w:rPr>
          <w:szCs w:val="22"/>
          <w:lang w:val="sk-SK" w:eastAsia="pt-PT"/>
        </w:rPr>
        <w:t xml:space="preserve">hlorid sodný, </w:t>
      </w:r>
    </w:p>
    <w:p w:rsidR="001E0FB7" w:rsidRPr="00305462" w:rsidRDefault="00110251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pt-PT"/>
        </w:rPr>
        <w:t xml:space="preserve">ľadová kyselina octová, </w:t>
      </w:r>
    </w:p>
    <w:p w:rsidR="001E0FB7" w:rsidRPr="00305462" w:rsidRDefault="00F46A21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proofErr w:type="spellStart"/>
      <w:r w:rsidRPr="00305462">
        <w:rPr>
          <w:szCs w:val="22"/>
          <w:lang w:val="sk-SK" w:eastAsia="pt-PT"/>
        </w:rPr>
        <w:t>trihydrát</w:t>
      </w:r>
      <w:proofErr w:type="spellEnd"/>
      <w:r w:rsidRPr="00305462">
        <w:rPr>
          <w:szCs w:val="22"/>
          <w:lang w:val="sk-SK" w:eastAsia="pt-PT"/>
        </w:rPr>
        <w:t xml:space="preserve"> octanu sodného, </w:t>
      </w:r>
    </w:p>
    <w:p w:rsidR="001E0FB7" w:rsidRPr="00305462" w:rsidRDefault="00F46A21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pt-PT"/>
        </w:rPr>
        <w:t xml:space="preserve">voda na injekcie, </w:t>
      </w:r>
    </w:p>
    <w:p w:rsidR="001E0FB7" w:rsidRPr="00305462" w:rsidRDefault="00F46A21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pt-PT"/>
        </w:rPr>
        <w:t xml:space="preserve">hydroxid sodný (na úpravu pH), </w:t>
      </w:r>
    </w:p>
    <w:p w:rsidR="0067755A" w:rsidRPr="00305462" w:rsidRDefault="00F46A21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pt-PT"/>
        </w:rPr>
      </w:pPr>
      <w:r w:rsidRPr="00305462">
        <w:rPr>
          <w:szCs w:val="22"/>
          <w:lang w:val="sk-SK" w:eastAsia="pt-PT"/>
        </w:rPr>
        <w:t>kyselina chlorovodíková (na úpravu pH)</w:t>
      </w:r>
      <w:r w:rsidR="00B047D9" w:rsidRPr="00305462">
        <w:rPr>
          <w:szCs w:val="22"/>
          <w:lang w:val="sk-SK" w:eastAsia="pt-PT"/>
        </w:rPr>
        <w:t>.</w:t>
      </w:r>
    </w:p>
    <w:p w:rsidR="0067755A" w:rsidRPr="00305462" w:rsidRDefault="0067755A" w:rsidP="008E5BDE">
      <w:pPr>
        <w:ind w:right="4065"/>
        <w:jc w:val="both"/>
        <w:rPr>
          <w:szCs w:val="22"/>
          <w:lang w:val="sk-SK"/>
        </w:rPr>
      </w:pPr>
    </w:p>
    <w:p w:rsidR="001D29E6" w:rsidRPr="00305462" w:rsidRDefault="001D29E6" w:rsidP="008E5BDE">
      <w:pPr>
        <w:ind w:left="567" w:hanging="567"/>
        <w:jc w:val="both"/>
        <w:rPr>
          <w:szCs w:val="22"/>
          <w:lang w:val="sk-SK"/>
        </w:rPr>
      </w:pPr>
      <w:r w:rsidRPr="00305462">
        <w:rPr>
          <w:b/>
          <w:szCs w:val="22"/>
          <w:lang w:val="sk-SK"/>
        </w:rPr>
        <w:t>6.2</w:t>
      </w:r>
      <w:r w:rsidRPr="00305462">
        <w:rPr>
          <w:b/>
          <w:szCs w:val="22"/>
          <w:lang w:val="sk-SK"/>
        </w:rPr>
        <w:tab/>
        <w:t>In</w:t>
      </w:r>
      <w:r w:rsidR="00F46A21" w:rsidRPr="00305462">
        <w:rPr>
          <w:b/>
          <w:szCs w:val="22"/>
          <w:lang w:val="sk-SK"/>
        </w:rPr>
        <w:t>kompatibility</w:t>
      </w:r>
    </w:p>
    <w:p w:rsidR="001D29E6" w:rsidRPr="00305462" w:rsidRDefault="001D29E6" w:rsidP="008E5BDE">
      <w:pPr>
        <w:jc w:val="both"/>
        <w:rPr>
          <w:szCs w:val="22"/>
          <w:lang w:val="sk-SK"/>
        </w:rPr>
      </w:pPr>
    </w:p>
    <w:p w:rsidR="005E18EB" w:rsidRPr="00305462" w:rsidRDefault="0067755A" w:rsidP="008E5B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proofErr w:type="spellStart"/>
      <w:r w:rsidRPr="00305462">
        <w:rPr>
          <w:rStyle w:val="FontStyle21"/>
          <w:sz w:val="22"/>
          <w:szCs w:val="22"/>
          <w:lang w:val="sk-SK" w:eastAsia="pt-PT"/>
        </w:rPr>
        <w:t>Ibandronic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Acid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Fresenius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</w:t>
      </w:r>
      <w:proofErr w:type="spellStart"/>
      <w:r w:rsidRPr="00305462">
        <w:rPr>
          <w:rStyle w:val="FontStyle21"/>
          <w:sz w:val="22"/>
          <w:szCs w:val="22"/>
          <w:lang w:val="sk-SK" w:eastAsia="pt-PT"/>
        </w:rPr>
        <w:t>Kabi</w:t>
      </w:r>
      <w:proofErr w:type="spellEnd"/>
      <w:r w:rsidRPr="00305462">
        <w:rPr>
          <w:rStyle w:val="FontStyle21"/>
          <w:sz w:val="22"/>
          <w:szCs w:val="22"/>
          <w:lang w:val="sk-SK" w:eastAsia="pt-PT"/>
        </w:rPr>
        <w:t xml:space="preserve"> 3 mg </w:t>
      </w:r>
      <w:r w:rsidR="00F46A21" w:rsidRPr="00305462">
        <w:rPr>
          <w:rStyle w:val="FontStyle21"/>
          <w:sz w:val="22"/>
          <w:szCs w:val="22"/>
          <w:lang w:val="sk-SK" w:eastAsia="pt-PT"/>
        </w:rPr>
        <w:t xml:space="preserve">injekčný roztok naplnený v injekčnej striekačke sa </w:t>
      </w:r>
      <w:r w:rsidR="00F46A21" w:rsidRPr="00305462">
        <w:rPr>
          <w:szCs w:val="22"/>
          <w:lang w:val="sk-SK" w:eastAsia="sk-SK"/>
        </w:rPr>
        <w:t>nesmie miešať s roztokmi obsahujúcimi vápnik alebo s inými intravenózne podávanými liekmi.</w:t>
      </w:r>
    </w:p>
    <w:p w:rsidR="0067755A" w:rsidRPr="00305462" w:rsidRDefault="0067755A" w:rsidP="008E5BDE">
      <w:pPr>
        <w:pStyle w:val="Style2"/>
        <w:widowControl/>
        <w:spacing w:line="240" w:lineRule="exact"/>
        <w:jc w:val="both"/>
        <w:rPr>
          <w:rFonts w:cs="Times New Roman"/>
          <w:sz w:val="22"/>
          <w:szCs w:val="22"/>
          <w:lang w:val="sk-SK"/>
        </w:rPr>
      </w:pPr>
    </w:p>
    <w:p w:rsidR="0067755A" w:rsidRPr="00305462" w:rsidRDefault="0067755A" w:rsidP="008E5BDE">
      <w:pPr>
        <w:pStyle w:val="Style2"/>
        <w:widowControl/>
        <w:spacing w:line="240" w:lineRule="exact"/>
        <w:jc w:val="both"/>
        <w:rPr>
          <w:rFonts w:cs="Times New Roman"/>
          <w:sz w:val="22"/>
          <w:szCs w:val="22"/>
          <w:lang w:val="sk-SK"/>
        </w:rPr>
      </w:pPr>
    </w:p>
    <w:p w:rsidR="001D29E6" w:rsidRPr="00305462" w:rsidRDefault="001D29E6" w:rsidP="008E5BDE">
      <w:pPr>
        <w:ind w:left="567" w:hanging="567"/>
        <w:jc w:val="both"/>
        <w:rPr>
          <w:szCs w:val="22"/>
          <w:lang w:val="sk-SK"/>
        </w:rPr>
      </w:pPr>
      <w:r w:rsidRPr="00305462">
        <w:rPr>
          <w:b/>
          <w:szCs w:val="22"/>
          <w:lang w:val="sk-SK"/>
        </w:rPr>
        <w:t>6.3</w:t>
      </w:r>
      <w:r w:rsidRPr="00305462">
        <w:rPr>
          <w:b/>
          <w:szCs w:val="22"/>
          <w:lang w:val="sk-SK"/>
        </w:rPr>
        <w:tab/>
      </w:r>
      <w:r w:rsidR="0072074B" w:rsidRPr="00305462">
        <w:rPr>
          <w:b/>
          <w:szCs w:val="22"/>
          <w:lang w:val="sk-SK"/>
        </w:rPr>
        <w:t>Čas použiteľnosti</w:t>
      </w:r>
    </w:p>
    <w:p w:rsidR="007D0103" w:rsidRPr="00305462" w:rsidRDefault="007D0103" w:rsidP="008E5BDE">
      <w:pPr>
        <w:jc w:val="both"/>
        <w:rPr>
          <w:rStyle w:val="FontStyle21"/>
          <w:rFonts w:eastAsia="MS Mincho"/>
          <w:sz w:val="22"/>
          <w:szCs w:val="22"/>
          <w:lang w:val="sk-SK"/>
        </w:rPr>
      </w:pPr>
    </w:p>
    <w:p w:rsidR="00E16DC6" w:rsidRPr="00305462" w:rsidRDefault="00E16DC6" w:rsidP="008E5BDE">
      <w:pPr>
        <w:jc w:val="both"/>
        <w:rPr>
          <w:rStyle w:val="FontStyle21"/>
          <w:rFonts w:eastAsia="MS Mincho"/>
          <w:sz w:val="22"/>
          <w:szCs w:val="22"/>
          <w:lang w:val="sk-SK"/>
        </w:rPr>
      </w:pPr>
      <w:r w:rsidRPr="00305462">
        <w:rPr>
          <w:rStyle w:val="FontStyle21"/>
          <w:rFonts w:eastAsia="MS Mincho"/>
          <w:sz w:val="22"/>
          <w:szCs w:val="22"/>
          <w:lang w:val="sk-SK"/>
        </w:rPr>
        <w:t xml:space="preserve">2 </w:t>
      </w:r>
      <w:r w:rsidR="0072074B" w:rsidRPr="00305462">
        <w:rPr>
          <w:rStyle w:val="FontStyle21"/>
          <w:rFonts w:eastAsia="MS Mincho"/>
          <w:sz w:val="22"/>
          <w:szCs w:val="22"/>
          <w:lang w:val="sk-SK"/>
        </w:rPr>
        <w:t>roky</w:t>
      </w:r>
    </w:p>
    <w:p w:rsidR="005E18EB" w:rsidRPr="00305462" w:rsidRDefault="005E18EB" w:rsidP="008E5BDE">
      <w:pPr>
        <w:jc w:val="both"/>
        <w:rPr>
          <w:szCs w:val="22"/>
          <w:lang w:val="sk-SK" w:eastAsia="pt-PT"/>
        </w:rPr>
      </w:pPr>
    </w:p>
    <w:p w:rsidR="005E18EB" w:rsidRPr="00305462" w:rsidRDefault="005E18EB" w:rsidP="008E5BDE">
      <w:pPr>
        <w:jc w:val="both"/>
        <w:rPr>
          <w:b/>
          <w:szCs w:val="22"/>
          <w:lang w:val="sk-SK"/>
        </w:rPr>
      </w:pPr>
    </w:p>
    <w:p w:rsidR="001D29E6" w:rsidRPr="00305462" w:rsidRDefault="001D29E6" w:rsidP="008E5BDE">
      <w:pPr>
        <w:ind w:left="567" w:hanging="567"/>
        <w:jc w:val="both"/>
        <w:rPr>
          <w:b/>
          <w:szCs w:val="22"/>
          <w:lang w:val="sk-SK"/>
        </w:rPr>
      </w:pPr>
      <w:r w:rsidRPr="00305462">
        <w:rPr>
          <w:b/>
          <w:szCs w:val="22"/>
          <w:lang w:val="sk-SK"/>
        </w:rPr>
        <w:t>6.4</w:t>
      </w:r>
      <w:r w:rsidRPr="00305462">
        <w:rPr>
          <w:b/>
          <w:szCs w:val="22"/>
          <w:lang w:val="sk-SK"/>
        </w:rPr>
        <w:tab/>
      </w:r>
      <w:r w:rsidR="00F1128A" w:rsidRPr="00305462">
        <w:rPr>
          <w:b/>
          <w:szCs w:val="22"/>
          <w:lang w:val="sk-SK"/>
        </w:rPr>
        <w:t>Špeciálne upozornenia na uchovávanie</w:t>
      </w:r>
    </w:p>
    <w:p w:rsidR="007B13B5" w:rsidRPr="00305462" w:rsidRDefault="007B13B5" w:rsidP="008E5BDE">
      <w:pPr>
        <w:pStyle w:val="Style5"/>
        <w:widowControl/>
        <w:spacing w:before="29" w:line="240" w:lineRule="auto"/>
        <w:rPr>
          <w:rStyle w:val="FontStyle21"/>
          <w:sz w:val="22"/>
          <w:szCs w:val="22"/>
          <w:lang w:val="sk-SK" w:eastAsia="pt-PT"/>
        </w:rPr>
      </w:pPr>
    </w:p>
    <w:p w:rsidR="00B2113C" w:rsidRPr="00305462" w:rsidRDefault="00F1128A" w:rsidP="008E5BDE">
      <w:pPr>
        <w:pStyle w:val="Style5"/>
        <w:widowControl/>
        <w:spacing w:before="29" w:line="240" w:lineRule="auto"/>
        <w:rPr>
          <w:rFonts w:cs="Times New Roman"/>
          <w:sz w:val="22"/>
          <w:szCs w:val="22"/>
          <w:lang w:val="sk-SK" w:eastAsia="sk-SK"/>
        </w:rPr>
      </w:pPr>
      <w:r w:rsidRPr="00305462">
        <w:rPr>
          <w:rFonts w:cs="Times New Roman"/>
          <w:sz w:val="22"/>
          <w:szCs w:val="22"/>
          <w:lang w:val="sk-SK" w:eastAsia="sk-SK"/>
        </w:rPr>
        <w:t>Tento liek nevyžaduje žiadne zvláštne podmienky na uchovávanie.</w:t>
      </w:r>
    </w:p>
    <w:p w:rsidR="00F1128A" w:rsidRPr="00305462" w:rsidRDefault="00F1128A" w:rsidP="008E5BDE">
      <w:pPr>
        <w:pStyle w:val="Style5"/>
        <w:widowControl/>
        <w:spacing w:before="29" w:line="240" w:lineRule="auto"/>
        <w:rPr>
          <w:rStyle w:val="FontStyle21"/>
          <w:sz w:val="22"/>
          <w:szCs w:val="22"/>
          <w:lang w:val="sk-SK" w:eastAsia="pt-PT"/>
        </w:rPr>
      </w:pPr>
    </w:p>
    <w:p w:rsidR="001D29E6" w:rsidRPr="00305462" w:rsidRDefault="00F1128A" w:rsidP="008E5BDE">
      <w:pPr>
        <w:numPr>
          <w:ilvl w:val="1"/>
          <w:numId w:val="11"/>
        </w:numPr>
        <w:jc w:val="both"/>
        <w:rPr>
          <w:b/>
          <w:szCs w:val="22"/>
          <w:lang w:val="sk-SK"/>
        </w:rPr>
      </w:pPr>
      <w:r w:rsidRPr="00305462">
        <w:rPr>
          <w:b/>
          <w:szCs w:val="22"/>
          <w:lang w:val="sk-SK"/>
        </w:rPr>
        <w:t>Druh obalu a obsah balenia</w:t>
      </w:r>
    </w:p>
    <w:p w:rsidR="001D29E6" w:rsidRPr="00305462" w:rsidRDefault="001D29E6" w:rsidP="000555A7">
      <w:pPr>
        <w:jc w:val="both"/>
        <w:rPr>
          <w:szCs w:val="22"/>
          <w:lang w:val="sk-SK"/>
        </w:rPr>
      </w:pPr>
    </w:p>
    <w:p w:rsidR="00227A1A" w:rsidRPr="00305462" w:rsidRDefault="00F1128A" w:rsidP="002F2B92">
      <w:pPr>
        <w:jc w:val="both"/>
        <w:rPr>
          <w:szCs w:val="22"/>
          <w:lang w:val="sk-SK"/>
        </w:rPr>
      </w:pPr>
      <w:r w:rsidRPr="00305462">
        <w:rPr>
          <w:szCs w:val="22"/>
          <w:lang w:val="sk-SK"/>
        </w:rPr>
        <w:t>Naplnené injekčné striekačky</w:t>
      </w:r>
      <w:r w:rsidR="00E91FAB" w:rsidRPr="00305462">
        <w:rPr>
          <w:szCs w:val="22"/>
          <w:lang w:val="sk-SK"/>
        </w:rPr>
        <w:t xml:space="preserve"> </w:t>
      </w:r>
      <w:r w:rsidR="00227A1A" w:rsidRPr="00305462">
        <w:rPr>
          <w:szCs w:val="22"/>
          <w:lang w:val="sk-SK"/>
        </w:rPr>
        <w:t>(5 ml)</w:t>
      </w:r>
      <w:r w:rsidR="00B759A6" w:rsidRPr="00305462">
        <w:rPr>
          <w:szCs w:val="22"/>
          <w:lang w:val="sk-SK"/>
        </w:rPr>
        <w:t xml:space="preserve"> obsahujú 3 ml injekčného roztoku a</w:t>
      </w:r>
      <w:r w:rsidR="00227A1A" w:rsidRPr="00305462">
        <w:rPr>
          <w:szCs w:val="22"/>
          <w:lang w:val="sk-SK"/>
        </w:rPr>
        <w:t xml:space="preserve"> </w:t>
      </w:r>
      <w:r w:rsidRPr="00305462">
        <w:rPr>
          <w:szCs w:val="22"/>
          <w:lang w:val="sk-SK"/>
        </w:rPr>
        <w:t>sú vyrobené z</w:t>
      </w:r>
      <w:r w:rsidR="00E91FAB" w:rsidRPr="00305462">
        <w:rPr>
          <w:szCs w:val="22"/>
          <w:lang w:val="sk-SK"/>
        </w:rPr>
        <w:t> </w:t>
      </w:r>
      <w:r w:rsidRPr="00305462">
        <w:rPr>
          <w:szCs w:val="22"/>
          <w:lang w:val="sk-SK"/>
        </w:rPr>
        <w:t>cyklického</w:t>
      </w:r>
      <w:r w:rsidR="00E91FAB" w:rsidRPr="00305462">
        <w:rPr>
          <w:szCs w:val="22"/>
          <w:lang w:val="sk-SK"/>
        </w:rPr>
        <w:t xml:space="preserve"> </w:t>
      </w:r>
      <w:proofErr w:type="spellStart"/>
      <w:r w:rsidR="00E91FAB" w:rsidRPr="00305462">
        <w:rPr>
          <w:szCs w:val="22"/>
          <w:lang w:val="sk-SK"/>
        </w:rPr>
        <w:t>olefínového</w:t>
      </w:r>
      <w:proofErr w:type="spellEnd"/>
      <w:r w:rsidR="00E91FAB" w:rsidRPr="00305462">
        <w:rPr>
          <w:szCs w:val="22"/>
          <w:lang w:val="sk-SK"/>
        </w:rPr>
        <w:t xml:space="preserve"> polyméru</w:t>
      </w:r>
      <w:r w:rsidR="00C64C26" w:rsidRPr="00305462">
        <w:rPr>
          <w:szCs w:val="22"/>
          <w:lang w:val="sk-SK"/>
        </w:rPr>
        <w:t xml:space="preserve">, </w:t>
      </w:r>
      <w:proofErr w:type="spellStart"/>
      <w:r w:rsidR="00C64C26" w:rsidRPr="00305462">
        <w:rPr>
          <w:szCs w:val="22"/>
          <w:lang w:val="sk-SK"/>
        </w:rPr>
        <w:t>pryžová</w:t>
      </w:r>
      <w:proofErr w:type="spellEnd"/>
      <w:r w:rsidR="00C64C26" w:rsidRPr="00305462">
        <w:rPr>
          <w:szCs w:val="22"/>
          <w:lang w:val="sk-SK"/>
        </w:rPr>
        <w:t xml:space="preserve"> zátka a uzáver hrotu sú vyrobené z </w:t>
      </w:r>
      <w:proofErr w:type="spellStart"/>
      <w:r w:rsidR="00C64C26" w:rsidRPr="00305462">
        <w:rPr>
          <w:szCs w:val="22"/>
          <w:lang w:val="sk-SK"/>
        </w:rPr>
        <w:t>chlórbutylovej</w:t>
      </w:r>
      <w:proofErr w:type="spellEnd"/>
      <w:r w:rsidR="00C64C26" w:rsidRPr="00305462">
        <w:rPr>
          <w:szCs w:val="22"/>
          <w:lang w:val="sk-SK"/>
        </w:rPr>
        <w:t xml:space="preserve"> gumy</w:t>
      </w:r>
      <w:r w:rsidR="00227A1A" w:rsidRPr="00305462">
        <w:rPr>
          <w:szCs w:val="22"/>
          <w:lang w:val="sk-SK"/>
        </w:rPr>
        <w:t>.</w:t>
      </w:r>
    </w:p>
    <w:p w:rsidR="00227A1A" w:rsidRPr="00305462" w:rsidRDefault="00227A1A" w:rsidP="002F2B92">
      <w:pPr>
        <w:jc w:val="both"/>
        <w:rPr>
          <w:szCs w:val="22"/>
          <w:highlight w:val="yellow"/>
          <w:lang w:val="sk-SK"/>
        </w:rPr>
      </w:pPr>
    </w:p>
    <w:p w:rsidR="008E5BDE" w:rsidRPr="00305462" w:rsidRDefault="00F1128A" w:rsidP="002F2B92">
      <w:pPr>
        <w:pStyle w:val="Style5"/>
        <w:widowControl/>
        <w:tabs>
          <w:tab w:val="left" w:pos="2863"/>
        </w:tabs>
        <w:spacing w:before="29" w:line="240" w:lineRule="auto"/>
        <w:rPr>
          <w:rFonts w:cs="Times New Roman"/>
          <w:sz w:val="22"/>
          <w:szCs w:val="22"/>
          <w:lang w:val="sk-SK" w:eastAsia="sk-SK"/>
        </w:rPr>
      </w:pPr>
      <w:r w:rsidRPr="00305462">
        <w:rPr>
          <w:rFonts w:cs="Times New Roman"/>
          <w:sz w:val="22"/>
          <w:szCs w:val="22"/>
          <w:lang w:val="sk-SK" w:eastAsia="sk-SK"/>
        </w:rPr>
        <w:t>Balenie obsahuje 1 naplnenú injekčnú striekačku a 1 injekčnú ihlu</w:t>
      </w:r>
      <w:r w:rsidR="008E5BDE" w:rsidRPr="00305462">
        <w:rPr>
          <w:rFonts w:cs="Times New Roman"/>
          <w:sz w:val="22"/>
          <w:szCs w:val="22"/>
          <w:lang w:val="sk-SK" w:eastAsia="sk-SK"/>
        </w:rPr>
        <w:t>.</w:t>
      </w:r>
    </w:p>
    <w:p w:rsidR="00923F3E" w:rsidRPr="00305462" w:rsidRDefault="00923F3E" w:rsidP="002F2B92">
      <w:pPr>
        <w:pStyle w:val="Style5"/>
        <w:widowControl/>
        <w:tabs>
          <w:tab w:val="left" w:pos="2863"/>
        </w:tabs>
        <w:spacing w:before="29" w:line="240" w:lineRule="auto"/>
        <w:rPr>
          <w:rFonts w:cs="Times New Roman"/>
          <w:sz w:val="22"/>
          <w:szCs w:val="22"/>
          <w:lang w:val="sk-SK"/>
        </w:rPr>
      </w:pPr>
      <w:r w:rsidRPr="00305462">
        <w:rPr>
          <w:rStyle w:val="FontStyle21"/>
          <w:sz w:val="22"/>
          <w:szCs w:val="22"/>
          <w:lang w:val="sk-SK"/>
        </w:rPr>
        <w:tab/>
      </w:r>
    </w:p>
    <w:p w:rsidR="001D29E6" w:rsidRPr="00305462" w:rsidRDefault="001D29E6" w:rsidP="002F2B92">
      <w:pPr>
        <w:ind w:left="567" w:hanging="567"/>
        <w:jc w:val="both"/>
        <w:outlineLvl w:val="0"/>
        <w:rPr>
          <w:szCs w:val="22"/>
          <w:lang w:val="sk-SK"/>
        </w:rPr>
      </w:pPr>
      <w:r w:rsidRPr="00305462">
        <w:rPr>
          <w:b/>
          <w:szCs w:val="22"/>
          <w:lang w:val="sk-SK"/>
        </w:rPr>
        <w:t>6.6</w:t>
      </w:r>
      <w:r w:rsidRPr="00305462">
        <w:rPr>
          <w:b/>
          <w:szCs w:val="22"/>
          <w:lang w:val="sk-SK"/>
        </w:rPr>
        <w:tab/>
      </w:r>
      <w:r w:rsidR="00596970" w:rsidRPr="00305462">
        <w:rPr>
          <w:b/>
          <w:szCs w:val="22"/>
          <w:lang w:val="sk-SK"/>
        </w:rPr>
        <w:t>Špeciálne opatrenia na likvidáciu</w:t>
      </w:r>
    </w:p>
    <w:p w:rsidR="001D29E6" w:rsidRPr="00305462" w:rsidRDefault="001D29E6" w:rsidP="002F2B92">
      <w:pPr>
        <w:jc w:val="both"/>
        <w:rPr>
          <w:szCs w:val="22"/>
          <w:lang w:val="sk-SK"/>
        </w:rPr>
      </w:pPr>
    </w:p>
    <w:p w:rsidR="00FE18AC" w:rsidRPr="00305462" w:rsidRDefault="00FE18AC" w:rsidP="002F2B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Ak sa má liek podať do existujúceho intravenózneho prístu</w:t>
      </w:r>
      <w:r w:rsidR="00FB3E0E" w:rsidRPr="00305462">
        <w:rPr>
          <w:szCs w:val="22"/>
          <w:lang w:val="sk-SK" w:eastAsia="sk-SK"/>
        </w:rPr>
        <w:t xml:space="preserve">pu, </w:t>
      </w:r>
      <w:proofErr w:type="spellStart"/>
      <w:r w:rsidR="00FB3E0E" w:rsidRPr="00305462">
        <w:rPr>
          <w:szCs w:val="22"/>
          <w:lang w:val="sk-SK" w:eastAsia="sk-SK"/>
        </w:rPr>
        <w:t>infúzny</w:t>
      </w:r>
      <w:proofErr w:type="spellEnd"/>
      <w:r w:rsidR="00FB3E0E" w:rsidRPr="00305462">
        <w:rPr>
          <w:szCs w:val="22"/>
          <w:lang w:val="sk-SK" w:eastAsia="sk-SK"/>
        </w:rPr>
        <w:t xml:space="preserve"> roztok </w:t>
      </w:r>
      <w:r w:rsidR="007E7EBC" w:rsidRPr="00305462">
        <w:rPr>
          <w:szCs w:val="22"/>
          <w:lang w:val="sk-SK" w:eastAsia="sk-SK"/>
        </w:rPr>
        <w:t xml:space="preserve">sa má obmedziť buď na </w:t>
      </w:r>
      <w:proofErr w:type="spellStart"/>
      <w:r w:rsidRPr="00305462">
        <w:rPr>
          <w:szCs w:val="22"/>
          <w:lang w:val="sk-SK" w:eastAsia="sk-SK"/>
        </w:rPr>
        <w:t>izotonic</w:t>
      </w:r>
      <w:r w:rsidR="00FB3E0E" w:rsidRPr="00305462">
        <w:rPr>
          <w:szCs w:val="22"/>
          <w:lang w:val="sk-SK" w:eastAsia="sk-SK"/>
        </w:rPr>
        <w:t>ký</w:t>
      </w:r>
      <w:proofErr w:type="spellEnd"/>
      <w:r w:rsidR="00FB3E0E" w:rsidRPr="00305462">
        <w:rPr>
          <w:szCs w:val="22"/>
          <w:lang w:val="sk-SK" w:eastAsia="sk-SK"/>
        </w:rPr>
        <w:t xml:space="preserve"> fyziologický roztok alebo </w:t>
      </w:r>
      <w:r w:rsidRPr="00305462">
        <w:rPr>
          <w:szCs w:val="22"/>
          <w:lang w:val="sk-SK" w:eastAsia="sk-SK"/>
        </w:rPr>
        <w:t>50 mg/ml (5 %) roztok glukózy. Platí to aj pre roztoky</w:t>
      </w:r>
      <w:r w:rsidR="007E7EBC" w:rsidRPr="00305462">
        <w:rPr>
          <w:szCs w:val="22"/>
          <w:lang w:val="sk-SK" w:eastAsia="sk-SK"/>
        </w:rPr>
        <w:t xml:space="preserve"> </w:t>
      </w:r>
      <w:r w:rsidRPr="00305462">
        <w:rPr>
          <w:szCs w:val="22"/>
          <w:lang w:val="sk-SK" w:eastAsia="sk-SK"/>
        </w:rPr>
        <w:t xml:space="preserve">používané na prepláchnutie </w:t>
      </w:r>
      <w:proofErr w:type="spellStart"/>
      <w:r w:rsidRPr="00305462">
        <w:rPr>
          <w:szCs w:val="22"/>
          <w:lang w:val="sk-SK" w:eastAsia="sk-SK"/>
        </w:rPr>
        <w:t>krídielkového</w:t>
      </w:r>
      <w:proofErr w:type="spellEnd"/>
      <w:r w:rsidRPr="00305462">
        <w:rPr>
          <w:szCs w:val="22"/>
          <w:lang w:val="sk-SK" w:eastAsia="sk-SK"/>
        </w:rPr>
        <w:t xml:space="preserve"> adaptéra a iných pomôcok.</w:t>
      </w:r>
    </w:p>
    <w:p w:rsidR="006F1EC6" w:rsidRPr="00305462" w:rsidRDefault="006F1EC6" w:rsidP="002F2B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</w:p>
    <w:p w:rsidR="00FE18AC" w:rsidRPr="00305462" w:rsidRDefault="00FE18AC" w:rsidP="002F2B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Nepoužitý injekčný roztok, injekčná striekačka a injekčná ihla </w:t>
      </w:r>
      <w:r w:rsidR="006F1EC6" w:rsidRPr="00305462">
        <w:rPr>
          <w:szCs w:val="22"/>
          <w:lang w:val="sk-SK" w:eastAsia="sk-SK"/>
        </w:rPr>
        <w:t>sa majú zlikvidovať</w:t>
      </w:r>
      <w:r w:rsidRPr="00305462">
        <w:rPr>
          <w:szCs w:val="22"/>
          <w:lang w:val="sk-SK" w:eastAsia="sk-SK"/>
        </w:rPr>
        <w:t xml:space="preserve"> v súlade</w:t>
      </w:r>
    </w:p>
    <w:p w:rsidR="00FE18AC" w:rsidRPr="00305462" w:rsidRDefault="00FE18AC" w:rsidP="002F2B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 xml:space="preserve">s národnými požiadavkami. Uvoľnenie liečiv do prostredia </w:t>
      </w:r>
      <w:r w:rsidR="002F2B92" w:rsidRPr="00305462">
        <w:rPr>
          <w:szCs w:val="22"/>
          <w:lang w:val="sk-SK" w:eastAsia="sk-SK"/>
        </w:rPr>
        <w:t>sa má znížiť</w:t>
      </w:r>
      <w:r w:rsidRPr="00305462">
        <w:rPr>
          <w:szCs w:val="22"/>
          <w:lang w:val="sk-SK" w:eastAsia="sk-SK"/>
        </w:rPr>
        <w:t xml:space="preserve"> na minimum.</w:t>
      </w:r>
    </w:p>
    <w:p w:rsidR="006F1EC6" w:rsidRPr="00305462" w:rsidRDefault="006F1EC6" w:rsidP="002F2B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</w:p>
    <w:p w:rsidR="00FE18AC" w:rsidRPr="00305462" w:rsidRDefault="00FE18AC" w:rsidP="002F2B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Pri použití a likvidácii injekčných striekačiek a ďalších injekčných ihiel sa majú dôsledne dodržať</w:t>
      </w:r>
    </w:p>
    <w:p w:rsidR="00FE18AC" w:rsidRPr="00305462" w:rsidRDefault="00FE18AC" w:rsidP="002F2B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nasledujúce body:</w:t>
      </w:r>
    </w:p>
    <w:p w:rsidR="00FE18AC" w:rsidRPr="00305462" w:rsidRDefault="00FE18AC" w:rsidP="007E7EBC">
      <w:pPr>
        <w:tabs>
          <w:tab w:val="clear" w:pos="567"/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• Injekčné ihly a injekčné striekač</w:t>
      </w:r>
      <w:r w:rsidR="006F1EC6" w:rsidRPr="00305462">
        <w:rPr>
          <w:szCs w:val="22"/>
          <w:lang w:val="sk-SK" w:eastAsia="sk-SK"/>
        </w:rPr>
        <w:t>ky sa nesmú</w:t>
      </w:r>
      <w:r w:rsidRPr="00305462">
        <w:rPr>
          <w:szCs w:val="22"/>
          <w:lang w:val="sk-SK" w:eastAsia="sk-SK"/>
        </w:rPr>
        <w:t xml:space="preserve"> znovu použiť.</w:t>
      </w:r>
    </w:p>
    <w:p w:rsidR="00FE18AC" w:rsidRPr="00305462" w:rsidRDefault="00FE18AC" w:rsidP="002F2B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• Všetky injekčné ihly a injekčné striekačky po použití dajte do nádoby na ostré predmety</w:t>
      </w:r>
    </w:p>
    <w:p w:rsidR="00FE18AC" w:rsidRPr="00305462" w:rsidRDefault="00FE18AC" w:rsidP="002F2B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(odpadková nádoba odolná proti prerezaniu).</w:t>
      </w:r>
    </w:p>
    <w:p w:rsidR="00FE18AC" w:rsidRPr="00305462" w:rsidRDefault="00FE18AC" w:rsidP="002F2B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• Nádobu uchovávajte mimo dosahu detí.</w:t>
      </w:r>
    </w:p>
    <w:p w:rsidR="00FE18AC" w:rsidRPr="00305462" w:rsidRDefault="00FE18AC" w:rsidP="002F2B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• Nádobu na ostré predmety nedávajte do bežného odpadu.</w:t>
      </w:r>
    </w:p>
    <w:p w:rsidR="007E7EBC" w:rsidRPr="00305462" w:rsidRDefault="007E7EBC" w:rsidP="007E7EBC">
      <w:pPr>
        <w:pStyle w:val="Odsekzoznamu"/>
        <w:numPr>
          <w:ilvl w:val="0"/>
          <w:numId w:val="4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42" w:hanging="142"/>
        <w:jc w:val="both"/>
        <w:rPr>
          <w:szCs w:val="22"/>
          <w:lang w:val="sk-SK" w:eastAsia="sk-SK"/>
        </w:rPr>
      </w:pPr>
      <w:r w:rsidRPr="00305462">
        <w:rPr>
          <w:szCs w:val="22"/>
          <w:lang w:val="sk-SK" w:eastAsia="sk-SK"/>
        </w:rPr>
        <w:t>Naplnenú nádobu zlikvidujte v súlade s národnými požiadavkami alebo podľa pokynov  zdravotníckeho pracovníka.</w:t>
      </w:r>
    </w:p>
    <w:p w:rsidR="0067755A" w:rsidRPr="00305462" w:rsidRDefault="0067755A" w:rsidP="007E7EBC">
      <w:pPr>
        <w:jc w:val="both"/>
        <w:rPr>
          <w:b/>
          <w:szCs w:val="22"/>
          <w:lang w:val="sk-SK"/>
        </w:rPr>
      </w:pPr>
    </w:p>
    <w:p w:rsidR="005F4496" w:rsidRPr="00305462" w:rsidRDefault="005F4496" w:rsidP="000555A7">
      <w:pPr>
        <w:ind w:left="567" w:hanging="567"/>
        <w:jc w:val="both"/>
        <w:rPr>
          <w:b/>
          <w:szCs w:val="22"/>
          <w:lang w:val="sk-SK"/>
        </w:rPr>
      </w:pPr>
    </w:p>
    <w:p w:rsidR="001D29E6" w:rsidRPr="00305462" w:rsidRDefault="001D29E6" w:rsidP="000555A7">
      <w:pPr>
        <w:ind w:left="567" w:hanging="567"/>
        <w:jc w:val="both"/>
        <w:rPr>
          <w:szCs w:val="22"/>
          <w:lang w:val="sk-SK"/>
        </w:rPr>
      </w:pPr>
      <w:r w:rsidRPr="00305462">
        <w:rPr>
          <w:b/>
          <w:szCs w:val="22"/>
          <w:lang w:val="sk-SK"/>
        </w:rPr>
        <w:t>7.</w:t>
      </w:r>
      <w:r w:rsidRPr="00305462">
        <w:rPr>
          <w:b/>
          <w:szCs w:val="22"/>
          <w:lang w:val="sk-SK"/>
        </w:rPr>
        <w:tab/>
      </w:r>
      <w:r w:rsidR="006F1EC6" w:rsidRPr="00305462">
        <w:rPr>
          <w:b/>
          <w:szCs w:val="22"/>
          <w:lang w:val="sk-SK"/>
        </w:rPr>
        <w:t>DRŽITEĽ ROZHODNUTIA O REGISTRÁCII</w:t>
      </w:r>
    </w:p>
    <w:p w:rsidR="001D29E6" w:rsidRPr="00305462" w:rsidRDefault="001D29E6" w:rsidP="000555A7">
      <w:pPr>
        <w:jc w:val="both"/>
        <w:rPr>
          <w:szCs w:val="22"/>
          <w:lang w:val="sk-SK"/>
        </w:rPr>
      </w:pPr>
    </w:p>
    <w:p w:rsidR="00866837" w:rsidRPr="00CE4CA4" w:rsidRDefault="00866837" w:rsidP="00866837">
      <w:pPr>
        <w:rPr>
          <w:color w:val="000000"/>
          <w:szCs w:val="22"/>
          <w:lang w:val="sk-SK"/>
        </w:rPr>
      </w:pPr>
      <w:proofErr w:type="spellStart"/>
      <w:r w:rsidRPr="00CE4CA4">
        <w:rPr>
          <w:color w:val="000000"/>
          <w:szCs w:val="22"/>
          <w:lang w:val="sk-SK"/>
        </w:rPr>
        <w:t>Fresenius</w:t>
      </w:r>
      <w:proofErr w:type="spellEnd"/>
      <w:r w:rsidRPr="00CE4CA4">
        <w:rPr>
          <w:color w:val="000000"/>
          <w:szCs w:val="22"/>
          <w:lang w:val="sk-SK"/>
        </w:rPr>
        <w:t xml:space="preserve"> </w:t>
      </w:r>
      <w:proofErr w:type="spellStart"/>
      <w:r w:rsidRPr="00CE4CA4">
        <w:rPr>
          <w:color w:val="000000"/>
          <w:szCs w:val="22"/>
          <w:lang w:val="sk-SK"/>
        </w:rPr>
        <w:t>Kabi</w:t>
      </w:r>
      <w:proofErr w:type="spellEnd"/>
      <w:r w:rsidRPr="00CE4CA4">
        <w:rPr>
          <w:color w:val="000000"/>
          <w:szCs w:val="22"/>
          <w:lang w:val="sk-SK"/>
        </w:rPr>
        <w:t xml:space="preserve"> s.r.o., </w:t>
      </w:r>
      <w:r>
        <w:rPr>
          <w:color w:val="000000"/>
          <w:szCs w:val="22"/>
          <w:lang w:val="sk-SK"/>
        </w:rPr>
        <w:t xml:space="preserve">Na </w:t>
      </w:r>
      <w:r w:rsidR="00934264">
        <w:rPr>
          <w:color w:val="000000"/>
          <w:szCs w:val="22"/>
          <w:lang w:val="sk-SK"/>
        </w:rPr>
        <w:t>s</w:t>
      </w:r>
      <w:bookmarkStart w:id="0" w:name="_GoBack"/>
      <w:bookmarkEnd w:id="0"/>
      <w:r>
        <w:rPr>
          <w:color w:val="000000"/>
          <w:szCs w:val="22"/>
          <w:lang w:val="sk-SK"/>
        </w:rPr>
        <w:t xml:space="preserve">trži 1702/65, </w:t>
      </w:r>
      <w:proofErr w:type="spellStart"/>
      <w:r>
        <w:rPr>
          <w:color w:val="000000"/>
          <w:szCs w:val="22"/>
          <w:lang w:val="sk-SK"/>
        </w:rPr>
        <w:t>Nusle</w:t>
      </w:r>
      <w:proofErr w:type="spellEnd"/>
      <w:r>
        <w:rPr>
          <w:color w:val="000000"/>
          <w:szCs w:val="22"/>
          <w:lang w:val="sk-SK"/>
        </w:rPr>
        <w:t xml:space="preserve">, </w:t>
      </w:r>
      <w:r w:rsidRPr="00CE4CA4">
        <w:rPr>
          <w:color w:val="000000"/>
          <w:szCs w:val="22"/>
          <w:lang w:val="sk-SK"/>
        </w:rPr>
        <w:t>140 00 Praha 4, Česká republika</w:t>
      </w:r>
    </w:p>
    <w:p w:rsidR="005F4496" w:rsidRPr="00305462" w:rsidRDefault="005F4496" w:rsidP="000555A7">
      <w:pPr>
        <w:jc w:val="both"/>
        <w:rPr>
          <w:noProof/>
          <w:szCs w:val="22"/>
          <w:lang w:val="sk-SK"/>
        </w:rPr>
      </w:pPr>
    </w:p>
    <w:p w:rsidR="0067755A" w:rsidRPr="00305462" w:rsidRDefault="0067755A" w:rsidP="000555A7">
      <w:pPr>
        <w:jc w:val="both"/>
        <w:rPr>
          <w:szCs w:val="22"/>
          <w:lang w:val="sk-SK"/>
        </w:rPr>
      </w:pPr>
    </w:p>
    <w:p w:rsidR="001D29E6" w:rsidRPr="00305462" w:rsidRDefault="001D29E6" w:rsidP="000555A7">
      <w:pPr>
        <w:ind w:left="567" w:hanging="567"/>
        <w:jc w:val="both"/>
        <w:rPr>
          <w:b/>
          <w:szCs w:val="22"/>
          <w:lang w:val="sk-SK"/>
        </w:rPr>
      </w:pPr>
      <w:r w:rsidRPr="00305462">
        <w:rPr>
          <w:b/>
          <w:szCs w:val="22"/>
          <w:lang w:val="sk-SK"/>
        </w:rPr>
        <w:t>8.</w:t>
      </w:r>
      <w:r w:rsidRPr="00305462">
        <w:rPr>
          <w:b/>
          <w:szCs w:val="22"/>
          <w:lang w:val="sk-SK"/>
        </w:rPr>
        <w:tab/>
      </w:r>
      <w:r w:rsidR="005F4496" w:rsidRPr="00305462">
        <w:rPr>
          <w:b/>
          <w:szCs w:val="22"/>
          <w:lang w:val="sk-SK"/>
        </w:rPr>
        <w:t>REGISTRAČNÉ ČÍSLO</w:t>
      </w:r>
      <w:r w:rsidRPr="00305462">
        <w:rPr>
          <w:b/>
          <w:szCs w:val="22"/>
          <w:lang w:val="sk-SK"/>
        </w:rPr>
        <w:t xml:space="preserve"> </w:t>
      </w:r>
    </w:p>
    <w:p w:rsidR="001D29E6" w:rsidRPr="00305462" w:rsidRDefault="001D29E6" w:rsidP="000555A7">
      <w:pPr>
        <w:jc w:val="both"/>
        <w:rPr>
          <w:i/>
          <w:szCs w:val="22"/>
          <w:lang w:val="sk-SK"/>
        </w:rPr>
      </w:pPr>
    </w:p>
    <w:p w:rsidR="001D29E6" w:rsidRPr="00305462" w:rsidRDefault="00CB1EF7" w:rsidP="000555A7">
      <w:pPr>
        <w:jc w:val="both"/>
        <w:rPr>
          <w:szCs w:val="22"/>
          <w:lang w:val="sk-SK"/>
        </w:rPr>
      </w:pPr>
      <w:r w:rsidRPr="00305462">
        <w:rPr>
          <w:szCs w:val="22"/>
          <w:lang w:val="sk-SK"/>
        </w:rPr>
        <w:t>87/0211/16-S</w:t>
      </w:r>
    </w:p>
    <w:p w:rsidR="00CB1EF7" w:rsidRPr="00305462" w:rsidRDefault="00CB1EF7" w:rsidP="000555A7">
      <w:pPr>
        <w:jc w:val="both"/>
        <w:rPr>
          <w:szCs w:val="22"/>
          <w:lang w:val="sk-SK"/>
        </w:rPr>
      </w:pPr>
    </w:p>
    <w:p w:rsidR="001D29E6" w:rsidRPr="00305462" w:rsidRDefault="001D29E6">
      <w:pPr>
        <w:rPr>
          <w:szCs w:val="22"/>
          <w:lang w:val="sk-SK"/>
        </w:rPr>
      </w:pPr>
    </w:p>
    <w:p w:rsidR="003E77DB" w:rsidRPr="00305462" w:rsidRDefault="003E77DB" w:rsidP="003E77DB">
      <w:pPr>
        <w:spacing w:line="240" w:lineRule="auto"/>
        <w:ind w:left="567" w:hanging="567"/>
        <w:rPr>
          <w:szCs w:val="22"/>
          <w:lang w:val="sk-SK"/>
        </w:rPr>
      </w:pPr>
      <w:r w:rsidRPr="00305462">
        <w:rPr>
          <w:b/>
          <w:szCs w:val="22"/>
          <w:lang w:val="sk-SK"/>
        </w:rPr>
        <w:t>9.</w:t>
      </w:r>
      <w:r w:rsidRPr="00305462">
        <w:rPr>
          <w:b/>
          <w:szCs w:val="22"/>
          <w:lang w:val="sk-SK"/>
        </w:rPr>
        <w:tab/>
      </w:r>
      <w:r w:rsidR="005F4496" w:rsidRPr="00305462">
        <w:rPr>
          <w:b/>
          <w:szCs w:val="22"/>
          <w:lang w:val="sk-SK"/>
        </w:rPr>
        <w:t>DÁTUM PRVEJ REGISTRÁCIE/PREDĹŽENIA REGISTRÁCIE</w:t>
      </w:r>
    </w:p>
    <w:p w:rsidR="003E77DB" w:rsidRPr="00305462" w:rsidRDefault="003E77DB" w:rsidP="003E77DB">
      <w:pPr>
        <w:spacing w:line="240" w:lineRule="auto"/>
        <w:rPr>
          <w:i/>
          <w:szCs w:val="22"/>
          <w:lang w:val="sk-SK"/>
        </w:rPr>
      </w:pPr>
    </w:p>
    <w:p w:rsidR="003E77DB" w:rsidRPr="00305462" w:rsidRDefault="004D3F09" w:rsidP="003E77DB">
      <w:pPr>
        <w:spacing w:line="240" w:lineRule="auto"/>
        <w:rPr>
          <w:szCs w:val="22"/>
          <w:lang w:val="sk-SK"/>
        </w:rPr>
      </w:pPr>
      <w:r w:rsidRPr="00305462">
        <w:rPr>
          <w:szCs w:val="22"/>
          <w:lang w:val="sk-SK"/>
        </w:rPr>
        <w:t>Dátum prvej registrácie lieku:</w:t>
      </w:r>
      <w:r w:rsidR="001A189F" w:rsidRPr="00305462">
        <w:rPr>
          <w:szCs w:val="22"/>
          <w:lang w:val="sk-SK"/>
        </w:rPr>
        <w:t xml:space="preserve"> 22.4.2016</w:t>
      </w:r>
    </w:p>
    <w:p w:rsidR="003E77DB" w:rsidRDefault="003E77DB" w:rsidP="003E77DB">
      <w:pPr>
        <w:spacing w:line="240" w:lineRule="auto"/>
        <w:rPr>
          <w:szCs w:val="22"/>
          <w:lang w:val="sk-SK"/>
        </w:rPr>
      </w:pPr>
    </w:p>
    <w:p w:rsidR="004B2A9D" w:rsidRPr="00305462" w:rsidRDefault="004B2A9D" w:rsidP="003E77DB">
      <w:pPr>
        <w:spacing w:line="240" w:lineRule="auto"/>
        <w:rPr>
          <w:szCs w:val="22"/>
          <w:lang w:val="sk-SK"/>
        </w:rPr>
      </w:pPr>
    </w:p>
    <w:p w:rsidR="003C211E" w:rsidRDefault="003C211E" w:rsidP="003C211E">
      <w:pPr>
        <w:spacing w:line="240" w:lineRule="auto"/>
        <w:ind w:left="567" w:hanging="567"/>
        <w:rPr>
          <w:b/>
          <w:szCs w:val="22"/>
          <w:lang w:val="sk-SK"/>
        </w:rPr>
      </w:pPr>
    </w:p>
    <w:p w:rsidR="003C211E" w:rsidRDefault="003E77DB" w:rsidP="003C211E">
      <w:pPr>
        <w:spacing w:line="240" w:lineRule="auto"/>
        <w:ind w:left="567" w:hanging="567"/>
        <w:rPr>
          <w:b/>
          <w:szCs w:val="22"/>
          <w:lang w:val="sk-SK"/>
        </w:rPr>
      </w:pPr>
      <w:r w:rsidRPr="00305462">
        <w:rPr>
          <w:b/>
          <w:szCs w:val="22"/>
          <w:lang w:val="sk-SK"/>
        </w:rPr>
        <w:lastRenderedPageBreak/>
        <w:t>10.</w:t>
      </w:r>
      <w:r w:rsidRPr="00305462">
        <w:rPr>
          <w:b/>
          <w:szCs w:val="22"/>
          <w:lang w:val="sk-SK"/>
        </w:rPr>
        <w:tab/>
        <w:t>DAT</w:t>
      </w:r>
      <w:r w:rsidR="005F4496" w:rsidRPr="00305462">
        <w:rPr>
          <w:b/>
          <w:szCs w:val="22"/>
          <w:lang w:val="sk-SK"/>
        </w:rPr>
        <w:t>UM REVÍZIE TEXTU</w:t>
      </w:r>
    </w:p>
    <w:p w:rsidR="003C211E" w:rsidRDefault="003C211E" w:rsidP="003C211E">
      <w:pPr>
        <w:spacing w:line="240" w:lineRule="auto"/>
        <w:ind w:left="567" w:hanging="567"/>
        <w:rPr>
          <w:b/>
          <w:szCs w:val="22"/>
          <w:lang w:val="sk-SK"/>
        </w:rPr>
      </w:pPr>
    </w:p>
    <w:p w:rsidR="001D29E6" w:rsidRPr="00305462" w:rsidRDefault="003C211E" w:rsidP="003C211E">
      <w:pPr>
        <w:spacing w:line="240" w:lineRule="auto"/>
        <w:ind w:left="567" w:hanging="567"/>
        <w:rPr>
          <w:b/>
          <w:noProof/>
          <w:szCs w:val="22"/>
          <w:lang w:val="sk-SK"/>
        </w:rPr>
      </w:pPr>
      <w:r>
        <w:rPr>
          <w:iCs/>
          <w:szCs w:val="22"/>
          <w:lang w:val="sk-SK"/>
        </w:rPr>
        <w:t>02/2018</w:t>
      </w:r>
    </w:p>
    <w:p w:rsidR="001D29E6" w:rsidRPr="00305462" w:rsidRDefault="001D29E6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</w:p>
    <w:sectPr w:rsidR="001D29E6" w:rsidRPr="00305462" w:rsidSect="00372CC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528" w:right="1440" w:bottom="1900" w:left="1440" w:header="709" w:footer="13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2F9" w:rsidRDefault="003602F9">
      <w:r>
        <w:separator/>
      </w:r>
    </w:p>
  </w:endnote>
  <w:endnote w:type="continuationSeparator" w:id="0">
    <w:p w:rsidR="003602F9" w:rsidRDefault="00360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F8" w:rsidRDefault="004B26E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192FF8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192FF8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3C211E">
      <w:rPr>
        <w:rStyle w:val="slostrany"/>
        <w:rFonts w:ascii="Arial" w:hAnsi="Arial" w:cs="Arial"/>
        <w:noProof/>
      </w:rPr>
      <w:t>13</w:t>
    </w:r>
    <w:r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F8" w:rsidRDefault="004B26E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192FF8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192FF8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372CC0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2F9" w:rsidRDefault="003602F9">
      <w:r>
        <w:separator/>
      </w:r>
    </w:p>
  </w:footnote>
  <w:footnote w:type="continuationSeparator" w:id="0">
    <w:p w:rsidR="003602F9" w:rsidRDefault="00360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CC0" w:rsidRDefault="00372CC0">
    <w:pPr>
      <w:pStyle w:val="Hlavika"/>
    </w:pPr>
    <w:r>
      <w:rPr>
        <w:rFonts w:ascii="Times New Roman" w:hAnsi="Times New Roman"/>
        <w:sz w:val="18"/>
        <w:szCs w:val="18"/>
        <w:lang w:val="sk-SK"/>
      </w:rPr>
      <w:t xml:space="preserve">Príloha č. 2 k notifikácii o zmene, ev. č.: </w:t>
    </w:r>
    <w:r w:rsidRPr="001B3809">
      <w:rPr>
        <w:rFonts w:ascii="Times New Roman" w:hAnsi="Times New Roman"/>
        <w:sz w:val="18"/>
        <w:szCs w:val="18"/>
        <w:lang w:val="sk-SK"/>
      </w:rPr>
      <w:t>201</w:t>
    </w:r>
    <w:r>
      <w:rPr>
        <w:rFonts w:ascii="Times New Roman" w:hAnsi="Times New Roman"/>
        <w:sz w:val="18"/>
        <w:szCs w:val="18"/>
        <w:lang w:val="sk-SK"/>
      </w:rPr>
      <w:t>7/04494-Z1A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F8" w:rsidRDefault="00192FF8">
    <w:pPr>
      <w:pStyle w:val="Hlavika"/>
    </w:pPr>
    <w:r>
      <w:rPr>
        <w:rFonts w:ascii="Times New Roman" w:hAnsi="Times New Roman"/>
        <w:sz w:val="18"/>
        <w:szCs w:val="18"/>
        <w:lang w:val="sk-SK"/>
      </w:rPr>
      <w:t xml:space="preserve">Príloha č. </w:t>
    </w:r>
    <w:r w:rsidR="00372CC0">
      <w:rPr>
        <w:rFonts w:ascii="Times New Roman" w:hAnsi="Times New Roman"/>
        <w:sz w:val="18"/>
        <w:szCs w:val="18"/>
        <w:lang w:val="sk-SK"/>
      </w:rPr>
      <w:t>2</w:t>
    </w:r>
    <w:r>
      <w:rPr>
        <w:rFonts w:ascii="Times New Roman" w:hAnsi="Times New Roman"/>
        <w:sz w:val="18"/>
        <w:szCs w:val="18"/>
        <w:lang w:val="sk-SK"/>
      </w:rPr>
      <w:t xml:space="preserve"> k notifikácii o zmene, ev. č.: </w:t>
    </w:r>
    <w:r w:rsidRPr="001B3809">
      <w:rPr>
        <w:rFonts w:ascii="Times New Roman" w:hAnsi="Times New Roman"/>
        <w:sz w:val="18"/>
        <w:szCs w:val="18"/>
        <w:lang w:val="sk-SK"/>
      </w:rPr>
      <w:t>201</w:t>
    </w:r>
    <w:r w:rsidR="00866837">
      <w:rPr>
        <w:rFonts w:ascii="Times New Roman" w:hAnsi="Times New Roman"/>
        <w:sz w:val="18"/>
        <w:szCs w:val="18"/>
        <w:lang w:val="sk-SK"/>
      </w:rPr>
      <w:t>7/04494-Z1A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06484"/>
    <w:multiLevelType w:val="hybridMultilevel"/>
    <w:tmpl w:val="1C1CA990"/>
    <w:lvl w:ilvl="0" w:tplc="1C08C2D0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60D99"/>
    <w:multiLevelType w:val="hybridMultilevel"/>
    <w:tmpl w:val="3AE025A2"/>
    <w:lvl w:ilvl="0" w:tplc="A2041D2A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116809"/>
    <w:multiLevelType w:val="hybridMultilevel"/>
    <w:tmpl w:val="A36E6400"/>
    <w:lvl w:ilvl="0" w:tplc="06F4382E">
      <w:start w:val="1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>
    <w:nsid w:val="650F3179"/>
    <w:multiLevelType w:val="hybridMultilevel"/>
    <w:tmpl w:val="A656C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2"/>
  </w:num>
  <w:num w:numId="6">
    <w:abstractNumId w:val="23"/>
  </w:num>
  <w:num w:numId="7">
    <w:abstractNumId w:val="22"/>
  </w:num>
  <w:num w:numId="8">
    <w:abstractNumId w:val="8"/>
  </w:num>
  <w:num w:numId="9">
    <w:abstractNumId w:val="33"/>
  </w:num>
  <w:num w:numId="10">
    <w:abstractNumId w:val="34"/>
  </w:num>
  <w:num w:numId="11">
    <w:abstractNumId w:val="17"/>
  </w:num>
  <w:num w:numId="12">
    <w:abstractNumId w:val="14"/>
  </w:num>
  <w:num w:numId="13">
    <w:abstractNumId w:val="4"/>
  </w:num>
  <w:num w:numId="14">
    <w:abstractNumId w:val="32"/>
  </w:num>
  <w:num w:numId="15">
    <w:abstractNumId w:val="19"/>
  </w:num>
  <w:num w:numId="16">
    <w:abstractNumId w:val="37"/>
  </w:num>
  <w:num w:numId="17">
    <w:abstractNumId w:val="9"/>
  </w:num>
  <w:num w:numId="18">
    <w:abstractNumId w:val="3"/>
  </w:num>
  <w:num w:numId="19">
    <w:abstractNumId w:val="18"/>
  </w:num>
  <w:num w:numId="20">
    <w:abstractNumId w:val="5"/>
  </w:num>
  <w:num w:numId="21">
    <w:abstractNumId w:val="7"/>
  </w:num>
  <w:num w:numId="22">
    <w:abstractNumId w:val="26"/>
  </w:num>
  <w:num w:numId="23">
    <w:abstractNumId w:val="31"/>
  </w:num>
  <w:num w:numId="24">
    <w:abstractNumId w:val="25"/>
  </w:num>
  <w:num w:numId="25">
    <w:abstractNumId w:val="13"/>
  </w:num>
  <w:num w:numId="26">
    <w:abstractNumId w:val="11"/>
  </w:num>
  <w:num w:numId="27">
    <w:abstractNumId w:val="20"/>
  </w:num>
  <w:num w:numId="28">
    <w:abstractNumId w:val="24"/>
  </w:num>
  <w:num w:numId="29">
    <w:abstractNumId w:val="15"/>
  </w:num>
  <w:num w:numId="30">
    <w:abstractNumId w:val="10"/>
  </w:num>
  <w:num w:numId="31">
    <w:abstractNumId w:val="28"/>
  </w:num>
  <w:num w:numId="32">
    <w:abstractNumId w:val="29"/>
  </w:num>
  <w:num w:numId="33">
    <w:abstractNumId w:val="27"/>
  </w:num>
  <w:num w:numId="34">
    <w:abstractNumId w:val="16"/>
  </w:num>
  <w:num w:numId="35">
    <w:abstractNumId w:val="6"/>
  </w:num>
  <w:num w:numId="36">
    <w:abstractNumId w:val="38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Times New Roman" w:hAnsi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552"/>
        <w:lvlJc w:val="left"/>
        <w:rPr>
          <w:rFonts w:ascii="Times New Roman" w:hAnsi="Times New Roman" w:hint="default"/>
        </w:rPr>
      </w:lvl>
    </w:lvlOverride>
  </w:num>
  <w:num w:numId="39">
    <w:abstractNumId w:val="21"/>
  </w:num>
  <w:num w:numId="40">
    <w:abstractNumId w:val="30"/>
  </w:num>
  <w:num w:numId="41">
    <w:abstractNumId w:val="1"/>
  </w:num>
  <w:num w:numId="4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ácia">
    <w15:presenceInfo w15:providerId="None" w15:userId="registrácia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pt-PT" w:vendorID="13" w:dllVersion="513" w:checkStyle="1"/>
  <w:proofState w:spelling="clean" w:grammar="clean"/>
  <w:stylePaneFormatFilter w:val="3F01"/>
  <w:trackRevisions/>
  <w:doNotTrackFormatting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docVars>
    <w:docVar w:name="Registered" w:val="-1"/>
    <w:docVar w:name="Version" w:val="0"/>
  </w:docVars>
  <w:rsids>
    <w:rsidRoot w:val="00C53ACC"/>
    <w:rsid w:val="00005B8B"/>
    <w:rsid w:val="0000717B"/>
    <w:rsid w:val="000078F4"/>
    <w:rsid w:val="00010A3D"/>
    <w:rsid w:val="00015027"/>
    <w:rsid w:val="00022604"/>
    <w:rsid w:val="000241DA"/>
    <w:rsid w:val="00026094"/>
    <w:rsid w:val="00054A55"/>
    <w:rsid w:val="000555A7"/>
    <w:rsid w:val="00067B6C"/>
    <w:rsid w:val="00067D17"/>
    <w:rsid w:val="000731FD"/>
    <w:rsid w:val="00073FB3"/>
    <w:rsid w:val="00080164"/>
    <w:rsid w:val="000840B9"/>
    <w:rsid w:val="00087FE7"/>
    <w:rsid w:val="0009630F"/>
    <w:rsid w:val="00097ABB"/>
    <w:rsid w:val="000A0637"/>
    <w:rsid w:val="000A30F3"/>
    <w:rsid w:val="000B2D1D"/>
    <w:rsid w:val="000B3BCF"/>
    <w:rsid w:val="000C1BCC"/>
    <w:rsid w:val="000C3724"/>
    <w:rsid w:val="000C4815"/>
    <w:rsid w:val="000D24CC"/>
    <w:rsid w:val="000D51C2"/>
    <w:rsid w:val="000F20EA"/>
    <w:rsid w:val="000F41A3"/>
    <w:rsid w:val="000F6C35"/>
    <w:rsid w:val="0010440D"/>
    <w:rsid w:val="00110251"/>
    <w:rsid w:val="0011581C"/>
    <w:rsid w:val="00117B91"/>
    <w:rsid w:val="00124C9C"/>
    <w:rsid w:val="00141F5A"/>
    <w:rsid w:val="001420CA"/>
    <w:rsid w:val="00143212"/>
    <w:rsid w:val="00147766"/>
    <w:rsid w:val="0015062B"/>
    <w:rsid w:val="00150F83"/>
    <w:rsid w:val="00156BFB"/>
    <w:rsid w:val="001613B0"/>
    <w:rsid w:val="00165345"/>
    <w:rsid w:val="001661B8"/>
    <w:rsid w:val="00167DAD"/>
    <w:rsid w:val="001767AA"/>
    <w:rsid w:val="001867E0"/>
    <w:rsid w:val="00192FF8"/>
    <w:rsid w:val="0019303E"/>
    <w:rsid w:val="00194817"/>
    <w:rsid w:val="001949CF"/>
    <w:rsid w:val="001A189F"/>
    <w:rsid w:val="001B0B36"/>
    <w:rsid w:val="001B142D"/>
    <w:rsid w:val="001B3464"/>
    <w:rsid w:val="001B3809"/>
    <w:rsid w:val="001B52F0"/>
    <w:rsid w:val="001D29E6"/>
    <w:rsid w:val="001D4F3B"/>
    <w:rsid w:val="001D6887"/>
    <w:rsid w:val="001D704F"/>
    <w:rsid w:val="001E0FB7"/>
    <w:rsid w:val="00206569"/>
    <w:rsid w:val="00207E82"/>
    <w:rsid w:val="00212362"/>
    <w:rsid w:val="00216DCE"/>
    <w:rsid w:val="00225468"/>
    <w:rsid w:val="00227A1A"/>
    <w:rsid w:val="00227D00"/>
    <w:rsid w:val="002303CF"/>
    <w:rsid w:val="00230631"/>
    <w:rsid w:val="00230CB0"/>
    <w:rsid w:val="0023184A"/>
    <w:rsid w:val="0023732E"/>
    <w:rsid w:val="00241E20"/>
    <w:rsid w:val="00246C7F"/>
    <w:rsid w:val="00252B29"/>
    <w:rsid w:val="0025750D"/>
    <w:rsid w:val="00265A6A"/>
    <w:rsid w:val="00270967"/>
    <w:rsid w:val="00273341"/>
    <w:rsid w:val="00280BD2"/>
    <w:rsid w:val="002826DD"/>
    <w:rsid w:val="00290828"/>
    <w:rsid w:val="00291B1B"/>
    <w:rsid w:val="00297BDC"/>
    <w:rsid w:val="002B1245"/>
    <w:rsid w:val="002C06D8"/>
    <w:rsid w:val="002C25D2"/>
    <w:rsid w:val="002C739C"/>
    <w:rsid w:val="002D5EA2"/>
    <w:rsid w:val="002D61F8"/>
    <w:rsid w:val="002E6264"/>
    <w:rsid w:val="002F2B92"/>
    <w:rsid w:val="002F4930"/>
    <w:rsid w:val="00301ADD"/>
    <w:rsid w:val="00305462"/>
    <w:rsid w:val="0031220F"/>
    <w:rsid w:val="00315D5B"/>
    <w:rsid w:val="00317161"/>
    <w:rsid w:val="00327012"/>
    <w:rsid w:val="0033393A"/>
    <w:rsid w:val="003376CB"/>
    <w:rsid w:val="00347B8A"/>
    <w:rsid w:val="00355826"/>
    <w:rsid w:val="003602F9"/>
    <w:rsid w:val="00364FF0"/>
    <w:rsid w:val="00372596"/>
    <w:rsid w:val="00372CC0"/>
    <w:rsid w:val="00380874"/>
    <w:rsid w:val="00384372"/>
    <w:rsid w:val="00394DEF"/>
    <w:rsid w:val="003A434B"/>
    <w:rsid w:val="003B4014"/>
    <w:rsid w:val="003C211E"/>
    <w:rsid w:val="003C2A4C"/>
    <w:rsid w:val="003E77DB"/>
    <w:rsid w:val="003F6242"/>
    <w:rsid w:val="00401E99"/>
    <w:rsid w:val="00402064"/>
    <w:rsid w:val="00410900"/>
    <w:rsid w:val="00413191"/>
    <w:rsid w:val="00415687"/>
    <w:rsid w:val="00421410"/>
    <w:rsid w:val="00422046"/>
    <w:rsid w:val="004270F5"/>
    <w:rsid w:val="00435A60"/>
    <w:rsid w:val="00435B2C"/>
    <w:rsid w:val="00437BCC"/>
    <w:rsid w:val="00441F1D"/>
    <w:rsid w:val="00441F39"/>
    <w:rsid w:val="00442A9C"/>
    <w:rsid w:val="00457198"/>
    <w:rsid w:val="00463D29"/>
    <w:rsid w:val="00471905"/>
    <w:rsid w:val="00486400"/>
    <w:rsid w:val="004930F4"/>
    <w:rsid w:val="004A7BEA"/>
    <w:rsid w:val="004B1397"/>
    <w:rsid w:val="004B26E1"/>
    <w:rsid w:val="004B2A9D"/>
    <w:rsid w:val="004C740F"/>
    <w:rsid w:val="004D3F09"/>
    <w:rsid w:val="004E17B0"/>
    <w:rsid w:val="004E484B"/>
    <w:rsid w:val="004E571C"/>
    <w:rsid w:val="004F0E65"/>
    <w:rsid w:val="00511ADC"/>
    <w:rsid w:val="00515A7F"/>
    <w:rsid w:val="00523243"/>
    <w:rsid w:val="00530DE9"/>
    <w:rsid w:val="0053173E"/>
    <w:rsid w:val="00532684"/>
    <w:rsid w:val="00532721"/>
    <w:rsid w:val="00547410"/>
    <w:rsid w:val="00557043"/>
    <w:rsid w:val="00560439"/>
    <w:rsid w:val="00560F12"/>
    <w:rsid w:val="005635D2"/>
    <w:rsid w:val="00573FE7"/>
    <w:rsid w:val="005779A7"/>
    <w:rsid w:val="00581DAF"/>
    <w:rsid w:val="005833FA"/>
    <w:rsid w:val="00596970"/>
    <w:rsid w:val="005A2190"/>
    <w:rsid w:val="005A6549"/>
    <w:rsid w:val="005A72BA"/>
    <w:rsid w:val="005C44CF"/>
    <w:rsid w:val="005D7285"/>
    <w:rsid w:val="005E18EB"/>
    <w:rsid w:val="005E6AB7"/>
    <w:rsid w:val="005F4496"/>
    <w:rsid w:val="00601CAE"/>
    <w:rsid w:val="00605EF3"/>
    <w:rsid w:val="00610B88"/>
    <w:rsid w:val="0061551C"/>
    <w:rsid w:val="0062125C"/>
    <w:rsid w:val="0062349C"/>
    <w:rsid w:val="006247B6"/>
    <w:rsid w:val="006271F0"/>
    <w:rsid w:val="00631FC9"/>
    <w:rsid w:val="00635633"/>
    <w:rsid w:val="00642775"/>
    <w:rsid w:val="00644880"/>
    <w:rsid w:val="00645B5A"/>
    <w:rsid w:val="006600D7"/>
    <w:rsid w:val="00662679"/>
    <w:rsid w:val="0067755A"/>
    <w:rsid w:val="006853A7"/>
    <w:rsid w:val="00685474"/>
    <w:rsid w:val="006A011B"/>
    <w:rsid w:val="006A4038"/>
    <w:rsid w:val="006B6A65"/>
    <w:rsid w:val="006B7C30"/>
    <w:rsid w:val="006B7CF5"/>
    <w:rsid w:val="006C25BA"/>
    <w:rsid w:val="006C4387"/>
    <w:rsid w:val="006C5957"/>
    <w:rsid w:val="006D1FC2"/>
    <w:rsid w:val="006E5E53"/>
    <w:rsid w:val="006F1EC6"/>
    <w:rsid w:val="00705DC5"/>
    <w:rsid w:val="00713BF5"/>
    <w:rsid w:val="007147B4"/>
    <w:rsid w:val="00714F00"/>
    <w:rsid w:val="00716239"/>
    <w:rsid w:val="007202C8"/>
    <w:rsid w:val="0072074B"/>
    <w:rsid w:val="00720DD0"/>
    <w:rsid w:val="00727DF9"/>
    <w:rsid w:val="0073053B"/>
    <w:rsid w:val="0073339D"/>
    <w:rsid w:val="00737679"/>
    <w:rsid w:val="007435E2"/>
    <w:rsid w:val="0074478F"/>
    <w:rsid w:val="007506DC"/>
    <w:rsid w:val="00754D1E"/>
    <w:rsid w:val="0076222A"/>
    <w:rsid w:val="007675CC"/>
    <w:rsid w:val="00781CEA"/>
    <w:rsid w:val="00785C16"/>
    <w:rsid w:val="007874D1"/>
    <w:rsid w:val="007A29D8"/>
    <w:rsid w:val="007B13B5"/>
    <w:rsid w:val="007B311D"/>
    <w:rsid w:val="007C0C1D"/>
    <w:rsid w:val="007C0F40"/>
    <w:rsid w:val="007C3D4E"/>
    <w:rsid w:val="007C56D9"/>
    <w:rsid w:val="007D0103"/>
    <w:rsid w:val="007D25F7"/>
    <w:rsid w:val="007E7EBC"/>
    <w:rsid w:val="007F32BA"/>
    <w:rsid w:val="00807668"/>
    <w:rsid w:val="00810759"/>
    <w:rsid w:val="00811E01"/>
    <w:rsid w:val="00820217"/>
    <w:rsid w:val="00821A95"/>
    <w:rsid w:val="00822283"/>
    <w:rsid w:val="0082385E"/>
    <w:rsid w:val="008263A2"/>
    <w:rsid w:val="00831691"/>
    <w:rsid w:val="008441B7"/>
    <w:rsid w:val="00845CC7"/>
    <w:rsid w:val="0085214D"/>
    <w:rsid w:val="00860A24"/>
    <w:rsid w:val="00860DFD"/>
    <w:rsid w:val="00866837"/>
    <w:rsid w:val="00866A92"/>
    <w:rsid w:val="0087094A"/>
    <w:rsid w:val="00873421"/>
    <w:rsid w:val="008778AA"/>
    <w:rsid w:val="00883D63"/>
    <w:rsid w:val="00886B7B"/>
    <w:rsid w:val="008A09F1"/>
    <w:rsid w:val="008A1EFC"/>
    <w:rsid w:val="008B01B6"/>
    <w:rsid w:val="008B4EE4"/>
    <w:rsid w:val="008D359E"/>
    <w:rsid w:val="008E4185"/>
    <w:rsid w:val="008E433A"/>
    <w:rsid w:val="008E5BDE"/>
    <w:rsid w:val="008E7337"/>
    <w:rsid w:val="008F3E34"/>
    <w:rsid w:val="0090293C"/>
    <w:rsid w:val="009053AF"/>
    <w:rsid w:val="009158C1"/>
    <w:rsid w:val="00923F3E"/>
    <w:rsid w:val="00924C27"/>
    <w:rsid w:val="00926505"/>
    <w:rsid w:val="00933993"/>
    <w:rsid w:val="00934264"/>
    <w:rsid w:val="009533A8"/>
    <w:rsid w:val="009566B6"/>
    <w:rsid w:val="00957C0E"/>
    <w:rsid w:val="00961A96"/>
    <w:rsid w:val="00962804"/>
    <w:rsid w:val="00971A9B"/>
    <w:rsid w:val="00971ECD"/>
    <w:rsid w:val="00977AE9"/>
    <w:rsid w:val="0098781C"/>
    <w:rsid w:val="009917F9"/>
    <w:rsid w:val="00992360"/>
    <w:rsid w:val="0099377A"/>
    <w:rsid w:val="00993D04"/>
    <w:rsid w:val="009942D1"/>
    <w:rsid w:val="009A4A6D"/>
    <w:rsid w:val="009A569F"/>
    <w:rsid w:val="009B6882"/>
    <w:rsid w:val="009C3F30"/>
    <w:rsid w:val="009F755B"/>
    <w:rsid w:val="00A00174"/>
    <w:rsid w:val="00A0282F"/>
    <w:rsid w:val="00A11CAB"/>
    <w:rsid w:val="00A24062"/>
    <w:rsid w:val="00A24414"/>
    <w:rsid w:val="00A25EEF"/>
    <w:rsid w:val="00A30CF3"/>
    <w:rsid w:val="00A35C73"/>
    <w:rsid w:val="00A3631D"/>
    <w:rsid w:val="00A371B8"/>
    <w:rsid w:val="00A4315F"/>
    <w:rsid w:val="00A43963"/>
    <w:rsid w:val="00A44FA3"/>
    <w:rsid w:val="00A46CDF"/>
    <w:rsid w:val="00A66A16"/>
    <w:rsid w:val="00A73316"/>
    <w:rsid w:val="00A80C4E"/>
    <w:rsid w:val="00A81F75"/>
    <w:rsid w:val="00A82ACA"/>
    <w:rsid w:val="00AA3136"/>
    <w:rsid w:val="00AB4B1B"/>
    <w:rsid w:val="00AB555D"/>
    <w:rsid w:val="00AC2712"/>
    <w:rsid w:val="00AC5A8F"/>
    <w:rsid w:val="00AC631D"/>
    <w:rsid w:val="00AC6413"/>
    <w:rsid w:val="00AC66FE"/>
    <w:rsid w:val="00AC747F"/>
    <w:rsid w:val="00AD7320"/>
    <w:rsid w:val="00AE2058"/>
    <w:rsid w:val="00AE791F"/>
    <w:rsid w:val="00AF076A"/>
    <w:rsid w:val="00AF1844"/>
    <w:rsid w:val="00AF31CD"/>
    <w:rsid w:val="00B0060E"/>
    <w:rsid w:val="00B046F7"/>
    <w:rsid w:val="00B047D9"/>
    <w:rsid w:val="00B13F06"/>
    <w:rsid w:val="00B1530F"/>
    <w:rsid w:val="00B17385"/>
    <w:rsid w:val="00B173F7"/>
    <w:rsid w:val="00B2113C"/>
    <w:rsid w:val="00B44280"/>
    <w:rsid w:val="00B52A90"/>
    <w:rsid w:val="00B55164"/>
    <w:rsid w:val="00B57A2E"/>
    <w:rsid w:val="00B63D94"/>
    <w:rsid w:val="00B7122F"/>
    <w:rsid w:val="00B759A6"/>
    <w:rsid w:val="00B816F8"/>
    <w:rsid w:val="00B82138"/>
    <w:rsid w:val="00B82A17"/>
    <w:rsid w:val="00B8386E"/>
    <w:rsid w:val="00B86864"/>
    <w:rsid w:val="00B91C51"/>
    <w:rsid w:val="00B93404"/>
    <w:rsid w:val="00B95921"/>
    <w:rsid w:val="00B95A2F"/>
    <w:rsid w:val="00B96FEA"/>
    <w:rsid w:val="00BB0B35"/>
    <w:rsid w:val="00BB1208"/>
    <w:rsid w:val="00BB38D3"/>
    <w:rsid w:val="00BB3BF8"/>
    <w:rsid w:val="00BB52C9"/>
    <w:rsid w:val="00BB7E5B"/>
    <w:rsid w:val="00BC6429"/>
    <w:rsid w:val="00BD2D00"/>
    <w:rsid w:val="00BD2EFE"/>
    <w:rsid w:val="00BD380D"/>
    <w:rsid w:val="00BD4C3B"/>
    <w:rsid w:val="00BE2715"/>
    <w:rsid w:val="00BF1283"/>
    <w:rsid w:val="00BF596B"/>
    <w:rsid w:val="00C072C4"/>
    <w:rsid w:val="00C07667"/>
    <w:rsid w:val="00C14C12"/>
    <w:rsid w:val="00C3432B"/>
    <w:rsid w:val="00C51FFC"/>
    <w:rsid w:val="00C53ACC"/>
    <w:rsid w:val="00C55AF8"/>
    <w:rsid w:val="00C55BDE"/>
    <w:rsid w:val="00C564C8"/>
    <w:rsid w:val="00C6054A"/>
    <w:rsid w:val="00C63431"/>
    <w:rsid w:val="00C64C26"/>
    <w:rsid w:val="00C73415"/>
    <w:rsid w:val="00C73450"/>
    <w:rsid w:val="00C77498"/>
    <w:rsid w:val="00C77EB1"/>
    <w:rsid w:val="00C82074"/>
    <w:rsid w:val="00C90840"/>
    <w:rsid w:val="00C94272"/>
    <w:rsid w:val="00CA4BE9"/>
    <w:rsid w:val="00CA6026"/>
    <w:rsid w:val="00CB1EF7"/>
    <w:rsid w:val="00CC056F"/>
    <w:rsid w:val="00CC13EC"/>
    <w:rsid w:val="00CC311B"/>
    <w:rsid w:val="00CC3A19"/>
    <w:rsid w:val="00CC62B7"/>
    <w:rsid w:val="00CD66D1"/>
    <w:rsid w:val="00CE0A89"/>
    <w:rsid w:val="00CE5580"/>
    <w:rsid w:val="00CF7501"/>
    <w:rsid w:val="00D027A8"/>
    <w:rsid w:val="00D1278E"/>
    <w:rsid w:val="00D1323F"/>
    <w:rsid w:val="00D13A7B"/>
    <w:rsid w:val="00D16C32"/>
    <w:rsid w:val="00D2019E"/>
    <w:rsid w:val="00D20560"/>
    <w:rsid w:val="00D3032A"/>
    <w:rsid w:val="00D3170E"/>
    <w:rsid w:val="00D37618"/>
    <w:rsid w:val="00D434E6"/>
    <w:rsid w:val="00D53B83"/>
    <w:rsid w:val="00D56B2F"/>
    <w:rsid w:val="00D60F1D"/>
    <w:rsid w:val="00D63A42"/>
    <w:rsid w:val="00D704CE"/>
    <w:rsid w:val="00D94131"/>
    <w:rsid w:val="00D945DA"/>
    <w:rsid w:val="00D9502C"/>
    <w:rsid w:val="00DA4140"/>
    <w:rsid w:val="00DA633E"/>
    <w:rsid w:val="00DA6E9D"/>
    <w:rsid w:val="00DB26D8"/>
    <w:rsid w:val="00DC133A"/>
    <w:rsid w:val="00DD151F"/>
    <w:rsid w:val="00DD32BD"/>
    <w:rsid w:val="00DD60BE"/>
    <w:rsid w:val="00DE151E"/>
    <w:rsid w:val="00DE1E0D"/>
    <w:rsid w:val="00DF4855"/>
    <w:rsid w:val="00DF5AAA"/>
    <w:rsid w:val="00E03B8C"/>
    <w:rsid w:val="00E06B4B"/>
    <w:rsid w:val="00E13294"/>
    <w:rsid w:val="00E16DC6"/>
    <w:rsid w:val="00E21705"/>
    <w:rsid w:val="00E232B1"/>
    <w:rsid w:val="00E25480"/>
    <w:rsid w:val="00E25CB1"/>
    <w:rsid w:val="00E34C6E"/>
    <w:rsid w:val="00E4184A"/>
    <w:rsid w:val="00E41EB7"/>
    <w:rsid w:val="00E47A82"/>
    <w:rsid w:val="00E52D3D"/>
    <w:rsid w:val="00E552FF"/>
    <w:rsid w:val="00E55893"/>
    <w:rsid w:val="00E61A7B"/>
    <w:rsid w:val="00E64A52"/>
    <w:rsid w:val="00E75D33"/>
    <w:rsid w:val="00E91FAB"/>
    <w:rsid w:val="00E92FDA"/>
    <w:rsid w:val="00E93D1D"/>
    <w:rsid w:val="00E97EEB"/>
    <w:rsid w:val="00EA514A"/>
    <w:rsid w:val="00EC5CC3"/>
    <w:rsid w:val="00ED34B4"/>
    <w:rsid w:val="00ED7CCE"/>
    <w:rsid w:val="00EE165C"/>
    <w:rsid w:val="00EE33C0"/>
    <w:rsid w:val="00EF5ECD"/>
    <w:rsid w:val="00EF67CB"/>
    <w:rsid w:val="00F00631"/>
    <w:rsid w:val="00F0293A"/>
    <w:rsid w:val="00F03647"/>
    <w:rsid w:val="00F1128A"/>
    <w:rsid w:val="00F14136"/>
    <w:rsid w:val="00F1548D"/>
    <w:rsid w:val="00F16045"/>
    <w:rsid w:val="00F217D3"/>
    <w:rsid w:val="00F24390"/>
    <w:rsid w:val="00F35D5C"/>
    <w:rsid w:val="00F4422E"/>
    <w:rsid w:val="00F46A21"/>
    <w:rsid w:val="00F53C8C"/>
    <w:rsid w:val="00F541A2"/>
    <w:rsid w:val="00F60871"/>
    <w:rsid w:val="00F65FC0"/>
    <w:rsid w:val="00F756B3"/>
    <w:rsid w:val="00F76974"/>
    <w:rsid w:val="00F8018F"/>
    <w:rsid w:val="00F84907"/>
    <w:rsid w:val="00F85479"/>
    <w:rsid w:val="00F95A2F"/>
    <w:rsid w:val="00FA092E"/>
    <w:rsid w:val="00FA3452"/>
    <w:rsid w:val="00FA59D3"/>
    <w:rsid w:val="00FA6521"/>
    <w:rsid w:val="00FB3E0E"/>
    <w:rsid w:val="00FB74D2"/>
    <w:rsid w:val="00FC61CD"/>
    <w:rsid w:val="00FD563B"/>
    <w:rsid w:val="00FE020C"/>
    <w:rsid w:val="00FE0C99"/>
    <w:rsid w:val="00FE18AC"/>
    <w:rsid w:val="00FE46DF"/>
    <w:rsid w:val="00FF1A7C"/>
    <w:rsid w:val="00FF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20C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1420C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1420C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1420C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1420C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1420C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1420C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1420C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1420C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1420C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1420C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1420C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1420CA"/>
  </w:style>
  <w:style w:type="paragraph" w:styleId="Zarkazkladnhotextu">
    <w:name w:val="Body Text Indent"/>
    <w:basedOn w:val="Normlny"/>
    <w:rsid w:val="001420C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1420C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1420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1420CA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1420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1420CA"/>
    <w:rPr>
      <w:sz w:val="16"/>
      <w:szCs w:val="16"/>
    </w:rPr>
  </w:style>
  <w:style w:type="paragraph" w:styleId="Textkomentra">
    <w:name w:val="annotation text"/>
    <w:basedOn w:val="Normlny"/>
    <w:semiHidden/>
    <w:rsid w:val="001420CA"/>
    <w:rPr>
      <w:sz w:val="20"/>
    </w:rPr>
  </w:style>
  <w:style w:type="paragraph" w:customStyle="1" w:styleId="EMEAEnBodyText">
    <w:name w:val="EMEA En Body Text"/>
    <w:basedOn w:val="Normlny"/>
    <w:rsid w:val="001420C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1420C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1420CA"/>
    <w:rPr>
      <w:color w:val="0000FF"/>
      <w:u w:val="single"/>
    </w:rPr>
  </w:style>
  <w:style w:type="paragraph" w:customStyle="1" w:styleId="AHeader1">
    <w:name w:val="AHeader 1"/>
    <w:basedOn w:val="Normlny"/>
    <w:rsid w:val="001420CA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420CA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420CA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420CA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420CA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1420C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1420CA"/>
    <w:rPr>
      <w:color w:val="800080"/>
      <w:u w:val="single"/>
    </w:rPr>
  </w:style>
  <w:style w:type="paragraph" w:customStyle="1" w:styleId="Default">
    <w:name w:val="Default"/>
    <w:rsid w:val="001420CA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1420CA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Style1">
    <w:name w:val="Style1"/>
    <w:basedOn w:val="Normlny"/>
    <w:rsid w:val="00290828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rFonts w:eastAsia="MS Mincho" w:cs="Mangal"/>
      <w:sz w:val="24"/>
      <w:szCs w:val="24"/>
      <w:lang w:val="en-US" w:eastAsia="ja-JP"/>
    </w:rPr>
  </w:style>
  <w:style w:type="paragraph" w:customStyle="1" w:styleId="Style5">
    <w:name w:val="Style5"/>
    <w:basedOn w:val="Normlny"/>
    <w:rsid w:val="00290828"/>
    <w:pPr>
      <w:widowControl w:val="0"/>
      <w:tabs>
        <w:tab w:val="clear" w:pos="567"/>
      </w:tabs>
      <w:autoSpaceDE w:val="0"/>
      <w:autoSpaceDN w:val="0"/>
      <w:adjustRightInd w:val="0"/>
      <w:spacing w:line="250" w:lineRule="exact"/>
      <w:jc w:val="both"/>
    </w:pPr>
    <w:rPr>
      <w:rFonts w:eastAsia="MS Mincho" w:cs="Mangal"/>
      <w:sz w:val="24"/>
      <w:szCs w:val="24"/>
      <w:lang w:val="en-US" w:eastAsia="ja-JP"/>
    </w:rPr>
  </w:style>
  <w:style w:type="character" w:customStyle="1" w:styleId="FontStyle21">
    <w:name w:val="Font Style21"/>
    <w:rsid w:val="00290828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lny"/>
    <w:rsid w:val="00290828"/>
    <w:pPr>
      <w:widowControl w:val="0"/>
      <w:tabs>
        <w:tab w:val="clear" w:pos="567"/>
      </w:tabs>
      <w:autoSpaceDE w:val="0"/>
      <w:autoSpaceDN w:val="0"/>
      <w:adjustRightInd w:val="0"/>
      <w:spacing w:line="250" w:lineRule="exact"/>
      <w:ind w:hanging="566"/>
    </w:pPr>
    <w:rPr>
      <w:rFonts w:eastAsia="MS Mincho" w:cs="Mangal"/>
      <w:sz w:val="24"/>
      <w:szCs w:val="24"/>
      <w:lang w:val="en-US" w:eastAsia="ja-JP"/>
    </w:rPr>
  </w:style>
  <w:style w:type="paragraph" w:customStyle="1" w:styleId="Style4">
    <w:name w:val="Style4"/>
    <w:basedOn w:val="Normlny"/>
    <w:rsid w:val="00290828"/>
    <w:pPr>
      <w:widowControl w:val="0"/>
      <w:tabs>
        <w:tab w:val="clear" w:pos="567"/>
      </w:tabs>
      <w:autoSpaceDE w:val="0"/>
      <w:autoSpaceDN w:val="0"/>
      <w:adjustRightInd w:val="0"/>
      <w:spacing w:line="254" w:lineRule="exact"/>
    </w:pPr>
    <w:rPr>
      <w:rFonts w:eastAsia="MS Mincho" w:cs="Mangal"/>
      <w:sz w:val="24"/>
      <w:szCs w:val="24"/>
      <w:lang w:val="en-US" w:eastAsia="ja-JP"/>
    </w:rPr>
  </w:style>
  <w:style w:type="paragraph" w:customStyle="1" w:styleId="Style6">
    <w:name w:val="Style6"/>
    <w:basedOn w:val="Normlny"/>
    <w:rsid w:val="00290828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rFonts w:eastAsia="MS Mincho" w:cs="Mangal"/>
      <w:sz w:val="24"/>
      <w:szCs w:val="24"/>
      <w:lang w:val="en-US" w:eastAsia="ja-JP"/>
    </w:rPr>
  </w:style>
  <w:style w:type="paragraph" w:customStyle="1" w:styleId="Style7">
    <w:name w:val="Style7"/>
    <w:basedOn w:val="Normlny"/>
    <w:rsid w:val="00290828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rFonts w:eastAsia="MS Mincho" w:cs="Mangal"/>
      <w:sz w:val="24"/>
      <w:szCs w:val="24"/>
      <w:lang w:val="en-US" w:eastAsia="ja-JP"/>
    </w:rPr>
  </w:style>
  <w:style w:type="paragraph" w:customStyle="1" w:styleId="Style12">
    <w:name w:val="Style12"/>
    <w:basedOn w:val="Normlny"/>
    <w:rsid w:val="00290828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rFonts w:eastAsia="MS Mincho" w:cs="Mangal"/>
      <w:sz w:val="24"/>
      <w:szCs w:val="24"/>
      <w:lang w:val="en-US" w:eastAsia="ja-JP"/>
    </w:rPr>
  </w:style>
  <w:style w:type="paragraph" w:customStyle="1" w:styleId="Style14">
    <w:name w:val="Style14"/>
    <w:basedOn w:val="Normlny"/>
    <w:rsid w:val="00290828"/>
    <w:pPr>
      <w:widowControl w:val="0"/>
      <w:tabs>
        <w:tab w:val="clear" w:pos="567"/>
      </w:tabs>
      <w:autoSpaceDE w:val="0"/>
      <w:autoSpaceDN w:val="0"/>
      <w:adjustRightInd w:val="0"/>
      <w:spacing w:line="250" w:lineRule="exact"/>
      <w:ind w:hanging="552"/>
    </w:pPr>
    <w:rPr>
      <w:rFonts w:eastAsia="MS Mincho" w:cs="Mangal"/>
      <w:sz w:val="24"/>
      <w:szCs w:val="24"/>
      <w:lang w:val="en-US" w:eastAsia="ja-JP"/>
    </w:rPr>
  </w:style>
  <w:style w:type="character" w:customStyle="1" w:styleId="FontStyle20">
    <w:name w:val="Font Style20"/>
    <w:rsid w:val="0029082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rsid w:val="0029082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rsid w:val="00290828"/>
    <w:rPr>
      <w:rFonts w:ascii="Arial" w:hAnsi="Arial" w:cs="Arial"/>
      <w:sz w:val="14"/>
      <w:szCs w:val="14"/>
    </w:rPr>
  </w:style>
  <w:style w:type="paragraph" w:customStyle="1" w:styleId="Style13">
    <w:name w:val="Style13"/>
    <w:basedOn w:val="Normlny"/>
    <w:rsid w:val="00290828"/>
    <w:pPr>
      <w:widowControl w:val="0"/>
      <w:tabs>
        <w:tab w:val="clear" w:pos="567"/>
      </w:tabs>
      <w:autoSpaceDE w:val="0"/>
      <w:autoSpaceDN w:val="0"/>
      <w:adjustRightInd w:val="0"/>
      <w:spacing w:line="504" w:lineRule="exact"/>
    </w:pPr>
    <w:rPr>
      <w:rFonts w:eastAsia="MS Mincho" w:cs="Mangal"/>
      <w:sz w:val="24"/>
      <w:szCs w:val="24"/>
      <w:lang w:val="en-US" w:eastAsia="ja-JP"/>
    </w:rPr>
  </w:style>
  <w:style w:type="paragraph" w:customStyle="1" w:styleId="Style11">
    <w:name w:val="Style11"/>
    <w:basedOn w:val="Normlny"/>
    <w:rsid w:val="00290828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rFonts w:eastAsia="MS Mincho" w:cs="Mangal"/>
      <w:sz w:val="24"/>
      <w:szCs w:val="24"/>
      <w:lang w:val="en-US" w:eastAsia="ja-JP"/>
    </w:rPr>
  </w:style>
  <w:style w:type="character" w:customStyle="1" w:styleId="FontStyle18">
    <w:name w:val="Font Style18"/>
    <w:rsid w:val="0029082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rsid w:val="00290828"/>
    <w:rPr>
      <w:rFonts w:ascii="Arial Narrow" w:hAnsi="Arial Narrow" w:cs="Arial Narrow"/>
      <w:spacing w:val="-10"/>
      <w:sz w:val="14"/>
      <w:szCs w:val="14"/>
    </w:rPr>
  </w:style>
  <w:style w:type="paragraph" w:customStyle="1" w:styleId="Style2">
    <w:name w:val="Style2"/>
    <w:basedOn w:val="Normlny"/>
    <w:rsid w:val="00290828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rFonts w:eastAsia="MS Mincho" w:cs="Mangal"/>
      <w:sz w:val="24"/>
      <w:szCs w:val="24"/>
      <w:lang w:val="en-US" w:eastAsia="ja-JP"/>
    </w:rPr>
  </w:style>
  <w:style w:type="table" w:styleId="Mriekatabuky">
    <w:name w:val="Table Grid"/>
    <w:basedOn w:val="Normlnatabuka"/>
    <w:rsid w:val="00010A3D"/>
    <w:pPr>
      <w:tabs>
        <w:tab w:val="left" w:pos="567"/>
      </w:tabs>
      <w:spacing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5779A7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pt-PT" w:eastAsia="pt-PT"/>
    </w:rPr>
  </w:style>
  <w:style w:type="character" w:styleId="Zvraznenie">
    <w:name w:val="Emphasis"/>
    <w:uiPriority w:val="20"/>
    <w:qFormat/>
    <w:rsid w:val="007D25F7"/>
    <w:rPr>
      <w:b/>
      <w:bCs/>
      <w:i w:val="0"/>
      <w:iCs w:val="0"/>
    </w:rPr>
  </w:style>
  <w:style w:type="character" w:customStyle="1" w:styleId="apple-converted-space">
    <w:name w:val="apple-converted-space"/>
    <w:basedOn w:val="Predvolenpsmoodseku"/>
    <w:rsid w:val="005F4496"/>
  </w:style>
  <w:style w:type="paragraph" w:styleId="Odsekzoznamu">
    <w:name w:val="List Paragraph"/>
    <w:basedOn w:val="Normlny"/>
    <w:uiPriority w:val="34"/>
    <w:qFormat/>
    <w:rsid w:val="007E7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5535</Words>
  <Characters>31551</Characters>
  <Application>Microsoft Office Word</Application>
  <DocSecurity>0</DocSecurity>
  <Lines>262</Lines>
  <Paragraphs>74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Version 1</vt:lpstr>
      <vt:lpstr>Version 1</vt:lpstr>
      <vt:lpstr>Version 1</vt:lpstr>
    </vt:vector>
  </TitlesOfParts>
  <Company>EMEA</Company>
  <LinksUpToDate>false</LinksUpToDate>
  <CharactersWithSpaces>37012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General-EMA/53548/2010</dc:subject>
  <dc:creator>Weingrill Eva</dc:creator>
  <dc:description>EMEA-xxxx-1998</dc:description>
  <cp:lastModifiedBy> Jana Repiščáková</cp:lastModifiedBy>
  <cp:revision>8</cp:revision>
  <cp:lastPrinted>2017-06-06T11:04:00Z</cp:lastPrinted>
  <dcterms:created xsi:type="dcterms:W3CDTF">2017-06-06T08:18:00Z</dcterms:created>
  <dcterms:modified xsi:type="dcterms:W3CDTF">2018-02-13T06:35:00Z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General-EMA/53548/2010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10:54:51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10:54:51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EMA/53548/2010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53548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