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10" w:rsidRDefault="006B1F10">
      <w:pPr>
        <w:pStyle w:val="TitleA"/>
        <w:jc w:val="left"/>
        <w:rPr>
          <w:sz w:val="22"/>
          <w:szCs w:val="22"/>
        </w:rPr>
      </w:pPr>
      <w:bookmarkStart w:id="0" w:name="OLE_LINK10"/>
    </w:p>
    <w:p w:rsidR="00E2271D" w:rsidRPr="008F37E2" w:rsidRDefault="00E2271D">
      <w:pPr>
        <w:pStyle w:val="TitleA"/>
        <w:jc w:val="left"/>
        <w:rPr>
          <w:sz w:val="22"/>
          <w:szCs w:val="22"/>
        </w:rPr>
      </w:pPr>
    </w:p>
    <w:p w:rsidR="006B1F10" w:rsidRPr="008F37E2" w:rsidRDefault="006B1F10" w:rsidP="00042517">
      <w:pPr>
        <w:pStyle w:val="TitleA"/>
        <w:rPr>
          <w:sz w:val="22"/>
          <w:szCs w:val="22"/>
        </w:rPr>
      </w:pPr>
      <w:r w:rsidRPr="008F37E2">
        <w:rPr>
          <w:sz w:val="22"/>
          <w:szCs w:val="22"/>
        </w:rPr>
        <w:t>SÚHRN CHARAKTERISTICKÝCH VLASTNOSTÍ LIEKU</w:t>
      </w:r>
    </w:p>
    <w:p w:rsidR="006B1F10" w:rsidRPr="000F3CE3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1.</w:t>
      </w:r>
      <w:r w:rsidRPr="008F37E2">
        <w:rPr>
          <w:b/>
          <w:sz w:val="22"/>
          <w:szCs w:val="22"/>
        </w:rPr>
        <w:tab/>
        <w:t>NÁZOV LIEKU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440BD9">
      <w:pPr>
        <w:jc w:val="both"/>
        <w:rPr>
          <w:sz w:val="22"/>
          <w:szCs w:val="22"/>
        </w:rPr>
      </w:pPr>
      <w:proofErr w:type="spellStart"/>
      <w:r w:rsidRPr="008F37E2">
        <w:rPr>
          <w:sz w:val="22"/>
          <w:szCs w:val="22"/>
        </w:rPr>
        <w:t>Imipenem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Kabi</w:t>
      </w:r>
      <w:proofErr w:type="spellEnd"/>
      <w:r w:rsidRPr="008F37E2">
        <w:rPr>
          <w:sz w:val="22"/>
          <w:szCs w:val="22"/>
        </w:rPr>
        <w:t xml:space="preserve"> 500 mg/500 mg, prášok na </w:t>
      </w:r>
      <w:proofErr w:type="spellStart"/>
      <w:r w:rsidRPr="008F37E2">
        <w:rPr>
          <w:sz w:val="22"/>
          <w:szCs w:val="22"/>
        </w:rPr>
        <w:t>infúzny</w:t>
      </w:r>
      <w:proofErr w:type="spellEnd"/>
      <w:r w:rsidRPr="008F37E2">
        <w:rPr>
          <w:sz w:val="22"/>
          <w:szCs w:val="22"/>
        </w:rPr>
        <w:t xml:space="preserve"> roztok</w:t>
      </w:r>
    </w:p>
    <w:p w:rsidR="006B1F10" w:rsidRPr="008F37E2" w:rsidRDefault="006B1F10" w:rsidP="00413AC5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2.</w:t>
      </w:r>
      <w:r w:rsidRPr="008F37E2">
        <w:rPr>
          <w:b/>
          <w:sz w:val="22"/>
          <w:szCs w:val="22"/>
        </w:rPr>
        <w:tab/>
        <w:t>KVALITATÍVNE A KVANTITATÍVNE ZLOŽENIE</w:t>
      </w:r>
    </w:p>
    <w:p w:rsidR="006B1F10" w:rsidRPr="008F37E2" w:rsidRDefault="006B1F10" w:rsidP="00042517">
      <w:pPr>
        <w:pStyle w:val="EMEAEnBodyText"/>
        <w:keepNext/>
        <w:autoSpaceDE w:val="0"/>
        <w:autoSpaceDN w:val="0"/>
        <w:adjustRightInd w:val="0"/>
        <w:spacing w:before="0" w:after="0"/>
        <w:jc w:val="left"/>
        <w:rPr>
          <w:sz w:val="22"/>
          <w:szCs w:val="22"/>
          <w:lang w:val="sk-SK"/>
        </w:rPr>
      </w:pPr>
    </w:p>
    <w:p w:rsidR="006B1F10" w:rsidRPr="008F37E2" w:rsidRDefault="006B1F10" w:rsidP="00440BD9">
      <w:pPr>
        <w:shd w:val="clear" w:color="auto" w:fill="FFFFFF" w:themeFill="background1"/>
        <w:jc w:val="both"/>
        <w:rPr>
          <w:sz w:val="22"/>
          <w:szCs w:val="22"/>
          <w:u w:val="single"/>
        </w:rPr>
      </w:pPr>
      <w:proofErr w:type="spellStart"/>
      <w:r w:rsidRPr="008F37E2">
        <w:rPr>
          <w:sz w:val="22"/>
          <w:szCs w:val="22"/>
          <w:u w:val="single"/>
        </w:rPr>
        <w:t>Imipenem</w:t>
      </w:r>
      <w:proofErr w:type="spellEnd"/>
      <w:r w:rsidRPr="008F37E2">
        <w:rPr>
          <w:sz w:val="22"/>
          <w:szCs w:val="22"/>
          <w:u w:val="single"/>
        </w:rPr>
        <w:t>/</w:t>
      </w:r>
      <w:proofErr w:type="spellStart"/>
      <w:r w:rsidRPr="008F37E2">
        <w:rPr>
          <w:sz w:val="22"/>
          <w:szCs w:val="22"/>
          <w:u w:val="single"/>
        </w:rPr>
        <w:t>Cilastatin</w:t>
      </w:r>
      <w:proofErr w:type="spellEnd"/>
      <w:r w:rsidRPr="008F37E2">
        <w:rPr>
          <w:sz w:val="22"/>
          <w:szCs w:val="22"/>
          <w:u w:val="single"/>
        </w:rPr>
        <w:t xml:space="preserve"> </w:t>
      </w:r>
      <w:proofErr w:type="spellStart"/>
      <w:r w:rsidRPr="008F37E2">
        <w:rPr>
          <w:sz w:val="22"/>
          <w:szCs w:val="22"/>
          <w:u w:val="single"/>
        </w:rPr>
        <w:t>Kabi</w:t>
      </w:r>
      <w:proofErr w:type="spellEnd"/>
      <w:r w:rsidRPr="008F37E2">
        <w:rPr>
          <w:sz w:val="22"/>
          <w:szCs w:val="22"/>
          <w:u w:val="single"/>
        </w:rPr>
        <w:t xml:space="preserve"> 500 mg/500 mg,</w:t>
      </w:r>
      <w:r w:rsidR="00AB5CE4" w:rsidRPr="00AB5CE4">
        <w:rPr>
          <w:sz w:val="22"/>
          <w:szCs w:val="22"/>
        </w:rPr>
        <w:t xml:space="preserve"> </w:t>
      </w:r>
      <w:r w:rsidRPr="008F37E2">
        <w:rPr>
          <w:sz w:val="22"/>
          <w:szCs w:val="22"/>
          <w:shd w:val="clear" w:color="auto" w:fill="FFFFFF" w:themeFill="background1"/>
        </w:rPr>
        <w:t xml:space="preserve">prášok na </w:t>
      </w:r>
      <w:proofErr w:type="spellStart"/>
      <w:r w:rsidRPr="008F37E2">
        <w:rPr>
          <w:sz w:val="22"/>
          <w:szCs w:val="22"/>
          <w:shd w:val="clear" w:color="auto" w:fill="FFFFFF" w:themeFill="background1"/>
        </w:rPr>
        <w:t>infúzny</w:t>
      </w:r>
      <w:proofErr w:type="spellEnd"/>
      <w:r w:rsidRPr="008F37E2">
        <w:rPr>
          <w:sz w:val="22"/>
          <w:szCs w:val="22"/>
          <w:shd w:val="clear" w:color="auto" w:fill="FFFFFF" w:themeFill="background1"/>
        </w:rPr>
        <w:t xml:space="preserve"> roztok</w:t>
      </w:r>
    </w:p>
    <w:p w:rsidR="006B1F10" w:rsidRPr="008F37E2" w:rsidRDefault="006B1F10" w:rsidP="00440BD9">
      <w:pPr>
        <w:shd w:val="clear" w:color="auto" w:fill="FFFFFF" w:themeFill="background1"/>
        <w:jc w:val="both"/>
        <w:rPr>
          <w:sz w:val="22"/>
          <w:szCs w:val="22"/>
        </w:rPr>
      </w:pPr>
      <w:r w:rsidRPr="008F37E2">
        <w:rPr>
          <w:sz w:val="22"/>
          <w:szCs w:val="22"/>
        </w:rPr>
        <w:t xml:space="preserve">Jedna </w:t>
      </w:r>
      <w:r w:rsidR="009C6B40" w:rsidRPr="008F37E2">
        <w:rPr>
          <w:sz w:val="22"/>
          <w:szCs w:val="22"/>
        </w:rPr>
        <w:t xml:space="preserve">injekčná </w:t>
      </w:r>
      <w:r w:rsidRPr="008F37E2">
        <w:rPr>
          <w:sz w:val="22"/>
          <w:szCs w:val="22"/>
        </w:rPr>
        <w:t>liekovka</w:t>
      </w:r>
      <w:r w:rsidR="00BE4A5D" w:rsidRPr="008F37E2">
        <w:rPr>
          <w:sz w:val="22"/>
          <w:szCs w:val="22"/>
        </w:rPr>
        <w:t>/fľaša</w:t>
      </w:r>
      <w:r w:rsidRPr="008F37E2">
        <w:rPr>
          <w:sz w:val="22"/>
          <w:szCs w:val="22"/>
        </w:rPr>
        <w:t xml:space="preserve"> obsahuje 500 mg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(vo forme 530</w:t>
      </w:r>
      <w:r w:rsidR="00C56E35" w:rsidRPr="008F37E2">
        <w:rPr>
          <w:sz w:val="22"/>
          <w:szCs w:val="22"/>
        </w:rPr>
        <w:t xml:space="preserve"> </w:t>
      </w:r>
      <w:r w:rsidRPr="008F37E2">
        <w:rPr>
          <w:sz w:val="22"/>
          <w:szCs w:val="22"/>
        </w:rPr>
        <w:t xml:space="preserve">mg </w:t>
      </w:r>
      <w:proofErr w:type="spellStart"/>
      <w:r w:rsidRPr="008F37E2">
        <w:rPr>
          <w:sz w:val="22"/>
          <w:szCs w:val="22"/>
        </w:rPr>
        <w:t>monohydrátu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) a 500 mg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(vo forme 530</w:t>
      </w:r>
      <w:r w:rsidR="00C56E35" w:rsidRPr="008F37E2">
        <w:rPr>
          <w:sz w:val="22"/>
          <w:szCs w:val="22"/>
        </w:rPr>
        <w:t xml:space="preserve"> </w:t>
      </w:r>
      <w:r w:rsidRPr="008F37E2">
        <w:rPr>
          <w:sz w:val="22"/>
          <w:szCs w:val="22"/>
        </w:rPr>
        <w:t xml:space="preserve">mg sodnej soli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>).</w:t>
      </w:r>
    </w:p>
    <w:p w:rsidR="006B1F10" w:rsidRPr="008F37E2" w:rsidRDefault="006B1F10" w:rsidP="00413AC5">
      <w:pPr>
        <w:tabs>
          <w:tab w:val="left" w:pos="2520"/>
        </w:tabs>
        <w:rPr>
          <w:sz w:val="22"/>
          <w:szCs w:val="22"/>
        </w:rPr>
      </w:pPr>
    </w:p>
    <w:p w:rsidR="00F51568" w:rsidRPr="00765DFE" w:rsidRDefault="00AB5CE4" w:rsidP="00440BD9">
      <w:pPr>
        <w:shd w:val="clear" w:color="auto" w:fill="FFFFFF" w:themeFill="background1"/>
        <w:tabs>
          <w:tab w:val="left" w:pos="2520"/>
        </w:tabs>
        <w:jc w:val="both"/>
        <w:rPr>
          <w:sz w:val="22"/>
          <w:szCs w:val="22"/>
          <w:u w:val="single"/>
        </w:rPr>
      </w:pPr>
      <w:r w:rsidRPr="00AB5CE4">
        <w:rPr>
          <w:sz w:val="22"/>
          <w:szCs w:val="22"/>
          <w:u w:val="single"/>
        </w:rPr>
        <w:t xml:space="preserve">Pomocná látka </w:t>
      </w:r>
      <w:r w:rsidR="00386015" w:rsidRPr="00765DFE">
        <w:rPr>
          <w:sz w:val="22"/>
          <w:szCs w:val="22"/>
          <w:u w:val="single"/>
        </w:rPr>
        <w:t>so známym účinkom</w:t>
      </w:r>
      <w:r w:rsidRPr="00AB5CE4">
        <w:rPr>
          <w:sz w:val="22"/>
          <w:szCs w:val="22"/>
          <w:u w:val="single"/>
        </w:rPr>
        <w:t xml:space="preserve">: </w:t>
      </w:r>
    </w:p>
    <w:p w:rsidR="00765DFE" w:rsidRDefault="00F51568" w:rsidP="00440BD9">
      <w:pPr>
        <w:shd w:val="clear" w:color="auto" w:fill="FFFFFF" w:themeFill="background1"/>
        <w:tabs>
          <w:tab w:val="left" w:pos="2520"/>
        </w:tabs>
        <w:jc w:val="both"/>
        <w:rPr>
          <w:sz w:val="22"/>
          <w:szCs w:val="22"/>
        </w:rPr>
      </w:pPr>
      <w:r w:rsidRPr="00A6528F">
        <w:rPr>
          <w:sz w:val="22"/>
          <w:szCs w:val="22"/>
        </w:rPr>
        <w:t>Jedna injekčná liekovka/fľaša</w:t>
      </w:r>
      <w:r>
        <w:rPr>
          <w:sz w:val="22"/>
          <w:szCs w:val="22"/>
        </w:rPr>
        <w:t xml:space="preserve"> </w:t>
      </w:r>
      <w:proofErr w:type="spellStart"/>
      <w:r w:rsidR="00765DFE" w:rsidRPr="00A6528F">
        <w:rPr>
          <w:sz w:val="22"/>
          <w:szCs w:val="22"/>
        </w:rPr>
        <w:t>Imipenem</w:t>
      </w:r>
      <w:proofErr w:type="spellEnd"/>
      <w:r w:rsidR="00765DFE" w:rsidRPr="00A6528F">
        <w:rPr>
          <w:sz w:val="22"/>
          <w:szCs w:val="22"/>
        </w:rPr>
        <w:t>/</w:t>
      </w:r>
      <w:proofErr w:type="spellStart"/>
      <w:r w:rsidR="00765DFE" w:rsidRPr="00A6528F">
        <w:rPr>
          <w:sz w:val="22"/>
          <w:szCs w:val="22"/>
        </w:rPr>
        <w:t>Cilastatin</w:t>
      </w:r>
      <w:proofErr w:type="spellEnd"/>
      <w:r w:rsidR="00765DFE" w:rsidRPr="00A6528F">
        <w:rPr>
          <w:sz w:val="22"/>
          <w:szCs w:val="22"/>
        </w:rPr>
        <w:t xml:space="preserve"> </w:t>
      </w:r>
      <w:proofErr w:type="spellStart"/>
      <w:r w:rsidR="00765DFE" w:rsidRPr="00A6528F">
        <w:rPr>
          <w:sz w:val="22"/>
          <w:szCs w:val="22"/>
        </w:rPr>
        <w:t>Kabi</w:t>
      </w:r>
      <w:proofErr w:type="spellEnd"/>
      <w:r w:rsidR="00765DFE" w:rsidRPr="00A6528F">
        <w:rPr>
          <w:sz w:val="22"/>
          <w:szCs w:val="22"/>
        </w:rPr>
        <w:t xml:space="preserve"> 500 mg/500 mg </w:t>
      </w:r>
      <w:r w:rsidRPr="00A6528F">
        <w:rPr>
          <w:sz w:val="22"/>
          <w:szCs w:val="22"/>
        </w:rPr>
        <w:t>obsahuje</w:t>
      </w:r>
      <w:r>
        <w:rPr>
          <w:sz w:val="22"/>
          <w:szCs w:val="22"/>
        </w:rPr>
        <w:t xml:space="preserve"> </w:t>
      </w:r>
    </w:p>
    <w:p w:rsidR="006B1F10" w:rsidRPr="008F37E2" w:rsidRDefault="00F51568" w:rsidP="00440BD9">
      <w:pPr>
        <w:shd w:val="clear" w:color="auto" w:fill="FFFFFF" w:themeFill="background1"/>
        <w:tabs>
          <w:tab w:val="left" w:pos="252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Pr="00F51568">
        <w:rPr>
          <w:sz w:val="22"/>
          <w:szCs w:val="22"/>
        </w:rPr>
        <w:t>ydrogenuhličitan</w:t>
      </w:r>
      <w:proofErr w:type="spellEnd"/>
      <w:r w:rsidRPr="00F51568">
        <w:rPr>
          <w:sz w:val="22"/>
          <w:szCs w:val="22"/>
        </w:rPr>
        <w:t xml:space="preserve"> sodný</w:t>
      </w:r>
      <w:r>
        <w:rPr>
          <w:sz w:val="22"/>
          <w:szCs w:val="22"/>
        </w:rPr>
        <w:t xml:space="preserve"> v množstve zodpovedaj</w:t>
      </w:r>
      <w:r w:rsidR="000F3CE3">
        <w:rPr>
          <w:sz w:val="22"/>
          <w:szCs w:val="22"/>
        </w:rPr>
        <w:t>úcom</w:t>
      </w:r>
      <w:r>
        <w:rPr>
          <w:sz w:val="22"/>
          <w:szCs w:val="22"/>
        </w:rPr>
        <w:t xml:space="preserve"> približne </w:t>
      </w:r>
      <w:r w:rsidR="000F3CE3">
        <w:rPr>
          <w:sz w:val="22"/>
          <w:szCs w:val="22"/>
          <w:lang w:val="en-US"/>
        </w:rPr>
        <w:t>1,</w:t>
      </w:r>
      <w:r w:rsidR="000F3CE3" w:rsidRPr="000F3CE3">
        <w:rPr>
          <w:sz w:val="22"/>
          <w:szCs w:val="22"/>
          <w:lang w:val="en-US"/>
        </w:rPr>
        <w:t xml:space="preserve">6 </w:t>
      </w:r>
      <w:proofErr w:type="spellStart"/>
      <w:r w:rsidR="000F3CE3" w:rsidRPr="000F3CE3">
        <w:rPr>
          <w:sz w:val="22"/>
          <w:szCs w:val="22"/>
          <w:lang w:val="en-US"/>
        </w:rPr>
        <w:t>mEq</w:t>
      </w:r>
      <w:proofErr w:type="spellEnd"/>
      <w:r w:rsidR="000F3CE3">
        <w:rPr>
          <w:sz w:val="22"/>
          <w:szCs w:val="22"/>
          <w:lang w:val="en-US"/>
        </w:rPr>
        <w:t xml:space="preserve"> </w:t>
      </w:r>
      <w:r w:rsidR="006B1F10" w:rsidRPr="00386015">
        <w:rPr>
          <w:sz w:val="22"/>
          <w:szCs w:val="22"/>
        </w:rPr>
        <w:t>sodík</w:t>
      </w:r>
      <w:r w:rsidR="000F3CE3">
        <w:rPr>
          <w:sz w:val="22"/>
          <w:szCs w:val="22"/>
        </w:rPr>
        <w:t>a</w:t>
      </w:r>
      <w:r w:rsidR="006B1F10" w:rsidRPr="00386015">
        <w:rPr>
          <w:sz w:val="22"/>
          <w:szCs w:val="22"/>
        </w:rPr>
        <w:t xml:space="preserve"> (</w:t>
      </w:r>
      <w:r w:rsidR="000F3CE3">
        <w:rPr>
          <w:sz w:val="22"/>
          <w:szCs w:val="22"/>
        </w:rPr>
        <w:t xml:space="preserve">približne </w:t>
      </w:r>
      <w:r w:rsidR="006B1F10" w:rsidRPr="00386015">
        <w:rPr>
          <w:sz w:val="22"/>
          <w:szCs w:val="22"/>
        </w:rPr>
        <w:t>37,5 mg</w:t>
      </w:r>
      <w:r w:rsidR="000F3CE3">
        <w:rPr>
          <w:sz w:val="22"/>
          <w:szCs w:val="22"/>
        </w:rPr>
        <w:t>)</w:t>
      </w:r>
      <w:r w:rsidR="00765DFE">
        <w:rPr>
          <w:sz w:val="22"/>
          <w:szCs w:val="22"/>
        </w:rPr>
        <w:t>.</w:t>
      </w:r>
    </w:p>
    <w:p w:rsidR="006B1F10" w:rsidRPr="008F37E2" w:rsidRDefault="006B1F10" w:rsidP="00413AC5">
      <w:pPr>
        <w:rPr>
          <w:sz w:val="22"/>
          <w:szCs w:val="22"/>
        </w:rPr>
      </w:pPr>
    </w:p>
    <w:p w:rsidR="006B1F10" w:rsidRPr="008F37E2" w:rsidRDefault="006B1F10" w:rsidP="00413AC5">
      <w:pPr>
        <w:rPr>
          <w:sz w:val="22"/>
          <w:szCs w:val="22"/>
        </w:rPr>
      </w:pPr>
      <w:r w:rsidRPr="008F37E2">
        <w:rPr>
          <w:sz w:val="22"/>
          <w:szCs w:val="22"/>
        </w:rPr>
        <w:t>Úplný zoznam pomocných látok, pozri časť 6.1.</w:t>
      </w:r>
    </w:p>
    <w:p w:rsidR="001F0767" w:rsidRDefault="001F0767">
      <w:pPr>
        <w:tabs>
          <w:tab w:val="left" w:pos="2520"/>
        </w:tabs>
      </w:pP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caps/>
          <w:sz w:val="22"/>
          <w:szCs w:val="22"/>
        </w:rPr>
      </w:pPr>
      <w:r w:rsidRPr="008F37E2">
        <w:rPr>
          <w:b/>
          <w:sz w:val="22"/>
          <w:szCs w:val="22"/>
        </w:rPr>
        <w:t>3.</w:t>
      </w:r>
      <w:r w:rsidRPr="008F37E2">
        <w:rPr>
          <w:b/>
          <w:sz w:val="22"/>
          <w:szCs w:val="22"/>
        </w:rPr>
        <w:tab/>
        <w:t>LIEKOVÁ FORMA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053F6B" w:rsidRDefault="00D41BE9" w:rsidP="00413AC5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6B1F10" w:rsidRPr="00053F6B">
        <w:rPr>
          <w:sz w:val="22"/>
          <w:szCs w:val="22"/>
        </w:rPr>
        <w:t xml:space="preserve">rášok na </w:t>
      </w:r>
      <w:proofErr w:type="spellStart"/>
      <w:r w:rsidR="006B1F10" w:rsidRPr="00053F6B">
        <w:rPr>
          <w:sz w:val="22"/>
          <w:szCs w:val="22"/>
        </w:rPr>
        <w:t>infúzny</w:t>
      </w:r>
      <w:proofErr w:type="spellEnd"/>
      <w:r w:rsidR="006B1F10" w:rsidRPr="00053F6B">
        <w:rPr>
          <w:sz w:val="22"/>
          <w:szCs w:val="22"/>
        </w:rPr>
        <w:t xml:space="preserve"> roztok. </w:t>
      </w:r>
    </w:p>
    <w:p w:rsidR="006B1F10" w:rsidRPr="008F37E2" w:rsidRDefault="006B1F10" w:rsidP="00413AC5">
      <w:pPr>
        <w:rPr>
          <w:sz w:val="22"/>
          <w:szCs w:val="22"/>
        </w:rPr>
      </w:pPr>
    </w:p>
    <w:p w:rsidR="006B1F10" w:rsidRPr="008F37E2" w:rsidRDefault="006B1F10" w:rsidP="00413AC5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Biely až takmer biely alebo </w:t>
      </w:r>
      <w:proofErr w:type="spellStart"/>
      <w:r w:rsidRPr="008F37E2">
        <w:rPr>
          <w:sz w:val="22"/>
          <w:szCs w:val="22"/>
        </w:rPr>
        <w:t>nažltlý</w:t>
      </w:r>
      <w:proofErr w:type="spellEnd"/>
      <w:r w:rsidRPr="008F37E2">
        <w:rPr>
          <w:sz w:val="22"/>
          <w:szCs w:val="22"/>
        </w:rPr>
        <w:t xml:space="preserve"> prášok.</w:t>
      </w:r>
    </w:p>
    <w:p w:rsidR="006B1F10" w:rsidRPr="008F37E2" w:rsidRDefault="006B1F10" w:rsidP="00413AC5">
      <w:pPr>
        <w:pStyle w:val="Normlnysozarkami"/>
        <w:spacing w:after="0"/>
        <w:rPr>
          <w:sz w:val="22"/>
          <w:szCs w:val="22"/>
          <w:lang w:val="sk-SK"/>
        </w:rPr>
      </w:pP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caps/>
          <w:sz w:val="22"/>
          <w:szCs w:val="22"/>
        </w:rPr>
      </w:pPr>
      <w:r w:rsidRPr="008F37E2">
        <w:rPr>
          <w:b/>
          <w:caps/>
          <w:sz w:val="22"/>
          <w:szCs w:val="22"/>
        </w:rPr>
        <w:t>4.</w:t>
      </w:r>
      <w:r w:rsidRPr="008F37E2">
        <w:rPr>
          <w:b/>
          <w:caps/>
          <w:sz w:val="22"/>
          <w:szCs w:val="22"/>
        </w:rPr>
        <w:tab/>
        <w:t>KLINICKÉ ÚDAJE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4.1</w:t>
      </w:r>
      <w:r w:rsidRPr="008F37E2">
        <w:rPr>
          <w:b/>
          <w:sz w:val="22"/>
          <w:szCs w:val="22"/>
        </w:rPr>
        <w:tab/>
        <w:t>Terapeutické indikácie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AB5CE4" w:rsidP="00042517">
      <w:pPr>
        <w:rPr>
          <w:sz w:val="22"/>
          <w:szCs w:val="22"/>
        </w:rPr>
      </w:pPr>
      <w:proofErr w:type="spellStart"/>
      <w:r w:rsidRPr="00AB5CE4">
        <w:rPr>
          <w:sz w:val="22"/>
          <w:szCs w:val="22"/>
        </w:rPr>
        <w:t>Imipenem</w:t>
      </w:r>
      <w:proofErr w:type="spellEnd"/>
      <w:r w:rsidRPr="00AB5CE4">
        <w:rPr>
          <w:sz w:val="22"/>
          <w:szCs w:val="22"/>
        </w:rPr>
        <w:t>/</w:t>
      </w:r>
      <w:proofErr w:type="spellStart"/>
      <w:r w:rsidRPr="00AB5CE4">
        <w:rPr>
          <w:sz w:val="22"/>
          <w:szCs w:val="22"/>
        </w:rPr>
        <w:t>Cilastatin</w:t>
      </w:r>
      <w:proofErr w:type="spellEnd"/>
      <w:r w:rsidRPr="00AB5CE4">
        <w:rPr>
          <w:sz w:val="22"/>
          <w:szCs w:val="22"/>
        </w:rPr>
        <w:t xml:space="preserve"> </w:t>
      </w:r>
      <w:proofErr w:type="spellStart"/>
      <w:r w:rsidRPr="00AB5CE4">
        <w:rPr>
          <w:sz w:val="22"/>
          <w:szCs w:val="22"/>
        </w:rPr>
        <w:t>Kabi</w:t>
      </w:r>
      <w:proofErr w:type="spellEnd"/>
      <w:r w:rsidRPr="00AB5CE4">
        <w:rPr>
          <w:sz w:val="22"/>
          <w:szCs w:val="22"/>
        </w:rPr>
        <w:t xml:space="preserve"> </w:t>
      </w:r>
      <w:r w:rsidR="006B1F10" w:rsidRPr="008F37E2">
        <w:rPr>
          <w:sz w:val="22"/>
          <w:szCs w:val="22"/>
        </w:rPr>
        <w:t>sa používa u dospelých a detí vo veku 1 rok a viac na liečbu nasledujúcich infekcií (pozri časti 4.4 a 5.1):</w:t>
      </w:r>
    </w:p>
    <w:p w:rsidR="006B1F10" w:rsidRPr="008F37E2" w:rsidRDefault="006B1F10" w:rsidP="00042517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 xml:space="preserve">komplikované </w:t>
      </w:r>
      <w:proofErr w:type="spellStart"/>
      <w:r w:rsidRPr="008F37E2">
        <w:rPr>
          <w:sz w:val="22"/>
          <w:szCs w:val="22"/>
        </w:rPr>
        <w:t>intraabdominálne</w:t>
      </w:r>
      <w:proofErr w:type="spellEnd"/>
      <w:r w:rsidRPr="008F37E2">
        <w:rPr>
          <w:sz w:val="22"/>
          <w:szCs w:val="22"/>
        </w:rPr>
        <w:t xml:space="preserve"> infekcie,</w:t>
      </w:r>
    </w:p>
    <w:p w:rsidR="006B1F10" w:rsidRPr="008F37E2" w:rsidRDefault="006B1F10" w:rsidP="00762ABD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>závažná pneumónia vrátane pneumónie získanej v nemocnici a pneumónie súvisiacej s mechanickou ventiláciou pľúc,</w:t>
      </w:r>
    </w:p>
    <w:p w:rsidR="006B1F10" w:rsidRPr="008F37E2" w:rsidRDefault="006B1F10" w:rsidP="00042517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>infekcie vzniknuté počas pôrodu a po pôrode,</w:t>
      </w:r>
    </w:p>
    <w:bookmarkEnd w:id="0"/>
    <w:p w:rsidR="006B1F10" w:rsidRPr="008F37E2" w:rsidRDefault="006B1F10" w:rsidP="00762ABD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>komplikované infekcie močových ciest,</w:t>
      </w:r>
    </w:p>
    <w:p w:rsidR="006B1F10" w:rsidRPr="008F37E2" w:rsidRDefault="006B1F10" w:rsidP="00042517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>komplikované infekcie kože a mäkkých tkanív.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AB5CE4" w:rsidP="00762ABD">
      <w:pPr>
        <w:rPr>
          <w:sz w:val="22"/>
          <w:szCs w:val="22"/>
        </w:rPr>
      </w:pPr>
      <w:proofErr w:type="spellStart"/>
      <w:r w:rsidRPr="00AB5CE4">
        <w:rPr>
          <w:sz w:val="22"/>
          <w:szCs w:val="22"/>
        </w:rPr>
        <w:t>Imipenem</w:t>
      </w:r>
      <w:proofErr w:type="spellEnd"/>
      <w:r w:rsidRPr="00AB5CE4">
        <w:rPr>
          <w:sz w:val="22"/>
          <w:szCs w:val="22"/>
        </w:rPr>
        <w:t>/</w:t>
      </w:r>
      <w:proofErr w:type="spellStart"/>
      <w:r w:rsidRPr="00AB5CE4">
        <w:rPr>
          <w:sz w:val="22"/>
          <w:szCs w:val="22"/>
        </w:rPr>
        <w:t>Cilastatin</w:t>
      </w:r>
      <w:proofErr w:type="spellEnd"/>
      <w:r w:rsidRPr="00AB5CE4">
        <w:rPr>
          <w:sz w:val="22"/>
          <w:szCs w:val="22"/>
        </w:rPr>
        <w:t xml:space="preserve"> </w:t>
      </w:r>
      <w:proofErr w:type="spellStart"/>
      <w:r w:rsidRPr="00AB5CE4">
        <w:rPr>
          <w:sz w:val="22"/>
          <w:szCs w:val="22"/>
        </w:rPr>
        <w:t>Kabi</w:t>
      </w:r>
      <w:proofErr w:type="spellEnd"/>
      <w:r w:rsidR="006B1F10" w:rsidRPr="008F37E2">
        <w:rPr>
          <w:sz w:val="22"/>
          <w:szCs w:val="22"/>
        </w:rPr>
        <w:t xml:space="preserve"> sa môže používať na liečbu </w:t>
      </w:r>
      <w:proofErr w:type="spellStart"/>
      <w:r w:rsidR="006B1F10" w:rsidRPr="008F37E2">
        <w:rPr>
          <w:sz w:val="22"/>
          <w:szCs w:val="22"/>
        </w:rPr>
        <w:t>neutropenických</w:t>
      </w:r>
      <w:proofErr w:type="spellEnd"/>
      <w:r w:rsidR="006B1F10" w:rsidRPr="008F37E2">
        <w:rPr>
          <w:sz w:val="22"/>
          <w:szCs w:val="22"/>
        </w:rPr>
        <w:t xml:space="preserve"> pacientov s horúčkou, o ktorej sa predpokladá, že je dôsledkom bakteriálnej infekcie.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Liečba pacientov s </w:t>
      </w:r>
      <w:proofErr w:type="spellStart"/>
      <w:r w:rsidRPr="008F37E2">
        <w:rPr>
          <w:sz w:val="22"/>
          <w:szCs w:val="22"/>
        </w:rPr>
        <w:t>bakteriémiou</w:t>
      </w:r>
      <w:proofErr w:type="spellEnd"/>
      <w:r w:rsidRPr="008F37E2">
        <w:rPr>
          <w:sz w:val="22"/>
          <w:szCs w:val="22"/>
        </w:rPr>
        <w:t>, ktorá sa vyskytuje v súvislosti s ktoroukoľvek infekciou uvedenou vyššie alebo o ktorej sa predpokladá, že s ňou pravdepodobne súvisí.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</w:rPr>
        <w:t>Do úvahy sa majú vziať oficiálne odporúčania o vhodnom používaní antibakteriálnych liečiv.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042517">
      <w:pPr>
        <w:keepNext/>
        <w:ind w:left="567" w:hanging="567"/>
        <w:rPr>
          <w:sz w:val="22"/>
          <w:szCs w:val="22"/>
        </w:rPr>
      </w:pPr>
      <w:r w:rsidRPr="008F37E2">
        <w:rPr>
          <w:b/>
          <w:sz w:val="22"/>
          <w:szCs w:val="22"/>
        </w:rPr>
        <w:t>4.2</w:t>
      </w:r>
      <w:r w:rsidRPr="008F37E2">
        <w:rPr>
          <w:b/>
          <w:sz w:val="22"/>
          <w:szCs w:val="22"/>
        </w:rPr>
        <w:tab/>
        <w:t xml:space="preserve">Dávkovanie a spôsob </w:t>
      </w:r>
      <w:r w:rsidR="00E32F41" w:rsidRPr="00E32F41">
        <w:rPr>
          <w:b/>
          <w:sz w:val="22"/>
          <w:szCs w:val="22"/>
        </w:rPr>
        <w:t>podávania</w:t>
      </w:r>
      <w:r w:rsidR="00E32F41" w:rsidRPr="00E32F41" w:rsidDel="00E32F41">
        <w:rPr>
          <w:b/>
          <w:sz w:val="22"/>
          <w:szCs w:val="22"/>
        </w:rPr>
        <w:t xml:space="preserve"> 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  <w:u w:val="single"/>
        </w:rPr>
      </w:pPr>
      <w:r w:rsidRPr="008F37E2">
        <w:rPr>
          <w:sz w:val="22"/>
          <w:szCs w:val="22"/>
          <w:u w:val="single"/>
        </w:rPr>
        <w:t>Dávkovanie</w:t>
      </w:r>
    </w:p>
    <w:p w:rsidR="006B1F10" w:rsidRPr="008F37E2" w:rsidRDefault="006B1F10" w:rsidP="00762ABD">
      <w:pPr>
        <w:keepNext/>
        <w:rPr>
          <w:sz w:val="22"/>
          <w:szCs w:val="22"/>
        </w:rPr>
      </w:pPr>
      <w:r w:rsidRPr="008F37E2">
        <w:rPr>
          <w:sz w:val="22"/>
          <w:szCs w:val="22"/>
        </w:rPr>
        <w:t xml:space="preserve">Odporúčania pre dávku </w:t>
      </w:r>
      <w:proofErr w:type="spellStart"/>
      <w:r w:rsidR="00AB5CE4" w:rsidRPr="00AB5CE4">
        <w:rPr>
          <w:sz w:val="22"/>
          <w:szCs w:val="22"/>
        </w:rPr>
        <w:t>Imipenem</w:t>
      </w:r>
      <w:proofErr w:type="spellEnd"/>
      <w:r w:rsidR="00AB5CE4" w:rsidRPr="00AB5CE4">
        <w:rPr>
          <w:sz w:val="22"/>
          <w:szCs w:val="22"/>
        </w:rPr>
        <w:t>/</w:t>
      </w:r>
      <w:proofErr w:type="spellStart"/>
      <w:r w:rsidR="00AB5CE4" w:rsidRPr="00AB5CE4">
        <w:rPr>
          <w:sz w:val="22"/>
          <w:szCs w:val="22"/>
        </w:rPr>
        <w:t>Cilastatin</w:t>
      </w:r>
      <w:proofErr w:type="spellEnd"/>
      <w:r w:rsidR="00AB5CE4" w:rsidRPr="00AB5CE4">
        <w:rPr>
          <w:sz w:val="22"/>
          <w:szCs w:val="22"/>
        </w:rPr>
        <w:t xml:space="preserve"> </w:t>
      </w:r>
      <w:proofErr w:type="spellStart"/>
      <w:r w:rsidR="00AB5CE4" w:rsidRPr="00AB5CE4">
        <w:rPr>
          <w:sz w:val="22"/>
          <w:szCs w:val="22"/>
        </w:rPr>
        <w:t>Kabi</w:t>
      </w:r>
      <w:proofErr w:type="spellEnd"/>
      <w:r w:rsidR="00AB5CE4" w:rsidRPr="00AB5CE4">
        <w:rPr>
          <w:sz w:val="22"/>
          <w:szCs w:val="22"/>
        </w:rPr>
        <w:t xml:space="preserve"> </w:t>
      </w:r>
      <w:r w:rsidRPr="008F37E2">
        <w:rPr>
          <w:sz w:val="22"/>
          <w:szCs w:val="22"/>
        </w:rPr>
        <w:t xml:space="preserve">predstavujú množstvo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>, ktoré sa má podať.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  <w:lang w:eastAsia="en-GB"/>
        </w:rPr>
        <w:lastRenderedPageBreak/>
        <w:t>Denná dávka</w:t>
      </w:r>
      <w:r w:rsidR="00AB5CE4">
        <w:rPr>
          <w:sz w:val="22"/>
          <w:szCs w:val="22"/>
        </w:rPr>
        <w:t xml:space="preserve"> </w:t>
      </w:r>
      <w:proofErr w:type="spellStart"/>
      <w:r w:rsidR="00AB5CE4" w:rsidRPr="00AB5CE4">
        <w:rPr>
          <w:sz w:val="22"/>
          <w:szCs w:val="22"/>
        </w:rPr>
        <w:t>Imipenem</w:t>
      </w:r>
      <w:proofErr w:type="spellEnd"/>
      <w:r w:rsidR="00AB5CE4" w:rsidRPr="00AB5CE4">
        <w:rPr>
          <w:sz w:val="22"/>
          <w:szCs w:val="22"/>
        </w:rPr>
        <w:t>/</w:t>
      </w:r>
      <w:proofErr w:type="spellStart"/>
      <w:r w:rsidR="00AB5CE4" w:rsidRPr="00AB5CE4">
        <w:rPr>
          <w:sz w:val="22"/>
          <w:szCs w:val="22"/>
        </w:rPr>
        <w:t>Cilastatin</w:t>
      </w:r>
      <w:proofErr w:type="spellEnd"/>
      <w:r w:rsidR="00AB5CE4" w:rsidRPr="00AB5CE4">
        <w:rPr>
          <w:sz w:val="22"/>
          <w:szCs w:val="22"/>
        </w:rPr>
        <w:t xml:space="preserve"> </w:t>
      </w:r>
      <w:proofErr w:type="spellStart"/>
      <w:r w:rsidR="00AB5CE4" w:rsidRPr="00AB5CE4">
        <w:rPr>
          <w:sz w:val="22"/>
          <w:szCs w:val="22"/>
        </w:rPr>
        <w:t>Kabi</w:t>
      </w:r>
      <w:proofErr w:type="spellEnd"/>
      <w:r w:rsidR="00AB5CE4">
        <w:rPr>
          <w:sz w:val="22"/>
          <w:szCs w:val="22"/>
        </w:rPr>
        <w:t xml:space="preserve"> </w:t>
      </w:r>
      <w:r w:rsidRPr="008F37E2">
        <w:rPr>
          <w:sz w:val="22"/>
          <w:szCs w:val="22"/>
        </w:rPr>
        <w:t xml:space="preserve">sa má určiť podľa </w:t>
      </w:r>
      <w:r w:rsidR="00AB5CE4">
        <w:rPr>
          <w:sz w:val="22"/>
          <w:szCs w:val="22"/>
        </w:rPr>
        <w:t xml:space="preserve">typu </w:t>
      </w:r>
      <w:r w:rsidRPr="008F37E2">
        <w:rPr>
          <w:sz w:val="22"/>
          <w:szCs w:val="22"/>
        </w:rPr>
        <w:t>infekcie</w:t>
      </w:r>
      <w:r w:rsidR="00D41BE9">
        <w:rPr>
          <w:sz w:val="22"/>
          <w:szCs w:val="22"/>
        </w:rPr>
        <w:t xml:space="preserve"> a má sa podať v rovnomerne rozdelených dávkach na základe </w:t>
      </w:r>
      <w:r w:rsidR="006A34CA">
        <w:rPr>
          <w:sz w:val="22"/>
          <w:szCs w:val="22"/>
        </w:rPr>
        <w:t>posúdenia</w:t>
      </w:r>
      <w:r w:rsidR="00D41BE9">
        <w:rPr>
          <w:sz w:val="22"/>
          <w:szCs w:val="22"/>
        </w:rPr>
        <w:t xml:space="preserve"> stupňa</w:t>
      </w:r>
      <w:r w:rsidR="005058B5">
        <w:rPr>
          <w:sz w:val="22"/>
          <w:szCs w:val="22"/>
        </w:rPr>
        <w:t xml:space="preserve"> citlivosti patogénu</w:t>
      </w:r>
      <w:r w:rsidR="009637D3">
        <w:rPr>
          <w:sz w:val="22"/>
          <w:szCs w:val="22"/>
        </w:rPr>
        <w:t xml:space="preserve"> alebo patogénov</w:t>
      </w:r>
      <w:r w:rsidR="005058B5">
        <w:rPr>
          <w:sz w:val="22"/>
          <w:szCs w:val="22"/>
        </w:rPr>
        <w:t xml:space="preserve"> a </w:t>
      </w:r>
      <w:proofErr w:type="spellStart"/>
      <w:r w:rsidR="005058B5">
        <w:rPr>
          <w:sz w:val="22"/>
          <w:szCs w:val="22"/>
        </w:rPr>
        <w:t>renálnych</w:t>
      </w:r>
      <w:proofErr w:type="spellEnd"/>
      <w:r w:rsidR="005058B5">
        <w:rPr>
          <w:sz w:val="22"/>
          <w:szCs w:val="22"/>
        </w:rPr>
        <w:t xml:space="preserve"> funkcií pacienta</w:t>
      </w:r>
      <w:r w:rsidR="006A34CA">
        <w:rPr>
          <w:sz w:val="22"/>
          <w:szCs w:val="22"/>
        </w:rPr>
        <w:t xml:space="preserve"> </w:t>
      </w:r>
      <w:r w:rsidRPr="008F37E2">
        <w:rPr>
          <w:sz w:val="22"/>
          <w:szCs w:val="22"/>
          <w:lang w:eastAsia="en-GB"/>
        </w:rPr>
        <w:t>(pozri tiež časť 4.4 a 5.1).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  <w:u w:val="single"/>
        </w:rPr>
      </w:pPr>
      <w:r w:rsidRPr="008F37E2">
        <w:rPr>
          <w:sz w:val="22"/>
          <w:szCs w:val="22"/>
          <w:u w:val="single"/>
        </w:rPr>
        <w:t>Dospelí a dospievajúci</w:t>
      </w:r>
    </w:p>
    <w:p w:rsidR="006B1F10" w:rsidRPr="008F37E2" w:rsidRDefault="006B1F10" w:rsidP="00762ABD">
      <w:pPr>
        <w:keepNext/>
        <w:tabs>
          <w:tab w:val="left" w:pos="0"/>
        </w:tabs>
        <w:rPr>
          <w:sz w:val="22"/>
          <w:szCs w:val="22"/>
        </w:rPr>
      </w:pPr>
      <w:r w:rsidRPr="008F37E2">
        <w:rPr>
          <w:sz w:val="22"/>
          <w:szCs w:val="22"/>
          <w:lang w:eastAsia="en-GB"/>
        </w:rPr>
        <w:t>Odporúčané dávkovacie schémy pre pacientov s normálnou funkciou obličiek (</w:t>
      </w:r>
      <w:proofErr w:type="spellStart"/>
      <w:r w:rsidRPr="008F37E2">
        <w:rPr>
          <w:sz w:val="22"/>
          <w:szCs w:val="22"/>
          <w:lang w:eastAsia="en-GB"/>
        </w:rPr>
        <w:t>klírens</w:t>
      </w:r>
      <w:proofErr w:type="spellEnd"/>
      <w:r w:rsidRPr="008F37E2">
        <w:rPr>
          <w:sz w:val="22"/>
          <w:szCs w:val="22"/>
          <w:lang w:eastAsia="en-GB"/>
        </w:rPr>
        <w:t xml:space="preserve"> </w:t>
      </w:r>
      <w:proofErr w:type="spellStart"/>
      <w:r w:rsidRPr="008F37E2">
        <w:rPr>
          <w:sz w:val="22"/>
          <w:szCs w:val="22"/>
          <w:lang w:eastAsia="en-GB"/>
        </w:rPr>
        <w:t>kreatinínu</w:t>
      </w:r>
      <w:proofErr w:type="spellEnd"/>
      <w:r w:rsidRPr="008F37E2">
        <w:rPr>
          <w:sz w:val="22"/>
          <w:szCs w:val="22"/>
          <w:lang w:eastAsia="en-GB"/>
        </w:rPr>
        <w:t xml:space="preserve"> &gt; </w:t>
      </w:r>
      <w:r w:rsidR="002E0FE4">
        <w:rPr>
          <w:sz w:val="22"/>
          <w:szCs w:val="22"/>
          <w:lang w:eastAsia="en-GB"/>
        </w:rPr>
        <w:t>9</w:t>
      </w:r>
      <w:r w:rsidR="002E0FE4" w:rsidRPr="008F37E2">
        <w:rPr>
          <w:sz w:val="22"/>
          <w:szCs w:val="22"/>
          <w:lang w:eastAsia="en-GB"/>
        </w:rPr>
        <w:t>0 </w:t>
      </w:r>
      <w:r w:rsidRPr="008F37E2">
        <w:rPr>
          <w:sz w:val="22"/>
          <w:szCs w:val="22"/>
          <w:lang w:eastAsia="en-GB"/>
        </w:rPr>
        <w:t>ml/min) sú: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500 mg/500 mg každých 6 hodín ALEBO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1 000 mg/1 000 mg každých 8 hodín ALEBO každých 6 hodín.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  <w:lang w:eastAsia="en-GB"/>
        </w:rPr>
        <w:t xml:space="preserve">Odporúča sa, aby sa infekcie, o ktorých sa predpokladá, alebo sa preukázalo, že sú spôsobené menej citlivými druhmi baktérií (ako je </w:t>
      </w:r>
      <w:proofErr w:type="spellStart"/>
      <w:r w:rsidRPr="008F37E2">
        <w:rPr>
          <w:i/>
          <w:sz w:val="22"/>
          <w:szCs w:val="22"/>
          <w:lang w:eastAsia="en-GB"/>
        </w:rPr>
        <w:t>Pseudomonas</w:t>
      </w:r>
      <w:proofErr w:type="spellEnd"/>
      <w:r w:rsidRPr="008F37E2">
        <w:rPr>
          <w:i/>
          <w:sz w:val="22"/>
          <w:szCs w:val="22"/>
          <w:lang w:eastAsia="en-GB"/>
        </w:rPr>
        <w:t xml:space="preserve"> </w:t>
      </w:r>
      <w:proofErr w:type="spellStart"/>
      <w:r w:rsidRPr="008F37E2">
        <w:rPr>
          <w:i/>
          <w:sz w:val="22"/>
          <w:szCs w:val="22"/>
          <w:lang w:eastAsia="en-GB"/>
        </w:rPr>
        <w:t>aeruginosa</w:t>
      </w:r>
      <w:proofErr w:type="spellEnd"/>
      <w:r w:rsidRPr="008F37E2">
        <w:rPr>
          <w:sz w:val="22"/>
          <w:szCs w:val="22"/>
          <w:lang w:eastAsia="en-GB"/>
        </w:rPr>
        <w:t>)</w:t>
      </w:r>
      <w:r w:rsidRPr="008F37E2">
        <w:rPr>
          <w:i/>
          <w:sz w:val="22"/>
          <w:szCs w:val="22"/>
          <w:lang w:eastAsia="en-GB"/>
        </w:rPr>
        <w:t xml:space="preserve"> </w:t>
      </w:r>
      <w:r w:rsidRPr="008F37E2">
        <w:rPr>
          <w:sz w:val="22"/>
          <w:szCs w:val="22"/>
          <w:lang w:eastAsia="en-GB"/>
        </w:rPr>
        <w:t>a veľmi závažné infekcie (napr. u </w:t>
      </w:r>
      <w:proofErr w:type="spellStart"/>
      <w:r w:rsidRPr="008F37E2">
        <w:rPr>
          <w:sz w:val="22"/>
          <w:szCs w:val="22"/>
          <w:lang w:eastAsia="en-GB"/>
        </w:rPr>
        <w:t>neutropenických</w:t>
      </w:r>
      <w:proofErr w:type="spellEnd"/>
      <w:r w:rsidRPr="008F37E2">
        <w:rPr>
          <w:sz w:val="22"/>
          <w:szCs w:val="22"/>
          <w:lang w:eastAsia="en-GB"/>
        </w:rPr>
        <w:t xml:space="preserve"> pacientov s horúčkou), liečili dávkou 1 000 mg/1 000 mg podávanou každých 6 hodín.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Zníženie dávky je potrebné, ak:</w:t>
      </w:r>
    </w:p>
    <w:p w:rsidR="006B1F10" w:rsidRPr="008F37E2" w:rsidRDefault="006B1F10" w:rsidP="00762ABD">
      <w:pPr>
        <w:numPr>
          <w:ilvl w:val="0"/>
          <w:numId w:val="16"/>
        </w:numPr>
        <w:tabs>
          <w:tab w:val="clear" w:pos="705"/>
          <w:tab w:val="num" w:pos="360"/>
        </w:tabs>
        <w:ind w:left="360" w:hanging="360"/>
        <w:rPr>
          <w:sz w:val="22"/>
          <w:szCs w:val="22"/>
        </w:rPr>
      </w:pPr>
      <w:r w:rsidRPr="008F37E2">
        <w:rPr>
          <w:sz w:val="22"/>
          <w:szCs w:val="22"/>
        </w:rPr>
        <w:t xml:space="preserve">je </w:t>
      </w:r>
      <w:proofErr w:type="spellStart"/>
      <w:r w:rsidRPr="008F37E2">
        <w:rPr>
          <w:sz w:val="22"/>
          <w:szCs w:val="22"/>
        </w:rPr>
        <w:t>klírens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kreatinínu</w:t>
      </w:r>
      <w:proofErr w:type="spellEnd"/>
      <w:r w:rsidRPr="008F37E2">
        <w:rPr>
          <w:sz w:val="22"/>
          <w:szCs w:val="22"/>
        </w:rPr>
        <w:t xml:space="preserve"> ≤ </w:t>
      </w:r>
      <w:r w:rsidR="002E0FE4">
        <w:rPr>
          <w:sz w:val="22"/>
          <w:szCs w:val="22"/>
        </w:rPr>
        <w:t>9</w:t>
      </w:r>
      <w:r w:rsidRPr="008F37E2">
        <w:rPr>
          <w:sz w:val="22"/>
          <w:szCs w:val="22"/>
        </w:rPr>
        <w:t>0 ml/min (pozri tabuľku 1)</w:t>
      </w:r>
      <w:r w:rsidR="008565E1">
        <w:rPr>
          <w:sz w:val="22"/>
          <w:szCs w:val="22"/>
        </w:rPr>
        <w:t>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Maximálna celková denná dávka nemá presiahnuť 4 000 mg/4 000 mg za deň.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</w:rPr>
      </w:pPr>
      <w:r w:rsidRPr="008F37E2">
        <w:rPr>
          <w:sz w:val="22"/>
          <w:szCs w:val="22"/>
          <w:u w:val="single"/>
        </w:rPr>
        <w:t>Porucha funkcie obličiek</w:t>
      </w:r>
    </w:p>
    <w:p w:rsidR="006B1F10" w:rsidRPr="008F37E2" w:rsidRDefault="006B1F10" w:rsidP="00042517">
      <w:pPr>
        <w:keepNext/>
        <w:rPr>
          <w:sz w:val="22"/>
          <w:szCs w:val="22"/>
        </w:rPr>
      </w:pPr>
      <w:r w:rsidRPr="008F37E2">
        <w:rPr>
          <w:sz w:val="22"/>
          <w:szCs w:val="22"/>
        </w:rPr>
        <w:t>Stanovenie zníženej dávky pre dospelých s porušenou funkciou obličiek: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>Má sa zvoliť celková denná dávka (t.j. 2 000/2 000, 3 000/3 000 alebo 4 000/4 000 mg), ktorá by sa zvyčajne použila u pacientov s normálnou funkciou obličiek.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 xml:space="preserve">Z tabuľky 1 sa vyberie príslušný režim zníženého dávkovania na základe hodnoty </w:t>
      </w:r>
      <w:proofErr w:type="spellStart"/>
      <w:r w:rsidRPr="008F37E2">
        <w:rPr>
          <w:sz w:val="22"/>
          <w:szCs w:val="22"/>
        </w:rPr>
        <w:t>klírensu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kreatinínu</w:t>
      </w:r>
      <w:proofErr w:type="spellEnd"/>
      <w:r w:rsidRPr="008F37E2">
        <w:rPr>
          <w:sz w:val="22"/>
          <w:szCs w:val="22"/>
        </w:rPr>
        <w:t xml:space="preserve"> pacienta. Dĺžka infúzie, pozri </w:t>
      </w:r>
      <w:r w:rsidRPr="008F37E2">
        <w:rPr>
          <w:sz w:val="22"/>
          <w:szCs w:val="22"/>
          <w:u w:val="single"/>
        </w:rPr>
        <w:t>Spôsob podávania</w:t>
      </w:r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2E0FE4" w:rsidRPr="002E0FE4" w:rsidRDefault="004B54D0" w:rsidP="002E0FE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bookmarkStart w:id="1" w:name="OLE_LINK4"/>
      <w:proofErr w:type="spellStart"/>
      <w:r>
        <w:rPr>
          <w:rFonts w:ascii="Times New Roman" w:hAnsi="Times New Roman" w:cs="Times New Roman"/>
          <w:sz w:val="22"/>
          <w:szCs w:val="22"/>
        </w:rPr>
        <w:t>Tabuľka</w:t>
      </w:r>
      <w:proofErr w:type="spellEnd"/>
      <w:r w:rsidR="00AB5CE4" w:rsidRPr="00AB5CE4">
        <w:rPr>
          <w:rFonts w:ascii="Times New Roman" w:hAnsi="Times New Roman" w:cs="Times New Roman"/>
          <w:sz w:val="22"/>
          <w:szCs w:val="22"/>
        </w:rPr>
        <w:t xml:space="preserve"> 1: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127"/>
        <w:gridCol w:w="2268"/>
        <w:gridCol w:w="2268"/>
      </w:tblGrid>
      <w:tr w:rsidR="002E0FE4" w:rsidRPr="00D07AE7" w:rsidTr="00E32F41">
        <w:tc>
          <w:tcPr>
            <w:tcW w:w="2376" w:type="dxa"/>
            <w:shd w:val="clear" w:color="auto" w:fill="auto"/>
          </w:tcPr>
          <w:p w:rsidR="002E0FE4" w:rsidRPr="00D07AE7" w:rsidRDefault="00AB5CE4" w:rsidP="00E32F4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 w:eastAsia="pt-PT"/>
              </w:rPr>
            </w:pPr>
            <w:proofErr w:type="spellStart"/>
            <w:r w:rsidRPr="00AB5CE4">
              <w:rPr>
                <w:b/>
                <w:bCs/>
                <w:sz w:val="22"/>
                <w:szCs w:val="22"/>
                <w:lang w:val="en-US" w:eastAsia="pt-PT"/>
              </w:rPr>
              <w:t>Klírens</w:t>
            </w:r>
            <w:proofErr w:type="spellEnd"/>
            <w:r w:rsidRPr="00AB5CE4">
              <w:rPr>
                <w:b/>
                <w:bCs/>
                <w:sz w:val="22"/>
                <w:szCs w:val="22"/>
                <w:lang w:val="en-US" w:eastAsia="pt-PT"/>
              </w:rPr>
              <w:t xml:space="preserve"> </w:t>
            </w:r>
            <w:proofErr w:type="spellStart"/>
            <w:r w:rsidRPr="00AB5CE4">
              <w:rPr>
                <w:b/>
                <w:bCs/>
                <w:sz w:val="22"/>
                <w:szCs w:val="22"/>
                <w:lang w:val="en-US" w:eastAsia="pt-PT"/>
              </w:rPr>
              <w:t>kreatinínu</w:t>
            </w:r>
            <w:proofErr w:type="spellEnd"/>
            <w:r w:rsidRPr="00AB5CE4">
              <w:rPr>
                <w:b/>
                <w:bCs/>
                <w:sz w:val="22"/>
                <w:szCs w:val="22"/>
                <w:lang w:val="en-US" w:eastAsia="pt-PT"/>
              </w:rPr>
              <w:t xml:space="preserve"> (ml/min) je:</w:t>
            </w:r>
          </w:p>
        </w:tc>
        <w:tc>
          <w:tcPr>
            <w:tcW w:w="2127" w:type="dxa"/>
            <w:shd w:val="clear" w:color="auto" w:fill="auto"/>
          </w:tcPr>
          <w:p w:rsidR="002E0FE4" w:rsidRPr="00D07AE7" w:rsidRDefault="00AB5CE4" w:rsidP="00E32F4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 w:eastAsia="pt-PT"/>
              </w:rPr>
            </w:pPr>
            <w:proofErr w:type="spellStart"/>
            <w:r w:rsidRPr="00AB5CE4">
              <w:rPr>
                <w:b/>
                <w:bCs/>
                <w:sz w:val="22"/>
                <w:szCs w:val="22"/>
                <w:lang w:val="en-US" w:eastAsia="pt-PT"/>
              </w:rPr>
              <w:t>Ak</w:t>
            </w:r>
            <w:proofErr w:type="spellEnd"/>
            <w:r w:rsidRPr="00AB5CE4">
              <w:rPr>
                <w:b/>
                <w:bCs/>
                <w:sz w:val="22"/>
                <w:szCs w:val="22"/>
                <w:lang w:val="en-US" w:eastAsia="pt-PT"/>
              </w:rPr>
              <w:t xml:space="preserve"> je CELKOVÁ DENNÁ DÁVKA:</w:t>
            </w:r>
          </w:p>
          <w:p w:rsidR="002E0FE4" w:rsidRPr="00D07AE7" w:rsidRDefault="00AB5CE4" w:rsidP="00ED67E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 w:eastAsia="pt-PT"/>
              </w:rPr>
              <w:t>2</w:t>
            </w:r>
            <w:r w:rsidR="00780C4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 w:eastAsia="pt-PT"/>
              </w:rPr>
              <w:t xml:space="preserve"> </w:t>
            </w:r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 w:eastAsia="pt-PT"/>
              </w:rPr>
              <w:t>000 mg/deň</w:t>
            </w:r>
          </w:p>
        </w:tc>
        <w:tc>
          <w:tcPr>
            <w:tcW w:w="2268" w:type="dxa"/>
            <w:shd w:val="clear" w:color="auto" w:fill="auto"/>
          </w:tcPr>
          <w:p w:rsidR="007D4821" w:rsidRPr="00D07AE7" w:rsidRDefault="00AB5CE4" w:rsidP="007D482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 w:eastAsia="pt-PT"/>
              </w:rPr>
            </w:pPr>
            <w:proofErr w:type="spellStart"/>
            <w:r w:rsidRPr="00AB5CE4">
              <w:rPr>
                <w:b/>
                <w:bCs/>
                <w:sz w:val="22"/>
                <w:szCs w:val="22"/>
                <w:lang w:val="en-US" w:eastAsia="pt-PT"/>
              </w:rPr>
              <w:t>Ak</w:t>
            </w:r>
            <w:proofErr w:type="spellEnd"/>
            <w:r w:rsidRPr="00AB5CE4">
              <w:rPr>
                <w:b/>
                <w:bCs/>
                <w:sz w:val="22"/>
                <w:szCs w:val="22"/>
                <w:lang w:val="en-US" w:eastAsia="pt-PT"/>
              </w:rPr>
              <w:t xml:space="preserve"> je CELKOVÁ DENNÁ DÁVKA:</w:t>
            </w:r>
          </w:p>
          <w:p w:rsidR="002E0FE4" w:rsidRPr="00D07AE7" w:rsidRDefault="00AB5CE4" w:rsidP="00ED67E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 w:eastAsia="pt-PT"/>
              </w:rPr>
              <w:t>3</w:t>
            </w:r>
            <w:r w:rsidR="00780C4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 w:eastAsia="pt-PT"/>
              </w:rPr>
              <w:t xml:space="preserve"> </w:t>
            </w:r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 w:eastAsia="pt-PT"/>
              </w:rPr>
              <w:t>000 mg/deň</w:t>
            </w:r>
          </w:p>
        </w:tc>
        <w:tc>
          <w:tcPr>
            <w:tcW w:w="2268" w:type="dxa"/>
            <w:shd w:val="clear" w:color="auto" w:fill="auto"/>
          </w:tcPr>
          <w:p w:rsidR="007D4821" w:rsidRPr="00D07AE7" w:rsidRDefault="00AB5CE4" w:rsidP="007D482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 w:eastAsia="pt-PT"/>
              </w:rPr>
            </w:pPr>
            <w:proofErr w:type="spellStart"/>
            <w:r w:rsidRPr="00AB5CE4">
              <w:rPr>
                <w:b/>
                <w:bCs/>
                <w:sz w:val="22"/>
                <w:szCs w:val="22"/>
                <w:lang w:val="en-US" w:eastAsia="pt-PT"/>
              </w:rPr>
              <w:t>Ak</w:t>
            </w:r>
            <w:proofErr w:type="spellEnd"/>
            <w:r w:rsidRPr="00AB5CE4">
              <w:rPr>
                <w:b/>
                <w:bCs/>
                <w:sz w:val="22"/>
                <w:szCs w:val="22"/>
                <w:lang w:val="en-US" w:eastAsia="pt-PT"/>
              </w:rPr>
              <w:t xml:space="preserve"> je CELKOVÁ DENNÁ DÁVKA:</w:t>
            </w:r>
          </w:p>
          <w:p w:rsidR="002E0FE4" w:rsidRPr="00D07AE7" w:rsidRDefault="00AB5CE4" w:rsidP="00ED67E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 w:eastAsia="pt-PT"/>
              </w:rPr>
              <w:t>4</w:t>
            </w:r>
            <w:r w:rsidR="00780C4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 w:eastAsia="pt-PT"/>
              </w:rPr>
              <w:t xml:space="preserve"> </w:t>
            </w:r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 w:eastAsia="pt-PT"/>
              </w:rPr>
              <w:t>000 mg/deň</w:t>
            </w:r>
          </w:p>
        </w:tc>
      </w:tr>
      <w:tr w:rsidR="002E0FE4" w:rsidRPr="00D07AE7" w:rsidTr="00E32F41">
        <w:tc>
          <w:tcPr>
            <w:tcW w:w="2376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rFonts w:eastAsia="TT14AC1o00"/>
                <w:sz w:val="22"/>
                <w:szCs w:val="22"/>
                <w:lang w:val="pt-PT" w:eastAsia="pt-PT"/>
              </w:rPr>
            </w:pPr>
            <w:r w:rsidRPr="00AB5CE4">
              <w:rPr>
                <w:rFonts w:eastAsia="TT14AC1o00"/>
                <w:sz w:val="22"/>
                <w:szCs w:val="22"/>
                <w:lang w:val="pt-PT" w:eastAsia="pt-PT"/>
              </w:rPr>
              <w:t>≥ 90</w:t>
            </w:r>
          </w:p>
          <w:p w:rsidR="002E0FE4" w:rsidRPr="00D07AE7" w:rsidRDefault="00AB5CE4" w:rsidP="00ED67EF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B5CE4">
              <w:rPr>
                <w:rFonts w:ascii="Times New Roman" w:eastAsia="TT14AC1o00" w:hAnsi="Times New Roman" w:cs="Times New Roman"/>
                <w:sz w:val="22"/>
                <w:szCs w:val="22"/>
                <w:lang w:val="pt-PT" w:eastAsia="pt-PT"/>
              </w:rPr>
              <w:t>(normál)</w:t>
            </w:r>
          </w:p>
        </w:tc>
        <w:tc>
          <w:tcPr>
            <w:tcW w:w="2127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500</w:t>
            </w:r>
          </w:p>
          <w:p w:rsidR="002E0FE4" w:rsidRPr="00D07AE7" w:rsidRDefault="00901D4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6h</w:t>
            </w:r>
          </w:p>
        </w:tc>
        <w:tc>
          <w:tcPr>
            <w:tcW w:w="2268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1</w:t>
            </w:r>
            <w:r w:rsidR="00780C44">
              <w:rPr>
                <w:sz w:val="22"/>
                <w:szCs w:val="22"/>
                <w:lang w:val="pt-PT" w:eastAsia="pt-PT"/>
              </w:rPr>
              <w:t xml:space="preserve"> </w:t>
            </w:r>
            <w:r w:rsidRPr="00AB5CE4">
              <w:rPr>
                <w:sz w:val="22"/>
                <w:szCs w:val="22"/>
                <w:lang w:val="pt-PT" w:eastAsia="pt-PT"/>
              </w:rPr>
              <w:t>000</w:t>
            </w:r>
          </w:p>
          <w:p w:rsidR="002E0FE4" w:rsidRPr="00D07AE7" w:rsidRDefault="00901D4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8h</w:t>
            </w:r>
          </w:p>
        </w:tc>
        <w:tc>
          <w:tcPr>
            <w:tcW w:w="2268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1</w:t>
            </w:r>
            <w:r w:rsidR="00780C44">
              <w:rPr>
                <w:sz w:val="22"/>
                <w:szCs w:val="22"/>
                <w:lang w:val="pt-PT" w:eastAsia="pt-PT"/>
              </w:rPr>
              <w:t xml:space="preserve"> </w:t>
            </w:r>
            <w:r w:rsidRPr="00AB5CE4">
              <w:rPr>
                <w:sz w:val="22"/>
                <w:szCs w:val="22"/>
                <w:lang w:val="pt-PT" w:eastAsia="pt-PT"/>
              </w:rPr>
              <w:t>000</w:t>
            </w:r>
          </w:p>
          <w:p w:rsidR="002E0FE4" w:rsidRPr="00D07AE7" w:rsidRDefault="00901D4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6h</w:t>
            </w:r>
          </w:p>
        </w:tc>
      </w:tr>
      <w:tr w:rsidR="002E0FE4" w:rsidRPr="00D07AE7" w:rsidTr="00E32F41">
        <w:tc>
          <w:tcPr>
            <w:tcW w:w="9039" w:type="dxa"/>
            <w:gridSpan w:val="4"/>
            <w:shd w:val="clear" w:color="auto" w:fill="auto"/>
          </w:tcPr>
          <w:p w:rsidR="002E0FE4" w:rsidRPr="00D07AE7" w:rsidRDefault="00AB5CE4" w:rsidP="00ED67EF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>Znížené</w:t>
            </w:r>
            <w:proofErr w:type="spellEnd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 xml:space="preserve"> </w:t>
            </w:r>
            <w:proofErr w:type="spellStart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>dávkovanie</w:t>
            </w:r>
            <w:proofErr w:type="spellEnd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 xml:space="preserve"> (mg) u </w:t>
            </w:r>
            <w:proofErr w:type="spellStart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>pacientov</w:t>
            </w:r>
            <w:proofErr w:type="spellEnd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 xml:space="preserve"> s </w:t>
            </w:r>
            <w:proofErr w:type="spellStart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>poruchou</w:t>
            </w:r>
            <w:proofErr w:type="spellEnd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 xml:space="preserve"> </w:t>
            </w:r>
            <w:proofErr w:type="spellStart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>funkcie</w:t>
            </w:r>
            <w:proofErr w:type="spellEnd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 xml:space="preserve"> </w:t>
            </w:r>
            <w:proofErr w:type="spellStart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>obličiek</w:t>
            </w:r>
            <w:proofErr w:type="spellEnd"/>
            <w:r w:rsidRPr="00AB5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pt-PT"/>
              </w:rPr>
              <w:t>:</w:t>
            </w:r>
          </w:p>
        </w:tc>
      </w:tr>
      <w:tr w:rsidR="002E0FE4" w:rsidRPr="00D07AE7" w:rsidTr="00E32F41">
        <w:tc>
          <w:tcPr>
            <w:tcW w:w="2376" w:type="dxa"/>
            <w:shd w:val="clear" w:color="auto" w:fill="auto"/>
          </w:tcPr>
          <w:p w:rsidR="002E0FE4" w:rsidRPr="00D07AE7" w:rsidRDefault="00AB5CE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&lt; 90 - </w:t>
            </w:r>
            <w:r w:rsidRPr="00AB5CE4">
              <w:rPr>
                <w:rFonts w:ascii="Times New Roman" w:eastAsia="TT14AC1o00" w:hAnsi="Times New Roman" w:cs="Times New Roman"/>
                <w:sz w:val="22"/>
                <w:szCs w:val="22"/>
                <w:lang w:val="pt-PT" w:eastAsia="pt-PT"/>
              </w:rPr>
              <w:t>≥ </w:t>
            </w:r>
            <w:r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60</w:t>
            </w:r>
          </w:p>
        </w:tc>
        <w:tc>
          <w:tcPr>
            <w:tcW w:w="2127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400</w:t>
            </w:r>
          </w:p>
          <w:p w:rsidR="002E0FE4" w:rsidRPr="00D07AE7" w:rsidRDefault="00901D4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6h</w:t>
            </w:r>
          </w:p>
        </w:tc>
        <w:tc>
          <w:tcPr>
            <w:tcW w:w="2268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500</w:t>
            </w:r>
          </w:p>
          <w:p w:rsidR="002E0FE4" w:rsidRPr="00D07AE7" w:rsidRDefault="00901D4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6h</w:t>
            </w:r>
          </w:p>
        </w:tc>
        <w:tc>
          <w:tcPr>
            <w:tcW w:w="2268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750</w:t>
            </w:r>
          </w:p>
          <w:p w:rsidR="002E0FE4" w:rsidRPr="00D07AE7" w:rsidRDefault="00901D4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8h</w:t>
            </w:r>
          </w:p>
        </w:tc>
      </w:tr>
      <w:tr w:rsidR="002E0FE4" w:rsidRPr="00D07AE7" w:rsidTr="00E32F41">
        <w:tc>
          <w:tcPr>
            <w:tcW w:w="2376" w:type="dxa"/>
            <w:shd w:val="clear" w:color="auto" w:fill="auto"/>
          </w:tcPr>
          <w:p w:rsidR="002E0FE4" w:rsidRPr="00D07AE7" w:rsidRDefault="00AB5CE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&lt; 60 - </w:t>
            </w:r>
            <w:r w:rsidRPr="00AB5CE4">
              <w:rPr>
                <w:rFonts w:ascii="Times New Roman" w:eastAsia="TT14AC1o00" w:hAnsi="Times New Roman" w:cs="Times New Roman"/>
                <w:sz w:val="22"/>
                <w:szCs w:val="22"/>
                <w:lang w:val="pt-PT" w:eastAsia="pt-PT"/>
              </w:rPr>
              <w:t>≥ </w:t>
            </w:r>
            <w:r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30</w:t>
            </w:r>
          </w:p>
        </w:tc>
        <w:tc>
          <w:tcPr>
            <w:tcW w:w="2127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300</w:t>
            </w:r>
          </w:p>
          <w:p w:rsidR="002E0FE4" w:rsidRPr="00D07AE7" w:rsidRDefault="00901D4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6h</w:t>
            </w:r>
          </w:p>
        </w:tc>
        <w:tc>
          <w:tcPr>
            <w:tcW w:w="2268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500</w:t>
            </w:r>
          </w:p>
          <w:p w:rsidR="002E0FE4" w:rsidRPr="00D07AE7" w:rsidRDefault="00901D4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8h</w:t>
            </w:r>
          </w:p>
        </w:tc>
        <w:tc>
          <w:tcPr>
            <w:tcW w:w="2268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500</w:t>
            </w:r>
          </w:p>
          <w:p w:rsidR="002E0FE4" w:rsidRPr="00D07AE7" w:rsidRDefault="00901D4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6h</w:t>
            </w:r>
          </w:p>
        </w:tc>
      </w:tr>
      <w:tr w:rsidR="002E0FE4" w:rsidRPr="002E0FE4" w:rsidTr="00E32F41">
        <w:tc>
          <w:tcPr>
            <w:tcW w:w="2376" w:type="dxa"/>
            <w:shd w:val="clear" w:color="auto" w:fill="auto"/>
          </w:tcPr>
          <w:p w:rsidR="002E0FE4" w:rsidRPr="00D07AE7" w:rsidRDefault="00AB5CE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&lt; 30 - </w:t>
            </w:r>
            <w:r w:rsidRPr="00AB5CE4">
              <w:rPr>
                <w:rFonts w:ascii="Times New Roman" w:eastAsia="TT14AC1o00" w:hAnsi="Times New Roman" w:cs="Times New Roman"/>
                <w:sz w:val="22"/>
                <w:szCs w:val="22"/>
                <w:lang w:val="pt-PT" w:eastAsia="pt-PT"/>
              </w:rPr>
              <w:t>≥ </w:t>
            </w:r>
            <w:r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200</w:t>
            </w:r>
          </w:p>
          <w:p w:rsidR="002E0FE4" w:rsidRPr="00D07AE7" w:rsidRDefault="00901D4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6h</w:t>
            </w:r>
          </w:p>
        </w:tc>
        <w:tc>
          <w:tcPr>
            <w:tcW w:w="2268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500</w:t>
            </w:r>
          </w:p>
          <w:p w:rsidR="002E0FE4" w:rsidRPr="00D07AE7" w:rsidRDefault="00901D44" w:rsidP="00E32F41">
            <w:pPr>
              <w:pStyle w:val="Default"/>
              <w:keepNext/>
              <w:spacing w:before="60"/>
              <w:ind w:left="1550" w:hanging="155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rFonts w:ascii="Times New Roman" w:hAnsi="Times New Roman" w:cs="Times New Roman"/>
                <w:sz w:val="22"/>
                <w:szCs w:val="22"/>
                <w:lang w:val="pt-PT" w:eastAsia="pt-PT"/>
              </w:rPr>
              <w:t>12h</w:t>
            </w:r>
          </w:p>
        </w:tc>
        <w:tc>
          <w:tcPr>
            <w:tcW w:w="2268" w:type="dxa"/>
            <w:shd w:val="clear" w:color="auto" w:fill="auto"/>
          </w:tcPr>
          <w:p w:rsidR="002E0FE4" w:rsidRPr="00D07AE7" w:rsidRDefault="00AB5CE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 w:rsidRPr="00AB5CE4">
              <w:rPr>
                <w:sz w:val="22"/>
                <w:szCs w:val="22"/>
                <w:lang w:val="pt-PT" w:eastAsia="pt-PT"/>
              </w:rPr>
              <w:t>500</w:t>
            </w:r>
          </w:p>
          <w:p w:rsidR="002E0FE4" w:rsidRPr="002E0FE4" w:rsidRDefault="00901D44" w:rsidP="00E32F41">
            <w:pPr>
              <w:keepNext/>
              <w:autoSpaceDE w:val="0"/>
              <w:autoSpaceDN w:val="0"/>
              <w:adjustRightInd w:val="0"/>
              <w:spacing w:before="60"/>
              <w:ind w:left="1550" w:hanging="1550"/>
              <w:jc w:val="center"/>
              <w:outlineLvl w:val="1"/>
              <w:rPr>
                <w:sz w:val="22"/>
                <w:szCs w:val="22"/>
                <w:lang w:val="pt-PT" w:eastAsia="pt-PT"/>
              </w:rPr>
            </w:pPr>
            <w:r>
              <w:rPr>
                <w:sz w:val="22"/>
                <w:szCs w:val="22"/>
                <w:lang w:val="pt-PT" w:eastAsia="pt-PT"/>
              </w:rPr>
              <w:t xml:space="preserve">každých </w:t>
            </w:r>
            <w:r w:rsidR="00AB5CE4" w:rsidRPr="00AB5CE4">
              <w:rPr>
                <w:sz w:val="22"/>
                <w:szCs w:val="22"/>
                <w:lang w:val="pt-PT" w:eastAsia="pt-PT"/>
              </w:rPr>
              <w:t>12h</w:t>
            </w:r>
          </w:p>
        </w:tc>
      </w:tr>
    </w:tbl>
    <w:p w:rsidR="002E0FE4" w:rsidRPr="002E0FE4" w:rsidRDefault="002E0FE4" w:rsidP="00042517">
      <w:pPr>
        <w:rPr>
          <w:color w:val="000000"/>
          <w:sz w:val="22"/>
          <w:szCs w:val="22"/>
          <w:lang w:val="de-DE" w:eastAsia="de-DE"/>
        </w:rPr>
      </w:pPr>
    </w:p>
    <w:p w:rsidR="006B1F10" w:rsidRPr="008F37E2" w:rsidRDefault="006B1F10" w:rsidP="00042517">
      <w:pPr>
        <w:rPr>
          <w:sz w:val="22"/>
          <w:szCs w:val="22"/>
        </w:rPr>
      </w:pPr>
      <w:bookmarkStart w:id="2" w:name="OLE_LINK7"/>
      <w:bookmarkEnd w:id="1"/>
    </w:p>
    <w:p w:rsidR="006B1F10" w:rsidRPr="008F37E2" w:rsidRDefault="006B1F10" w:rsidP="00762ABD">
      <w:pPr>
        <w:keepNext/>
        <w:rPr>
          <w:sz w:val="22"/>
          <w:szCs w:val="22"/>
          <w:u w:val="single"/>
          <w:lang w:eastAsia="en-GB"/>
        </w:rPr>
      </w:pPr>
      <w:r w:rsidRPr="008F37E2">
        <w:rPr>
          <w:sz w:val="22"/>
          <w:szCs w:val="22"/>
          <w:u w:val="single"/>
        </w:rPr>
        <w:t>Pacienti</w:t>
      </w:r>
      <w:r w:rsidRPr="008F37E2">
        <w:rPr>
          <w:sz w:val="22"/>
          <w:szCs w:val="22"/>
          <w:u w:val="single"/>
          <w:lang w:eastAsia="en-GB"/>
        </w:rPr>
        <w:t xml:space="preserve">, ktorí majú </w:t>
      </w:r>
      <w:proofErr w:type="spellStart"/>
      <w:r w:rsidRPr="008F37E2">
        <w:rPr>
          <w:sz w:val="22"/>
          <w:szCs w:val="22"/>
          <w:u w:val="single"/>
          <w:lang w:eastAsia="en-GB"/>
        </w:rPr>
        <w:t>klírens</w:t>
      </w:r>
      <w:proofErr w:type="spellEnd"/>
      <w:r w:rsidRPr="008F37E2">
        <w:rPr>
          <w:sz w:val="22"/>
          <w:szCs w:val="22"/>
          <w:u w:val="single"/>
          <w:lang w:eastAsia="en-GB"/>
        </w:rPr>
        <w:t xml:space="preserve"> </w:t>
      </w:r>
      <w:proofErr w:type="spellStart"/>
      <w:r w:rsidRPr="008F37E2">
        <w:rPr>
          <w:sz w:val="22"/>
          <w:szCs w:val="22"/>
          <w:u w:val="single"/>
          <w:lang w:eastAsia="en-GB"/>
        </w:rPr>
        <w:t>kreatinínu</w:t>
      </w:r>
      <w:proofErr w:type="spellEnd"/>
      <w:r w:rsidRPr="008F37E2">
        <w:rPr>
          <w:sz w:val="22"/>
          <w:szCs w:val="22"/>
          <w:u w:val="single"/>
          <w:lang w:eastAsia="en-GB"/>
        </w:rPr>
        <w:t xml:space="preserve"> </w:t>
      </w:r>
      <w:r w:rsidR="00780C44">
        <w:rPr>
          <w:sz w:val="22"/>
          <w:szCs w:val="22"/>
          <w:u w:val="single"/>
          <w:lang w:eastAsia="en-GB"/>
        </w:rPr>
        <w:t>&lt;</w:t>
      </w:r>
      <w:r w:rsidRPr="008F37E2">
        <w:rPr>
          <w:sz w:val="22"/>
          <w:szCs w:val="22"/>
          <w:u w:val="single"/>
          <w:lang w:eastAsia="en-GB"/>
        </w:rPr>
        <w:t> </w:t>
      </w:r>
      <w:r w:rsidR="004B54D0">
        <w:rPr>
          <w:sz w:val="22"/>
          <w:szCs w:val="22"/>
          <w:u w:val="single"/>
          <w:lang w:eastAsia="en-GB"/>
        </w:rPr>
        <w:t>1</w:t>
      </w:r>
      <w:r w:rsidRPr="008F37E2">
        <w:rPr>
          <w:sz w:val="22"/>
          <w:szCs w:val="22"/>
          <w:u w:val="single"/>
          <w:lang w:eastAsia="en-GB"/>
        </w:rPr>
        <w:t>5 </w:t>
      </w:r>
      <w:r w:rsidRPr="000F3CE3">
        <w:rPr>
          <w:sz w:val="22"/>
          <w:szCs w:val="22"/>
          <w:u w:val="single"/>
          <w:lang w:eastAsia="en-GB"/>
        </w:rPr>
        <w:t>ml/min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  <w:r w:rsidRPr="008F37E2">
        <w:rPr>
          <w:sz w:val="22"/>
          <w:szCs w:val="22"/>
          <w:lang w:eastAsia="en-GB"/>
        </w:rPr>
        <w:t xml:space="preserve">Týmto pacientom sa nemá </w:t>
      </w:r>
      <w:proofErr w:type="spellStart"/>
      <w:r w:rsidRPr="008F37E2">
        <w:rPr>
          <w:sz w:val="22"/>
          <w:szCs w:val="22"/>
          <w:lang w:eastAsia="en-GB"/>
        </w:rPr>
        <w:t>Imipenem</w:t>
      </w:r>
      <w:proofErr w:type="spellEnd"/>
      <w:r w:rsidRPr="008F37E2">
        <w:rPr>
          <w:sz w:val="22"/>
          <w:szCs w:val="22"/>
          <w:lang w:eastAsia="en-GB"/>
        </w:rPr>
        <w:t>/</w:t>
      </w:r>
      <w:proofErr w:type="spellStart"/>
      <w:r w:rsidRPr="008F37E2">
        <w:rPr>
          <w:sz w:val="22"/>
          <w:szCs w:val="22"/>
          <w:lang w:eastAsia="en-GB"/>
        </w:rPr>
        <w:t>Cilastatin</w:t>
      </w:r>
      <w:proofErr w:type="spellEnd"/>
      <w:r w:rsidRPr="008F37E2">
        <w:rPr>
          <w:sz w:val="22"/>
          <w:szCs w:val="22"/>
          <w:lang w:eastAsia="en-GB"/>
        </w:rPr>
        <w:t xml:space="preserve"> podávať, pokiaľ sa do 48 hodín nezačne hemodialýza.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</w:p>
    <w:p w:rsidR="006B1F10" w:rsidRPr="008F37E2" w:rsidRDefault="006B1F10" w:rsidP="00762ABD">
      <w:pPr>
        <w:keepNext/>
        <w:rPr>
          <w:sz w:val="22"/>
          <w:szCs w:val="22"/>
        </w:rPr>
      </w:pPr>
      <w:proofErr w:type="spellStart"/>
      <w:r w:rsidRPr="008F37E2">
        <w:rPr>
          <w:sz w:val="22"/>
          <w:szCs w:val="22"/>
          <w:u w:val="single"/>
        </w:rPr>
        <w:t>Hemodialyzovaní</w:t>
      </w:r>
      <w:proofErr w:type="spellEnd"/>
      <w:r w:rsidRPr="008F37E2">
        <w:rPr>
          <w:sz w:val="22"/>
          <w:szCs w:val="22"/>
          <w:u w:val="single"/>
        </w:rPr>
        <w:t xml:space="preserve"> pacienti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  <w:r w:rsidRPr="008F37E2">
        <w:rPr>
          <w:sz w:val="22"/>
          <w:szCs w:val="22"/>
          <w:lang w:eastAsia="en-GB"/>
        </w:rPr>
        <w:t>Pri liečbe pacientov</w:t>
      </w:r>
      <w:r w:rsidRPr="008F37E2">
        <w:rPr>
          <w:sz w:val="22"/>
          <w:szCs w:val="22"/>
        </w:rPr>
        <w:t xml:space="preserve"> s</w:t>
      </w:r>
      <w:r w:rsidRPr="008F37E2">
        <w:rPr>
          <w:sz w:val="22"/>
          <w:szCs w:val="22"/>
          <w:lang w:eastAsia="en-GB"/>
        </w:rPr>
        <w:t> </w:t>
      </w:r>
      <w:proofErr w:type="spellStart"/>
      <w:r w:rsidRPr="008F37E2">
        <w:rPr>
          <w:sz w:val="22"/>
          <w:szCs w:val="22"/>
        </w:rPr>
        <w:t>klírensom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kreatinínu</w:t>
      </w:r>
      <w:proofErr w:type="spellEnd"/>
      <w:r w:rsidRPr="008F37E2">
        <w:rPr>
          <w:sz w:val="22"/>
          <w:szCs w:val="22"/>
        </w:rPr>
        <w:t xml:space="preserve"> </w:t>
      </w:r>
      <w:r w:rsidR="00780C44">
        <w:rPr>
          <w:sz w:val="22"/>
          <w:szCs w:val="22"/>
        </w:rPr>
        <w:t>&lt;</w:t>
      </w:r>
      <w:r w:rsidRPr="008F37E2">
        <w:rPr>
          <w:sz w:val="22"/>
          <w:szCs w:val="22"/>
        </w:rPr>
        <w:t> </w:t>
      </w:r>
      <w:r w:rsidR="004B54D0">
        <w:rPr>
          <w:sz w:val="22"/>
          <w:szCs w:val="22"/>
        </w:rPr>
        <w:t>1</w:t>
      </w:r>
      <w:r w:rsidRPr="008F37E2">
        <w:rPr>
          <w:sz w:val="22"/>
          <w:szCs w:val="22"/>
        </w:rPr>
        <w:t>5 ml/min</w:t>
      </w:r>
      <w:r w:rsidRPr="008F37E2">
        <w:rPr>
          <w:sz w:val="22"/>
          <w:szCs w:val="22"/>
          <w:lang w:eastAsia="en-GB"/>
        </w:rPr>
        <w:t>, ktorí podstupujú dialýzu, sa použije dávka odporúčaná pre pacientov s </w:t>
      </w:r>
      <w:proofErr w:type="spellStart"/>
      <w:r w:rsidRPr="008F37E2">
        <w:rPr>
          <w:sz w:val="22"/>
          <w:szCs w:val="22"/>
          <w:lang w:eastAsia="en-GB"/>
        </w:rPr>
        <w:t>klírensom</w:t>
      </w:r>
      <w:proofErr w:type="spellEnd"/>
      <w:r w:rsidRPr="008F37E2">
        <w:rPr>
          <w:sz w:val="22"/>
          <w:szCs w:val="22"/>
          <w:lang w:eastAsia="en-GB"/>
        </w:rPr>
        <w:t xml:space="preserve"> </w:t>
      </w:r>
      <w:proofErr w:type="spellStart"/>
      <w:r w:rsidRPr="008F37E2">
        <w:rPr>
          <w:sz w:val="22"/>
          <w:szCs w:val="22"/>
          <w:lang w:eastAsia="en-GB"/>
        </w:rPr>
        <w:t>kreatinínu</w:t>
      </w:r>
      <w:proofErr w:type="spellEnd"/>
      <w:r w:rsidRPr="008F37E2">
        <w:rPr>
          <w:sz w:val="22"/>
          <w:szCs w:val="22"/>
          <w:lang w:eastAsia="en-GB"/>
        </w:rPr>
        <w:t xml:space="preserve"> </w:t>
      </w:r>
      <w:r w:rsidR="004B54D0">
        <w:rPr>
          <w:sz w:val="22"/>
          <w:szCs w:val="22"/>
          <w:lang w:eastAsia="en-GB"/>
        </w:rPr>
        <w:t>15</w:t>
      </w:r>
      <w:r w:rsidR="004B54D0"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  <w:lang w:eastAsia="en-GB"/>
        </w:rPr>
        <w:t>až </w:t>
      </w:r>
      <w:r w:rsidR="004B54D0" w:rsidRPr="008F37E2">
        <w:rPr>
          <w:sz w:val="22"/>
          <w:szCs w:val="22"/>
          <w:lang w:eastAsia="en-GB"/>
        </w:rPr>
        <w:t>2</w:t>
      </w:r>
      <w:r w:rsidR="004B54D0">
        <w:rPr>
          <w:sz w:val="22"/>
          <w:szCs w:val="22"/>
          <w:lang w:eastAsia="en-GB"/>
        </w:rPr>
        <w:t>9</w:t>
      </w:r>
      <w:r w:rsidR="004B54D0"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  <w:lang w:eastAsia="en-GB"/>
        </w:rPr>
        <w:t>ml/min (pozri tabuľku 1).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B1F10" w:rsidP="00344C5F">
      <w:pPr>
        <w:autoSpaceDE w:val="0"/>
        <w:autoSpaceDN w:val="0"/>
        <w:adjustRightInd w:val="0"/>
        <w:rPr>
          <w:sz w:val="22"/>
          <w:szCs w:val="22"/>
        </w:rPr>
      </w:pPr>
      <w:r w:rsidRPr="008F37E2">
        <w:rPr>
          <w:sz w:val="22"/>
          <w:szCs w:val="22"/>
        </w:rPr>
        <w:t xml:space="preserve">Počas hemodialýzy sa </w:t>
      </w:r>
      <w:proofErr w:type="spellStart"/>
      <w:r w:rsidRPr="008F37E2">
        <w:rPr>
          <w:sz w:val="22"/>
          <w:szCs w:val="22"/>
        </w:rPr>
        <w:t>imipeném</w:t>
      </w:r>
      <w:proofErr w:type="spellEnd"/>
      <w:r w:rsidR="00AB5CE4">
        <w:rPr>
          <w:sz w:val="22"/>
          <w:szCs w:val="22"/>
        </w:rPr>
        <w:t xml:space="preserve"> aj </w:t>
      </w:r>
      <w:proofErr w:type="spellStart"/>
      <w:r w:rsidRPr="008F37E2">
        <w:rPr>
          <w:sz w:val="22"/>
          <w:szCs w:val="22"/>
        </w:rPr>
        <w:t>cilastatín</w:t>
      </w:r>
      <w:proofErr w:type="spellEnd"/>
      <w:r w:rsidR="00AB5CE4">
        <w:rPr>
          <w:sz w:val="22"/>
          <w:szCs w:val="22"/>
        </w:rPr>
        <w:t xml:space="preserve"> odstraňujú z cirkulácie. Pacientovi sa má </w:t>
      </w:r>
      <w:proofErr w:type="spellStart"/>
      <w:r w:rsidR="00AB5CE4" w:rsidRPr="00AB5CE4">
        <w:rPr>
          <w:sz w:val="22"/>
          <w:szCs w:val="22"/>
        </w:rPr>
        <w:t>Imipenem</w:t>
      </w:r>
      <w:proofErr w:type="spellEnd"/>
      <w:r w:rsidR="00AB5CE4" w:rsidRPr="00AB5CE4">
        <w:rPr>
          <w:sz w:val="22"/>
          <w:szCs w:val="22"/>
        </w:rPr>
        <w:t>/</w:t>
      </w:r>
      <w:proofErr w:type="spellStart"/>
      <w:r w:rsidR="00AB5CE4" w:rsidRPr="00AB5CE4">
        <w:rPr>
          <w:sz w:val="22"/>
          <w:szCs w:val="22"/>
        </w:rPr>
        <w:t>Cilastatin</w:t>
      </w:r>
      <w:proofErr w:type="spellEnd"/>
      <w:r w:rsidR="00AB5CE4" w:rsidRPr="00AB5CE4">
        <w:rPr>
          <w:sz w:val="22"/>
          <w:szCs w:val="22"/>
        </w:rPr>
        <w:t xml:space="preserve"> </w:t>
      </w:r>
      <w:proofErr w:type="spellStart"/>
      <w:r w:rsidR="00AB5CE4" w:rsidRPr="00AB5CE4">
        <w:rPr>
          <w:sz w:val="22"/>
          <w:szCs w:val="22"/>
        </w:rPr>
        <w:t>Kabi</w:t>
      </w:r>
      <w:proofErr w:type="spellEnd"/>
      <w:r w:rsidR="00AB5CE4">
        <w:rPr>
          <w:sz w:val="22"/>
          <w:szCs w:val="22"/>
        </w:rPr>
        <w:t xml:space="preserve"> podať</w:t>
      </w:r>
      <w:r w:rsidR="0052021A" w:rsidRPr="008F37E2">
        <w:rPr>
          <w:sz w:val="22"/>
          <w:szCs w:val="22"/>
        </w:rPr>
        <w:t xml:space="preserve"> </w:t>
      </w:r>
      <w:r w:rsidRPr="008F37E2">
        <w:rPr>
          <w:sz w:val="22"/>
          <w:szCs w:val="22"/>
        </w:rPr>
        <w:t>po hemodialýze a</w:t>
      </w:r>
      <w:r w:rsidR="00AB5CE4">
        <w:rPr>
          <w:sz w:val="22"/>
          <w:szCs w:val="22"/>
        </w:rPr>
        <w:t> </w:t>
      </w:r>
      <w:r w:rsidRPr="008F37E2">
        <w:rPr>
          <w:sz w:val="22"/>
          <w:szCs w:val="22"/>
        </w:rPr>
        <w:t>potom v</w:t>
      </w:r>
      <w:r w:rsidR="00AB5CE4">
        <w:rPr>
          <w:sz w:val="22"/>
          <w:szCs w:val="22"/>
        </w:rPr>
        <w:t> </w:t>
      </w:r>
      <w:r w:rsidRPr="008F37E2">
        <w:rPr>
          <w:sz w:val="22"/>
          <w:szCs w:val="22"/>
        </w:rPr>
        <w:t>12-hodinových intervaloch</w:t>
      </w:r>
      <w:r w:rsidR="00AB5CE4">
        <w:rPr>
          <w:sz w:val="22"/>
          <w:szCs w:val="22"/>
        </w:rPr>
        <w:t xml:space="preserve"> od jej ukončenia.</w:t>
      </w:r>
      <w:r w:rsidRPr="008F37E2">
        <w:rPr>
          <w:sz w:val="22"/>
          <w:szCs w:val="22"/>
        </w:rPr>
        <w:t xml:space="preserve"> Dialyzovaní pacienti, najmä pacienti </w:t>
      </w:r>
      <w:r w:rsidR="00AB5CE4">
        <w:rPr>
          <w:sz w:val="22"/>
          <w:szCs w:val="22"/>
        </w:rPr>
        <w:t>so</w:t>
      </w:r>
      <w:r w:rsidRPr="008F37E2">
        <w:rPr>
          <w:sz w:val="22"/>
          <w:szCs w:val="22"/>
        </w:rPr>
        <w:t xml:space="preserve"> základným ochorením </w:t>
      </w:r>
      <w:r w:rsidR="00AB5CE4">
        <w:rPr>
          <w:sz w:val="22"/>
          <w:szCs w:val="22"/>
        </w:rPr>
        <w:t xml:space="preserve">centrálneho nervového </w:t>
      </w:r>
      <w:r w:rsidR="00AB5CE4">
        <w:rPr>
          <w:sz w:val="22"/>
          <w:szCs w:val="22"/>
        </w:rPr>
        <w:lastRenderedPageBreak/>
        <w:t>systému (</w:t>
      </w:r>
      <w:r w:rsidRPr="008F37E2">
        <w:rPr>
          <w:sz w:val="22"/>
          <w:szCs w:val="22"/>
        </w:rPr>
        <w:t>CNS</w:t>
      </w:r>
      <w:r w:rsidR="00AB5CE4">
        <w:rPr>
          <w:sz w:val="22"/>
          <w:szCs w:val="22"/>
        </w:rPr>
        <w:t>),</w:t>
      </w:r>
      <w:r w:rsidRPr="008F37E2">
        <w:rPr>
          <w:sz w:val="22"/>
          <w:szCs w:val="22"/>
        </w:rPr>
        <w:t xml:space="preserve"> majú </w:t>
      </w:r>
      <w:r w:rsidR="00AB5CE4">
        <w:rPr>
          <w:sz w:val="22"/>
          <w:szCs w:val="22"/>
        </w:rPr>
        <w:t xml:space="preserve">byť </w:t>
      </w:r>
      <w:r w:rsidRPr="008F37E2">
        <w:rPr>
          <w:sz w:val="22"/>
          <w:szCs w:val="22"/>
        </w:rPr>
        <w:t xml:space="preserve">starostlivo </w:t>
      </w:r>
      <w:r w:rsidR="00AB5CE4">
        <w:rPr>
          <w:sz w:val="22"/>
          <w:szCs w:val="22"/>
        </w:rPr>
        <w:t>sledovaní. U </w:t>
      </w:r>
      <w:proofErr w:type="spellStart"/>
      <w:r w:rsidR="00AB5CE4">
        <w:rPr>
          <w:sz w:val="22"/>
          <w:szCs w:val="22"/>
        </w:rPr>
        <w:t>hemodialyzovaných</w:t>
      </w:r>
      <w:proofErr w:type="spellEnd"/>
      <w:r w:rsidR="00AB5CE4">
        <w:rPr>
          <w:sz w:val="22"/>
          <w:szCs w:val="22"/>
        </w:rPr>
        <w:t xml:space="preserve"> pacientov sa </w:t>
      </w:r>
      <w:proofErr w:type="spellStart"/>
      <w:r w:rsidR="00AB5CE4" w:rsidRPr="00AB5CE4">
        <w:rPr>
          <w:sz w:val="22"/>
          <w:szCs w:val="22"/>
        </w:rPr>
        <w:t>Imipenem</w:t>
      </w:r>
      <w:proofErr w:type="spellEnd"/>
      <w:r w:rsidR="00AB5CE4" w:rsidRPr="00AB5CE4">
        <w:rPr>
          <w:sz w:val="22"/>
          <w:szCs w:val="22"/>
        </w:rPr>
        <w:t>/</w:t>
      </w:r>
      <w:proofErr w:type="spellStart"/>
      <w:r w:rsidR="00AB5CE4" w:rsidRPr="00AB5CE4">
        <w:rPr>
          <w:sz w:val="22"/>
          <w:szCs w:val="22"/>
        </w:rPr>
        <w:t>Cilastatin</w:t>
      </w:r>
      <w:proofErr w:type="spellEnd"/>
      <w:r w:rsidR="00AB5CE4" w:rsidRPr="00AB5CE4">
        <w:rPr>
          <w:sz w:val="22"/>
          <w:szCs w:val="22"/>
        </w:rPr>
        <w:t xml:space="preserve"> </w:t>
      </w:r>
      <w:proofErr w:type="spellStart"/>
      <w:r w:rsidR="00AB5CE4" w:rsidRPr="00AB5CE4">
        <w:rPr>
          <w:sz w:val="22"/>
          <w:szCs w:val="22"/>
        </w:rPr>
        <w:t>Kabi</w:t>
      </w:r>
      <w:proofErr w:type="spellEnd"/>
      <w:r w:rsidR="00AB5CE4" w:rsidRPr="00AB5CE4">
        <w:rPr>
          <w:sz w:val="22"/>
          <w:szCs w:val="22"/>
        </w:rPr>
        <w:t xml:space="preserve"> </w:t>
      </w:r>
      <w:r w:rsidR="00AB5CE4">
        <w:rPr>
          <w:sz w:val="22"/>
          <w:szCs w:val="22"/>
        </w:rPr>
        <w:t xml:space="preserve">odporúča len vtedy, ak </w:t>
      </w:r>
      <w:r w:rsidRPr="008F37E2">
        <w:rPr>
          <w:sz w:val="22"/>
          <w:szCs w:val="22"/>
        </w:rPr>
        <w:t xml:space="preserve">prínos liečby </w:t>
      </w:r>
      <w:r w:rsidR="00AB5CE4">
        <w:rPr>
          <w:sz w:val="22"/>
          <w:szCs w:val="22"/>
        </w:rPr>
        <w:t>prevažuje nad možným rizikom záchvatov</w:t>
      </w:r>
      <w:r w:rsidRPr="008F37E2">
        <w:rPr>
          <w:sz w:val="22"/>
          <w:szCs w:val="22"/>
        </w:rPr>
        <w:t xml:space="preserve"> (pozri časť</w:t>
      </w:r>
      <w:r w:rsidR="00AB5CE4">
        <w:rPr>
          <w:sz w:val="22"/>
          <w:szCs w:val="22"/>
        </w:rPr>
        <w:t> </w:t>
      </w:r>
      <w:r w:rsidRPr="008F37E2">
        <w:rPr>
          <w:sz w:val="22"/>
          <w:szCs w:val="22"/>
        </w:rPr>
        <w:t>4.4).</w:t>
      </w:r>
    </w:p>
    <w:p w:rsidR="006B1F10" w:rsidRPr="008F37E2" w:rsidRDefault="006B1F10" w:rsidP="00762ABD">
      <w:pPr>
        <w:adjustRightInd w:val="0"/>
        <w:snapToGrid w:val="0"/>
        <w:rPr>
          <w:sz w:val="22"/>
          <w:szCs w:val="22"/>
          <w:lang w:eastAsia="en-GB"/>
        </w:rPr>
      </w:pPr>
    </w:p>
    <w:p w:rsidR="006B1F10" w:rsidRPr="008F37E2" w:rsidRDefault="006B1F10" w:rsidP="00762ABD">
      <w:pPr>
        <w:rPr>
          <w:sz w:val="22"/>
          <w:szCs w:val="22"/>
          <w:lang w:eastAsia="en-GB"/>
        </w:rPr>
      </w:pPr>
      <w:r w:rsidRPr="008F37E2">
        <w:rPr>
          <w:sz w:val="22"/>
          <w:szCs w:val="22"/>
        </w:rPr>
        <w:t>V</w:t>
      </w:r>
      <w:r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</w:rPr>
        <w:t xml:space="preserve">súčasnosti nie sú </w:t>
      </w:r>
      <w:r w:rsidR="00AB5CE4">
        <w:rPr>
          <w:sz w:val="22"/>
          <w:szCs w:val="22"/>
        </w:rPr>
        <w:t>k dispozícii</w:t>
      </w:r>
      <w:r w:rsidRPr="008F37E2">
        <w:rPr>
          <w:sz w:val="22"/>
          <w:szCs w:val="22"/>
        </w:rPr>
        <w:t xml:space="preserve"> dostatočné </w:t>
      </w:r>
      <w:r w:rsidR="00AB5CE4">
        <w:rPr>
          <w:sz w:val="22"/>
          <w:szCs w:val="22"/>
        </w:rPr>
        <w:t>údaje</w:t>
      </w:r>
      <w:r w:rsidRPr="008F37E2">
        <w:rPr>
          <w:sz w:val="22"/>
          <w:szCs w:val="22"/>
        </w:rPr>
        <w:t xml:space="preserve">, aby bolo možné </w:t>
      </w:r>
      <w:r w:rsidR="00AB5CE4">
        <w:rPr>
          <w:sz w:val="22"/>
          <w:szCs w:val="22"/>
        </w:rPr>
        <w:t xml:space="preserve">odporúčať použitie </w:t>
      </w:r>
      <w:proofErr w:type="spellStart"/>
      <w:r w:rsidR="00AB5CE4" w:rsidRPr="00AB5CE4">
        <w:rPr>
          <w:sz w:val="22"/>
          <w:szCs w:val="22"/>
        </w:rPr>
        <w:t>Imipenem</w:t>
      </w:r>
      <w:proofErr w:type="spellEnd"/>
      <w:r w:rsidR="00AB5CE4" w:rsidRPr="00AB5CE4">
        <w:rPr>
          <w:sz w:val="22"/>
          <w:szCs w:val="22"/>
        </w:rPr>
        <w:t>/</w:t>
      </w:r>
      <w:proofErr w:type="spellStart"/>
      <w:r w:rsidR="00AB5CE4" w:rsidRPr="00AB5CE4">
        <w:rPr>
          <w:sz w:val="22"/>
          <w:szCs w:val="22"/>
        </w:rPr>
        <w:t>Cilastatin</w:t>
      </w:r>
      <w:proofErr w:type="spellEnd"/>
      <w:r w:rsidR="00AB5CE4" w:rsidRPr="00AB5CE4">
        <w:rPr>
          <w:sz w:val="22"/>
          <w:szCs w:val="22"/>
        </w:rPr>
        <w:t xml:space="preserve"> </w:t>
      </w:r>
      <w:proofErr w:type="spellStart"/>
      <w:r w:rsidR="00AB5CE4" w:rsidRPr="00AB5CE4">
        <w:rPr>
          <w:sz w:val="22"/>
          <w:szCs w:val="22"/>
        </w:rPr>
        <w:t>Kabi</w:t>
      </w:r>
      <w:proofErr w:type="spellEnd"/>
      <w:r w:rsidRPr="008F37E2">
        <w:rPr>
          <w:sz w:val="22"/>
          <w:szCs w:val="22"/>
        </w:rPr>
        <w:t xml:space="preserve"> u</w:t>
      </w:r>
      <w:r w:rsidRPr="008F37E2">
        <w:rPr>
          <w:sz w:val="22"/>
          <w:szCs w:val="22"/>
          <w:lang w:eastAsia="en-GB"/>
        </w:rPr>
        <w:t xml:space="preserve"> pacientov podstupujúcich </w:t>
      </w:r>
      <w:proofErr w:type="spellStart"/>
      <w:r w:rsidRPr="008F37E2">
        <w:rPr>
          <w:sz w:val="22"/>
          <w:szCs w:val="22"/>
          <w:lang w:eastAsia="en-GB"/>
        </w:rPr>
        <w:t>peritoneálnu</w:t>
      </w:r>
      <w:proofErr w:type="spellEnd"/>
      <w:r w:rsidRPr="008F37E2">
        <w:rPr>
          <w:sz w:val="22"/>
          <w:szCs w:val="22"/>
          <w:lang w:eastAsia="en-GB"/>
        </w:rPr>
        <w:t xml:space="preserve"> dialýzu.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</w:p>
    <w:p w:rsidR="006B1F10" w:rsidRPr="008F37E2" w:rsidRDefault="006B1F10" w:rsidP="00762ABD">
      <w:pPr>
        <w:keepNext/>
        <w:rPr>
          <w:sz w:val="22"/>
          <w:szCs w:val="22"/>
          <w:lang w:eastAsia="en-GB"/>
        </w:rPr>
      </w:pPr>
      <w:r w:rsidRPr="008F37E2">
        <w:rPr>
          <w:sz w:val="22"/>
          <w:szCs w:val="22"/>
          <w:u w:val="single"/>
          <w:lang w:eastAsia="en-GB"/>
        </w:rPr>
        <w:t>Porucha funkcie pečene</w:t>
      </w: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  <w:lang w:eastAsia="en-GB"/>
        </w:rPr>
        <w:t>U </w:t>
      </w:r>
      <w:r w:rsidRPr="008F37E2">
        <w:rPr>
          <w:sz w:val="22"/>
          <w:szCs w:val="22"/>
        </w:rPr>
        <w:t xml:space="preserve">pacientov </w:t>
      </w:r>
      <w:r w:rsidRPr="008F37E2">
        <w:rPr>
          <w:sz w:val="22"/>
          <w:szCs w:val="22"/>
          <w:lang w:eastAsia="en-GB"/>
        </w:rPr>
        <w:t>s poruchou funkcie pečene sa neodporúča žiadna úprava dávky (pozri časť 5.2).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  <w:lang w:eastAsia="en-GB"/>
        </w:rPr>
      </w:pPr>
      <w:bookmarkStart w:id="3" w:name="OLE_LINK9"/>
      <w:bookmarkEnd w:id="2"/>
      <w:r w:rsidRPr="008F37E2">
        <w:rPr>
          <w:sz w:val="22"/>
          <w:szCs w:val="22"/>
          <w:u w:val="single"/>
          <w:lang w:eastAsia="en-GB"/>
        </w:rPr>
        <w:t>Starší pacienti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  <w:r w:rsidRPr="008F37E2">
        <w:rPr>
          <w:sz w:val="22"/>
          <w:szCs w:val="22"/>
          <w:lang w:eastAsia="en-GB"/>
        </w:rPr>
        <w:t>U starších pacientov s normálnou funkciou obličiek sa nevyžaduje žiadna úprava dávky (pozri časť 5.2).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</w:p>
    <w:p w:rsidR="006B1F10" w:rsidRPr="008F37E2" w:rsidRDefault="00780C44" w:rsidP="00762ABD">
      <w:pPr>
        <w:keepNext/>
        <w:rPr>
          <w:sz w:val="22"/>
          <w:szCs w:val="22"/>
        </w:rPr>
      </w:pPr>
      <w:r>
        <w:rPr>
          <w:bCs/>
          <w:iCs/>
          <w:sz w:val="22"/>
          <w:szCs w:val="22"/>
          <w:u w:val="single"/>
        </w:rPr>
        <w:t>Pediatrická populácia</w:t>
      </w:r>
      <w:r w:rsidR="006B1F10" w:rsidRPr="008F37E2">
        <w:rPr>
          <w:bCs/>
          <w:iCs/>
          <w:sz w:val="22"/>
          <w:szCs w:val="22"/>
        </w:rPr>
        <w:t xml:space="preserve"> vo veku </w:t>
      </w:r>
      <w:r w:rsidR="006B1F10" w:rsidRPr="008F37E2">
        <w:rPr>
          <w:sz w:val="22"/>
          <w:szCs w:val="22"/>
        </w:rPr>
        <w:t>≥ 1 rok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bCs/>
          <w:iCs/>
          <w:sz w:val="22"/>
          <w:szCs w:val="22"/>
        </w:rPr>
        <w:t>U </w:t>
      </w:r>
      <w:r w:rsidR="00780C44">
        <w:rPr>
          <w:bCs/>
          <w:iCs/>
          <w:sz w:val="22"/>
          <w:szCs w:val="22"/>
        </w:rPr>
        <w:t>pediatrických</w:t>
      </w:r>
      <w:r w:rsidRPr="008F37E2">
        <w:rPr>
          <w:bCs/>
          <w:iCs/>
          <w:sz w:val="22"/>
          <w:szCs w:val="22"/>
        </w:rPr>
        <w:t xml:space="preserve"> pacientov vo veku </w:t>
      </w:r>
      <w:r w:rsidRPr="008F37E2">
        <w:rPr>
          <w:sz w:val="22"/>
          <w:szCs w:val="22"/>
        </w:rPr>
        <w:t>≥ 1 rok je odporúčaná dávka 15/15</w:t>
      </w:r>
      <w:r w:rsidR="0038651C">
        <w:rPr>
          <w:sz w:val="22"/>
          <w:szCs w:val="22"/>
        </w:rPr>
        <w:t xml:space="preserve"> mg/kg</w:t>
      </w:r>
      <w:r w:rsidRPr="008F37E2">
        <w:rPr>
          <w:sz w:val="22"/>
          <w:szCs w:val="22"/>
        </w:rPr>
        <w:t xml:space="preserve"> alebo 25/25 mg/kg</w:t>
      </w:r>
      <w:r w:rsidR="0038651C">
        <w:rPr>
          <w:sz w:val="22"/>
          <w:szCs w:val="22"/>
        </w:rPr>
        <w:t xml:space="preserve"> na </w:t>
      </w:r>
      <w:r w:rsidRPr="008F37E2">
        <w:rPr>
          <w:sz w:val="22"/>
          <w:szCs w:val="22"/>
        </w:rPr>
        <w:t>dávk</w:t>
      </w:r>
      <w:r w:rsidR="0038651C">
        <w:rPr>
          <w:sz w:val="22"/>
          <w:szCs w:val="22"/>
        </w:rPr>
        <w:t>u, ktorá sa</w:t>
      </w:r>
      <w:r w:rsidRPr="008F37E2">
        <w:rPr>
          <w:sz w:val="22"/>
          <w:szCs w:val="22"/>
        </w:rPr>
        <w:t xml:space="preserve"> podáva každých 6 hodín. 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Odporúča sa, aby sa infekcie, o ktorých sa predpokladá, alebo sa preukázalo, že sú spôsobené menej citlivými druhmi baktérií (ako je </w:t>
      </w:r>
      <w:proofErr w:type="spellStart"/>
      <w:r w:rsidRPr="008F37E2">
        <w:rPr>
          <w:i/>
          <w:sz w:val="22"/>
          <w:szCs w:val="22"/>
        </w:rPr>
        <w:t>Pseudomonas</w:t>
      </w:r>
      <w:proofErr w:type="spellEnd"/>
      <w:r w:rsidRPr="008F37E2">
        <w:rPr>
          <w:i/>
          <w:sz w:val="22"/>
          <w:szCs w:val="22"/>
        </w:rPr>
        <w:t xml:space="preserve"> </w:t>
      </w:r>
      <w:proofErr w:type="spellStart"/>
      <w:r w:rsidRPr="008F37E2">
        <w:rPr>
          <w:i/>
          <w:sz w:val="22"/>
          <w:szCs w:val="22"/>
        </w:rPr>
        <w:t>aeruginosa</w:t>
      </w:r>
      <w:proofErr w:type="spellEnd"/>
      <w:r w:rsidRPr="008F37E2">
        <w:rPr>
          <w:sz w:val="22"/>
          <w:szCs w:val="22"/>
        </w:rPr>
        <w:t>) a veľmi závažné infekcie (napr. u </w:t>
      </w:r>
      <w:proofErr w:type="spellStart"/>
      <w:r w:rsidRPr="008F37E2">
        <w:rPr>
          <w:sz w:val="22"/>
          <w:szCs w:val="22"/>
        </w:rPr>
        <w:t>neutropenických</w:t>
      </w:r>
      <w:proofErr w:type="spellEnd"/>
      <w:r w:rsidRPr="008F37E2">
        <w:rPr>
          <w:sz w:val="22"/>
          <w:szCs w:val="22"/>
        </w:rPr>
        <w:t xml:space="preserve"> pacientov s horúčkou), liečili dávkou 25/25 mg/kg podávanou každých 6 hodín.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780C44" w:rsidP="00762ABD">
      <w:pPr>
        <w:keepNext/>
        <w:rPr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 xml:space="preserve">Pediatrická populácia </w:t>
      </w:r>
      <w:r w:rsidR="006B1F10" w:rsidRPr="008F37E2">
        <w:rPr>
          <w:bCs/>
          <w:iCs/>
          <w:sz w:val="22"/>
          <w:szCs w:val="22"/>
        </w:rPr>
        <w:t xml:space="preserve">vo veku </w:t>
      </w:r>
      <w:r w:rsidR="006B1F10" w:rsidRPr="008F37E2">
        <w:rPr>
          <w:sz w:val="22"/>
          <w:szCs w:val="22"/>
        </w:rPr>
        <w:t>&lt; 1 rok</w:t>
      </w: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  <w:lang w:eastAsia="en-GB"/>
        </w:rPr>
        <w:t>Nie sú k dispozícii dostatočné klinické údaje na to, aby bolo možné odporúčať</w:t>
      </w:r>
      <w:r w:rsidRPr="008F37E2">
        <w:rPr>
          <w:sz w:val="22"/>
          <w:szCs w:val="22"/>
        </w:rPr>
        <w:t xml:space="preserve"> dávkovanie pre deti mladšie ako </w:t>
      </w:r>
      <w:r w:rsidRPr="008F37E2">
        <w:rPr>
          <w:sz w:val="22"/>
          <w:szCs w:val="22"/>
          <w:lang w:eastAsia="en-GB"/>
        </w:rPr>
        <w:t>1 rok.</w:t>
      </w:r>
    </w:p>
    <w:bookmarkEnd w:id="3"/>
    <w:p w:rsidR="006B1F10" w:rsidRPr="008F37E2" w:rsidRDefault="006B1F10" w:rsidP="00762ABD">
      <w:pPr>
        <w:rPr>
          <w:sz w:val="22"/>
          <w:szCs w:val="22"/>
          <w:lang w:eastAsia="en-GB"/>
        </w:rPr>
      </w:pPr>
    </w:p>
    <w:p w:rsidR="006B1F10" w:rsidRPr="008F37E2" w:rsidRDefault="00780C44" w:rsidP="00762ABD">
      <w:pPr>
        <w:keepNext/>
        <w:rPr>
          <w:sz w:val="22"/>
          <w:szCs w:val="22"/>
          <w:u w:val="single"/>
          <w:lang w:eastAsia="en-GB"/>
        </w:rPr>
      </w:pPr>
      <w:r>
        <w:rPr>
          <w:sz w:val="22"/>
          <w:szCs w:val="22"/>
          <w:u w:val="single"/>
          <w:lang w:eastAsia="en-GB"/>
        </w:rPr>
        <w:t>Pediatrická populácia</w:t>
      </w:r>
      <w:r w:rsidR="006B1F10" w:rsidRPr="008F37E2">
        <w:rPr>
          <w:sz w:val="22"/>
          <w:szCs w:val="22"/>
          <w:u w:val="single"/>
          <w:lang w:eastAsia="en-GB"/>
        </w:rPr>
        <w:t xml:space="preserve"> s poruchou funkcie obličiek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  <w:r w:rsidRPr="008F37E2">
        <w:rPr>
          <w:sz w:val="22"/>
          <w:szCs w:val="22"/>
          <w:lang w:eastAsia="en-GB"/>
        </w:rPr>
        <w:t xml:space="preserve">Nie sú k dispozícii dostatočné klinické údaje na to, aby bolo možné odporúčať dávkovanie pre </w:t>
      </w:r>
      <w:r w:rsidR="00780C44">
        <w:rPr>
          <w:sz w:val="22"/>
          <w:szCs w:val="22"/>
          <w:lang w:eastAsia="en-GB"/>
        </w:rPr>
        <w:t>pediatrických pacientov</w:t>
      </w:r>
      <w:r w:rsidRPr="008F37E2">
        <w:rPr>
          <w:sz w:val="22"/>
          <w:szCs w:val="22"/>
          <w:lang w:eastAsia="en-GB"/>
        </w:rPr>
        <w:t xml:space="preserve"> s poruchou funkcie obličiek (hladina sérového </w:t>
      </w:r>
      <w:proofErr w:type="spellStart"/>
      <w:r w:rsidRPr="008F37E2">
        <w:rPr>
          <w:sz w:val="22"/>
          <w:szCs w:val="22"/>
          <w:lang w:eastAsia="en-GB"/>
        </w:rPr>
        <w:t>kreatinínu</w:t>
      </w:r>
      <w:proofErr w:type="spellEnd"/>
      <w:r w:rsidRPr="008F37E2">
        <w:rPr>
          <w:sz w:val="22"/>
          <w:szCs w:val="22"/>
          <w:lang w:eastAsia="en-GB"/>
        </w:rPr>
        <w:t xml:space="preserve"> &gt; 2 mg/dl). Pozri časť 4.4.</w:t>
      </w:r>
    </w:p>
    <w:p w:rsidR="006B1F10" w:rsidRPr="008F37E2" w:rsidRDefault="006B1F10" w:rsidP="00762ABD">
      <w:pPr>
        <w:autoSpaceDE w:val="0"/>
        <w:autoSpaceDN w:val="0"/>
        <w:adjustRightInd w:val="0"/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  <w:u w:val="single"/>
        </w:rPr>
      </w:pPr>
      <w:r w:rsidRPr="008F37E2">
        <w:rPr>
          <w:sz w:val="22"/>
          <w:szCs w:val="22"/>
          <w:u w:val="single"/>
        </w:rPr>
        <w:t xml:space="preserve">Spôsob </w:t>
      </w:r>
      <w:r w:rsidR="00E32F41" w:rsidRPr="00E32F41">
        <w:rPr>
          <w:sz w:val="22"/>
          <w:szCs w:val="22"/>
          <w:u w:val="single"/>
        </w:rPr>
        <w:t>podávania</w:t>
      </w:r>
      <w:r w:rsidR="00E32F41" w:rsidRPr="00E32F41" w:rsidDel="00E32F41">
        <w:rPr>
          <w:sz w:val="22"/>
          <w:szCs w:val="22"/>
          <w:u w:val="single"/>
        </w:rPr>
        <w:t xml:space="preserve"> </w:t>
      </w:r>
    </w:p>
    <w:p w:rsidR="006B1F10" w:rsidRPr="000F3CE3" w:rsidRDefault="00AB5CE4" w:rsidP="00762ABD">
      <w:pPr>
        <w:rPr>
          <w:sz w:val="22"/>
          <w:szCs w:val="22"/>
        </w:rPr>
      </w:pPr>
      <w:proofErr w:type="spellStart"/>
      <w:r w:rsidRPr="00AB5CE4">
        <w:rPr>
          <w:sz w:val="22"/>
          <w:szCs w:val="22"/>
        </w:rPr>
        <w:t>Imipenem</w:t>
      </w:r>
      <w:proofErr w:type="spellEnd"/>
      <w:r w:rsidRPr="00AB5CE4">
        <w:rPr>
          <w:sz w:val="22"/>
          <w:szCs w:val="22"/>
        </w:rPr>
        <w:t>/</w:t>
      </w:r>
      <w:proofErr w:type="spellStart"/>
      <w:r w:rsidRPr="00AB5CE4">
        <w:rPr>
          <w:sz w:val="22"/>
          <w:szCs w:val="22"/>
        </w:rPr>
        <w:t>Cilastatin</w:t>
      </w:r>
      <w:proofErr w:type="spellEnd"/>
      <w:r w:rsidRPr="00AB5CE4">
        <w:rPr>
          <w:sz w:val="22"/>
          <w:szCs w:val="22"/>
        </w:rPr>
        <w:t xml:space="preserve"> </w:t>
      </w:r>
      <w:proofErr w:type="spellStart"/>
      <w:r w:rsidRPr="00AB5CE4">
        <w:rPr>
          <w:sz w:val="22"/>
          <w:szCs w:val="22"/>
        </w:rPr>
        <w:t>Kabi</w:t>
      </w:r>
      <w:proofErr w:type="spellEnd"/>
      <w:r w:rsidRPr="00AB5CE4">
        <w:rPr>
          <w:sz w:val="22"/>
          <w:szCs w:val="22"/>
        </w:rPr>
        <w:t xml:space="preserve"> </w:t>
      </w:r>
      <w:r w:rsidR="006B1F10" w:rsidRPr="008F37E2">
        <w:rPr>
          <w:sz w:val="22"/>
          <w:szCs w:val="22"/>
        </w:rPr>
        <w:t xml:space="preserve">sa má pred podaním pripraviť a ďalej nariediť (pozri časť 6.2, 6.3 a 6.6). Každá dávka </w:t>
      </w:r>
      <w:r w:rsidR="006B1F10" w:rsidRPr="008F37E2">
        <w:rPr>
          <w:sz w:val="22"/>
          <w:szCs w:val="22"/>
        </w:rPr>
        <w:sym w:font="Symbol" w:char="F0A3"/>
      </w:r>
      <w:r w:rsidR="006B1F10" w:rsidRPr="008F37E2">
        <w:rPr>
          <w:sz w:val="22"/>
          <w:szCs w:val="22"/>
        </w:rPr>
        <w:t> 500</w:t>
      </w:r>
      <w:r w:rsidR="006B1F10" w:rsidRPr="000F3CE3">
        <w:rPr>
          <w:sz w:val="22"/>
          <w:szCs w:val="22"/>
        </w:rPr>
        <w:t xml:space="preserve"> mg/500 mg sa má podávať intravenóznou infúziou počas 20 až 30 minút. Každá dávka &gt; 500 mg/500 mg sa má podávať infúziou počas 40 až 60 minút. U pacientov, u ktorých sa počas infúzie vyskytne </w:t>
      </w:r>
      <w:proofErr w:type="spellStart"/>
      <w:r w:rsidR="006B1F10" w:rsidRPr="000F3CE3">
        <w:rPr>
          <w:sz w:val="22"/>
          <w:szCs w:val="22"/>
        </w:rPr>
        <w:t>nauzea</w:t>
      </w:r>
      <w:proofErr w:type="spellEnd"/>
      <w:r w:rsidR="006B1F10" w:rsidRPr="000F3CE3">
        <w:rPr>
          <w:sz w:val="22"/>
          <w:szCs w:val="22"/>
        </w:rPr>
        <w:t>, sa rýchlosť infúzie môže spomaliť.</w:t>
      </w:r>
    </w:p>
    <w:p w:rsidR="006B1F10" w:rsidRDefault="006B1F10" w:rsidP="00762ABD">
      <w:pPr>
        <w:rPr>
          <w:sz w:val="22"/>
          <w:szCs w:val="22"/>
        </w:rPr>
      </w:pPr>
    </w:p>
    <w:p w:rsidR="00232579" w:rsidRDefault="00232579" w:rsidP="00232579">
      <w:pPr>
        <w:autoSpaceDE w:val="0"/>
        <w:autoSpaceDN w:val="0"/>
        <w:adjustRightInd w:val="0"/>
        <w:rPr>
          <w:szCs w:val="22"/>
        </w:rPr>
      </w:pPr>
      <w:r w:rsidRPr="003021DE">
        <w:rPr>
          <w:szCs w:val="22"/>
        </w:rPr>
        <w:t xml:space="preserve">Pokyny na </w:t>
      </w:r>
      <w:r w:rsidRPr="003021DE">
        <w:rPr>
          <w:noProof/>
        </w:rPr>
        <w:t>rekonštitúciu</w:t>
      </w:r>
      <w:r>
        <w:rPr>
          <w:noProof/>
        </w:rPr>
        <w:t xml:space="preserve"> </w:t>
      </w:r>
      <w:r w:rsidRPr="003021DE">
        <w:rPr>
          <w:szCs w:val="22"/>
        </w:rPr>
        <w:t>lieku pred podaním, pozri časť 6.6.</w:t>
      </w:r>
    </w:p>
    <w:p w:rsidR="00232579" w:rsidRDefault="00232579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4.3</w:t>
      </w:r>
      <w:r w:rsidRPr="008F37E2">
        <w:rPr>
          <w:b/>
          <w:sz w:val="22"/>
          <w:szCs w:val="22"/>
        </w:rPr>
        <w:tab/>
        <w:t xml:space="preserve">Kontraindikácie 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042517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>Precitlivenosť na liečivá alebo na ktorúkoľvek z pomocných látok</w:t>
      </w:r>
      <w:r w:rsidR="00A617A8">
        <w:rPr>
          <w:sz w:val="22"/>
          <w:szCs w:val="22"/>
        </w:rPr>
        <w:t xml:space="preserve"> </w:t>
      </w:r>
      <w:r w:rsidR="00A617A8" w:rsidRPr="00A617A8">
        <w:rPr>
          <w:sz w:val="22"/>
          <w:szCs w:val="22"/>
        </w:rPr>
        <w:t>uvedených v časti 6.1</w:t>
      </w:r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 xml:space="preserve">Precitlivenosť na ktorékoľvek iné </w:t>
      </w:r>
      <w:proofErr w:type="spellStart"/>
      <w:r w:rsidRPr="008F37E2">
        <w:rPr>
          <w:sz w:val="22"/>
          <w:szCs w:val="22"/>
        </w:rPr>
        <w:t>karbapenémové</w:t>
      </w:r>
      <w:proofErr w:type="spellEnd"/>
      <w:r w:rsidRPr="008F37E2">
        <w:rPr>
          <w:sz w:val="22"/>
          <w:szCs w:val="22"/>
        </w:rPr>
        <w:t xml:space="preserve"> antibakteriálne liečivo.</w:t>
      </w:r>
    </w:p>
    <w:p w:rsidR="006B1F10" w:rsidRPr="008F37E2" w:rsidRDefault="006B1F10" w:rsidP="00042517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 xml:space="preserve">Závažná precitlivenosť (napr. </w:t>
      </w:r>
      <w:proofErr w:type="spellStart"/>
      <w:r w:rsidRPr="008F37E2">
        <w:rPr>
          <w:sz w:val="22"/>
          <w:szCs w:val="22"/>
        </w:rPr>
        <w:t>anafylaktická</w:t>
      </w:r>
      <w:proofErr w:type="spellEnd"/>
      <w:r w:rsidRPr="008F37E2">
        <w:rPr>
          <w:sz w:val="22"/>
          <w:szCs w:val="22"/>
        </w:rPr>
        <w:t xml:space="preserve"> reakcia, závažná kožná reakcia) na ktorýkoľvek iný typ </w:t>
      </w:r>
      <w:proofErr w:type="spellStart"/>
      <w:r w:rsidRPr="008F37E2">
        <w:rPr>
          <w:sz w:val="22"/>
          <w:szCs w:val="22"/>
        </w:rPr>
        <w:t>betalaktámového</w:t>
      </w:r>
      <w:proofErr w:type="spellEnd"/>
      <w:r w:rsidRPr="008F37E2">
        <w:rPr>
          <w:sz w:val="22"/>
          <w:szCs w:val="22"/>
        </w:rPr>
        <w:t xml:space="preserve"> antibakteriálneho liečiva (napr. penicilíny alebo </w:t>
      </w:r>
      <w:proofErr w:type="spellStart"/>
      <w:r w:rsidRPr="008F37E2">
        <w:rPr>
          <w:sz w:val="22"/>
          <w:szCs w:val="22"/>
        </w:rPr>
        <w:t>cefalosporíny</w:t>
      </w:r>
      <w:proofErr w:type="spellEnd"/>
      <w:r w:rsidRPr="008F37E2">
        <w:rPr>
          <w:sz w:val="22"/>
          <w:szCs w:val="22"/>
        </w:rPr>
        <w:t>).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4.4</w:t>
      </w:r>
      <w:r w:rsidRPr="008F37E2">
        <w:rPr>
          <w:b/>
          <w:sz w:val="22"/>
          <w:szCs w:val="22"/>
        </w:rPr>
        <w:tab/>
        <w:t>Osobitné upozornenia a opatrenia pri používaní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</w:rPr>
      </w:pPr>
      <w:r w:rsidRPr="008F37E2">
        <w:rPr>
          <w:sz w:val="22"/>
          <w:szCs w:val="22"/>
          <w:u w:val="single"/>
        </w:rPr>
        <w:t>Všeobecné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Pri výbere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na liečbu individuálneho pacienta sa má vziať do úvahy vhodnosť použitia </w:t>
      </w:r>
      <w:proofErr w:type="spellStart"/>
      <w:r w:rsidRPr="008F37E2">
        <w:rPr>
          <w:sz w:val="22"/>
          <w:szCs w:val="22"/>
        </w:rPr>
        <w:t>karbapenémového</w:t>
      </w:r>
      <w:proofErr w:type="spellEnd"/>
      <w:r w:rsidRPr="008F37E2">
        <w:rPr>
          <w:sz w:val="22"/>
          <w:szCs w:val="22"/>
        </w:rPr>
        <w:t xml:space="preserve"> antibakteriálneho liečiva založená na faktoroch, ako závažnosť infekcie, </w:t>
      </w:r>
      <w:proofErr w:type="spellStart"/>
      <w:r w:rsidRPr="008F37E2">
        <w:rPr>
          <w:sz w:val="22"/>
          <w:szCs w:val="22"/>
        </w:rPr>
        <w:t>prevalencia</w:t>
      </w:r>
      <w:proofErr w:type="spellEnd"/>
      <w:r w:rsidRPr="008F37E2">
        <w:rPr>
          <w:sz w:val="22"/>
          <w:szCs w:val="22"/>
        </w:rPr>
        <w:t xml:space="preserve"> rezistencie na iné vhodné antibakteriálne liečivá a riziko selekcie baktérií rezistentných voči </w:t>
      </w:r>
      <w:proofErr w:type="spellStart"/>
      <w:r w:rsidRPr="008F37E2">
        <w:rPr>
          <w:sz w:val="22"/>
          <w:szCs w:val="22"/>
        </w:rPr>
        <w:t>karbapenémom</w:t>
      </w:r>
      <w:proofErr w:type="spellEnd"/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  <w:u w:val="single"/>
        </w:rPr>
      </w:pPr>
      <w:r w:rsidRPr="008F37E2">
        <w:rPr>
          <w:sz w:val="22"/>
          <w:szCs w:val="22"/>
          <w:u w:val="single"/>
        </w:rPr>
        <w:t>Precitlivenosť</w:t>
      </w:r>
    </w:p>
    <w:p w:rsidR="006B1F10" w:rsidRPr="008F37E2" w:rsidRDefault="006B1F10" w:rsidP="00B537EB">
      <w:pPr>
        <w:keepNext/>
        <w:rPr>
          <w:sz w:val="22"/>
          <w:szCs w:val="22"/>
        </w:rPr>
      </w:pPr>
      <w:r w:rsidRPr="008F37E2">
        <w:rPr>
          <w:sz w:val="22"/>
          <w:szCs w:val="22"/>
        </w:rPr>
        <w:t xml:space="preserve">U pacientov liečených </w:t>
      </w:r>
      <w:proofErr w:type="spellStart"/>
      <w:r w:rsidRPr="008F37E2">
        <w:rPr>
          <w:sz w:val="22"/>
          <w:szCs w:val="22"/>
        </w:rPr>
        <w:t>betalaktámami</w:t>
      </w:r>
      <w:proofErr w:type="spellEnd"/>
      <w:r w:rsidRPr="008F37E2">
        <w:rPr>
          <w:sz w:val="22"/>
          <w:szCs w:val="22"/>
        </w:rPr>
        <w:t xml:space="preserve"> boli hlásené závažné a niekedy fatálne reakcie z precitlivenosti (</w:t>
      </w:r>
      <w:proofErr w:type="spellStart"/>
      <w:r w:rsidRPr="008F37E2">
        <w:rPr>
          <w:sz w:val="22"/>
          <w:szCs w:val="22"/>
        </w:rPr>
        <w:t>anafylaktické</w:t>
      </w:r>
      <w:proofErr w:type="spellEnd"/>
      <w:r w:rsidRPr="008F37E2">
        <w:rPr>
          <w:sz w:val="22"/>
          <w:szCs w:val="22"/>
        </w:rPr>
        <w:t xml:space="preserve"> reakcie). Výskyt týchto reakcií je pravdepodobnejší u jedincov s anamnézou citlivosti </w:t>
      </w:r>
      <w:r w:rsidRPr="008F37E2">
        <w:rPr>
          <w:sz w:val="22"/>
          <w:szCs w:val="22"/>
        </w:rPr>
        <w:lastRenderedPageBreak/>
        <w:t xml:space="preserve">na viaceré </w:t>
      </w:r>
      <w:proofErr w:type="spellStart"/>
      <w:r w:rsidRPr="008F37E2">
        <w:rPr>
          <w:sz w:val="22"/>
          <w:szCs w:val="22"/>
        </w:rPr>
        <w:t>alergény</w:t>
      </w:r>
      <w:proofErr w:type="spellEnd"/>
      <w:r w:rsidRPr="008F37E2">
        <w:rPr>
          <w:sz w:val="22"/>
          <w:szCs w:val="22"/>
        </w:rPr>
        <w:t xml:space="preserve">. </w:t>
      </w:r>
      <w:r w:rsidRPr="008F37E2">
        <w:rPr>
          <w:sz w:val="22"/>
          <w:szCs w:val="22"/>
          <w:lang w:eastAsia="en-GB"/>
        </w:rPr>
        <w:t xml:space="preserve">Pred začatím liečby liekom </w:t>
      </w:r>
      <w:proofErr w:type="spellStart"/>
      <w:r w:rsidR="00AB5CE4" w:rsidRPr="00AB5CE4">
        <w:rPr>
          <w:sz w:val="22"/>
          <w:szCs w:val="22"/>
          <w:lang w:eastAsia="en-GB"/>
        </w:rPr>
        <w:t>Imipenem</w:t>
      </w:r>
      <w:proofErr w:type="spellEnd"/>
      <w:r w:rsidR="00AB5CE4" w:rsidRPr="00AB5CE4">
        <w:rPr>
          <w:sz w:val="22"/>
          <w:szCs w:val="22"/>
          <w:lang w:eastAsia="en-GB"/>
        </w:rPr>
        <w:t>/</w:t>
      </w:r>
      <w:proofErr w:type="spellStart"/>
      <w:r w:rsidR="00AB5CE4" w:rsidRPr="00AB5CE4">
        <w:rPr>
          <w:sz w:val="22"/>
          <w:szCs w:val="22"/>
          <w:lang w:eastAsia="en-GB"/>
        </w:rPr>
        <w:t>Cilastatin</w:t>
      </w:r>
      <w:proofErr w:type="spellEnd"/>
      <w:r w:rsidR="00AB5CE4" w:rsidRPr="00AB5CE4">
        <w:rPr>
          <w:sz w:val="22"/>
          <w:szCs w:val="22"/>
          <w:lang w:eastAsia="en-GB"/>
        </w:rPr>
        <w:t xml:space="preserve"> </w:t>
      </w:r>
      <w:proofErr w:type="spellStart"/>
      <w:r w:rsidR="00AB5CE4" w:rsidRPr="00AB5CE4">
        <w:rPr>
          <w:sz w:val="22"/>
          <w:szCs w:val="22"/>
          <w:lang w:eastAsia="en-GB"/>
        </w:rPr>
        <w:t>Kabi</w:t>
      </w:r>
      <w:proofErr w:type="spellEnd"/>
      <w:r w:rsidR="00AB5CE4" w:rsidRPr="00AB5CE4">
        <w:rPr>
          <w:sz w:val="22"/>
          <w:szCs w:val="22"/>
          <w:lang w:eastAsia="en-GB"/>
        </w:rPr>
        <w:t xml:space="preserve"> </w:t>
      </w:r>
      <w:r w:rsidRPr="008F37E2">
        <w:rPr>
          <w:sz w:val="22"/>
          <w:szCs w:val="22"/>
          <w:lang w:eastAsia="en-GB"/>
        </w:rPr>
        <w:t>je potrebné starostlivo preveriť predchádzajúce reakcie z</w:t>
      </w:r>
      <w:r w:rsidRPr="008F37E2">
        <w:rPr>
          <w:sz w:val="22"/>
          <w:szCs w:val="22"/>
        </w:rPr>
        <w:t> </w:t>
      </w:r>
      <w:r w:rsidRPr="008F37E2">
        <w:rPr>
          <w:sz w:val="22"/>
          <w:szCs w:val="22"/>
          <w:lang w:eastAsia="en-GB"/>
        </w:rPr>
        <w:t xml:space="preserve">precitlivenosti na </w:t>
      </w:r>
      <w:proofErr w:type="spellStart"/>
      <w:r w:rsidRPr="008F37E2">
        <w:rPr>
          <w:sz w:val="22"/>
          <w:szCs w:val="22"/>
          <w:lang w:eastAsia="en-GB"/>
        </w:rPr>
        <w:t>karbapenémy</w:t>
      </w:r>
      <w:proofErr w:type="spellEnd"/>
      <w:r w:rsidRPr="008F37E2">
        <w:rPr>
          <w:sz w:val="22"/>
          <w:szCs w:val="22"/>
          <w:lang w:eastAsia="en-GB"/>
        </w:rPr>
        <w:t xml:space="preserve">, penicilíny, </w:t>
      </w:r>
      <w:proofErr w:type="spellStart"/>
      <w:r w:rsidRPr="008F37E2">
        <w:rPr>
          <w:sz w:val="22"/>
          <w:szCs w:val="22"/>
          <w:lang w:eastAsia="en-GB"/>
        </w:rPr>
        <w:t>cefalosporíny</w:t>
      </w:r>
      <w:proofErr w:type="spellEnd"/>
      <w:r w:rsidRPr="008F37E2">
        <w:rPr>
          <w:sz w:val="22"/>
          <w:szCs w:val="22"/>
          <w:lang w:eastAsia="en-GB"/>
        </w:rPr>
        <w:t xml:space="preserve">, iné </w:t>
      </w:r>
      <w:proofErr w:type="spellStart"/>
      <w:r w:rsidRPr="008F37E2">
        <w:rPr>
          <w:sz w:val="22"/>
          <w:szCs w:val="22"/>
          <w:lang w:eastAsia="en-GB"/>
        </w:rPr>
        <w:t>betalaktámy</w:t>
      </w:r>
      <w:proofErr w:type="spellEnd"/>
      <w:r w:rsidRPr="008F37E2">
        <w:rPr>
          <w:sz w:val="22"/>
          <w:szCs w:val="22"/>
          <w:lang w:eastAsia="en-GB"/>
        </w:rPr>
        <w:t xml:space="preserve"> a ďalšie </w:t>
      </w:r>
      <w:proofErr w:type="spellStart"/>
      <w:r w:rsidRPr="008F37E2">
        <w:rPr>
          <w:sz w:val="22"/>
          <w:szCs w:val="22"/>
          <w:lang w:eastAsia="en-GB"/>
        </w:rPr>
        <w:t>alergény</w:t>
      </w:r>
      <w:proofErr w:type="spellEnd"/>
      <w:r w:rsidRPr="008F37E2">
        <w:rPr>
          <w:sz w:val="22"/>
          <w:szCs w:val="22"/>
          <w:lang w:eastAsia="en-GB"/>
        </w:rPr>
        <w:t xml:space="preserve"> (pozri časť</w:t>
      </w:r>
      <w:r w:rsidR="00AB5CE4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  <w:lang w:eastAsia="en-GB"/>
        </w:rPr>
        <w:t xml:space="preserve">4.3). </w:t>
      </w:r>
      <w:r w:rsidR="00AB5CE4">
        <w:rPr>
          <w:sz w:val="22"/>
          <w:szCs w:val="22"/>
          <w:lang w:eastAsia="en-GB"/>
        </w:rPr>
        <w:t xml:space="preserve">Ak sa vyskytne alergická reakcia na </w:t>
      </w:r>
      <w:proofErr w:type="spellStart"/>
      <w:r w:rsidR="00AB5CE4" w:rsidRPr="00AB5CE4">
        <w:rPr>
          <w:sz w:val="22"/>
          <w:szCs w:val="22"/>
          <w:lang w:eastAsia="en-GB"/>
        </w:rPr>
        <w:t>Imipenem</w:t>
      </w:r>
      <w:proofErr w:type="spellEnd"/>
      <w:r w:rsidR="00AB5CE4" w:rsidRPr="00AB5CE4">
        <w:rPr>
          <w:sz w:val="22"/>
          <w:szCs w:val="22"/>
          <w:lang w:eastAsia="en-GB"/>
        </w:rPr>
        <w:t>/</w:t>
      </w:r>
      <w:proofErr w:type="spellStart"/>
      <w:r w:rsidR="00AB5CE4" w:rsidRPr="00AB5CE4">
        <w:rPr>
          <w:sz w:val="22"/>
          <w:szCs w:val="22"/>
          <w:lang w:eastAsia="en-GB"/>
        </w:rPr>
        <w:t>Cilastatin</w:t>
      </w:r>
      <w:proofErr w:type="spellEnd"/>
      <w:r w:rsidR="00AB5CE4" w:rsidRPr="00AB5CE4">
        <w:rPr>
          <w:sz w:val="22"/>
          <w:szCs w:val="22"/>
          <w:lang w:eastAsia="en-GB"/>
        </w:rPr>
        <w:t xml:space="preserve"> </w:t>
      </w:r>
      <w:proofErr w:type="spellStart"/>
      <w:r w:rsidR="00AB5CE4" w:rsidRPr="00AB5CE4">
        <w:rPr>
          <w:sz w:val="22"/>
          <w:szCs w:val="22"/>
          <w:lang w:eastAsia="en-GB"/>
        </w:rPr>
        <w:t>Kabi</w:t>
      </w:r>
      <w:proofErr w:type="spellEnd"/>
      <w:r w:rsidR="00AB5CE4" w:rsidRPr="00AB5CE4">
        <w:rPr>
          <w:sz w:val="22"/>
          <w:szCs w:val="22"/>
          <w:lang w:eastAsia="en-GB"/>
        </w:rPr>
        <w:t xml:space="preserve"> </w:t>
      </w:r>
      <w:r w:rsidR="00AB5CE4">
        <w:rPr>
          <w:sz w:val="22"/>
          <w:szCs w:val="22"/>
          <w:lang w:eastAsia="en-GB"/>
        </w:rPr>
        <w:t>oka</w:t>
      </w:r>
      <w:r w:rsidRPr="008F37E2">
        <w:rPr>
          <w:sz w:val="22"/>
          <w:szCs w:val="22"/>
        </w:rPr>
        <w:t xml:space="preserve">mžite ukončite liečbu. </w:t>
      </w:r>
      <w:r w:rsidRPr="008F37E2">
        <w:rPr>
          <w:b/>
          <w:sz w:val="22"/>
          <w:szCs w:val="22"/>
        </w:rPr>
        <w:t xml:space="preserve">Závažné </w:t>
      </w:r>
      <w:proofErr w:type="spellStart"/>
      <w:r w:rsidRPr="008F37E2">
        <w:rPr>
          <w:b/>
          <w:sz w:val="22"/>
          <w:szCs w:val="22"/>
        </w:rPr>
        <w:t>anafylaktické</w:t>
      </w:r>
      <w:proofErr w:type="spellEnd"/>
      <w:r w:rsidRPr="008F37E2">
        <w:rPr>
          <w:b/>
          <w:sz w:val="22"/>
          <w:szCs w:val="22"/>
        </w:rPr>
        <w:t xml:space="preserve"> reakcie vyžadujú okamžitú urgentnú liečbu.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  <w:u w:val="single"/>
        </w:rPr>
      </w:pPr>
      <w:r w:rsidRPr="008F37E2">
        <w:rPr>
          <w:sz w:val="22"/>
          <w:szCs w:val="22"/>
          <w:u w:val="single"/>
        </w:rPr>
        <w:t>Pečeň</w:t>
      </w:r>
    </w:p>
    <w:p w:rsidR="006B1F10" w:rsidRPr="008F37E2" w:rsidRDefault="006B1F10" w:rsidP="00762ABD">
      <w:pPr>
        <w:keepNext/>
        <w:rPr>
          <w:sz w:val="22"/>
          <w:szCs w:val="22"/>
        </w:rPr>
      </w:pPr>
      <w:r w:rsidRPr="008F37E2">
        <w:rPr>
          <w:sz w:val="22"/>
          <w:szCs w:val="22"/>
        </w:rPr>
        <w:t xml:space="preserve">Počas liečby </w:t>
      </w:r>
      <w:proofErr w:type="spellStart"/>
      <w:r w:rsidRPr="008F37E2">
        <w:rPr>
          <w:sz w:val="22"/>
          <w:szCs w:val="22"/>
        </w:rPr>
        <w:t>imipenémom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cilastatínom</w:t>
      </w:r>
      <w:proofErr w:type="spellEnd"/>
      <w:r w:rsidRPr="008F37E2">
        <w:rPr>
          <w:sz w:val="22"/>
          <w:szCs w:val="22"/>
        </w:rPr>
        <w:t xml:space="preserve"> sa má starostlivo sledovať funkcia pečene kvôli riziku </w:t>
      </w:r>
      <w:proofErr w:type="spellStart"/>
      <w:r w:rsidRPr="008F37E2">
        <w:rPr>
          <w:sz w:val="22"/>
          <w:szCs w:val="22"/>
        </w:rPr>
        <w:t>hepatotoxicity</w:t>
      </w:r>
      <w:proofErr w:type="spellEnd"/>
      <w:r w:rsidRPr="008F37E2">
        <w:rPr>
          <w:sz w:val="22"/>
          <w:szCs w:val="22"/>
        </w:rPr>
        <w:t xml:space="preserve"> (ako napr. zvýšenie hladiny </w:t>
      </w:r>
      <w:proofErr w:type="spellStart"/>
      <w:r w:rsidRPr="008F37E2">
        <w:rPr>
          <w:sz w:val="22"/>
          <w:szCs w:val="22"/>
        </w:rPr>
        <w:t>transamináz</w:t>
      </w:r>
      <w:proofErr w:type="spellEnd"/>
      <w:r w:rsidRPr="008F37E2">
        <w:rPr>
          <w:sz w:val="22"/>
          <w:szCs w:val="22"/>
        </w:rPr>
        <w:t>, zlyhávanie pečene a fulminantná hepatitída).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Použitie u pacientov s ochorením pečene: u pacientov s </w:t>
      </w:r>
      <w:proofErr w:type="spellStart"/>
      <w:r w:rsidR="007A7AB9" w:rsidRPr="00E74377">
        <w:rPr>
          <w:sz w:val="22"/>
          <w:szCs w:val="22"/>
        </w:rPr>
        <w:t>preexistujúcimi</w:t>
      </w:r>
      <w:proofErr w:type="spellEnd"/>
      <w:r w:rsidRPr="008F37E2">
        <w:rPr>
          <w:sz w:val="22"/>
          <w:szCs w:val="22"/>
        </w:rPr>
        <w:t xml:space="preserve"> poruchami funkcie pečene sa má počas liečby </w:t>
      </w:r>
      <w:proofErr w:type="spellStart"/>
      <w:r w:rsidRPr="008F37E2">
        <w:rPr>
          <w:sz w:val="22"/>
          <w:szCs w:val="22"/>
        </w:rPr>
        <w:t>imipenémom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cilastatínom</w:t>
      </w:r>
      <w:proofErr w:type="spellEnd"/>
      <w:r w:rsidRPr="008F37E2">
        <w:rPr>
          <w:sz w:val="22"/>
          <w:szCs w:val="22"/>
        </w:rPr>
        <w:t xml:space="preserve"> sledovať funkcia pečene. Nie je potrebná žiadna úprava dávky (pozri časť 4.2).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  <w:u w:val="single"/>
        </w:rPr>
      </w:pPr>
      <w:r w:rsidRPr="008F37E2">
        <w:rPr>
          <w:sz w:val="22"/>
          <w:szCs w:val="22"/>
          <w:u w:val="single"/>
        </w:rPr>
        <w:t>Hematológia</w:t>
      </w:r>
    </w:p>
    <w:p w:rsidR="006B1F10" w:rsidRPr="008F37E2" w:rsidRDefault="006B1F10" w:rsidP="00762ABD">
      <w:pPr>
        <w:keepNext/>
        <w:rPr>
          <w:sz w:val="22"/>
          <w:szCs w:val="22"/>
        </w:rPr>
      </w:pPr>
      <w:r w:rsidRPr="008F37E2">
        <w:rPr>
          <w:sz w:val="22"/>
          <w:szCs w:val="22"/>
        </w:rPr>
        <w:t xml:space="preserve">Počas liečby </w:t>
      </w:r>
      <w:proofErr w:type="spellStart"/>
      <w:r w:rsidRPr="008F37E2">
        <w:rPr>
          <w:sz w:val="22"/>
          <w:szCs w:val="22"/>
        </w:rPr>
        <w:t>imipenémom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cilastatínom</w:t>
      </w:r>
      <w:proofErr w:type="spellEnd"/>
      <w:r w:rsidRPr="008F37E2">
        <w:rPr>
          <w:sz w:val="22"/>
          <w:szCs w:val="22"/>
        </w:rPr>
        <w:t xml:space="preserve"> môže byť výsledok priameho alebo nepriameho </w:t>
      </w:r>
      <w:proofErr w:type="spellStart"/>
      <w:r w:rsidRPr="008F37E2">
        <w:rPr>
          <w:sz w:val="22"/>
          <w:szCs w:val="22"/>
        </w:rPr>
        <w:t>Coombsovho</w:t>
      </w:r>
      <w:proofErr w:type="spellEnd"/>
      <w:r w:rsidRPr="008F37E2">
        <w:rPr>
          <w:sz w:val="22"/>
          <w:szCs w:val="22"/>
        </w:rPr>
        <w:t xml:space="preserve"> testu pozitívny.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  <w:u w:val="single"/>
        </w:rPr>
      </w:pPr>
      <w:r w:rsidRPr="008F37E2">
        <w:rPr>
          <w:sz w:val="22"/>
          <w:szCs w:val="22"/>
          <w:u w:val="single"/>
        </w:rPr>
        <w:t>Antibakteriálne spektrum</w:t>
      </w: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sz w:val="22"/>
          <w:szCs w:val="22"/>
        </w:rPr>
        <w:t xml:space="preserve">Pred začatím akejkoľvek empirickej liečby, najmä pri život ohrozujúcich ochoreniach, sa má vziať do úvahy antibakteriálne spektrum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. Navyše, kvôli obmedzenej citlivosti špecifických patogénov – spájaných napr. s bakteriálnymi infekciami kože a mäkkých tkanív – na </w:t>
      </w:r>
      <w:proofErr w:type="spellStart"/>
      <w:r w:rsidRPr="008F37E2">
        <w:rPr>
          <w:sz w:val="22"/>
          <w:szCs w:val="22"/>
        </w:rPr>
        <w:t>imipeném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</w:t>
      </w:r>
      <w:proofErr w:type="spellEnd"/>
      <w:r w:rsidRPr="008F37E2">
        <w:rPr>
          <w:sz w:val="22"/>
          <w:szCs w:val="22"/>
        </w:rPr>
        <w:t xml:space="preserve">, je potrebná opatrnosť. Použitie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nie je vhodné na liečbu týchto typov infekcií, pokiaľ patogén ešte nie je zdokumentovaný a nie je známe, či je citlivý, alebo existuje veľmi veľké podozrenie, že patogén(y) s najväčšou pravdepodobnosťou nebudú vhodné na liečbu. Pri podozrení alebo preukázaní, že v schválených indikáciách sú zahrnuté aj infekcie spôsobené MRSA, môže byť indikované súbežné použitie vhodného liečiva proti MRSA. Pri podozrení alebo preukázaní, že v schválených indikáciách sú zahrnuté aj infekcie spôsobené </w:t>
      </w:r>
      <w:proofErr w:type="spellStart"/>
      <w:r w:rsidRPr="008F37E2">
        <w:rPr>
          <w:i/>
          <w:sz w:val="22"/>
          <w:szCs w:val="22"/>
        </w:rPr>
        <w:t>Pseudomonas</w:t>
      </w:r>
      <w:proofErr w:type="spellEnd"/>
      <w:r w:rsidRPr="008F37E2">
        <w:rPr>
          <w:i/>
          <w:sz w:val="22"/>
          <w:szCs w:val="22"/>
        </w:rPr>
        <w:t xml:space="preserve"> </w:t>
      </w:r>
      <w:proofErr w:type="spellStart"/>
      <w:r w:rsidRPr="008F37E2">
        <w:rPr>
          <w:i/>
          <w:sz w:val="22"/>
          <w:szCs w:val="22"/>
        </w:rPr>
        <w:t>aeruginosa</w:t>
      </w:r>
      <w:proofErr w:type="spellEnd"/>
      <w:r w:rsidRPr="008F37E2">
        <w:rPr>
          <w:sz w:val="22"/>
          <w:szCs w:val="22"/>
        </w:rPr>
        <w:t xml:space="preserve">, môže byť indikované súbežné použitie </w:t>
      </w:r>
      <w:proofErr w:type="spellStart"/>
      <w:r w:rsidRPr="008F37E2">
        <w:rPr>
          <w:sz w:val="22"/>
          <w:szCs w:val="22"/>
        </w:rPr>
        <w:t>aminoglykozidu</w:t>
      </w:r>
      <w:proofErr w:type="spellEnd"/>
      <w:r w:rsidRPr="008F37E2">
        <w:rPr>
          <w:sz w:val="22"/>
          <w:szCs w:val="22"/>
        </w:rPr>
        <w:t xml:space="preserve"> (pozri časť 4.1).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  <w:u w:val="single"/>
        </w:rPr>
      </w:pPr>
      <w:r w:rsidRPr="008F37E2">
        <w:rPr>
          <w:sz w:val="22"/>
          <w:szCs w:val="22"/>
          <w:u w:val="single"/>
        </w:rPr>
        <w:t xml:space="preserve">Interakcia s kyselinou </w:t>
      </w:r>
      <w:proofErr w:type="spellStart"/>
      <w:r w:rsidRPr="008F37E2">
        <w:rPr>
          <w:sz w:val="22"/>
          <w:szCs w:val="22"/>
          <w:u w:val="single"/>
        </w:rPr>
        <w:t>valproovou</w:t>
      </w:r>
      <w:proofErr w:type="spellEnd"/>
    </w:p>
    <w:p w:rsidR="006B1F10" w:rsidRPr="008F37E2" w:rsidRDefault="006B1F10" w:rsidP="00762ABD">
      <w:pPr>
        <w:keepNext/>
        <w:rPr>
          <w:sz w:val="22"/>
          <w:szCs w:val="22"/>
        </w:rPr>
      </w:pPr>
      <w:r w:rsidRPr="008F37E2">
        <w:rPr>
          <w:sz w:val="22"/>
          <w:szCs w:val="22"/>
        </w:rPr>
        <w:t xml:space="preserve">Súbežné používanie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a kyseliny </w:t>
      </w:r>
      <w:proofErr w:type="spellStart"/>
      <w:r w:rsidRPr="008F37E2">
        <w:rPr>
          <w:sz w:val="22"/>
          <w:szCs w:val="22"/>
        </w:rPr>
        <w:t>valproovej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nátriumvalproátu</w:t>
      </w:r>
      <w:proofErr w:type="spellEnd"/>
      <w:r w:rsidRPr="008F37E2">
        <w:rPr>
          <w:sz w:val="22"/>
          <w:szCs w:val="22"/>
        </w:rPr>
        <w:t xml:space="preserve"> sa neodporúča (pozri časť 4.5).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i/>
          <w:sz w:val="22"/>
          <w:szCs w:val="22"/>
          <w:u w:val="single"/>
        </w:rPr>
      </w:pPr>
      <w:proofErr w:type="spellStart"/>
      <w:r w:rsidRPr="008F37E2">
        <w:rPr>
          <w:i/>
          <w:sz w:val="22"/>
          <w:szCs w:val="22"/>
          <w:u w:val="single"/>
        </w:rPr>
        <w:t>Clostridium</w:t>
      </w:r>
      <w:proofErr w:type="spellEnd"/>
      <w:r w:rsidRPr="008F37E2">
        <w:rPr>
          <w:i/>
          <w:sz w:val="22"/>
          <w:szCs w:val="22"/>
          <w:u w:val="single"/>
        </w:rPr>
        <w:t xml:space="preserve"> </w:t>
      </w:r>
      <w:proofErr w:type="spellStart"/>
      <w:r w:rsidRPr="008F37E2">
        <w:rPr>
          <w:i/>
          <w:sz w:val="22"/>
          <w:szCs w:val="22"/>
          <w:u w:val="single"/>
        </w:rPr>
        <w:t>difficile</w:t>
      </w:r>
      <w:proofErr w:type="spellEnd"/>
    </w:p>
    <w:p w:rsidR="006B1F10" w:rsidRPr="008F37E2" w:rsidRDefault="006B1F10" w:rsidP="00762ABD">
      <w:pPr>
        <w:keepNext/>
        <w:rPr>
          <w:sz w:val="22"/>
          <w:szCs w:val="22"/>
        </w:rPr>
      </w:pPr>
      <w:r w:rsidRPr="008F37E2">
        <w:rPr>
          <w:sz w:val="22"/>
          <w:szCs w:val="22"/>
        </w:rPr>
        <w:t xml:space="preserve">Pri </w:t>
      </w:r>
      <w:proofErr w:type="spellStart"/>
      <w:r w:rsidRPr="008F37E2">
        <w:rPr>
          <w:sz w:val="22"/>
          <w:szCs w:val="22"/>
        </w:rPr>
        <w:t>imipenéme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cilastatíne</w:t>
      </w:r>
      <w:proofErr w:type="spellEnd"/>
      <w:r w:rsidRPr="008F37E2">
        <w:rPr>
          <w:sz w:val="22"/>
          <w:szCs w:val="22"/>
        </w:rPr>
        <w:t xml:space="preserve"> a pri takmer všetkých antibakteriálnych liečivách bola hlásená </w:t>
      </w:r>
      <w:proofErr w:type="spellStart"/>
      <w:r w:rsidRPr="008F37E2">
        <w:rPr>
          <w:sz w:val="22"/>
          <w:szCs w:val="22"/>
        </w:rPr>
        <w:t>kolitída</w:t>
      </w:r>
      <w:proofErr w:type="spellEnd"/>
      <w:r w:rsidRPr="008F37E2">
        <w:rPr>
          <w:sz w:val="22"/>
          <w:szCs w:val="22"/>
        </w:rPr>
        <w:t xml:space="preserve"> súvisiaca s antibiotickou liečbou a </w:t>
      </w:r>
      <w:proofErr w:type="spellStart"/>
      <w:r w:rsidRPr="008F37E2">
        <w:rPr>
          <w:sz w:val="22"/>
          <w:szCs w:val="22"/>
        </w:rPr>
        <w:t>pseudomembranózna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kolitída</w:t>
      </w:r>
      <w:proofErr w:type="spellEnd"/>
      <w:r w:rsidRPr="008F37E2">
        <w:rPr>
          <w:sz w:val="22"/>
          <w:szCs w:val="22"/>
        </w:rPr>
        <w:t>, a ich závažnosť sa môže pohybovať od miernej až po život ohrozujúcu. Túto diagnózu je dôležité zvážiť u pacientov s výskytom hnačky počas pod</w:t>
      </w:r>
      <w:r w:rsidR="00BA31DE">
        <w:rPr>
          <w:sz w:val="22"/>
          <w:szCs w:val="22"/>
        </w:rPr>
        <w:t>áva</w:t>
      </w:r>
      <w:r w:rsidRPr="008F37E2">
        <w:rPr>
          <w:sz w:val="22"/>
          <w:szCs w:val="22"/>
        </w:rPr>
        <w:t xml:space="preserve">nia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alebo po ňom (pozri časť 4.8). Má sa zvážiť ukončenie liečby </w:t>
      </w:r>
      <w:proofErr w:type="spellStart"/>
      <w:r w:rsidRPr="008F37E2">
        <w:rPr>
          <w:sz w:val="22"/>
          <w:szCs w:val="22"/>
        </w:rPr>
        <w:t>imipenémom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cilastatínom</w:t>
      </w:r>
      <w:proofErr w:type="spellEnd"/>
      <w:r w:rsidRPr="008F37E2">
        <w:rPr>
          <w:sz w:val="22"/>
          <w:szCs w:val="22"/>
        </w:rPr>
        <w:t xml:space="preserve"> a podanie špecifickej liečby proti </w:t>
      </w:r>
      <w:proofErr w:type="spellStart"/>
      <w:r w:rsidRPr="008F37E2">
        <w:rPr>
          <w:i/>
          <w:sz w:val="22"/>
          <w:szCs w:val="22"/>
        </w:rPr>
        <w:t>Clostridium</w:t>
      </w:r>
      <w:proofErr w:type="spellEnd"/>
      <w:r w:rsidRPr="008F37E2">
        <w:rPr>
          <w:i/>
          <w:sz w:val="22"/>
          <w:szCs w:val="22"/>
        </w:rPr>
        <w:t xml:space="preserve"> </w:t>
      </w:r>
      <w:proofErr w:type="spellStart"/>
      <w:r w:rsidRPr="008F37E2">
        <w:rPr>
          <w:i/>
          <w:sz w:val="22"/>
          <w:szCs w:val="22"/>
        </w:rPr>
        <w:t>difficile</w:t>
      </w:r>
      <w:proofErr w:type="spellEnd"/>
      <w:r w:rsidRPr="008F37E2">
        <w:rPr>
          <w:i/>
          <w:sz w:val="22"/>
          <w:szCs w:val="22"/>
        </w:rPr>
        <w:t>.</w:t>
      </w:r>
      <w:r w:rsidRPr="008F37E2">
        <w:rPr>
          <w:sz w:val="22"/>
          <w:szCs w:val="22"/>
        </w:rPr>
        <w:t xml:space="preserve"> Nemajú sa podávať lieky, ktoré </w:t>
      </w:r>
      <w:proofErr w:type="spellStart"/>
      <w:r w:rsidRPr="008F37E2">
        <w:rPr>
          <w:sz w:val="22"/>
          <w:szCs w:val="22"/>
        </w:rPr>
        <w:t>inhibujú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peristaltiku</w:t>
      </w:r>
      <w:proofErr w:type="spellEnd"/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  <w:u w:val="single"/>
        </w:rPr>
      </w:pPr>
      <w:proofErr w:type="spellStart"/>
      <w:r w:rsidRPr="008F37E2">
        <w:rPr>
          <w:sz w:val="22"/>
          <w:szCs w:val="22"/>
          <w:u w:val="single"/>
        </w:rPr>
        <w:t>Meningitída</w:t>
      </w:r>
      <w:proofErr w:type="spellEnd"/>
    </w:p>
    <w:p w:rsidR="006B1F10" w:rsidRPr="008F37E2" w:rsidRDefault="006B1F10" w:rsidP="00762ABD">
      <w:pPr>
        <w:keepNext/>
        <w:rPr>
          <w:sz w:val="22"/>
          <w:szCs w:val="22"/>
        </w:rPr>
      </w:pPr>
      <w:proofErr w:type="spellStart"/>
      <w:r w:rsidRPr="008F37E2">
        <w:rPr>
          <w:sz w:val="22"/>
          <w:szCs w:val="22"/>
        </w:rPr>
        <w:t>Imipenem</w:t>
      </w:r>
      <w:proofErr w:type="spellEnd"/>
      <w:r w:rsidR="0052021A"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</w:t>
      </w:r>
      <w:proofErr w:type="spellEnd"/>
      <w:r w:rsidRPr="008F37E2">
        <w:rPr>
          <w:sz w:val="22"/>
          <w:szCs w:val="22"/>
        </w:rPr>
        <w:t xml:space="preserve"> sa neodporúča na liečbu </w:t>
      </w:r>
      <w:proofErr w:type="spellStart"/>
      <w:r w:rsidRPr="008F37E2">
        <w:rPr>
          <w:sz w:val="22"/>
          <w:szCs w:val="22"/>
        </w:rPr>
        <w:t>meningitídy</w:t>
      </w:r>
      <w:proofErr w:type="spellEnd"/>
      <w:r w:rsidRPr="008F37E2">
        <w:rPr>
          <w:sz w:val="22"/>
          <w:szCs w:val="22"/>
        </w:rPr>
        <w:t>.</w:t>
      </w:r>
    </w:p>
    <w:p w:rsidR="006B1F10" w:rsidRPr="009716DC" w:rsidRDefault="006B1F10" w:rsidP="00762ABD">
      <w:pPr>
        <w:rPr>
          <w:sz w:val="22"/>
          <w:szCs w:val="22"/>
        </w:rPr>
      </w:pPr>
    </w:p>
    <w:p w:rsidR="00232579" w:rsidRPr="00ED67EF" w:rsidRDefault="00AB5CE4" w:rsidP="009716DC">
      <w:pPr>
        <w:shd w:val="clear" w:color="auto" w:fill="FFFFFF"/>
        <w:jc w:val="both"/>
        <w:rPr>
          <w:color w:val="000000"/>
          <w:sz w:val="22"/>
          <w:szCs w:val="22"/>
          <w:u w:val="single"/>
        </w:rPr>
      </w:pPr>
      <w:r w:rsidRPr="00AB5CE4">
        <w:rPr>
          <w:color w:val="000000"/>
          <w:sz w:val="22"/>
          <w:szCs w:val="22"/>
          <w:u w:val="single"/>
        </w:rPr>
        <w:t>Porucha funkcie obličiek</w:t>
      </w:r>
    </w:p>
    <w:p w:rsidR="00232579" w:rsidRDefault="00232579" w:rsidP="009716DC">
      <w:pPr>
        <w:shd w:val="clear" w:color="auto" w:fill="FFFFFF"/>
        <w:jc w:val="both"/>
        <w:rPr>
          <w:sz w:val="22"/>
          <w:szCs w:val="22"/>
        </w:rPr>
      </w:pPr>
      <w:proofErr w:type="spellStart"/>
      <w:r w:rsidRPr="008F37E2">
        <w:rPr>
          <w:sz w:val="22"/>
          <w:szCs w:val="22"/>
        </w:rPr>
        <w:t>Imipenem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</w:t>
      </w:r>
      <w:proofErr w:type="spellEnd"/>
      <w:r w:rsidRPr="008F37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u pacientov so zníženou funkciou obličiek akumuluje. </w:t>
      </w:r>
      <w:r w:rsidR="00C448B4">
        <w:rPr>
          <w:sz w:val="22"/>
          <w:szCs w:val="22"/>
        </w:rPr>
        <w:t>Ak sa dávka neprispôsobí funkcii obličiek, môžu nastať nežiaduce reakcie</w:t>
      </w:r>
      <w:r w:rsidR="007969C9">
        <w:rPr>
          <w:sz w:val="22"/>
          <w:szCs w:val="22"/>
        </w:rPr>
        <w:t xml:space="preserve"> </w:t>
      </w:r>
      <w:r w:rsidR="00C448B4">
        <w:rPr>
          <w:sz w:val="22"/>
          <w:szCs w:val="22"/>
        </w:rPr>
        <w:t> CNS, pozri čas</w:t>
      </w:r>
      <w:r w:rsidR="00B73DAB">
        <w:rPr>
          <w:sz w:val="22"/>
          <w:szCs w:val="22"/>
        </w:rPr>
        <w:t>ť</w:t>
      </w:r>
      <w:r w:rsidR="00C448B4">
        <w:rPr>
          <w:sz w:val="22"/>
          <w:szCs w:val="22"/>
        </w:rPr>
        <w:t xml:space="preserve"> 4.2 a </w:t>
      </w:r>
      <w:r w:rsidR="00B73DAB">
        <w:rPr>
          <w:sz w:val="22"/>
          <w:szCs w:val="22"/>
        </w:rPr>
        <w:t xml:space="preserve"> „</w:t>
      </w:r>
      <w:r w:rsidR="00B73DAB" w:rsidRPr="00B73DAB">
        <w:rPr>
          <w:sz w:val="22"/>
          <w:szCs w:val="22"/>
        </w:rPr>
        <w:t>Centrálny nervový systém</w:t>
      </w:r>
      <w:r w:rsidR="00B73DAB">
        <w:rPr>
          <w:sz w:val="22"/>
          <w:szCs w:val="22"/>
        </w:rPr>
        <w:t>“</w:t>
      </w:r>
      <w:r w:rsidR="00173A34">
        <w:rPr>
          <w:sz w:val="22"/>
          <w:szCs w:val="22"/>
        </w:rPr>
        <w:t xml:space="preserve"> v tejto časti</w:t>
      </w:r>
      <w:r w:rsidR="00B73DAB">
        <w:rPr>
          <w:sz w:val="22"/>
          <w:szCs w:val="22"/>
        </w:rPr>
        <w:t>.</w:t>
      </w:r>
    </w:p>
    <w:p w:rsidR="009716DC" w:rsidRPr="008F37E2" w:rsidRDefault="009716DC" w:rsidP="00762ABD">
      <w:pPr>
        <w:rPr>
          <w:sz w:val="22"/>
          <w:szCs w:val="22"/>
        </w:rPr>
      </w:pPr>
    </w:p>
    <w:p w:rsidR="006B1F10" w:rsidRPr="008F37E2" w:rsidRDefault="006B1F10" w:rsidP="00042517">
      <w:pPr>
        <w:keepNext/>
        <w:rPr>
          <w:sz w:val="22"/>
          <w:szCs w:val="22"/>
        </w:rPr>
      </w:pPr>
      <w:r w:rsidRPr="008F37E2">
        <w:rPr>
          <w:sz w:val="22"/>
          <w:szCs w:val="22"/>
          <w:u w:val="single"/>
        </w:rPr>
        <w:t>Centrálny nervový systém</w:t>
      </w: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Boli hlásené nežiaduce reakcie CNS, ako </w:t>
      </w:r>
      <w:proofErr w:type="spellStart"/>
      <w:r w:rsidRPr="008F37E2">
        <w:rPr>
          <w:sz w:val="22"/>
          <w:szCs w:val="22"/>
        </w:rPr>
        <w:t>myoklonická</w:t>
      </w:r>
      <w:proofErr w:type="spellEnd"/>
      <w:r w:rsidRPr="008F37E2">
        <w:rPr>
          <w:sz w:val="22"/>
          <w:szCs w:val="22"/>
        </w:rPr>
        <w:t xml:space="preserve"> aktivita, stavy zmätenosti alebo záchvaty, najmä ak sa prekročili dávky odporúčané na základe funkcie obličiek a telesnej hmotnosti. Tieto reakcie boli hlásené najčastejšie u pacientov s poruchami CNS (</w:t>
      </w:r>
      <w:proofErr w:type="spellStart"/>
      <w:r w:rsidRPr="008F37E2">
        <w:rPr>
          <w:sz w:val="22"/>
          <w:szCs w:val="22"/>
        </w:rPr>
        <w:t>napr.</w:t>
      </w:r>
      <w:r w:rsidR="007969C9">
        <w:rPr>
          <w:sz w:val="22"/>
          <w:szCs w:val="22"/>
        </w:rPr>
        <w:t>s</w:t>
      </w:r>
      <w:proofErr w:type="spellEnd"/>
      <w:r w:rsidRPr="008F37E2">
        <w:rPr>
          <w:sz w:val="22"/>
          <w:szCs w:val="22"/>
        </w:rPr>
        <w:t xml:space="preserve"> poškoden</w:t>
      </w:r>
      <w:r w:rsidR="007969C9">
        <w:rPr>
          <w:sz w:val="22"/>
          <w:szCs w:val="22"/>
        </w:rPr>
        <w:t>ím</w:t>
      </w:r>
      <w:r w:rsidRPr="008F37E2">
        <w:rPr>
          <w:sz w:val="22"/>
          <w:szCs w:val="22"/>
        </w:rPr>
        <w:t xml:space="preserve"> mozgu alebo záchvat</w:t>
      </w:r>
      <w:r w:rsidR="007969C9">
        <w:rPr>
          <w:sz w:val="22"/>
          <w:szCs w:val="22"/>
        </w:rPr>
        <w:t>mi</w:t>
      </w:r>
      <w:r w:rsidRPr="008F37E2">
        <w:rPr>
          <w:sz w:val="22"/>
          <w:szCs w:val="22"/>
        </w:rPr>
        <w:t xml:space="preserve"> v anamnéze) a/alebo u pacientov so zníženou funkciou obličiek, u ktorých môže dôjsť ku kumulácii podávaných liečiv. Obzvlášť u týchto pacientov je preto nutné </w:t>
      </w:r>
      <w:r w:rsidR="00E75AAB">
        <w:rPr>
          <w:sz w:val="22"/>
          <w:szCs w:val="22"/>
        </w:rPr>
        <w:t xml:space="preserve">dôkladne </w:t>
      </w:r>
      <w:r w:rsidRPr="008F37E2">
        <w:rPr>
          <w:sz w:val="22"/>
          <w:szCs w:val="22"/>
        </w:rPr>
        <w:t xml:space="preserve">dodržiavať </w:t>
      </w:r>
      <w:r w:rsidRPr="008F37E2">
        <w:rPr>
          <w:sz w:val="22"/>
          <w:szCs w:val="22"/>
        </w:rPr>
        <w:lastRenderedPageBreak/>
        <w:t>odporúčané schémy dávkovania (pozri časť 4.2). U pacientov so známym záchvatovým ochorením sa má pokračovať v </w:t>
      </w:r>
      <w:proofErr w:type="spellStart"/>
      <w:r w:rsidRPr="008F37E2">
        <w:rPr>
          <w:sz w:val="22"/>
          <w:szCs w:val="22"/>
        </w:rPr>
        <w:t>antikonvulzívnej</w:t>
      </w:r>
      <w:proofErr w:type="spellEnd"/>
      <w:r w:rsidRPr="008F37E2">
        <w:rPr>
          <w:sz w:val="22"/>
          <w:szCs w:val="22"/>
        </w:rPr>
        <w:t xml:space="preserve"> liečbe.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U detí so známymi rizikovými faktormi pre vznik záchvatov alebo u detí súbežne liečených liekmi znižujúcimi prah záchvatov je zvlášť potrebné všímať si neurologické symptómy alebo kŕče.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Ak sa vyskytne fokálny </w:t>
      </w:r>
      <w:proofErr w:type="spellStart"/>
      <w:r w:rsidRPr="008F37E2">
        <w:rPr>
          <w:sz w:val="22"/>
          <w:szCs w:val="22"/>
        </w:rPr>
        <w:t>tremor</w:t>
      </w:r>
      <w:proofErr w:type="spellEnd"/>
      <w:r w:rsidRPr="008F37E2">
        <w:rPr>
          <w:sz w:val="22"/>
          <w:szCs w:val="22"/>
        </w:rPr>
        <w:t xml:space="preserve">, </w:t>
      </w:r>
      <w:proofErr w:type="spellStart"/>
      <w:r w:rsidRPr="008F37E2">
        <w:rPr>
          <w:sz w:val="22"/>
          <w:szCs w:val="22"/>
        </w:rPr>
        <w:t>myoklonus</w:t>
      </w:r>
      <w:proofErr w:type="spellEnd"/>
      <w:r w:rsidRPr="008F37E2">
        <w:rPr>
          <w:sz w:val="22"/>
          <w:szCs w:val="22"/>
        </w:rPr>
        <w:t xml:space="preserve"> alebo záchvaty, pacient</w:t>
      </w:r>
      <w:r w:rsidR="009614F8">
        <w:rPr>
          <w:sz w:val="22"/>
          <w:szCs w:val="22"/>
        </w:rPr>
        <w:t>a</w:t>
      </w:r>
      <w:r w:rsidRPr="008F37E2">
        <w:rPr>
          <w:sz w:val="22"/>
          <w:szCs w:val="22"/>
        </w:rPr>
        <w:t xml:space="preserve"> je potrebné neurologicky vyšetriť a nastaviť na </w:t>
      </w:r>
      <w:proofErr w:type="spellStart"/>
      <w:r w:rsidRPr="008F37E2">
        <w:rPr>
          <w:sz w:val="22"/>
          <w:szCs w:val="22"/>
        </w:rPr>
        <w:t>antikonvulzívnu</w:t>
      </w:r>
      <w:proofErr w:type="spellEnd"/>
      <w:r w:rsidRPr="008F37E2">
        <w:rPr>
          <w:sz w:val="22"/>
          <w:szCs w:val="22"/>
        </w:rPr>
        <w:t xml:space="preserve"> liečbu, ak ešte nebola zavedená. Ak symptómy </w:t>
      </w:r>
      <w:r w:rsidR="007A7AB9">
        <w:rPr>
          <w:sz w:val="22"/>
          <w:szCs w:val="22"/>
        </w:rPr>
        <w:t>zo strany</w:t>
      </w:r>
      <w:r w:rsidRPr="008F37E2">
        <w:rPr>
          <w:sz w:val="22"/>
          <w:szCs w:val="22"/>
        </w:rPr>
        <w:t xml:space="preserve"> CNS pretrvávajú, dávka </w:t>
      </w:r>
      <w:proofErr w:type="spellStart"/>
      <w:r w:rsidRPr="008F37E2">
        <w:rPr>
          <w:sz w:val="22"/>
          <w:szCs w:val="22"/>
        </w:rPr>
        <w:t>Imipenem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Cilastatinu</w:t>
      </w:r>
      <w:proofErr w:type="spellEnd"/>
      <w:r w:rsidRPr="008F37E2">
        <w:rPr>
          <w:sz w:val="22"/>
          <w:szCs w:val="22"/>
        </w:rPr>
        <w:t xml:space="preserve"> sa má znížiť alebo sa má liečba ukončiť.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  <w:lang w:eastAsia="en-GB"/>
        </w:rPr>
        <w:t xml:space="preserve">Pacientom, ktorí majú </w:t>
      </w:r>
      <w:proofErr w:type="spellStart"/>
      <w:r w:rsidRPr="008F37E2">
        <w:rPr>
          <w:sz w:val="22"/>
          <w:szCs w:val="22"/>
          <w:lang w:eastAsia="en-GB"/>
        </w:rPr>
        <w:t>klírens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kreatinínu</w:t>
      </w:r>
      <w:proofErr w:type="spellEnd"/>
      <w:r w:rsidRPr="008F37E2">
        <w:rPr>
          <w:sz w:val="22"/>
          <w:szCs w:val="22"/>
        </w:rPr>
        <w:t xml:space="preserve"> </w:t>
      </w:r>
      <w:r w:rsidR="00780C44">
        <w:rPr>
          <w:sz w:val="22"/>
          <w:szCs w:val="22"/>
          <w:lang w:eastAsia="en-GB"/>
        </w:rPr>
        <w:t>&lt;</w:t>
      </w:r>
      <w:r w:rsidRPr="008F37E2">
        <w:rPr>
          <w:sz w:val="22"/>
          <w:szCs w:val="22"/>
          <w:lang w:eastAsia="en-GB"/>
        </w:rPr>
        <w:t> </w:t>
      </w:r>
      <w:r w:rsidR="0012687E">
        <w:rPr>
          <w:sz w:val="22"/>
          <w:szCs w:val="22"/>
          <w:lang w:eastAsia="en-GB"/>
        </w:rPr>
        <w:t>1</w:t>
      </w:r>
      <w:r w:rsidRPr="008F37E2">
        <w:rPr>
          <w:sz w:val="22"/>
          <w:szCs w:val="22"/>
        </w:rPr>
        <w:t>5</w:t>
      </w:r>
      <w:r w:rsidRPr="000F3CE3">
        <w:rPr>
          <w:sz w:val="22"/>
          <w:szCs w:val="22"/>
        </w:rPr>
        <w:t> ml/min</w:t>
      </w:r>
      <w:r w:rsidRPr="008F37E2">
        <w:rPr>
          <w:sz w:val="22"/>
          <w:szCs w:val="22"/>
          <w:lang w:eastAsia="en-GB"/>
        </w:rPr>
        <w:t xml:space="preserve">, </w:t>
      </w:r>
      <w:r w:rsidR="00AB5CE4">
        <w:rPr>
          <w:sz w:val="22"/>
          <w:szCs w:val="22"/>
        </w:rPr>
        <w:t xml:space="preserve">sa </w:t>
      </w:r>
      <w:proofErr w:type="spellStart"/>
      <w:r w:rsidR="00AB5CE4" w:rsidRPr="00AB5CE4">
        <w:rPr>
          <w:sz w:val="22"/>
          <w:szCs w:val="22"/>
        </w:rPr>
        <w:t>Imipenem</w:t>
      </w:r>
      <w:proofErr w:type="spellEnd"/>
      <w:r w:rsidR="00AB5CE4" w:rsidRPr="00AB5CE4">
        <w:rPr>
          <w:sz w:val="22"/>
          <w:szCs w:val="22"/>
        </w:rPr>
        <w:t>/</w:t>
      </w:r>
      <w:proofErr w:type="spellStart"/>
      <w:r w:rsidR="00AB5CE4" w:rsidRPr="00AB5CE4">
        <w:rPr>
          <w:sz w:val="22"/>
          <w:szCs w:val="22"/>
        </w:rPr>
        <w:t>Cilastatin</w:t>
      </w:r>
      <w:proofErr w:type="spellEnd"/>
      <w:r w:rsidR="00AB5CE4" w:rsidRPr="00AB5CE4">
        <w:rPr>
          <w:sz w:val="22"/>
          <w:szCs w:val="22"/>
        </w:rPr>
        <w:t xml:space="preserve"> </w:t>
      </w:r>
      <w:proofErr w:type="spellStart"/>
      <w:r w:rsidR="00AB5CE4" w:rsidRPr="00AB5CE4">
        <w:rPr>
          <w:sz w:val="22"/>
          <w:szCs w:val="22"/>
        </w:rPr>
        <w:t>Kabi</w:t>
      </w:r>
      <w:proofErr w:type="spellEnd"/>
      <w:r w:rsidRPr="008F37E2">
        <w:rPr>
          <w:sz w:val="22"/>
          <w:szCs w:val="22"/>
          <w:lang w:eastAsia="en-GB"/>
        </w:rPr>
        <w:t xml:space="preserve"> nemá podať</w:t>
      </w:r>
      <w:r w:rsidRPr="008F37E2">
        <w:rPr>
          <w:sz w:val="22"/>
          <w:szCs w:val="22"/>
        </w:rPr>
        <w:t>, pokiaľ sa do 48</w:t>
      </w:r>
      <w:r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</w:rPr>
        <w:t xml:space="preserve">hodín nezačne hemodialýza. </w:t>
      </w:r>
      <w:r w:rsidRPr="008F37E2">
        <w:rPr>
          <w:sz w:val="22"/>
          <w:szCs w:val="22"/>
          <w:lang w:eastAsia="en-GB"/>
        </w:rPr>
        <w:t>U </w:t>
      </w:r>
      <w:proofErr w:type="spellStart"/>
      <w:r w:rsidRPr="008F37E2">
        <w:rPr>
          <w:sz w:val="22"/>
          <w:szCs w:val="22"/>
          <w:lang w:eastAsia="en-GB"/>
        </w:rPr>
        <w:t>hemodialyzovaných</w:t>
      </w:r>
      <w:proofErr w:type="spellEnd"/>
      <w:r w:rsidRPr="008F37E2">
        <w:rPr>
          <w:sz w:val="22"/>
          <w:szCs w:val="22"/>
          <w:lang w:eastAsia="en-GB"/>
        </w:rPr>
        <w:t xml:space="preserve"> pacientov</w:t>
      </w:r>
      <w:r w:rsidRPr="008F37E2">
        <w:rPr>
          <w:sz w:val="22"/>
          <w:szCs w:val="22"/>
        </w:rPr>
        <w:t xml:space="preserve"> sa </w:t>
      </w:r>
      <w:proofErr w:type="spellStart"/>
      <w:r w:rsidRPr="008F37E2">
        <w:rPr>
          <w:sz w:val="22"/>
          <w:szCs w:val="22"/>
          <w:lang w:eastAsia="en-GB"/>
        </w:rPr>
        <w:t>Imipenem</w:t>
      </w:r>
      <w:proofErr w:type="spellEnd"/>
      <w:r w:rsidRPr="008F37E2">
        <w:rPr>
          <w:sz w:val="22"/>
          <w:szCs w:val="22"/>
          <w:lang w:eastAsia="en-GB"/>
        </w:rPr>
        <w:t>/</w:t>
      </w:r>
      <w:proofErr w:type="spellStart"/>
      <w:r w:rsidRPr="008F37E2">
        <w:rPr>
          <w:sz w:val="22"/>
          <w:szCs w:val="22"/>
          <w:lang w:eastAsia="en-GB"/>
        </w:rPr>
        <w:t>Cilastatin</w:t>
      </w:r>
      <w:proofErr w:type="spellEnd"/>
      <w:r w:rsidRPr="008F37E2">
        <w:rPr>
          <w:sz w:val="22"/>
          <w:szCs w:val="22"/>
        </w:rPr>
        <w:t xml:space="preserve"> odporúča</w:t>
      </w:r>
      <w:r w:rsidRPr="008F37E2">
        <w:rPr>
          <w:sz w:val="22"/>
          <w:szCs w:val="22"/>
          <w:lang w:eastAsia="en-GB"/>
        </w:rPr>
        <w:t xml:space="preserve"> len vtedy,</w:t>
      </w:r>
      <w:r w:rsidRPr="008F37E2">
        <w:rPr>
          <w:sz w:val="22"/>
          <w:szCs w:val="22"/>
        </w:rPr>
        <w:t xml:space="preserve"> ak prínos </w:t>
      </w:r>
      <w:r w:rsidRPr="008F37E2">
        <w:rPr>
          <w:sz w:val="22"/>
          <w:szCs w:val="22"/>
          <w:lang w:eastAsia="en-GB"/>
        </w:rPr>
        <w:t>liečby prevažuje nad možným rizikom záchvatov (pozri časť 4.2).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12687E" w:rsidRPr="0012687E" w:rsidRDefault="00AB5CE4" w:rsidP="0012687E">
      <w:pPr>
        <w:rPr>
          <w:sz w:val="22"/>
          <w:szCs w:val="22"/>
          <w:u w:val="single"/>
        </w:rPr>
      </w:pPr>
      <w:r w:rsidRPr="00AB5CE4">
        <w:rPr>
          <w:sz w:val="22"/>
          <w:szCs w:val="22"/>
          <w:u w:val="single"/>
        </w:rPr>
        <w:t>Pediatrická populácia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  <w:r w:rsidRPr="008F37E2">
        <w:rPr>
          <w:sz w:val="22"/>
          <w:szCs w:val="22"/>
          <w:lang w:eastAsia="en-GB"/>
        </w:rPr>
        <w:t xml:space="preserve">Nie sú k dispozícii dostatočné klinické údaje na to, aby bolo možné odporúčať používanie </w:t>
      </w:r>
      <w:proofErr w:type="spellStart"/>
      <w:r w:rsidR="00AB5CE4" w:rsidRPr="00AB5CE4">
        <w:rPr>
          <w:sz w:val="22"/>
          <w:szCs w:val="22"/>
          <w:lang w:eastAsia="en-GB"/>
        </w:rPr>
        <w:t>Imipenem</w:t>
      </w:r>
      <w:proofErr w:type="spellEnd"/>
      <w:r w:rsidR="00AB5CE4" w:rsidRPr="00AB5CE4">
        <w:rPr>
          <w:sz w:val="22"/>
          <w:szCs w:val="22"/>
          <w:lang w:eastAsia="en-GB"/>
        </w:rPr>
        <w:t>/</w:t>
      </w:r>
      <w:proofErr w:type="spellStart"/>
      <w:r w:rsidR="00AB5CE4" w:rsidRPr="00AB5CE4">
        <w:rPr>
          <w:sz w:val="22"/>
          <w:szCs w:val="22"/>
          <w:lang w:eastAsia="en-GB"/>
        </w:rPr>
        <w:t>Cilastatin</w:t>
      </w:r>
      <w:proofErr w:type="spellEnd"/>
      <w:r w:rsidR="00AB5CE4" w:rsidRPr="00AB5CE4">
        <w:rPr>
          <w:sz w:val="22"/>
          <w:szCs w:val="22"/>
          <w:lang w:eastAsia="en-GB"/>
        </w:rPr>
        <w:t xml:space="preserve"> </w:t>
      </w:r>
      <w:proofErr w:type="spellStart"/>
      <w:r w:rsidR="00AB5CE4" w:rsidRPr="00AB5CE4">
        <w:rPr>
          <w:sz w:val="22"/>
          <w:szCs w:val="22"/>
          <w:lang w:eastAsia="en-GB"/>
        </w:rPr>
        <w:t>Kabi</w:t>
      </w:r>
      <w:proofErr w:type="spellEnd"/>
      <w:r w:rsidRPr="008F37E2">
        <w:rPr>
          <w:sz w:val="22"/>
          <w:szCs w:val="22"/>
          <w:lang w:eastAsia="en-GB"/>
        </w:rPr>
        <w:t> </w:t>
      </w:r>
      <w:r w:rsidR="00A45C3E" w:rsidRPr="008F37E2">
        <w:rPr>
          <w:sz w:val="22"/>
          <w:szCs w:val="22"/>
          <w:lang w:eastAsia="en-GB"/>
        </w:rPr>
        <w:t xml:space="preserve">u </w:t>
      </w:r>
      <w:r w:rsidRPr="008F37E2">
        <w:rPr>
          <w:sz w:val="22"/>
          <w:szCs w:val="22"/>
          <w:lang w:eastAsia="en-GB"/>
        </w:rPr>
        <w:t>detí mladších ako 1 rok alebo u</w:t>
      </w:r>
      <w:r w:rsidR="00780C44">
        <w:rPr>
          <w:sz w:val="22"/>
          <w:szCs w:val="22"/>
          <w:lang w:eastAsia="en-GB"/>
        </w:rPr>
        <w:t> pediatrických pacientov</w:t>
      </w:r>
      <w:r w:rsidRPr="008F37E2">
        <w:rPr>
          <w:sz w:val="22"/>
          <w:szCs w:val="22"/>
          <w:lang w:eastAsia="en-GB"/>
        </w:rPr>
        <w:t xml:space="preserve"> s poruchou funkcie obličiek (hladina sérového </w:t>
      </w:r>
      <w:proofErr w:type="spellStart"/>
      <w:r w:rsidRPr="008F37E2">
        <w:rPr>
          <w:sz w:val="22"/>
          <w:szCs w:val="22"/>
          <w:lang w:eastAsia="en-GB"/>
        </w:rPr>
        <w:t>kreatinínu</w:t>
      </w:r>
      <w:proofErr w:type="spellEnd"/>
      <w:r w:rsidRPr="008F37E2">
        <w:rPr>
          <w:sz w:val="22"/>
          <w:szCs w:val="22"/>
          <w:lang w:eastAsia="en-GB"/>
        </w:rPr>
        <w:t xml:space="preserve"> </w:t>
      </w:r>
      <w:r w:rsidRPr="008F37E2">
        <w:rPr>
          <w:sz w:val="22"/>
          <w:szCs w:val="22"/>
        </w:rPr>
        <w:sym w:font="Symbol" w:char="F03E"/>
      </w:r>
      <w:r w:rsidRPr="008F37E2">
        <w:rPr>
          <w:sz w:val="22"/>
          <w:szCs w:val="22"/>
        </w:rPr>
        <w:t> 2</w:t>
      </w:r>
      <w:r w:rsidRPr="000F3CE3">
        <w:rPr>
          <w:sz w:val="22"/>
          <w:szCs w:val="22"/>
        </w:rPr>
        <w:t> mg/dl)</w:t>
      </w:r>
      <w:r w:rsidRPr="000F3CE3">
        <w:rPr>
          <w:sz w:val="22"/>
          <w:szCs w:val="22"/>
          <w:lang w:eastAsia="en-GB"/>
        </w:rPr>
        <w:t xml:space="preserve">. Pozri tiež vyššie </w:t>
      </w:r>
      <w:r w:rsidRPr="008F37E2">
        <w:rPr>
          <w:sz w:val="22"/>
          <w:szCs w:val="22"/>
          <w:u w:val="single"/>
          <w:lang w:eastAsia="en-GB"/>
        </w:rPr>
        <w:t>Centrálny nervový systém</w:t>
      </w:r>
      <w:r w:rsidRPr="008F37E2">
        <w:rPr>
          <w:sz w:val="22"/>
          <w:szCs w:val="22"/>
          <w:lang w:eastAsia="en-GB"/>
        </w:rPr>
        <w:t>.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</w:p>
    <w:p w:rsidR="006B1F10" w:rsidRPr="008F37E2" w:rsidRDefault="00AB5CE4" w:rsidP="003F7402">
      <w:pPr>
        <w:rPr>
          <w:sz w:val="22"/>
          <w:szCs w:val="22"/>
        </w:rPr>
      </w:pPr>
      <w:proofErr w:type="spellStart"/>
      <w:r w:rsidRPr="00AB5CE4">
        <w:rPr>
          <w:sz w:val="22"/>
          <w:szCs w:val="22"/>
          <w:lang w:eastAsia="en-GB"/>
        </w:rPr>
        <w:t>Imipenem</w:t>
      </w:r>
      <w:proofErr w:type="spellEnd"/>
      <w:r w:rsidRPr="00AB5CE4">
        <w:rPr>
          <w:sz w:val="22"/>
          <w:szCs w:val="22"/>
          <w:lang w:eastAsia="en-GB"/>
        </w:rPr>
        <w:t>/</w:t>
      </w:r>
      <w:proofErr w:type="spellStart"/>
      <w:r w:rsidRPr="00AB5CE4">
        <w:rPr>
          <w:sz w:val="22"/>
          <w:szCs w:val="22"/>
          <w:lang w:eastAsia="en-GB"/>
        </w:rPr>
        <w:t>Cilastatin</w:t>
      </w:r>
      <w:proofErr w:type="spellEnd"/>
      <w:r w:rsidRPr="00AB5CE4">
        <w:rPr>
          <w:sz w:val="22"/>
          <w:szCs w:val="22"/>
          <w:lang w:eastAsia="en-GB"/>
        </w:rPr>
        <w:t xml:space="preserve"> </w:t>
      </w:r>
      <w:proofErr w:type="spellStart"/>
      <w:r w:rsidRPr="00AB5CE4">
        <w:rPr>
          <w:sz w:val="22"/>
          <w:szCs w:val="22"/>
          <w:lang w:eastAsia="en-GB"/>
        </w:rPr>
        <w:t>Kabi</w:t>
      </w:r>
      <w:proofErr w:type="spellEnd"/>
      <w:r w:rsidRPr="00AB5CE4">
        <w:rPr>
          <w:sz w:val="22"/>
          <w:szCs w:val="22"/>
          <w:lang w:eastAsia="en-GB"/>
        </w:rPr>
        <w:t xml:space="preserve"> </w:t>
      </w:r>
      <w:r w:rsidR="006B1F10" w:rsidRPr="008F37E2">
        <w:rPr>
          <w:sz w:val="22"/>
          <w:szCs w:val="22"/>
          <w:lang w:eastAsia="en-GB"/>
        </w:rPr>
        <w:t xml:space="preserve">500 mg/500 </w:t>
      </w:r>
      <w:r w:rsidR="006B1F10" w:rsidRPr="008F37E2">
        <w:rPr>
          <w:sz w:val="22"/>
          <w:szCs w:val="22"/>
        </w:rPr>
        <w:t xml:space="preserve">mg obsahuje </w:t>
      </w:r>
      <w:r w:rsidR="006B1F10" w:rsidRPr="008F37E2">
        <w:rPr>
          <w:sz w:val="22"/>
          <w:szCs w:val="22"/>
          <w:lang w:eastAsia="en-GB"/>
        </w:rPr>
        <w:t>37,6</w:t>
      </w:r>
      <w:r w:rsidR="006B1F10" w:rsidRPr="008F37E2">
        <w:rPr>
          <w:sz w:val="22"/>
          <w:szCs w:val="22"/>
        </w:rPr>
        <w:t xml:space="preserve"> mg sodíka </w:t>
      </w:r>
      <w:r w:rsidR="006B1F10" w:rsidRPr="008F37E2">
        <w:rPr>
          <w:sz w:val="22"/>
          <w:szCs w:val="22"/>
          <w:lang w:eastAsia="en-GB"/>
        </w:rPr>
        <w:t>(</w:t>
      </w:r>
      <w:r w:rsidR="006B1F10" w:rsidRPr="008F37E2">
        <w:rPr>
          <w:sz w:val="22"/>
          <w:szCs w:val="22"/>
        </w:rPr>
        <w:t>1,6 </w:t>
      </w:r>
      <w:proofErr w:type="spellStart"/>
      <w:r w:rsidR="006B1F10" w:rsidRPr="008F37E2">
        <w:rPr>
          <w:sz w:val="22"/>
          <w:szCs w:val="22"/>
          <w:lang w:eastAsia="en-GB"/>
        </w:rPr>
        <w:t>mEq</w:t>
      </w:r>
      <w:proofErr w:type="spellEnd"/>
      <w:r w:rsidR="006B1F10" w:rsidRPr="008F37E2">
        <w:rPr>
          <w:sz w:val="22"/>
          <w:szCs w:val="22"/>
          <w:lang w:eastAsia="en-GB"/>
        </w:rPr>
        <w:t>)</w:t>
      </w:r>
      <w:r w:rsidR="00780C44">
        <w:rPr>
          <w:sz w:val="22"/>
          <w:szCs w:val="22"/>
          <w:lang w:eastAsia="en-GB"/>
        </w:rPr>
        <w:t xml:space="preserve"> v injekčnej liekovke/fľaši</w:t>
      </w:r>
      <w:r w:rsidR="006B1F10" w:rsidRPr="008F37E2">
        <w:rPr>
          <w:sz w:val="22"/>
          <w:szCs w:val="22"/>
          <w:lang w:eastAsia="en-GB"/>
        </w:rPr>
        <w:t>, čo je potrebné</w:t>
      </w:r>
      <w:r w:rsidR="006B1F10" w:rsidRPr="008F37E2">
        <w:rPr>
          <w:sz w:val="22"/>
          <w:szCs w:val="22"/>
        </w:rPr>
        <w:t xml:space="preserve"> vziať do úvahy u</w:t>
      </w:r>
      <w:r w:rsidR="006B1F10" w:rsidRPr="008F37E2">
        <w:rPr>
          <w:sz w:val="22"/>
          <w:szCs w:val="22"/>
          <w:lang w:eastAsia="en-GB"/>
        </w:rPr>
        <w:t> </w:t>
      </w:r>
      <w:r w:rsidR="006B1F10" w:rsidRPr="008F37E2">
        <w:rPr>
          <w:sz w:val="22"/>
          <w:szCs w:val="22"/>
        </w:rPr>
        <w:t xml:space="preserve">pacientov </w:t>
      </w:r>
      <w:r w:rsidR="006B1F10" w:rsidRPr="008F37E2">
        <w:rPr>
          <w:sz w:val="22"/>
          <w:szCs w:val="22"/>
          <w:lang w:eastAsia="en-GB"/>
        </w:rPr>
        <w:t>na diéte</w:t>
      </w:r>
      <w:r w:rsidR="006B1F10" w:rsidRPr="008F37E2">
        <w:rPr>
          <w:sz w:val="22"/>
          <w:szCs w:val="22"/>
        </w:rPr>
        <w:t xml:space="preserve"> s</w:t>
      </w:r>
      <w:r w:rsidR="006B1F10" w:rsidRPr="008F37E2">
        <w:rPr>
          <w:sz w:val="22"/>
          <w:szCs w:val="22"/>
          <w:lang w:eastAsia="en-GB"/>
        </w:rPr>
        <w:t> </w:t>
      </w:r>
      <w:r w:rsidR="006B1F10" w:rsidRPr="008F37E2">
        <w:rPr>
          <w:sz w:val="22"/>
          <w:szCs w:val="22"/>
        </w:rPr>
        <w:t>kontrolovaným príjmom sodíka.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4.5</w:t>
      </w:r>
      <w:r w:rsidRPr="008F37E2">
        <w:rPr>
          <w:b/>
          <w:sz w:val="22"/>
          <w:szCs w:val="22"/>
        </w:rPr>
        <w:tab/>
        <w:t>Liekové a</w:t>
      </w:r>
      <w:r w:rsidRPr="008F37E2">
        <w:rPr>
          <w:sz w:val="22"/>
          <w:szCs w:val="22"/>
        </w:rPr>
        <w:t> </w:t>
      </w:r>
      <w:r w:rsidRPr="008F37E2">
        <w:rPr>
          <w:b/>
          <w:sz w:val="22"/>
          <w:szCs w:val="22"/>
        </w:rPr>
        <w:t>iné interakcie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</w:rPr>
        <w:t>U</w:t>
      </w:r>
      <w:r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</w:rPr>
        <w:t xml:space="preserve">pacientov, </w:t>
      </w:r>
      <w:r w:rsidRPr="008F37E2">
        <w:rPr>
          <w:sz w:val="22"/>
          <w:szCs w:val="22"/>
          <w:lang w:eastAsia="en-GB"/>
        </w:rPr>
        <w:t>ktorým sa podával</w:t>
      </w:r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ganciklovir</w:t>
      </w:r>
      <w:proofErr w:type="spellEnd"/>
      <w:r w:rsidRPr="008F37E2">
        <w:rPr>
          <w:sz w:val="22"/>
          <w:szCs w:val="22"/>
        </w:rPr>
        <w:t xml:space="preserve"> </w:t>
      </w:r>
      <w:r w:rsidR="00AB5CE4">
        <w:rPr>
          <w:sz w:val="22"/>
          <w:szCs w:val="22"/>
          <w:lang w:eastAsia="en-GB"/>
        </w:rPr>
        <w:t>a</w:t>
      </w:r>
      <w:r w:rsidRPr="008F37E2">
        <w:rPr>
          <w:sz w:val="22"/>
          <w:szCs w:val="22"/>
          <w:lang w:eastAsia="en-GB"/>
        </w:rPr>
        <w:t> </w:t>
      </w:r>
      <w:proofErr w:type="spellStart"/>
      <w:r w:rsidR="00AB5CE4" w:rsidRPr="00AB5CE4">
        <w:rPr>
          <w:sz w:val="22"/>
          <w:szCs w:val="22"/>
          <w:lang w:eastAsia="en-GB"/>
        </w:rPr>
        <w:t>Imipenem</w:t>
      </w:r>
      <w:proofErr w:type="spellEnd"/>
      <w:r w:rsidR="00AB5CE4" w:rsidRPr="00AB5CE4">
        <w:rPr>
          <w:sz w:val="22"/>
          <w:szCs w:val="22"/>
          <w:lang w:eastAsia="en-GB"/>
        </w:rPr>
        <w:t>/</w:t>
      </w:r>
      <w:proofErr w:type="spellStart"/>
      <w:r w:rsidR="00AB5CE4" w:rsidRPr="00AB5CE4">
        <w:rPr>
          <w:sz w:val="22"/>
          <w:szCs w:val="22"/>
          <w:lang w:eastAsia="en-GB"/>
        </w:rPr>
        <w:t>Cilastatin</w:t>
      </w:r>
      <w:proofErr w:type="spellEnd"/>
      <w:r w:rsidR="00AB5CE4" w:rsidRPr="00AB5CE4">
        <w:rPr>
          <w:sz w:val="22"/>
          <w:szCs w:val="22"/>
          <w:lang w:eastAsia="en-GB"/>
        </w:rPr>
        <w:t xml:space="preserve"> </w:t>
      </w:r>
      <w:proofErr w:type="spellStart"/>
      <w:r w:rsidR="00AB5CE4" w:rsidRPr="00AB5CE4">
        <w:rPr>
          <w:sz w:val="22"/>
          <w:szCs w:val="22"/>
          <w:lang w:eastAsia="en-GB"/>
        </w:rPr>
        <w:t>Kabi</w:t>
      </w:r>
      <w:proofErr w:type="spellEnd"/>
      <w:r w:rsidR="00AB5CE4" w:rsidRPr="00AB5CE4">
        <w:rPr>
          <w:sz w:val="22"/>
          <w:szCs w:val="22"/>
          <w:lang w:eastAsia="en-GB"/>
        </w:rPr>
        <w:t xml:space="preserve"> </w:t>
      </w:r>
      <w:r w:rsidR="00AB5CE4">
        <w:rPr>
          <w:sz w:val="22"/>
          <w:szCs w:val="22"/>
          <w:lang w:eastAsia="en-GB"/>
        </w:rPr>
        <w:t xml:space="preserve">boli </w:t>
      </w:r>
      <w:r w:rsidRPr="008F37E2">
        <w:rPr>
          <w:sz w:val="22"/>
          <w:szCs w:val="22"/>
          <w:lang w:eastAsia="en-GB"/>
        </w:rPr>
        <w:t>hlásené</w:t>
      </w:r>
      <w:r w:rsidR="00AB5CE4">
        <w:rPr>
          <w:sz w:val="22"/>
          <w:szCs w:val="22"/>
          <w:lang w:eastAsia="en-GB"/>
        </w:rPr>
        <w:t xml:space="preserve"> generalizované </w:t>
      </w:r>
      <w:r w:rsidRPr="008F37E2">
        <w:rPr>
          <w:sz w:val="22"/>
          <w:szCs w:val="22"/>
          <w:lang w:eastAsia="en-GB"/>
        </w:rPr>
        <w:t>kŕče</w:t>
      </w:r>
      <w:r w:rsidR="00AB5CE4">
        <w:rPr>
          <w:sz w:val="22"/>
          <w:szCs w:val="22"/>
          <w:lang w:eastAsia="en-GB"/>
        </w:rPr>
        <w:t xml:space="preserve">. Tieto lieky sa nemajú </w:t>
      </w:r>
      <w:r w:rsidRPr="008F37E2">
        <w:rPr>
          <w:sz w:val="22"/>
          <w:szCs w:val="22"/>
          <w:lang w:eastAsia="en-GB"/>
        </w:rPr>
        <w:t>používať súbežne</w:t>
      </w:r>
      <w:r w:rsidRPr="008F37E2">
        <w:rPr>
          <w:sz w:val="22"/>
          <w:szCs w:val="22"/>
        </w:rPr>
        <w:t xml:space="preserve">, pokiaľ </w:t>
      </w:r>
      <w:r w:rsidRPr="008F37E2">
        <w:rPr>
          <w:sz w:val="22"/>
          <w:szCs w:val="22"/>
          <w:lang w:eastAsia="en-GB"/>
        </w:rPr>
        <w:t>možný</w:t>
      </w:r>
      <w:r w:rsidRPr="008F37E2">
        <w:rPr>
          <w:sz w:val="22"/>
          <w:szCs w:val="22"/>
        </w:rPr>
        <w:t xml:space="preserve"> prínos </w:t>
      </w:r>
      <w:r w:rsidRPr="008F37E2">
        <w:rPr>
          <w:sz w:val="22"/>
          <w:szCs w:val="22"/>
          <w:lang w:eastAsia="en-GB"/>
        </w:rPr>
        <w:t>liečby neprevažuje nad rizikami</w:t>
      </w:r>
      <w:r w:rsidRPr="008F37E2">
        <w:rPr>
          <w:sz w:val="22"/>
          <w:szCs w:val="22"/>
        </w:rPr>
        <w:t>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  <w:lang w:eastAsia="en-GB"/>
        </w:rPr>
        <w:t>Pri</w:t>
      </w:r>
      <w:r w:rsidRPr="008F37E2">
        <w:rPr>
          <w:sz w:val="22"/>
          <w:szCs w:val="22"/>
        </w:rPr>
        <w:t xml:space="preserve"> súbežnom podávaní kyseliny </w:t>
      </w:r>
      <w:proofErr w:type="spellStart"/>
      <w:r w:rsidRPr="008F37E2">
        <w:rPr>
          <w:sz w:val="22"/>
          <w:szCs w:val="22"/>
        </w:rPr>
        <w:t>valproovej</w:t>
      </w:r>
      <w:proofErr w:type="spellEnd"/>
      <w:r w:rsidRPr="008F37E2">
        <w:rPr>
          <w:sz w:val="22"/>
          <w:szCs w:val="22"/>
          <w:lang w:eastAsia="en-GB"/>
        </w:rPr>
        <w:t xml:space="preserve"> s </w:t>
      </w:r>
      <w:proofErr w:type="spellStart"/>
      <w:r w:rsidRPr="008F37E2">
        <w:rPr>
          <w:sz w:val="22"/>
          <w:szCs w:val="22"/>
          <w:lang w:eastAsia="en-GB"/>
        </w:rPr>
        <w:t>karbapenémami</w:t>
      </w:r>
      <w:proofErr w:type="spellEnd"/>
      <w:r w:rsidRPr="008F37E2">
        <w:rPr>
          <w:sz w:val="22"/>
          <w:szCs w:val="22"/>
          <w:lang w:eastAsia="en-GB"/>
        </w:rPr>
        <w:t xml:space="preserve"> boli hlásené zníženia hladín kyseliny </w:t>
      </w:r>
      <w:proofErr w:type="spellStart"/>
      <w:r w:rsidRPr="008F37E2">
        <w:rPr>
          <w:sz w:val="22"/>
          <w:szCs w:val="22"/>
          <w:lang w:eastAsia="en-GB"/>
        </w:rPr>
        <w:t>valproovej</w:t>
      </w:r>
      <w:proofErr w:type="spellEnd"/>
      <w:r w:rsidRPr="008F37E2">
        <w:rPr>
          <w:sz w:val="22"/>
          <w:szCs w:val="22"/>
          <w:lang w:eastAsia="en-GB"/>
        </w:rPr>
        <w:t>, ktoré môžu klesnúť pod terapeutické rozpätie.</w:t>
      </w:r>
      <w:r w:rsidRPr="008F37E2">
        <w:rPr>
          <w:sz w:val="22"/>
          <w:szCs w:val="22"/>
        </w:rPr>
        <w:t xml:space="preserve"> Znížené </w:t>
      </w:r>
      <w:r w:rsidRPr="008F37E2">
        <w:rPr>
          <w:sz w:val="22"/>
          <w:szCs w:val="22"/>
          <w:lang w:eastAsia="en-GB"/>
        </w:rPr>
        <w:t>hladiny</w:t>
      </w:r>
      <w:r w:rsidRPr="008F37E2">
        <w:rPr>
          <w:sz w:val="22"/>
          <w:szCs w:val="22"/>
        </w:rPr>
        <w:t xml:space="preserve"> kyseliny </w:t>
      </w:r>
      <w:proofErr w:type="spellStart"/>
      <w:r w:rsidRPr="008F37E2">
        <w:rPr>
          <w:sz w:val="22"/>
          <w:szCs w:val="22"/>
        </w:rPr>
        <w:t>valproovej</w:t>
      </w:r>
      <w:proofErr w:type="spellEnd"/>
      <w:r w:rsidRPr="008F37E2">
        <w:rPr>
          <w:sz w:val="22"/>
          <w:szCs w:val="22"/>
        </w:rPr>
        <w:t xml:space="preserve"> môžu viesť k</w:t>
      </w:r>
      <w:r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</w:rPr>
        <w:t xml:space="preserve">nedostatočnej kontrole záchvatov. </w:t>
      </w:r>
      <w:r w:rsidRPr="008F37E2">
        <w:rPr>
          <w:sz w:val="22"/>
          <w:szCs w:val="22"/>
          <w:lang w:eastAsia="en-GB"/>
        </w:rPr>
        <w:t xml:space="preserve">Súbežné používanie </w:t>
      </w:r>
      <w:proofErr w:type="spellStart"/>
      <w:r w:rsidRPr="008F37E2">
        <w:rPr>
          <w:sz w:val="22"/>
          <w:szCs w:val="22"/>
          <w:lang w:eastAsia="en-GB"/>
        </w:rPr>
        <w:t>imipenému</w:t>
      </w:r>
      <w:proofErr w:type="spellEnd"/>
      <w:r w:rsidRPr="008F37E2">
        <w:rPr>
          <w:sz w:val="22"/>
          <w:szCs w:val="22"/>
          <w:lang w:eastAsia="en-GB"/>
        </w:rPr>
        <w:t xml:space="preserve"> a kyseliny </w:t>
      </w:r>
      <w:proofErr w:type="spellStart"/>
      <w:r w:rsidRPr="008F37E2">
        <w:rPr>
          <w:sz w:val="22"/>
          <w:szCs w:val="22"/>
          <w:lang w:eastAsia="en-GB"/>
        </w:rPr>
        <w:t>valproovej</w:t>
      </w:r>
      <w:proofErr w:type="spellEnd"/>
      <w:r w:rsidRPr="008F37E2">
        <w:rPr>
          <w:sz w:val="22"/>
          <w:szCs w:val="22"/>
          <w:lang w:eastAsia="en-GB"/>
        </w:rPr>
        <w:t>/</w:t>
      </w:r>
      <w:proofErr w:type="spellStart"/>
      <w:r w:rsidRPr="008F37E2">
        <w:rPr>
          <w:sz w:val="22"/>
          <w:szCs w:val="22"/>
          <w:lang w:eastAsia="en-GB"/>
        </w:rPr>
        <w:t>nátriumvalproátu</w:t>
      </w:r>
      <w:proofErr w:type="spellEnd"/>
      <w:r w:rsidRPr="008F37E2">
        <w:rPr>
          <w:sz w:val="22"/>
          <w:szCs w:val="22"/>
          <w:lang w:eastAsia="en-GB"/>
        </w:rPr>
        <w:t xml:space="preserve"> sa preto neodporúča a je potrebné zvážiť alternatívnu antibakteriálnu alebo </w:t>
      </w:r>
      <w:proofErr w:type="spellStart"/>
      <w:r w:rsidRPr="008F37E2">
        <w:rPr>
          <w:sz w:val="22"/>
          <w:szCs w:val="22"/>
          <w:lang w:eastAsia="en-GB"/>
        </w:rPr>
        <w:t>antikonvulzívnu</w:t>
      </w:r>
      <w:proofErr w:type="spellEnd"/>
      <w:r w:rsidRPr="008F37E2">
        <w:rPr>
          <w:sz w:val="22"/>
          <w:szCs w:val="22"/>
          <w:lang w:eastAsia="en-GB"/>
        </w:rPr>
        <w:t xml:space="preserve"> liečbu (pozri časť</w:t>
      </w:r>
      <w:r w:rsidRPr="008F37E2">
        <w:rPr>
          <w:sz w:val="22"/>
          <w:szCs w:val="22"/>
        </w:rPr>
        <w:t> </w:t>
      </w:r>
      <w:r w:rsidRPr="008F37E2">
        <w:rPr>
          <w:sz w:val="22"/>
          <w:szCs w:val="22"/>
          <w:lang w:eastAsia="en-GB"/>
        </w:rPr>
        <w:t>4.4).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6F39BC" w:rsidRDefault="00AB5CE4" w:rsidP="00D31D77">
      <w:pPr>
        <w:keepNext/>
        <w:rPr>
          <w:sz w:val="22"/>
          <w:szCs w:val="22"/>
          <w:u w:val="single"/>
          <w:lang w:eastAsia="en-GB"/>
        </w:rPr>
      </w:pPr>
      <w:r w:rsidRPr="00AB5CE4">
        <w:rPr>
          <w:sz w:val="22"/>
          <w:szCs w:val="22"/>
          <w:u w:val="single"/>
          <w:lang w:eastAsia="en-GB"/>
        </w:rPr>
        <w:t xml:space="preserve">Perorálne </w:t>
      </w:r>
      <w:proofErr w:type="spellStart"/>
      <w:r w:rsidRPr="00AB5CE4">
        <w:rPr>
          <w:sz w:val="22"/>
          <w:szCs w:val="22"/>
          <w:u w:val="single"/>
          <w:lang w:eastAsia="en-GB"/>
        </w:rPr>
        <w:t>antikoagulanciá</w:t>
      </w:r>
      <w:proofErr w:type="spellEnd"/>
    </w:p>
    <w:p w:rsidR="006B1F10" w:rsidRPr="008F37E2" w:rsidRDefault="006B1F10" w:rsidP="00762ABD">
      <w:pPr>
        <w:rPr>
          <w:sz w:val="22"/>
          <w:szCs w:val="22"/>
          <w:lang w:eastAsia="en-GB"/>
        </w:rPr>
      </w:pPr>
      <w:r w:rsidRPr="008F37E2">
        <w:rPr>
          <w:sz w:val="22"/>
          <w:szCs w:val="22"/>
          <w:lang w:eastAsia="en-GB"/>
        </w:rPr>
        <w:t>Súbežné podávanie antibiotík s </w:t>
      </w:r>
      <w:proofErr w:type="spellStart"/>
      <w:r w:rsidRPr="008F37E2">
        <w:rPr>
          <w:sz w:val="22"/>
          <w:szCs w:val="22"/>
          <w:lang w:eastAsia="en-GB"/>
        </w:rPr>
        <w:t>warfarínom</w:t>
      </w:r>
      <w:proofErr w:type="spellEnd"/>
      <w:r w:rsidRPr="008F37E2">
        <w:rPr>
          <w:sz w:val="22"/>
          <w:szCs w:val="22"/>
          <w:lang w:eastAsia="en-GB"/>
        </w:rPr>
        <w:t xml:space="preserve"> môže zvýšiť jeho </w:t>
      </w:r>
      <w:proofErr w:type="spellStart"/>
      <w:r w:rsidRPr="008F37E2">
        <w:rPr>
          <w:sz w:val="22"/>
          <w:szCs w:val="22"/>
          <w:lang w:eastAsia="en-GB"/>
        </w:rPr>
        <w:t>antikoagulačné</w:t>
      </w:r>
      <w:proofErr w:type="spellEnd"/>
      <w:r w:rsidRPr="008F37E2">
        <w:rPr>
          <w:sz w:val="22"/>
          <w:szCs w:val="22"/>
          <w:lang w:eastAsia="en-GB"/>
        </w:rPr>
        <w:t xml:space="preserve"> účinky.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  <w:r w:rsidRPr="008F37E2">
        <w:rPr>
          <w:sz w:val="22"/>
          <w:szCs w:val="22"/>
          <w:lang w:eastAsia="en-GB"/>
        </w:rPr>
        <w:t xml:space="preserve">U pacientov, ktorí súbežne užívali antibiotiká sa vyskytlo mnoho hlásení zvýšenia </w:t>
      </w:r>
      <w:proofErr w:type="spellStart"/>
      <w:r w:rsidRPr="008F37E2">
        <w:rPr>
          <w:sz w:val="22"/>
          <w:szCs w:val="22"/>
          <w:lang w:eastAsia="en-GB"/>
        </w:rPr>
        <w:t>antikoagulačných</w:t>
      </w:r>
      <w:proofErr w:type="spellEnd"/>
      <w:r w:rsidRPr="008F37E2">
        <w:rPr>
          <w:sz w:val="22"/>
          <w:szCs w:val="22"/>
          <w:lang w:eastAsia="en-GB"/>
        </w:rPr>
        <w:t xml:space="preserve"> účinkov perorálne podávaných </w:t>
      </w:r>
      <w:proofErr w:type="spellStart"/>
      <w:r w:rsidRPr="008F37E2">
        <w:rPr>
          <w:sz w:val="22"/>
          <w:szCs w:val="22"/>
          <w:lang w:eastAsia="en-GB"/>
        </w:rPr>
        <w:t>antikoagulancií</w:t>
      </w:r>
      <w:proofErr w:type="spellEnd"/>
      <w:r w:rsidRPr="008F37E2">
        <w:rPr>
          <w:sz w:val="22"/>
          <w:szCs w:val="22"/>
          <w:lang w:eastAsia="en-GB"/>
        </w:rPr>
        <w:t xml:space="preserve">, vrátane </w:t>
      </w:r>
      <w:proofErr w:type="spellStart"/>
      <w:r w:rsidRPr="008F37E2">
        <w:rPr>
          <w:sz w:val="22"/>
          <w:szCs w:val="22"/>
          <w:lang w:eastAsia="en-GB"/>
        </w:rPr>
        <w:t>warfarínu</w:t>
      </w:r>
      <w:proofErr w:type="spellEnd"/>
      <w:r w:rsidRPr="008F37E2">
        <w:rPr>
          <w:sz w:val="22"/>
          <w:szCs w:val="22"/>
          <w:lang w:eastAsia="en-GB"/>
        </w:rPr>
        <w:t>. Riziko sa môže líšiť v závislosti od základnej infekcie, veku a celkového stavu pacienta, takže vplyv antibiotika na zvýšenie medzinárodného normalizovaného pomeru (</w:t>
      </w:r>
      <w:proofErr w:type="spellStart"/>
      <w:r w:rsidRPr="008F37E2">
        <w:rPr>
          <w:sz w:val="22"/>
          <w:szCs w:val="22"/>
          <w:lang w:eastAsia="en-GB"/>
        </w:rPr>
        <w:t>international</w:t>
      </w:r>
      <w:proofErr w:type="spellEnd"/>
      <w:r w:rsidRPr="008F37E2">
        <w:rPr>
          <w:sz w:val="22"/>
          <w:szCs w:val="22"/>
          <w:lang w:eastAsia="en-GB"/>
        </w:rPr>
        <w:t xml:space="preserve"> </w:t>
      </w:r>
      <w:proofErr w:type="spellStart"/>
      <w:r w:rsidRPr="008F37E2">
        <w:rPr>
          <w:sz w:val="22"/>
          <w:szCs w:val="22"/>
          <w:lang w:eastAsia="en-GB"/>
        </w:rPr>
        <w:t>normalised</w:t>
      </w:r>
      <w:proofErr w:type="spellEnd"/>
      <w:r w:rsidRPr="008F37E2">
        <w:rPr>
          <w:sz w:val="22"/>
          <w:szCs w:val="22"/>
          <w:lang w:eastAsia="en-GB"/>
        </w:rPr>
        <w:t xml:space="preserve"> </w:t>
      </w:r>
      <w:proofErr w:type="spellStart"/>
      <w:r w:rsidRPr="008F37E2">
        <w:rPr>
          <w:sz w:val="22"/>
          <w:szCs w:val="22"/>
          <w:lang w:eastAsia="en-GB"/>
        </w:rPr>
        <w:t>ratio</w:t>
      </w:r>
      <w:proofErr w:type="spellEnd"/>
      <w:r w:rsidRPr="008F37E2">
        <w:rPr>
          <w:sz w:val="22"/>
          <w:szCs w:val="22"/>
          <w:lang w:eastAsia="en-GB"/>
        </w:rPr>
        <w:t xml:space="preserve">, INR) je ťažké posúdiť. Odporúča sa, aby sa počas súbežného podávania antibiotík s perorálnymi </w:t>
      </w:r>
      <w:proofErr w:type="spellStart"/>
      <w:r w:rsidRPr="008F37E2">
        <w:rPr>
          <w:sz w:val="22"/>
          <w:szCs w:val="22"/>
          <w:lang w:eastAsia="en-GB"/>
        </w:rPr>
        <w:t>antikoagulanciami</w:t>
      </w:r>
      <w:proofErr w:type="spellEnd"/>
      <w:r w:rsidRPr="008F37E2">
        <w:rPr>
          <w:sz w:val="22"/>
          <w:szCs w:val="22"/>
          <w:lang w:eastAsia="en-GB"/>
        </w:rPr>
        <w:t xml:space="preserve"> a krátko po ňom INR často sledovalo.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</w:p>
    <w:p w:rsidR="006B1F10" w:rsidRPr="008F37E2" w:rsidRDefault="006B1F10" w:rsidP="00762ABD">
      <w:pPr>
        <w:rPr>
          <w:sz w:val="22"/>
          <w:szCs w:val="22"/>
          <w:lang w:eastAsia="en-GB"/>
        </w:rPr>
      </w:pPr>
      <w:r w:rsidRPr="008F37E2">
        <w:rPr>
          <w:sz w:val="22"/>
          <w:szCs w:val="22"/>
          <w:lang w:eastAsia="en-GB"/>
        </w:rPr>
        <w:t xml:space="preserve">Súbežné podávanie </w:t>
      </w:r>
      <w:proofErr w:type="spellStart"/>
      <w:r w:rsidR="00AB5CE4" w:rsidRPr="00AB5CE4">
        <w:rPr>
          <w:sz w:val="22"/>
          <w:szCs w:val="22"/>
          <w:lang w:eastAsia="en-GB"/>
        </w:rPr>
        <w:t>Imipenem</w:t>
      </w:r>
      <w:proofErr w:type="spellEnd"/>
      <w:r w:rsidR="00AB5CE4" w:rsidRPr="00AB5CE4">
        <w:rPr>
          <w:sz w:val="22"/>
          <w:szCs w:val="22"/>
          <w:lang w:eastAsia="en-GB"/>
        </w:rPr>
        <w:t>/</w:t>
      </w:r>
      <w:proofErr w:type="spellStart"/>
      <w:r w:rsidR="00AB5CE4" w:rsidRPr="00AB5CE4">
        <w:rPr>
          <w:sz w:val="22"/>
          <w:szCs w:val="22"/>
          <w:lang w:eastAsia="en-GB"/>
        </w:rPr>
        <w:t>Cilastatin</w:t>
      </w:r>
      <w:proofErr w:type="spellEnd"/>
      <w:r w:rsidR="00AB5CE4" w:rsidRPr="00AB5CE4">
        <w:rPr>
          <w:sz w:val="22"/>
          <w:szCs w:val="22"/>
          <w:lang w:eastAsia="en-GB"/>
        </w:rPr>
        <w:t xml:space="preserve"> </w:t>
      </w:r>
      <w:proofErr w:type="spellStart"/>
      <w:r w:rsidR="00AB5CE4" w:rsidRPr="00AB5CE4">
        <w:rPr>
          <w:sz w:val="22"/>
          <w:szCs w:val="22"/>
          <w:lang w:eastAsia="en-GB"/>
        </w:rPr>
        <w:t>Kabi</w:t>
      </w:r>
      <w:proofErr w:type="spellEnd"/>
      <w:r w:rsidR="00AB5CE4" w:rsidRPr="00AB5CE4">
        <w:rPr>
          <w:sz w:val="22"/>
          <w:szCs w:val="22"/>
          <w:lang w:eastAsia="en-GB"/>
        </w:rPr>
        <w:t xml:space="preserve"> </w:t>
      </w:r>
      <w:r w:rsidRPr="008F37E2">
        <w:rPr>
          <w:sz w:val="22"/>
          <w:szCs w:val="22"/>
          <w:lang w:eastAsia="en-GB"/>
        </w:rPr>
        <w:t>a </w:t>
      </w:r>
      <w:proofErr w:type="spellStart"/>
      <w:r w:rsidRPr="008F37E2">
        <w:rPr>
          <w:sz w:val="22"/>
          <w:szCs w:val="22"/>
          <w:lang w:eastAsia="en-GB"/>
        </w:rPr>
        <w:t>probenecidu</w:t>
      </w:r>
      <w:proofErr w:type="spellEnd"/>
      <w:r w:rsidRPr="008F37E2">
        <w:rPr>
          <w:sz w:val="22"/>
          <w:szCs w:val="22"/>
          <w:lang w:eastAsia="en-GB"/>
        </w:rPr>
        <w:t xml:space="preserve"> viedlo k minimálnym zvýšeniam plazmatických hladín a plazmatického polčasu </w:t>
      </w:r>
      <w:proofErr w:type="spellStart"/>
      <w:r w:rsidRPr="008F37E2">
        <w:rPr>
          <w:sz w:val="22"/>
          <w:szCs w:val="22"/>
          <w:lang w:eastAsia="en-GB"/>
        </w:rPr>
        <w:t>imipenému</w:t>
      </w:r>
      <w:proofErr w:type="spellEnd"/>
      <w:r w:rsidRPr="008F37E2">
        <w:rPr>
          <w:sz w:val="22"/>
          <w:szCs w:val="22"/>
          <w:lang w:eastAsia="en-GB"/>
        </w:rPr>
        <w:t xml:space="preserve">. Keď sa </w:t>
      </w:r>
      <w:proofErr w:type="spellStart"/>
      <w:r w:rsidRPr="008F37E2">
        <w:rPr>
          <w:sz w:val="22"/>
          <w:szCs w:val="22"/>
          <w:lang w:eastAsia="en-GB"/>
        </w:rPr>
        <w:t>Imipenem</w:t>
      </w:r>
      <w:proofErr w:type="spellEnd"/>
      <w:r w:rsidRPr="008F37E2">
        <w:rPr>
          <w:sz w:val="22"/>
          <w:szCs w:val="22"/>
          <w:lang w:eastAsia="en-GB"/>
        </w:rPr>
        <w:t>/</w:t>
      </w:r>
      <w:proofErr w:type="spellStart"/>
      <w:r w:rsidRPr="008F37E2">
        <w:rPr>
          <w:sz w:val="22"/>
          <w:szCs w:val="22"/>
          <w:lang w:eastAsia="en-GB"/>
        </w:rPr>
        <w:t>Cilastatin</w:t>
      </w:r>
      <w:proofErr w:type="spellEnd"/>
      <w:r w:rsidRPr="008F37E2">
        <w:rPr>
          <w:sz w:val="22"/>
          <w:szCs w:val="22"/>
          <w:lang w:eastAsia="en-GB"/>
        </w:rPr>
        <w:t xml:space="preserve"> podával s </w:t>
      </w:r>
      <w:proofErr w:type="spellStart"/>
      <w:r w:rsidRPr="008F37E2">
        <w:rPr>
          <w:sz w:val="22"/>
          <w:szCs w:val="22"/>
          <w:lang w:eastAsia="en-GB"/>
        </w:rPr>
        <w:t>probenecidom</w:t>
      </w:r>
      <w:proofErr w:type="spellEnd"/>
      <w:r w:rsidRPr="008F37E2">
        <w:rPr>
          <w:sz w:val="22"/>
          <w:szCs w:val="22"/>
          <w:lang w:eastAsia="en-GB"/>
        </w:rPr>
        <w:t xml:space="preserve">, vylučovanie účinného (nemetabolizovaného) </w:t>
      </w:r>
      <w:proofErr w:type="spellStart"/>
      <w:r w:rsidRPr="008F37E2">
        <w:rPr>
          <w:sz w:val="22"/>
          <w:szCs w:val="22"/>
          <w:lang w:eastAsia="en-GB"/>
        </w:rPr>
        <w:t>imipenému</w:t>
      </w:r>
      <w:proofErr w:type="spellEnd"/>
      <w:r w:rsidRPr="008F37E2">
        <w:rPr>
          <w:sz w:val="22"/>
          <w:szCs w:val="22"/>
          <w:lang w:eastAsia="en-GB"/>
        </w:rPr>
        <w:t xml:space="preserve"> močom sa znížilo približne na 60 % dávky. Súbežné podávanie </w:t>
      </w:r>
      <w:proofErr w:type="spellStart"/>
      <w:r w:rsidR="00AB5CE4" w:rsidRPr="00AB5CE4">
        <w:rPr>
          <w:sz w:val="22"/>
          <w:szCs w:val="22"/>
          <w:lang w:eastAsia="en-GB"/>
        </w:rPr>
        <w:t>Imipenem</w:t>
      </w:r>
      <w:proofErr w:type="spellEnd"/>
      <w:r w:rsidR="00AB5CE4" w:rsidRPr="00AB5CE4">
        <w:rPr>
          <w:sz w:val="22"/>
          <w:szCs w:val="22"/>
          <w:lang w:eastAsia="en-GB"/>
        </w:rPr>
        <w:t>/</w:t>
      </w:r>
      <w:proofErr w:type="spellStart"/>
      <w:r w:rsidR="00AB5CE4" w:rsidRPr="00AB5CE4">
        <w:rPr>
          <w:sz w:val="22"/>
          <w:szCs w:val="22"/>
          <w:lang w:eastAsia="en-GB"/>
        </w:rPr>
        <w:t>Cilastatin</w:t>
      </w:r>
      <w:proofErr w:type="spellEnd"/>
      <w:r w:rsidR="00AB5CE4" w:rsidRPr="00AB5CE4">
        <w:rPr>
          <w:sz w:val="22"/>
          <w:szCs w:val="22"/>
          <w:lang w:eastAsia="en-GB"/>
        </w:rPr>
        <w:t xml:space="preserve"> </w:t>
      </w:r>
      <w:proofErr w:type="spellStart"/>
      <w:r w:rsidR="00AB5CE4" w:rsidRPr="00AB5CE4">
        <w:rPr>
          <w:sz w:val="22"/>
          <w:szCs w:val="22"/>
          <w:lang w:eastAsia="en-GB"/>
        </w:rPr>
        <w:t>Kabi</w:t>
      </w:r>
      <w:proofErr w:type="spellEnd"/>
      <w:r w:rsidRPr="008F37E2">
        <w:rPr>
          <w:sz w:val="22"/>
          <w:szCs w:val="22"/>
          <w:lang w:eastAsia="en-GB"/>
        </w:rPr>
        <w:t xml:space="preserve"> a </w:t>
      </w:r>
      <w:proofErr w:type="spellStart"/>
      <w:r w:rsidRPr="008F37E2">
        <w:rPr>
          <w:sz w:val="22"/>
          <w:szCs w:val="22"/>
          <w:lang w:eastAsia="en-GB"/>
        </w:rPr>
        <w:t>probenecidu</w:t>
      </w:r>
      <w:proofErr w:type="spellEnd"/>
      <w:r w:rsidRPr="008F37E2">
        <w:rPr>
          <w:sz w:val="22"/>
          <w:szCs w:val="22"/>
          <w:lang w:eastAsia="en-GB"/>
        </w:rPr>
        <w:t xml:space="preserve"> zdvojnásobilo plazmatickú hladinu a polčas </w:t>
      </w:r>
      <w:proofErr w:type="spellStart"/>
      <w:r w:rsidRPr="008F37E2">
        <w:rPr>
          <w:sz w:val="22"/>
          <w:szCs w:val="22"/>
          <w:lang w:eastAsia="en-GB"/>
        </w:rPr>
        <w:t>cilastatínu</w:t>
      </w:r>
      <w:proofErr w:type="spellEnd"/>
      <w:r w:rsidRPr="008F37E2">
        <w:rPr>
          <w:sz w:val="22"/>
          <w:szCs w:val="22"/>
          <w:lang w:eastAsia="en-GB"/>
        </w:rPr>
        <w:t>, ale nemalo žiaden vplyv na jeho vylučovanie močom.</w:t>
      </w:r>
    </w:p>
    <w:p w:rsidR="006B1F10" w:rsidRDefault="006B1F10" w:rsidP="00762ABD">
      <w:pPr>
        <w:rPr>
          <w:sz w:val="22"/>
          <w:szCs w:val="22"/>
          <w:lang w:eastAsia="en-GB"/>
        </w:rPr>
      </w:pPr>
    </w:p>
    <w:p w:rsidR="006F39BC" w:rsidRPr="006F39BC" w:rsidRDefault="00AB5CE4" w:rsidP="006F39BC">
      <w:pPr>
        <w:rPr>
          <w:sz w:val="22"/>
          <w:szCs w:val="22"/>
          <w:lang w:eastAsia="en-GB"/>
        </w:rPr>
      </w:pPr>
      <w:r w:rsidRPr="00AB5CE4">
        <w:rPr>
          <w:bCs/>
          <w:iCs/>
          <w:sz w:val="22"/>
          <w:szCs w:val="22"/>
          <w:u w:val="single"/>
          <w:lang w:eastAsia="en-GB"/>
        </w:rPr>
        <w:t>Pediatrická populácia</w:t>
      </w:r>
    </w:p>
    <w:p w:rsidR="006B7E2E" w:rsidRDefault="00AB5CE4" w:rsidP="00762ABD">
      <w:pPr>
        <w:rPr>
          <w:sz w:val="22"/>
          <w:szCs w:val="22"/>
          <w:lang w:eastAsia="en-GB"/>
        </w:rPr>
      </w:pPr>
      <w:r w:rsidRPr="00AB5CE4">
        <w:rPr>
          <w:sz w:val="22"/>
          <w:szCs w:val="22"/>
          <w:lang w:eastAsia="en-GB"/>
        </w:rPr>
        <w:t>Interakčné štúdie sa uskutočnili len u dospelých.</w:t>
      </w:r>
    </w:p>
    <w:p w:rsidR="006B7E2E" w:rsidRPr="008F37E2" w:rsidRDefault="006B7E2E" w:rsidP="00762ABD">
      <w:pPr>
        <w:rPr>
          <w:sz w:val="22"/>
          <w:szCs w:val="22"/>
          <w:lang w:eastAsia="en-GB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4.6</w:t>
      </w:r>
      <w:r w:rsidRPr="008F37E2">
        <w:rPr>
          <w:b/>
          <w:sz w:val="22"/>
          <w:szCs w:val="22"/>
        </w:rPr>
        <w:tab/>
      </w:r>
      <w:proofErr w:type="spellStart"/>
      <w:r w:rsidRPr="008F37E2">
        <w:rPr>
          <w:b/>
          <w:sz w:val="22"/>
          <w:szCs w:val="22"/>
        </w:rPr>
        <w:t>Fertilita</w:t>
      </w:r>
      <w:proofErr w:type="spellEnd"/>
      <w:r w:rsidRPr="008F37E2">
        <w:rPr>
          <w:b/>
          <w:sz w:val="22"/>
          <w:szCs w:val="22"/>
        </w:rPr>
        <w:t>, gravidita a</w:t>
      </w:r>
      <w:r w:rsidRPr="008F37E2">
        <w:rPr>
          <w:sz w:val="22"/>
          <w:szCs w:val="22"/>
        </w:rPr>
        <w:t> </w:t>
      </w:r>
      <w:r w:rsidRPr="008F37E2">
        <w:rPr>
          <w:b/>
          <w:sz w:val="22"/>
          <w:szCs w:val="22"/>
        </w:rPr>
        <w:t>laktácia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042517">
      <w:pPr>
        <w:keepNext/>
        <w:rPr>
          <w:sz w:val="22"/>
          <w:szCs w:val="22"/>
        </w:rPr>
      </w:pPr>
      <w:r w:rsidRPr="008F37E2">
        <w:rPr>
          <w:sz w:val="22"/>
          <w:szCs w:val="22"/>
          <w:u w:val="single"/>
        </w:rPr>
        <w:t>Gravidita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  <w:r w:rsidRPr="008F37E2">
        <w:rPr>
          <w:sz w:val="22"/>
          <w:szCs w:val="22"/>
        </w:rPr>
        <w:t>Nie sú k</w:t>
      </w:r>
      <w:r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</w:rPr>
        <w:t xml:space="preserve">dispozícii dostatočné </w:t>
      </w:r>
      <w:r w:rsidRPr="008F37E2">
        <w:rPr>
          <w:sz w:val="22"/>
          <w:szCs w:val="22"/>
          <w:lang w:eastAsia="en-GB"/>
        </w:rPr>
        <w:t>a dobre kontrolované štúdie</w:t>
      </w:r>
      <w:r w:rsidRPr="008F37E2">
        <w:rPr>
          <w:sz w:val="22"/>
          <w:szCs w:val="22"/>
        </w:rPr>
        <w:t xml:space="preserve"> o</w:t>
      </w:r>
      <w:r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</w:rPr>
        <w:t xml:space="preserve">použití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  <w:lang w:eastAsia="en-GB"/>
        </w:rPr>
        <w:t>/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u</w:t>
      </w:r>
      <w:r w:rsidRPr="008F37E2">
        <w:rPr>
          <w:sz w:val="22"/>
          <w:szCs w:val="22"/>
          <w:lang w:eastAsia="en-GB"/>
        </w:rPr>
        <w:t> gravidných</w:t>
      </w:r>
      <w:r w:rsidRPr="008F37E2">
        <w:rPr>
          <w:sz w:val="22"/>
          <w:szCs w:val="22"/>
        </w:rPr>
        <w:t xml:space="preserve"> žien.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</w:rPr>
        <w:lastRenderedPageBreak/>
        <w:t xml:space="preserve">Štúdie na </w:t>
      </w:r>
      <w:r w:rsidRPr="008F37E2">
        <w:rPr>
          <w:sz w:val="22"/>
          <w:szCs w:val="22"/>
          <w:lang w:eastAsia="en-GB"/>
        </w:rPr>
        <w:t>gravidných opiciach preukázali</w:t>
      </w:r>
      <w:r w:rsidRPr="008F37E2">
        <w:rPr>
          <w:sz w:val="22"/>
          <w:szCs w:val="22"/>
        </w:rPr>
        <w:t xml:space="preserve"> reprodukčnú toxicitu (pozri časť</w:t>
      </w:r>
      <w:r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</w:rPr>
        <w:t>5.3). Potenciálne riziko pre</w:t>
      </w:r>
      <w:r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</w:rPr>
        <w:t xml:space="preserve">ľudí nie je </w:t>
      </w:r>
      <w:r w:rsidRPr="008F37E2">
        <w:rPr>
          <w:sz w:val="22"/>
          <w:szCs w:val="22"/>
          <w:lang w:eastAsia="en-GB"/>
        </w:rPr>
        <w:t>známe</w:t>
      </w:r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</w:p>
    <w:p w:rsidR="006B1F10" w:rsidRPr="008F37E2" w:rsidRDefault="00AB5CE4" w:rsidP="00042517">
      <w:pPr>
        <w:rPr>
          <w:sz w:val="22"/>
          <w:szCs w:val="22"/>
        </w:rPr>
      </w:pPr>
      <w:proofErr w:type="spellStart"/>
      <w:r w:rsidRPr="00AB5CE4">
        <w:rPr>
          <w:sz w:val="22"/>
          <w:szCs w:val="22"/>
        </w:rPr>
        <w:t>Imipenem</w:t>
      </w:r>
      <w:proofErr w:type="spellEnd"/>
      <w:r w:rsidRPr="00AB5CE4">
        <w:rPr>
          <w:sz w:val="22"/>
          <w:szCs w:val="22"/>
        </w:rPr>
        <w:t>/</w:t>
      </w:r>
      <w:proofErr w:type="spellStart"/>
      <w:r w:rsidRPr="00AB5CE4">
        <w:rPr>
          <w:sz w:val="22"/>
          <w:szCs w:val="22"/>
        </w:rPr>
        <w:t>Cilastatin</w:t>
      </w:r>
      <w:proofErr w:type="spellEnd"/>
      <w:r w:rsidRPr="00AB5CE4">
        <w:rPr>
          <w:sz w:val="22"/>
          <w:szCs w:val="22"/>
        </w:rPr>
        <w:t xml:space="preserve"> </w:t>
      </w:r>
      <w:proofErr w:type="spellStart"/>
      <w:r w:rsidRPr="00AB5CE4">
        <w:rPr>
          <w:sz w:val="22"/>
          <w:szCs w:val="22"/>
        </w:rPr>
        <w:t>Kabi</w:t>
      </w:r>
      <w:proofErr w:type="spellEnd"/>
      <w:r w:rsidRPr="00AB5CE4">
        <w:rPr>
          <w:sz w:val="22"/>
          <w:szCs w:val="22"/>
        </w:rPr>
        <w:t xml:space="preserve"> </w:t>
      </w:r>
      <w:r w:rsidR="006B1F10" w:rsidRPr="008F37E2">
        <w:rPr>
          <w:sz w:val="22"/>
          <w:szCs w:val="22"/>
        </w:rPr>
        <w:t>sa nemá používať počas gravidity, pokiaľ potenciálny prínos liečby nepreváži nad možným rizikom pre plod.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F39BC" w:rsidP="00042517">
      <w:pPr>
        <w:keepNext/>
        <w:rPr>
          <w:sz w:val="22"/>
          <w:szCs w:val="22"/>
        </w:rPr>
      </w:pPr>
      <w:r>
        <w:rPr>
          <w:sz w:val="22"/>
          <w:szCs w:val="22"/>
          <w:u w:val="single"/>
        </w:rPr>
        <w:t>Dojčenie</w:t>
      </w:r>
    </w:p>
    <w:p w:rsidR="006B1F10" w:rsidRPr="008F37E2" w:rsidRDefault="006B1F10" w:rsidP="00042517">
      <w:pPr>
        <w:rPr>
          <w:sz w:val="22"/>
          <w:szCs w:val="22"/>
        </w:rPr>
      </w:pPr>
      <w:proofErr w:type="spellStart"/>
      <w:r w:rsidRPr="008F37E2">
        <w:rPr>
          <w:sz w:val="22"/>
          <w:szCs w:val="22"/>
        </w:rPr>
        <w:t>Imipeném</w:t>
      </w:r>
      <w:proofErr w:type="spellEnd"/>
      <w:r w:rsidRPr="008F37E2">
        <w:rPr>
          <w:sz w:val="22"/>
          <w:szCs w:val="22"/>
        </w:rPr>
        <w:t xml:space="preserve"> a </w:t>
      </w:r>
      <w:proofErr w:type="spellStart"/>
      <w:r w:rsidRPr="008F37E2">
        <w:rPr>
          <w:sz w:val="22"/>
          <w:szCs w:val="22"/>
        </w:rPr>
        <w:t>cilastatín</w:t>
      </w:r>
      <w:proofErr w:type="spellEnd"/>
      <w:r w:rsidRPr="008F37E2">
        <w:rPr>
          <w:sz w:val="22"/>
          <w:szCs w:val="22"/>
        </w:rPr>
        <w:t xml:space="preserve"> </w:t>
      </w:r>
      <w:r w:rsidRPr="008F37E2">
        <w:rPr>
          <w:sz w:val="22"/>
          <w:szCs w:val="22"/>
          <w:lang w:eastAsia="en-GB"/>
        </w:rPr>
        <w:t>sa</w:t>
      </w:r>
      <w:r w:rsidRPr="008F37E2">
        <w:rPr>
          <w:sz w:val="22"/>
          <w:szCs w:val="22"/>
        </w:rPr>
        <w:t xml:space="preserve"> v</w:t>
      </w:r>
      <w:r w:rsidRPr="008F37E2">
        <w:rPr>
          <w:sz w:val="22"/>
          <w:szCs w:val="22"/>
          <w:lang w:eastAsia="en-GB"/>
        </w:rPr>
        <w:t> malých množstvách vylučujú do materského mlieka. Po perorálnom podaní dochádza k nízkej absorpcii oboch liečiv. Preto je nepravdepodobné, že dojčatá budú vystavené významným množstvám.</w:t>
      </w:r>
      <w:r w:rsidRPr="008F37E2">
        <w:rPr>
          <w:sz w:val="22"/>
          <w:szCs w:val="22"/>
        </w:rPr>
        <w:t xml:space="preserve"> Ak sa </w:t>
      </w:r>
      <w:r w:rsidRPr="008F37E2">
        <w:rPr>
          <w:sz w:val="22"/>
          <w:szCs w:val="22"/>
          <w:lang w:eastAsia="en-GB"/>
        </w:rPr>
        <w:t xml:space="preserve">použitie </w:t>
      </w:r>
      <w:proofErr w:type="spellStart"/>
      <w:r w:rsidRPr="008F37E2">
        <w:rPr>
          <w:sz w:val="22"/>
          <w:szCs w:val="22"/>
          <w:lang w:eastAsia="en-GB"/>
        </w:rPr>
        <w:t>Imipenem</w:t>
      </w:r>
      <w:proofErr w:type="spellEnd"/>
      <w:r w:rsidRPr="008F37E2">
        <w:rPr>
          <w:sz w:val="22"/>
          <w:szCs w:val="22"/>
          <w:lang w:eastAsia="en-GB"/>
        </w:rPr>
        <w:t>/</w:t>
      </w:r>
      <w:proofErr w:type="spellStart"/>
      <w:r w:rsidRPr="008F37E2">
        <w:rPr>
          <w:sz w:val="22"/>
          <w:szCs w:val="22"/>
          <w:lang w:eastAsia="en-GB"/>
        </w:rPr>
        <w:t>Cilastatinu</w:t>
      </w:r>
      <w:proofErr w:type="spellEnd"/>
      <w:r w:rsidRPr="008F37E2">
        <w:rPr>
          <w:sz w:val="22"/>
          <w:szCs w:val="22"/>
          <w:lang w:eastAsia="en-GB"/>
        </w:rPr>
        <w:t xml:space="preserve"> </w:t>
      </w:r>
      <w:r w:rsidRPr="008F37E2">
        <w:rPr>
          <w:sz w:val="22"/>
          <w:szCs w:val="22"/>
        </w:rPr>
        <w:t xml:space="preserve">považuje za nevyhnutné, má </w:t>
      </w:r>
      <w:r w:rsidRPr="008F37E2">
        <w:rPr>
          <w:sz w:val="22"/>
          <w:szCs w:val="22"/>
          <w:lang w:eastAsia="en-GB"/>
        </w:rPr>
        <w:t>sa zvážiť prínos dojčenia pre dieťa oproti možnému riziku pre dieťa</w:t>
      </w:r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</w:rPr>
      </w:pPr>
      <w:proofErr w:type="spellStart"/>
      <w:r w:rsidRPr="008F37E2">
        <w:rPr>
          <w:sz w:val="22"/>
          <w:szCs w:val="22"/>
          <w:u w:val="single"/>
        </w:rPr>
        <w:t>Fertilita</w:t>
      </w:r>
      <w:proofErr w:type="spellEnd"/>
    </w:p>
    <w:p w:rsidR="006B1F10" w:rsidRPr="008F37E2" w:rsidRDefault="006B1F10" w:rsidP="00762ABD">
      <w:pPr>
        <w:keepNext/>
        <w:rPr>
          <w:sz w:val="22"/>
          <w:szCs w:val="22"/>
        </w:rPr>
      </w:pPr>
      <w:r w:rsidRPr="008F37E2">
        <w:rPr>
          <w:sz w:val="22"/>
          <w:szCs w:val="22"/>
          <w:lang w:eastAsia="en-GB"/>
        </w:rPr>
        <w:t xml:space="preserve">Nie sú k dispozícii údaje týkajúce sa možných účinkov liečby </w:t>
      </w:r>
      <w:proofErr w:type="spellStart"/>
      <w:r w:rsidRPr="008F37E2">
        <w:rPr>
          <w:sz w:val="22"/>
          <w:szCs w:val="22"/>
          <w:lang w:eastAsia="en-GB"/>
        </w:rPr>
        <w:t>imipenémom</w:t>
      </w:r>
      <w:proofErr w:type="spellEnd"/>
      <w:r w:rsidRPr="008F37E2">
        <w:rPr>
          <w:sz w:val="22"/>
          <w:szCs w:val="22"/>
          <w:lang w:eastAsia="en-GB"/>
        </w:rPr>
        <w:t>/</w:t>
      </w:r>
      <w:proofErr w:type="spellStart"/>
      <w:r w:rsidRPr="008F37E2">
        <w:rPr>
          <w:sz w:val="22"/>
          <w:szCs w:val="22"/>
          <w:lang w:eastAsia="en-GB"/>
        </w:rPr>
        <w:t>cilastatínom</w:t>
      </w:r>
      <w:proofErr w:type="spellEnd"/>
      <w:r w:rsidRPr="008F37E2">
        <w:rPr>
          <w:sz w:val="22"/>
          <w:szCs w:val="22"/>
          <w:lang w:eastAsia="en-GB"/>
        </w:rPr>
        <w:t xml:space="preserve"> na </w:t>
      </w:r>
      <w:proofErr w:type="spellStart"/>
      <w:r w:rsidRPr="008F37E2">
        <w:rPr>
          <w:sz w:val="22"/>
          <w:szCs w:val="22"/>
          <w:lang w:eastAsia="en-GB"/>
        </w:rPr>
        <w:t>fertilitu</w:t>
      </w:r>
      <w:proofErr w:type="spellEnd"/>
      <w:r w:rsidRPr="008F37E2">
        <w:rPr>
          <w:sz w:val="22"/>
          <w:szCs w:val="22"/>
          <w:lang w:eastAsia="en-GB"/>
        </w:rPr>
        <w:t xml:space="preserve"> mužov alebo žien.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4.7</w:t>
      </w:r>
      <w:r w:rsidRPr="008F37E2">
        <w:rPr>
          <w:b/>
          <w:sz w:val="22"/>
          <w:szCs w:val="22"/>
        </w:rPr>
        <w:tab/>
        <w:t>Ovplyvnenie schopnosti viesť vozidlá a</w:t>
      </w:r>
      <w:r w:rsidRPr="008F37E2">
        <w:rPr>
          <w:sz w:val="22"/>
          <w:szCs w:val="22"/>
        </w:rPr>
        <w:t> </w:t>
      </w:r>
      <w:r w:rsidRPr="008F37E2">
        <w:rPr>
          <w:b/>
          <w:sz w:val="22"/>
          <w:szCs w:val="22"/>
        </w:rPr>
        <w:t>obsluhovať stroje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413AC5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Neuskutočnili sa žiadne štúdie o účinkoch na schopnosť viesť vozidlá a obsluhovať stroje. S týmto liekom sú však spojené niektoré nežiaduce účinky </w:t>
      </w:r>
      <w:r w:rsidRPr="008F37E2">
        <w:rPr>
          <w:sz w:val="22"/>
          <w:szCs w:val="22"/>
          <w:lang w:eastAsia="en-GB"/>
        </w:rPr>
        <w:t xml:space="preserve">(ako halucinácie, závrat, </w:t>
      </w:r>
      <w:proofErr w:type="spellStart"/>
      <w:r w:rsidRPr="008F37E2">
        <w:rPr>
          <w:sz w:val="22"/>
          <w:szCs w:val="22"/>
          <w:lang w:eastAsia="en-GB"/>
        </w:rPr>
        <w:t>somnolencia</w:t>
      </w:r>
      <w:proofErr w:type="spellEnd"/>
      <w:r w:rsidRPr="008F37E2">
        <w:rPr>
          <w:sz w:val="22"/>
          <w:szCs w:val="22"/>
          <w:lang w:eastAsia="en-GB"/>
        </w:rPr>
        <w:t xml:space="preserve"> a </w:t>
      </w:r>
      <w:proofErr w:type="spellStart"/>
      <w:r w:rsidRPr="008F37E2">
        <w:rPr>
          <w:sz w:val="22"/>
          <w:szCs w:val="22"/>
          <w:lang w:eastAsia="en-GB"/>
        </w:rPr>
        <w:t>vertigo</w:t>
      </w:r>
      <w:proofErr w:type="spellEnd"/>
      <w:r w:rsidRPr="008F37E2">
        <w:rPr>
          <w:sz w:val="22"/>
          <w:szCs w:val="22"/>
          <w:lang w:eastAsia="en-GB"/>
        </w:rPr>
        <w:t>), ktoré môžu u niektorých pacientov ovplyvniť schopnosť viesť vozidlá alebo obsluhovať stroje (pozri časť 4.8).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b/>
          <w:sz w:val="22"/>
          <w:szCs w:val="22"/>
        </w:rPr>
      </w:pPr>
      <w:r w:rsidRPr="008F37E2">
        <w:rPr>
          <w:b/>
          <w:sz w:val="22"/>
          <w:szCs w:val="22"/>
        </w:rPr>
        <w:t>4.8</w:t>
      </w:r>
      <w:r w:rsidRPr="008F37E2">
        <w:rPr>
          <w:b/>
          <w:sz w:val="22"/>
          <w:szCs w:val="22"/>
        </w:rPr>
        <w:tab/>
        <w:t>Nežiaduce účinky</w:t>
      </w:r>
    </w:p>
    <w:p w:rsidR="006B1F10" w:rsidRPr="008F37E2" w:rsidRDefault="006B1F10" w:rsidP="00042517">
      <w:pPr>
        <w:keepNext/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</w:rPr>
      </w:pPr>
      <w:r w:rsidRPr="008F37E2">
        <w:rPr>
          <w:sz w:val="22"/>
          <w:szCs w:val="22"/>
        </w:rPr>
        <w:t xml:space="preserve">V klinických štúdiách zahŕňajúcich 1 723 pacientov liečených intravenóznym </w:t>
      </w:r>
      <w:proofErr w:type="spellStart"/>
      <w:r w:rsidRPr="008F37E2">
        <w:rPr>
          <w:sz w:val="22"/>
          <w:szCs w:val="22"/>
        </w:rPr>
        <w:t>imipenémom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cilastatínom</w:t>
      </w:r>
      <w:proofErr w:type="spellEnd"/>
      <w:r w:rsidRPr="008F37E2">
        <w:rPr>
          <w:sz w:val="22"/>
          <w:szCs w:val="22"/>
        </w:rPr>
        <w:t xml:space="preserve">, boli najčastejšie hlásenými systémovými nežiaducimi reakciami, ktoré boli hlásené aspoň ako možno súvisiace s liečbou, </w:t>
      </w:r>
      <w:proofErr w:type="spellStart"/>
      <w:r w:rsidRPr="008F37E2">
        <w:rPr>
          <w:sz w:val="22"/>
          <w:szCs w:val="22"/>
        </w:rPr>
        <w:t>nauzea</w:t>
      </w:r>
      <w:proofErr w:type="spellEnd"/>
      <w:r w:rsidRPr="008F37E2">
        <w:rPr>
          <w:sz w:val="22"/>
          <w:szCs w:val="22"/>
        </w:rPr>
        <w:t xml:space="preserve"> (2,0 %), hnačka (1,8 %), vracanie (1,5 %), vyrážka (0,9 %), horúčka (0,5 %), hypotenzia (0,4 %), záchvaty (0,4 %) (pozri časť 4.4), závrat (0,3 %), </w:t>
      </w:r>
      <w:proofErr w:type="spellStart"/>
      <w:r w:rsidRPr="008F37E2">
        <w:rPr>
          <w:sz w:val="22"/>
          <w:szCs w:val="22"/>
        </w:rPr>
        <w:t>pruritus</w:t>
      </w:r>
      <w:proofErr w:type="spellEnd"/>
      <w:r w:rsidRPr="008F37E2">
        <w:rPr>
          <w:sz w:val="22"/>
          <w:szCs w:val="22"/>
        </w:rPr>
        <w:t xml:space="preserve"> (0,3 %), </w:t>
      </w:r>
      <w:proofErr w:type="spellStart"/>
      <w:r w:rsidRPr="008F37E2">
        <w:rPr>
          <w:sz w:val="22"/>
          <w:szCs w:val="22"/>
        </w:rPr>
        <w:t>urtikária</w:t>
      </w:r>
      <w:proofErr w:type="spellEnd"/>
      <w:r w:rsidRPr="008F37E2">
        <w:rPr>
          <w:sz w:val="22"/>
          <w:szCs w:val="22"/>
        </w:rPr>
        <w:t xml:space="preserve"> (0,2 %), </w:t>
      </w:r>
      <w:proofErr w:type="spellStart"/>
      <w:r w:rsidRPr="008F37E2">
        <w:rPr>
          <w:sz w:val="22"/>
          <w:szCs w:val="22"/>
        </w:rPr>
        <w:t>somnolencia</w:t>
      </w:r>
      <w:proofErr w:type="spellEnd"/>
      <w:r w:rsidRPr="008F37E2">
        <w:rPr>
          <w:sz w:val="22"/>
          <w:szCs w:val="22"/>
        </w:rPr>
        <w:t xml:space="preserve"> (0,2 %). Podobne boli najčastejšie hlásenými lokálnymi nežiaducimi reakciami </w:t>
      </w:r>
      <w:proofErr w:type="spellStart"/>
      <w:r w:rsidRPr="008F37E2">
        <w:rPr>
          <w:sz w:val="22"/>
          <w:szCs w:val="22"/>
        </w:rPr>
        <w:t>flebitída</w:t>
      </w:r>
      <w:proofErr w:type="spellEnd"/>
      <w:r w:rsidRPr="008F37E2">
        <w:rPr>
          <w:sz w:val="22"/>
          <w:szCs w:val="22"/>
        </w:rPr>
        <w:t xml:space="preserve">/tromboflebitída (3,1 %), bolesť v mieste podania injekcie (0,7 %), </w:t>
      </w:r>
      <w:proofErr w:type="spellStart"/>
      <w:r w:rsidRPr="008F37E2">
        <w:rPr>
          <w:sz w:val="22"/>
          <w:szCs w:val="22"/>
        </w:rPr>
        <w:t>erytém</w:t>
      </w:r>
      <w:proofErr w:type="spellEnd"/>
      <w:r w:rsidRPr="008F37E2">
        <w:rPr>
          <w:sz w:val="22"/>
          <w:szCs w:val="22"/>
        </w:rPr>
        <w:t xml:space="preserve"> v mieste podania injekcie (0,4 %) a </w:t>
      </w:r>
      <w:proofErr w:type="spellStart"/>
      <w:r w:rsidRPr="008F37E2">
        <w:rPr>
          <w:sz w:val="22"/>
          <w:szCs w:val="22"/>
        </w:rPr>
        <w:t>indurácia</w:t>
      </w:r>
      <w:proofErr w:type="spellEnd"/>
      <w:r w:rsidRPr="008F37E2">
        <w:rPr>
          <w:sz w:val="22"/>
          <w:szCs w:val="22"/>
        </w:rPr>
        <w:t xml:space="preserve"> žily (0,2 %). Často hlásené boli tiež zvýšenia hladín sérových </w:t>
      </w:r>
      <w:proofErr w:type="spellStart"/>
      <w:r w:rsidRPr="008F37E2">
        <w:rPr>
          <w:sz w:val="22"/>
          <w:szCs w:val="22"/>
        </w:rPr>
        <w:t>transamináz</w:t>
      </w:r>
      <w:proofErr w:type="spellEnd"/>
      <w:r w:rsidRPr="008F37E2">
        <w:rPr>
          <w:sz w:val="22"/>
          <w:szCs w:val="22"/>
        </w:rPr>
        <w:t xml:space="preserve"> a alkalickej </w:t>
      </w:r>
      <w:proofErr w:type="spellStart"/>
      <w:r w:rsidRPr="008F37E2">
        <w:rPr>
          <w:sz w:val="22"/>
          <w:szCs w:val="22"/>
        </w:rPr>
        <w:t>fosfatázy</w:t>
      </w:r>
      <w:proofErr w:type="spellEnd"/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V klinických štúdiách </w:t>
      </w:r>
      <w:r w:rsidR="00813B81">
        <w:rPr>
          <w:sz w:val="22"/>
          <w:szCs w:val="22"/>
        </w:rPr>
        <w:t xml:space="preserve">alebo </w:t>
      </w:r>
      <w:r w:rsidRPr="008F37E2">
        <w:rPr>
          <w:sz w:val="22"/>
          <w:szCs w:val="22"/>
        </w:rPr>
        <w:t>po uvedení lieku na trh boli hlásené nasledujúce nežiaduce reakcie.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Všetky nežiaduce reakcie sú uvedené podľa triedy orgánových systémov a frekvencie: veľmi časté </w:t>
      </w:r>
      <w:r w:rsidRPr="008F37E2">
        <w:rPr>
          <w:sz w:val="22"/>
          <w:szCs w:val="22"/>
          <w:lang w:bidi="th-TH"/>
        </w:rPr>
        <w:t>(≥ </w:t>
      </w:r>
      <w:r w:rsidRPr="008F37E2">
        <w:rPr>
          <w:sz w:val="22"/>
          <w:szCs w:val="22"/>
        </w:rPr>
        <w:t>1/10</w:t>
      </w:r>
      <w:r w:rsidRPr="008F37E2">
        <w:rPr>
          <w:sz w:val="22"/>
          <w:szCs w:val="22"/>
          <w:lang w:bidi="th-TH"/>
        </w:rPr>
        <w:t>), časté (≥ </w:t>
      </w:r>
      <w:r w:rsidRPr="008F37E2">
        <w:rPr>
          <w:sz w:val="22"/>
          <w:szCs w:val="22"/>
        </w:rPr>
        <w:t>1/100 až &lt;</w:t>
      </w:r>
      <w:r w:rsidRPr="008F37E2">
        <w:rPr>
          <w:sz w:val="22"/>
          <w:szCs w:val="22"/>
          <w:lang w:bidi="th-TH"/>
        </w:rPr>
        <w:t> </w:t>
      </w:r>
      <w:r w:rsidRPr="008F37E2">
        <w:rPr>
          <w:sz w:val="22"/>
          <w:szCs w:val="22"/>
        </w:rPr>
        <w:t>1/10</w:t>
      </w:r>
      <w:r w:rsidRPr="008F37E2">
        <w:rPr>
          <w:sz w:val="22"/>
          <w:szCs w:val="22"/>
          <w:lang w:bidi="th-TH"/>
        </w:rPr>
        <w:t>), menej</w:t>
      </w:r>
      <w:r w:rsidRPr="008F37E2">
        <w:rPr>
          <w:sz w:val="22"/>
          <w:szCs w:val="22"/>
        </w:rPr>
        <w:t xml:space="preserve"> časté </w:t>
      </w:r>
      <w:r w:rsidRPr="008F37E2">
        <w:rPr>
          <w:sz w:val="22"/>
          <w:szCs w:val="22"/>
          <w:lang w:bidi="th-TH"/>
        </w:rPr>
        <w:t>(≥ </w:t>
      </w:r>
      <w:r w:rsidRPr="008F37E2">
        <w:rPr>
          <w:sz w:val="22"/>
          <w:szCs w:val="22"/>
        </w:rPr>
        <w:t>1/1 000 až &lt;</w:t>
      </w:r>
      <w:r w:rsidRPr="008F37E2">
        <w:rPr>
          <w:sz w:val="22"/>
          <w:szCs w:val="22"/>
          <w:lang w:bidi="th-TH"/>
        </w:rPr>
        <w:t> </w:t>
      </w:r>
      <w:r w:rsidRPr="008F37E2">
        <w:rPr>
          <w:sz w:val="22"/>
          <w:szCs w:val="22"/>
        </w:rPr>
        <w:t>1/</w:t>
      </w:r>
      <w:r w:rsidRPr="008F37E2">
        <w:rPr>
          <w:sz w:val="22"/>
          <w:szCs w:val="22"/>
          <w:lang w:bidi="th-TH"/>
        </w:rPr>
        <w:t>100),</w:t>
      </w:r>
      <w:r w:rsidRPr="008F37E2">
        <w:rPr>
          <w:sz w:val="22"/>
          <w:szCs w:val="22"/>
        </w:rPr>
        <w:t xml:space="preserve"> zriedkavé </w:t>
      </w:r>
      <w:r w:rsidRPr="008F37E2">
        <w:rPr>
          <w:sz w:val="22"/>
          <w:szCs w:val="22"/>
          <w:lang w:bidi="th-TH"/>
        </w:rPr>
        <w:t>(≥ 1/10</w:t>
      </w:r>
      <w:r w:rsidRPr="008F37E2">
        <w:rPr>
          <w:sz w:val="22"/>
          <w:szCs w:val="22"/>
        </w:rPr>
        <w:t> </w:t>
      </w:r>
      <w:r w:rsidRPr="008F37E2">
        <w:rPr>
          <w:sz w:val="22"/>
          <w:szCs w:val="22"/>
          <w:lang w:bidi="th-TH"/>
        </w:rPr>
        <w:t>000 až &lt; 1/1</w:t>
      </w:r>
      <w:r w:rsidRPr="008F37E2">
        <w:rPr>
          <w:sz w:val="22"/>
          <w:szCs w:val="22"/>
        </w:rPr>
        <w:t> </w:t>
      </w:r>
      <w:r w:rsidRPr="008F37E2">
        <w:rPr>
          <w:sz w:val="22"/>
          <w:szCs w:val="22"/>
          <w:lang w:bidi="th-TH"/>
        </w:rPr>
        <w:t>000), veľmi zriedkavé (&lt; </w:t>
      </w:r>
      <w:r w:rsidRPr="008F37E2">
        <w:rPr>
          <w:sz w:val="22"/>
          <w:szCs w:val="22"/>
        </w:rPr>
        <w:t>1/10 000</w:t>
      </w:r>
      <w:r w:rsidRPr="008F37E2">
        <w:rPr>
          <w:sz w:val="22"/>
          <w:szCs w:val="22"/>
          <w:lang w:bidi="th-TH"/>
        </w:rPr>
        <w:t>) a neznáme</w:t>
      </w:r>
      <w:r w:rsidRPr="008F37E2">
        <w:rPr>
          <w:sz w:val="22"/>
          <w:szCs w:val="22"/>
        </w:rPr>
        <w:t xml:space="preserve"> (z dostupných údajov).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V rámci jednotlivých skupín frekvencií sú nežiaduce účinky usporiadané v poradí klesajúcej závažnosti.</w:t>
      </w:r>
    </w:p>
    <w:p w:rsidR="006B1F10" w:rsidRPr="008F37E2" w:rsidRDefault="006B1F10" w:rsidP="00762AB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3"/>
        <w:gridCol w:w="1898"/>
        <w:gridCol w:w="4355"/>
      </w:tblGrid>
      <w:tr w:rsidR="006B1F10" w:rsidRPr="008F37E2" w:rsidTr="00D31D77">
        <w:trPr>
          <w:cantSplit/>
          <w:tblHeader/>
        </w:trPr>
        <w:tc>
          <w:tcPr>
            <w:tcW w:w="1633" w:type="pct"/>
            <w:tcBorders>
              <w:left w:val="nil"/>
              <w:right w:val="nil"/>
            </w:tcBorders>
          </w:tcPr>
          <w:p w:rsidR="006B1F10" w:rsidRPr="008F37E2" w:rsidRDefault="006B1F10" w:rsidP="00D31D77">
            <w:pPr>
              <w:keepNext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bidi="th-TH"/>
              </w:rPr>
            </w:pPr>
            <w:r w:rsidRPr="008F37E2">
              <w:rPr>
                <w:b/>
                <w:bCs/>
                <w:sz w:val="22"/>
                <w:szCs w:val="22"/>
                <w:lang w:bidi="th-TH"/>
              </w:rPr>
              <w:t>Trieda orgánových systémov</w:t>
            </w:r>
          </w:p>
        </w:tc>
        <w:tc>
          <w:tcPr>
            <w:tcW w:w="1022" w:type="pct"/>
            <w:tcBorders>
              <w:left w:val="nil"/>
              <w:right w:val="nil"/>
            </w:tcBorders>
          </w:tcPr>
          <w:p w:rsidR="006B1F10" w:rsidRPr="008F37E2" w:rsidRDefault="006B1F10" w:rsidP="00D31D77">
            <w:pPr>
              <w:keepNext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bidi="th-TH"/>
              </w:rPr>
            </w:pPr>
            <w:r w:rsidRPr="008F37E2">
              <w:rPr>
                <w:b/>
                <w:bCs/>
                <w:sz w:val="22"/>
                <w:szCs w:val="22"/>
                <w:lang w:bidi="th-TH"/>
              </w:rPr>
              <w:t>Frekvencia</w:t>
            </w:r>
          </w:p>
        </w:tc>
        <w:tc>
          <w:tcPr>
            <w:tcW w:w="2345" w:type="pct"/>
            <w:tcBorders>
              <w:left w:val="nil"/>
              <w:right w:val="nil"/>
            </w:tcBorders>
          </w:tcPr>
          <w:p w:rsidR="006B1F10" w:rsidRPr="008F37E2" w:rsidRDefault="006B1F10" w:rsidP="00D31D77">
            <w:pPr>
              <w:keepNext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bidi="th-TH"/>
              </w:rPr>
            </w:pPr>
            <w:r w:rsidRPr="008F37E2">
              <w:rPr>
                <w:b/>
                <w:bCs/>
                <w:sz w:val="22"/>
                <w:szCs w:val="22"/>
                <w:lang w:bidi="th-TH"/>
              </w:rPr>
              <w:t>Udalosť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 w:val="restart"/>
            <w:tcBorders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keepNext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Infekcie a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nákazy</w:t>
            </w:r>
          </w:p>
        </w:tc>
        <w:tc>
          <w:tcPr>
            <w:tcW w:w="1022" w:type="pct"/>
            <w:tcBorders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keepNext/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Zriedkavé</w:t>
            </w:r>
          </w:p>
        </w:tc>
        <w:tc>
          <w:tcPr>
            <w:tcW w:w="2345" w:type="pct"/>
            <w:tcBorders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proofErr w:type="spellStart"/>
            <w:r w:rsidRPr="008F37E2">
              <w:rPr>
                <w:sz w:val="22"/>
                <w:szCs w:val="22"/>
                <w:lang w:bidi="th-TH"/>
              </w:rPr>
              <w:t>pseudomembranózna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kolitída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kandidóza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keepNext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keepNext/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F37E2">
              <w:rPr>
                <w:sz w:val="22"/>
                <w:szCs w:val="22"/>
              </w:rPr>
              <w:t>gastroenteritída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 w:val="restart"/>
            <w:tcBorders>
              <w:top w:val="nil"/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krvi a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lymfatického systému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Časté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proofErr w:type="spellStart"/>
            <w:r w:rsidRPr="008F37E2">
              <w:rPr>
                <w:sz w:val="22"/>
                <w:szCs w:val="22"/>
                <w:lang w:bidi="th-TH"/>
              </w:rPr>
              <w:t>eozinofília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Menej časté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proofErr w:type="spellStart"/>
            <w:r w:rsidRPr="008F37E2">
              <w:rPr>
                <w:sz w:val="22"/>
                <w:szCs w:val="22"/>
                <w:lang w:bidi="th-TH"/>
              </w:rPr>
              <w:t>pancytopénia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neutropénia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leukopénia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trombocytopénia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trombocytóza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proofErr w:type="spellStart"/>
            <w:r w:rsidRPr="008F37E2">
              <w:rPr>
                <w:sz w:val="22"/>
                <w:szCs w:val="22"/>
                <w:lang w:bidi="th-TH"/>
              </w:rPr>
              <w:t>agranulocytóza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rPr>
                <w:sz w:val="22"/>
                <w:szCs w:val="22"/>
              </w:rPr>
            </w:pPr>
            <w:proofErr w:type="spellStart"/>
            <w:r w:rsidRPr="008F37E2">
              <w:rPr>
                <w:sz w:val="22"/>
                <w:szCs w:val="22"/>
              </w:rPr>
              <w:t>hemolytická</w:t>
            </w:r>
            <w:proofErr w:type="spellEnd"/>
            <w:r w:rsidRPr="008F37E2">
              <w:rPr>
                <w:sz w:val="22"/>
                <w:szCs w:val="22"/>
              </w:rPr>
              <w:t xml:space="preserve"> anémia, útlm kostnej drene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imunitného systému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proofErr w:type="spellStart"/>
            <w:r w:rsidRPr="008F37E2">
              <w:rPr>
                <w:sz w:val="22"/>
                <w:szCs w:val="22"/>
                <w:lang w:bidi="th-TH"/>
              </w:rPr>
              <w:t>anafylaktické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reakcie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Psychické poruchy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Menej časté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psychické poruchy vrátane halucinácií a stavov zmätenosti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 w:val="restart"/>
            <w:tcBorders>
              <w:top w:val="nil"/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nervového systému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Menej časté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ind w:left="31" w:hanging="31"/>
              <w:rPr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 xml:space="preserve">záchvaty,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myoklonická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aktivita, závrat,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somnolencia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rPr>
                <w:sz w:val="22"/>
                <w:szCs w:val="22"/>
              </w:rPr>
            </w:pPr>
            <w:proofErr w:type="spellStart"/>
            <w:r w:rsidRPr="008F37E2">
              <w:rPr>
                <w:sz w:val="22"/>
                <w:szCs w:val="22"/>
                <w:lang w:bidi="th-TH"/>
              </w:rPr>
              <w:t>encefalopatia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parestézia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fokálny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tremor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>, porucha vnímania chuti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ED67EF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ED67EF">
              <w:rPr>
                <w:bCs/>
                <w:sz w:val="22"/>
                <w:szCs w:val="22"/>
                <w:lang w:bidi="th-TH"/>
              </w:rPr>
              <w:t>Veľmi zriedkavé</w:t>
            </w:r>
          </w:p>
          <w:p w:rsidR="002D1D98" w:rsidRPr="00ED67EF" w:rsidDel="00272A53" w:rsidRDefault="00ED67EF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proofErr w:type="spellStart"/>
            <w:r w:rsidRPr="00ED67EF">
              <w:rPr>
                <w:bCs/>
                <w:sz w:val="22"/>
                <w:szCs w:val="22"/>
                <w:lang w:val="de-DE" w:bidi="th-TH"/>
              </w:rPr>
              <w:t>Neznáme</w:t>
            </w:r>
            <w:proofErr w:type="spellEnd"/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ED67EF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67EF">
              <w:rPr>
                <w:sz w:val="22"/>
                <w:szCs w:val="22"/>
              </w:rPr>
              <w:t xml:space="preserve">zhoršenie </w:t>
            </w:r>
            <w:proofErr w:type="spellStart"/>
            <w:r w:rsidRPr="00ED67EF">
              <w:rPr>
                <w:sz w:val="22"/>
                <w:szCs w:val="22"/>
              </w:rPr>
              <w:t>myasténie</w:t>
            </w:r>
            <w:proofErr w:type="spellEnd"/>
            <w:r w:rsidRPr="00ED67EF">
              <w:rPr>
                <w:sz w:val="22"/>
                <w:szCs w:val="22"/>
              </w:rPr>
              <w:t xml:space="preserve"> </w:t>
            </w:r>
            <w:proofErr w:type="spellStart"/>
            <w:r w:rsidRPr="00ED67EF">
              <w:rPr>
                <w:sz w:val="22"/>
                <w:szCs w:val="22"/>
              </w:rPr>
              <w:t>gravis</w:t>
            </w:r>
            <w:proofErr w:type="spellEnd"/>
            <w:r w:rsidRPr="00ED67EF">
              <w:rPr>
                <w:sz w:val="22"/>
                <w:szCs w:val="22"/>
              </w:rPr>
              <w:t>, bolesť hlavy</w:t>
            </w:r>
          </w:p>
          <w:p w:rsidR="002D1D98" w:rsidRPr="00ED67EF" w:rsidRDefault="00AB5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B5CE4">
              <w:rPr>
                <w:sz w:val="22"/>
                <w:szCs w:val="22"/>
                <w:lang w:val="de-DE"/>
              </w:rPr>
              <w:t>agitovanosť</w:t>
            </w:r>
            <w:proofErr w:type="spellEnd"/>
            <w:r w:rsidR="002D1D98" w:rsidRPr="00ED67EF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="002D1D98" w:rsidRPr="00ED67EF">
              <w:rPr>
                <w:sz w:val="22"/>
                <w:szCs w:val="22"/>
                <w:lang w:val="de-DE"/>
              </w:rPr>
              <w:t>d</w:t>
            </w:r>
            <w:r w:rsidRPr="00AB5CE4">
              <w:rPr>
                <w:sz w:val="22"/>
                <w:szCs w:val="22"/>
                <w:lang w:val="de-DE"/>
              </w:rPr>
              <w:t>yskinéz</w:t>
            </w:r>
            <w:r w:rsidR="002D1D98" w:rsidRPr="00ED67EF">
              <w:rPr>
                <w:sz w:val="22"/>
                <w:szCs w:val="22"/>
                <w:lang w:val="de-DE"/>
              </w:rPr>
              <w:t>a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ucha a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labyrintu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strata sluchu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rPr>
                <w:sz w:val="22"/>
                <w:szCs w:val="22"/>
              </w:rPr>
            </w:pPr>
            <w:proofErr w:type="spellStart"/>
            <w:r w:rsidRPr="008F37E2">
              <w:rPr>
                <w:sz w:val="22"/>
                <w:szCs w:val="22"/>
              </w:rPr>
              <w:t>vertigo</w:t>
            </w:r>
            <w:proofErr w:type="spellEnd"/>
            <w:r w:rsidRPr="008F37E2">
              <w:rPr>
                <w:sz w:val="22"/>
                <w:szCs w:val="22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</w:rPr>
              <w:t>tinitus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srdca a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srdcovej činnosti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rPr>
                <w:sz w:val="22"/>
                <w:szCs w:val="22"/>
              </w:rPr>
            </w:pPr>
            <w:proofErr w:type="spellStart"/>
            <w:r w:rsidRPr="008F37E2">
              <w:rPr>
                <w:sz w:val="22"/>
                <w:szCs w:val="22"/>
              </w:rPr>
              <w:t>cyanóza</w:t>
            </w:r>
            <w:proofErr w:type="spellEnd"/>
            <w:r w:rsidRPr="008F37E2">
              <w:rPr>
                <w:sz w:val="22"/>
                <w:szCs w:val="22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</w:rPr>
              <w:t>tachykardia</w:t>
            </w:r>
            <w:proofErr w:type="spellEnd"/>
            <w:r w:rsidRPr="008F37E2">
              <w:rPr>
                <w:sz w:val="22"/>
                <w:szCs w:val="22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</w:rPr>
              <w:t>palpitácie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 w:val="restart"/>
            <w:tcBorders>
              <w:top w:val="nil"/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ciev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Časté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tromboflebitída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Menej časté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rPr>
                <w:sz w:val="22"/>
                <w:szCs w:val="22"/>
              </w:rPr>
            </w:pPr>
            <w:r w:rsidRPr="008F37E2">
              <w:rPr>
                <w:sz w:val="22"/>
                <w:szCs w:val="22"/>
              </w:rPr>
              <w:t>hypotenzia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Del="00272A53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rPr>
                <w:sz w:val="22"/>
                <w:szCs w:val="22"/>
              </w:rPr>
            </w:pPr>
            <w:r w:rsidRPr="008F37E2">
              <w:rPr>
                <w:sz w:val="22"/>
                <w:szCs w:val="22"/>
              </w:rPr>
              <w:t>návaly horúčavy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dýchacej sústavy, hrudníka a</w:t>
            </w:r>
            <w:r w:rsidRPr="008F37E2">
              <w:rPr>
                <w:szCs w:val="22"/>
                <w:lang w:val="sk-SK"/>
              </w:rPr>
              <w:t> </w:t>
            </w:r>
            <w:proofErr w:type="spellStart"/>
            <w:r w:rsidRPr="008F37E2">
              <w:rPr>
                <w:b w:val="0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rPr>
                <w:sz w:val="22"/>
                <w:szCs w:val="22"/>
              </w:rPr>
            </w:pPr>
            <w:proofErr w:type="spellStart"/>
            <w:r w:rsidRPr="008F37E2">
              <w:rPr>
                <w:sz w:val="22"/>
                <w:szCs w:val="22"/>
              </w:rPr>
              <w:t>dyspnoe</w:t>
            </w:r>
            <w:proofErr w:type="spellEnd"/>
            <w:r w:rsidRPr="008F37E2">
              <w:rPr>
                <w:sz w:val="22"/>
                <w:szCs w:val="22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</w:rPr>
              <w:t>hyperventilácia</w:t>
            </w:r>
            <w:proofErr w:type="spellEnd"/>
            <w:r w:rsidRPr="008F37E2">
              <w:rPr>
                <w:sz w:val="22"/>
                <w:szCs w:val="22"/>
              </w:rPr>
              <w:t>, bolesť hltanu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 w:val="restart"/>
            <w:tcBorders>
              <w:top w:val="nil"/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 xml:space="preserve">Poruchy </w:t>
            </w:r>
            <w:proofErr w:type="spellStart"/>
            <w:r w:rsidRPr="008F37E2">
              <w:rPr>
                <w:b w:val="0"/>
                <w:szCs w:val="22"/>
                <w:lang w:val="sk-SK"/>
              </w:rPr>
              <w:t>gastrointestinálneho</w:t>
            </w:r>
            <w:proofErr w:type="spellEnd"/>
            <w:r w:rsidRPr="008F37E2">
              <w:rPr>
                <w:b w:val="0"/>
                <w:szCs w:val="22"/>
                <w:lang w:val="sk-SK"/>
              </w:rPr>
              <w:t xml:space="preserve"> traktu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Časté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 xml:space="preserve">hnačka, vracanie,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nauzea</w:t>
            </w:r>
            <w:proofErr w:type="spellEnd"/>
          </w:p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</w:rPr>
              <w:t xml:space="preserve">Zdá sa, že u pacientov liečených liekom </w:t>
            </w:r>
            <w:proofErr w:type="spellStart"/>
            <w:r w:rsidRPr="008F37E2">
              <w:rPr>
                <w:sz w:val="22"/>
                <w:szCs w:val="22"/>
              </w:rPr>
              <w:t>Imipenem</w:t>
            </w:r>
            <w:proofErr w:type="spellEnd"/>
            <w:r w:rsidRPr="008F37E2">
              <w:rPr>
                <w:sz w:val="22"/>
                <w:szCs w:val="22"/>
              </w:rPr>
              <w:t>/</w:t>
            </w:r>
            <w:proofErr w:type="spellStart"/>
            <w:r w:rsidRPr="008F37E2">
              <w:rPr>
                <w:sz w:val="22"/>
                <w:szCs w:val="22"/>
              </w:rPr>
              <w:t>Cilastatin</w:t>
            </w:r>
            <w:proofErr w:type="spellEnd"/>
            <w:r w:rsidRPr="008F37E2">
              <w:rPr>
                <w:sz w:val="22"/>
                <w:szCs w:val="22"/>
              </w:rPr>
              <w:t xml:space="preserve"> sa </w:t>
            </w:r>
            <w:proofErr w:type="spellStart"/>
            <w:r w:rsidRPr="008F37E2">
              <w:rPr>
                <w:sz w:val="22"/>
                <w:szCs w:val="22"/>
              </w:rPr>
              <w:t>nauzea</w:t>
            </w:r>
            <w:proofErr w:type="spellEnd"/>
            <w:r w:rsidRPr="008F37E2">
              <w:rPr>
                <w:sz w:val="22"/>
                <w:szCs w:val="22"/>
              </w:rPr>
              <w:t xml:space="preserve"> a/alebo vracanie súvisiace s liekom častejšie vyskytujú u pacientov </w:t>
            </w:r>
            <w:r w:rsidRPr="008F37E2">
              <w:rPr>
                <w:sz w:val="22"/>
                <w:szCs w:val="22"/>
                <w:lang w:eastAsia="en-GB"/>
              </w:rPr>
              <w:t>s </w:t>
            </w:r>
            <w:proofErr w:type="spellStart"/>
            <w:r w:rsidRPr="008F37E2">
              <w:rPr>
                <w:sz w:val="22"/>
                <w:szCs w:val="22"/>
              </w:rPr>
              <w:t>granulocytopéni</w:t>
            </w:r>
            <w:r w:rsidR="00813B81">
              <w:rPr>
                <w:sz w:val="22"/>
                <w:szCs w:val="22"/>
              </w:rPr>
              <w:t>ou</w:t>
            </w:r>
            <w:proofErr w:type="spellEnd"/>
            <w:r w:rsidRPr="008F37E2">
              <w:rPr>
                <w:sz w:val="22"/>
                <w:szCs w:val="22"/>
              </w:rPr>
              <w:t xml:space="preserve"> ako u pacientov bez </w:t>
            </w:r>
            <w:proofErr w:type="spellStart"/>
            <w:r w:rsidRPr="008F37E2">
              <w:rPr>
                <w:sz w:val="22"/>
                <w:szCs w:val="22"/>
              </w:rPr>
              <w:t>granulocytopénie</w:t>
            </w:r>
            <w:proofErr w:type="spellEnd"/>
            <w:r w:rsidRPr="008F37E2">
              <w:rPr>
                <w:sz w:val="22"/>
                <w:szCs w:val="22"/>
              </w:rPr>
              <w:t>.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zafarbenie zubov a/alebo jazyka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rPr>
                <w:sz w:val="22"/>
                <w:szCs w:val="22"/>
              </w:rPr>
            </w:pPr>
            <w:proofErr w:type="spellStart"/>
            <w:r w:rsidRPr="008F37E2">
              <w:rPr>
                <w:sz w:val="22"/>
                <w:szCs w:val="22"/>
              </w:rPr>
              <w:t>hemoragická</w:t>
            </w:r>
            <w:proofErr w:type="spellEnd"/>
            <w:r w:rsidRPr="008F37E2">
              <w:rPr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</w:rPr>
              <w:t>kolitída</w:t>
            </w:r>
            <w:proofErr w:type="spellEnd"/>
            <w:r w:rsidRPr="008F37E2">
              <w:rPr>
                <w:sz w:val="22"/>
                <w:szCs w:val="22"/>
              </w:rPr>
              <w:t xml:space="preserve">, bolesť brucha, pálenie záhy, </w:t>
            </w:r>
            <w:proofErr w:type="spellStart"/>
            <w:r w:rsidRPr="008F37E2">
              <w:rPr>
                <w:sz w:val="22"/>
                <w:szCs w:val="22"/>
              </w:rPr>
              <w:t>glositída</w:t>
            </w:r>
            <w:proofErr w:type="spellEnd"/>
            <w:r w:rsidRPr="008F37E2">
              <w:rPr>
                <w:sz w:val="22"/>
                <w:szCs w:val="22"/>
              </w:rPr>
              <w:t>, hypertrofia jazykových papíl, zvýšenie slinenia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 w:val="restart"/>
            <w:tcBorders>
              <w:top w:val="nil"/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pečene a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žlčových ciest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zlyhávanie pečene, hepatitída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fulminantná hepatitída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 w:val="restart"/>
            <w:tcBorders>
              <w:top w:val="nil"/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kože a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podkožného tkaniva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Časté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 xml:space="preserve">vyrážka (napr.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exantematózna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>)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Menej časté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proofErr w:type="spellStart"/>
            <w:r w:rsidRPr="008F37E2">
              <w:rPr>
                <w:sz w:val="22"/>
                <w:szCs w:val="22"/>
                <w:lang w:bidi="th-TH"/>
              </w:rPr>
              <w:t>urtikária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pruritus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 xml:space="preserve">toxická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epidermálna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nekrolýza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angioedém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Stevensov-Johnsonov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syndróm,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multiformný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erytém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exfoliatívna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dermatitída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rPr>
                <w:sz w:val="22"/>
                <w:szCs w:val="22"/>
              </w:rPr>
            </w:pPr>
            <w:proofErr w:type="spellStart"/>
            <w:r w:rsidRPr="008F37E2">
              <w:rPr>
                <w:sz w:val="22"/>
                <w:szCs w:val="22"/>
              </w:rPr>
              <w:t>hyperhidróza</w:t>
            </w:r>
            <w:proofErr w:type="spellEnd"/>
            <w:r w:rsidRPr="008F37E2">
              <w:rPr>
                <w:sz w:val="22"/>
                <w:szCs w:val="22"/>
              </w:rPr>
              <w:t>, zmeny textúry kože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kostrovej a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svalovej sústavy a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spojivového tkaniva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rPr>
                <w:sz w:val="22"/>
                <w:szCs w:val="22"/>
              </w:rPr>
            </w:pPr>
            <w:proofErr w:type="spellStart"/>
            <w:r w:rsidRPr="008F37E2">
              <w:rPr>
                <w:sz w:val="22"/>
                <w:szCs w:val="22"/>
              </w:rPr>
              <w:t>polyartralgia</w:t>
            </w:r>
            <w:proofErr w:type="spellEnd"/>
            <w:r w:rsidRPr="008F37E2">
              <w:rPr>
                <w:sz w:val="22"/>
                <w:szCs w:val="22"/>
              </w:rPr>
              <w:t xml:space="preserve">, bolesť </w:t>
            </w:r>
            <w:proofErr w:type="spellStart"/>
            <w:r w:rsidRPr="008F37E2">
              <w:rPr>
                <w:sz w:val="22"/>
                <w:szCs w:val="22"/>
              </w:rPr>
              <w:t>torakálnej</w:t>
            </w:r>
            <w:proofErr w:type="spellEnd"/>
            <w:r w:rsidRPr="008F37E2">
              <w:rPr>
                <w:sz w:val="22"/>
                <w:szCs w:val="22"/>
              </w:rPr>
              <w:t xml:space="preserve"> časti chrbtice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obličiek a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močových ciest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 xml:space="preserve">akútne zlyhávanie obličiek,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oligúria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>/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anúria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polyúria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>, zmena sfarbenia moču (neškodné a</w:t>
            </w:r>
            <w:r w:rsidRPr="008F37E2">
              <w:rPr>
                <w:sz w:val="22"/>
                <w:szCs w:val="22"/>
              </w:rPr>
              <w:t> </w:t>
            </w:r>
            <w:r w:rsidRPr="008F37E2">
              <w:rPr>
                <w:sz w:val="22"/>
                <w:szCs w:val="22"/>
                <w:lang w:bidi="th-TH"/>
              </w:rPr>
              <w:t>nemá sa zameniť s</w:t>
            </w:r>
            <w:r w:rsidRPr="008F37E2">
              <w:rPr>
                <w:sz w:val="22"/>
                <w:szCs w:val="22"/>
              </w:rPr>
              <w:t> 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hematúriou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>)</w:t>
            </w:r>
          </w:p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</w:rPr>
              <w:t>Pretože boli zvyčajne prítomné faktory predisponujúce k </w:t>
            </w:r>
            <w:proofErr w:type="spellStart"/>
            <w:r w:rsidRPr="008F37E2">
              <w:rPr>
                <w:sz w:val="22"/>
                <w:szCs w:val="22"/>
              </w:rPr>
              <w:t>prerenálnej</w:t>
            </w:r>
            <w:proofErr w:type="spellEnd"/>
            <w:r w:rsidRPr="008F37E2">
              <w:rPr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</w:rPr>
              <w:t>azotémii</w:t>
            </w:r>
            <w:proofErr w:type="spellEnd"/>
            <w:r w:rsidRPr="008F37E2">
              <w:rPr>
                <w:sz w:val="22"/>
                <w:szCs w:val="22"/>
              </w:rPr>
              <w:t xml:space="preserve"> alebo poruche funkcie obličiek, úlohu </w:t>
            </w:r>
            <w:proofErr w:type="spellStart"/>
            <w:r w:rsidRPr="008F37E2">
              <w:rPr>
                <w:sz w:val="22"/>
                <w:szCs w:val="22"/>
              </w:rPr>
              <w:t>Imipenem</w:t>
            </w:r>
            <w:proofErr w:type="spellEnd"/>
            <w:r w:rsidRPr="008F37E2">
              <w:rPr>
                <w:sz w:val="22"/>
                <w:szCs w:val="22"/>
              </w:rPr>
              <w:t>/</w:t>
            </w:r>
            <w:proofErr w:type="spellStart"/>
            <w:r w:rsidRPr="008F37E2">
              <w:rPr>
                <w:sz w:val="22"/>
                <w:szCs w:val="22"/>
              </w:rPr>
              <w:t>Cilastatinu</w:t>
            </w:r>
            <w:proofErr w:type="spellEnd"/>
            <w:r w:rsidRPr="008F37E2">
              <w:rPr>
                <w:sz w:val="22"/>
                <w:szCs w:val="22"/>
              </w:rPr>
              <w:t xml:space="preserve"> v zmenách funkcie obličiek je ťažké stanoviť.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Poruchy reprodukčného systému a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prsníkov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</w:rPr>
              <w:t xml:space="preserve">svrbenie </w:t>
            </w:r>
            <w:proofErr w:type="spellStart"/>
            <w:r w:rsidRPr="008F37E2">
              <w:rPr>
                <w:sz w:val="22"/>
                <w:szCs w:val="22"/>
              </w:rPr>
              <w:t>vulvy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 w:val="restart"/>
            <w:tcBorders>
              <w:top w:val="nil"/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Celkové poruchy a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reakcie v</w:t>
            </w:r>
            <w:r w:rsidRPr="008F37E2">
              <w:rPr>
                <w:szCs w:val="22"/>
                <w:lang w:val="sk-SK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mieste podania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Menej časté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horúčka, lokálna bolesť a 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indurácia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v mieste podania injekcie,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erytém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v mieste podania injekcie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bCs/>
                <w:sz w:val="22"/>
                <w:szCs w:val="22"/>
                <w:lang w:bidi="th-TH"/>
              </w:rPr>
              <w:t>Veľmi zriedkavé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rPr>
                <w:sz w:val="22"/>
                <w:szCs w:val="22"/>
              </w:rPr>
            </w:pPr>
            <w:r w:rsidRPr="008F37E2">
              <w:rPr>
                <w:sz w:val="22"/>
                <w:szCs w:val="22"/>
              </w:rPr>
              <w:t>nepríjemné pocity na hrudníku, asténia/slabosť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 w:val="restart"/>
            <w:tcBorders>
              <w:top w:val="nil"/>
              <w:left w:val="nil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8F37E2">
              <w:rPr>
                <w:b w:val="0"/>
                <w:szCs w:val="22"/>
                <w:lang w:val="sk-SK"/>
              </w:rPr>
              <w:t>Laboratórne a</w:t>
            </w:r>
            <w:r w:rsidRPr="008F37E2">
              <w:rPr>
                <w:szCs w:val="22"/>
                <w:lang w:val="sk-SK" w:bidi="th-TH"/>
              </w:rPr>
              <w:t> </w:t>
            </w:r>
            <w:r w:rsidRPr="008F37E2">
              <w:rPr>
                <w:b w:val="0"/>
                <w:szCs w:val="22"/>
                <w:lang w:val="sk-SK"/>
              </w:rPr>
              <w:t>funkčné vyšetrenia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Časté</w:t>
            </w:r>
          </w:p>
        </w:tc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 xml:space="preserve">zvýšenie hladín sérových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transamináz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zvýšenie hladín alkalickej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fosfatázy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v sére</w:t>
            </w:r>
          </w:p>
        </w:tc>
      </w:tr>
      <w:tr w:rsidR="006B1F10" w:rsidRPr="008F37E2" w:rsidTr="00D31D77">
        <w:trPr>
          <w:cantSplit/>
        </w:trPr>
        <w:tc>
          <w:tcPr>
            <w:tcW w:w="1633" w:type="pct"/>
            <w:vMerge/>
            <w:tcBorders>
              <w:left w:val="nil"/>
              <w:bottom w:val="single" w:sz="6" w:space="0" w:color="000000"/>
              <w:right w:val="nil"/>
            </w:tcBorders>
          </w:tcPr>
          <w:p w:rsidR="006B1F10" w:rsidRPr="008F37E2" w:rsidRDefault="006B1F10" w:rsidP="00D31D77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>Menej časté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1F10" w:rsidRPr="008F37E2" w:rsidRDefault="006B1F10" w:rsidP="00D31D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bidi="th-TH"/>
              </w:rPr>
            </w:pPr>
            <w:r w:rsidRPr="008F37E2">
              <w:rPr>
                <w:sz w:val="22"/>
                <w:szCs w:val="22"/>
                <w:lang w:bidi="th-TH"/>
              </w:rPr>
              <w:t xml:space="preserve">pozitívny priamy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Coombsov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test, predĺžený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protrombínový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 čas, pokles hemoglobínu, zvýšenie hladín sérového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bilirubínu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 xml:space="preserve">, sérového </w:t>
            </w:r>
            <w:proofErr w:type="spellStart"/>
            <w:r w:rsidRPr="008F37E2">
              <w:rPr>
                <w:sz w:val="22"/>
                <w:szCs w:val="22"/>
                <w:lang w:bidi="th-TH"/>
              </w:rPr>
              <w:t>kreatinínu</w:t>
            </w:r>
            <w:proofErr w:type="spellEnd"/>
            <w:r w:rsidRPr="008F37E2">
              <w:rPr>
                <w:sz w:val="22"/>
                <w:szCs w:val="22"/>
                <w:lang w:bidi="th-TH"/>
              </w:rPr>
              <w:t>, dusíka močoviny v krvi</w:t>
            </w:r>
          </w:p>
        </w:tc>
      </w:tr>
    </w:tbl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AB5CE4" w:rsidP="00D31D77">
      <w:pPr>
        <w:keepNext/>
        <w:rPr>
          <w:sz w:val="22"/>
          <w:szCs w:val="22"/>
        </w:rPr>
      </w:pPr>
      <w:r w:rsidRPr="00AB5CE4">
        <w:rPr>
          <w:bCs/>
          <w:i/>
          <w:iCs/>
          <w:sz w:val="22"/>
          <w:szCs w:val="22"/>
        </w:rPr>
        <w:lastRenderedPageBreak/>
        <w:t>Pediatrická populácia</w:t>
      </w:r>
      <w:r w:rsidR="002D1D98" w:rsidRPr="002D1D98" w:rsidDel="002D1D98">
        <w:rPr>
          <w:i/>
          <w:sz w:val="22"/>
          <w:szCs w:val="22"/>
        </w:rPr>
        <w:t xml:space="preserve"> </w:t>
      </w:r>
      <w:r w:rsidR="006B1F10" w:rsidRPr="008F37E2">
        <w:rPr>
          <w:sz w:val="22"/>
          <w:szCs w:val="22"/>
        </w:rPr>
        <w:t>(vo veku ≥ 3</w:t>
      </w:r>
      <w:r w:rsidR="006B1F10" w:rsidRPr="008F37E2">
        <w:rPr>
          <w:sz w:val="22"/>
          <w:szCs w:val="22"/>
          <w:lang w:bidi="th-TH"/>
        </w:rPr>
        <w:t> </w:t>
      </w:r>
      <w:r w:rsidR="006B1F10" w:rsidRPr="008F37E2">
        <w:rPr>
          <w:sz w:val="22"/>
          <w:szCs w:val="22"/>
        </w:rPr>
        <w:t>mesiace)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V štúdiách so 178</w:t>
      </w:r>
      <w:r w:rsidRPr="008F37E2">
        <w:rPr>
          <w:sz w:val="22"/>
          <w:szCs w:val="22"/>
          <w:lang w:bidi="th-TH"/>
        </w:rPr>
        <w:t> </w:t>
      </w:r>
      <w:r w:rsidR="00D77C20">
        <w:rPr>
          <w:sz w:val="22"/>
          <w:szCs w:val="22"/>
        </w:rPr>
        <w:t>pediatrickými</w:t>
      </w:r>
      <w:r w:rsidRPr="008F37E2">
        <w:rPr>
          <w:sz w:val="22"/>
          <w:szCs w:val="22"/>
        </w:rPr>
        <w:t xml:space="preserve"> pacientmi vo veku ≥ 3</w:t>
      </w:r>
      <w:r w:rsidRPr="008F37E2">
        <w:rPr>
          <w:sz w:val="22"/>
          <w:szCs w:val="22"/>
          <w:lang w:bidi="th-TH"/>
        </w:rPr>
        <w:t> </w:t>
      </w:r>
      <w:r w:rsidRPr="008F37E2">
        <w:rPr>
          <w:sz w:val="22"/>
          <w:szCs w:val="22"/>
        </w:rPr>
        <w:t>mesiace boli hlásené nežiaduce reakcie v súlade s tými, ktoré boli hlásené u dospelých.</w:t>
      </w:r>
    </w:p>
    <w:p w:rsidR="006B1F10" w:rsidRDefault="006B1F10" w:rsidP="00762ABD">
      <w:pPr>
        <w:rPr>
          <w:sz w:val="22"/>
          <w:szCs w:val="22"/>
        </w:rPr>
      </w:pPr>
    </w:p>
    <w:p w:rsidR="009220B6" w:rsidRPr="009220B6" w:rsidRDefault="00AB5CE4" w:rsidP="009220B6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AB5CE4">
        <w:rPr>
          <w:noProof/>
          <w:sz w:val="22"/>
          <w:szCs w:val="22"/>
          <w:u w:val="single"/>
        </w:rPr>
        <w:t>Hlásenie podozrení na nežiaduce reakcie</w:t>
      </w:r>
    </w:p>
    <w:p w:rsidR="009220B6" w:rsidRPr="009220B6" w:rsidRDefault="00AB5CE4" w:rsidP="009220B6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AB5CE4">
        <w:rPr>
          <w:noProof/>
          <w:sz w:val="22"/>
          <w:szCs w:val="22"/>
        </w:rPr>
        <w:t>Hlásenie podozrení na nežiaduce reakcie po registrácii lieku je dôležité.</w:t>
      </w:r>
      <w:r w:rsidRPr="00AB5CE4">
        <w:rPr>
          <w:sz w:val="22"/>
          <w:szCs w:val="22"/>
        </w:rPr>
        <w:t xml:space="preserve"> </w:t>
      </w:r>
      <w:r w:rsidRPr="00AB5CE4">
        <w:rPr>
          <w:noProof/>
          <w:sz w:val="22"/>
          <w:szCs w:val="22"/>
        </w:rPr>
        <w:t>Umožňuje priebežné monitorovanie pomeru prínosu a rizika lieku.</w:t>
      </w:r>
      <w:r w:rsidRPr="00AB5CE4">
        <w:rPr>
          <w:sz w:val="22"/>
          <w:szCs w:val="22"/>
        </w:rPr>
        <w:t xml:space="preserve"> Od </w:t>
      </w:r>
      <w:r w:rsidRPr="00AB5CE4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5C05F0">
        <w:rPr>
          <w:noProof/>
          <w:sz w:val="22"/>
          <w:szCs w:val="22"/>
        </w:rPr>
        <w:t>na</w:t>
      </w:r>
      <w:r w:rsidRPr="00AB5CE4">
        <w:rPr>
          <w:noProof/>
          <w:sz w:val="22"/>
          <w:szCs w:val="22"/>
        </w:rPr>
        <w:t xml:space="preserve"> </w:t>
      </w:r>
      <w:r w:rsidRPr="00AB5CE4">
        <w:rPr>
          <w:noProof/>
          <w:sz w:val="22"/>
          <w:szCs w:val="22"/>
          <w:highlight w:val="lightGray"/>
        </w:rPr>
        <w:t xml:space="preserve">národné </w:t>
      </w:r>
      <w:r w:rsidR="005C05F0">
        <w:rPr>
          <w:noProof/>
          <w:sz w:val="22"/>
          <w:szCs w:val="22"/>
          <w:highlight w:val="lightGray"/>
        </w:rPr>
        <w:t>centrum</w:t>
      </w:r>
      <w:r w:rsidRPr="00AB5CE4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AB5CE4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B5CE4">
        <w:rPr>
          <w:noProof/>
          <w:sz w:val="22"/>
          <w:szCs w:val="22"/>
        </w:rPr>
        <w:t>.</w:t>
      </w:r>
    </w:p>
    <w:p w:rsidR="009220B6" w:rsidRPr="008F37E2" w:rsidRDefault="009220B6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4.9</w:t>
      </w:r>
      <w:r w:rsidRPr="008F37E2">
        <w:rPr>
          <w:b/>
          <w:sz w:val="22"/>
          <w:szCs w:val="22"/>
        </w:rPr>
        <w:tab/>
        <w:t>Predávkovanie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413AC5">
      <w:pPr>
        <w:rPr>
          <w:sz w:val="22"/>
          <w:szCs w:val="22"/>
        </w:rPr>
      </w:pPr>
      <w:r w:rsidRPr="008F37E2">
        <w:rPr>
          <w:sz w:val="22"/>
          <w:szCs w:val="22"/>
          <w:lang w:eastAsia="en-GB"/>
        </w:rPr>
        <w:t>Symptómy predávkovania, ktoré sa môžu vyskytnúť,</w:t>
      </w:r>
      <w:r w:rsidRPr="008F37E2">
        <w:rPr>
          <w:sz w:val="22"/>
          <w:szCs w:val="22"/>
        </w:rPr>
        <w:t xml:space="preserve"> sú </w:t>
      </w:r>
      <w:r w:rsidRPr="008F37E2">
        <w:rPr>
          <w:sz w:val="22"/>
          <w:szCs w:val="22"/>
          <w:lang w:eastAsia="en-GB"/>
        </w:rPr>
        <w:t xml:space="preserve">zhodné s profilom nežiaducich reakcií. Môžu zahŕňať záchvaty, zmätenosť, </w:t>
      </w:r>
      <w:proofErr w:type="spellStart"/>
      <w:r w:rsidRPr="008F37E2">
        <w:rPr>
          <w:sz w:val="22"/>
          <w:szCs w:val="22"/>
          <w:lang w:eastAsia="en-GB"/>
        </w:rPr>
        <w:t>tremor</w:t>
      </w:r>
      <w:proofErr w:type="spellEnd"/>
      <w:r w:rsidRPr="008F37E2">
        <w:rPr>
          <w:sz w:val="22"/>
          <w:szCs w:val="22"/>
          <w:lang w:eastAsia="en-GB"/>
        </w:rPr>
        <w:t xml:space="preserve">, </w:t>
      </w:r>
      <w:proofErr w:type="spellStart"/>
      <w:r w:rsidRPr="008F37E2">
        <w:rPr>
          <w:sz w:val="22"/>
          <w:szCs w:val="22"/>
          <w:lang w:eastAsia="en-GB"/>
        </w:rPr>
        <w:t>nauzeu</w:t>
      </w:r>
      <w:proofErr w:type="spellEnd"/>
      <w:r w:rsidRPr="008F37E2">
        <w:rPr>
          <w:sz w:val="22"/>
          <w:szCs w:val="22"/>
          <w:lang w:eastAsia="en-GB"/>
        </w:rPr>
        <w:t xml:space="preserve">, vracanie, hypotenziu, bradykardiu. O liečbe predávkovania </w:t>
      </w:r>
      <w:proofErr w:type="spellStart"/>
      <w:r w:rsidRPr="008F37E2">
        <w:rPr>
          <w:sz w:val="22"/>
          <w:szCs w:val="22"/>
          <w:lang w:eastAsia="en-GB"/>
        </w:rPr>
        <w:t>Imipenem</w:t>
      </w:r>
      <w:proofErr w:type="spellEnd"/>
      <w:r w:rsidRPr="008F37E2">
        <w:rPr>
          <w:sz w:val="22"/>
          <w:szCs w:val="22"/>
          <w:lang w:eastAsia="en-GB"/>
        </w:rPr>
        <w:t>/</w:t>
      </w:r>
      <w:proofErr w:type="spellStart"/>
      <w:r w:rsidRPr="008F37E2">
        <w:rPr>
          <w:sz w:val="22"/>
          <w:szCs w:val="22"/>
          <w:lang w:eastAsia="en-GB"/>
        </w:rPr>
        <w:t>Cilastatinom</w:t>
      </w:r>
      <w:proofErr w:type="spellEnd"/>
      <w:r w:rsidRPr="008F37E2">
        <w:rPr>
          <w:sz w:val="22"/>
          <w:szCs w:val="22"/>
          <w:lang w:eastAsia="en-GB"/>
        </w:rPr>
        <w:t xml:space="preserve"> nie sú k dispozícii</w:t>
      </w:r>
      <w:r w:rsidRPr="008F37E2">
        <w:rPr>
          <w:sz w:val="22"/>
          <w:szCs w:val="22"/>
        </w:rPr>
        <w:t xml:space="preserve"> žiadne špecifické informácie</w:t>
      </w:r>
      <w:r w:rsidRPr="008F37E2">
        <w:rPr>
          <w:sz w:val="22"/>
          <w:szCs w:val="22"/>
          <w:lang w:eastAsia="en-GB"/>
        </w:rPr>
        <w:t xml:space="preserve">. </w:t>
      </w:r>
      <w:proofErr w:type="spellStart"/>
      <w:r w:rsidRPr="008F37E2">
        <w:rPr>
          <w:sz w:val="22"/>
          <w:szCs w:val="22"/>
        </w:rPr>
        <w:t>Imipeném</w:t>
      </w:r>
      <w:proofErr w:type="spellEnd"/>
      <w:r w:rsidRPr="008F37E2">
        <w:rPr>
          <w:sz w:val="22"/>
          <w:szCs w:val="22"/>
        </w:rPr>
        <w:t xml:space="preserve"> a</w:t>
      </w:r>
      <w:r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</w:rPr>
        <w:t xml:space="preserve">sodná soľ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sú </w:t>
      </w:r>
      <w:proofErr w:type="spellStart"/>
      <w:r w:rsidRPr="008F37E2">
        <w:rPr>
          <w:sz w:val="22"/>
          <w:szCs w:val="22"/>
        </w:rPr>
        <w:t>hemodialyzovateľné</w:t>
      </w:r>
      <w:proofErr w:type="spellEnd"/>
      <w:r w:rsidRPr="008F37E2">
        <w:rPr>
          <w:sz w:val="22"/>
          <w:szCs w:val="22"/>
        </w:rPr>
        <w:t xml:space="preserve">. </w:t>
      </w:r>
      <w:r w:rsidRPr="008F37E2">
        <w:rPr>
          <w:sz w:val="22"/>
          <w:szCs w:val="22"/>
          <w:lang w:eastAsia="en-GB"/>
        </w:rPr>
        <w:t xml:space="preserve">Užitočnosť tejto procedúry pri predávkovaní však nie </w:t>
      </w:r>
      <w:r w:rsidRPr="008F37E2">
        <w:rPr>
          <w:sz w:val="22"/>
          <w:szCs w:val="22"/>
        </w:rPr>
        <w:t xml:space="preserve">je </w:t>
      </w:r>
      <w:r w:rsidRPr="008F37E2">
        <w:rPr>
          <w:sz w:val="22"/>
          <w:szCs w:val="22"/>
          <w:lang w:eastAsia="en-GB"/>
        </w:rPr>
        <w:t>známa</w:t>
      </w:r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5.</w:t>
      </w:r>
      <w:r w:rsidRPr="008F37E2">
        <w:rPr>
          <w:b/>
          <w:sz w:val="22"/>
          <w:szCs w:val="22"/>
        </w:rPr>
        <w:tab/>
        <w:t>FARMAKOLOGICKÉ VLASTNOSTI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5.1</w:t>
      </w:r>
      <w:r w:rsidRPr="008F37E2">
        <w:rPr>
          <w:b/>
          <w:sz w:val="22"/>
          <w:szCs w:val="22"/>
        </w:rPr>
        <w:tab/>
      </w:r>
      <w:proofErr w:type="spellStart"/>
      <w:r w:rsidRPr="008F37E2">
        <w:rPr>
          <w:b/>
          <w:sz w:val="22"/>
          <w:szCs w:val="22"/>
        </w:rPr>
        <w:t>Farmakodynamické</w:t>
      </w:r>
      <w:proofErr w:type="spellEnd"/>
      <w:r w:rsidRPr="008F37E2">
        <w:rPr>
          <w:b/>
          <w:sz w:val="22"/>
          <w:szCs w:val="22"/>
        </w:rPr>
        <w:t xml:space="preserve"> vlastnosti</w:t>
      </w:r>
    </w:p>
    <w:p w:rsidR="006B1F10" w:rsidRPr="008F37E2" w:rsidRDefault="006B1F10" w:rsidP="00762ABD">
      <w:pPr>
        <w:rPr>
          <w:sz w:val="22"/>
          <w:szCs w:val="22"/>
        </w:rPr>
      </w:pPr>
    </w:p>
    <w:p w:rsidR="001F0767" w:rsidRDefault="006B1F10">
      <w:pPr>
        <w:jc w:val="both"/>
        <w:rPr>
          <w:sz w:val="22"/>
          <w:szCs w:val="22"/>
        </w:rPr>
      </w:pPr>
      <w:proofErr w:type="spellStart"/>
      <w:r w:rsidRPr="008F37E2">
        <w:rPr>
          <w:sz w:val="22"/>
          <w:szCs w:val="22"/>
        </w:rPr>
        <w:t>Farmakoterapeutická</w:t>
      </w:r>
      <w:proofErr w:type="spellEnd"/>
      <w:r w:rsidRPr="008F37E2">
        <w:rPr>
          <w:sz w:val="22"/>
          <w:szCs w:val="22"/>
        </w:rPr>
        <w:t xml:space="preserve"> skupina: </w:t>
      </w:r>
      <w:r w:rsidR="00AB5CE4" w:rsidRPr="00AB5CE4">
        <w:rPr>
          <w:sz w:val="22"/>
          <w:szCs w:val="22"/>
        </w:rPr>
        <w:t>antibiotiká na systémové použitie</w:t>
      </w:r>
      <w:r w:rsidRPr="008F37E2">
        <w:rPr>
          <w:sz w:val="22"/>
          <w:szCs w:val="22"/>
        </w:rPr>
        <w:t xml:space="preserve">, </w:t>
      </w:r>
      <w:proofErr w:type="spellStart"/>
      <w:r w:rsidRPr="008F37E2">
        <w:rPr>
          <w:sz w:val="22"/>
          <w:szCs w:val="22"/>
        </w:rPr>
        <w:t>karbapenémy</w:t>
      </w:r>
      <w:proofErr w:type="spellEnd"/>
      <w:r w:rsidRPr="008F37E2">
        <w:rPr>
          <w:sz w:val="22"/>
          <w:szCs w:val="22"/>
        </w:rPr>
        <w:t>, ATC kód: J01DH51</w:t>
      </w:r>
    </w:p>
    <w:p w:rsidR="006B1F10" w:rsidRPr="008F37E2" w:rsidRDefault="006B1F10" w:rsidP="00042517">
      <w:pPr>
        <w:rPr>
          <w:sz w:val="22"/>
          <w:szCs w:val="22"/>
        </w:rPr>
      </w:pPr>
    </w:p>
    <w:p w:rsidR="00584ECB" w:rsidRDefault="00584ECB" w:rsidP="00762AB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84ECB">
        <w:rPr>
          <w:sz w:val="22"/>
          <w:szCs w:val="22"/>
          <w:u w:val="single"/>
        </w:rPr>
        <w:t>Mechanizmus účinku</w:t>
      </w:r>
      <w:r w:rsidRPr="00584ECB" w:rsidDel="00584ECB">
        <w:rPr>
          <w:sz w:val="22"/>
          <w:szCs w:val="22"/>
          <w:u w:val="single"/>
        </w:rPr>
        <w:t xml:space="preserve"> </w:t>
      </w:r>
    </w:p>
    <w:p w:rsidR="006B1F10" w:rsidRPr="008F37E2" w:rsidRDefault="00AB5CE4" w:rsidP="00762ABD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AB5CE4">
        <w:rPr>
          <w:sz w:val="22"/>
          <w:szCs w:val="22"/>
        </w:rPr>
        <w:t>Imipenem</w:t>
      </w:r>
      <w:proofErr w:type="spellEnd"/>
      <w:r w:rsidRPr="00AB5CE4">
        <w:rPr>
          <w:sz w:val="22"/>
          <w:szCs w:val="22"/>
        </w:rPr>
        <w:t>/</w:t>
      </w:r>
      <w:proofErr w:type="spellStart"/>
      <w:r w:rsidRPr="00AB5CE4">
        <w:rPr>
          <w:sz w:val="22"/>
          <w:szCs w:val="22"/>
        </w:rPr>
        <w:t>Cilastatin</w:t>
      </w:r>
      <w:proofErr w:type="spellEnd"/>
      <w:r w:rsidRPr="00AB5CE4">
        <w:rPr>
          <w:sz w:val="22"/>
          <w:szCs w:val="22"/>
        </w:rPr>
        <w:t xml:space="preserve"> </w:t>
      </w:r>
      <w:proofErr w:type="spellStart"/>
      <w:r w:rsidRPr="00AB5CE4">
        <w:rPr>
          <w:sz w:val="22"/>
          <w:szCs w:val="22"/>
        </w:rPr>
        <w:t>Kabi</w:t>
      </w:r>
      <w:proofErr w:type="spellEnd"/>
      <w:r w:rsidR="006B1F10" w:rsidRPr="008F37E2">
        <w:rPr>
          <w:sz w:val="22"/>
          <w:szCs w:val="22"/>
          <w:shd w:val="clear" w:color="auto" w:fill="E6E6E6"/>
        </w:rPr>
        <w:t xml:space="preserve"> </w:t>
      </w:r>
      <w:r w:rsidR="006B1F10" w:rsidRPr="008F37E2">
        <w:rPr>
          <w:sz w:val="22"/>
          <w:szCs w:val="22"/>
        </w:rPr>
        <w:t xml:space="preserve">pozostáva z dvoch zložiek: </w:t>
      </w:r>
      <w:proofErr w:type="spellStart"/>
      <w:r w:rsidR="006B1F10" w:rsidRPr="008F37E2">
        <w:rPr>
          <w:sz w:val="22"/>
          <w:szCs w:val="22"/>
        </w:rPr>
        <w:t>imipenému</w:t>
      </w:r>
      <w:proofErr w:type="spellEnd"/>
      <w:r w:rsidR="006B1F10" w:rsidRPr="008F37E2">
        <w:rPr>
          <w:sz w:val="22"/>
          <w:szCs w:val="22"/>
        </w:rPr>
        <w:t xml:space="preserve"> a sodnej soli </w:t>
      </w:r>
      <w:proofErr w:type="spellStart"/>
      <w:r w:rsidR="006B1F10" w:rsidRPr="008F37E2">
        <w:rPr>
          <w:sz w:val="22"/>
          <w:szCs w:val="22"/>
        </w:rPr>
        <w:t>cilastatínu</w:t>
      </w:r>
      <w:proofErr w:type="spellEnd"/>
      <w:r w:rsidR="006B1F10" w:rsidRPr="008F37E2">
        <w:rPr>
          <w:sz w:val="22"/>
          <w:szCs w:val="22"/>
        </w:rPr>
        <w:t xml:space="preserve"> v hmotnostnom pomere 1:1.</w:t>
      </w:r>
    </w:p>
    <w:p w:rsidR="006B1F10" w:rsidRPr="008F37E2" w:rsidRDefault="006B1F10" w:rsidP="00762ABD">
      <w:pPr>
        <w:autoSpaceDE w:val="0"/>
        <w:autoSpaceDN w:val="0"/>
        <w:adjustRightInd w:val="0"/>
        <w:rPr>
          <w:sz w:val="22"/>
          <w:szCs w:val="22"/>
        </w:rPr>
      </w:pPr>
    </w:p>
    <w:p w:rsidR="006B1F10" w:rsidRPr="008F37E2" w:rsidRDefault="006B1F10" w:rsidP="00762ABD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F37E2">
        <w:rPr>
          <w:sz w:val="22"/>
          <w:szCs w:val="22"/>
        </w:rPr>
        <w:t>Imipeném</w:t>
      </w:r>
      <w:proofErr w:type="spellEnd"/>
      <w:r w:rsidRPr="008F37E2">
        <w:rPr>
          <w:sz w:val="22"/>
          <w:szCs w:val="22"/>
        </w:rPr>
        <w:t xml:space="preserve">, nazývaný tiež </w:t>
      </w:r>
      <w:proofErr w:type="spellStart"/>
      <w:r w:rsidRPr="008F37E2">
        <w:rPr>
          <w:sz w:val="22"/>
          <w:szCs w:val="22"/>
        </w:rPr>
        <w:t>N-formimidoylImipenem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Cilastatinycín</w:t>
      </w:r>
      <w:proofErr w:type="spellEnd"/>
      <w:r w:rsidRPr="008F37E2">
        <w:rPr>
          <w:sz w:val="22"/>
          <w:szCs w:val="22"/>
        </w:rPr>
        <w:t xml:space="preserve">, je </w:t>
      </w:r>
      <w:proofErr w:type="spellStart"/>
      <w:r w:rsidRPr="008F37E2">
        <w:rPr>
          <w:sz w:val="22"/>
          <w:szCs w:val="22"/>
        </w:rPr>
        <w:t>semisyntetický</w:t>
      </w:r>
      <w:proofErr w:type="spellEnd"/>
      <w:r w:rsidRPr="008F37E2">
        <w:rPr>
          <w:sz w:val="22"/>
          <w:szCs w:val="22"/>
        </w:rPr>
        <w:t xml:space="preserve"> derivát </w:t>
      </w:r>
      <w:proofErr w:type="spellStart"/>
      <w:r w:rsidRPr="008F37E2">
        <w:rPr>
          <w:sz w:val="22"/>
          <w:szCs w:val="22"/>
        </w:rPr>
        <w:t>Imipenem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Cilastatinycínu</w:t>
      </w:r>
      <w:proofErr w:type="spellEnd"/>
      <w:r w:rsidRPr="008F37E2">
        <w:rPr>
          <w:sz w:val="22"/>
          <w:szCs w:val="22"/>
        </w:rPr>
        <w:t xml:space="preserve">, materskej zlúčeniny produkovanej vláknitými baktériami </w:t>
      </w:r>
      <w:proofErr w:type="spellStart"/>
      <w:r w:rsidRPr="008F37E2">
        <w:rPr>
          <w:i/>
          <w:sz w:val="22"/>
          <w:szCs w:val="22"/>
        </w:rPr>
        <w:t>Streptomyces</w:t>
      </w:r>
      <w:proofErr w:type="spellEnd"/>
      <w:r w:rsidRPr="008F37E2">
        <w:rPr>
          <w:i/>
          <w:sz w:val="22"/>
          <w:szCs w:val="22"/>
        </w:rPr>
        <w:t xml:space="preserve"> </w:t>
      </w:r>
      <w:proofErr w:type="spellStart"/>
      <w:r w:rsidRPr="008F37E2">
        <w:rPr>
          <w:i/>
          <w:sz w:val="22"/>
          <w:szCs w:val="22"/>
        </w:rPr>
        <w:t>cattleya</w:t>
      </w:r>
      <w:proofErr w:type="spellEnd"/>
      <w:r w:rsidRPr="008F37E2">
        <w:rPr>
          <w:sz w:val="22"/>
          <w:szCs w:val="22"/>
        </w:rPr>
        <w:t>.</w:t>
      </w:r>
    </w:p>
    <w:p w:rsidR="006B1F10" w:rsidRPr="008F37E2" w:rsidRDefault="006B1F10" w:rsidP="00042517">
      <w:pPr>
        <w:autoSpaceDE w:val="0"/>
        <w:autoSpaceDN w:val="0"/>
        <w:adjustRightInd w:val="0"/>
        <w:rPr>
          <w:sz w:val="22"/>
          <w:szCs w:val="22"/>
        </w:rPr>
      </w:pPr>
    </w:p>
    <w:p w:rsidR="006B1F10" w:rsidRPr="008F37E2" w:rsidRDefault="006B1F10" w:rsidP="0004251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F37E2">
        <w:rPr>
          <w:sz w:val="22"/>
          <w:szCs w:val="22"/>
        </w:rPr>
        <w:t>Imipeném</w:t>
      </w:r>
      <w:proofErr w:type="spellEnd"/>
      <w:r w:rsidRPr="008F37E2">
        <w:rPr>
          <w:sz w:val="22"/>
          <w:szCs w:val="22"/>
        </w:rPr>
        <w:t xml:space="preserve"> prejavuje svoju baktericídnu aktivitu inhibíciou syntézy bakteriálnej bunkovej steny </w:t>
      </w:r>
      <w:proofErr w:type="spellStart"/>
      <w:r w:rsidRPr="008F37E2">
        <w:rPr>
          <w:sz w:val="22"/>
          <w:szCs w:val="22"/>
        </w:rPr>
        <w:t>grampozitívnych</w:t>
      </w:r>
      <w:proofErr w:type="spellEnd"/>
      <w:r w:rsidRPr="008F37E2">
        <w:rPr>
          <w:sz w:val="22"/>
          <w:szCs w:val="22"/>
        </w:rPr>
        <w:t xml:space="preserve"> a </w:t>
      </w:r>
      <w:proofErr w:type="spellStart"/>
      <w:r w:rsidRPr="008F37E2">
        <w:rPr>
          <w:sz w:val="22"/>
          <w:szCs w:val="22"/>
        </w:rPr>
        <w:t>gramnegatívnych</w:t>
      </w:r>
      <w:proofErr w:type="spellEnd"/>
      <w:r w:rsidRPr="008F37E2">
        <w:rPr>
          <w:sz w:val="22"/>
          <w:szCs w:val="22"/>
        </w:rPr>
        <w:t xml:space="preserve"> baktérií prostredníctvom väzby na proteíny viažuce penicilín (PVP).</w:t>
      </w:r>
    </w:p>
    <w:p w:rsidR="006B1F10" w:rsidRPr="008F37E2" w:rsidRDefault="006B1F10" w:rsidP="00762ABD">
      <w:pPr>
        <w:autoSpaceDE w:val="0"/>
        <w:autoSpaceDN w:val="0"/>
        <w:adjustRightInd w:val="0"/>
        <w:rPr>
          <w:sz w:val="22"/>
          <w:szCs w:val="22"/>
        </w:rPr>
      </w:pPr>
    </w:p>
    <w:p w:rsidR="006B1F10" w:rsidRPr="008F37E2" w:rsidRDefault="006B1F10" w:rsidP="00042517">
      <w:pPr>
        <w:autoSpaceDE w:val="0"/>
        <w:autoSpaceDN w:val="0"/>
        <w:adjustRightInd w:val="0"/>
        <w:rPr>
          <w:sz w:val="22"/>
          <w:szCs w:val="22"/>
        </w:rPr>
      </w:pPr>
      <w:r w:rsidRPr="008F37E2">
        <w:rPr>
          <w:sz w:val="22"/>
          <w:szCs w:val="22"/>
        </w:rPr>
        <w:t xml:space="preserve">Sodná soľ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je </w:t>
      </w:r>
      <w:proofErr w:type="spellStart"/>
      <w:r w:rsidRPr="008F37E2">
        <w:rPr>
          <w:sz w:val="22"/>
          <w:szCs w:val="22"/>
        </w:rPr>
        <w:t>kompetitívny</w:t>
      </w:r>
      <w:proofErr w:type="spellEnd"/>
      <w:r w:rsidRPr="008F37E2">
        <w:rPr>
          <w:sz w:val="22"/>
          <w:szCs w:val="22"/>
        </w:rPr>
        <w:t xml:space="preserve">, reverzibilný a špecifický inhibítor </w:t>
      </w:r>
      <w:proofErr w:type="spellStart"/>
      <w:r w:rsidRPr="008F37E2">
        <w:rPr>
          <w:sz w:val="22"/>
          <w:szCs w:val="22"/>
        </w:rPr>
        <w:t>dehydropeptidázy-I</w:t>
      </w:r>
      <w:proofErr w:type="spellEnd"/>
      <w:r w:rsidRPr="008F37E2">
        <w:rPr>
          <w:sz w:val="22"/>
          <w:szCs w:val="22"/>
        </w:rPr>
        <w:t>, obličkového enzýmu, ktorý metabolizuje a </w:t>
      </w:r>
      <w:proofErr w:type="spellStart"/>
      <w:r w:rsidRPr="008F37E2">
        <w:rPr>
          <w:sz w:val="22"/>
          <w:szCs w:val="22"/>
        </w:rPr>
        <w:t>inaktivuje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imipeném</w:t>
      </w:r>
      <w:proofErr w:type="spellEnd"/>
      <w:r w:rsidRPr="008F37E2">
        <w:rPr>
          <w:sz w:val="22"/>
          <w:szCs w:val="22"/>
        </w:rPr>
        <w:t xml:space="preserve">. </w:t>
      </w:r>
      <w:r w:rsidRPr="008F37E2">
        <w:rPr>
          <w:sz w:val="22"/>
          <w:szCs w:val="22"/>
          <w:lang w:eastAsia="en-GB"/>
        </w:rPr>
        <w:t>Nemá vnútornú</w:t>
      </w:r>
      <w:r w:rsidRPr="008F37E2">
        <w:rPr>
          <w:sz w:val="22"/>
          <w:szCs w:val="22"/>
        </w:rPr>
        <w:t xml:space="preserve"> antibakteriálnu </w:t>
      </w:r>
      <w:r w:rsidRPr="008F37E2">
        <w:rPr>
          <w:sz w:val="22"/>
          <w:szCs w:val="22"/>
          <w:lang w:eastAsia="en-GB"/>
        </w:rPr>
        <w:t xml:space="preserve">aktivitu a neovplyvňuje antibakteriálnu aktivitu </w:t>
      </w:r>
      <w:proofErr w:type="spellStart"/>
      <w:r w:rsidRPr="008F37E2">
        <w:rPr>
          <w:sz w:val="22"/>
          <w:szCs w:val="22"/>
          <w:lang w:eastAsia="en-GB"/>
        </w:rPr>
        <w:t>imipenému</w:t>
      </w:r>
      <w:proofErr w:type="spellEnd"/>
      <w:r w:rsidRPr="008F37E2">
        <w:rPr>
          <w:sz w:val="22"/>
          <w:szCs w:val="22"/>
        </w:rPr>
        <w:t>.</w:t>
      </w:r>
    </w:p>
    <w:p w:rsidR="006B1F10" w:rsidRPr="008F37E2" w:rsidRDefault="006B1F10" w:rsidP="00042517">
      <w:pPr>
        <w:autoSpaceDE w:val="0"/>
        <w:autoSpaceDN w:val="0"/>
        <w:adjustRightInd w:val="0"/>
        <w:rPr>
          <w:sz w:val="22"/>
          <w:szCs w:val="22"/>
        </w:rPr>
      </w:pPr>
    </w:p>
    <w:p w:rsidR="006B1F10" w:rsidRPr="008F37E2" w:rsidRDefault="006B1F10" w:rsidP="00042517">
      <w:pPr>
        <w:keepNext/>
        <w:autoSpaceDE w:val="0"/>
        <w:autoSpaceDN w:val="0"/>
        <w:adjustRightInd w:val="0"/>
        <w:rPr>
          <w:sz w:val="22"/>
          <w:szCs w:val="22"/>
        </w:rPr>
      </w:pPr>
      <w:r w:rsidRPr="008F37E2">
        <w:rPr>
          <w:sz w:val="22"/>
          <w:szCs w:val="22"/>
          <w:u w:val="single"/>
        </w:rPr>
        <w:t xml:space="preserve">Vzťah </w:t>
      </w:r>
      <w:proofErr w:type="spellStart"/>
      <w:r w:rsidRPr="008F37E2">
        <w:rPr>
          <w:sz w:val="22"/>
          <w:szCs w:val="22"/>
          <w:u w:val="single"/>
        </w:rPr>
        <w:t>farmakokinetika</w:t>
      </w:r>
      <w:proofErr w:type="spellEnd"/>
      <w:r w:rsidRPr="008F37E2">
        <w:rPr>
          <w:sz w:val="22"/>
          <w:szCs w:val="22"/>
          <w:u w:val="single"/>
        </w:rPr>
        <w:t>/</w:t>
      </w:r>
      <w:proofErr w:type="spellStart"/>
      <w:r w:rsidRPr="008F37E2">
        <w:rPr>
          <w:sz w:val="22"/>
          <w:szCs w:val="22"/>
          <w:u w:val="single"/>
        </w:rPr>
        <w:t>farmakodynamika</w:t>
      </w:r>
      <w:proofErr w:type="spellEnd"/>
      <w:r w:rsidRPr="008F37E2">
        <w:rPr>
          <w:sz w:val="22"/>
          <w:szCs w:val="22"/>
          <w:u w:val="single"/>
          <w:lang w:eastAsia="en-GB"/>
        </w:rPr>
        <w:t xml:space="preserve"> (FK/FD)</w:t>
      </w:r>
    </w:p>
    <w:p w:rsidR="006B1F10" w:rsidRPr="008F37E2" w:rsidRDefault="006B1F10" w:rsidP="00762AB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8F37E2">
        <w:rPr>
          <w:sz w:val="22"/>
          <w:szCs w:val="22"/>
        </w:rPr>
        <w:t xml:space="preserve">Podobne, ako pri iných </w:t>
      </w:r>
      <w:proofErr w:type="spellStart"/>
      <w:r w:rsidRPr="008F37E2">
        <w:rPr>
          <w:sz w:val="22"/>
          <w:szCs w:val="22"/>
        </w:rPr>
        <w:t>betalaktámových</w:t>
      </w:r>
      <w:proofErr w:type="spellEnd"/>
      <w:r w:rsidRPr="008F37E2">
        <w:rPr>
          <w:sz w:val="22"/>
          <w:szCs w:val="22"/>
        </w:rPr>
        <w:t xml:space="preserve"> antibakteriálnych liečivách sa preukázalo, že čas, </w:t>
      </w:r>
      <w:r w:rsidR="009E5A6C">
        <w:rPr>
          <w:sz w:val="22"/>
          <w:szCs w:val="22"/>
        </w:rPr>
        <w:t>počas</w:t>
      </w:r>
      <w:r w:rsidRPr="008F37E2">
        <w:rPr>
          <w:sz w:val="22"/>
          <w:szCs w:val="22"/>
        </w:rPr>
        <w:t xml:space="preserve"> ktor</w:t>
      </w:r>
      <w:r w:rsidR="009E5A6C">
        <w:rPr>
          <w:sz w:val="22"/>
          <w:szCs w:val="22"/>
        </w:rPr>
        <w:t>ého</w:t>
      </w:r>
      <w:r w:rsidRPr="008F37E2">
        <w:rPr>
          <w:sz w:val="22"/>
          <w:szCs w:val="22"/>
        </w:rPr>
        <w:t xml:space="preserve"> koncentrácie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prekr</w:t>
      </w:r>
      <w:r w:rsidR="009E5A6C">
        <w:rPr>
          <w:sz w:val="22"/>
          <w:szCs w:val="22"/>
        </w:rPr>
        <w:t>ačujú</w:t>
      </w:r>
      <w:r w:rsidRPr="008F37E2">
        <w:rPr>
          <w:sz w:val="22"/>
          <w:szCs w:val="22"/>
        </w:rPr>
        <w:t xml:space="preserve"> MIC (minimálnu inhibičnú koncentráciu)</w:t>
      </w:r>
      <w:r w:rsidRPr="008F37E2">
        <w:rPr>
          <w:sz w:val="22"/>
          <w:szCs w:val="22"/>
          <w:lang w:eastAsia="en-GB"/>
        </w:rPr>
        <w:t xml:space="preserve"> (t &gt; MIC), najlepšie </w:t>
      </w:r>
      <w:proofErr w:type="spellStart"/>
      <w:r w:rsidRPr="008F37E2">
        <w:rPr>
          <w:sz w:val="22"/>
          <w:szCs w:val="22"/>
          <w:lang w:eastAsia="en-GB"/>
        </w:rPr>
        <w:t>koreluje</w:t>
      </w:r>
      <w:proofErr w:type="spellEnd"/>
      <w:r w:rsidRPr="008F37E2">
        <w:rPr>
          <w:sz w:val="22"/>
          <w:szCs w:val="22"/>
          <w:lang w:eastAsia="en-GB"/>
        </w:rPr>
        <w:t xml:space="preserve"> s</w:t>
      </w:r>
      <w:r w:rsidRPr="008F37E2">
        <w:rPr>
          <w:sz w:val="22"/>
          <w:szCs w:val="22"/>
        </w:rPr>
        <w:t> </w:t>
      </w:r>
      <w:r w:rsidRPr="008F37E2">
        <w:rPr>
          <w:sz w:val="22"/>
          <w:szCs w:val="22"/>
          <w:lang w:eastAsia="en-GB"/>
        </w:rPr>
        <w:t>účinnosťou.</w:t>
      </w:r>
    </w:p>
    <w:p w:rsidR="006B1F10" w:rsidRPr="008F37E2" w:rsidRDefault="006B1F10" w:rsidP="00762ABD">
      <w:pPr>
        <w:autoSpaceDE w:val="0"/>
        <w:autoSpaceDN w:val="0"/>
        <w:adjustRightInd w:val="0"/>
        <w:rPr>
          <w:sz w:val="22"/>
          <w:szCs w:val="22"/>
        </w:rPr>
      </w:pPr>
    </w:p>
    <w:p w:rsidR="006B1F10" w:rsidRPr="008F37E2" w:rsidRDefault="006B1F10" w:rsidP="00042517">
      <w:pPr>
        <w:keepNext/>
        <w:autoSpaceDE w:val="0"/>
        <w:autoSpaceDN w:val="0"/>
        <w:adjustRightInd w:val="0"/>
        <w:rPr>
          <w:sz w:val="22"/>
          <w:szCs w:val="22"/>
        </w:rPr>
      </w:pPr>
      <w:r w:rsidRPr="008F37E2">
        <w:rPr>
          <w:sz w:val="22"/>
          <w:szCs w:val="22"/>
          <w:u w:val="single"/>
        </w:rPr>
        <w:t>Mechanizmus rezistencie</w:t>
      </w:r>
    </w:p>
    <w:p w:rsidR="006B1F10" w:rsidRPr="008F37E2" w:rsidRDefault="006B1F10" w:rsidP="00762ABD">
      <w:pPr>
        <w:autoSpaceDE w:val="0"/>
        <w:autoSpaceDN w:val="0"/>
        <w:adjustRightInd w:val="0"/>
        <w:rPr>
          <w:sz w:val="22"/>
          <w:szCs w:val="22"/>
        </w:rPr>
      </w:pPr>
      <w:r w:rsidRPr="008F37E2">
        <w:rPr>
          <w:sz w:val="22"/>
          <w:szCs w:val="22"/>
        </w:rPr>
        <w:t xml:space="preserve">Rezistencia voči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môže byť dôsledkom:</w:t>
      </w:r>
    </w:p>
    <w:p w:rsidR="006B1F10" w:rsidRPr="008F37E2" w:rsidRDefault="006B1F10" w:rsidP="00762ABD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 xml:space="preserve">zníženej </w:t>
      </w:r>
      <w:proofErr w:type="spellStart"/>
      <w:r w:rsidRPr="008F37E2">
        <w:rPr>
          <w:sz w:val="22"/>
          <w:szCs w:val="22"/>
        </w:rPr>
        <w:t>permeability</w:t>
      </w:r>
      <w:proofErr w:type="spellEnd"/>
      <w:r w:rsidRPr="008F37E2">
        <w:rPr>
          <w:sz w:val="22"/>
          <w:szCs w:val="22"/>
        </w:rPr>
        <w:t xml:space="preserve"> vonkajšej membrány </w:t>
      </w:r>
      <w:proofErr w:type="spellStart"/>
      <w:r w:rsidRPr="008F37E2">
        <w:rPr>
          <w:sz w:val="22"/>
          <w:szCs w:val="22"/>
        </w:rPr>
        <w:t>gramnegatívnych</w:t>
      </w:r>
      <w:proofErr w:type="spellEnd"/>
      <w:r w:rsidRPr="008F37E2">
        <w:rPr>
          <w:sz w:val="22"/>
          <w:szCs w:val="22"/>
        </w:rPr>
        <w:t xml:space="preserve"> baktérií (kvôli zníženej tvorbe </w:t>
      </w:r>
      <w:proofErr w:type="spellStart"/>
      <w:r w:rsidRPr="008F37E2">
        <w:rPr>
          <w:sz w:val="22"/>
          <w:szCs w:val="22"/>
        </w:rPr>
        <w:t>porínov</w:t>
      </w:r>
      <w:proofErr w:type="spellEnd"/>
      <w:r w:rsidRPr="008F37E2">
        <w:rPr>
          <w:sz w:val="22"/>
          <w:szCs w:val="22"/>
        </w:rPr>
        <w:t>).</w:t>
      </w:r>
    </w:p>
    <w:p w:rsidR="006B1F10" w:rsidRPr="008F37E2" w:rsidRDefault="006B1F10" w:rsidP="00762ABD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F37E2">
        <w:rPr>
          <w:sz w:val="22"/>
          <w:szCs w:val="22"/>
        </w:rPr>
        <w:t>imipeném</w:t>
      </w:r>
      <w:proofErr w:type="spellEnd"/>
      <w:r w:rsidRPr="008F37E2">
        <w:rPr>
          <w:sz w:val="22"/>
          <w:szCs w:val="22"/>
        </w:rPr>
        <w:t xml:space="preserve"> môže byť aktívne odstránený z bunky </w:t>
      </w:r>
      <w:proofErr w:type="spellStart"/>
      <w:r w:rsidRPr="008F37E2">
        <w:rPr>
          <w:sz w:val="22"/>
          <w:szCs w:val="22"/>
        </w:rPr>
        <w:t>efluxnou</w:t>
      </w:r>
      <w:proofErr w:type="spellEnd"/>
      <w:r w:rsidRPr="008F37E2">
        <w:rPr>
          <w:sz w:val="22"/>
          <w:szCs w:val="22"/>
        </w:rPr>
        <w:t xml:space="preserve"> pumpou.</w:t>
      </w:r>
    </w:p>
    <w:p w:rsidR="006B1F10" w:rsidRPr="008F37E2" w:rsidRDefault="006B1F10" w:rsidP="00762ABD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F37E2">
        <w:rPr>
          <w:sz w:val="22"/>
          <w:szCs w:val="22"/>
        </w:rPr>
        <w:t xml:space="preserve">zníženej afinity PVP k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F37E2">
        <w:rPr>
          <w:sz w:val="22"/>
          <w:szCs w:val="22"/>
          <w:lang w:eastAsia="en-GB"/>
        </w:rPr>
        <w:t>imipeném</w:t>
      </w:r>
      <w:proofErr w:type="spellEnd"/>
      <w:r w:rsidRPr="008F37E2">
        <w:rPr>
          <w:sz w:val="22"/>
          <w:szCs w:val="22"/>
          <w:lang w:eastAsia="en-GB"/>
        </w:rPr>
        <w:t xml:space="preserve"> je odolný voči hydrolýze sprostredkovanej väčšou časťou </w:t>
      </w:r>
      <w:proofErr w:type="spellStart"/>
      <w:r w:rsidRPr="008F37E2">
        <w:rPr>
          <w:sz w:val="22"/>
          <w:szCs w:val="22"/>
          <w:lang w:eastAsia="en-GB"/>
        </w:rPr>
        <w:t>betalaktamáz</w:t>
      </w:r>
      <w:proofErr w:type="spellEnd"/>
      <w:r w:rsidRPr="008F37E2">
        <w:rPr>
          <w:sz w:val="22"/>
          <w:szCs w:val="22"/>
          <w:lang w:eastAsia="en-GB"/>
        </w:rPr>
        <w:t xml:space="preserve">, vrátane </w:t>
      </w:r>
      <w:proofErr w:type="spellStart"/>
      <w:r w:rsidRPr="008F37E2">
        <w:rPr>
          <w:sz w:val="22"/>
          <w:szCs w:val="22"/>
          <w:lang w:eastAsia="en-GB"/>
        </w:rPr>
        <w:t>penicilináz</w:t>
      </w:r>
      <w:proofErr w:type="spellEnd"/>
      <w:r w:rsidRPr="008F37E2">
        <w:rPr>
          <w:sz w:val="22"/>
          <w:szCs w:val="22"/>
          <w:lang w:eastAsia="en-GB"/>
        </w:rPr>
        <w:t xml:space="preserve"> a</w:t>
      </w:r>
      <w:r w:rsidRPr="008F37E2">
        <w:rPr>
          <w:sz w:val="22"/>
          <w:szCs w:val="22"/>
        </w:rPr>
        <w:t> </w:t>
      </w:r>
      <w:proofErr w:type="spellStart"/>
      <w:r w:rsidRPr="008F37E2">
        <w:rPr>
          <w:sz w:val="22"/>
          <w:szCs w:val="22"/>
          <w:lang w:eastAsia="en-GB"/>
        </w:rPr>
        <w:t>cefalosporináz</w:t>
      </w:r>
      <w:proofErr w:type="spellEnd"/>
      <w:r w:rsidRPr="008F37E2">
        <w:rPr>
          <w:sz w:val="22"/>
          <w:szCs w:val="22"/>
          <w:lang w:eastAsia="en-GB"/>
        </w:rPr>
        <w:t xml:space="preserve"> produkovaných </w:t>
      </w:r>
      <w:proofErr w:type="spellStart"/>
      <w:r w:rsidRPr="008F37E2">
        <w:rPr>
          <w:sz w:val="22"/>
          <w:szCs w:val="22"/>
          <w:lang w:eastAsia="en-GB"/>
        </w:rPr>
        <w:t>grampozitívnymi</w:t>
      </w:r>
      <w:proofErr w:type="spellEnd"/>
      <w:r w:rsidRPr="008F37E2">
        <w:rPr>
          <w:sz w:val="22"/>
          <w:szCs w:val="22"/>
          <w:lang w:eastAsia="en-GB"/>
        </w:rPr>
        <w:t xml:space="preserve"> a </w:t>
      </w:r>
      <w:proofErr w:type="spellStart"/>
      <w:r w:rsidRPr="008F37E2">
        <w:rPr>
          <w:sz w:val="22"/>
          <w:szCs w:val="22"/>
          <w:lang w:eastAsia="en-GB"/>
        </w:rPr>
        <w:t>gramnegatívnymi</w:t>
      </w:r>
      <w:proofErr w:type="spellEnd"/>
      <w:r w:rsidRPr="008F37E2">
        <w:rPr>
          <w:sz w:val="22"/>
          <w:szCs w:val="22"/>
          <w:lang w:eastAsia="en-GB"/>
        </w:rPr>
        <w:t xml:space="preserve"> baktériami s výnimkou relatívne zriedkavých </w:t>
      </w:r>
      <w:proofErr w:type="spellStart"/>
      <w:r w:rsidRPr="008F37E2">
        <w:rPr>
          <w:sz w:val="22"/>
          <w:szCs w:val="22"/>
          <w:lang w:eastAsia="en-GB"/>
        </w:rPr>
        <w:t>betalaktamáz</w:t>
      </w:r>
      <w:proofErr w:type="spellEnd"/>
      <w:r w:rsidRPr="008F37E2">
        <w:rPr>
          <w:sz w:val="22"/>
          <w:szCs w:val="22"/>
          <w:lang w:eastAsia="en-GB"/>
        </w:rPr>
        <w:t xml:space="preserve"> hydrolyzujúcich </w:t>
      </w:r>
      <w:proofErr w:type="spellStart"/>
      <w:r w:rsidRPr="008F37E2">
        <w:rPr>
          <w:sz w:val="22"/>
          <w:szCs w:val="22"/>
          <w:lang w:eastAsia="en-GB"/>
        </w:rPr>
        <w:t>karbapenémy</w:t>
      </w:r>
      <w:proofErr w:type="spellEnd"/>
      <w:r w:rsidRPr="008F37E2">
        <w:rPr>
          <w:sz w:val="22"/>
          <w:szCs w:val="22"/>
          <w:lang w:eastAsia="en-GB"/>
        </w:rPr>
        <w:t xml:space="preserve">. Druhy rezistentné voči iným </w:t>
      </w:r>
      <w:proofErr w:type="spellStart"/>
      <w:r w:rsidRPr="008F37E2">
        <w:rPr>
          <w:sz w:val="22"/>
          <w:szCs w:val="22"/>
          <w:lang w:eastAsia="en-GB"/>
        </w:rPr>
        <w:t>karbapenémom</w:t>
      </w:r>
      <w:proofErr w:type="spellEnd"/>
      <w:r w:rsidRPr="008F37E2">
        <w:rPr>
          <w:sz w:val="22"/>
          <w:szCs w:val="22"/>
          <w:lang w:eastAsia="en-GB"/>
        </w:rPr>
        <w:t xml:space="preserve"> zvyčajne vykazujú skríženú rezistenciu voči </w:t>
      </w:r>
      <w:proofErr w:type="spellStart"/>
      <w:r w:rsidRPr="008F37E2">
        <w:rPr>
          <w:sz w:val="22"/>
          <w:szCs w:val="22"/>
          <w:lang w:eastAsia="en-GB"/>
        </w:rPr>
        <w:t>imipenému</w:t>
      </w:r>
      <w:proofErr w:type="spellEnd"/>
      <w:r w:rsidRPr="008F37E2">
        <w:rPr>
          <w:sz w:val="22"/>
          <w:szCs w:val="22"/>
          <w:lang w:eastAsia="en-GB"/>
        </w:rPr>
        <w:t xml:space="preserve">. Medzi </w:t>
      </w:r>
      <w:proofErr w:type="spellStart"/>
      <w:r w:rsidRPr="008F37E2">
        <w:rPr>
          <w:sz w:val="22"/>
          <w:szCs w:val="22"/>
          <w:lang w:eastAsia="en-GB"/>
        </w:rPr>
        <w:t>imipenémom</w:t>
      </w:r>
      <w:proofErr w:type="spellEnd"/>
      <w:r w:rsidRPr="008F37E2">
        <w:rPr>
          <w:sz w:val="22"/>
          <w:szCs w:val="22"/>
          <w:lang w:eastAsia="en-GB"/>
        </w:rPr>
        <w:t xml:space="preserve"> a látkami zo skupiny </w:t>
      </w:r>
      <w:proofErr w:type="spellStart"/>
      <w:r w:rsidRPr="008F37E2">
        <w:rPr>
          <w:sz w:val="22"/>
          <w:szCs w:val="22"/>
          <w:lang w:eastAsia="en-GB"/>
        </w:rPr>
        <w:t>chinolónov</w:t>
      </w:r>
      <w:proofErr w:type="spellEnd"/>
      <w:r w:rsidRPr="008F37E2">
        <w:rPr>
          <w:sz w:val="22"/>
          <w:szCs w:val="22"/>
          <w:lang w:eastAsia="en-GB"/>
        </w:rPr>
        <w:t xml:space="preserve">, </w:t>
      </w:r>
      <w:proofErr w:type="spellStart"/>
      <w:r w:rsidRPr="008F37E2">
        <w:rPr>
          <w:sz w:val="22"/>
          <w:szCs w:val="22"/>
          <w:lang w:eastAsia="en-GB"/>
        </w:rPr>
        <w:t>aminoglykozidov</w:t>
      </w:r>
      <w:proofErr w:type="spellEnd"/>
      <w:r w:rsidRPr="008F37E2">
        <w:rPr>
          <w:sz w:val="22"/>
          <w:szCs w:val="22"/>
          <w:lang w:eastAsia="en-GB"/>
        </w:rPr>
        <w:t xml:space="preserve">, </w:t>
      </w:r>
      <w:proofErr w:type="spellStart"/>
      <w:r w:rsidRPr="008F37E2">
        <w:rPr>
          <w:sz w:val="22"/>
          <w:szCs w:val="22"/>
          <w:lang w:eastAsia="en-GB"/>
        </w:rPr>
        <w:t>makrolidov</w:t>
      </w:r>
      <w:proofErr w:type="spellEnd"/>
      <w:r w:rsidRPr="008F37E2">
        <w:rPr>
          <w:sz w:val="22"/>
          <w:szCs w:val="22"/>
          <w:lang w:eastAsia="en-GB"/>
        </w:rPr>
        <w:t xml:space="preserve"> a tetracyklínov nie je skrížená rezistencia, čo sa týka zamerania na cieľové miesto.</w:t>
      </w:r>
    </w:p>
    <w:p w:rsidR="006B1F10" w:rsidRPr="008F37E2" w:rsidRDefault="006B1F10" w:rsidP="00762ABD">
      <w:pPr>
        <w:tabs>
          <w:tab w:val="left" w:pos="0"/>
        </w:tabs>
        <w:rPr>
          <w:sz w:val="22"/>
          <w:szCs w:val="22"/>
        </w:rPr>
      </w:pPr>
    </w:p>
    <w:p w:rsidR="006B1F10" w:rsidRPr="008F37E2" w:rsidRDefault="006B1F10" w:rsidP="00D31D77">
      <w:pPr>
        <w:keepNext/>
        <w:tabs>
          <w:tab w:val="left" w:pos="0"/>
        </w:tabs>
        <w:rPr>
          <w:sz w:val="22"/>
          <w:szCs w:val="22"/>
        </w:rPr>
      </w:pPr>
      <w:r w:rsidRPr="008F37E2">
        <w:rPr>
          <w:sz w:val="22"/>
          <w:szCs w:val="22"/>
          <w:u w:val="single"/>
        </w:rPr>
        <w:t>Hraničné hodnoty</w:t>
      </w:r>
    </w:p>
    <w:p w:rsidR="006B1F10" w:rsidRPr="008F37E2" w:rsidRDefault="006B1F10" w:rsidP="00762ABD">
      <w:pPr>
        <w:tabs>
          <w:tab w:val="left" w:pos="0"/>
        </w:tabs>
        <w:rPr>
          <w:sz w:val="22"/>
          <w:szCs w:val="22"/>
        </w:rPr>
      </w:pPr>
      <w:r w:rsidRPr="008F37E2">
        <w:rPr>
          <w:sz w:val="22"/>
          <w:szCs w:val="22"/>
        </w:rPr>
        <w:t xml:space="preserve">Hraničné hodnoty MIC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pre rozlíšenie citlivých (</w:t>
      </w:r>
      <w:proofErr w:type="spellStart"/>
      <w:r w:rsidRPr="008F37E2">
        <w:rPr>
          <w:sz w:val="22"/>
          <w:szCs w:val="22"/>
        </w:rPr>
        <w:t>susceptible</w:t>
      </w:r>
      <w:proofErr w:type="spellEnd"/>
      <w:r w:rsidRPr="008F37E2">
        <w:rPr>
          <w:sz w:val="22"/>
          <w:szCs w:val="22"/>
        </w:rPr>
        <w:t>, S) patogénov od rezistentných (</w:t>
      </w:r>
      <w:proofErr w:type="spellStart"/>
      <w:r w:rsidRPr="008F37E2">
        <w:rPr>
          <w:sz w:val="22"/>
          <w:szCs w:val="22"/>
        </w:rPr>
        <w:t>resistant</w:t>
      </w:r>
      <w:proofErr w:type="spellEnd"/>
      <w:r w:rsidRPr="008F37E2">
        <w:rPr>
          <w:sz w:val="22"/>
          <w:szCs w:val="22"/>
        </w:rPr>
        <w:t>, R) sú podľa EUCAST (</w:t>
      </w:r>
      <w:proofErr w:type="spellStart"/>
      <w:r w:rsidRPr="008F37E2">
        <w:rPr>
          <w:sz w:val="22"/>
          <w:szCs w:val="22"/>
        </w:rPr>
        <w:t>European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Committee</w:t>
      </w:r>
      <w:proofErr w:type="spellEnd"/>
      <w:r w:rsidRPr="008F37E2">
        <w:rPr>
          <w:sz w:val="22"/>
          <w:szCs w:val="22"/>
        </w:rPr>
        <w:t xml:space="preserve"> on </w:t>
      </w:r>
      <w:proofErr w:type="spellStart"/>
      <w:r w:rsidRPr="008F37E2">
        <w:rPr>
          <w:sz w:val="22"/>
          <w:szCs w:val="22"/>
        </w:rPr>
        <w:t>Antimicrobial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Susceptibility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Testing</w:t>
      </w:r>
      <w:proofErr w:type="spellEnd"/>
      <w:r w:rsidRPr="008F37E2">
        <w:rPr>
          <w:sz w:val="22"/>
          <w:szCs w:val="22"/>
        </w:rPr>
        <w:t xml:space="preserve">, Európsky výbor pre testovanie </w:t>
      </w:r>
      <w:proofErr w:type="spellStart"/>
      <w:r w:rsidRPr="008F37E2">
        <w:rPr>
          <w:sz w:val="22"/>
          <w:szCs w:val="22"/>
        </w:rPr>
        <w:t>antimikrobiálnej</w:t>
      </w:r>
      <w:proofErr w:type="spellEnd"/>
      <w:r w:rsidRPr="008F37E2">
        <w:rPr>
          <w:sz w:val="22"/>
          <w:szCs w:val="22"/>
        </w:rPr>
        <w:t xml:space="preserve"> citlivosti) nasledovné (v 1,1 2010-04-27):</w:t>
      </w:r>
    </w:p>
    <w:p w:rsidR="006B1F10" w:rsidRPr="008F37E2" w:rsidRDefault="006B1F10" w:rsidP="00762ABD">
      <w:pPr>
        <w:tabs>
          <w:tab w:val="left" w:pos="0"/>
        </w:tabs>
        <w:rPr>
          <w:sz w:val="22"/>
          <w:szCs w:val="22"/>
        </w:rPr>
      </w:pPr>
    </w:p>
    <w:p w:rsidR="006B1F10" w:rsidRPr="008F37E2" w:rsidRDefault="006B1F10" w:rsidP="00042517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 w:rsidRPr="008F37E2">
        <w:rPr>
          <w:i/>
          <w:sz w:val="22"/>
          <w:szCs w:val="22"/>
        </w:rPr>
        <w:t>Enterobacteriaceae</w:t>
      </w:r>
      <w:proofErr w:type="spellEnd"/>
      <w:r w:rsidRPr="008F37E2">
        <w:rPr>
          <w:i/>
          <w:iCs/>
          <w:sz w:val="22"/>
          <w:szCs w:val="22"/>
        </w:rPr>
        <w:t xml:space="preserve"> </w:t>
      </w:r>
      <w:r w:rsidRPr="008F37E2">
        <w:rPr>
          <w:iCs/>
          <w:sz w:val="22"/>
          <w:szCs w:val="22"/>
          <w:vertAlign w:val="superscript"/>
        </w:rPr>
        <w:t>1</w:t>
      </w:r>
      <w:r w:rsidRPr="008F37E2">
        <w:rPr>
          <w:iCs/>
          <w:sz w:val="22"/>
          <w:szCs w:val="22"/>
        </w:rPr>
        <w:t>: S ≤ </w:t>
      </w:r>
      <w:r w:rsidRPr="008F37E2">
        <w:rPr>
          <w:sz w:val="22"/>
          <w:szCs w:val="22"/>
        </w:rPr>
        <w:t>2</w:t>
      </w:r>
      <w:r w:rsidRPr="008F37E2">
        <w:rPr>
          <w:iCs/>
          <w:sz w:val="22"/>
          <w:szCs w:val="22"/>
        </w:rPr>
        <w:t> mg/l, R &gt; </w:t>
      </w:r>
      <w:r w:rsidRPr="008F37E2">
        <w:rPr>
          <w:sz w:val="22"/>
          <w:szCs w:val="22"/>
        </w:rPr>
        <w:t>8</w:t>
      </w:r>
      <w:r w:rsidRPr="008F37E2">
        <w:rPr>
          <w:iCs/>
          <w:sz w:val="22"/>
          <w:szCs w:val="22"/>
        </w:rPr>
        <w:t> mg/l</w:t>
      </w:r>
    </w:p>
    <w:p w:rsidR="006B1F10" w:rsidRPr="008F37E2" w:rsidRDefault="006B1F10" w:rsidP="00042517">
      <w:pPr>
        <w:numPr>
          <w:ilvl w:val="0"/>
          <w:numId w:val="8"/>
        </w:numPr>
        <w:tabs>
          <w:tab w:val="clear" w:pos="720"/>
        </w:tabs>
        <w:ind w:left="567" w:hanging="567"/>
        <w:rPr>
          <w:i/>
          <w:sz w:val="22"/>
          <w:szCs w:val="22"/>
        </w:rPr>
      </w:pPr>
      <w:proofErr w:type="spellStart"/>
      <w:r w:rsidRPr="008F37E2">
        <w:rPr>
          <w:i/>
          <w:sz w:val="22"/>
          <w:szCs w:val="22"/>
        </w:rPr>
        <w:t>Pseudomonas</w:t>
      </w:r>
      <w:proofErr w:type="spellEnd"/>
      <w:r w:rsidRPr="008F37E2">
        <w:rPr>
          <w:i/>
          <w:iCs/>
          <w:sz w:val="22"/>
          <w:szCs w:val="22"/>
        </w:rPr>
        <w:t xml:space="preserve"> </w:t>
      </w:r>
      <w:proofErr w:type="spellStart"/>
      <w:r w:rsidRPr="008F37E2">
        <w:rPr>
          <w:iCs/>
          <w:sz w:val="22"/>
          <w:szCs w:val="22"/>
        </w:rPr>
        <w:t>spp</w:t>
      </w:r>
      <w:proofErr w:type="spellEnd"/>
      <w:r w:rsidRPr="008F37E2">
        <w:rPr>
          <w:iCs/>
          <w:sz w:val="22"/>
          <w:szCs w:val="22"/>
        </w:rPr>
        <w:t xml:space="preserve">. </w:t>
      </w:r>
      <w:r w:rsidRPr="008F37E2">
        <w:rPr>
          <w:iCs/>
          <w:sz w:val="22"/>
          <w:szCs w:val="22"/>
          <w:vertAlign w:val="superscript"/>
        </w:rPr>
        <w:t>2</w:t>
      </w:r>
      <w:r w:rsidRPr="008F37E2">
        <w:rPr>
          <w:iCs/>
          <w:sz w:val="22"/>
          <w:szCs w:val="22"/>
        </w:rPr>
        <w:t>: S ≤ </w:t>
      </w:r>
      <w:r w:rsidRPr="008F37E2">
        <w:rPr>
          <w:sz w:val="22"/>
          <w:szCs w:val="22"/>
        </w:rPr>
        <w:t>4</w:t>
      </w:r>
      <w:r w:rsidRPr="008F37E2">
        <w:rPr>
          <w:iCs/>
          <w:sz w:val="22"/>
          <w:szCs w:val="22"/>
        </w:rPr>
        <w:t> mg/l, R &gt; </w:t>
      </w:r>
      <w:r w:rsidRPr="008F37E2">
        <w:rPr>
          <w:sz w:val="22"/>
          <w:szCs w:val="22"/>
        </w:rPr>
        <w:t>8</w:t>
      </w:r>
      <w:r w:rsidRPr="008F37E2">
        <w:rPr>
          <w:iCs/>
          <w:sz w:val="22"/>
          <w:szCs w:val="22"/>
        </w:rPr>
        <w:t> mg/l</w:t>
      </w:r>
    </w:p>
    <w:p w:rsidR="006B1F10" w:rsidRPr="008F37E2" w:rsidRDefault="006B1F10" w:rsidP="00042517">
      <w:pPr>
        <w:numPr>
          <w:ilvl w:val="0"/>
          <w:numId w:val="8"/>
        </w:numPr>
        <w:tabs>
          <w:tab w:val="clear" w:pos="720"/>
        </w:tabs>
        <w:ind w:left="567" w:hanging="567"/>
        <w:rPr>
          <w:i/>
          <w:sz w:val="22"/>
          <w:szCs w:val="22"/>
        </w:rPr>
      </w:pPr>
      <w:proofErr w:type="spellStart"/>
      <w:r w:rsidRPr="008F37E2">
        <w:rPr>
          <w:i/>
          <w:sz w:val="22"/>
          <w:szCs w:val="22"/>
        </w:rPr>
        <w:t>Acinetobacter</w:t>
      </w:r>
      <w:proofErr w:type="spellEnd"/>
      <w:r w:rsidRPr="008F37E2">
        <w:rPr>
          <w:i/>
          <w:iCs/>
          <w:sz w:val="22"/>
          <w:szCs w:val="22"/>
        </w:rPr>
        <w:t xml:space="preserve"> </w:t>
      </w:r>
      <w:proofErr w:type="spellStart"/>
      <w:r w:rsidRPr="008F37E2">
        <w:rPr>
          <w:iCs/>
          <w:sz w:val="22"/>
          <w:szCs w:val="22"/>
        </w:rPr>
        <w:t>spp</w:t>
      </w:r>
      <w:proofErr w:type="spellEnd"/>
      <w:r w:rsidRPr="008F37E2">
        <w:rPr>
          <w:iCs/>
          <w:sz w:val="22"/>
          <w:szCs w:val="22"/>
        </w:rPr>
        <w:t>.: S ≤ 2 mg/l, R &gt; </w:t>
      </w:r>
      <w:r w:rsidRPr="008F37E2">
        <w:rPr>
          <w:sz w:val="22"/>
          <w:szCs w:val="22"/>
        </w:rPr>
        <w:t>8</w:t>
      </w:r>
      <w:r w:rsidRPr="008F37E2">
        <w:rPr>
          <w:iCs/>
          <w:sz w:val="22"/>
          <w:szCs w:val="22"/>
        </w:rPr>
        <w:t> mg/l</w:t>
      </w:r>
    </w:p>
    <w:p w:rsidR="006B1F10" w:rsidRPr="008F37E2" w:rsidRDefault="006B1F10" w:rsidP="00762ABD">
      <w:pPr>
        <w:numPr>
          <w:ilvl w:val="0"/>
          <w:numId w:val="8"/>
        </w:numPr>
        <w:tabs>
          <w:tab w:val="clear" w:pos="720"/>
        </w:tabs>
        <w:ind w:left="567" w:hanging="567"/>
        <w:rPr>
          <w:i/>
          <w:iCs/>
          <w:sz w:val="22"/>
          <w:szCs w:val="22"/>
        </w:rPr>
      </w:pPr>
      <w:proofErr w:type="spellStart"/>
      <w:r w:rsidRPr="008F37E2">
        <w:rPr>
          <w:i/>
          <w:iCs/>
          <w:sz w:val="22"/>
          <w:szCs w:val="22"/>
        </w:rPr>
        <w:t>Staphylococcus</w:t>
      </w:r>
      <w:proofErr w:type="spellEnd"/>
      <w:r w:rsidRPr="008F37E2">
        <w:rPr>
          <w:i/>
          <w:iCs/>
          <w:sz w:val="22"/>
          <w:szCs w:val="22"/>
        </w:rPr>
        <w:t xml:space="preserve"> </w:t>
      </w:r>
      <w:proofErr w:type="spellStart"/>
      <w:r w:rsidRPr="008F37E2">
        <w:rPr>
          <w:iCs/>
          <w:sz w:val="22"/>
          <w:szCs w:val="22"/>
        </w:rPr>
        <w:t>spp</w:t>
      </w:r>
      <w:proofErr w:type="spellEnd"/>
      <w:r w:rsidRPr="008F37E2">
        <w:rPr>
          <w:iCs/>
          <w:sz w:val="22"/>
          <w:szCs w:val="22"/>
        </w:rPr>
        <w:t xml:space="preserve">. </w:t>
      </w:r>
      <w:r w:rsidRPr="008F37E2">
        <w:rPr>
          <w:iCs/>
          <w:sz w:val="22"/>
          <w:szCs w:val="22"/>
          <w:vertAlign w:val="superscript"/>
        </w:rPr>
        <w:t>3</w:t>
      </w:r>
      <w:r w:rsidRPr="008F37E2">
        <w:rPr>
          <w:iCs/>
          <w:sz w:val="22"/>
          <w:szCs w:val="22"/>
        </w:rPr>
        <w:t xml:space="preserve">: Odvodené od citlivosti na </w:t>
      </w:r>
      <w:proofErr w:type="spellStart"/>
      <w:r w:rsidRPr="008F37E2">
        <w:rPr>
          <w:iCs/>
          <w:sz w:val="22"/>
          <w:szCs w:val="22"/>
        </w:rPr>
        <w:t>cefoxitín</w:t>
      </w:r>
      <w:proofErr w:type="spellEnd"/>
    </w:p>
    <w:p w:rsidR="006B1F10" w:rsidRPr="008F37E2" w:rsidRDefault="006B1F10" w:rsidP="00042517">
      <w:pPr>
        <w:numPr>
          <w:ilvl w:val="0"/>
          <w:numId w:val="8"/>
        </w:numPr>
        <w:tabs>
          <w:tab w:val="clear" w:pos="720"/>
        </w:tabs>
        <w:ind w:left="567" w:hanging="567"/>
        <w:rPr>
          <w:i/>
          <w:sz w:val="22"/>
          <w:szCs w:val="22"/>
        </w:rPr>
      </w:pPr>
      <w:proofErr w:type="spellStart"/>
      <w:r w:rsidRPr="008F37E2">
        <w:rPr>
          <w:i/>
          <w:sz w:val="22"/>
          <w:szCs w:val="22"/>
        </w:rPr>
        <w:t>Enterococcus</w:t>
      </w:r>
      <w:proofErr w:type="spellEnd"/>
      <w:r w:rsidRPr="008F37E2">
        <w:rPr>
          <w:i/>
          <w:iCs/>
          <w:sz w:val="22"/>
          <w:szCs w:val="22"/>
        </w:rPr>
        <w:t xml:space="preserve"> </w:t>
      </w:r>
      <w:proofErr w:type="spellStart"/>
      <w:r w:rsidRPr="008F37E2">
        <w:rPr>
          <w:iCs/>
          <w:sz w:val="22"/>
          <w:szCs w:val="22"/>
        </w:rPr>
        <w:t>spp</w:t>
      </w:r>
      <w:proofErr w:type="spellEnd"/>
      <w:r w:rsidRPr="008F37E2">
        <w:rPr>
          <w:iCs/>
          <w:sz w:val="22"/>
          <w:szCs w:val="22"/>
        </w:rPr>
        <w:t>.: S ≤ </w:t>
      </w:r>
      <w:r w:rsidRPr="008F37E2">
        <w:rPr>
          <w:sz w:val="22"/>
          <w:szCs w:val="22"/>
        </w:rPr>
        <w:t>4</w:t>
      </w:r>
      <w:r w:rsidRPr="008F37E2">
        <w:rPr>
          <w:iCs/>
          <w:sz w:val="22"/>
          <w:szCs w:val="22"/>
        </w:rPr>
        <w:t> mg/l, R &gt; </w:t>
      </w:r>
      <w:r w:rsidRPr="008F37E2">
        <w:rPr>
          <w:sz w:val="22"/>
          <w:szCs w:val="22"/>
        </w:rPr>
        <w:t>8</w:t>
      </w:r>
      <w:r w:rsidRPr="008F37E2">
        <w:rPr>
          <w:iCs/>
          <w:sz w:val="22"/>
          <w:szCs w:val="22"/>
        </w:rPr>
        <w:t> mg/l</w:t>
      </w:r>
    </w:p>
    <w:p w:rsidR="006B1F10" w:rsidRPr="008F37E2" w:rsidRDefault="006B1F10" w:rsidP="00042517">
      <w:pPr>
        <w:numPr>
          <w:ilvl w:val="0"/>
          <w:numId w:val="8"/>
        </w:numPr>
        <w:tabs>
          <w:tab w:val="clear" w:pos="720"/>
        </w:tabs>
        <w:ind w:left="567" w:hanging="567"/>
        <w:rPr>
          <w:i/>
          <w:sz w:val="22"/>
          <w:szCs w:val="22"/>
        </w:rPr>
      </w:pPr>
      <w:proofErr w:type="spellStart"/>
      <w:r w:rsidRPr="008F37E2">
        <w:rPr>
          <w:i/>
          <w:sz w:val="22"/>
          <w:szCs w:val="22"/>
        </w:rPr>
        <w:t>Streptococcus</w:t>
      </w:r>
      <w:proofErr w:type="spellEnd"/>
      <w:r w:rsidRPr="008F37E2">
        <w:rPr>
          <w:i/>
          <w:sz w:val="22"/>
          <w:szCs w:val="22"/>
        </w:rPr>
        <w:t xml:space="preserve"> </w:t>
      </w:r>
      <w:r w:rsidRPr="008F37E2">
        <w:rPr>
          <w:sz w:val="22"/>
          <w:szCs w:val="22"/>
        </w:rPr>
        <w:t>A, B, C, G</w:t>
      </w:r>
      <w:r w:rsidRPr="008F37E2">
        <w:rPr>
          <w:iCs/>
          <w:sz w:val="22"/>
          <w:szCs w:val="22"/>
        </w:rPr>
        <w:t xml:space="preserve">: Citlivosť </w:t>
      </w:r>
      <w:proofErr w:type="spellStart"/>
      <w:r w:rsidRPr="008F37E2">
        <w:rPr>
          <w:iCs/>
          <w:sz w:val="22"/>
          <w:szCs w:val="22"/>
        </w:rPr>
        <w:t>betahemolytických</w:t>
      </w:r>
      <w:proofErr w:type="spellEnd"/>
      <w:r w:rsidRPr="008F37E2">
        <w:rPr>
          <w:iCs/>
          <w:sz w:val="22"/>
          <w:szCs w:val="22"/>
        </w:rPr>
        <w:t xml:space="preserve"> streptokokov skupiny A, B, C a G na </w:t>
      </w:r>
      <w:proofErr w:type="spellStart"/>
      <w:r w:rsidRPr="008F37E2">
        <w:rPr>
          <w:iCs/>
          <w:sz w:val="22"/>
          <w:szCs w:val="22"/>
        </w:rPr>
        <w:t>betalaktámy</w:t>
      </w:r>
      <w:proofErr w:type="spellEnd"/>
      <w:r w:rsidRPr="008F37E2">
        <w:rPr>
          <w:iCs/>
          <w:sz w:val="22"/>
          <w:szCs w:val="22"/>
        </w:rPr>
        <w:t xml:space="preserve"> je odvodená od citlivosti na penicilín.</w:t>
      </w:r>
    </w:p>
    <w:p w:rsidR="006B1F10" w:rsidRPr="008F37E2" w:rsidRDefault="006B1F10" w:rsidP="00762ABD">
      <w:pPr>
        <w:numPr>
          <w:ilvl w:val="0"/>
          <w:numId w:val="8"/>
        </w:numPr>
        <w:tabs>
          <w:tab w:val="clear" w:pos="720"/>
        </w:tabs>
        <w:ind w:left="567" w:hanging="567"/>
        <w:rPr>
          <w:i/>
          <w:iCs/>
          <w:sz w:val="22"/>
          <w:szCs w:val="22"/>
        </w:rPr>
      </w:pPr>
      <w:proofErr w:type="spellStart"/>
      <w:r w:rsidRPr="008F37E2">
        <w:rPr>
          <w:i/>
          <w:iCs/>
          <w:sz w:val="22"/>
          <w:szCs w:val="22"/>
        </w:rPr>
        <w:t>Streptococcus</w:t>
      </w:r>
      <w:proofErr w:type="spellEnd"/>
      <w:r w:rsidRPr="008F37E2">
        <w:rPr>
          <w:i/>
          <w:iCs/>
          <w:sz w:val="22"/>
          <w:szCs w:val="22"/>
        </w:rPr>
        <w:t xml:space="preserve"> </w:t>
      </w:r>
      <w:proofErr w:type="spellStart"/>
      <w:r w:rsidRPr="008F37E2">
        <w:rPr>
          <w:i/>
          <w:sz w:val="22"/>
          <w:szCs w:val="22"/>
        </w:rPr>
        <w:t>pneumoniae</w:t>
      </w:r>
      <w:proofErr w:type="spellEnd"/>
      <w:r w:rsidRPr="008F37E2">
        <w:rPr>
          <w:iCs/>
          <w:sz w:val="22"/>
          <w:szCs w:val="22"/>
        </w:rPr>
        <w:t xml:space="preserve"> </w:t>
      </w:r>
      <w:r w:rsidRPr="008F37E2">
        <w:rPr>
          <w:iCs/>
          <w:sz w:val="22"/>
          <w:szCs w:val="22"/>
          <w:vertAlign w:val="superscript"/>
        </w:rPr>
        <w:t>4</w:t>
      </w:r>
      <w:r w:rsidRPr="008F37E2">
        <w:rPr>
          <w:iCs/>
          <w:sz w:val="22"/>
          <w:szCs w:val="22"/>
        </w:rPr>
        <w:t>: S ≤ 2 mg/l, R &gt; </w:t>
      </w:r>
      <w:r w:rsidRPr="008F37E2">
        <w:rPr>
          <w:sz w:val="22"/>
          <w:szCs w:val="22"/>
        </w:rPr>
        <w:t>2</w:t>
      </w:r>
      <w:r w:rsidRPr="008F37E2">
        <w:rPr>
          <w:iCs/>
          <w:sz w:val="22"/>
          <w:szCs w:val="22"/>
        </w:rPr>
        <w:t> mg/l</w:t>
      </w:r>
    </w:p>
    <w:p w:rsidR="006B1F10" w:rsidRPr="008F37E2" w:rsidRDefault="006B1F10" w:rsidP="00042517">
      <w:pPr>
        <w:numPr>
          <w:ilvl w:val="0"/>
          <w:numId w:val="8"/>
        </w:numPr>
        <w:tabs>
          <w:tab w:val="clear" w:pos="720"/>
        </w:tabs>
        <w:ind w:left="567" w:hanging="567"/>
        <w:rPr>
          <w:i/>
          <w:sz w:val="22"/>
          <w:szCs w:val="22"/>
        </w:rPr>
      </w:pPr>
      <w:r w:rsidRPr="008F37E2">
        <w:rPr>
          <w:iCs/>
          <w:sz w:val="22"/>
          <w:szCs w:val="22"/>
        </w:rPr>
        <w:t xml:space="preserve">Iné streptokoky </w:t>
      </w:r>
      <w:r w:rsidRPr="008F37E2">
        <w:rPr>
          <w:iCs/>
          <w:sz w:val="22"/>
          <w:szCs w:val="22"/>
          <w:vertAlign w:val="superscript"/>
        </w:rPr>
        <w:t>4</w:t>
      </w:r>
      <w:r w:rsidRPr="008F37E2">
        <w:rPr>
          <w:iCs/>
          <w:sz w:val="22"/>
          <w:szCs w:val="22"/>
        </w:rPr>
        <w:t>: S ≤ </w:t>
      </w:r>
      <w:r w:rsidRPr="008F37E2">
        <w:rPr>
          <w:sz w:val="22"/>
          <w:szCs w:val="22"/>
        </w:rPr>
        <w:t>2</w:t>
      </w:r>
      <w:r w:rsidRPr="008F37E2">
        <w:rPr>
          <w:iCs/>
          <w:sz w:val="22"/>
          <w:szCs w:val="22"/>
        </w:rPr>
        <w:t> mg/l, R &gt; 2 mg/l</w:t>
      </w:r>
    </w:p>
    <w:p w:rsidR="006B1F10" w:rsidRPr="008F37E2" w:rsidRDefault="006B1F10" w:rsidP="00762ABD">
      <w:pPr>
        <w:numPr>
          <w:ilvl w:val="0"/>
          <w:numId w:val="8"/>
        </w:numPr>
        <w:tabs>
          <w:tab w:val="clear" w:pos="720"/>
        </w:tabs>
        <w:ind w:left="567" w:hanging="567"/>
        <w:rPr>
          <w:i/>
          <w:iCs/>
          <w:sz w:val="22"/>
          <w:szCs w:val="22"/>
        </w:rPr>
      </w:pPr>
      <w:proofErr w:type="spellStart"/>
      <w:r w:rsidRPr="008F37E2">
        <w:rPr>
          <w:i/>
          <w:iCs/>
          <w:sz w:val="22"/>
          <w:szCs w:val="22"/>
        </w:rPr>
        <w:t>Haemophilus</w:t>
      </w:r>
      <w:proofErr w:type="spellEnd"/>
      <w:r w:rsidRPr="008F37E2">
        <w:rPr>
          <w:i/>
          <w:iCs/>
          <w:sz w:val="22"/>
          <w:szCs w:val="22"/>
        </w:rPr>
        <w:t xml:space="preserve"> </w:t>
      </w:r>
      <w:proofErr w:type="spellStart"/>
      <w:r w:rsidRPr="008F37E2">
        <w:rPr>
          <w:i/>
          <w:sz w:val="22"/>
          <w:szCs w:val="22"/>
        </w:rPr>
        <w:t>influenzae</w:t>
      </w:r>
      <w:proofErr w:type="spellEnd"/>
      <w:r w:rsidRPr="008F37E2">
        <w:rPr>
          <w:i/>
          <w:iCs/>
          <w:sz w:val="22"/>
          <w:szCs w:val="22"/>
        </w:rPr>
        <w:t xml:space="preserve"> </w:t>
      </w:r>
      <w:r w:rsidRPr="008F37E2">
        <w:rPr>
          <w:iCs/>
          <w:sz w:val="22"/>
          <w:szCs w:val="22"/>
          <w:vertAlign w:val="superscript"/>
        </w:rPr>
        <w:t>4</w:t>
      </w:r>
      <w:r w:rsidRPr="008F37E2">
        <w:rPr>
          <w:iCs/>
          <w:sz w:val="22"/>
          <w:szCs w:val="22"/>
        </w:rPr>
        <w:t>: S ≤ 2 mg/l, R &gt; 2 mg/l</w:t>
      </w:r>
    </w:p>
    <w:p w:rsidR="006B1F10" w:rsidRPr="008F37E2" w:rsidRDefault="006B1F10" w:rsidP="00042517">
      <w:pPr>
        <w:numPr>
          <w:ilvl w:val="0"/>
          <w:numId w:val="8"/>
        </w:numPr>
        <w:tabs>
          <w:tab w:val="clear" w:pos="720"/>
        </w:tabs>
        <w:ind w:left="567" w:hanging="567"/>
        <w:rPr>
          <w:i/>
          <w:sz w:val="22"/>
          <w:szCs w:val="22"/>
        </w:rPr>
      </w:pPr>
      <w:proofErr w:type="spellStart"/>
      <w:r w:rsidRPr="008F37E2">
        <w:rPr>
          <w:i/>
          <w:iCs/>
          <w:sz w:val="22"/>
          <w:szCs w:val="22"/>
        </w:rPr>
        <w:t>Moraxella</w:t>
      </w:r>
      <w:proofErr w:type="spellEnd"/>
      <w:r w:rsidRPr="008F37E2">
        <w:rPr>
          <w:i/>
          <w:iCs/>
          <w:sz w:val="22"/>
          <w:szCs w:val="22"/>
        </w:rPr>
        <w:t xml:space="preserve"> </w:t>
      </w:r>
      <w:proofErr w:type="spellStart"/>
      <w:r w:rsidRPr="008F37E2">
        <w:rPr>
          <w:i/>
          <w:sz w:val="22"/>
          <w:szCs w:val="22"/>
        </w:rPr>
        <w:t>catarrhalis</w:t>
      </w:r>
      <w:proofErr w:type="spellEnd"/>
      <w:r w:rsidRPr="008F37E2">
        <w:rPr>
          <w:iCs/>
          <w:sz w:val="22"/>
          <w:szCs w:val="22"/>
        </w:rPr>
        <w:t xml:space="preserve"> </w:t>
      </w:r>
      <w:r w:rsidRPr="008F37E2">
        <w:rPr>
          <w:iCs/>
          <w:sz w:val="22"/>
          <w:szCs w:val="22"/>
          <w:vertAlign w:val="superscript"/>
        </w:rPr>
        <w:t>4</w:t>
      </w:r>
      <w:r w:rsidRPr="008F37E2">
        <w:rPr>
          <w:iCs/>
          <w:sz w:val="22"/>
          <w:szCs w:val="22"/>
        </w:rPr>
        <w:t>: S ≤ 2 mg/l, R &gt; 2 mg/l</w:t>
      </w:r>
    </w:p>
    <w:p w:rsidR="006B1F10" w:rsidRPr="008F37E2" w:rsidRDefault="006B1F10" w:rsidP="00762ABD">
      <w:pPr>
        <w:numPr>
          <w:ilvl w:val="0"/>
          <w:numId w:val="8"/>
        </w:numPr>
        <w:tabs>
          <w:tab w:val="clear" w:pos="720"/>
        </w:tabs>
        <w:ind w:left="567" w:hanging="567"/>
        <w:rPr>
          <w:i/>
          <w:iCs/>
          <w:sz w:val="22"/>
          <w:szCs w:val="22"/>
        </w:rPr>
      </w:pPr>
      <w:proofErr w:type="spellStart"/>
      <w:r w:rsidRPr="008F37E2">
        <w:rPr>
          <w:i/>
          <w:iCs/>
          <w:sz w:val="22"/>
          <w:szCs w:val="22"/>
        </w:rPr>
        <w:t>Neisseria</w:t>
      </w:r>
      <w:proofErr w:type="spellEnd"/>
      <w:r w:rsidRPr="008F37E2">
        <w:rPr>
          <w:i/>
          <w:iCs/>
          <w:sz w:val="22"/>
          <w:szCs w:val="22"/>
        </w:rPr>
        <w:t xml:space="preserve"> </w:t>
      </w:r>
      <w:proofErr w:type="spellStart"/>
      <w:r w:rsidRPr="008F37E2">
        <w:rPr>
          <w:i/>
          <w:iCs/>
          <w:sz w:val="22"/>
          <w:szCs w:val="22"/>
        </w:rPr>
        <w:t>gonorrhoeae</w:t>
      </w:r>
      <w:proofErr w:type="spellEnd"/>
      <w:r w:rsidRPr="008F37E2">
        <w:rPr>
          <w:iCs/>
          <w:sz w:val="22"/>
          <w:szCs w:val="22"/>
        </w:rPr>
        <w:t xml:space="preserve">: Nie je k dispozícii dostatok dôkazov, či je </w:t>
      </w:r>
      <w:proofErr w:type="spellStart"/>
      <w:r w:rsidRPr="008F37E2">
        <w:rPr>
          <w:i/>
          <w:iCs/>
          <w:sz w:val="22"/>
          <w:szCs w:val="22"/>
        </w:rPr>
        <w:t>Neisseria</w:t>
      </w:r>
      <w:proofErr w:type="spellEnd"/>
      <w:r w:rsidRPr="008F37E2">
        <w:rPr>
          <w:i/>
          <w:iCs/>
          <w:sz w:val="22"/>
          <w:szCs w:val="22"/>
        </w:rPr>
        <w:t xml:space="preserve"> </w:t>
      </w:r>
      <w:proofErr w:type="spellStart"/>
      <w:r w:rsidRPr="008F37E2">
        <w:rPr>
          <w:i/>
          <w:iCs/>
          <w:sz w:val="22"/>
          <w:szCs w:val="22"/>
        </w:rPr>
        <w:t>gonorrhoeae</w:t>
      </w:r>
      <w:proofErr w:type="spellEnd"/>
      <w:r w:rsidRPr="008F37E2">
        <w:rPr>
          <w:iCs/>
          <w:sz w:val="22"/>
          <w:szCs w:val="22"/>
        </w:rPr>
        <w:t xml:space="preserve"> vhodným cieľom pre liečbu </w:t>
      </w:r>
      <w:proofErr w:type="spellStart"/>
      <w:r w:rsidRPr="008F37E2">
        <w:rPr>
          <w:iCs/>
          <w:sz w:val="22"/>
          <w:szCs w:val="22"/>
        </w:rPr>
        <w:t>imipenémom</w:t>
      </w:r>
      <w:proofErr w:type="spellEnd"/>
      <w:r w:rsidRPr="008F37E2">
        <w:rPr>
          <w:iCs/>
          <w:sz w:val="22"/>
          <w:szCs w:val="22"/>
        </w:rPr>
        <w:t>.</w:t>
      </w:r>
    </w:p>
    <w:p w:rsidR="006B1F10" w:rsidRPr="008F37E2" w:rsidRDefault="006B1F10" w:rsidP="00042517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 w:rsidRPr="008F37E2">
        <w:rPr>
          <w:iCs/>
          <w:sz w:val="22"/>
          <w:szCs w:val="22"/>
        </w:rPr>
        <w:t>Grampozitívne</w:t>
      </w:r>
      <w:proofErr w:type="spellEnd"/>
      <w:r w:rsidRPr="008F37E2">
        <w:rPr>
          <w:sz w:val="22"/>
          <w:szCs w:val="22"/>
        </w:rPr>
        <w:t xml:space="preserve"> anaeróby</w:t>
      </w:r>
      <w:r w:rsidRPr="008F37E2">
        <w:rPr>
          <w:iCs/>
          <w:sz w:val="22"/>
          <w:szCs w:val="22"/>
        </w:rPr>
        <w:t>: S ≤ 2 mg/l, R &gt; </w:t>
      </w:r>
      <w:r w:rsidRPr="008F37E2">
        <w:rPr>
          <w:sz w:val="22"/>
          <w:szCs w:val="22"/>
        </w:rPr>
        <w:t>8</w:t>
      </w:r>
      <w:r w:rsidRPr="008F37E2">
        <w:rPr>
          <w:iCs/>
          <w:sz w:val="22"/>
          <w:szCs w:val="22"/>
        </w:rPr>
        <w:t> mg/l</w:t>
      </w:r>
    </w:p>
    <w:p w:rsidR="006B1F10" w:rsidRPr="008F37E2" w:rsidRDefault="006B1F10" w:rsidP="00042517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 w:rsidRPr="008F37E2">
        <w:rPr>
          <w:iCs/>
          <w:sz w:val="22"/>
          <w:szCs w:val="22"/>
        </w:rPr>
        <w:t>Gramnegatívne</w:t>
      </w:r>
      <w:proofErr w:type="spellEnd"/>
      <w:r w:rsidRPr="008F37E2">
        <w:rPr>
          <w:sz w:val="22"/>
          <w:szCs w:val="22"/>
        </w:rPr>
        <w:t xml:space="preserve"> anaeróby</w:t>
      </w:r>
      <w:r w:rsidRPr="008F37E2">
        <w:rPr>
          <w:iCs/>
          <w:sz w:val="22"/>
          <w:szCs w:val="22"/>
        </w:rPr>
        <w:t>: S ≤ 2 mg/l, R &gt; </w:t>
      </w:r>
      <w:r w:rsidRPr="008F37E2">
        <w:rPr>
          <w:sz w:val="22"/>
          <w:szCs w:val="22"/>
        </w:rPr>
        <w:t>8</w:t>
      </w:r>
      <w:r w:rsidRPr="008F37E2">
        <w:rPr>
          <w:iCs/>
          <w:sz w:val="22"/>
          <w:szCs w:val="22"/>
        </w:rPr>
        <w:t> mg/l</w:t>
      </w:r>
    </w:p>
    <w:p w:rsidR="006B1F10" w:rsidRPr="008F37E2" w:rsidRDefault="006B1F10" w:rsidP="00762ABD">
      <w:pPr>
        <w:numPr>
          <w:ilvl w:val="0"/>
          <w:numId w:val="8"/>
        </w:numPr>
        <w:tabs>
          <w:tab w:val="clear" w:pos="720"/>
        </w:tabs>
        <w:ind w:left="567" w:hanging="567"/>
        <w:rPr>
          <w:iCs/>
          <w:sz w:val="22"/>
          <w:szCs w:val="22"/>
        </w:rPr>
      </w:pPr>
      <w:r w:rsidRPr="008F37E2">
        <w:rPr>
          <w:iCs/>
          <w:sz w:val="22"/>
          <w:szCs w:val="22"/>
        </w:rPr>
        <w:t xml:space="preserve">Druhovo nesúvisiace hraničné hodnoty </w:t>
      </w:r>
      <w:r w:rsidRPr="008F37E2">
        <w:rPr>
          <w:iCs/>
          <w:sz w:val="22"/>
          <w:szCs w:val="22"/>
          <w:vertAlign w:val="superscript"/>
        </w:rPr>
        <w:t>5</w:t>
      </w:r>
      <w:r w:rsidRPr="008F37E2">
        <w:rPr>
          <w:iCs/>
          <w:sz w:val="22"/>
          <w:szCs w:val="22"/>
        </w:rPr>
        <w:t>: S ≤ 2 mg/l, R &gt; 8 mg/l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ind w:left="754" w:hanging="187"/>
        <w:rPr>
          <w:sz w:val="22"/>
          <w:szCs w:val="22"/>
        </w:rPr>
      </w:pPr>
      <w:r w:rsidRPr="008F37E2">
        <w:rPr>
          <w:sz w:val="22"/>
          <w:szCs w:val="22"/>
          <w:vertAlign w:val="superscript"/>
        </w:rPr>
        <w:t xml:space="preserve">1 </w:t>
      </w:r>
      <w:r w:rsidRPr="008F37E2">
        <w:rPr>
          <w:sz w:val="22"/>
          <w:szCs w:val="22"/>
          <w:vertAlign w:val="superscript"/>
        </w:rPr>
        <w:tab/>
      </w:r>
      <w:r w:rsidRPr="008F37E2">
        <w:rPr>
          <w:sz w:val="22"/>
          <w:szCs w:val="22"/>
        </w:rPr>
        <w:t xml:space="preserve">Druhy </w:t>
      </w:r>
      <w:proofErr w:type="spellStart"/>
      <w:r w:rsidRPr="008F37E2">
        <w:rPr>
          <w:i/>
          <w:sz w:val="22"/>
          <w:szCs w:val="22"/>
        </w:rPr>
        <w:t>Proteus</w:t>
      </w:r>
      <w:proofErr w:type="spellEnd"/>
      <w:r w:rsidRPr="008F37E2">
        <w:rPr>
          <w:sz w:val="22"/>
          <w:szCs w:val="22"/>
        </w:rPr>
        <w:t xml:space="preserve"> a</w:t>
      </w:r>
      <w:r w:rsidRPr="008F37E2">
        <w:rPr>
          <w:iCs/>
          <w:sz w:val="22"/>
          <w:szCs w:val="22"/>
        </w:rPr>
        <w:t> </w:t>
      </w:r>
      <w:proofErr w:type="spellStart"/>
      <w:r w:rsidRPr="008F37E2">
        <w:rPr>
          <w:i/>
          <w:sz w:val="22"/>
          <w:szCs w:val="22"/>
        </w:rPr>
        <w:t>Morganella</w:t>
      </w:r>
      <w:proofErr w:type="spellEnd"/>
      <w:r w:rsidRPr="008F37E2">
        <w:rPr>
          <w:i/>
          <w:sz w:val="22"/>
          <w:szCs w:val="22"/>
        </w:rPr>
        <w:t xml:space="preserve"> </w:t>
      </w:r>
      <w:r w:rsidRPr="008F37E2">
        <w:rPr>
          <w:sz w:val="22"/>
          <w:szCs w:val="22"/>
        </w:rPr>
        <w:t xml:space="preserve">sa považujú za zlé ciele pre </w:t>
      </w:r>
      <w:proofErr w:type="spellStart"/>
      <w:r w:rsidRPr="008F37E2">
        <w:rPr>
          <w:sz w:val="22"/>
          <w:szCs w:val="22"/>
        </w:rPr>
        <w:t>imipeném</w:t>
      </w:r>
      <w:proofErr w:type="spellEnd"/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ind w:left="754" w:hanging="187"/>
        <w:rPr>
          <w:sz w:val="22"/>
          <w:szCs w:val="22"/>
        </w:rPr>
      </w:pPr>
      <w:r w:rsidRPr="008F37E2">
        <w:rPr>
          <w:sz w:val="22"/>
          <w:szCs w:val="22"/>
          <w:vertAlign w:val="superscript"/>
        </w:rPr>
        <w:t xml:space="preserve">2 </w:t>
      </w:r>
      <w:r w:rsidRPr="008F37E2">
        <w:rPr>
          <w:sz w:val="22"/>
          <w:szCs w:val="22"/>
          <w:vertAlign w:val="superscript"/>
        </w:rPr>
        <w:tab/>
      </w:r>
      <w:r w:rsidRPr="008F37E2">
        <w:rPr>
          <w:sz w:val="22"/>
          <w:szCs w:val="22"/>
        </w:rPr>
        <w:t xml:space="preserve">Hraničné hodnoty pre </w:t>
      </w:r>
      <w:proofErr w:type="spellStart"/>
      <w:r w:rsidRPr="008F37E2">
        <w:rPr>
          <w:i/>
          <w:sz w:val="22"/>
          <w:szCs w:val="22"/>
        </w:rPr>
        <w:t>Pseudomonas</w:t>
      </w:r>
      <w:proofErr w:type="spellEnd"/>
      <w:r w:rsidRPr="008F37E2">
        <w:rPr>
          <w:sz w:val="22"/>
          <w:szCs w:val="22"/>
        </w:rPr>
        <w:t xml:space="preserve"> sa vzťahujú k </w:t>
      </w:r>
      <w:proofErr w:type="spellStart"/>
      <w:r w:rsidRPr="008F37E2">
        <w:rPr>
          <w:sz w:val="22"/>
          <w:szCs w:val="22"/>
        </w:rPr>
        <w:t>vysokodávkovej</w:t>
      </w:r>
      <w:proofErr w:type="spellEnd"/>
      <w:r w:rsidRPr="008F37E2">
        <w:rPr>
          <w:sz w:val="22"/>
          <w:szCs w:val="22"/>
        </w:rPr>
        <w:t xml:space="preserve"> liečbe podávanej v kratších intervaloch (1 g každých 6 hodín).</w:t>
      </w:r>
    </w:p>
    <w:p w:rsidR="006B1F10" w:rsidRPr="008F37E2" w:rsidRDefault="006B1F10" w:rsidP="00042517">
      <w:pPr>
        <w:ind w:left="754" w:hanging="187"/>
        <w:rPr>
          <w:sz w:val="22"/>
          <w:szCs w:val="22"/>
        </w:rPr>
      </w:pPr>
      <w:r w:rsidRPr="008F37E2">
        <w:rPr>
          <w:sz w:val="22"/>
          <w:szCs w:val="22"/>
          <w:vertAlign w:val="superscript"/>
        </w:rPr>
        <w:t>3</w:t>
      </w:r>
      <w:r w:rsidRPr="008F37E2">
        <w:rPr>
          <w:sz w:val="22"/>
          <w:szCs w:val="22"/>
        </w:rPr>
        <w:t xml:space="preserve"> </w:t>
      </w:r>
      <w:r w:rsidRPr="008F37E2">
        <w:rPr>
          <w:sz w:val="22"/>
          <w:szCs w:val="22"/>
        </w:rPr>
        <w:tab/>
        <w:t xml:space="preserve">Citlivosť stafylokokov na </w:t>
      </w:r>
      <w:proofErr w:type="spellStart"/>
      <w:r w:rsidRPr="008F37E2">
        <w:rPr>
          <w:sz w:val="22"/>
          <w:szCs w:val="22"/>
        </w:rPr>
        <w:t>karbapenémy</w:t>
      </w:r>
      <w:proofErr w:type="spellEnd"/>
      <w:r w:rsidRPr="008F37E2">
        <w:rPr>
          <w:sz w:val="22"/>
          <w:szCs w:val="22"/>
        </w:rPr>
        <w:t xml:space="preserve"> je odvodená od citlivosti na </w:t>
      </w:r>
      <w:proofErr w:type="spellStart"/>
      <w:r w:rsidRPr="008F37E2">
        <w:rPr>
          <w:sz w:val="22"/>
          <w:szCs w:val="22"/>
        </w:rPr>
        <w:t>cefoxitín</w:t>
      </w:r>
      <w:proofErr w:type="spellEnd"/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ind w:left="754" w:hanging="187"/>
        <w:rPr>
          <w:sz w:val="22"/>
          <w:szCs w:val="22"/>
        </w:rPr>
      </w:pPr>
      <w:r w:rsidRPr="008F37E2">
        <w:rPr>
          <w:sz w:val="22"/>
          <w:szCs w:val="22"/>
          <w:vertAlign w:val="superscript"/>
        </w:rPr>
        <w:t>4</w:t>
      </w:r>
      <w:r w:rsidRPr="008F37E2">
        <w:rPr>
          <w:sz w:val="22"/>
          <w:szCs w:val="22"/>
        </w:rPr>
        <w:t xml:space="preserve"> </w:t>
      </w:r>
      <w:r w:rsidRPr="008F37E2">
        <w:rPr>
          <w:sz w:val="22"/>
          <w:szCs w:val="22"/>
        </w:rPr>
        <w:tab/>
        <w:t xml:space="preserve">Kmene s hodnotami MIC nad hraničnou hodnotou citlivosti sú veľmi zriedkavé alebo dosiaľ neboli hlásené. Identifikácia a testy </w:t>
      </w:r>
      <w:proofErr w:type="spellStart"/>
      <w:r w:rsidRPr="008F37E2">
        <w:rPr>
          <w:sz w:val="22"/>
          <w:szCs w:val="22"/>
        </w:rPr>
        <w:t>antimikrobiálnej</w:t>
      </w:r>
      <w:proofErr w:type="spellEnd"/>
      <w:r w:rsidRPr="008F37E2">
        <w:rPr>
          <w:sz w:val="22"/>
          <w:szCs w:val="22"/>
        </w:rPr>
        <w:t xml:space="preserve"> citlivosti akéhokoľvek takéhoto </w:t>
      </w:r>
      <w:proofErr w:type="spellStart"/>
      <w:r w:rsidRPr="008F37E2">
        <w:rPr>
          <w:sz w:val="22"/>
          <w:szCs w:val="22"/>
        </w:rPr>
        <w:t>izolátu</w:t>
      </w:r>
      <w:proofErr w:type="spellEnd"/>
      <w:r w:rsidRPr="008F37E2">
        <w:rPr>
          <w:sz w:val="22"/>
          <w:szCs w:val="22"/>
        </w:rPr>
        <w:t xml:space="preserve"> sa musia zopakovať a ak sa výsledok potvrdí, </w:t>
      </w:r>
      <w:proofErr w:type="spellStart"/>
      <w:r w:rsidRPr="008F37E2">
        <w:rPr>
          <w:sz w:val="22"/>
          <w:szCs w:val="22"/>
        </w:rPr>
        <w:t>izolát</w:t>
      </w:r>
      <w:proofErr w:type="spellEnd"/>
      <w:r w:rsidRPr="008F37E2">
        <w:rPr>
          <w:sz w:val="22"/>
          <w:szCs w:val="22"/>
        </w:rPr>
        <w:t xml:space="preserve"> sa musí poslať do referenčného laboratória. Pokiaľ sa nedokáže klinická odpoveď pre potvrdené </w:t>
      </w:r>
      <w:proofErr w:type="spellStart"/>
      <w:r w:rsidRPr="008F37E2">
        <w:rPr>
          <w:sz w:val="22"/>
          <w:szCs w:val="22"/>
        </w:rPr>
        <w:t>izoláty</w:t>
      </w:r>
      <w:proofErr w:type="spellEnd"/>
      <w:r w:rsidRPr="008F37E2">
        <w:rPr>
          <w:sz w:val="22"/>
          <w:szCs w:val="22"/>
        </w:rPr>
        <w:t xml:space="preserve"> s MIC nad súčasnou hraničnou hodnotou rezistencie, tieto </w:t>
      </w:r>
      <w:proofErr w:type="spellStart"/>
      <w:r w:rsidRPr="008F37E2">
        <w:rPr>
          <w:sz w:val="22"/>
          <w:szCs w:val="22"/>
        </w:rPr>
        <w:t>izoláty</w:t>
      </w:r>
      <w:proofErr w:type="spellEnd"/>
      <w:r w:rsidRPr="008F37E2">
        <w:rPr>
          <w:sz w:val="22"/>
          <w:szCs w:val="22"/>
        </w:rPr>
        <w:t xml:space="preserve"> sa majú hlásiť ako rezistentné.</w:t>
      </w:r>
    </w:p>
    <w:p w:rsidR="006B1F10" w:rsidRPr="008F37E2" w:rsidRDefault="006B1F10" w:rsidP="00762ABD">
      <w:pPr>
        <w:ind w:left="754" w:hanging="187"/>
        <w:rPr>
          <w:sz w:val="22"/>
          <w:szCs w:val="22"/>
        </w:rPr>
      </w:pPr>
      <w:r w:rsidRPr="008F37E2">
        <w:rPr>
          <w:sz w:val="22"/>
          <w:szCs w:val="22"/>
          <w:vertAlign w:val="superscript"/>
        </w:rPr>
        <w:t xml:space="preserve">5 </w:t>
      </w:r>
      <w:r w:rsidRPr="008F37E2">
        <w:rPr>
          <w:sz w:val="22"/>
          <w:szCs w:val="22"/>
          <w:vertAlign w:val="superscript"/>
        </w:rPr>
        <w:tab/>
      </w:r>
      <w:r w:rsidRPr="008F37E2">
        <w:rPr>
          <w:sz w:val="22"/>
          <w:szCs w:val="22"/>
        </w:rPr>
        <w:t>Druhovo nesúvisiace hraničné hodnoty sa stanovili najmä na základe údajov FK/FD a sú nezávislé od rozdelenia MIC u špecifických druhov. Majú sa použiť len pre tie druhy, ktoré nie sú uvedené v prehľade druhovo súvisiacich hraničných hodnôt alebo v poznámkach pod textom.</w:t>
      </w:r>
    </w:p>
    <w:p w:rsidR="006B1F10" w:rsidRPr="008F37E2" w:rsidRDefault="006B1F10" w:rsidP="00762ABD">
      <w:pPr>
        <w:tabs>
          <w:tab w:val="left" w:pos="0"/>
        </w:tabs>
        <w:rPr>
          <w:sz w:val="22"/>
          <w:szCs w:val="22"/>
        </w:rPr>
      </w:pPr>
    </w:p>
    <w:p w:rsidR="006B1F10" w:rsidRPr="008F37E2" w:rsidRDefault="006B1F10" w:rsidP="00D31D77">
      <w:pPr>
        <w:keepNext/>
        <w:tabs>
          <w:tab w:val="left" w:pos="0"/>
        </w:tabs>
        <w:rPr>
          <w:sz w:val="22"/>
          <w:szCs w:val="22"/>
        </w:rPr>
      </w:pPr>
      <w:r w:rsidRPr="008F37E2">
        <w:rPr>
          <w:sz w:val="22"/>
          <w:szCs w:val="22"/>
          <w:u w:val="single"/>
        </w:rPr>
        <w:t>Citlivosť</w:t>
      </w:r>
    </w:p>
    <w:p w:rsidR="006B1F10" w:rsidRPr="008F37E2" w:rsidRDefault="006B1F10" w:rsidP="00762ABD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F37E2">
        <w:rPr>
          <w:sz w:val="22"/>
          <w:szCs w:val="22"/>
        </w:rPr>
        <w:t>Prevalencia</w:t>
      </w:r>
      <w:proofErr w:type="spellEnd"/>
      <w:r w:rsidRPr="008F37E2">
        <w:rPr>
          <w:sz w:val="22"/>
          <w:szCs w:val="22"/>
        </w:rPr>
        <w:t xml:space="preserve"> získanej rezistencie sa môže pri vybraných druhoch geograficky a časovo líšiť, a preto je žiaduce zistiť informácie o rezistencii z miestnych zdrojov, obzvlášť pri liečbe závažných infekcií. Podľa potreby treba vyhľadať odborné poradenstvo, ak je lokálna </w:t>
      </w:r>
      <w:proofErr w:type="spellStart"/>
      <w:r w:rsidRPr="008F37E2">
        <w:rPr>
          <w:sz w:val="22"/>
          <w:szCs w:val="22"/>
        </w:rPr>
        <w:t>prevalencia</w:t>
      </w:r>
      <w:proofErr w:type="spellEnd"/>
      <w:r w:rsidRPr="008F37E2">
        <w:rPr>
          <w:sz w:val="22"/>
          <w:szCs w:val="22"/>
        </w:rPr>
        <w:t xml:space="preserve"> rezistencie taká, že prospešnosť liečiva je prinajmenšom pri niektorých druhoch infekcií otázna.</w:t>
      </w:r>
    </w:p>
    <w:p w:rsidR="006B1F10" w:rsidRPr="008F37E2" w:rsidRDefault="006B1F10" w:rsidP="00762ABD">
      <w:pPr>
        <w:tabs>
          <w:tab w:val="left" w:pos="0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6"/>
      </w:tblGrid>
      <w:tr w:rsidR="006B1F10" w:rsidRPr="008F37E2" w:rsidTr="00042517">
        <w:trPr>
          <w:cantSplit/>
        </w:trPr>
        <w:tc>
          <w:tcPr>
            <w:tcW w:w="5000" w:type="pct"/>
            <w:vAlign w:val="center"/>
          </w:tcPr>
          <w:p w:rsidR="006B1F10" w:rsidRPr="008F37E2" w:rsidRDefault="006B1F10" w:rsidP="00042517">
            <w:pPr>
              <w:keepNext/>
              <w:spacing w:before="20" w:after="20"/>
              <w:rPr>
                <w:b/>
                <w:sz w:val="22"/>
                <w:szCs w:val="22"/>
              </w:rPr>
            </w:pPr>
            <w:r w:rsidRPr="008F37E2">
              <w:rPr>
                <w:b/>
                <w:sz w:val="22"/>
                <w:szCs w:val="22"/>
              </w:rPr>
              <w:t>Bežne citlivé druhy: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left w:val="nil"/>
              <w:bottom w:val="nil"/>
              <w:right w:val="nil"/>
            </w:tcBorders>
            <w:vAlign w:val="center"/>
          </w:tcPr>
          <w:p w:rsidR="006B1F10" w:rsidRPr="008F37E2" w:rsidRDefault="006B1F10" w:rsidP="00042517">
            <w:pPr>
              <w:keepNext/>
              <w:spacing w:before="20" w:after="20"/>
              <w:rPr>
                <w:b/>
                <w:sz w:val="22"/>
                <w:szCs w:val="22"/>
              </w:rPr>
            </w:pPr>
            <w:proofErr w:type="spellStart"/>
            <w:r w:rsidRPr="008F37E2">
              <w:rPr>
                <w:b/>
                <w:sz w:val="22"/>
                <w:szCs w:val="22"/>
              </w:rPr>
              <w:t>Grampozitívne</w:t>
            </w:r>
            <w:proofErr w:type="spellEnd"/>
            <w:r w:rsidRPr="008F37E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b/>
                <w:sz w:val="22"/>
                <w:szCs w:val="22"/>
              </w:rPr>
              <w:t>aeróby</w:t>
            </w:r>
            <w:proofErr w:type="spellEnd"/>
            <w:r w:rsidRPr="008F37E2">
              <w:rPr>
                <w:b/>
                <w:sz w:val="22"/>
                <w:szCs w:val="22"/>
              </w:rPr>
              <w:t>: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90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Enterococcus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faecalis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iCs/>
                <w:sz w:val="22"/>
                <w:szCs w:val="22"/>
              </w:rPr>
              <w:t>Staphylococcus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aureus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r w:rsidRPr="008F37E2">
              <w:rPr>
                <w:sz w:val="22"/>
                <w:szCs w:val="22"/>
              </w:rPr>
              <w:t xml:space="preserve">(citlivý na </w:t>
            </w:r>
            <w:proofErr w:type="spellStart"/>
            <w:r w:rsidRPr="008F37E2">
              <w:rPr>
                <w:sz w:val="22"/>
                <w:szCs w:val="22"/>
              </w:rPr>
              <w:t>meticilín</w:t>
            </w:r>
            <w:proofErr w:type="spellEnd"/>
            <w:r w:rsidRPr="008F37E2">
              <w:rPr>
                <w:iCs/>
                <w:sz w:val="22"/>
                <w:szCs w:val="22"/>
              </w:rPr>
              <w:t>)</w:t>
            </w:r>
            <w:r w:rsidRPr="008F37E2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sz w:val="22"/>
                <w:szCs w:val="22"/>
              </w:rPr>
              <w:t>Koaguláza-negatívny</w:t>
            </w:r>
            <w:proofErr w:type="spellEnd"/>
            <w:r w:rsidRPr="008F37E2">
              <w:rPr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Staphylococcus</w:t>
            </w:r>
            <w:proofErr w:type="spellEnd"/>
            <w:r w:rsidRPr="008F37E2">
              <w:rPr>
                <w:sz w:val="22"/>
                <w:szCs w:val="22"/>
              </w:rPr>
              <w:t xml:space="preserve"> (citlivý na </w:t>
            </w:r>
            <w:proofErr w:type="spellStart"/>
            <w:r w:rsidRPr="008F37E2">
              <w:rPr>
                <w:sz w:val="22"/>
                <w:szCs w:val="22"/>
              </w:rPr>
              <w:t>meticilín</w:t>
            </w:r>
            <w:proofErr w:type="spellEnd"/>
            <w:r w:rsidRPr="008F37E2">
              <w:rPr>
                <w:sz w:val="22"/>
                <w:szCs w:val="22"/>
              </w:rPr>
              <w:t>)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Streptococcus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iCs/>
                <w:sz w:val="22"/>
                <w:szCs w:val="22"/>
              </w:rPr>
              <w:t>agalactiae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Streptococcus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iCs/>
                <w:sz w:val="22"/>
                <w:szCs w:val="22"/>
              </w:rPr>
              <w:t>pneumoniae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iCs/>
                <w:sz w:val="22"/>
                <w:szCs w:val="22"/>
              </w:rPr>
              <w:t>Streptococcus</w:t>
            </w:r>
            <w:proofErr w:type="spellEnd"/>
            <w:r w:rsidRPr="008F37E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iCs/>
                <w:sz w:val="22"/>
                <w:szCs w:val="22"/>
              </w:rPr>
              <w:t>pyogenes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042517">
            <w:pPr>
              <w:spacing w:before="20" w:after="20"/>
              <w:ind w:firstLine="490"/>
              <w:rPr>
                <w:b/>
                <w:sz w:val="22"/>
                <w:szCs w:val="22"/>
              </w:rPr>
            </w:pPr>
            <w:r w:rsidRPr="008F37E2">
              <w:rPr>
                <w:sz w:val="22"/>
                <w:szCs w:val="22"/>
              </w:rPr>
              <w:t xml:space="preserve">Skupina </w:t>
            </w:r>
            <w:proofErr w:type="spellStart"/>
            <w:r w:rsidRPr="008F37E2">
              <w:rPr>
                <w:i/>
                <w:sz w:val="22"/>
                <w:szCs w:val="22"/>
              </w:rPr>
              <w:t>Streptococcus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viridans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042517">
            <w:pPr>
              <w:keepNext/>
              <w:spacing w:before="20" w:after="20"/>
              <w:rPr>
                <w:b/>
                <w:sz w:val="22"/>
                <w:szCs w:val="22"/>
              </w:rPr>
            </w:pPr>
            <w:proofErr w:type="spellStart"/>
            <w:r w:rsidRPr="008F37E2">
              <w:rPr>
                <w:b/>
                <w:bCs/>
                <w:iCs/>
                <w:sz w:val="22"/>
                <w:szCs w:val="22"/>
              </w:rPr>
              <w:t>Gramnegatívne</w:t>
            </w:r>
            <w:proofErr w:type="spellEnd"/>
            <w:r w:rsidRPr="008F37E2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b/>
                <w:bCs/>
                <w:iCs/>
                <w:sz w:val="22"/>
                <w:szCs w:val="22"/>
              </w:rPr>
              <w:t>aeróby</w:t>
            </w:r>
            <w:proofErr w:type="spellEnd"/>
            <w:r w:rsidRPr="008F37E2">
              <w:rPr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keepNext/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Citrobacter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freundii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Enterobacter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aerogenes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lastRenderedPageBreak/>
              <w:t>Enterobacter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cloacae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Escherichia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coli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Haemophilus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influenzae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Klebsiella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oxytoca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Klebsiella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pneumoniae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Moraxella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catarrhalis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Serratia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marcescens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042517">
            <w:pPr>
              <w:keepNext/>
              <w:spacing w:before="20" w:after="20"/>
              <w:rPr>
                <w:b/>
                <w:sz w:val="22"/>
                <w:szCs w:val="22"/>
              </w:rPr>
            </w:pPr>
            <w:proofErr w:type="spellStart"/>
            <w:r w:rsidRPr="008F37E2">
              <w:rPr>
                <w:b/>
                <w:bCs/>
                <w:iCs/>
                <w:sz w:val="22"/>
                <w:szCs w:val="22"/>
              </w:rPr>
              <w:t>Grampozitívne</w:t>
            </w:r>
            <w:proofErr w:type="spellEnd"/>
            <w:r w:rsidRPr="008F37E2">
              <w:rPr>
                <w:b/>
                <w:bCs/>
                <w:iCs/>
                <w:sz w:val="22"/>
                <w:szCs w:val="22"/>
              </w:rPr>
              <w:t xml:space="preserve"> anaeróby:</w:t>
            </w:r>
          </w:p>
        </w:tc>
      </w:tr>
      <w:tr w:rsidR="006B1F10" w:rsidRPr="008F37E2" w:rsidTr="00D31D7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D31D77">
            <w:pPr>
              <w:ind w:firstLine="483"/>
              <w:rPr>
                <w:i/>
                <w:iCs/>
                <w:sz w:val="22"/>
                <w:szCs w:val="22"/>
              </w:rPr>
            </w:pPr>
            <w:proofErr w:type="spellStart"/>
            <w:r w:rsidRPr="008F37E2">
              <w:rPr>
                <w:i/>
                <w:iCs/>
                <w:sz w:val="22"/>
                <w:szCs w:val="22"/>
              </w:rPr>
              <w:t>Clostridium</w:t>
            </w:r>
            <w:proofErr w:type="spellEnd"/>
            <w:r w:rsidRPr="008F37E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iCs/>
                <w:sz w:val="22"/>
                <w:szCs w:val="22"/>
              </w:rPr>
              <w:t>perfringens</w:t>
            </w:r>
            <w:proofErr w:type="spellEnd"/>
            <w:r w:rsidRPr="008F37E2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</w:tr>
      <w:tr w:rsidR="006B1F10" w:rsidRPr="008F37E2" w:rsidTr="00D31D7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D31D7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iCs/>
                <w:sz w:val="22"/>
                <w:szCs w:val="22"/>
              </w:rPr>
              <w:t>Peptostreptococcus</w:t>
            </w:r>
            <w:proofErr w:type="spellEnd"/>
            <w:r w:rsidRPr="008F37E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</w:rPr>
              <w:t>spp</w:t>
            </w:r>
            <w:proofErr w:type="spellEnd"/>
            <w:r w:rsidRPr="008F37E2">
              <w:rPr>
                <w:sz w:val="22"/>
                <w:szCs w:val="22"/>
              </w:rPr>
              <w:t>.</w:t>
            </w:r>
            <w:r w:rsidRPr="008F37E2">
              <w:rPr>
                <w:sz w:val="22"/>
                <w:szCs w:val="22"/>
                <w:vertAlign w:val="superscript"/>
              </w:rPr>
              <w:t>**</w:t>
            </w:r>
          </w:p>
        </w:tc>
      </w:tr>
      <w:tr w:rsidR="006B1F10" w:rsidRPr="008F37E2" w:rsidTr="00D31D7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F10" w:rsidRPr="008F37E2" w:rsidRDefault="006B1F10" w:rsidP="00D31D77">
            <w:pPr>
              <w:keepNext/>
              <w:spacing w:before="20" w:after="20"/>
              <w:rPr>
                <w:b/>
                <w:sz w:val="22"/>
                <w:szCs w:val="22"/>
              </w:rPr>
            </w:pPr>
            <w:proofErr w:type="spellStart"/>
            <w:r w:rsidRPr="008F37E2">
              <w:rPr>
                <w:b/>
                <w:bCs/>
                <w:iCs/>
                <w:sz w:val="22"/>
                <w:szCs w:val="22"/>
              </w:rPr>
              <w:t>Gramnegatívne</w:t>
            </w:r>
            <w:proofErr w:type="spellEnd"/>
            <w:r w:rsidRPr="008F37E2">
              <w:rPr>
                <w:b/>
                <w:bCs/>
                <w:iCs/>
                <w:sz w:val="22"/>
                <w:szCs w:val="22"/>
              </w:rPr>
              <w:t xml:space="preserve"> anaeróby: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>
            <w:pPr>
              <w:ind w:firstLine="483"/>
              <w:rPr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Bacteroides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fragilis</w:t>
            </w:r>
            <w:proofErr w:type="spellEnd"/>
          </w:p>
        </w:tc>
      </w:tr>
      <w:tr w:rsidR="006B1F10" w:rsidRPr="008F37E2" w:rsidTr="00D31D7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D31D77">
            <w:pPr>
              <w:ind w:firstLine="483"/>
              <w:rPr>
                <w:i/>
                <w:iCs/>
                <w:sz w:val="22"/>
                <w:szCs w:val="22"/>
              </w:rPr>
            </w:pPr>
            <w:r w:rsidRPr="008F37E2">
              <w:rPr>
                <w:iCs/>
                <w:sz w:val="22"/>
                <w:szCs w:val="22"/>
              </w:rPr>
              <w:t>Skupina</w:t>
            </w:r>
            <w:r w:rsidRPr="008F37E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iCs/>
                <w:sz w:val="22"/>
                <w:szCs w:val="22"/>
              </w:rPr>
              <w:t>Bacteroides</w:t>
            </w:r>
            <w:proofErr w:type="spellEnd"/>
            <w:r w:rsidRPr="008F37E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iCs/>
                <w:sz w:val="22"/>
                <w:szCs w:val="22"/>
              </w:rPr>
              <w:t>fragilis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Fusobacterium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</w:rPr>
              <w:t>spp</w:t>
            </w:r>
            <w:proofErr w:type="spellEnd"/>
            <w:r w:rsidRPr="008F37E2">
              <w:rPr>
                <w:i/>
                <w:sz w:val="22"/>
                <w:szCs w:val="22"/>
              </w:rPr>
              <w:t>.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iCs/>
                <w:sz w:val="22"/>
                <w:szCs w:val="22"/>
              </w:rPr>
              <w:t>Porphyromonas</w:t>
            </w:r>
            <w:proofErr w:type="spellEnd"/>
            <w:r w:rsidRPr="008F37E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iCs/>
                <w:sz w:val="22"/>
                <w:szCs w:val="22"/>
              </w:rPr>
              <w:t>asaccharolytica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F10" w:rsidRPr="008F37E2" w:rsidRDefault="006B1F10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Prevotella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</w:rPr>
              <w:t>spp</w:t>
            </w:r>
            <w:proofErr w:type="spellEnd"/>
            <w:r w:rsidRPr="008F37E2">
              <w:rPr>
                <w:sz w:val="22"/>
                <w:szCs w:val="22"/>
              </w:rPr>
              <w:t>.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D31D77">
            <w:pPr>
              <w:spacing w:before="20" w:after="20"/>
              <w:ind w:firstLine="490"/>
              <w:rPr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Veillonella</w:t>
            </w:r>
            <w:proofErr w:type="spellEnd"/>
            <w:r w:rsidRPr="008F37E2">
              <w:rPr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</w:rPr>
              <w:t>spp</w:t>
            </w:r>
            <w:proofErr w:type="spellEnd"/>
            <w:r w:rsidRPr="008F37E2">
              <w:rPr>
                <w:sz w:val="22"/>
                <w:szCs w:val="22"/>
              </w:rPr>
              <w:t>.</w:t>
            </w:r>
          </w:p>
          <w:p w:rsidR="006B1F10" w:rsidRPr="008F37E2" w:rsidRDefault="006B1F10" w:rsidP="00042517">
            <w:pPr>
              <w:spacing w:before="20" w:after="20"/>
              <w:ind w:firstLine="490"/>
              <w:rPr>
                <w:sz w:val="22"/>
                <w:szCs w:val="22"/>
              </w:rPr>
            </w:pPr>
          </w:p>
        </w:tc>
      </w:tr>
      <w:tr w:rsidR="006B1F10" w:rsidRPr="008F37E2" w:rsidTr="00042517">
        <w:trPr>
          <w:cantSplit/>
        </w:trPr>
        <w:tc>
          <w:tcPr>
            <w:tcW w:w="5000" w:type="pct"/>
            <w:vAlign w:val="center"/>
          </w:tcPr>
          <w:p w:rsidR="006B1F10" w:rsidRPr="008F37E2" w:rsidRDefault="006B1F10">
            <w:pPr>
              <w:keepNext/>
              <w:spacing w:before="20" w:after="20"/>
              <w:rPr>
                <w:b/>
                <w:sz w:val="22"/>
                <w:szCs w:val="22"/>
              </w:rPr>
            </w:pPr>
            <w:r w:rsidRPr="008F37E2">
              <w:rPr>
                <w:b/>
                <w:sz w:val="22"/>
                <w:szCs w:val="22"/>
              </w:rPr>
              <w:t>Druhy, u</w:t>
            </w:r>
            <w:r w:rsidRPr="008F37E2">
              <w:rPr>
                <w:b/>
                <w:bCs/>
                <w:sz w:val="22"/>
                <w:szCs w:val="22"/>
              </w:rPr>
              <w:t> </w:t>
            </w:r>
            <w:r w:rsidRPr="008F37E2">
              <w:rPr>
                <w:b/>
                <w:sz w:val="22"/>
                <w:szCs w:val="22"/>
              </w:rPr>
              <w:t>ktorých môže byť problémom získaná rezistencia</w:t>
            </w:r>
            <w:r w:rsidRPr="008F37E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left w:val="nil"/>
              <w:bottom w:val="nil"/>
              <w:right w:val="nil"/>
            </w:tcBorders>
            <w:vAlign w:val="center"/>
          </w:tcPr>
          <w:p w:rsidR="006B1F10" w:rsidRPr="008F37E2" w:rsidRDefault="006B1F10" w:rsidP="00042517">
            <w:pPr>
              <w:keepNext/>
              <w:spacing w:before="20" w:after="20"/>
              <w:rPr>
                <w:b/>
                <w:sz w:val="22"/>
                <w:szCs w:val="22"/>
              </w:rPr>
            </w:pPr>
            <w:proofErr w:type="spellStart"/>
            <w:r w:rsidRPr="008F37E2">
              <w:rPr>
                <w:b/>
                <w:bCs/>
                <w:iCs/>
                <w:sz w:val="22"/>
                <w:szCs w:val="22"/>
              </w:rPr>
              <w:t>Gramnegatívne</w:t>
            </w:r>
            <w:proofErr w:type="spellEnd"/>
            <w:r w:rsidRPr="008F37E2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b/>
                <w:bCs/>
                <w:iCs/>
                <w:sz w:val="22"/>
                <w:szCs w:val="22"/>
              </w:rPr>
              <w:t>aeróby</w:t>
            </w:r>
            <w:proofErr w:type="spellEnd"/>
            <w:r w:rsidRPr="008F37E2">
              <w:rPr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042517">
            <w:pPr>
              <w:ind w:firstLine="483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Acinetobacter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baumannii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>
            <w:pPr>
              <w:tabs>
                <w:tab w:val="left" w:pos="520"/>
              </w:tabs>
              <w:spacing w:before="20" w:after="20"/>
              <w:ind w:firstLine="426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Pseudomonas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aeruginosa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</w:tcPr>
          <w:p w:rsidR="006B1F10" w:rsidRPr="008F37E2" w:rsidRDefault="006B1F10">
            <w:pPr>
              <w:keepNext/>
              <w:spacing w:before="20" w:after="20"/>
              <w:rPr>
                <w:b/>
                <w:sz w:val="22"/>
                <w:szCs w:val="22"/>
              </w:rPr>
            </w:pPr>
            <w:r w:rsidRPr="008F37E2">
              <w:rPr>
                <w:b/>
                <w:sz w:val="22"/>
                <w:szCs w:val="22"/>
              </w:rPr>
              <w:t xml:space="preserve">Inherentne rezistentné </w:t>
            </w:r>
            <w:r w:rsidRPr="008F37E2">
              <w:rPr>
                <w:b/>
                <w:bCs/>
                <w:iCs/>
                <w:sz w:val="22"/>
                <w:szCs w:val="22"/>
              </w:rPr>
              <w:t>druhy: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6B1F10" w:rsidRPr="008F37E2" w:rsidRDefault="006B1F10" w:rsidP="00042517">
            <w:pPr>
              <w:keepNext/>
              <w:spacing w:before="20" w:after="20"/>
              <w:rPr>
                <w:b/>
                <w:sz w:val="22"/>
                <w:szCs w:val="22"/>
              </w:rPr>
            </w:pPr>
            <w:proofErr w:type="spellStart"/>
            <w:r w:rsidRPr="008F37E2">
              <w:rPr>
                <w:b/>
                <w:sz w:val="22"/>
                <w:szCs w:val="22"/>
              </w:rPr>
              <w:t>Grampozitívne</w:t>
            </w:r>
            <w:proofErr w:type="spellEnd"/>
            <w:r w:rsidRPr="008F37E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b/>
                <w:sz w:val="22"/>
                <w:szCs w:val="22"/>
              </w:rPr>
              <w:t>aeróby</w:t>
            </w:r>
            <w:proofErr w:type="spellEnd"/>
            <w:r w:rsidRPr="008F37E2">
              <w:rPr>
                <w:b/>
                <w:sz w:val="22"/>
                <w:szCs w:val="22"/>
              </w:rPr>
              <w:t>: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F10" w:rsidRPr="008F37E2" w:rsidRDefault="006B1F10" w:rsidP="00042517">
            <w:pPr>
              <w:spacing w:before="20" w:after="20"/>
              <w:ind w:left="503" w:firstLine="64"/>
              <w:rPr>
                <w:i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Enterococcus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faecium</w:t>
            </w:r>
            <w:proofErr w:type="spellEnd"/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F10" w:rsidRPr="008F37E2" w:rsidRDefault="006B1F10" w:rsidP="00042517">
            <w:pPr>
              <w:spacing w:before="20" w:after="20"/>
              <w:rPr>
                <w:b/>
                <w:sz w:val="22"/>
                <w:szCs w:val="22"/>
              </w:rPr>
            </w:pPr>
            <w:proofErr w:type="spellStart"/>
            <w:r w:rsidRPr="008F37E2">
              <w:rPr>
                <w:b/>
                <w:bCs/>
                <w:iCs/>
                <w:sz w:val="22"/>
                <w:szCs w:val="22"/>
              </w:rPr>
              <w:t>Gramnegatívne</w:t>
            </w:r>
            <w:proofErr w:type="spellEnd"/>
            <w:r w:rsidRPr="008F37E2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b/>
                <w:bCs/>
                <w:iCs/>
                <w:sz w:val="22"/>
                <w:szCs w:val="22"/>
              </w:rPr>
              <w:t>aeróby</w:t>
            </w:r>
            <w:proofErr w:type="spellEnd"/>
            <w:r w:rsidRPr="008F37E2">
              <w:rPr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6B1F10" w:rsidRPr="008F37E2" w:rsidTr="00D31D7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F10" w:rsidRPr="008F37E2" w:rsidRDefault="006B1F10" w:rsidP="00D31D77">
            <w:pPr>
              <w:spacing w:before="20" w:after="20"/>
              <w:ind w:left="540" w:firstLine="27"/>
              <w:rPr>
                <w:bCs/>
                <w:i/>
                <w:iCs/>
                <w:sz w:val="22"/>
                <w:szCs w:val="22"/>
              </w:rPr>
            </w:pPr>
            <w:r w:rsidRPr="008F37E2">
              <w:rPr>
                <w:sz w:val="22"/>
                <w:szCs w:val="22"/>
              </w:rPr>
              <w:t>Niektoré kmene</w:t>
            </w:r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Burkholderia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cepacia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r w:rsidRPr="008F37E2">
              <w:rPr>
                <w:sz w:val="22"/>
                <w:szCs w:val="22"/>
              </w:rPr>
              <w:t>(predtým</w:t>
            </w:r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Pseudomonas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cepacia</w:t>
            </w:r>
            <w:proofErr w:type="spellEnd"/>
            <w:r w:rsidRPr="008F37E2">
              <w:rPr>
                <w:sz w:val="22"/>
                <w:szCs w:val="22"/>
              </w:rPr>
              <w:t>)</w:t>
            </w:r>
          </w:p>
        </w:tc>
      </w:tr>
      <w:tr w:rsidR="006B1F10" w:rsidRPr="008F37E2" w:rsidTr="00D31D7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F10" w:rsidRPr="008F37E2" w:rsidRDefault="006B1F10" w:rsidP="00D31D77">
            <w:pPr>
              <w:spacing w:before="20" w:after="20"/>
              <w:ind w:left="540" w:firstLine="27"/>
              <w:rPr>
                <w:bCs/>
                <w:iCs/>
                <w:sz w:val="22"/>
                <w:szCs w:val="22"/>
                <w:u w:val="single"/>
              </w:rPr>
            </w:pPr>
            <w:proofErr w:type="spellStart"/>
            <w:r w:rsidRPr="008F37E2">
              <w:rPr>
                <w:bCs/>
                <w:i/>
                <w:iCs/>
                <w:sz w:val="22"/>
                <w:szCs w:val="22"/>
              </w:rPr>
              <w:t>Legionella</w:t>
            </w:r>
            <w:proofErr w:type="spellEnd"/>
            <w:r w:rsidRPr="008F37E2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bCs/>
                <w:iCs/>
                <w:sz w:val="22"/>
                <w:szCs w:val="22"/>
              </w:rPr>
              <w:t>spp</w:t>
            </w:r>
            <w:proofErr w:type="spellEnd"/>
            <w:r w:rsidRPr="008F37E2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F0767" w:rsidRDefault="006B1F10">
            <w:pPr>
              <w:spacing w:before="20" w:after="20"/>
              <w:ind w:left="567"/>
              <w:rPr>
                <w:b/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Stenotrophomonas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maltophilia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r w:rsidRPr="008F37E2">
              <w:rPr>
                <w:sz w:val="22"/>
                <w:szCs w:val="22"/>
              </w:rPr>
              <w:t>(predtým</w:t>
            </w:r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Xanthomonas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maltophilia</w:t>
            </w:r>
            <w:proofErr w:type="spellEnd"/>
            <w:r w:rsidRPr="008F37E2">
              <w:rPr>
                <w:sz w:val="22"/>
                <w:szCs w:val="22"/>
              </w:rPr>
              <w:t xml:space="preserve">, predtým </w:t>
            </w:r>
            <w:proofErr w:type="spellStart"/>
            <w:r w:rsidRPr="008F37E2">
              <w:rPr>
                <w:i/>
                <w:sz w:val="22"/>
                <w:szCs w:val="22"/>
              </w:rPr>
              <w:t>Pseudomonas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maltophilia</w:t>
            </w:r>
            <w:proofErr w:type="spellEnd"/>
            <w:r w:rsidRPr="008F37E2">
              <w:rPr>
                <w:sz w:val="22"/>
                <w:szCs w:val="22"/>
              </w:rPr>
              <w:t>)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6B1F10" w:rsidRPr="008F37E2" w:rsidRDefault="006B1F10" w:rsidP="00042517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6B1F10" w:rsidRPr="008F37E2" w:rsidTr="00042517">
        <w:trPr>
          <w:cantSplit/>
        </w:trPr>
        <w:tc>
          <w:tcPr>
            <w:tcW w:w="5000" w:type="pct"/>
          </w:tcPr>
          <w:p w:rsidR="006B1F10" w:rsidRPr="008F37E2" w:rsidRDefault="006B1F10" w:rsidP="00042517">
            <w:pPr>
              <w:keepNext/>
              <w:spacing w:before="20" w:after="20"/>
              <w:rPr>
                <w:sz w:val="22"/>
                <w:szCs w:val="22"/>
              </w:rPr>
            </w:pPr>
            <w:r w:rsidRPr="008F37E2">
              <w:rPr>
                <w:b/>
                <w:sz w:val="22"/>
                <w:szCs w:val="22"/>
              </w:rPr>
              <w:t>Iné: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6B1F10" w:rsidRPr="008F37E2" w:rsidRDefault="006B1F10" w:rsidP="00042517">
            <w:pPr>
              <w:spacing w:before="20" w:after="20"/>
              <w:ind w:left="540" w:firstLine="27"/>
              <w:rPr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Chlamydia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</w:rPr>
              <w:t>spp</w:t>
            </w:r>
            <w:proofErr w:type="spellEnd"/>
            <w:r w:rsidRPr="008F37E2">
              <w:rPr>
                <w:sz w:val="22"/>
                <w:szCs w:val="22"/>
              </w:rPr>
              <w:t>.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042517">
            <w:pPr>
              <w:spacing w:before="20" w:after="20"/>
              <w:ind w:left="540" w:firstLine="27"/>
              <w:rPr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Chlamydophila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</w:rPr>
              <w:t>spp</w:t>
            </w:r>
            <w:proofErr w:type="spellEnd"/>
            <w:r w:rsidRPr="008F37E2">
              <w:rPr>
                <w:sz w:val="22"/>
                <w:szCs w:val="22"/>
              </w:rPr>
              <w:t>.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042517">
            <w:pPr>
              <w:spacing w:before="20" w:after="20"/>
              <w:ind w:left="540" w:firstLine="27"/>
              <w:rPr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Mycoplasma</w:t>
            </w:r>
            <w:proofErr w:type="spellEnd"/>
            <w:r w:rsidRPr="008F37E2">
              <w:rPr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sz w:val="22"/>
                <w:szCs w:val="22"/>
              </w:rPr>
              <w:t>spp</w:t>
            </w:r>
            <w:proofErr w:type="spellEnd"/>
            <w:r w:rsidRPr="008F37E2">
              <w:rPr>
                <w:sz w:val="22"/>
                <w:szCs w:val="22"/>
              </w:rPr>
              <w:t>.</w:t>
            </w:r>
          </w:p>
        </w:tc>
      </w:tr>
      <w:tr w:rsidR="006B1F10" w:rsidRPr="008F37E2" w:rsidTr="00042517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B1F10" w:rsidRPr="008F37E2" w:rsidRDefault="006B1F10" w:rsidP="00042517">
            <w:pPr>
              <w:spacing w:before="20" w:after="20"/>
              <w:ind w:left="540" w:firstLine="27"/>
              <w:rPr>
                <w:sz w:val="22"/>
                <w:szCs w:val="22"/>
              </w:rPr>
            </w:pPr>
            <w:proofErr w:type="spellStart"/>
            <w:r w:rsidRPr="008F37E2">
              <w:rPr>
                <w:i/>
                <w:sz w:val="22"/>
                <w:szCs w:val="22"/>
              </w:rPr>
              <w:t>Ureaplasma</w:t>
            </w:r>
            <w:proofErr w:type="spellEnd"/>
            <w:r w:rsidRPr="008F3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F37E2">
              <w:rPr>
                <w:i/>
                <w:sz w:val="22"/>
                <w:szCs w:val="22"/>
              </w:rPr>
              <w:t>urealyticum</w:t>
            </w:r>
            <w:proofErr w:type="spellEnd"/>
          </w:p>
        </w:tc>
      </w:tr>
    </w:tbl>
    <w:p w:rsidR="006B1F10" w:rsidRPr="008F37E2" w:rsidRDefault="006B1F10" w:rsidP="00762ABD">
      <w:pPr>
        <w:tabs>
          <w:tab w:val="left" w:pos="180"/>
        </w:tabs>
        <w:rPr>
          <w:sz w:val="22"/>
          <w:szCs w:val="22"/>
          <w:vertAlign w:val="superscript"/>
        </w:rPr>
      </w:pPr>
      <w:r w:rsidRPr="008F37E2">
        <w:rPr>
          <w:iCs/>
          <w:sz w:val="22"/>
          <w:szCs w:val="22"/>
          <w:vertAlign w:val="superscript"/>
        </w:rPr>
        <w:t>*</w:t>
      </w:r>
      <w:r w:rsidRPr="008F37E2">
        <w:rPr>
          <w:iCs/>
          <w:sz w:val="22"/>
          <w:szCs w:val="22"/>
          <w:vertAlign w:val="superscript"/>
        </w:rPr>
        <w:tab/>
      </w:r>
      <w:r w:rsidRPr="008F37E2">
        <w:rPr>
          <w:iCs/>
          <w:sz w:val="22"/>
          <w:szCs w:val="22"/>
        </w:rPr>
        <w:t xml:space="preserve">Všetky stafylokoky rezistentné voči </w:t>
      </w:r>
      <w:proofErr w:type="spellStart"/>
      <w:r w:rsidRPr="008F37E2">
        <w:rPr>
          <w:iCs/>
          <w:sz w:val="22"/>
          <w:szCs w:val="22"/>
        </w:rPr>
        <w:t>meticilínu</w:t>
      </w:r>
      <w:proofErr w:type="spellEnd"/>
      <w:r w:rsidRPr="008F37E2">
        <w:rPr>
          <w:iCs/>
          <w:sz w:val="22"/>
          <w:szCs w:val="22"/>
        </w:rPr>
        <w:t xml:space="preserve"> sú rezistentné voči </w:t>
      </w:r>
      <w:proofErr w:type="spellStart"/>
      <w:r w:rsidRPr="008F37E2">
        <w:rPr>
          <w:iCs/>
          <w:sz w:val="22"/>
          <w:szCs w:val="22"/>
        </w:rPr>
        <w:t>imipenému</w:t>
      </w:r>
      <w:proofErr w:type="spellEnd"/>
      <w:r w:rsidRPr="008F37E2">
        <w:rPr>
          <w:iCs/>
          <w:sz w:val="22"/>
          <w:szCs w:val="22"/>
        </w:rPr>
        <w:t>/</w:t>
      </w:r>
      <w:proofErr w:type="spellStart"/>
      <w:r w:rsidRPr="008F37E2">
        <w:rPr>
          <w:iCs/>
          <w:sz w:val="22"/>
          <w:szCs w:val="22"/>
        </w:rPr>
        <w:t>cilastatínu</w:t>
      </w:r>
      <w:proofErr w:type="spellEnd"/>
      <w:r w:rsidRPr="008F37E2">
        <w:rPr>
          <w:iCs/>
          <w:sz w:val="22"/>
          <w:szCs w:val="22"/>
        </w:rPr>
        <w:t>.</w:t>
      </w:r>
      <w:r w:rsidRPr="008F37E2">
        <w:rPr>
          <w:iCs/>
          <w:sz w:val="22"/>
          <w:szCs w:val="22"/>
          <w:vertAlign w:val="superscript"/>
        </w:rPr>
        <w:t xml:space="preserve"> </w:t>
      </w:r>
    </w:p>
    <w:p w:rsidR="006B1F10" w:rsidRPr="008F37E2" w:rsidRDefault="006B1F10" w:rsidP="00762ABD">
      <w:pPr>
        <w:tabs>
          <w:tab w:val="left" w:pos="180"/>
        </w:tabs>
        <w:rPr>
          <w:sz w:val="22"/>
          <w:szCs w:val="22"/>
        </w:rPr>
      </w:pPr>
      <w:r w:rsidRPr="008F37E2">
        <w:rPr>
          <w:sz w:val="22"/>
          <w:szCs w:val="22"/>
          <w:vertAlign w:val="superscript"/>
        </w:rPr>
        <w:t>**</w:t>
      </w:r>
      <w:r w:rsidRPr="008F37E2">
        <w:rPr>
          <w:sz w:val="22"/>
          <w:szCs w:val="22"/>
        </w:rPr>
        <w:t> Použila sa druhovo nesúvisiaca hraničná hodnota podľa EUCAST.</w:t>
      </w:r>
    </w:p>
    <w:p w:rsidR="006B1F10" w:rsidRPr="008F37E2" w:rsidRDefault="006B1F10">
      <w:pPr>
        <w:tabs>
          <w:tab w:val="left" w:pos="0"/>
        </w:tabs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5.2</w:t>
      </w:r>
      <w:r w:rsidRPr="008F37E2">
        <w:rPr>
          <w:b/>
          <w:sz w:val="22"/>
          <w:szCs w:val="22"/>
        </w:rPr>
        <w:tab/>
      </w:r>
      <w:proofErr w:type="spellStart"/>
      <w:r w:rsidRPr="008F37E2">
        <w:rPr>
          <w:b/>
          <w:sz w:val="22"/>
          <w:szCs w:val="22"/>
        </w:rPr>
        <w:t>Farmakokinetické</w:t>
      </w:r>
      <w:proofErr w:type="spellEnd"/>
      <w:r w:rsidRPr="008F37E2">
        <w:rPr>
          <w:b/>
          <w:sz w:val="22"/>
          <w:szCs w:val="22"/>
        </w:rPr>
        <w:t xml:space="preserve"> vlastnosti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D31D77">
      <w:pPr>
        <w:keepNext/>
        <w:rPr>
          <w:sz w:val="22"/>
          <w:szCs w:val="22"/>
        </w:rPr>
      </w:pPr>
      <w:proofErr w:type="spellStart"/>
      <w:r w:rsidRPr="008F37E2">
        <w:rPr>
          <w:sz w:val="22"/>
          <w:szCs w:val="22"/>
          <w:u w:val="single"/>
        </w:rPr>
        <w:t>Imipeném</w:t>
      </w:r>
      <w:proofErr w:type="spellEnd"/>
    </w:p>
    <w:p w:rsidR="006B1F10" w:rsidRPr="008F37E2" w:rsidRDefault="006B1F10" w:rsidP="00762ABD">
      <w:pPr>
        <w:rPr>
          <w:sz w:val="22"/>
          <w:szCs w:val="22"/>
        </w:rPr>
      </w:pPr>
    </w:p>
    <w:p w:rsidR="001F0767" w:rsidRDefault="00AB5CE4">
      <w:pPr>
        <w:keepNext/>
        <w:rPr>
          <w:i/>
          <w:sz w:val="22"/>
          <w:szCs w:val="22"/>
        </w:rPr>
      </w:pPr>
      <w:r w:rsidRPr="00AB5CE4">
        <w:rPr>
          <w:i/>
          <w:sz w:val="22"/>
          <w:szCs w:val="22"/>
        </w:rPr>
        <w:t>Absorpcia</w:t>
      </w:r>
      <w:r w:rsidR="00584ECB" w:rsidRPr="00584ECB" w:rsidDel="00584ECB">
        <w:rPr>
          <w:i/>
          <w:sz w:val="22"/>
          <w:szCs w:val="22"/>
        </w:rPr>
        <w:t xml:space="preserve"> 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U zdravých dobrovoľníkov viedla 20-minútová intravenózna infúzia </w:t>
      </w:r>
      <w:proofErr w:type="spellStart"/>
      <w:r w:rsidRPr="008F37E2">
        <w:rPr>
          <w:sz w:val="22"/>
          <w:szCs w:val="22"/>
        </w:rPr>
        <w:t>Imipenem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Cilastatinu</w:t>
      </w:r>
      <w:proofErr w:type="spellEnd"/>
      <w:r w:rsidRPr="008F37E2">
        <w:rPr>
          <w:sz w:val="22"/>
          <w:szCs w:val="22"/>
        </w:rPr>
        <w:t xml:space="preserve"> k maximálnym plazmatickým hladinám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v rozmedzí od 12 do 20 </w:t>
      </w:r>
      <w:proofErr w:type="spellStart"/>
      <w:r w:rsidRPr="008F37E2">
        <w:rPr>
          <w:sz w:val="22"/>
          <w:szCs w:val="22"/>
        </w:rPr>
        <w:t>μg</w:t>
      </w:r>
      <w:proofErr w:type="spellEnd"/>
      <w:r w:rsidRPr="008F37E2">
        <w:rPr>
          <w:sz w:val="22"/>
          <w:szCs w:val="22"/>
        </w:rPr>
        <w:t>/ml pri dávke 250 mg/250 mg, od 21 do 58 </w:t>
      </w:r>
      <w:proofErr w:type="spellStart"/>
      <w:r w:rsidRPr="008F37E2">
        <w:rPr>
          <w:sz w:val="22"/>
          <w:szCs w:val="22"/>
        </w:rPr>
        <w:t>μg</w:t>
      </w:r>
      <w:proofErr w:type="spellEnd"/>
      <w:r w:rsidRPr="008F37E2">
        <w:rPr>
          <w:sz w:val="22"/>
          <w:szCs w:val="22"/>
        </w:rPr>
        <w:t>/ml pri dávke 500 mg/500 mg a od 41 do 83 </w:t>
      </w:r>
      <w:proofErr w:type="spellStart"/>
      <w:r w:rsidRPr="008F37E2">
        <w:rPr>
          <w:sz w:val="22"/>
          <w:szCs w:val="22"/>
        </w:rPr>
        <w:t>μg</w:t>
      </w:r>
      <w:proofErr w:type="spellEnd"/>
      <w:r w:rsidRPr="008F37E2">
        <w:rPr>
          <w:sz w:val="22"/>
          <w:szCs w:val="22"/>
        </w:rPr>
        <w:t xml:space="preserve">/ml pri dávke 1 000 mg/1 000 mg. Priemerné maximálne plazmatické hladiny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po dávkach 250 mg/250 mg, 500 mg/500 mg a 1 000 mg /1 000 mg boli v uvedenom poradí 17, 39 a 66 </w:t>
      </w:r>
      <w:proofErr w:type="spellStart"/>
      <w:r w:rsidRPr="008F37E2">
        <w:rPr>
          <w:sz w:val="22"/>
          <w:szCs w:val="22"/>
        </w:rPr>
        <w:t>μg</w:t>
      </w:r>
      <w:proofErr w:type="spellEnd"/>
      <w:r w:rsidRPr="008F37E2">
        <w:rPr>
          <w:sz w:val="22"/>
          <w:szCs w:val="22"/>
        </w:rPr>
        <w:t xml:space="preserve">/ml. Pri týchto dávkach klesnú plazmatické hladiny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pod 1 </w:t>
      </w:r>
      <w:proofErr w:type="spellStart"/>
      <w:r w:rsidRPr="008F37E2">
        <w:rPr>
          <w:sz w:val="22"/>
          <w:szCs w:val="22"/>
        </w:rPr>
        <w:t>μg</w:t>
      </w:r>
      <w:proofErr w:type="spellEnd"/>
      <w:r w:rsidRPr="008F37E2">
        <w:rPr>
          <w:sz w:val="22"/>
          <w:szCs w:val="22"/>
        </w:rPr>
        <w:t>/ml alebo menej za štyri až šesť hodín.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D31D77">
      <w:pPr>
        <w:keepNext/>
        <w:rPr>
          <w:sz w:val="22"/>
          <w:szCs w:val="22"/>
        </w:rPr>
      </w:pPr>
      <w:r w:rsidRPr="008F37E2">
        <w:rPr>
          <w:i/>
          <w:sz w:val="22"/>
          <w:szCs w:val="22"/>
        </w:rPr>
        <w:t>Distribúcia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Približne 20 %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sa viaže na ľudské sérové proteíny.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D31D77">
      <w:pPr>
        <w:keepNext/>
        <w:rPr>
          <w:sz w:val="22"/>
          <w:szCs w:val="22"/>
        </w:rPr>
      </w:pPr>
      <w:proofErr w:type="spellStart"/>
      <w:r w:rsidRPr="008F37E2">
        <w:rPr>
          <w:i/>
          <w:sz w:val="22"/>
          <w:szCs w:val="22"/>
        </w:rPr>
        <w:t>Biotransformácia</w:t>
      </w:r>
      <w:proofErr w:type="spellEnd"/>
      <w:r w:rsidRPr="008F37E2">
        <w:rPr>
          <w:i/>
          <w:sz w:val="22"/>
          <w:szCs w:val="22"/>
        </w:rPr>
        <w:t xml:space="preserve"> 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Ak sa </w:t>
      </w:r>
      <w:proofErr w:type="spellStart"/>
      <w:r w:rsidRPr="008F37E2">
        <w:rPr>
          <w:sz w:val="22"/>
          <w:szCs w:val="22"/>
        </w:rPr>
        <w:t>imipeném</w:t>
      </w:r>
      <w:proofErr w:type="spellEnd"/>
      <w:r w:rsidRPr="008F37E2">
        <w:rPr>
          <w:sz w:val="22"/>
          <w:szCs w:val="22"/>
        </w:rPr>
        <w:t xml:space="preserve"> podáva samostatne, metabolizuje sa v obličkách prostredníctvom </w:t>
      </w:r>
      <w:proofErr w:type="spellStart"/>
      <w:r w:rsidRPr="008F37E2">
        <w:rPr>
          <w:sz w:val="22"/>
          <w:szCs w:val="22"/>
        </w:rPr>
        <w:t>dehydropeptidázy-I</w:t>
      </w:r>
      <w:proofErr w:type="spellEnd"/>
      <w:r w:rsidRPr="008F37E2">
        <w:rPr>
          <w:sz w:val="22"/>
          <w:szCs w:val="22"/>
        </w:rPr>
        <w:t>. Vylučovanie močom je v rozmedzí 5 až 40 %, v niekoľkých štúdiách bolo priemerné vylučovanie 15 – 20 %.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proofErr w:type="spellStart"/>
      <w:r w:rsidRPr="008F37E2">
        <w:rPr>
          <w:sz w:val="22"/>
          <w:szCs w:val="22"/>
        </w:rPr>
        <w:t>Cilastatín</w:t>
      </w:r>
      <w:proofErr w:type="spellEnd"/>
      <w:r w:rsidRPr="008F37E2">
        <w:rPr>
          <w:sz w:val="22"/>
          <w:szCs w:val="22"/>
        </w:rPr>
        <w:t xml:space="preserve"> je špecifický inhibítor enzýmu </w:t>
      </w:r>
      <w:proofErr w:type="spellStart"/>
      <w:r w:rsidRPr="008F37E2">
        <w:rPr>
          <w:sz w:val="22"/>
          <w:szCs w:val="22"/>
        </w:rPr>
        <w:t>dehydropeptidázy-I</w:t>
      </w:r>
      <w:proofErr w:type="spellEnd"/>
      <w:r w:rsidRPr="008F37E2">
        <w:rPr>
          <w:sz w:val="22"/>
          <w:szCs w:val="22"/>
        </w:rPr>
        <w:t xml:space="preserve"> a účinne </w:t>
      </w:r>
      <w:proofErr w:type="spellStart"/>
      <w:r w:rsidRPr="008F37E2">
        <w:rPr>
          <w:sz w:val="22"/>
          <w:szCs w:val="22"/>
        </w:rPr>
        <w:t>inhibuje</w:t>
      </w:r>
      <w:proofErr w:type="spellEnd"/>
      <w:r w:rsidRPr="008F37E2">
        <w:rPr>
          <w:sz w:val="22"/>
          <w:szCs w:val="22"/>
        </w:rPr>
        <w:t xml:space="preserve"> metabolizmus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tak, že súbežné podávanie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a 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umožňuje dosiahnuť terapeutické antibakteriálne hladiny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v moči aj v plazme.</w:t>
      </w:r>
    </w:p>
    <w:p w:rsidR="006B1F10" w:rsidRDefault="006B1F10" w:rsidP="00762ABD">
      <w:pPr>
        <w:rPr>
          <w:sz w:val="22"/>
          <w:szCs w:val="22"/>
        </w:rPr>
      </w:pPr>
    </w:p>
    <w:p w:rsidR="00584ECB" w:rsidRPr="00584ECB" w:rsidRDefault="00584ECB" w:rsidP="00762ABD">
      <w:pPr>
        <w:rPr>
          <w:i/>
          <w:sz w:val="22"/>
          <w:szCs w:val="22"/>
        </w:rPr>
      </w:pPr>
      <w:r>
        <w:rPr>
          <w:i/>
          <w:sz w:val="22"/>
          <w:szCs w:val="22"/>
        </w:rPr>
        <w:t>Eliminácia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Plazmatický polčas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bol jedna hodina. Približne 70 % podaného antibiotika sa vylúčilo v nezmenenej forme do moču počas desiatich hodín a žiadne ďalšie vylučovanie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močom sa nezistilo. Po dávke </w:t>
      </w:r>
      <w:proofErr w:type="spellStart"/>
      <w:r w:rsidRPr="008F37E2">
        <w:rPr>
          <w:sz w:val="22"/>
          <w:szCs w:val="22"/>
        </w:rPr>
        <w:t>Imipenem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Cilastatinu</w:t>
      </w:r>
      <w:proofErr w:type="spellEnd"/>
      <w:r w:rsidRPr="008F37E2">
        <w:rPr>
          <w:sz w:val="22"/>
          <w:szCs w:val="22"/>
        </w:rPr>
        <w:t xml:space="preserve"> 500 mg/500 mg koncentrácie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v moči presiahli 10 µg/ml nanajvýš na osem hodín. Zvyšok podanej dávky sa vylúčil močom vo forme antibakteriálne neaktívnych </w:t>
      </w:r>
      <w:proofErr w:type="spellStart"/>
      <w:r w:rsidRPr="008F37E2">
        <w:rPr>
          <w:sz w:val="22"/>
          <w:szCs w:val="22"/>
        </w:rPr>
        <w:t>metabolitov</w:t>
      </w:r>
      <w:proofErr w:type="spellEnd"/>
      <w:r w:rsidRPr="008F37E2">
        <w:rPr>
          <w:sz w:val="22"/>
          <w:szCs w:val="22"/>
        </w:rPr>
        <w:t xml:space="preserve"> a vylučovanie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stolicou bolo v podstate nulové.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U pacientov s normálnou funkciou obličiek sa ani pri podávaní </w:t>
      </w:r>
      <w:proofErr w:type="spellStart"/>
      <w:r w:rsidRPr="008F37E2">
        <w:rPr>
          <w:sz w:val="22"/>
          <w:szCs w:val="22"/>
        </w:rPr>
        <w:t>Imipenem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Cilastatinu</w:t>
      </w:r>
      <w:proofErr w:type="spellEnd"/>
      <w:r w:rsidRPr="008F37E2">
        <w:rPr>
          <w:sz w:val="22"/>
          <w:szCs w:val="22"/>
        </w:rPr>
        <w:t xml:space="preserve"> každých šesť hodín nepozorovala kumulácia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v plazme alebo moči.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D31D77">
      <w:pPr>
        <w:keepNext/>
        <w:rPr>
          <w:sz w:val="22"/>
          <w:szCs w:val="22"/>
        </w:rPr>
      </w:pPr>
      <w:proofErr w:type="spellStart"/>
      <w:r w:rsidRPr="008F37E2">
        <w:rPr>
          <w:sz w:val="22"/>
          <w:szCs w:val="22"/>
          <w:u w:val="single"/>
        </w:rPr>
        <w:t>Cilastatín</w:t>
      </w:r>
      <w:proofErr w:type="spellEnd"/>
    </w:p>
    <w:p w:rsidR="006B1F10" w:rsidRPr="008F37E2" w:rsidRDefault="006B1F10" w:rsidP="00762ABD">
      <w:pPr>
        <w:rPr>
          <w:sz w:val="22"/>
          <w:szCs w:val="22"/>
        </w:rPr>
      </w:pPr>
    </w:p>
    <w:p w:rsidR="00584ECB" w:rsidRDefault="00584ECB" w:rsidP="00584ECB">
      <w:pPr>
        <w:keepNext/>
        <w:rPr>
          <w:i/>
          <w:sz w:val="22"/>
          <w:szCs w:val="22"/>
        </w:rPr>
      </w:pPr>
      <w:r w:rsidRPr="00A6528F">
        <w:rPr>
          <w:i/>
          <w:sz w:val="22"/>
          <w:szCs w:val="22"/>
        </w:rPr>
        <w:t>Absorpcia</w:t>
      </w:r>
      <w:r w:rsidRPr="00A6528F" w:rsidDel="00584ECB">
        <w:rPr>
          <w:i/>
          <w:sz w:val="22"/>
          <w:szCs w:val="22"/>
        </w:rPr>
        <w:t xml:space="preserve"> 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Maximálne plazmatické hladiny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boli po 20-minútovej intravenóznej infúzii </w:t>
      </w:r>
      <w:proofErr w:type="spellStart"/>
      <w:r w:rsidRPr="008F37E2">
        <w:rPr>
          <w:sz w:val="22"/>
          <w:szCs w:val="22"/>
        </w:rPr>
        <w:t>Imipenem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Cilastatinu</w:t>
      </w:r>
      <w:proofErr w:type="spellEnd"/>
      <w:r w:rsidRPr="008F37E2">
        <w:rPr>
          <w:sz w:val="22"/>
          <w:szCs w:val="22"/>
        </w:rPr>
        <w:t xml:space="preserve"> v rozmedzí od 21 do 26 </w:t>
      </w:r>
      <w:proofErr w:type="spellStart"/>
      <w:r w:rsidRPr="008F37E2">
        <w:rPr>
          <w:sz w:val="22"/>
          <w:szCs w:val="22"/>
        </w:rPr>
        <w:t>μg</w:t>
      </w:r>
      <w:proofErr w:type="spellEnd"/>
      <w:r w:rsidRPr="008F37E2">
        <w:rPr>
          <w:sz w:val="22"/>
          <w:szCs w:val="22"/>
        </w:rPr>
        <w:t>/ml pri dávke 250 mg/250 mg, od 21 do 55 </w:t>
      </w:r>
      <w:proofErr w:type="spellStart"/>
      <w:r w:rsidRPr="008F37E2">
        <w:rPr>
          <w:sz w:val="22"/>
          <w:szCs w:val="22"/>
        </w:rPr>
        <w:t>μg</w:t>
      </w:r>
      <w:proofErr w:type="spellEnd"/>
      <w:r w:rsidRPr="008F37E2">
        <w:rPr>
          <w:sz w:val="22"/>
          <w:szCs w:val="22"/>
        </w:rPr>
        <w:t>/ml pri dávke 500 mg/500 mg a od 56 do 88 </w:t>
      </w:r>
      <w:proofErr w:type="spellStart"/>
      <w:r w:rsidRPr="008F37E2">
        <w:rPr>
          <w:sz w:val="22"/>
          <w:szCs w:val="22"/>
        </w:rPr>
        <w:t>μg</w:t>
      </w:r>
      <w:proofErr w:type="spellEnd"/>
      <w:r w:rsidRPr="008F37E2">
        <w:rPr>
          <w:sz w:val="22"/>
          <w:szCs w:val="22"/>
        </w:rPr>
        <w:t xml:space="preserve">/ml pri dávke 1 000 mg/1 000 mg. Priemerné maximálne plazmatické hladiny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po dávkach 250 mg/250 mg, 500 mg/500 mg a 1 000 mg /1 000 mg boli v uvedenom poradí 22, 42 a 72 </w:t>
      </w:r>
      <w:proofErr w:type="spellStart"/>
      <w:r w:rsidRPr="008F37E2">
        <w:rPr>
          <w:sz w:val="22"/>
          <w:szCs w:val="22"/>
        </w:rPr>
        <w:t>μg</w:t>
      </w:r>
      <w:proofErr w:type="spellEnd"/>
      <w:r w:rsidRPr="008F37E2">
        <w:rPr>
          <w:sz w:val="22"/>
          <w:szCs w:val="22"/>
        </w:rPr>
        <w:t>/ml.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D31D77">
      <w:pPr>
        <w:keepNext/>
        <w:rPr>
          <w:sz w:val="22"/>
          <w:szCs w:val="22"/>
        </w:rPr>
      </w:pPr>
      <w:r w:rsidRPr="008F37E2">
        <w:rPr>
          <w:i/>
          <w:sz w:val="22"/>
          <w:szCs w:val="22"/>
        </w:rPr>
        <w:t>Distribúcia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Približne 40 %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sa viaže na ľudské sérové proteíny.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D31D77">
      <w:pPr>
        <w:keepNext/>
        <w:rPr>
          <w:sz w:val="22"/>
          <w:szCs w:val="22"/>
        </w:rPr>
      </w:pPr>
      <w:proofErr w:type="spellStart"/>
      <w:r w:rsidRPr="008F37E2">
        <w:rPr>
          <w:i/>
          <w:sz w:val="22"/>
          <w:szCs w:val="22"/>
        </w:rPr>
        <w:t>Biotransformácia</w:t>
      </w:r>
      <w:proofErr w:type="spellEnd"/>
      <w:r w:rsidRPr="008F37E2">
        <w:rPr>
          <w:i/>
          <w:sz w:val="22"/>
          <w:szCs w:val="22"/>
        </w:rPr>
        <w:t xml:space="preserve"> a eliminácia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Plazmatický polčas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je približne jedna hodina. Približne 70 – 80 % dávky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sa vylúčilo v nezmenenej forme močom ako </w:t>
      </w:r>
      <w:proofErr w:type="spellStart"/>
      <w:r w:rsidRPr="008F37E2">
        <w:rPr>
          <w:sz w:val="22"/>
          <w:szCs w:val="22"/>
        </w:rPr>
        <w:t>cilastatín</w:t>
      </w:r>
      <w:proofErr w:type="spellEnd"/>
      <w:r w:rsidRPr="008F37E2">
        <w:rPr>
          <w:sz w:val="22"/>
          <w:szCs w:val="22"/>
        </w:rPr>
        <w:t xml:space="preserve"> počas 10 hodín po podaní </w:t>
      </w:r>
      <w:proofErr w:type="spellStart"/>
      <w:r w:rsidRPr="008F37E2">
        <w:rPr>
          <w:sz w:val="22"/>
          <w:szCs w:val="22"/>
        </w:rPr>
        <w:t>Imipenem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Cilastatinu</w:t>
      </w:r>
      <w:proofErr w:type="spellEnd"/>
      <w:r w:rsidRPr="008F37E2">
        <w:rPr>
          <w:sz w:val="22"/>
          <w:szCs w:val="22"/>
        </w:rPr>
        <w:t xml:space="preserve">. Žiaden ďalší </w:t>
      </w:r>
      <w:proofErr w:type="spellStart"/>
      <w:r w:rsidRPr="008F37E2">
        <w:rPr>
          <w:sz w:val="22"/>
          <w:szCs w:val="22"/>
        </w:rPr>
        <w:t>cilastatín</w:t>
      </w:r>
      <w:proofErr w:type="spellEnd"/>
      <w:r w:rsidRPr="008F37E2">
        <w:rPr>
          <w:sz w:val="22"/>
          <w:szCs w:val="22"/>
        </w:rPr>
        <w:t xml:space="preserve"> sa potom neobjavil v moči. Približne 10 % sa zistilo vo forme </w:t>
      </w:r>
      <w:proofErr w:type="spellStart"/>
      <w:r w:rsidRPr="008F37E2">
        <w:rPr>
          <w:sz w:val="22"/>
          <w:szCs w:val="22"/>
        </w:rPr>
        <w:t>N-acetylmetabolitu</w:t>
      </w:r>
      <w:proofErr w:type="spellEnd"/>
      <w:r w:rsidRPr="008F37E2">
        <w:rPr>
          <w:sz w:val="22"/>
          <w:szCs w:val="22"/>
        </w:rPr>
        <w:t xml:space="preserve">, ktorý má inhibičný účinok na </w:t>
      </w:r>
      <w:proofErr w:type="spellStart"/>
      <w:r w:rsidRPr="008F37E2">
        <w:rPr>
          <w:sz w:val="22"/>
          <w:szCs w:val="22"/>
        </w:rPr>
        <w:t>dehydropeptidázu</w:t>
      </w:r>
      <w:proofErr w:type="spellEnd"/>
      <w:r w:rsidRPr="008F37E2">
        <w:rPr>
          <w:sz w:val="22"/>
          <w:szCs w:val="22"/>
        </w:rPr>
        <w:t xml:space="preserve"> porovnateľný s </w:t>
      </w:r>
      <w:proofErr w:type="spellStart"/>
      <w:r w:rsidRPr="008F37E2">
        <w:rPr>
          <w:sz w:val="22"/>
          <w:szCs w:val="22"/>
        </w:rPr>
        <w:t>cilastatínom</w:t>
      </w:r>
      <w:proofErr w:type="spellEnd"/>
      <w:r w:rsidRPr="008F37E2">
        <w:rPr>
          <w:sz w:val="22"/>
          <w:szCs w:val="22"/>
        </w:rPr>
        <w:t xml:space="preserve">. Aktivita </w:t>
      </w:r>
      <w:proofErr w:type="spellStart"/>
      <w:r w:rsidRPr="008F37E2">
        <w:rPr>
          <w:sz w:val="22"/>
          <w:szCs w:val="22"/>
        </w:rPr>
        <w:t>dehydropeptidázy-I</w:t>
      </w:r>
      <w:proofErr w:type="spellEnd"/>
      <w:r w:rsidRPr="008F37E2">
        <w:rPr>
          <w:sz w:val="22"/>
          <w:szCs w:val="22"/>
        </w:rPr>
        <w:t xml:space="preserve"> v obličkách sa vrátila na normálne hladiny krátko po eliminácii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z krvného obehu.</w:t>
      </w:r>
    </w:p>
    <w:p w:rsidR="006B1F10" w:rsidRDefault="006B1F10" w:rsidP="00762ABD">
      <w:pPr>
        <w:rPr>
          <w:sz w:val="22"/>
          <w:szCs w:val="22"/>
        </w:rPr>
      </w:pPr>
    </w:p>
    <w:p w:rsidR="001F46FF" w:rsidRPr="001F46FF" w:rsidRDefault="00AB5CE4" w:rsidP="00762ABD">
      <w:pPr>
        <w:rPr>
          <w:sz w:val="22"/>
          <w:szCs w:val="22"/>
          <w:u w:val="single"/>
        </w:rPr>
      </w:pPr>
      <w:proofErr w:type="spellStart"/>
      <w:r w:rsidRPr="00AB5CE4">
        <w:rPr>
          <w:sz w:val="22"/>
          <w:szCs w:val="22"/>
          <w:u w:val="single"/>
        </w:rPr>
        <w:t>Farmakokinetika</w:t>
      </w:r>
      <w:proofErr w:type="spellEnd"/>
      <w:r w:rsidRPr="00AB5CE4">
        <w:rPr>
          <w:sz w:val="22"/>
          <w:szCs w:val="22"/>
          <w:u w:val="single"/>
        </w:rPr>
        <w:t xml:space="preserve"> </w:t>
      </w:r>
      <w:r w:rsidR="00D77C20">
        <w:rPr>
          <w:sz w:val="22"/>
          <w:szCs w:val="22"/>
          <w:u w:val="single"/>
        </w:rPr>
        <w:t xml:space="preserve">u </w:t>
      </w:r>
      <w:r w:rsidRPr="00AB5CE4">
        <w:rPr>
          <w:sz w:val="22"/>
          <w:szCs w:val="22"/>
          <w:u w:val="single"/>
        </w:rPr>
        <w:t>špecifických populáci</w:t>
      </w:r>
      <w:r w:rsidR="00D77C20">
        <w:rPr>
          <w:sz w:val="22"/>
          <w:szCs w:val="22"/>
          <w:u w:val="single"/>
        </w:rPr>
        <w:t>í</w:t>
      </w:r>
    </w:p>
    <w:p w:rsidR="00961391" w:rsidRPr="008F37E2" w:rsidRDefault="00961391" w:rsidP="00762ABD">
      <w:pPr>
        <w:rPr>
          <w:sz w:val="22"/>
          <w:szCs w:val="22"/>
        </w:rPr>
      </w:pPr>
    </w:p>
    <w:p w:rsidR="006B1F10" w:rsidRPr="008F37E2" w:rsidRDefault="006B1F10" w:rsidP="00D31D77">
      <w:pPr>
        <w:keepNext/>
        <w:rPr>
          <w:sz w:val="22"/>
          <w:szCs w:val="22"/>
        </w:rPr>
      </w:pPr>
      <w:proofErr w:type="spellStart"/>
      <w:r w:rsidRPr="008F37E2">
        <w:rPr>
          <w:sz w:val="22"/>
          <w:szCs w:val="22"/>
          <w:u w:val="single"/>
        </w:rPr>
        <w:t>Insuficiencia</w:t>
      </w:r>
      <w:proofErr w:type="spellEnd"/>
      <w:r w:rsidRPr="008F37E2">
        <w:rPr>
          <w:sz w:val="22"/>
          <w:szCs w:val="22"/>
          <w:u w:val="single"/>
        </w:rPr>
        <w:t xml:space="preserve"> obličiek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  <w:r w:rsidRPr="008F37E2">
        <w:rPr>
          <w:sz w:val="22"/>
          <w:szCs w:val="22"/>
        </w:rPr>
        <w:t xml:space="preserve">Po podaní jednorazovej intravenóznej dávky </w:t>
      </w:r>
      <w:proofErr w:type="spellStart"/>
      <w:r w:rsidR="00AB5CE4" w:rsidRPr="00AB5CE4">
        <w:rPr>
          <w:sz w:val="22"/>
          <w:szCs w:val="22"/>
        </w:rPr>
        <w:t>Imipenem</w:t>
      </w:r>
      <w:proofErr w:type="spellEnd"/>
      <w:r w:rsidR="00AB5CE4" w:rsidRPr="00AB5CE4">
        <w:rPr>
          <w:sz w:val="22"/>
          <w:szCs w:val="22"/>
        </w:rPr>
        <w:t>/</w:t>
      </w:r>
      <w:proofErr w:type="spellStart"/>
      <w:r w:rsidR="00AB5CE4" w:rsidRPr="00AB5CE4">
        <w:rPr>
          <w:sz w:val="22"/>
          <w:szCs w:val="22"/>
        </w:rPr>
        <w:t>Cilastatin</w:t>
      </w:r>
      <w:proofErr w:type="spellEnd"/>
      <w:r w:rsidR="00AB5CE4" w:rsidRPr="00AB5CE4">
        <w:rPr>
          <w:sz w:val="22"/>
          <w:szCs w:val="22"/>
        </w:rPr>
        <w:t xml:space="preserve"> </w:t>
      </w:r>
      <w:proofErr w:type="spellStart"/>
      <w:r w:rsidR="00AB5CE4" w:rsidRPr="00AB5CE4">
        <w:rPr>
          <w:sz w:val="22"/>
          <w:szCs w:val="22"/>
        </w:rPr>
        <w:t>Kabi</w:t>
      </w:r>
      <w:proofErr w:type="spellEnd"/>
      <w:r w:rsidRPr="008F37E2">
        <w:rPr>
          <w:sz w:val="22"/>
          <w:szCs w:val="22"/>
          <w:shd w:val="clear" w:color="auto" w:fill="E6E6E6"/>
        </w:rPr>
        <w:t xml:space="preserve"> </w:t>
      </w:r>
      <w:r w:rsidRPr="008F37E2">
        <w:rPr>
          <w:sz w:val="22"/>
          <w:szCs w:val="22"/>
        </w:rPr>
        <w:t>250 mg/250 mg sa v porovnaní s jedincami s normálnou funkciou obličiek (</w:t>
      </w:r>
      <w:proofErr w:type="spellStart"/>
      <w:r w:rsidRPr="008F37E2">
        <w:rPr>
          <w:sz w:val="22"/>
          <w:szCs w:val="22"/>
        </w:rPr>
        <w:t>klírens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kreatinínu</w:t>
      </w:r>
      <w:proofErr w:type="spellEnd"/>
      <w:r w:rsidRPr="008F37E2">
        <w:rPr>
          <w:sz w:val="22"/>
          <w:szCs w:val="22"/>
        </w:rPr>
        <w:t xml:space="preserve">, </w:t>
      </w:r>
      <w:proofErr w:type="spellStart"/>
      <w:r w:rsidRPr="008F37E2">
        <w:rPr>
          <w:sz w:val="22"/>
          <w:szCs w:val="22"/>
        </w:rPr>
        <w:t>CrCL</w:t>
      </w:r>
      <w:proofErr w:type="spellEnd"/>
      <w:r w:rsidRPr="008F37E2">
        <w:rPr>
          <w:sz w:val="22"/>
          <w:szCs w:val="22"/>
        </w:rPr>
        <w:t xml:space="preserve"> &gt; 80 ml/min/1,73 m</w:t>
      </w:r>
      <w:r w:rsidRPr="008F37E2">
        <w:rPr>
          <w:sz w:val="22"/>
          <w:szCs w:val="22"/>
          <w:vertAlign w:val="superscript"/>
        </w:rPr>
        <w:t>2</w:t>
      </w:r>
      <w:r w:rsidRPr="008F37E2">
        <w:rPr>
          <w:sz w:val="22"/>
          <w:szCs w:val="22"/>
        </w:rPr>
        <w:t>) plocha pod krivkou (</w:t>
      </w:r>
      <w:proofErr w:type="spellStart"/>
      <w:r w:rsidRPr="008F37E2">
        <w:rPr>
          <w:sz w:val="22"/>
          <w:szCs w:val="22"/>
        </w:rPr>
        <w:t>area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under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the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curve</w:t>
      </w:r>
      <w:proofErr w:type="spellEnd"/>
      <w:r w:rsidRPr="008F37E2">
        <w:rPr>
          <w:sz w:val="22"/>
          <w:szCs w:val="22"/>
        </w:rPr>
        <w:t xml:space="preserve">, AUC) pre </w:t>
      </w:r>
      <w:proofErr w:type="spellStart"/>
      <w:r w:rsidRPr="008F37E2">
        <w:rPr>
          <w:sz w:val="22"/>
          <w:szCs w:val="22"/>
        </w:rPr>
        <w:t>imipeném</w:t>
      </w:r>
      <w:proofErr w:type="spellEnd"/>
      <w:r w:rsidRPr="008F37E2">
        <w:rPr>
          <w:sz w:val="22"/>
          <w:szCs w:val="22"/>
        </w:rPr>
        <w:t xml:space="preserve"> zvýšila 1,1-násobne u jedincov s miernou poruchou funkcie obličiek (</w:t>
      </w:r>
      <w:proofErr w:type="spellStart"/>
      <w:r w:rsidRPr="008F37E2">
        <w:rPr>
          <w:sz w:val="22"/>
          <w:szCs w:val="22"/>
        </w:rPr>
        <w:t>CrCL</w:t>
      </w:r>
      <w:proofErr w:type="spellEnd"/>
      <w:r w:rsidRPr="008F37E2">
        <w:rPr>
          <w:sz w:val="22"/>
          <w:szCs w:val="22"/>
        </w:rPr>
        <w:t xml:space="preserve"> 50 – 80 ml/min/1,73 m</w:t>
      </w:r>
      <w:r w:rsidRPr="008F37E2">
        <w:rPr>
          <w:sz w:val="22"/>
          <w:szCs w:val="22"/>
          <w:vertAlign w:val="superscript"/>
        </w:rPr>
        <w:t>2</w:t>
      </w:r>
      <w:r w:rsidRPr="008F37E2">
        <w:rPr>
          <w:sz w:val="22"/>
          <w:szCs w:val="22"/>
        </w:rPr>
        <w:t>), 1,9-násobne u jedincov so stredne závažnou poruchou funkcie obličiek (</w:t>
      </w:r>
      <w:proofErr w:type="spellStart"/>
      <w:r w:rsidRPr="008F37E2">
        <w:rPr>
          <w:sz w:val="22"/>
          <w:szCs w:val="22"/>
        </w:rPr>
        <w:t>CrCL</w:t>
      </w:r>
      <w:proofErr w:type="spellEnd"/>
      <w:r w:rsidRPr="008F37E2">
        <w:rPr>
          <w:sz w:val="22"/>
          <w:szCs w:val="22"/>
        </w:rPr>
        <w:t xml:space="preserve"> 30 – &lt; 50 ml/min/1,73 m</w:t>
      </w:r>
      <w:r w:rsidRPr="008F37E2">
        <w:rPr>
          <w:sz w:val="22"/>
          <w:szCs w:val="22"/>
          <w:vertAlign w:val="superscript"/>
        </w:rPr>
        <w:t>2</w:t>
      </w:r>
      <w:r w:rsidRPr="008F37E2">
        <w:rPr>
          <w:sz w:val="22"/>
          <w:szCs w:val="22"/>
        </w:rPr>
        <w:t>) a 2,7-násobne u jedincov so závažnou poruchou funkcie obličiek (</w:t>
      </w:r>
      <w:proofErr w:type="spellStart"/>
      <w:r w:rsidRPr="008F37E2">
        <w:rPr>
          <w:sz w:val="22"/>
          <w:szCs w:val="22"/>
        </w:rPr>
        <w:t>CrCL</w:t>
      </w:r>
      <w:proofErr w:type="spellEnd"/>
      <w:r w:rsidRPr="008F37E2">
        <w:rPr>
          <w:sz w:val="22"/>
          <w:szCs w:val="22"/>
        </w:rPr>
        <w:t xml:space="preserve"> &lt; 30 ml/min/1,73 m</w:t>
      </w:r>
      <w:r w:rsidRPr="008F37E2">
        <w:rPr>
          <w:sz w:val="22"/>
          <w:szCs w:val="22"/>
          <w:vertAlign w:val="superscript"/>
        </w:rPr>
        <w:t>2</w:t>
      </w:r>
      <w:r w:rsidRPr="008F37E2">
        <w:rPr>
          <w:sz w:val="22"/>
          <w:szCs w:val="22"/>
        </w:rPr>
        <w:t xml:space="preserve">) a AUC pre </w:t>
      </w:r>
      <w:proofErr w:type="spellStart"/>
      <w:r w:rsidRPr="008F37E2">
        <w:rPr>
          <w:sz w:val="22"/>
          <w:szCs w:val="22"/>
        </w:rPr>
        <w:t>cilastatín</w:t>
      </w:r>
      <w:proofErr w:type="spellEnd"/>
      <w:r w:rsidRPr="008F37E2">
        <w:rPr>
          <w:sz w:val="22"/>
          <w:szCs w:val="22"/>
        </w:rPr>
        <w:t xml:space="preserve"> sa v porovnaní s jedincami s normálnou funkciou obličiek zvýšila 1,6-násobne u jedincov s miernou poruchou funkcie obličiek, 2,0-násobne u jedincov so stredne závažnou poruchou funkcie obličiek a 6,2-násobne u jedincov so závažnou </w:t>
      </w:r>
      <w:r w:rsidRPr="001F46FF">
        <w:rPr>
          <w:sz w:val="22"/>
          <w:szCs w:val="22"/>
        </w:rPr>
        <w:t xml:space="preserve">poruchou funkcie obličiek. Po podaní jednorazovej intravenóznej dávky </w:t>
      </w:r>
      <w:proofErr w:type="spellStart"/>
      <w:r w:rsidR="00AB5CE4" w:rsidRPr="00AB5CE4">
        <w:rPr>
          <w:sz w:val="22"/>
          <w:szCs w:val="22"/>
        </w:rPr>
        <w:t>Imipenem</w:t>
      </w:r>
      <w:proofErr w:type="spellEnd"/>
      <w:r w:rsidR="00AB5CE4" w:rsidRPr="00AB5CE4">
        <w:rPr>
          <w:sz w:val="22"/>
          <w:szCs w:val="22"/>
        </w:rPr>
        <w:t>/</w:t>
      </w:r>
      <w:proofErr w:type="spellStart"/>
      <w:r w:rsidR="00AB5CE4" w:rsidRPr="00AB5CE4">
        <w:rPr>
          <w:sz w:val="22"/>
          <w:szCs w:val="22"/>
        </w:rPr>
        <w:t>Cilastatin</w:t>
      </w:r>
      <w:proofErr w:type="spellEnd"/>
      <w:r w:rsidR="00AB5CE4" w:rsidRPr="00AB5CE4">
        <w:rPr>
          <w:sz w:val="22"/>
          <w:szCs w:val="22"/>
        </w:rPr>
        <w:t xml:space="preserve"> </w:t>
      </w:r>
      <w:proofErr w:type="spellStart"/>
      <w:r w:rsidR="00AB5CE4" w:rsidRPr="00AB5CE4">
        <w:rPr>
          <w:sz w:val="22"/>
          <w:szCs w:val="22"/>
        </w:rPr>
        <w:t>Kabi</w:t>
      </w:r>
      <w:proofErr w:type="spellEnd"/>
      <w:r w:rsidR="00AB5CE4" w:rsidRPr="00AB5CE4">
        <w:rPr>
          <w:sz w:val="22"/>
          <w:szCs w:val="22"/>
        </w:rPr>
        <w:t xml:space="preserve"> </w:t>
      </w:r>
      <w:r w:rsidRPr="001F46FF">
        <w:rPr>
          <w:sz w:val="22"/>
          <w:szCs w:val="22"/>
        </w:rPr>
        <w:t xml:space="preserve">250 mg/250 mg 24 hodín po hemodialýze bola v porovnaní s jedincami s normálnou funkciou obličiek AUC pre </w:t>
      </w:r>
      <w:proofErr w:type="spellStart"/>
      <w:r w:rsidRPr="001F46FF">
        <w:rPr>
          <w:sz w:val="22"/>
          <w:szCs w:val="22"/>
        </w:rPr>
        <w:t>imipeném</w:t>
      </w:r>
      <w:proofErr w:type="spellEnd"/>
      <w:r w:rsidRPr="001F46FF">
        <w:rPr>
          <w:sz w:val="22"/>
          <w:szCs w:val="22"/>
        </w:rPr>
        <w:t xml:space="preserve"> 3,7-násobne vyššia a AUC pre </w:t>
      </w:r>
      <w:proofErr w:type="spellStart"/>
      <w:r w:rsidRPr="001F46FF">
        <w:rPr>
          <w:sz w:val="22"/>
          <w:szCs w:val="22"/>
        </w:rPr>
        <w:t>cilastatín</w:t>
      </w:r>
      <w:proofErr w:type="spellEnd"/>
      <w:r w:rsidRPr="001F46FF">
        <w:rPr>
          <w:sz w:val="22"/>
          <w:szCs w:val="22"/>
        </w:rPr>
        <w:t xml:space="preserve"> 16,4-násobne vyššia. Po intravenóznom</w:t>
      </w:r>
      <w:r w:rsidRPr="008F37E2">
        <w:rPr>
          <w:sz w:val="22"/>
          <w:szCs w:val="22"/>
        </w:rPr>
        <w:t xml:space="preserve"> podaní </w:t>
      </w:r>
      <w:proofErr w:type="spellStart"/>
      <w:r w:rsidRPr="008F37E2">
        <w:rPr>
          <w:sz w:val="22"/>
          <w:szCs w:val="22"/>
        </w:rPr>
        <w:t>Imipenem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Cilastatinu</w:t>
      </w:r>
      <w:proofErr w:type="spellEnd"/>
      <w:r w:rsidRPr="008F37E2">
        <w:rPr>
          <w:sz w:val="22"/>
          <w:szCs w:val="22"/>
        </w:rPr>
        <w:t xml:space="preserve"> sa vylučovanie močom, </w:t>
      </w:r>
      <w:proofErr w:type="spellStart"/>
      <w:r w:rsidRPr="008F37E2">
        <w:rPr>
          <w:sz w:val="22"/>
          <w:szCs w:val="22"/>
        </w:rPr>
        <w:t>renálny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klírens</w:t>
      </w:r>
      <w:proofErr w:type="spellEnd"/>
      <w:r w:rsidRPr="008F37E2">
        <w:rPr>
          <w:sz w:val="22"/>
          <w:szCs w:val="22"/>
        </w:rPr>
        <w:t xml:space="preserve"> a plazmatický </w:t>
      </w:r>
      <w:proofErr w:type="spellStart"/>
      <w:r w:rsidRPr="008F37E2">
        <w:rPr>
          <w:sz w:val="22"/>
          <w:szCs w:val="22"/>
        </w:rPr>
        <w:t>klírens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a 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znižujú so znižujúcou sa funkciou obličiek. </w:t>
      </w:r>
      <w:r w:rsidRPr="008F37E2">
        <w:rPr>
          <w:sz w:val="22"/>
          <w:szCs w:val="22"/>
          <w:lang w:eastAsia="en-GB"/>
        </w:rPr>
        <w:t>U pacientov s poruchou funkcie obličiek je potrebná úprava dávky (pozri časť 4.2).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</w:p>
    <w:p w:rsidR="006B1F10" w:rsidRPr="008F37E2" w:rsidRDefault="006B1F10" w:rsidP="00D31D77">
      <w:pPr>
        <w:keepNext/>
        <w:rPr>
          <w:sz w:val="22"/>
          <w:szCs w:val="22"/>
          <w:lang w:eastAsia="en-GB"/>
        </w:rPr>
      </w:pPr>
      <w:proofErr w:type="spellStart"/>
      <w:r w:rsidRPr="008F37E2">
        <w:rPr>
          <w:sz w:val="22"/>
          <w:szCs w:val="22"/>
          <w:u w:val="single"/>
          <w:lang w:eastAsia="en-GB"/>
        </w:rPr>
        <w:t>Insuficiencia</w:t>
      </w:r>
      <w:proofErr w:type="spellEnd"/>
      <w:r w:rsidRPr="008F37E2">
        <w:rPr>
          <w:sz w:val="22"/>
          <w:szCs w:val="22"/>
          <w:u w:val="single"/>
          <w:lang w:eastAsia="en-GB"/>
        </w:rPr>
        <w:t xml:space="preserve"> pečene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  <w:proofErr w:type="spellStart"/>
      <w:r w:rsidRPr="008F37E2">
        <w:rPr>
          <w:sz w:val="22"/>
          <w:szCs w:val="22"/>
          <w:lang w:eastAsia="en-GB"/>
        </w:rPr>
        <w:t>Farmakokinetika</w:t>
      </w:r>
      <w:proofErr w:type="spellEnd"/>
      <w:r w:rsidRPr="008F37E2">
        <w:rPr>
          <w:sz w:val="22"/>
          <w:szCs w:val="22"/>
          <w:lang w:eastAsia="en-GB"/>
        </w:rPr>
        <w:t xml:space="preserve"> </w:t>
      </w:r>
      <w:proofErr w:type="spellStart"/>
      <w:r w:rsidRPr="008F37E2">
        <w:rPr>
          <w:sz w:val="22"/>
          <w:szCs w:val="22"/>
          <w:lang w:eastAsia="en-GB"/>
        </w:rPr>
        <w:t>imipenému</w:t>
      </w:r>
      <w:proofErr w:type="spellEnd"/>
      <w:r w:rsidRPr="008F37E2">
        <w:rPr>
          <w:sz w:val="22"/>
          <w:szCs w:val="22"/>
          <w:lang w:eastAsia="en-GB"/>
        </w:rPr>
        <w:t xml:space="preserve"> u pacientov s </w:t>
      </w:r>
      <w:proofErr w:type="spellStart"/>
      <w:r w:rsidRPr="008F37E2">
        <w:rPr>
          <w:sz w:val="22"/>
          <w:szCs w:val="22"/>
          <w:lang w:eastAsia="en-GB"/>
        </w:rPr>
        <w:t>insuficienciou</w:t>
      </w:r>
      <w:proofErr w:type="spellEnd"/>
      <w:r w:rsidRPr="008F37E2">
        <w:rPr>
          <w:sz w:val="22"/>
          <w:szCs w:val="22"/>
          <w:lang w:eastAsia="en-GB"/>
        </w:rPr>
        <w:t xml:space="preserve"> pečene nebola stanovená. Vzhľadom na limitovaný rozsah metabolizmu </w:t>
      </w:r>
      <w:proofErr w:type="spellStart"/>
      <w:r w:rsidRPr="008F37E2">
        <w:rPr>
          <w:sz w:val="22"/>
          <w:szCs w:val="22"/>
          <w:lang w:eastAsia="en-GB"/>
        </w:rPr>
        <w:t>imipenému</w:t>
      </w:r>
      <w:proofErr w:type="spellEnd"/>
      <w:r w:rsidRPr="008F37E2">
        <w:rPr>
          <w:sz w:val="22"/>
          <w:szCs w:val="22"/>
          <w:lang w:eastAsia="en-GB"/>
        </w:rPr>
        <w:t xml:space="preserve"> v pečeni sa nepredpokladá, že by jeho </w:t>
      </w:r>
      <w:proofErr w:type="spellStart"/>
      <w:r w:rsidRPr="008F37E2">
        <w:rPr>
          <w:sz w:val="22"/>
          <w:szCs w:val="22"/>
          <w:lang w:eastAsia="en-GB"/>
        </w:rPr>
        <w:t>farmakokinetika</w:t>
      </w:r>
      <w:proofErr w:type="spellEnd"/>
      <w:r w:rsidRPr="008F37E2">
        <w:rPr>
          <w:sz w:val="22"/>
          <w:szCs w:val="22"/>
          <w:lang w:eastAsia="en-GB"/>
        </w:rPr>
        <w:t xml:space="preserve"> bola ovplyvnená poruchou funkcie pečene. Z tohto dôvodu sa neodporúča žiadna úprava dávky u pacientov s poruchou funkcie pečene (pozri časť 4.2).</w:t>
      </w:r>
    </w:p>
    <w:p w:rsidR="006B1F10" w:rsidRPr="008F37E2" w:rsidRDefault="006B1F10" w:rsidP="00762ABD">
      <w:pPr>
        <w:rPr>
          <w:sz w:val="22"/>
          <w:szCs w:val="22"/>
          <w:lang w:eastAsia="en-GB"/>
        </w:rPr>
      </w:pPr>
    </w:p>
    <w:p w:rsidR="00AD3B79" w:rsidRDefault="00AD3B79" w:rsidP="00762ABD">
      <w:pPr>
        <w:rPr>
          <w:sz w:val="22"/>
          <w:szCs w:val="22"/>
          <w:u w:val="single"/>
          <w:lang w:eastAsia="en-GB"/>
        </w:rPr>
      </w:pPr>
      <w:r w:rsidRPr="009148B4">
        <w:rPr>
          <w:sz w:val="22"/>
          <w:szCs w:val="22"/>
          <w:u w:val="single"/>
          <w:lang w:eastAsia="en-GB"/>
        </w:rPr>
        <w:t>Pediatrická populácia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  <w:lang w:eastAsia="en-GB"/>
        </w:rPr>
        <w:t xml:space="preserve">Priemerný </w:t>
      </w:r>
      <w:proofErr w:type="spellStart"/>
      <w:r w:rsidRPr="008F37E2">
        <w:rPr>
          <w:sz w:val="22"/>
          <w:szCs w:val="22"/>
          <w:lang w:eastAsia="en-GB"/>
        </w:rPr>
        <w:t>klírens</w:t>
      </w:r>
      <w:proofErr w:type="spellEnd"/>
      <w:r w:rsidRPr="008F37E2">
        <w:rPr>
          <w:sz w:val="22"/>
          <w:szCs w:val="22"/>
          <w:lang w:eastAsia="en-GB"/>
        </w:rPr>
        <w:t xml:space="preserve"> (CL) a distribučný objem (</w:t>
      </w:r>
      <w:proofErr w:type="spellStart"/>
      <w:r w:rsidRPr="008F37E2">
        <w:rPr>
          <w:sz w:val="22"/>
          <w:szCs w:val="22"/>
          <w:lang w:eastAsia="en-GB"/>
        </w:rPr>
        <w:t>Vd</w:t>
      </w:r>
      <w:r w:rsidRPr="008F37E2">
        <w:rPr>
          <w:sz w:val="22"/>
          <w:szCs w:val="22"/>
          <w:vertAlign w:val="subscript"/>
          <w:lang w:eastAsia="en-GB"/>
        </w:rPr>
        <w:t>ss</w:t>
      </w:r>
      <w:proofErr w:type="spellEnd"/>
      <w:r w:rsidRPr="008F37E2">
        <w:rPr>
          <w:sz w:val="22"/>
          <w:szCs w:val="22"/>
          <w:lang w:eastAsia="en-GB"/>
        </w:rPr>
        <w:t xml:space="preserve">) </w:t>
      </w:r>
      <w:proofErr w:type="spellStart"/>
      <w:r w:rsidRPr="008F37E2">
        <w:rPr>
          <w:sz w:val="22"/>
          <w:szCs w:val="22"/>
          <w:lang w:eastAsia="en-GB"/>
        </w:rPr>
        <w:t>imipenému</w:t>
      </w:r>
      <w:proofErr w:type="spellEnd"/>
      <w:r w:rsidRPr="008F37E2">
        <w:rPr>
          <w:sz w:val="22"/>
          <w:szCs w:val="22"/>
          <w:lang w:eastAsia="en-GB"/>
        </w:rPr>
        <w:t xml:space="preserve"> bol u detských a dospievajúcich pacientov (3 mesiace až 14 rokov) približne o 45 % vyšší v porovnaní s dospelými. AUC pre </w:t>
      </w:r>
      <w:proofErr w:type="spellStart"/>
      <w:r w:rsidRPr="008F37E2">
        <w:rPr>
          <w:sz w:val="22"/>
          <w:szCs w:val="22"/>
          <w:lang w:eastAsia="en-GB"/>
        </w:rPr>
        <w:t>imipeném</w:t>
      </w:r>
      <w:proofErr w:type="spellEnd"/>
      <w:r w:rsidRPr="008F37E2">
        <w:rPr>
          <w:sz w:val="22"/>
          <w:szCs w:val="22"/>
          <w:lang w:eastAsia="en-GB"/>
        </w:rPr>
        <w:t xml:space="preserve"> po podaní dávky </w:t>
      </w:r>
      <w:proofErr w:type="spellStart"/>
      <w:r w:rsidRPr="008F37E2">
        <w:rPr>
          <w:sz w:val="22"/>
          <w:szCs w:val="22"/>
          <w:lang w:eastAsia="en-GB"/>
        </w:rPr>
        <w:t>imipenému</w:t>
      </w:r>
      <w:proofErr w:type="spellEnd"/>
      <w:r w:rsidRPr="008F37E2">
        <w:rPr>
          <w:sz w:val="22"/>
          <w:szCs w:val="22"/>
          <w:lang w:eastAsia="en-GB"/>
        </w:rPr>
        <w:t>/</w:t>
      </w:r>
      <w:proofErr w:type="spellStart"/>
      <w:r w:rsidRPr="008F37E2">
        <w:rPr>
          <w:sz w:val="22"/>
          <w:szCs w:val="22"/>
          <w:lang w:eastAsia="en-GB"/>
        </w:rPr>
        <w:t>cilastatínu</w:t>
      </w:r>
      <w:proofErr w:type="spellEnd"/>
      <w:r w:rsidRPr="008F37E2">
        <w:rPr>
          <w:sz w:val="22"/>
          <w:szCs w:val="22"/>
          <w:lang w:eastAsia="en-GB"/>
        </w:rPr>
        <w:t xml:space="preserve"> </w:t>
      </w:r>
      <w:r w:rsidRPr="008F37E2">
        <w:rPr>
          <w:sz w:val="22"/>
          <w:szCs w:val="22"/>
        </w:rPr>
        <w:t>15/15 mg/kg telesnej hmotnosti detským a dospievajúcim pacientom bola približne o 30</w:t>
      </w:r>
      <w:r w:rsidRPr="008F37E2">
        <w:rPr>
          <w:sz w:val="22"/>
          <w:szCs w:val="22"/>
          <w:lang w:eastAsia="en-GB"/>
        </w:rPr>
        <w:t> </w:t>
      </w:r>
      <w:r w:rsidRPr="008F37E2">
        <w:rPr>
          <w:sz w:val="22"/>
          <w:szCs w:val="22"/>
        </w:rPr>
        <w:t xml:space="preserve">% vyššia ako expozícia u dospelých, ktorým sa podala dávka 500 mg/500 mg. Pri vyššej dávke bola expozícia po podaní </w:t>
      </w:r>
      <w:r w:rsidRPr="008F37E2">
        <w:rPr>
          <w:sz w:val="22"/>
          <w:szCs w:val="22"/>
          <w:lang w:eastAsia="en-GB"/>
        </w:rPr>
        <w:t xml:space="preserve">dávky </w:t>
      </w:r>
      <w:proofErr w:type="spellStart"/>
      <w:r w:rsidRPr="008F37E2">
        <w:rPr>
          <w:sz w:val="22"/>
          <w:szCs w:val="22"/>
          <w:lang w:eastAsia="en-GB"/>
        </w:rPr>
        <w:t>imipenému</w:t>
      </w:r>
      <w:proofErr w:type="spellEnd"/>
      <w:r w:rsidRPr="008F37E2">
        <w:rPr>
          <w:sz w:val="22"/>
          <w:szCs w:val="22"/>
          <w:lang w:eastAsia="en-GB"/>
        </w:rPr>
        <w:t>/</w:t>
      </w:r>
      <w:proofErr w:type="spellStart"/>
      <w:r w:rsidRPr="008F37E2">
        <w:rPr>
          <w:sz w:val="22"/>
          <w:szCs w:val="22"/>
          <w:lang w:eastAsia="en-GB"/>
        </w:rPr>
        <w:t>cilastatínu</w:t>
      </w:r>
      <w:proofErr w:type="spellEnd"/>
      <w:r w:rsidRPr="008F37E2">
        <w:rPr>
          <w:sz w:val="22"/>
          <w:szCs w:val="22"/>
          <w:lang w:eastAsia="en-GB"/>
        </w:rPr>
        <w:t xml:space="preserve"> </w:t>
      </w:r>
      <w:r w:rsidRPr="008F37E2">
        <w:rPr>
          <w:sz w:val="22"/>
          <w:szCs w:val="22"/>
        </w:rPr>
        <w:t>25/25 mg/kg deťom o 9 % vyššia v porovnaní s expozíciou u dospelých, ktorým sa podala dávka 1 000 mg/1 000 mg.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keepNext/>
        <w:rPr>
          <w:sz w:val="22"/>
          <w:szCs w:val="22"/>
          <w:lang w:eastAsia="en-GB"/>
        </w:rPr>
      </w:pPr>
      <w:r w:rsidRPr="008F37E2">
        <w:rPr>
          <w:sz w:val="22"/>
          <w:szCs w:val="22"/>
          <w:u w:val="single"/>
          <w:lang w:eastAsia="en-GB"/>
        </w:rPr>
        <w:t>Starší pacienti</w:t>
      </w:r>
    </w:p>
    <w:p w:rsidR="006B1F10" w:rsidRPr="008F37E2" w:rsidRDefault="006B1F10" w:rsidP="00762ABD">
      <w:pPr>
        <w:keepNext/>
        <w:rPr>
          <w:sz w:val="22"/>
          <w:szCs w:val="22"/>
          <w:lang w:eastAsia="en-GB"/>
        </w:rPr>
      </w:pPr>
      <w:r w:rsidRPr="008F37E2">
        <w:rPr>
          <w:sz w:val="22"/>
          <w:szCs w:val="22"/>
          <w:lang w:eastAsia="en-GB"/>
        </w:rPr>
        <w:t xml:space="preserve">U zdravých starších dobrovoľníkov (vo veku 65 až 75 rokov s normálnou, ich veku zodpovedajúcou funkciou obličiek) sa </w:t>
      </w:r>
      <w:proofErr w:type="spellStart"/>
      <w:r w:rsidRPr="008F37E2">
        <w:rPr>
          <w:sz w:val="22"/>
          <w:szCs w:val="22"/>
          <w:lang w:eastAsia="en-GB"/>
        </w:rPr>
        <w:t>farmakokinetika</w:t>
      </w:r>
      <w:proofErr w:type="spellEnd"/>
      <w:r w:rsidRPr="008F37E2">
        <w:rPr>
          <w:sz w:val="22"/>
          <w:szCs w:val="22"/>
          <w:lang w:eastAsia="en-GB"/>
        </w:rPr>
        <w:t xml:space="preserve"> jednorazovej dávky </w:t>
      </w:r>
      <w:proofErr w:type="spellStart"/>
      <w:r w:rsidRPr="008F37E2">
        <w:rPr>
          <w:sz w:val="22"/>
          <w:szCs w:val="22"/>
          <w:lang w:eastAsia="en-GB"/>
        </w:rPr>
        <w:t>Imipenem</w:t>
      </w:r>
      <w:proofErr w:type="spellEnd"/>
      <w:r w:rsidRPr="008F37E2">
        <w:rPr>
          <w:sz w:val="22"/>
          <w:szCs w:val="22"/>
          <w:lang w:eastAsia="en-GB"/>
        </w:rPr>
        <w:t>/</w:t>
      </w:r>
      <w:proofErr w:type="spellStart"/>
      <w:r w:rsidRPr="008F37E2">
        <w:rPr>
          <w:sz w:val="22"/>
          <w:szCs w:val="22"/>
          <w:lang w:eastAsia="en-GB"/>
        </w:rPr>
        <w:t>Cilastatinu</w:t>
      </w:r>
      <w:proofErr w:type="spellEnd"/>
      <w:r w:rsidRPr="008F37E2">
        <w:rPr>
          <w:sz w:val="22"/>
          <w:szCs w:val="22"/>
          <w:lang w:eastAsia="en-GB"/>
        </w:rPr>
        <w:t xml:space="preserve"> 500 mg</w:t>
      </w:r>
      <w:r w:rsidRPr="008F37E2">
        <w:rPr>
          <w:sz w:val="22"/>
          <w:szCs w:val="22"/>
        </w:rPr>
        <w:t>/500 mg</w:t>
      </w:r>
      <w:r w:rsidRPr="008F37E2">
        <w:rPr>
          <w:sz w:val="22"/>
          <w:szCs w:val="22"/>
          <w:lang w:eastAsia="en-GB"/>
        </w:rPr>
        <w:t xml:space="preserve"> podávanej intravenózne počas 20 minút zhodovala s </w:t>
      </w:r>
      <w:proofErr w:type="spellStart"/>
      <w:r w:rsidRPr="008F37E2">
        <w:rPr>
          <w:sz w:val="22"/>
          <w:szCs w:val="22"/>
          <w:lang w:eastAsia="en-GB"/>
        </w:rPr>
        <w:t>farmakokinetikou</w:t>
      </w:r>
      <w:proofErr w:type="spellEnd"/>
      <w:r w:rsidRPr="008F37E2">
        <w:rPr>
          <w:sz w:val="22"/>
          <w:szCs w:val="22"/>
          <w:lang w:eastAsia="en-GB"/>
        </w:rPr>
        <w:t xml:space="preserve"> predpokladanou u jedincov s miernou poruchou funkcie obličiek, pri ktorej nie je potrebná žiadna úprava dávky. Priemerný plazmatický polčas </w:t>
      </w:r>
      <w:proofErr w:type="spellStart"/>
      <w:r w:rsidRPr="008F37E2">
        <w:rPr>
          <w:sz w:val="22"/>
          <w:szCs w:val="22"/>
          <w:lang w:eastAsia="en-GB"/>
        </w:rPr>
        <w:t>imipenému</w:t>
      </w:r>
      <w:proofErr w:type="spellEnd"/>
      <w:r w:rsidRPr="008F37E2">
        <w:rPr>
          <w:sz w:val="22"/>
          <w:szCs w:val="22"/>
          <w:lang w:eastAsia="en-GB"/>
        </w:rPr>
        <w:t xml:space="preserve"> bol </w:t>
      </w:r>
      <w:r w:rsidRPr="008F37E2">
        <w:rPr>
          <w:sz w:val="22"/>
          <w:szCs w:val="22"/>
        </w:rPr>
        <w:t>91 ± 7,0 minút a 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69 ± 15 minút. Viacnásobné dávkovanie nemalo žiaden účinok na </w:t>
      </w:r>
      <w:proofErr w:type="spellStart"/>
      <w:r w:rsidRPr="008F37E2">
        <w:rPr>
          <w:sz w:val="22"/>
          <w:szCs w:val="22"/>
        </w:rPr>
        <w:t>farmakokinetiku</w:t>
      </w:r>
      <w:proofErr w:type="spellEnd"/>
      <w:r w:rsidRPr="008F37E2">
        <w:rPr>
          <w:sz w:val="22"/>
          <w:szCs w:val="22"/>
        </w:rPr>
        <w:t xml:space="preserve">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alebo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a nepozorovala sa žiadna kumulácia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(pozri časť 4.2).</w:t>
      </w:r>
    </w:p>
    <w:p w:rsidR="006B1F10" w:rsidRPr="008F37E2" w:rsidRDefault="006B1F10" w:rsidP="00413AC5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5.3</w:t>
      </w:r>
      <w:r w:rsidRPr="008F37E2">
        <w:rPr>
          <w:b/>
          <w:sz w:val="22"/>
          <w:szCs w:val="22"/>
        </w:rPr>
        <w:tab/>
        <w:t>Predklinické údaje o bezpečnosti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Predklinické údaje získané na základe štúdií toxicity po opakovanom podávaní a </w:t>
      </w:r>
      <w:proofErr w:type="spellStart"/>
      <w:r w:rsidRPr="008F37E2">
        <w:rPr>
          <w:sz w:val="22"/>
          <w:szCs w:val="22"/>
        </w:rPr>
        <w:t>genotoxicity</w:t>
      </w:r>
      <w:proofErr w:type="spellEnd"/>
      <w:r w:rsidRPr="008F37E2">
        <w:rPr>
          <w:sz w:val="22"/>
          <w:szCs w:val="22"/>
        </w:rPr>
        <w:t xml:space="preserve"> neodhalili žiadne osobitné riziko pre ľudí.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Štúdie na zvieratách preukázali, že toxicita vyvolaná </w:t>
      </w:r>
      <w:proofErr w:type="spellStart"/>
      <w:r w:rsidRPr="008F37E2">
        <w:rPr>
          <w:sz w:val="22"/>
          <w:szCs w:val="22"/>
        </w:rPr>
        <w:t>imipenémom</w:t>
      </w:r>
      <w:proofErr w:type="spellEnd"/>
      <w:r w:rsidRPr="008F37E2">
        <w:rPr>
          <w:sz w:val="22"/>
          <w:szCs w:val="22"/>
        </w:rPr>
        <w:t xml:space="preserve">, ako samostatnou zložkou, bola obmedzená na obličky. U králikov a opíc zamedzilo súbežné podávanie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s </w:t>
      </w:r>
      <w:proofErr w:type="spellStart"/>
      <w:r w:rsidRPr="008F37E2">
        <w:rPr>
          <w:sz w:val="22"/>
          <w:szCs w:val="22"/>
        </w:rPr>
        <w:t>imipenémom</w:t>
      </w:r>
      <w:proofErr w:type="spellEnd"/>
      <w:r w:rsidRPr="008F37E2">
        <w:rPr>
          <w:sz w:val="22"/>
          <w:szCs w:val="22"/>
        </w:rPr>
        <w:t xml:space="preserve"> v pomere 1:1 </w:t>
      </w:r>
      <w:proofErr w:type="spellStart"/>
      <w:r w:rsidRPr="008F37E2">
        <w:rPr>
          <w:sz w:val="22"/>
          <w:szCs w:val="22"/>
        </w:rPr>
        <w:t>nefrotoxickým</w:t>
      </w:r>
      <w:proofErr w:type="spellEnd"/>
      <w:r w:rsidRPr="008F37E2">
        <w:rPr>
          <w:sz w:val="22"/>
          <w:szCs w:val="22"/>
        </w:rPr>
        <w:t xml:space="preserve"> účinkom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. Dostupné dôkazy naznačujú, že </w:t>
      </w:r>
      <w:proofErr w:type="spellStart"/>
      <w:r w:rsidRPr="008F37E2">
        <w:rPr>
          <w:sz w:val="22"/>
          <w:szCs w:val="22"/>
        </w:rPr>
        <w:t>cilastatín</w:t>
      </w:r>
      <w:proofErr w:type="spellEnd"/>
      <w:r w:rsidRPr="008F37E2">
        <w:rPr>
          <w:sz w:val="22"/>
          <w:szCs w:val="22"/>
        </w:rPr>
        <w:t xml:space="preserve"> zamedzuje </w:t>
      </w:r>
      <w:proofErr w:type="spellStart"/>
      <w:r w:rsidRPr="008F37E2">
        <w:rPr>
          <w:sz w:val="22"/>
          <w:szCs w:val="22"/>
        </w:rPr>
        <w:t>nefrotoxicite</w:t>
      </w:r>
      <w:proofErr w:type="spellEnd"/>
      <w:r w:rsidRPr="008F37E2">
        <w:rPr>
          <w:sz w:val="22"/>
          <w:szCs w:val="22"/>
        </w:rPr>
        <w:t xml:space="preserve"> zamedzením vstupu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 do </w:t>
      </w:r>
      <w:proofErr w:type="spellStart"/>
      <w:r w:rsidRPr="008F37E2">
        <w:rPr>
          <w:sz w:val="22"/>
          <w:szCs w:val="22"/>
        </w:rPr>
        <w:t>tubulárnych</w:t>
      </w:r>
      <w:proofErr w:type="spellEnd"/>
      <w:r w:rsidRPr="008F37E2">
        <w:rPr>
          <w:sz w:val="22"/>
          <w:szCs w:val="22"/>
        </w:rPr>
        <w:t xml:space="preserve"> buniek.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</w:rPr>
        <w:t>V </w:t>
      </w:r>
      <w:proofErr w:type="spellStart"/>
      <w:r w:rsidRPr="008F37E2">
        <w:rPr>
          <w:sz w:val="22"/>
          <w:szCs w:val="22"/>
        </w:rPr>
        <w:t>teratologickej</w:t>
      </w:r>
      <w:proofErr w:type="spellEnd"/>
      <w:r w:rsidRPr="008F37E2">
        <w:rPr>
          <w:sz w:val="22"/>
          <w:szCs w:val="22"/>
        </w:rPr>
        <w:t xml:space="preserve"> štúdii malo podanie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/sodnej soli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v dávkach 40/40 mg/kg/deň (formou </w:t>
      </w:r>
      <w:proofErr w:type="spellStart"/>
      <w:r w:rsidRPr="008F37E2">
        <w:rPr>
          <w:sz w:val="22"/>
          <w:szCs w:val="22"/>
        </w:rPr>
        <w:t>bolusovej</w:t>
      </w:r>
      <w:proofErr w:type="spellEnd"/>
      <w:r w:rsidRPr="008F37E2">
        <w:rPr>
          <w:sz w:val="22"/>
          <w:szCs w:val="22"/>
        </w:rPr>
        <w:t xml:space="preserve"> intravenóznej injekcie) gravidným opiciam </w:t>
      </w:r>
      <w:proofErr w:type="spellStart"/>
      <w:r w:rsidRPr="008F37E2">
        <w:rPr>
          <w:sz w:val="22"/>
          <w:szCs w:val="22"/>
        </w:rPr>
        <w:t>Cynomolgus</w:t>
      </w:r>
      <w:proofErr w:type="spellEnd"/>
      <w:r w:rsidRPr="008F37E2">
        <w:rPr>
          <w:sz w:val="22"/>
          <w:szCs w:val="22"/>
        </w:rPr>
        <w:t xml:space="preserve"> za následok v niektorých prípadoch toxické účinky na matku zahŕňajúce vracanie, stratu chuti do jedla, pokles telesnej hmotnosti, hnačku, potrat a v niektorých prípadoch smrť. Keď sa dávky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 xml:space="preserve">/sodnej soli 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 xml:space="preserve"> (približne 100/100 mg/kg/deň alebo približne 3-násobok zvyčajnej odporúčanej dennej intravenóznej dávky u ľudí) podali gravidným opiciam </w:t>
      </w:r>
      <w:proofErr w:type="spellStart"/>
      <w:r w:rsidRPr="008F37E2">
        <w:rPr>
          <w:sz w:val="22"/>
          <w:szCs w:val="22"/>
        </w:rPr>
        <w:t>Cynomolgus</w:t>
      </w:r>
      <w:proofErr w:type="spellEnd"/>
      <w:r w:rsidRPr="008F37E2">
        <w:rPr>
          <w:sz w:val="22"/>
          <w:szCs w:val="22"/>
        </w:rPr>
        <w:t xml:space="preserve"> rýchlosťou intravenóznej infúzie, ktorá bola podobná ako pri klinickom použití u ľudí, u matky došlo k minimálnej neznášanlivosti (občasné vracanie), nedošlo k žiadnym úmrtiam, k žiadnemu prejavu </w:t>
      </w:r>
      <w:proofErr w:type="spellStart"/>
      <w:r w:rsidRPr="008F37E2">
        <w:rPr>
          <w:sz w:val="22"/>
          <w:szCs w:val="22"/>
        </w:rPr>
        <w:t>teratogenity</w:t>
      </w:r>
      <w:proofErr w:type="spellEnd"/>
      <w:r w:rsidRPr="008F37E2">
        <w:rPr>
          <w:sz w:val="22"/>
          <w:szCs w:val="22"/>
        </w:rPr>
        <w:t>, ale oproti kontrolným skupinám sa pozorovalo zvýšenie embryonálnych strát (pozri časť 4.6).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Dlhodobé štúdie na zvieratách, ktoré by hodnotili karcinogénny potenciál </w:t>
      </w:r>
      <w:proofErr w:type="spellStart"/>
      <w:r w:rsidRPr="008F37E2">
        <w:rPr>
          <w:sz w:val="22"/>
          <w:szCs w:val="22"/>
        </w:rPr>
        <w:t>imipenému</w:t>
      </w:r>
      <w:proofErr w:type="spellEnd"/>
      <w:r w:rsidRPr="008F37E2">
        <w:rPr>
          <w:sz w:val="22"/>
          <w:szCs w:val="22"/>
        </w:rPr>
        <w:t>/</w:t>
      </w:r>
      <w:proofErr w:type="spellStart"/>
      <w:r w:rsidRPr="008F37E2">
        <w:rPr>
          <w:sz w:val="22"/>
          <w:szCs w:val="22"/>
        </w:rPr>
        <w:t>cilastatínu</w:t>
      </w:r>
      <w:proofErr w:type="spellEnd"/>
      <w:r w:rsidRPr="008F37E2">
        <w:rPr>
          <w:sz w:val="22"/>
          <w:szCs w:val="22"/>
        </w:rPr>
        <w:t>, sa neuskutočnili.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b/>
          <w:sz w:val="22"/>
          <w:szCs w:val="22"/>
        </w:rPr>
      </w:pPr>
      <w:r w:rsidRPr="008F37E2">
        <w:rPr>
          <w:b/>
          <w:sz w:val="22"/>
          <w:szCs w:val="22"/>
        </w:rPr>
        <w:t>6.</w:t>
      </w:r>
      <w:r w:rsidRPr="008F37E2">
        <w:rPr>
          <w:b/>
          <w:sz w:val="22"/>
          <w:szCs w:val="22"/>
        </w:rPr>
        <w:tab/>
        <w:t>FARMACEUTICKÉ INFORMÁCIE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6.1</w:t>
      </w:r>
      <w:r w:rsidRPr="008F37E2">
        <w:rPr>
          <w:b/>
          <w:sz w:val="22"/>
          <w:szCs w:val="22"/>
        </w:rPr>
        <w:tab/>
        <w:t>Zoznam pomocných látok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413AC5">
      <w:pPr>
        <w:rPr>
          <w:sz w:val="22"/>
          <w:szCs w:val="22"/>
        </w:rPr>
      </w:pPr>
      <w:proofErr w:type="spellStart"/>
      <w:r w:rsidRPr="008F37E2">
        <w:rPr>
          <w:sz w:val="22"/>
          <w:szCs w:val="22"/>
        </w:rPr>
        <w:t>Hydrogenuhličitan</w:t>
      </w:r>
      <w:proofErr w:type="spellEnd"/>
      <w:r w:rsidRPr="008F37E2">
        <w:rPr>
          <w:sz w:val="22"/>
          <w:szCs w:val="22"/>
        </w:rPr>
        <w:t xml:space="preserve"> sodný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lastRenderedPageBreak/>
        <w:t>6.2</w:t>
      </w:r>
      <w:r w:rsidRPr="008F37E2">
        <w:rPr>
          <w:b/>
          <w:sz w:val="22"/>
          <w:szCs w:val="22"/>
        </w:rPr>
        <w:tab/>
        <w:t>Inkompatibility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  <w:lang w:eastAsia="en-GB"/>
        </w:rPr>
        <w:t>Tento liek</w:t>
      </w:r>
      <w:r w:rsidRPr="008F37E2">
        <w:rPr>
          <w:sz w:val="22"/>
          <w:szCs w:val="22"/>
        </w:rPr>
        <w:t xml:space="preserve"> je chemicky inkompatibilný s </w:t>
      </w:r>
      <w:proofErr w:type="spellStart"/>
      <w:r w:rsidRPr="008F37E2">
        <w:rPr>
          <w:sz w:val="22"/>
          <w:szCs w:val="22"/>
        </w:rPr>
        <w:t>mliečnanom</w:t>
      </w:r>
      <w:proofErr w:type="spellEnd"/>
      <w:r w:rsidRPr="008F37E2">
        <w:rPr>
          <w:sz w:val="22"/>
          <w:szCs w:val="22"/>
        </w:rPr>
        <w:t xml:space="preserve"> a nemá sa pripravovať pomocou riediacich roztokov obsahujúcich </w:t>
      </w:r>
      <w:proofErr w:type="spellStart"/>
      <w:r w:rsidRPr="008F37E2">
        <w:rPr>
          <w:sz w:val="22"/>
          <w:szCs w:val="22"/>
        </w:rPr>
        <w:t>mliečnan</w:t>
      </w:r>
      <w:proofErr w:type="spellEnd"/>
      <w:r w:rsidRPr="008F37E2">
        <w:rPr>
          <w:sz w:val="22"/>
          <w:szCs w:val="22"/>
        </w:rPr>
        <w:t xml:space="preserve">. Môže sa však podávať do </w:t>
      </w:r>
      <w:proofErr w:type="spellStart"/>
      <w:r w:rsidRPr="008F37E2">
        <w:rPr>
          <w:sz w:val="22"/>
          <w:szCs w:val="22"/>
        </w:rPr>
        <w:t>i.v</w:t>
      </w:r>
      <w:proofErr w:type="spellEnd"/>
      <w:r w:rsidRPr="008F37E2">
        <w:rPr>
          <w:sz w:val="22"/>
          <w:szCs w:val="22"/>
        </w:rPr>
        <w:t xml:space="preserve">. systému, ktorým sa roztok </w:t>
      </w:r>
      <w:proofErr w:type="spellStart"/>
      <w:r w:rsidRPr="008F37E2">
        <w:rPr>
          <w:sz w:val="22"/>
          <w:szCs w:val="22"/>
        </w:rPr>
        <w:t>mliečnanu</w:t>
      </w:r>
      <w:proofErr w:type="spellEnd"/>
      <w:r w:rsidRPr="008F37E2">
        <w:rPr>
          <w:sz w:val="22"/>
          <w:szCs w:val="22"/>
        </w:rPr>
        <w:t xml:space="preserve"> podáva </w:t>
      </w:r>
      <w:proofErr w:type="spellStart"/>
      <w:r w:rsidRPr="008F37E2">
        <w:rPr>
          <w:sz w:val="22"/>
          <w:szCs w:val="22"/>
        </w:rPr>
        <w:t>infúzne</w:t>
      </w:r>
      <w:proofErr w:type="spellEnd"/>
      <w:r w:rsidRPr="008F37E2">
        <w:rPr>
          <w:sz w:val="22"/>
          <w:szCs w:val="22"/>
        </w:rPr>
        <w:t>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</w:rPr>
        <w:t>Tento liek sa nesmie miešať s inými liekmi okrem tých, ktoré sú uvedené v časti 6.6.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6.3</w:t>
      </w:r>
      <w:r w:rsidRPr="008F37E2">
        <w:rPr>
          <w:b/>
          <w:sz w:val="22"/>
          <w:szCs w:val="22"/>
        </w:rPr>
        <w:tab/>
        <w:t>Čas použiteľnosti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D7DE0" w:rsidP="00042517">
      <w:pPr>
        <w:ind w:left="540" w:hanging="540"/>
        <w:rPr>
          <w:sz w:val="22"/>
          <w:szCs w:val="22"/>
        </w:rPr>
      </w:pPr>
      <w:r w:rsidRPr="008F37E2">
        <w:rPr>
          <w:sz w:val="22"/>
          <w:szCs w:val="22"/>
        </w:rPr>
        <w:t>3</w:t>
      </w:r>
      <w:r w:rsidR="006B1F10" w:rsidRPr="008F37E2">
        <w:rPr>
          <w:sz w:val="22"/>
          <w:szCs w:val="22"/>
        </w:rPr>
        <w:t> roky.</w:t>
      </w:r>
    </w:p>
    <w:p w:rsidR="006B1F10" w:rsidRPr="008F37E2" w:rsidRDefault="006B1F10" w:rsidP="00762ABD">
      <w:pPr>
        <w:ind w:left="540" w:hanging="540"/>
        <w:rPr>
          <w:sz w:val="22"/>
          <w:szCs w:val="22"/>
        </w:rPr>
      </w:pPr>
    </w:p>
    <w:p w:rsidR="006B1F10" w:rsidRPr="008F37E2" w:rsidRDefault="006B1F10" w:rsidP="00762ABD">
      <w:pPr>
        <w:ind w:left="540" w:hanging="540"/>
        <w:rPr>
          <w:sz w:val="22"/>
          <w:szCs w:val="22"/>
        </w:rPr>
      </w:pPr>
      <w:r w:rsidRPr="008F37E2">
        <w:rPr>
          <w:sz w:val="22"/>
          <w:szCs w:val="22"/>
          <w:u w:val="single"/>
        </w:rPr>
        <w:t>Po príprave:</w:t>
      </w:r>
    </w:p>
    <w:p w:rsidR="006B1F10" w:rsidRPr="008F37E2" w:rsidRDefault="001B48C0" w:rsidP="00413AC5">
      <w:pPr>
        <w:rPr>
          <w:sz w:val="22"/>
          <w:szCs w:val="22"/>
        </w:rPr>
      </w:pPr>
      <w:r>
        <w:rPr>
          <w:sz w:val="22"/>
          <w:szCs w:val="22"/>
        </w:rPr>
        <w:t xml:space="preserve">Rekonštituované </w:t>
      </w:r>
      <w:proofErr w:type="spellStart"/>
      <w:r>
        <w:rPr>
          <w:sz w:val="22"/>
          <w:szCs w:val="22"/>
        </w:rPr>
        <w:t>alebon</w:t>
      </w:r>
      <w:r w:rsidR="006B1F10" w:rsidRPr="008F37E2">
        <w:rPr>
          <w:sz w:val="22"/>
          <w:szCs w:val="22"/>
        </w:rPr>
        <w:t>ariedené</w:t>
      </w:r>
      <w:proofErr w:type="spellEnd"/>
      <w:r w:rsidR="006B1F10" w:rsidRPr="008F37E2">
        <w:rPr>
          <w:sz w:val="22"/>
          <w:szCs w:val="22"/>
        </w:rPr>
        <w:t xml:space="preserve"> roztoky sa majú použiť okamžite. Časový interval medzi začiatkom prípravy a ukončením intravenóznej infúzie nemá presiahnuť dve hodiny.</w:t>
      </w:r>
    </w:p>
    <w:p w:rsidR="006B1F10" w:rsidRPr="008F37E2" w:rsidRDefault="006B1F10" w:rsidP="00413AC5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6.4</w:t>
      </w:r>
      <w:r w:rsidRPr="008F37E2">
        <w:rPr>
          <w:b/>
          <w:sz w:val="22"/>
          <w:szCs w:val="22"/>
        </w:rPr>
        <w:tab/>
        <w:t>Špeciálne upozornenia na uchovávanie</w:t>
      </w:r>
    </w:p>
    <w:p w:rsidR="006B1F10" w:rsidRPr="008F37E2" w:rsidRDefault="006B1F10" w:rsidP="00042517">
      <w:pPr>
        <w:keepNext/>
        <w:rPr>
          <w:sz w:val="22"/>
          <w:szCs w:val="22"/>
        </w:rPr>
      </w:pPr>
    </w:p>
    <w:p w:rsidR="006B1F10" w:rsidRPr="008F37E2" w:rsidRDefault="006B1F10" w:rsidP="00042517">
      <w:pPr>
        <w:keepNext/>
        <w:rPr>
          <w:sz w:val="22"/>
          <w:szCs w:val="22"/>
        </w:rPr>
      </w:pPr>
      <w:r w:rsidRPr="008F37E2">
        <w:rPr>
          <w:sz w:val="22"/>
          <w:szCs w:val="22"/>
        </w:rPr>
        <w:t>Uchovávajte pri teplote neprevyšujúcej 25 °C.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Podmienky na uchovávanie pripraveného lieku, pozri časť 6.3.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6.5</w:t>
      </w:r>
      <w:r w:rsidRPr="008F37E2">
        <w:rPr>
          <w:b/>
          <w:sz w:val="22"/>
          <w:szCs w:val="22"/>
        </w:rPr>
        <w:tab/>
        <w:t>Druh obalu a</w:t>
      </w:r>
      <w:r w:rsidRPr="008F37E2">
        <w:rPr>
          <w:sz w:val="22"/>
          <w:szCs w:val="22"/>
        </w:rPr>
        <w:t> </w:t>
      </w:r>
      <w:r w:rsidRPr="008F37E2">
        <w:rPr>
          <w:b/>
          <w:sz w:val="22"/>
          <w:szCs w:val="22"/>
        </w:rPr>
        <w:t>obsah balenia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440BD9">
      <w:pPr>
        <w:shd w:val="clear" w:color="auto" w:fill="FFFFFF" w:themeFill="background1"/>
        <w:jc w:val="both"/>
        <w:rPr>
          <w:sz w:val="22"/>
          <w:szCs w:val="22"/>
          <w:u w:val="single"/>
        </w:rPr>
      </w:pPr>
      <w:proofErr w:type="spellStart"/>
      <w:r w:rsidRPr="008F37E2">
        <w:rPr>
          <w:sz w:val="22"/>
          <w:szCs w:val="22"/>
          <w:u w:val="single"/>
        </w:rPr>
        <w:t>Imipenem</w:t>
      </w:r>
      <w:proofErr w:type="spellEnd"/>
      <w:r w:rsidRPr="008F37E2">
        <w:rPr>
          <w:sz w:val="22"/>
          <w:szCs w:val="22"/>
          <w:u w:val="single"/>
        </w:rPr>
        <w:t>/</w:t>
      </w:r>
      <w:proofErr w:type="spellStart"/>
      <w:r w:rsidRPr="008F37E2">
        <w:rPr>
          <w:sz w:val="22"/>
          <w:szCs w:val="22"/>
          <w:u w:val="single"/>
        </w:rPr>
        <w:t>Cilastatin</w:t>
      </w:r>
      <w:proofErr w:type="spellEnd"/>
      <w:r w:rsidRPr="008F37E2">
        <w:rPr>
          <w:sz w:val="22"/>
          <w:szCs w:val="22"/>
          <w:u w:val="single"/>
        </w:rPr>
        <w:t xml:space="preserve"> </w:t>
      </w:r>
      <w:proofErr w:type="spellStart"/>
      <w:r w:rsidRPr="008F37E2">
        <w:rPr>
          <w:sz w:val="22"/>
          <w:szCs w:val="22"/>
          <w:u w:val="single"/>
        </w:rPr>
        <w:t>Kabi</w:t>
      </w:r>
      <w:proofErr w:type="spellEnd"/>
      <w:r w:rsidRPr="008F37E2">
        <w:rPr>
          <w:sz w:val="22"/>
          <w:szCs w:val="22"/>
          <w:u w:val="single"/>
        </w:rPr>
        <w:t xml:space="preserve"> 500 mg/500 mg, prášok na </w:t>
      </w:r>
      <w:proofErr w:type="spellStart"/>
      <w:r w:rsidRPr="008F37E2">
        <w:rPr>
          <w:sz w:val="22"/>
          <w:szCs w:val="22"/>
          <w:u w:val="single"/>
        </w:rPr>
        <w:t>infúzny</w:t>
      </w:r>
      <w:proofErr w:type="spellEnd"/>
      <w:r w:rsidRPr="008F37E2">
        <w:rPr>
          <w:sz w:val="22"/>
          <w:szCs w:val="22"/>
          <w:u w:val="single"/>
        </w:rPr>
        <w:t xml:space="preserve"> roztok</w:t>
      </w:r>
    </w:p>
    <w:p w:rsidR="006B1F10" w:rsidRPr="008F37E2" w:rsidRDefault="006B1F10" w:rsidP="00440BD9">
      <w:pPr>
        <w:shd w:val="clear" w:color="auto" w:fill="FFFFFF" w:themeFill="background1"/>
        <w:autoSpaceDE w:val="0"/>
        <w:autoSpaceDN w:val="0"/>
        <w:adjustRightInd w:val="0"/>
        <w:rPr>
          <w:sz w:val="22"/>
          <w:szCs w:val="22"/>
        </w:rPr>
      </w:pPr>
      <w:r w:rsidRPr="008F37E2">
        <w:rPr>
          <w:sz w:val="22"/>
          <w:szCs w:val="22"/>
        </w:rPr>
        <w:t>Druh obalu: bezfarebná sklenená</w:t>
      </w:r>
      <w:r w:rsidR="003C0FFE" w:rsidRPr="008F37E2">
        <w:rPr>
          <w:sz w:val="22"/>
          <w:szCs w:val="22"/>
        </w:rPr>
        <w:t xml:space="preserve"> injekčná</w:t>
      </w:r>
      <w:r w:rsidRPr="008F37E2">
        <w:rPr>
          <w:sz w:val="22"/>
          <w:szCs w:val="22"/>
        </w:rPr>
        <w:t xml:space="preserve"> liekovka typ III, 20 ml objem, uzavretá </w:t>
      </w:r>
      <w:proofErr w:type="spellStart"/>
      <w:r w:rsidRPr="008F37E2">
        <w:rPr>
          <w:sz w:val="22"/>
          <w:szCs w:val="22"/>
        </w:rPr>
        <w:t>bromobutylovou</w:t>
      </w:r>
      <w:proofErr w:type="spellEnd"/>
      <w:r w:rsidRPr="008F37E2">
        <w:rPr>
          <w:sz w:val="22"/>
          <w:szCs w:val="22"/>
        </w:rPr>
        <w:t xml:space="preserve"> gumenou zátkou 20</w:t>
      </w:r>
      <w:r w:rsidR="00BE4A5D" w:rsidRPr="008F37E2">
        <w:rPr>
          <w:sz w:val="22"/>
          <w:szCs w:val="22"/>
        </w:rPr>
        <w:t xml:space="preserve"> </w:t>
      </w:r>
      <w:r w:rsidRPr="008F37E2">
        <w:rPr>
          <w:sz w:val="22"/>
          <w:szCs w:val="22"/>
        </w:rPr>
        <w:t>mm a krytá hliníkovým vyklápacím viečkom</w:t>
      </w:r>
      <w:r w:rsidR="00BE4A5D" w:rsidRPr="008F37E2">
        <w:rPr>
          <w:sz w:val="22"/>
          <w:szCs w:val="22"/>
        </w:rPr>
        <w:t xml:space="preserve"> a bezfarebná sklenená fľaša typ II, 100 ml objem, uzavretá </w:t>
      </w:r>
      <w:proofErr w:type="spellStart"/>
      <w:r w:rsidR="00BE4A5D" w:rsidRPr="008F37E2">
        <w:rPr>
          <w:sz w:val="22"/>
          <w:szCs w:val="22"/>
        </w:rPr>
        <w:t>bromobutylovou</w:t>
      </w:r>
      <w:proofErr w:type="spellEnd"/>
      <w:r w:rsidR="00BE4A5D" w:rsidRPr="008F37E2">
        <w:rPr>
          <w:sz w:val="22"/>
          <w:szCs w:val="22"/>
        </w:rPr>
        <w:t xml:space="preserve"> gumenou zátkou 32 mm a krytá hliníkovým vyklápacím viečkom.</w:t>
      </w:r>
    </w:p>
    <w:p w:rsidR="006B1F10" w:rsidRPr="008F37E2" w:rsidRDefault="006B1F10" w:rsidP="00440BD9">
      <w:pPr>
        <w:shd w:val="clear" w:color="auto" w:fill="FFFFFF" w:themeFill="background1"/>
        <w:jc w:val="both"/>
        <w:rPr>
          <w:sz w:val="22"/>
          <w:szCs w:val="22"/>
        </w:rPr>
      </w:pPr>
      <w:r w:rsidRPr="008F37E2">
        <w:rPr>
          <w:sz w:val="22"/>
          <w:szCs w:val="22"/>
        </w:rPr>
        <w:t xml:space="preserve">Obsah balenia: Jedno balenie obsahuje: 10 x 20 ml </w:t>
      </w:r>
      <w:r w:rsidR="00DB2D00">
        <w:rPr>
          <w:sz w:val="22"/>
          <w:szCs w:val="22"/>
        </w:rPr>
        <w:t xml:space="preserve">injekčných </w:t>
      </w:r>
      <w:r w:rsidRPr="008F37E2">
        <w:rPr>
          <w:sz w:val="22"/>
          <w:szCs w:val="22"/>
        </w:rPr>
        <w:t>liekoviek alebo 10</w:t>
      </w:r>
      <w:r w:rsidR="00BE4A5D" w:rsidRPr="008F37E2">
        <w:rPr>
          <w:sz w:val="22"/>
          <w:szCs w:val="22"/>
        </w:rPr>
        <w:t xml:space="preserve"> </w:t>
      </w:r>
      <w:r w:rsidRPr="008F37E2">
        <w:rPr>
          <w:sz w:val="22"/>
          <w:szCs w:val="22"/>
        </w:rPr>
        <w:t>x100 sklených fliaš.</w:t>
      </w:r>
    </w:p>
    <w:p w:rsidR="006B1F10" w:rsidRDefault="006B1F10" w:rsidP="00762ABD">
      <w:pPr>
        <w:rPr>
          <w:sz w:val="22"/>
          <w:szCs w:val="22"/>
        </w:rPr>
      </w:pPr>
    </w:p>
    <w:p w:rsidR="00353B10" w:rsidRPr="00353B10" w:rsidRDefault="00AB5CE4" w:rsidP="00353B10">
      <w:pPr>
        <w:rPr>
          <w:sz w:val="22"/>
          <w:szCs w:val="22"/>
        </w:rPr>
      </w:pPr>
      <w:r w:rsidRPr="00AB5CE4">
        <w:rPr>
          <w:sz w:val="22"/>
          <w:szCs w:val="22"/>
        </w:rPr>
        <w:t>Na trh nemusia byť uvedené všetky veľkosti balenia.</w:t>
      </w:r>
    </w:p>
    <w:p w:rsidR="00353B10" w:rsidRPr="008F37E2" w:rsidRDefault="00353B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b/>
          <w:sz w:val="22"/>
          <w:szCs w:val="22"/>
        </w:rPr>
      </w:pPr>
      <w:r w:rsidRPr="008F37E2">
        <w:rPr>
          <w:b/>
          <w:sz w:val="22"/>
          <w:szCs w:val="22"/>
        </w:rPr>
        <w:t>6.6</w:t>
      </w:r>
      <w:r w:rsidRPr="008F37E2">
        <w:rPr>
          <w:b/>
          <w:sz w:val="22"/>
          <w:szCs w:val="22"/>
        </w:rPr>
        <w:tab/>
        <w:t>Špeciálne opatrenia na likvidáciu a</w:t>
      </w:r>
      <w:r w:rsidRPr="008F37E2">
        <w:rPr>
          <w:sz w:val="22"/>
          <w:szCs w:val="22"/>
        </w:rPr>
        <w:t> </w:t>
      </w:r>
      <w:r w:rsidRPr="008F37E2">
        <w:rPr>
          <w:b/>
          <w:sz w:val="22"/>
          <w:szCs w:val="22"/>
        </w:rPr>
        <w:t>iné zaobchádzanie s</w:t>
      </w:r>
      <w:r w:rsidRPr="008F37E2">
        <w:rPr>
          <w:sz w:val="22"/>
          <w:szCs w:val="22"/>
        </w:rPr>
        <w:t> </w:t>
      </w:r>
      <w:r w:rsidRPr="008F37E2">
        <w:rPr>
          <w:b/>
          <w:sz w:val="22"/>
          <w:szCs w:val="22"/>
        </w:rPr>
        <w:t>liekom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Každá injekčná liekovka</w:t>
      </w:r>
      <w:r w:rsidR="00DB2D00">
        <w:rPr>
          <w:sz w:val="22"/>
          <w:szCs w:val="22"/>
        </w:rPr>
        <w:t>/fľaša</w:t>
      </w:r>
      <w:r w:rsidRPr="008F37E2">
        <w:rPr>
          <w:sz w:val="22"/>
          <w:szCs w:val="22"/>
        </w:rPr>
        <w:t xml:space="preserve"> je len na jednorazové použitie.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042517">
      <w:pPr>
        <w:keepNext/>
        <w:rPr>
          <w:sz w:val="22"/>
          <w:szCs w:val="22"/>
          <w:u w:val="single"/>
        </w:rPr>
      </w:pPr>
      <w:r w:rsidRPr="008F37E2">
        <w:rPr>
          <w:sz w:val="22"/>
          <w:szCs w:val="22"/>
          <w:u w:val="single"/>
        </w:rPr>
        <w:t>Príprava:</w:t>
      </w: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Obsah každej injekčnej liekovky sa musí preniesť do 50 ml (pre silu 250 mg) alebo 100 ml ( pre silu 500mg) vhodného </w:t>
      </w:r>
      <w:proofErr w:type="spellStart"/>
      <w:r w:rsidRPr="008F37E2">
        <w:rPr>
          <w:sz w:val="22"/>
          <w:szCs w:val="22"/>
        </w:rPr>
        <w:t>infúzneho</w:t>
      </w:r>
      <w:proofErr w:type="spellEnd"/>
      <w:r w:rsidRPr="008F37E2">
        <w:rPr>
          <w:sz w:val="22"/>
          <w:szCs w:val="22"/>
        </w:rPr>
        <w:t xml:space="preserve"> roztoku (pozri časť 6.2 a 6.3): 0,9 % roztok chloridu sodného. Vo výnimočných prípadoch, kedy sa z klinických dôvodov nemôže použiť 0,9 % roztok chloridu sodného, je možné namiesto neho použiť 5 % roztok glukózy.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Odporúčaný postup je pridať do injekčnej liekovky približne 10 ml vhodného </w:t>
      </w:r>
      <w:proofErr w:type="spellStart"/>
      <w:r w:rsidRPr="008F37E2">
        <w:rPr>
          <w:sz w:val="22"/>
          <w:szCs w:val="22"/>
        </w:rPr>
        <w:t>infúzneho</w:t>
      </w:r>
      <w:proofErr w:type="spellEnd"/>
      <w:r w:rsidRPr="008F37E2">
        <w:rPr>
          <w:sz w:val="22"/>
          <w:szCs w:val="22"/>
        </w:rPr>
        <w:t xml:space="preserve"> roztoku. Dobre pretrepte a vzniknutú zmes preneste do nádoby s </w:t>
      </w:r>
      <w:proofErr w:type="spellStart"/>
      <w:r w:rsidRPr="008F37E2">
        <w:rPr>
          <w:sz w:val="22"/>
          <w:szCs w:val="22"/>
        </w:rPr>
        <w:t>infúznym</w:t>
      </w:r>
      <w:proofErr w:type="spellEnd"/>
      <w:r w:rsidRPr="008F37E2">
        <w:rPr>
          <w:sz w:val="22"/>
          <w:szCs w:val="22"/>
        </w:rPr>
        <w:t xml:space="preserve"> roztokom.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UPOZORNENIE: ZMES NIE JE URČENÁ NA PRIAME INFÚZNE PODANIE.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042517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Opakujte s ďalšími 10 ml </w:t>
      </w:r>
      <w:proofErr w:type="spellStart"/>
      <w:r w:rsidRPr="008F37E2">
        <w:rPr>
          <w:sz w:val="22"/>
          <w:szCs w:val="22"/>
        </w:rPr>
        <w:t>infúzneho</w:t>
      </w:r>
      <w:proofErr w:type="spellEnd"/>
      <w:r w:rsidRPr="008F37E2">
        <w:rPr>
          <w:sz w:val="22"/>
          <w:szCs w:val="22"/>
        </w:rPr>
        <w:t xml:space="preserve"> roztoku, aby sa zabezpečil prenos celého obsahu injekčnej liekovky do </w:t>
      </w:r>
      <w:proofErr w:type="spellStart"/>
      <w:r w:rsidRPr="008F37E2">
        <w:rPr>
          <w:sz w:val="22"/>
          <w:szCs w:val="22"/>
        </w:rPr>
        <w:t>infúzneho</w:t>
      </w:r>
      <w:proofErr w:type="spellEnd"/>
      <w:r w:rsidRPr="008F37E2">
        <w:rPr>
          <w:sz w:val="22"/>
          <w:szCs w:val="22"/>
        </w:rPr>
        <w:t xml:space="preserve"> roztoku. Výsledná zmes sa má pretrepávať, pokým nie je číra.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 xml:space="preserve">Koncentrácia roztoku pripraveného podľa vyššie uvedeného postupu je približne 5 mg/ml – pre </w:t>
      </w:r>
      <w:proofErr w:type="spellStart"/>
      <w:r w:rsidRPr="008F37E2">
        <w:rPr>
          <w:sz w:val="22"/>
          <w:szCs w:val="22"/>
        </w:rPr>
        <w:t>imipeném</w:t>
      </w:r>
      <w:proofErr w:type="spellEnd"/>
      <w:r w:rsidRPr="008F37E2">
        <w:rPr>
          <w:sz w:val="22"/>
          <w:szCs w:val="22"/>
        </w:rPr>
        <w:t xml:space="preserve"> aj </w:t>
      </w:r>
      <w:proofErr w:type="spellStart"/>
      <w:r w:rsidRPr="008F37E2">
        <w:rPr>
          <w:sz w:val="22"/>
          <w:szCs w:val="22"/>
        </w:rPr>
        <w:t>cilastatín</w:t>
      </w:r>
      <w:proofErr w:type="spellEnd"/>
      <w:r w:rsidRPr="008F37E2">
        <w:rPr>
          <w:sz w:val="22"/>
          <w:szCs w:val="22"/>
        </w:rPr>
        <w:t>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  <w:r w:rsidRPr="008F37E2">
        <w:rPr>
          <w:sz w:val="22"/>
          <w:szCs w:val="22"/>
        </w:rPr>
        <w:t>Zmeny farby z bezfarebnej na žltú nemajú vplyv na účinnosť lieku.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F40A2A" w:rsidP="00042517">
      <w:pPr>
        <w:rPr>
          <w:sz w:val="22"/>
          <w:szCs w:val="22"/>
        </w:rPr>
      </w:pPr>
      <w:r w:rsidRPr="00F40A2A">
        <w:rPr>
          <w:sz w:val="22"/>
          <w:szCs w:val="22"/>
        </w:rPr>
        <w:lastRenderedPageBreak/>
        <w:t xml:space="preserve">Všetok nepoužitý </w:t>
      </w:r>
      <w:r w:rsidR="006B1F10" w:rsidRPr="008F37E2">
        <w:rPr>
          <w:sz w:val="22"/>
          <w:szCs w:val="22"/>
        </w:rPr>
        <w:t>liek alebo odpad vzniknutý z</w:t>
      </w:r>
      <w:r>
        <w:rPr>
          <w:sz w:val="22"/>
          <w:szCs w:val="22"/>
        </w:rPr>
        <w:t> </w:t>
      </w:r>
      <w:r w:rsidR="006B1F10" w:rsidRPr="008F37E2">
        <w:rPr>
          <w:sz w:val="22"/>
          <w:szCs w:val="22"/>
        </w:rPr>
        <w:t>lieku</w:t>
      </w:r>
      <w:r>
        <w:rPr>
          <w:sz w:val="22"/>
          <w:szCs w:val="22"/>
        </w:rPr>
        <w:t xml:space="preserve"> sa</w:t>
      </w:r>
      <w:r w:rsidR="006B1F10" w:rsidRPr="008F37E2">
        <w:rPr>
          <w:sz w:val="22"/>
          <w:szCs w:val="22"/>
        </w:rPr>
        <w:t xml:space="preserve"> má </w:t>
      </w:r>
      <w:r w:rsidRPr="00F40A2A">
        <w:rPr>
          <w:sz w:val="22"/>
          <w:szCs w:val="22"/>
        </w:rPr>
        <w:t xml:space="preserve">zlikvidovať </w:t>
      </w:r>
      <w:r w:rsidR="006B1F10" w:rsidRPr="008F37E2">
        <w:rPr>
          <w:sz w:val="22"/>
          <w:szCs w:val="22"/>
        </w:rPr>
        <w:t>v súlade s národnými požiadavkami.</w:t>
      </w:r>
    </w:p>
    <w:p w:rsidR="006B1F10" w:rsidRPr="008F37E2" w:rsidRDefault="006B1F10" w:rsidP="00042517">
      <w:pPr>
        <w:ind w:left="567" w:hanging="567"/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7.</w:t>
      </w:r>
      <w:r w:rsidRPr="008F37E2">
        <w:rPr>
          <w:b/>
          <w:sz w:val="22"/>
          <w:szCs w:val="22"/>
        </w:rPr>
        <w:tab/>
        <w:t>DRŽITEĽ ROZHODNUTIA O</w:t>
      </w:r>
      <w:r w:rsidRPr="008F37E2">
        <w:rPr>
          <w:sz w:val="22"/>
          <w:szCs w:val="22"/>
        </w:rPr>
        <w:t> </w:t>
      </w:r>
      <w:r w:rsidRPr="008F37E2">
        <w:rPr>
          <w:b/>
          <w:sz w:val="22"/>
          <w:szCs w:val="22"/>
        </w:rPr>
        <w:t>REGISTRÁCII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E214AA" w:rsidRPr="00E214AA" w:rsidRDefault="00290578" w:rsidP="00E214AA">
      <w:pPr>
        <w:rPr>
          <w:color w:val="000000"/>
          <w:sz w:val="22"/>
          <w:szCs w:val="22"/>
        </w:rPr>
      </w:pPr>
      <w:proofErr w:type="spellStart"/>
      <w:r w:rsidRPr="00290578">
        <w:rPr>
          <w:color w:val="000000"/>
          <w:sz w:val="22"/>
          <w:szCs w:val="22"/>
        </w:rPr>
        <w:t>Fresenius</w:t>
      </w:r>
      <w:proofErr w:type="spellEnd"/>
      <w:r w:rsidRPr="00290578">
        <w:rPr>
          <w:color w:val="000000"/>
          <w:sz w:val="22"/>
          <w:szCs w:val="22"/>
        </w:rPr>
        <w:t xml:space="preserve"> </w:t>
      </w:r>
      <w:proofErr w:type="spellStart"/>
      <w:r w:rsidRPr="00290578">
        <w:rPr>
          <w:color w:val="000000"/>
          <w:sz w:val="22"/>
          <w:szCs w:val="22"/>
        </w:rPr>
        <w:t>Kabi</w:t>
      </w:r>
      <w:proofErr w:type="spellEnd"/>
      <w:r w:rsidRPr="00290578">
        <w:rPr>
          <w:color w:val="000000"/>
          <w:sz w:val="22"/>
          <w:szCs w:val="22"/>
        </w:rPr>
        <w:t xml:space="preserve"> s.r.o., Na </w:t>
      </w:r>
      <w:r w:rsidR="00B32E2D">
        <w:rPr>
          <w:color w:val="000000"/>
          <w:sz w:val="22"/>
          <w:szCs w:val="22"/>
        </w:rPr>
        <w:t>s</w:t>
      </w:r>
      <w:bookmarkStart w:id="4" w:name="_GoBack"/>
      <w:bookmarkEnd w:id="4"/>
      <w:r w:rsidRPr="00290578">
        <w:rPr>
          <w:color w:val="000000"/>
          <w:sz w:val="22"/>
          <w:szCs w:val="22"/>
        </w:rPr>
        <w:t xml:space="preserve">trži 1702/65, </w:t>
      </w:r>
      <w:proofErr w:type="spellStart"/>
      <w:r w:rsidRPr="00290578">
        <w:rPr>
          <w:color w:val="000000"/>
          <w:sz w:val="22"/>
          <w:szCs w:val="22"/>
        </w:rPr>
        <w:t>Nusle</w:t>
      </w:r>
      <w:proofErr w:type="spellEnd"/>
      <w:r w:rsidRPr="00290578">
        <w:rPr>
          <w:color w:val="000000"/>
          <w:sz w:val="22"/>
          <w:szCs w:val="22"/>
        </w:rPr>
        <w:t>, 140 00 Praha 4, Česká republika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b/>
          <w:sz w:val="22"/>
          <w:szCs w:val="22"/>
        </w:rPr>
      </w:pPr>
      <w:r w:rsidRPr="008F37E2">
        <w:rPr>
          <w:b/>
          <w:sz w:val="22"/>
          <w:szCs w:val="22"/>
        </w:rPr>
        <w:t>8.</w:t>
      </w:r>
      <w:r w:rsidRPr="008F37E2">
        <w:rPr>
          <w:b/>
          <w:sz w:val="22"/>
          <w:szCs w:val="22"/>
        </w:rPr>
        <w:tab/>
        <w:t>REGISTRAČNÉ ČÍSLO</w:t>
      </w:r>
    </w:p>
    <w:p w:rsidR="006B1F10" w:rsidRPr="008F37E2" w:rsidRDefault="006B1F10">
      <w:pPr>
        <w:keepNext/>
        <w:rPr>
          <w:sz w:val="22"/>
          <w:szCs w:val="22"/>
        </w:rPr>
      </w:pPr>
    </w:p>
    <w:p w:rsidR="006B1F10" w:rsidRPr="00C406C7" w:rsidRDefault="00AB5CE4" w:rsidP="00C51B43">
      <w:pPr>
        <w:rPr>
          <w:sz w:val="22"/>
          <w:szCs w:val="22"/>
        </w:rPr>
      </w:pPr>
      <w:r w:rsidRPr="00AB5CE4">
        <w:rPr>
          <w:sz w:val="22"/>
          <w:szCs w:val="22"/>
        </w:rPr>
        <w:t>15/0630/09-S</w:t>
      </w: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sz w:val="22"/>
          <w:szCs w:val="22"/>
        </w:rPr>
      </w:pPr>
      <w:r w:rsidRPr="008F37E2">
        <w:rPr>
          <w:b/>
          <w:sz w:val="22"/>
          <w:szCs w:val="22"/>
        </w:rPr>
        <w:t>9.</w:t>
      </w:r>
      <w:r w:rsidRPr="008F37E2">
        <w:rPr>
          <w:b/>
          <w:sz w:val="22"/>
          <w:szCs w:val="22"/>
        </w:rPr>
        <w:tab/>
        <w:t>DÁTUM PRVEJ REGISTRÁCIE/PREDĹŽENIA REGISTRÁCIE</w:t>
      </w:r>
    </w:p>
    <w:p w:rsidR="006B1F10" w:rsidRPr="008F37E2" w:rsidRDefault="006B1F10" w:rsidP="00D31D77">
      <w:pPr>
        <w:keepNext/>
        <w:rPr>
          <w:sz w:val="22"/>
          <w:szCs w:val="22"/>
        </w:rPr>
      </w:pPr>
    </w:p>
    <w:p w:rsidR="006B1F10" w:rsidRPr="008F37E2" w:rsidRDefault="006D7DE0" w:rsidP="00D31D77">
      <w:pPr>
        <w:keepNext/>
        <w:rPr>
          <w:sz w:val="22"/>
          <w:szCs w:val="22"/>
        </w:rPr>
      </w:pPr>
      <w:r w:rsidRPr="008F37E2">
        <w:rPr>
          <w:sz w:val="22"/>
          <w:szCs w:val="22"/>
        </w:rPr>
        <w:t>Dátum prvej registrácie: 22.</w:t>
      </w:r>
      <w:r w:rsidR="00344C5F" w:rsidRPr="008F37E2">
        <w:rPr>
          <w:sz w:val="22"/>
          <w:szCs w:val="22"/>
        </w:rPr>
        <w:t xml:space="preserve"> októbra </w:t>
      </w:r>
      <w:r w:rsidRPr="008F37E2">
        <w:rPr>
          <w:sz w:val="22"/>
          <w:szCs w:val="22"/>
        </w:rPr>
        <w:t>2009</w:t>
      </w:r>
    </w:p>
    <w:p w:rsidR="006B1F10" w:rsidRPr="008F37E2" w:rsidRDefault="006B1F10" w:rsidP="00762ABD">
      <w:pPr>
        <w:rPr>
          <w:sz w:val="22"/>
          <w:szCs w:val="22"/>
        </w:rPr>
      </w:pPr>
    </w:p>
    <w:p w:rsidR="00344C5F" w:rsidRPr="008F37E2" w:rsidRDefault="00344C5F" w:rsidP="00762ABD">
      <w:pPr>
        <w:rPr>
          <w:sz w:val="22"/>
          <w:szCs w:val="22"/>
        </w:rPr>
      </w:pPr>
    </w:p>
    <w:p w:rsidR="006B1F10" w:rsidRPr="008F37E2" w:rsidRDefault="006B1F10">
      <w:pPr>
        <w:keepNext/>
        <w:rPr>
          <w:b/>
          <w:sz w:val="22"/>
          <w:szCs w:val="22"/>
        </w:rPr>
      </w:pPr>
      <w:r w:rsidRPr="008F37E2">
        <w:rPr>
          <w:b/>
          <w:sz w:val="22"/>
          <w:szCs w:val="22"/>
        </w:rPr>
        <w:t>10.</w:t>
      </w:r>
      <w:r w:rsidRPr="008F37E2">
        <w:rPr>
          <w:b/>
          <w:sz w:val="22"/>
          <w:szCs w:val="22"/>
        </w:rPr>
        <w:tab/>
        <w:t>DÁTUM REVÍZIE TEXTU</w:t>
      </w:r>
    </w:p>
    <w:p w:rsidR="006B1F10" w:rsidRPr="008F37E2" w:rsidRDefault="006B1F10" w:rsidP="00042517">
      <w:pPr>
        <w:rPr>
          <w:sz w:val="22"/>
          <w:szCs w:val="22"/>
        </w:rPr>
      </w:pPr>
    </w:p>
    <w:p w:rsidR="006B1F10" w:rsidRPr="008F37E2" w:rsidRDefault="00FD44C3">
      <w:pPr>
        <w:rPr>
          <w:sz w:val="22"/>
          <w:szCs w:val="22"/>
        </w:rPr>
      </w:pPr>
      <w:r>
        <w:rPr>
          <w:sz w:val="22"/>
          <w:szCs w:val="22"/>
        </w:rPr>
        <w:t>02/2018</w:t>
      </w:r>
    </w:p>
    <w:sectPr w:rsidR="006B1F10" w:rsidRPr="008F37E2" w:rsidSect="00FC220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85" w:rsidRDefault="007C5E85">
      <w:r>
        <w:separator/>
      </w:r>
    </w:p>
  </w:endnote>
  <w:endnote w:type="continuationSeparator" w:id="0">
    <w:p w:rsidR="007C5E85" w:rsidRDefault="007C5E85">
      <w:r>
        <w:continuationSeparator/>
      </w:r>
    </w:p>
  </w:endnote>
  <w:endnote w:type="continuationNotice" w:id="1">
    <w:p w:rsidR="007C5E85" w:rsidRDefault="007C5E8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4AC1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F50" w:rsidRDefault="00290578" w:rsidP="003C6CE4">
    <w:pPr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7F5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17F50" w:rsidRDefault="00317F50" w:rsidP="003C6CE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F50" w:rsidRDefault="00290578" w:rsidP="006F5894">
    <w:pPr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7F50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D44C3">
      <w:rPr>
        <w:rStyle w:val="slostrany"/>
        <w:noProof/>
      </w:rPr>
      <w:t>14</w:t>
    </w:r>
    <w:r>
      <w:rPr>
        <w:rStyle w:val="slostrany"/>
      </w:rPr>
      <w:fldChar w:fldCharType="end"/>
    </w:r>
  </w:p>
  <w:p w:rsidR="00317F50" w:rsidRPr="00042517" w:rsidRDefault="00317F50" w:rsidP="00803C26">
    <w:pPr>
      <w:jc w:val="right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7963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317F50" w:rsidRPr="00C40DF2" w:rsidRDefault="00290578">
        <w:pPr>
          <w:pStyle w:val="Pta"/>
          <w:jc w:val="center"/>
          <w:rPr>
            <w:sz w:val="18"/>
          </w:rPr>
        </w:pPr>
        <w:r w:rsidRPr="00C40DF2">
          <w:rPr>
            <w:sz w:val="18"/>
          </w:rPr>
          <w:fldChar w:fldCharType="begin"/>
        </w:r>
        <w:r w:rsidR="00317F50" w:rsidRPr="00C40DF2">
          <w:rPr>
            <w:sz w:val="18"/>
          </w:rPr>
          <w:instrText>PAGE   \* MERGEFORMAT</w:instrText>
        </w:r>
        <w:r w:rsidRPr="00C40DF2">
          <w:rPr>
            <w:sz w:val="18"/>
          </w:rPr>
          <w:fldChar w:fldCharType="separate"/>
        </w:r>
        <w:r w:rsidR="00FC2201">
          <w:rPr>
            <w:noProof/>
            <w:sz w:val="18"/>
          </w:rPr>
          <w:t>1</w:t>
        </w:r>
        <w:r w:rsidRPr="00C40DF2">
          <w:rPr>
            <w:sz w:val="18"/>
          </w:rPr>
          <w:fldChar w:fldCharType="end"/>
        </w:r>
      </w:p>
    </w:sdtContent>
  </w:sdt>
  <w:p w:rsidR="00317F50" w:rsidRDefault="00317F5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85" w:rsidRDefault="007C5E85">
      <w:r>
        <w:separator/>
      </w:r>
    </w:p>
  </w:footnote>
  <w:footnote w:type="continuationSeparator" w:id="0">
    <w:p w:rsidR="007C5E85" w:rsidRDefault="007C5E85">
      <w:r>
        <w:continuationSeparator/>
      </w:r>
    </w:p>
  </w:footnote>
  <w:footnote w:type="continuationNotice" w:id="1">
    <w:p w:rsidR="007C5E85" w:rsidRDefault="007C5E8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01" w:rsidRDefault="00FC2201" w:rsidP="00FC2201">
    <w:pPr>
      <w:pStyle w:val="Hlavika"/>
    </w:pPr>
    <w:proofErr w:type="spellStart"/>
    <w:r>
      <w:rPr>
        <w:sz w:val="18"/>
        <w:szCs w:val="18"/>
        <w:lang w:val="de-DE"/>
      </w:rPr>
      <w:t>Príloha</w:t>
    </w:r>
    <w:proofErr w:type="spellEnd"/>
    <w:r>
      <w:rPr>
        <w:sz w:val="18"/>
        <w:szCs w:val="18"/>
        <w:lang w:val="de-DE"/>
      </w:rPr>
      <w:t xml:space="preserve"> č. 2 k </w:t>
    </w:r>
    <w:proofErr w:type="spellStart"/>
    <w:r>
      <w:rPr>
        <w:sz w:val="18"/>
        <w:szCs w:val="18"/>
        <w:lang w:val="de-DE"/>
      </w:rPr>
      <w:t>notifikácii</w:t>
    </w:r>
    <w:proofErr w:type="spellEnd"/>
    <w:r>
      <w:rPr>
        <w:sz w:val="18"/>
        <w:szCs w:val="18"/>
        <w:lang w:val="de-DE"/>
      </w:rPr>
      <w:t xml:space="preserve"> o </w:t>
    </w:r>
    <w:proofErr w:type="spellStart"/>
    <w:r>
      <w:rPr>
        <w:sz w:val="18"/>
        <w:szCs w:val="18"/>
        <w:lang w:val="de-DE"/>
      </w:rPr>
      <w:t>zmene</w:t>
    </w:r>
    <w:proofErr w:type="spellEnd"/>
    <w:r>
      <w:rPr>
        <w:sz w:val="18"/>
        <w:szCs w:val="18"/>
        <w:lang w:val="de-DE"/>
      </w:rPr>
      <w:t>, ev. č.: 2017/04494-Z1A</w:t>
    </w:r>
  </w:p>
  <w:p w:rsidR="00FC2201" w:rsidRDefault="00FC220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AA" w:rsidRDefault="00E214AA" w:rsidP="00E214AA">
    <w:pPr>
      <w:pStyle w:val="Hlavika"/>
    </w:pPr>
    <w:proofErr w:type="spellStart"/>
    <w:r>
      <w:rPr>
        <w:sz w:val="18"/>
        <w:szCs w:val="18"/>
        <w:lang w:val="de-DE"/>
      </w:rPr>
      <w:t>Príloha</w:t>
    </w:r>
    <w:proofErr w:type="spellEnd"/>
    <w:r>
      <w:rPr>
        <w:sz w:val="18"/>
        <w:szCs w:val="18"/>
        <w:lang w:val="de-DE"/>
      </w:rPr>
      <w:t xml:space="preserve"> č. </w:t>
    </w:r>
    <w:r w:rsidR="00FC2201">
      <w:rPr>
        <w:sz w:val="18"/>
        <w:szCs w:val="18"/>
        <w:lang w:val="de-DE"/>
      </w:rPr>
      <w:t>2</w:t>
    </w:r>
    <w:r>
      <w:rPr>
        <w:sz w:val="18"/>
        <w:szCs w:val="18"/>
        <w:lang w:val="de-DE"/>
      </w:rPr>
      <w:t xml:space="preserve"> k </w:t>
    </w:r>
    <w:proofErr w:type="spellStart"/>
    <w:r>
      <w:rPr>
        <w:sz w:val="18"/>
        <w:szCs w:val="18"/>
        <w:lang w:val="de-DE"/>
      </w:rPr>
      <w:t>notifikácii</w:t>
    </w:r>
    <w:proofErr w:type="spellEnd"/>
    <w:r>
      <w:rPr>
        <w:sz w:val="18"/>
        <w:szCs w:val="18"/>
        <w:lang w:val="de-DE"/>
      </w:rPr>
      <w:t xml:space="preserve"> o </w:t>
    </w:r>
    <w:proofErr w:type="spellStart"/>
    <w:r>
      <w:rPr>
        <w:sz w:val="18"/>
        <w:szCs w:val="18"/>
        <w:lang w:val="de-DE"/>
      </w:rPr>
      <w:t>zmene</w:t>
    </w:r>
    <w:proofErr w:type="spellEnd"/>
    <w:r>
      <w:rPr>
        <w:sz w:val="18"/>
        <w:szCs w:val="18"/>
        <w:lang w:val="de-DE"/>
      </w:rPr>
      <w:t>, ev. č.: 2017/04494-Z1A</w:t>
    </w:r>
  </w:p>
  <w:p w:rsidR="00317F50" w:rsidRPr="008F37E2" w:rsidRDefault="00317F50">
    <w:pPr>
      <w:pStyle w:val="Hlavika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4142EA"/>
    <w:multiLevelType w:val="hybridMultilevel"/>
    <w:tmpl w:val="BA3660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968FB"/>
    <w:multiLevelType w:val="hybridMultilevel"/>
    <w:tmpl w:val="FED6E94E"/>
    <w:lvl w:ilvl="0" w:tplc="0CB6FF4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4A2A4B"/>
    <w:multiLevelType w:val="hybridMultilevel"/>
    <w:tmpl w:val="5358E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46A4E"/>
    <w:multiLevelType w:val="hybridMultilevel"/>
    <w:tmpl w:val="1B0A8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DD1239"/>
    <w:multiLevelType w:val="hybridMultilevel"/>
    <w:tmpl w:val="77FC7C6C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4BDCA2EA">
      <w:start w:val="1"/>
      <w:numFmt w:val="bullet"/>
      <w:lvlText w:val="-"/>
      <w:lvlJc w:val="left"/>
      <w:pPr>
        <w:tabs>
          <w:tab w:val="num" w:pos="796"/>
        </w:tabs>
        <w:ind w:left="1363" w:hanging="283"/>
      </w:pPr>
      <w:rPr>
        <w:rFonts w:ascii="Times New (W1)" w:hAnsi="Times New (W1)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1B2E98"/>
    <w:multiLevelType w:val="multilevel"/>
    <w:tmpl w:val="A0EE495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22250BCC"/>
    <w:multiLevelType w:val="hybridMultilevel"/>
    <w:tmpl w:val="A9D60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1209D"/>
    <w:multiLevelType w:val="hybridMultilevel"/>
    <w:tmpl w:val="BD6A3B18"/>
    <w:lvl w:ilvl="0" w:tplc="8694545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26468B"/>
    <w:multiLevelType w:val="hybridMultilevel"/>
    <w:tmpl w:val="09D6D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14A91"/>
    <w:multiLevelType w:val="hybridMultilevel"/>
    <w:tmpl w:val="DFE4BF80"/>
    <w:lvl w:ilvl="0" w:tplc="A120B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02751C9"/>
    <w:multiLevelType w:val="hybridMultilevel"/>
    <w:tmpl w:val="82BA9410"/>
    <w:lvl w:ilvl="0" w:tplc="0AFEFBB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145C71"/>
    <w:multiLevelType w:val="hybridMultilevel"/>
    <w:tmpl w:val="3C247F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C45AD"/>
    <w:multiLevelType w:val="hybridMultilevel"/>
    <w:tmpl w:val="5C62A5E4"/>
    <w:lvl w:ilvl="0" w:tplc="D4BCD2F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E1667C2"/>
    <w:multiLevelType w:val="hybridMultilevel"/>
    <w:tmpl w:val="9C1EB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B71FA"/>
    <w:multiLevelType w:val="hybridMultilevel"/>
    <w:tmpl w:val="A4BC43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92689"/>
    <w:multiLevelType w:val="hybridMultilevel"/>
    <w:tmpl w:val="A1F0F846"/>
    <w:lvl w:ilvl="0" w:tplc="D4BCD2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F972D5"/>
    <w:multiLevelType w:val="hybridMultilevel"/>
    <w:tmpl w:val="36B8B8BE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4BDCA2EA">
      <w:start w:val="1"/>
      <w:numFmt w:val="bullet"/>
      <w:lvlText w:val="-"/>
      <w:lvlJc w:val="left"/>
      <w:pPr>
        <w:tabs>
          <w:tab w:val="num" w:pos="796"/>
        </w:tabs>
        <w:ind w:left="1363" w:hanging="283"/>
      </w:pPr>
      <w:rPr>
        <w:rFonts w:ascii="Times New (W1)" w:hAnsi="Times New (W1)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DE554C"/>
    <w:multiLevelType w:val="hybridMultilevel"/>
    <w:tmpl w:val="2F70680A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4BDCA2EA">
      <w:start w:val="1"/>
      <w:numFmt w:val="bullet"/>
      <w:lvlText w:val="-"/>
      <w:lvlJc w:val="left"/>
      <w:pPr>
        <w:tabs>
          <w:tab w:val="num" w:pos="796"/>
        </w:tabs>
        <w:ind w:left="1363" w:hanging="283"/>
      </w:pPr>
      <w:rPr>
        <w:rFonts w:ascii="Times New (W1)" w:hAnsi="Times New (W1)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5F7641"/>
    <w:multiLevelType w:val="hybridMultilevel"/>
    <w:tmpl w:val="38509D42"/>
    <w:lvl w:ilvl="0" w:tplc="E6F287B8">
      <w:start w:val="1000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28B4725"/>
    <w:multiLevelType w:val="hybridMultilevel"/>
    <w:tmpl w:val="40DEED0C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4BDCA2EA">
      <w:start w:val="1"/>
      <w:numFmt w:val="bullet"/>
      <w:lvlText w:val="-"/>
      <w:lvlJc w:val="left"/>
      <w:pPr>
        <w:tabs>
          <w:tab w:val="num" w:pos="796"/>
        </w:tabs>
        <w:ind w:left="1363" w:hanging="283"/>
      </w:pPr>
      <w:rPr>
        <w:rFonts w:ascii="Times New (W1)" w:hAnsi="Times New (W1)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ED47CA"/>
    <w:multiLevelType w:val="multilevel"/>
    <w:tmpl w:val="A0E0531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6C4C6830"/>
    <w:multiLevelType w:val="hybridMultilevel"/>
    <w:tmpl w:val="4B7065B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0D0EC0"/>
    <w:multiLevelType w:val="hybridMultilevel"/>
    <w:tmpl w:val="2FC4EE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D1819"/>
    <w:multiLevelType w:val="hybridMultilevel"/>
    <w:tmpl w:val="743A37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DF353F"/>
    <w:multiLevelType w:val="multilevel"/>
    <w:tmpl w:val="AA5869B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786A3D19"/>
    <w:multiLevelType w:val="hybridMultilevel"/>
    <w:tmpl w:val="563A6B5E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4BDCA2EA">
      <w:start w:val="1"/>
      <w:numFmt w:val="bullet"/>
      <w:lvlText w:val="-"/>
      <w:lvlJc w:val="left"/>
      <w:pPr>
        <w:tabs>
          <w:tab w:val="num" w:pos="796"/>
        </w:tabs>
        <w:ind w:left="1363" w:hanging="283"/>
      </w:pPr>
      <w:rPr>
        <w:rFonts w:ascii="Times New (W1)" w:hAnsi="Times New (W1)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976EB4"/>
    <w:multiLevelType w:val="hybridMultilevel"/>
    <w:tmpl w:val="D35286C2"/>
    <w:lvl w:ilvl="0" w:tplc="8694545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1537DB"/>
    <w:multiLevelType w:val="hybridMultilevel"/>
    <w:tmpl w:val="15CCB4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5"/>
  </w:num>
  <w:num w:numId="5">
    <w:abstractNumId w:val="23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24"/>
  </w:num>
  <w:num w:numId="11">
    <w:abstractNumId w:val="29"/>
  </w:num>
  <w:num w:numId="12">
    <w:abstractNumId w:val="13"/>
  </w:num>
  <w:num w:numId="13">
    <w:abstractNumId w:val="16"/>
  </w:num>
  <w:num w:numId="14">
    <w:abstractNumId w:val="25"/>
  </w:num>
  <w:num w:numId="15">
    <w:abstractNumId w:val="10"/>
  </w:num>
  <w:num w:numId="16">
    <w:abstractNumId w:val="20"/>
  </w:num>
  <w:num w:numId="17">
    <w:abstractNumId w:val="5"/>
  </w:num>
  <w:num w:numId="18">
    <w:abstractNumId w:val="26"/>
  </w:num>
  <w:num w:numId="19">
    <w:abstractNumId w:val="2"/>
  </w:num>
  <w:num w:numId="20">
    <w:abstractNumId w:val="18"/>
  </w:num>
  <w:num w:numId="21">
    <w:abstractNumId w:val="19"/>
  </w:num>
  <w:num w:numId="22">
    <w:abstractNumId w:val="6"/>
  </w:num>
  <w:num w:numId="23">
    <w:abstractNumId w:val="27"/>
  </w:num>
  <w:num w:numId="24">
    <w:abstractNumId w:val="21"/>
  </w:num>
  <w:num w:numId="25">
    <w:abstractNumId w:val="7"/>
  </w:num>
  <w:num w:numId="26">
    <w:abstractNumId w:val="12"/>
  </w:num>
  <w:num w:numId="27">
    <w:abstractNumId w:val="17"/>
  </w:num>
  <w:num w:numId="28">
    <w:abstractNumId w:val="14"/>
  </w:num>
  <w:num w:numId="29">
    <w:abstractNumId w:val="28"/>
  </w:num>
  <w:num w:numId="30">
    <w:abstractNumId w:val="22"/>
  </w:num>
  <w:num w:numId="3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ácia">
    <w15:presenceInfo w15:providerId="None" w15:userId="registrácia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62ABD"/>
    <w:rsid w:val="00026CB5"/>
    <w:rsid w:val="00042517"/>
    <w:rsid w:val="00044450"/>
    <w:rsid w:val="000444A6"/>
    <w:rsid w:val="000468AB"/>
    <w:rsid w:val="00053F6B"/>
    <w:rsid w:val="00067848"/>
    <w:rsid w:val="00070B5E"/>
    <w:rsid w:val="0007132D"/>
    <w:rsid w:val="0008782E"/>
    <w:rsid w:val="00095C52"/>
    <w:rsid w:val="000969F4"/>
    <w:rsid w:val="000D0464"/>
    <w:rsid w:val="000E0099"/>
    <w:rsid w:val="000E1013"/>
    <w:rsid w:val="000E156A"/>
    <w:rsid w:val="000E40D8"/>
    <w:rsid w:val="000F1E34"/>
    <w:rsid w:val="000F3CE3"/>
    <w:rsid w:val="00100977"/>
    <w:rsid w:val="001012E9"/>
    <w:rsid w:val="001014E9"/>
    <w:rsid w:val="0010229F"/>
    <w:rsid w:val="00106A81"/>
    <w:rsid w:val="001103A5"/>
    <w:rsid w:val="00114013"/>
    <w:rsid w:val="00121D71"/>
    <w:rsid w:val="00122EAC"/>
    <w:rsid w:val="0012687E"/>
    <w:rsid w:val="0013564B"/>
    <w:rsid w:val="001631FB"/>
    <w:rsid w:val="00167364"/>
    <w:rsid w:val="00173A34"/>
    <w:rsid w:val="00175D3F"/>
    <w:rsid w:val="00182BAC"/>
    <w:rsid w:val="00182EAD"/>
    <w:rsid w:val="0018314D"/>
    <w:rsid w:val="00183688"/>
    <w:rsid w:val="001874CB"/>
    <w:rsid w:val="00187973"/>
    <w:rsid w:val="001A1CCC"/>
    <w:rsid w:val="001A7D11"/>
    <w:rsid w:val="001B48C0"/>
    <w:rsid w:val="001C0999"/>
    <w:rsid w:val="001E41B4"/>
    <w:rsid w:val="001F0767"/>
    <w:rsid w:val="001F19AF"/>
    <w:rsid w:val="001F26EA"/>
    <w:rsid w:val="001F46FF"/>
    <w:rsid w:val="001F61BF"/>
    <w:rsid w:val="00207505"/>
    <w:rsid w:val="00217FBA"/>
    <w:rsid w:val="00223CE8"/>
    <w:rsid w:val="00223EE6"/>
    <w:rsid w:val="00224A12"/>
    <w:rsid w:val="00232579"/>
    <w:rsid w:val="002416B5"/>
    <w:rsid w:val="00241F55"/>
    <w:rsid w:val="0026182D"/>
    <w:rsid w:val="00263FF3"/>
    <w:rsid w:val="002670D0"/>
    <w:rsid w:val="00272A53"/>
    <w:rsid w:val="002840FD"/>
    <w:rsid w:val="00290578"/>
    <w:rsid w:val="00292D8D"/>
    <w:rsid w:val="00295D8D"/>
    <w:rsid w:val="002970DA"/>
    <w:rsid w:val="002B1861"/>
    <w:rsid w:val="002C211D"/>
    <w:rsid w:val="002D1D98"/>
    <w:rsid w:val="002E0981"/>
    <w:rsid w:val="002E0FE4"/>
    <w:rsid w:val="002F2718"/>
    <w:rsid w:val="002F35FC"/>
    <w:rsid w:val="00300D82"/>
    <w:rsid w:val="00317F50"/>
    <w:rsid w:val="00344C5F"/>
    <w:rsid w:val="00346C90"/>
    <w:rsid w:val="00353B10"/>
    <w:rsid w:val="0036761C"/>
    <w:rsid w:val="00371421"/>
    <w:rsid w:val="00376265"/>
    <w:rsid w:val="003829F3"/>
    <w:rsid w:val="00386015"/>
    <w:rsid w:val="0038651C"/>
    <w:rsid w:val="0038764C"/>
    <w:rsid w:val="003A1219"/>
    <w:rsid w:val="003B486D"/>
    <w:rsid w:val="003B5DEB"/>
    <w:rsid w:val="003B7217"/>
    <w:rsid w:val="003B7658"/>
    <w:rsid w:val="003C04F8"/>
    <w:rsid w:val="003C0FFE"/>
    <w:rsid w:val="003C4185"/>
    <w:rsid w:val="003C6CE4"/>
    <w:rsid w:val="003F080F"/>
    <w:rsid w:val="003F270B"/>
    <w:rsid w:val="003F5909"/>
    <w:rsid w:val="003F6CBF"/>
    <w:rsid w:val="003F70CB"/>
    <w:rsid w:val="003F7402"/>
    <w:rsid w:val="004029C1"/>
    <w:rsid w:val="004045E1"/>
    <w:rsid w:val="00413AC5"/>
    <w:rsid w:val="0042117F"/>
    <w:rsid w:val="00423C54"/>
    <w:rsid w:val="00427B72"/>
    <w:rsid w:val="004324A5"/>
    <w:rsid w:val="0043501C"/>
    <w:rsid w:val="00440BD9"/>
    <w:rsid w:val="00446570"/>
    <w:rsid w:val="00447324"/>
    <w:rsid w:val="00450619"/>
    <w:rsid w:val="00453471"/>
    <w:rsid w:val="0045592C"/>
    <w:rsid w:val="00462A2A"/>
    <w:rsid w:val="004669B2"/>
    <w:rsid w:val="004710DE"/>
    <w:rsid w:val="00472F21"/>
    <w:rsid w:val="004738E9"/>
    <w:rsid w:val="0047574B"/>
    <w:rsid w:val="0047776F"/>
    <w:rsid w:val="00485DA6"/>
    <w:rsid w:val="004B3D6A"/>
    <w:rsid w:val="004B54D0"/>
    <w:rsid w:val="004C3532"/>
    <w:rsid w:val="004C554B"/>
    <w:rsid w:val="004C5EA1"/>
    <w:rsid w:val="004E2BA2"/>
    <w:rsid w:val="00501CF5"/>
    <w:rsid w:val="005028BE"/>
    <w:rsid w:val="005032B5"/>
    <w:rsid w:val="005058B5"/>
    <w:rsid w:val="00510E3B"/>
    <w:rsid w:val="0051775B"/>
    <w:rsid w:val="0052021A"/>
    <w:rsid w:val="00534317"/>
    <w:rsid w:val="0053459D"/>
    <w:rsid w:val="00540311"/>
    <w:rsid w:val="00545149"/>
    <w:rsid w:val="0057404C"/>
    <w:rsid w:val="00584ECB"/>
    <w:rsid w:val="005871D1"/>
    <w:rsid w:val="00596207"/>
    <w:rsid w:val="00596806"/>
    <w:rsid w:val="005A50AD"/>
    <w:rsid w:val="005B13AB"/>
    <w:rsid w:val="005B717E"/>
    <w:rsid w:val="005C05F0"/>
    <w:rsid w:val="005D370F"/>
    <w:rsid w:val="005F5436"/>
    <w:rsid w:val="00603CE2"/>
    <w:rsid w:val="00604ED0"/>
    <w:rsid w:val="00615A76"/>
    <w:rsid w:val="00616078"/>
    <w:rsid w:val="00616E12"/>
    <w:rsid w:val="00627B60"/>
    <w:rsid w:val="00630206"/>
    <w:rsid w:val="0063583A"/>
    <w:rsid w:val="006615C4"/>
    <w:rsid w:val="006757FE"/>
    <w:rsid w:val="00694C25"/>
    <w:rsid w:val="006973E7"/>
    <w:rsid w:val="006A34CA"/>
    <w:rsid w:val="006B1F10"/>
    <w:rsid w:val="006B7E2E"/>
    <w:rsid w:val="006C2E86"/>
    <w:rsid w:val="006C4B25"/>
    <w:rsid w:val="006C68C2"/>
    <w:rsid w:val="006D0737"/>
    <w:rsid w:val="006D303D"/>
    <w:rsid w:val="006D7556"/>
    <w:rsid w:val="006D7DE0"/>
    <w:rsid w:val="006E2FBC"/>
    <w:rsid w:val="006E370B"/>
    <w:rsid w:val="006F39BC"/>
    <w:rsid w:val="006F5894"/>
    <w:rsid w:val="006F5BDB"/>
    <w:rsid w:val="006F5EA3"/>
    <w:rsid w:val="00707C70"/>
    <w:rsid w:val="00710BC4"/>
    <w:rsid w:val="00712895"/>
    <w:rsid w:val="007170A6"/>
    <w:rsid w:val="00720998"/>
    <w:rsid w:val="0072270C"/>
    <w:rsid w:val="007245A8"/>
    <w:rsid w:val="0072529F"/>
    <w:rsid w:val="00734192"/>
    <w:rsid w:val="00734757"/>
    <w:rsid w:val="00743666"/>
    <w:rsid w:val="00754459"/>
    <w:rsid w:val="00756228"/>
    <w:rsid w:val="00762ABD"/>
    <w:rsid w:val="00765DFE"/>
    <w:rsid w:val="00766AE6"/>
    <w:rsid w:val="00772A86"/>
    <w:rsid w:val="00777189"/>
    <w:rsid w:val="007808BC"/>
    <w:rsid w:val="00780C44"/>
    <w:rsid w:val="00781E9B"/>
    <w:rsid w:val="007831C3"/>
    <w:rsid w:val="007844D8"/>
    <w:rsid w:val="0079140D"/>
    <w:rsid w:val="00791A36"/>
    <w:rsid w:val="00791F6B"/>
    <w:rsid w:val="0079232E"/>
    <w:rsid w:val="007936C1"/>
    <w:rsid w:val="007949E1"/>
    <w:rsid w:val="007969C9"/>
    <w:rsid w:val="007A2C95"/>
    <w:rsid w:val="007A7AB9"/>
    <w:rsid w:val="007A7FF9"/>
    <w:rsid w:val="007C4619"/>
    <w:rsid w:val="007C5E85"/>
    <w:rsid w:val="007D4821"/>
    <w:rsid w:val="007D6597"/>
    <w:rsid w:val="007D76F5"/>
    <w:rsid w:val="007E0139"/>
    <w:rsid w:val="007E1FC1"/>
    <w:rsid w:val="007E5A20"/>
    <w:rsid w:val="00801645"/>
    <w:rsid w:val="00803C26"/>
    <w:rsid w:val="00813B81"/>
    <w:rsid w:val="00816757"/>
    <w:rsid w:val="00826756"/>
    <w:rsid w:val="00840F42"/>
    <w:rsid w:val="008565E1"/>
    <w:rsid w:val="00865128"/>
    <w:rsid w:val="00877CE2"/>
    <w:rsid w:val="00883EEE"/>
    <w:rsid w:val="00890619"/>
    <w:rsid w:val="00891887"/>
    <w:rsid w:val="008968BA"/>
    <w:rsid w:val="00897636"/>
    <w:rsid w:val="008A635C"/>
    <w:rsid w:val="008B0886"/>
    <w:rsid w:val="008B4583"/>
    <w:rsid w:val="008B5D14"/>
    <w:rsid w:val="008C0F9B"/>
    <w:rsid w:val="008C3BB5"/>
    <w:rsid w:val="008C3F5D"/>
    <w:rsid w:val="008D26C9"/>
    <w:rsid w:val="008D405D"/>
    <w:rsid w:val="008D4E46"/>
    <w:rsid w:val="008E2F8B"/>
    <w:rsid w:val="008E61F1"/>
    <w:rsid w:val="008F0E5B"/>
    <w:rsid w:val="008F37E2"/>
    <w:rsid w:val="008F46D7"/>
    <w:rsid w:val="008F4E62"/>
    <w:rsid w:val="008F7802"/>
    <w:rsid w:val="00901D44"/>
    <w:rsid w:val="009148B4"/>
    <w:rsid w:val="00915E25"/>
    <w:rsid w:val="009167DF"/>
    <w:rsid w:val="00917C91"/>
    <w:rsid w:val="009220B6"/>
    <w:rsid w:val="0092671E"/>
    <w:rsid w:val="00936C46"/>
    <w:rsid w:val="0094028A"/>
    <w:rsid w:val="00943946"/>
    <w:rsid w:val="00943A5B"/>
    <w:rsid w:val="00960099"/>
    <w:rsid w:val="00961391"/>
    <w:rsid w:val="009614F8"/>
    <w:rsid w:val="009637D3"/>
    <w:rsid w:val="0096408F"/>
    <w:rsid w:val="00965E54"/>
    <w:rsid w:val="00966D9F"/>
    <w:rsid w:val="009716DC"/>
    <w:rsid w:val="009822FF"/>
    <w:rsid w:val="00985B29"/>
    <w:rsid w:val="009870A4"/>
    <w:rsid w:val="00987C27"/>
    <w:rsid w:val="009A2F68"/>
    <w:rsid w:val="009A4E1A"/>
    <w:rsid w:val="009A6AE2"/>
    <w:rsid w:val="009B030B"/>
    <w:rsid w:val="009B3FC9"/>
    <w:rsid w:val="009B6942"/>
    <w:rsid w:val="009C17A1"/>
    <w:rsid w:val="009C6B40"/>
    <w:rsid w:val="009D6E2B"/>
    <w:rsid w:val="009E46F2"/>
    <w:rsid w:val="009E5A6C"/>
    <w:rsid w:val="009F2D7C"/>
    <w:rsid w:val="009F6313"/>
    <w:rsid w:val="00A038A4"/>
    <w:rsid w:val="00A1226C"/>
    <w:rsid w:val="00A15B4D"/>
    <w:rsid w:val="00A15C49"/>
    <w:rsid w:val="00A16A60"/>
    <w:rsid w:val="00A21058"/>
    <w:rsid w:val="00A22507"/>
    <w:rsid w:val="00A230DA"/>
    <w:rsid w:val="00A2566C"/>
    <w:rsid w:val="00A321FA"/>
    <w:rsid w:val="00A32D8F"/>
    <w:rsid w:val="00A3399F"/>
    <w:rsid w:val="00A37C83"/>
    <w:rsid w:val="00A45C3E"/>
    <w:rsid w:val="00A4750A"/>
    <w:rsid w:val="00A501F8"/>
    <w:rsid w:val="00A60EFE"/>
    <w:rsid w:val="00A617A8"/>
    <w:rsid w:val="00A6424B"/>
    <w:rsid w:val="00A679CA"/>
    <w:rsid w:val="00A71BED"/>
    <w:rsid w:val="00A71E4B"/>
    <w:rsid w:val="00A775B3"/>
    <w:rsid w:val="00A812C3"/>
    <w:rsid w:val="00A855A3"/>
    <w:rsid w:val="00A93468"/>
    <w:rsid w:val="00A96169"/>
    <w:rsid w:val="00AB5CE4"/>
    <w:rsid w:val="00AB6CC5"/>
    <w:rsid w:val="00AB75B6"/>
    <w:rsid w:val="00AC03C2"/>
    <w:rsid w:val="00AC1925"/>
    <w:rsid w:val="00AD079F"/>
    <w:rsid w:val="00AD19C2"/>
    <w:rsid w:val="00AD3B79"/>
    <w:rsid w:val="00AE2609"/>
    <w:rsid w:val="00AF39F6"/>
    <w:rsid w:val="00AF740D"/>
    <w:rsid w:val="00B0005C"/>
    <w:rsid w:val="00B00B65"/>
    <w:rsid w:val="00B026BB"/>
    <w:rsid w:val="00B101ED"/>
    <w:rsid w:val="00B12F20"/>
    <w:rsid w:val="00B13B38"/>
    <w:rsid w:val="00B235D3"/>
    <w:rsid w:val="00B2621A"/>
    <w:rsid w:val="00B3283B"/>
    <w:rsid w:val="00B32E2D"/>
    <w:rsid w:val="00B33E49"/>
    <w:rsid w:val="00B43ED8"/>
    <w:rsid w:val="00B441B4"/>
    <w:rsid w:val="00B46C46"/>
    <w:rsid w:val="00B47E37"/>
    <w:rsid w:val="00B537EB"/>
    <w:rsid w:val="00B643AD"/>
    <w:rsid w:val="00B67A1A"/>
    <w:rsid w:val="00B73DAB"/>
    <w:rsid w:val="00B74750"/>
    <w:rsid w:val="00B74E60"/>
    <w:rsid w:val="00B755B5"/>
    <w:rsid w:val="00B7693B"/>
    <w:rsid w:val="00B81CC0"/>
    <w:rsid w:val="00B82665"/>
    <w:rsid w:val="00B84526"/>
    <w:rsid w:val="00B85D53"/>
    <w:rsid w:val="00B95995"/>
    <w:rsid w:val="00BA04A8"/>
    <w:rsid w:val="00BA0C4C"/>
    <w:rsid w:val="00BA1518"/>
    <w:rsid w:val="00BA3128"/>
    <w:rsid w:val="00BA31DE"/>
    <w:rsid w:val="00BA44B2"/>
    <w:rsid w:val="00BA4A8F"/>
    <w:rsid w:val="00BA5AC4"/>
    <w:rsid w:val="00BA6088"/>
    <w:rsid w:val="00BB0C6B"/>
    <w:rsid w:val="00BB2FE4"/>
    <w:rsid w:val="00BB345C"/>
    <w:rsid w:val="00BC15F9"/>
    <w:rsid w:val="00BE3D96"/>
    <w:rsid w:val="00BE4A5D"/>
    <w:rsid w:val="00BF1480"/>
    <w:rsid w:val="00C0071B"/>
    <w:rsid w:val="00C05BBA"/>
    <w:rsid w:val="00C07D37"/>
    <w:rsid w:val="00C20EA4"/>
    <w:rsid w:val="00C2425D"/>
    <w:rsid w:val="00C328D2"/>
    <w:rsid w:val="00C406C7"/>
    <w:rsid w:val="00C40DF2"/>
    <w:rsid w:val="00C41840"/>
    <w:rsid w:val="00C41F47"/>
    <w:rsid w:val="00C448B4"/>
    <w:rsid w:val="00C51B43"/>
    <w:rsid w:val="00C52532"/>
    <w:rsid w:val="00C539E0"/>
    <w:rsid w:val="00C56E35"/>
    <w:rsid w:val="00C57F1A"/>
    <w:rsid w:val="00C6649A"/>
    <w:rsid w:val="00C72034"/>
    <w:rsid w:val="00C73056"/>
    <w:rsid w:val="00C77F6E"/>
    <w:rsid w:val="00C815AF"/>
    <w:rsid w:val="00C8570E"/>
    <w:rsid w:val="00C8614C"/>
    <w:rsid w:val="00C97C70"/>
    <w:rsid w:val="00CA1084"/>
    <w:rsid w:val="00CB17F1"/>
    <w:rsid w:val="00CB3CE3"/>
    <w:rsid w:val="00CB3F10"/>
    <w:rsid w:val="00CD21B9"/>
    <w:rsid w:val="00CD2A61"/>
    <w:rsid w:val="00CD56BC"/>
    <w:rsid w:val="00CD56F3"/>
    <w:rsid w:val="00CE31B5"/>
    <w:rsid w:val="00CE32EF"/>
    <w:rsid w:val="00CE3AC9"/>
    <w:rsid w:val="00D040B8"/>
    <w:rsid w:val="00D07AE7"/>
    <w:rsid w:val="00D3047A"/>
    <w:rsid w:val="00D31D77"/>
    <w:rsid w:val="00D34818"/>
    <w:rsid w:val="00D40029"/>
    <w:rsid w:val="00D41BE9"/>
    <w:rsid w:val="00D455A5"/>
    <w:rsid w:val="00D52F35"/>
    <w:rsid w:val="00D6417F"/>
    <w:rsid w:val="00D6710E"/>
    <w:rsid w:val="00D67F5A"/>
    <w:rsid w:val="00D71368"/>
    <w:rsid w:val="00D730F5"/>
    <w:rsid w:val="00D73514"/>
    <w:rsid w:val="00D77C20"/>
    <w:rsid w:val="00D77EBF"/>
    <w:rsid w:val="00D808F0"/>
    <w:rsid w:val="00DA1E92"/>
    <w:rsid w:val="00DA31D9"/>
    <w:rsid w:val="00DB2D00"/>
    <w:rsid w:val="00DC68A1"/>
    <w:rsid w:val="00DD49FC"/>
    <w:rsid w:val="00DD4B91"/>
    <w:rsid w:val="00DD76E4"/>
    <w:rsid w:val="00DE548C"/>
    <w:rsid w:val="00DE6B36"/>
    <w:rsid w:val="00E009CA"/>
    <w:rsid w:val="00E07444"/>
    <w:rsid w:val="00E11C13"/>
    <w:rsid w:val="00E214AA"/>
    <w:rsid w:val="00E2271D"/>
    <w:rsid w:val="00E25FC3"/>
    <w:rsid w:val="00E3078A"/>
    <w:rsid w:val="00E32F41"/>
    <w:rsid w:val="00E3404C"/>
    <w:rsid w:val="00E37304"/>
    <w:rsid w:val="00E406FD"/>
    <w:rsid w:val="00E5783E"/>
    <w:rsid w:val="00E609FA"/>
    <w:rsid w:val="00E60FE9"/>
    <w:rsid w:val="00E62735"/>
    <w:rsid w:val="00E62A3C"/>
    <w:rsid w:val="00E63BC9"/>
    <w:rsid w:val="00E661CB"/>
    <w:rsid w:val="00E73156"/>
    <w:rsid w:val="00E74377"/>
    <w:rsid w:val="00E74EBC"/>
    <w:rsid w:val="00E75AAB"/>
    <w:rsid w:val="00E82F23"/>
    <w:rsid w:val="00E86284"/>
    <w:rsid w:val="00E91D7F"/>
    <w:rsid w:val="00E96DFA"/>
    <w:rsid w:val="00EA3BF9"/>
    <w:rsid w:val="00EA4D0D"/>
    <w:rsid w:val="00EB4940"/>
    <w:rsid w:val="00EB50D3"/>
    <w:rsid w:val="00EC1E5B"/>
    <w:rsid w:val="00ED2295"/>
    <w:rsid w:val="00ED67EF"/>
    <w:rsid w:val="00EE2B78"/>
    <w:rsid w:val="00EF0ED1"/>
    <w:rsid w:val="00EF20BB"/>
    <w:rsid w:val="00F03EB1"/>
    <w:rsid w:val="00F05A2A"/>
    <w:rsid w:val="00F075F0"/>
    <w:rsid w:val="00F129E3"/>
    <w:rsid w:val="00F21C99"/>
    <w:rsid w:val="00F22D87"/>
    <w:rsid w:val="00F30D80"/>
    <w:rsid w:val="00F32E43"/>
    <w:rsid w:val="00F347F7"/>
    <w:rsid w:val="00F366C3"/>
    <w:rsid w:val="00F40A2A"/>
    <w:rsid w:val="00F40C8D"/>
    <w:rsid w:val="00F43015"/>
    <w:rsid w:val="00F51568"/>
    <w:rsid w:val="00F51A00"/>
    <w:rsid w:val="00F70DCD"/>
    <w:rsid w:val="00F71647"/>
    <w:rsid w:val="00F77C0F"/>
    <w:rsid w:val="00F82AEB"/>
    <w:rsid w:val="00F838F1"/>
    <w:rsid w:val="00F845CA"/>
    <w:rsid w:val="00F86918"/>
    <w:rsid w:val="00F87D0E"/>
    <w:rsid w:val="00F972D0"/>
    <w:rsid w:val="00FA363F"/>
    <w:rsid w:val="00FA4B41"/>
    <w:rsid w:val="00FA569B"/>
    <w:rsid w:val="00FB128F"/>
    <w:rsid w:val="00FB3923"/>
    <w:rsid w:val="00FB472E"/>
    <w:rsid w:val="00FB6F3C"/>
    <w:rsid w:val="00FB7C33"/>
    <w:rsid w:val="00FC04D1"/>
    <w:rsid w:val="00FC2201"/>
    <w:rsid w:val="00FC4323"/>
    <w:rsid w:val="00FC6852"/>
    <w:rsid w:val="00FD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1BED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13AC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de-DE" w:eastAsia="de-DE"/>
    </w:rPr>
  </w:style>
  <w:style w:type="paragraph" w:styleId="Nadpis2">
    <w:name w:val="heading 2"/>
    <w:basedOn w:val="Normlny"/>
    <w:link w:val="Nadpis2Char"/>
    <w:autoRedefine/>
    <w:uiPriority w:val="99"/>
    <w:qFormat/>
    <w:rsid w:val="00413AC5"/>
    <w:pPr>
      <w:keepNext/>
      <w:spacing w:before="60"/>
      <w:ind w:left="1550" w:hanging="1550"/>
      <w:outlineLvl w:val="1"/>
    </w:pPr>
    <w:rPr>
      <w:b/>
      <w:bCs/>
      <w:caps/>
      <w:color w:val="000000"/>
      <w:kern w:val="28"/>
      <w:sz w:val="24"/>
      <w:szCs w:val="24"/>
      <w:lang w:val="en-GB" w:eastAsia="de-D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62AB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413AC5"/>
    <w:pPr>
      <w:keepNext/>
      <w:widowControl w:val="0"/>
      <w:tabs>
        <w:tab w:val="left" w:pos="8505"/>
      </w:tabs>
      <w:spacing w:before="120"/>
      <w:outlineLvl w:val="7"/>
    </w:pPr>
    <w:rPr>
      <w:b/>
      <w:bCs/>
      <w:sz w:val="24"/>
      <w:szCs w:val="24"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413AC5"/>
    <w:rPr>
      <w:rFonts w:ascii="Arial" w:hAnsi="Arial"/>
      <w:b/>
      <w:kern w:val="32"/>
      <w:sz w:val="32"/>
      <w:lang w:val="de-DE" w:eastAsia="de-DE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13AC5"/>
    <w:rPr>
      <w:b/>
      <w:caps/>
      <w:color w:val="000000"/>
      <w:kern w:val="28"/>
      <w:sz w:val="24"/>
      <w:lang w:val="en-GB" w:eastAsia="de-DE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3F080F"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413AC5"/>
    <w:rPr>
      <w:b/>
      <w:sz w:val="24"/>
      <w:lang w:val="en-GB" w:eastAsia="de-DE"/>
    </w:rPr>
  </w:style>
  <w:style w:type="character" w:styleId="Hypertextovprepojenie">
    <w:name w:val="Hyperlink"/>
    <w:basedOn w:val="Predvolenpsmoodseku"/>
    <w:uiPriority w:val="99"/>
    <w:rsid w:val="00762ABD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rsid w:val="0094394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43946"/>
    <w:rPr>
      <w:rFonts w:ascii="Tahoma" w:hAnsi="Tahoma"/>
      <w:sz w:val="16"/>
    </w:rPr>
  </w:style>
  <w:style w:type="character" w:customStyle="1" w:styleId="TextkomentraChar">
    <w:name w:val="Text komentára Char"/>
    <w:uiPriority w:val="99"/>
    <w:semiHidden/>
    <w:rsid w:val="00762ABD"/>
  </w:style>
  <w:style w:type="paragraph" w:customStyle="1" w:styleId="EMEAEnBodyText">
    <w:name w:val="EMEA En Body Text"/>
    <w:basedOn w:val="Normlny"/>
    <w:uiPriority w:val="99"/>
    <w:rsid w:val="00762ABD"/>
    <w:pPr>
      <w:spacing w:before="120" w:after="120"/>
      <w:jc w:val="both"/>
    </w:pPr>
    <w:rPr>
      <w:lang w:val="en-US" w:eastAsia="en-US"/>
    </w:rPr>
  </w:style>
  <w:style w:type="character" w:styleId="slostrany">
    <w:name w:val="page number"/>
    <w:basedOn w:val="Predvolenpsmoodseku"/>
    <w:uiPriority w:val="99"/>
    <w:rsid w:val="00762ABD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762ABD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basedOn w:val="Predvolenpsmoodseku"/>
    <w:link w:val="Nzov"/>
    <w:uiPriority w:val="99"/>
    <w:locked/>
    <w:rsid w:val="00762ABD"/>
    <w:rPr>
      <w:b/>
      <w:sz w:val="22"/>
      <w:lang w:val="en-GB" w:eastAsia="en-US"/>
    </w:rPr>
  </w:style>
  <w:style w:type="paragraph" w:customStyle="1" w:styleId="ammtitulairenom">
    <w:name w:val="ammtitulairenom"/>
    <w:basedOn w:val="Normlny"/>
    <w:uiPriority w:val="99"/>
    <w:rsid w:val="00762ABD"/>
    <w:rPr>
      <w:rFonts w:ascii="Arial" w:hAnsi="Arial" w:cs="Arial"/>
      <w:b/>
      <w:bCs/>
      <w:color w:val="000000"/>
      <w:sz w:val="24"/>
      <w:lang w:val="fr-FR" w:eastAsia="fr-FR"/>
    </w:rPr>
  </w:style>
  <w:style w:type="paragraph" w:customStyle="1" w:styleId="ammtitulaireadresse">
    <w:name w:val="ammtitulaireadresse"/>
    <w:basedOn w:val="Normlny"/>
    <w:uiPriority w:val="99"/>
    <w:rsid w:val="00762ABD"/>
    <w:rPr>
      <w:rFonts w:ascii="Arial" w:hAnsi="Arial" w:cs="Arial"/>
      <w:color w:val="000000"/>
      <w:sz w:val="24"/>
      <w:lang w:val="fr-FR" w:eastAsia="fr-FR"/>
    </w:rPr>
  </w:style>
  <w:style w:type="character" w:customStyle="1" w:styleId="PredmetkomentraChar">
    <w:name w:val="Predmet komentára Char"/>
    <w:uiPriority w:val="99"/>
    <w:rsid w:val="00762ABD"/>
    <w:rPr>
      <w:b/>
    </w:rPr>
  </w:style>
  <w:style w:type="paragraph" w:styleId="Zkladntext2">
    <w:name w:val="Body Text 2"/>
    <w:basedOn w:val="Normlny"/>
    <w:link w:val="Zkladntext2Char"/>
    <w:uiPriority w:val="99"/>
    <w:rsid w:val="00762ABD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62ABD"/>
    <w:rPr>
      <w:sz w:val="24"/>
      <w:lang w:val="sk-SK" w:eastAsia="sk-SK"/>
    </w:rPr>
  </w:style>
  <w:style w:type="paragraph" w:customStyle="1" w:styleId="TitleA">
    <w:name w:val="Title A"/>
    <w:basedOn w:val="Normlny"/>
    <w:uiPriority w:val="99"/>
    <w:rsid w:val="00762ABD"/>
    <w:pPr>
      <w:jc w:val="center"/>
    </w:pPr>
    <w:rPr>
      <w:b/>
    </w:rPr>
  </w:style>
  <w:style w:type="paragraph" w:customStyle="1" w:styleId="Formatvorlage2">
    <w:name w:val="Formatvorlage2"/>
    <w:basedOn w:val="Normlny"/>
    <w:uiPriority w:val="99"/>
    <w:rsid w:val="00413AC5"/>
    <w:pPr>
      <w:tabs>
        <w:tab w:val="left" w:pos="7797"/>
      </w:tabs>
      <w:autoSpaceDE w:val="0"/>
      <w:autoSpaceDN w:val="0"/>
      <w:jc w:val="both"/>
    </w:pPr>
    <w:rPr>
      <w:rFonts w:ascii="Arial" w:hAnsi="Arial"/>
      <w:lang w:val="de-DE" w:eastAsia="en-US"/>
    </w:rPr>
  </w:style>
  <w:style w:type="paragraph" w:styleId="Spiatonadresanaoblke">
    <w:name w:val="envelope return"/>
    <w:basedOn w:val="Normlny"/>
    <w:uiPriority w:val="99"/>
    <w:rsid w:val="00413AC5"/>
    <w:rPr>
      <w:rFonts w:ascii="CG Times" w:hAnsi="CG Times"/>
      <w:smallCaps/>
      <w:sz w:val="24"/>
      <w:lang w:val="pt-PT" w:eastAsia="en-US"/>
    </w:rPr>
  </w:style>
  <w:style w:type="paragraph" w:styleId="Normlnywebov">
    <w:name w:val="Normal (Web)"/>
    <w:basedOn w:val="Normlny"/>
    <w:uiPriority w:val="99"/>
    <w:rsid w:val="00413AC5"/>
    <w:pPr>
      <w:spacing w:before="100" w:beforeAutospacing="1" w:after="100" w:afterAutospacing="1"/>
    </w:pPr>
    <w:rPr>
      <w:rFonts w:ascii="Arial Unicode MS" w:hAnsi="Arial Unicode MS" w:cs="Arial Unicode MS"/>
      <w:sz w:val="24"/>
      <w:lang w:val="de-DE" w:eastAsia="de-DE"/>
    </w:rPr>
  </w:style>
  <w:style w:type="table" w:styleId="Mriekatabuky">
    <w:name w:val="Table Grid"/>
    <w:basedOn w:val="Normlnatabuka"/>
    <w:uiPriority w:val="99"/>
    <w:rsid w:val="00413A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Heading">
    <w:name w:val="Document Heading"/>
    <w:basedOn w:val="Normlny"/>
    <w:next w:val="Normlny"/>
    <w:uiPriority w:val="99"/>
    <w:rsid w:val="00413AC5"/>
    <w:pPr>
      <w:spacing w:after="120"/>
    </w:pPr>
    <w:rPr>
      <w:b/>
      <w:sz w:val="28"/>
      <w:lang w:val="en-GB" w:eastAsia="en-GB"/>
    </w:rPr>
  </w:style>
  <w:style w:type="paragraph" w:styleId="Normlnysozarkami">
    <w:name w:val="Normal Indent"/>
    <w:basedOn w:val="Normlny"/>
    <w:rsid w:val="00413AC5"/>
    <w:pPr>
      <w:spacing w:after="120"/>
      <w:ind w:left="720"/>
    </w:pPr>
    <w:rPr>
      <w:lang w:val="en-GB" w:eastAsia="en-GB"/>
    </w:rPr>
  </w:style>
  <w:style w:type="character" w:styleId="PouitHypertextovPrepojenie">
    <w:name w:val="FollowedHyperlink"/>
    <w:basedOn w:val="Predvolenpsmoodseku"/>
    <w:uiPriority w:val="99"/>
    <w:rsid w:val="00413AC5"/>
    <w:rPr>
      <w:rFonts w:cs="Times New Roman"/>
      <w:color w:val="800080"/>
      <w:u w:val="single"/>
    </w:rPr>
  </w:style>
  <w:style w:type="paragraph" w:styleId="Hlavika">
    <w:name w:val="header"/>
    <w:basedOn w:val="Normlny"/>
    <w:link w:val="HlavikaChar"/>
    <w:rsid w:val="004324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3F080F"/>
    <w:rPr>
      <w:sz w:val="20"/>
    </w:rPr>
  </w:style>
  <w:style w:type="paragraph" w:styleId="Pta">
    <w:name w:val="footer"/>
    <w:basedOn w:val="Normlny"/>
    <w:link w:val="PtaChar"/>
    <w:uiPriority w:val="99"/>
    <w:rsid w:val="004324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F080F"/>
    <w:rPr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8F37E2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8F37E2"/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8F37E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8F37E2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8F37E2"/>
    <w:rPr>
      <w:b/>
      <w:bCs/>
      <w:sz w:val="20"/>
      <w:szCs w:val="20"/>
    </w:rPr>
  </w:style>
  <w:style w:type="paragraph" w:customStyle="1" w:styleId="Default">
    <w:name w:val="Default"/>
    <w:rsid w:val="002E0F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2EAD-2123-447E-8AE2-6E18A170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14</Pages>
  <Words>5387</Words>
  <Characters>30706</Characters>
  <Application>Microsoft Office Word</Application>
  <DocSecurity>0</DocSecurity>
  <Lines>255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Merck &amp; Co., Inc.</Company>
  <LinksUpToDate>false</LinksUpToDate>
  <CharactersWithSpaces>36021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PK</dc:creator>
  <cp:lastModifiedBy> Jana Repiščáková</cp:lastModifiedBy>
  <cp:revision>15</cp:revision>
  <cp:lastPrinted>2015-04-22T08:22:00Z</cp:lastPrinted>
  <dcterms:created xsi:type="dcterms:W3CDTF">2017-03-31T10:00:00Z</dcterms:created>
  <dcterms:modified xsi:type="dcterms:W3CDTF">2018-02-12T14:54:00Z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