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F015D" w14:textId="77777777" w:rsidR="002439D9" w:rsidRPr="00D2656D" w:rsidRDefault="002439D9" w:rsidP="00D2656D">
      <w:pPr>
        <w:jc w:val="center"/>
        <w:rPr>
          <w:b/>
          <w:szCs w:val="22"/>
        </w:rPr>
      </w:pPr>
      <w:r w:rsidRPr="00D2656D">
        <w:rPr>
          <w:b/>
          <w:szCs w:val="22"/>
        </w:rPr>
        <w:t>SÚHRN CHARAKTERISTICKÝCH VLASTNOSTÍ LIEKU</w:t>
      </w:r>
    </w:p>
    <w:p w14:paraId="0EA43D1B" w14:textId="77777777" w:rsidR="002439D9" w:rsidRPr="00D2656D" w:rsidRDefault="002439D9" w:rsidP="00D2656D">
      <w:pPr>
        <w:rPr>
          <w:b/>
          <w:szCs w:val="22"/>
        </w:rPr>
      </w:pPr>
    </w:p>
    <w:p w14:paraId="4DC8F300" w14:textId="77777777" w:rsidR="002439D9" w:rsidRPr="00D2656D" w:rsidRDefault="002439D9" w:rsidP="00D2656D">
      <w:pPr>
        <w:rPr>
          <w:szCs w:val="22"/>
        </w:rPr>
      </w:pPr>
    </w:p>
    <w:p w14:paraId="311F17B3" w14:textId="77777777" w:rsidR="002439D9" w:rsidRPr="00D2656D" w:rsidRDefault="002439D9" w:rsidP="00D2656D">
      <w:pPr>
        <w:rPr>
          <w:szCs w:val="22"/>
        </w:rPr>
      </w:pPr>
      <w:r w:rsidRPr="00D2656D">
        <w:rPr>
          <w:b/>
          <w:szCs w:val="22"/>
        </w:rPr>
        <w:t>1.</w:t>
      </w:r>
      <w:r w:rsidRPr="00D2656D">
        <w:rPr>
          <w:b/>
          <w:szCs w:val="22"/>
        </w:rPr>
        <w:tab/>
        <w:t>NÁZOV LIEKU</w:t>
      </w:r>
    </w:p>
    <w:p w14:paraId="10DCF98F" w14:textId="77777777" w:rsidR="002439D9" w:rsidRPr="00D2656D" w:rsidRDefault="002439D9" w:rsidP="00D2656D">
      <w:pPr>
        <w:rPr>
          <w:szCs w:val="22"/>
        </w:rPr>
      </w:pPr>
    </w:p>
    <w:p w14:paraId="085E9A06" w14:textId="77777777" w:rsidR="002439D9" w:rsidRPr="00D2656D" w:rsidRDefault="00141D46" w:rsidP="00D2656D">
      <w:pPr>
        <w:rPr>
          <w:szCs w:val="22"/>
        </w:rPr>
      </w:pPr>
      <w:r w:rsidRPr="00D2656D">
        <w:rPr>
          <w:szCs w:val="22"/>
        </w:rPr>
        <w:t>MAGNESII LACTAS</w:t>
      </w:r>
      <w:r w:rsidR="002439D9" w:rsidRPr="00D2656D">
        <w:rPr>
          <w:szCs w:val="22"/>
        </w:rPr>
        <w:t xml:space="preserve"> VULM 500 mg</w:t>
      </w:r>
    </w:p>
    <w:p w14:paraId="30479F10" w14:textId="77777777" w:rsidR="002439D9" w:rsidRPr="00D2656D" w:rsidRDefault="002439D9" w:rsidP="00D2656D">
      <w:pPr>
        <w:rPr>
          <w:szCs w:val="22"/>
        </w:rPr>
      </w:pPr>
      <w:r w:rsidRPr="00D2656D">
        <w:rPr>
          <w:szCs w:val="22"/>
        </w:rPr>
        <w:t>tablety</w:t>
      </w:r>
    </w:p>
    <w:p w14:paraId="46ADFC35" w14:textId="77777777" w:rsidR="002439D9" w:rsidRPr="00D2656D" w:rsidRDefault="002439D9" w:rsidP="00D2656D">
      <w:pPr>
        <w:rPr>
          <w:iCs/>
          <w:szCs w:val="22"/>
        </w:rPr>
      </w:pPr>
    </w:p>
    <w:p w14:paraId="1BB15D77" w14:textId="77777777" w:rsidR="002439D9" w:rsidRPr="00D2656D" w:rsidRDefault="002439D9" w:rsidP="00D2656D">
      <w:pPr>
        <w:rPr>
          <w:szCs w:val="22"/>
        </w:rPr>
      </w:pPr>
    </w:p>
    <w:p w14:paraId="7E5B5A65" w14:textId="77777777" w:rsidR="002439D9" w:rsidRPr="00D2656D" w:rsidRDefault="002439D9" w:rsidP="00D2656D">
      <w:pPr>
        <w:rPr>
          <w:szCs w:val="22"/>
        </w:rPr>
      </w:pPr>
      <w:r w:rsidRPr="00D2656D">
        <w:rPr>
          <w:b/>
          <w:szCs w:val="22"/>
        </w:rPr>
        <w:t>2.</w:t>
      </w:r>
      <w:r w:rsidRPr="00D2656D">
        <w:rPr>
          <w:b/>
          <w:szCs w:val="22"/>
        </w:rPr>
        <w:tab/>
        <w:t>KVALITATÍVNE A KVANTITATÍVNE ZLOŽENIE</w:t>
      </w:r>
    </w:p>
    <w:p w14:paraId="11A7CF6D" w14:textId="77777777" w:rsidR="002439D9" w:rsidRPr="00D2656D" w:rsidRDefault="002439D9" w:rsidP="00D2656D">
      <w:pPr>
        <w:ind w:left="0" w:firstLine="0"/>
        <w:rPr>
          <w:szCs w:val="22"/>
        </w:rPr>
      </w:pPr>
    </w:p>
    <w:p w14:paraId="6DCD5074" w14:textId="1E08997E" w:rsidR="002439D9" w:rsidRPr="00AC4BA2" w:rsidRDefault="00D2656D" w:rsidP="00D2656D">
      <w:pPr>
        <w:ind w:left="0" w:firstLine="0"/>
        <w:rPr>
          <w:szCs w:val="22"/>
        </w:rPr>
      </w:pPr>
      <w:r w:rsidRPr="00D2656D">
        <w:rPr>
          <w:szCs w:val="22"/>
        </w:rPr>
        <w:t>Každá</w:t>
      </w:r>
      <w:r w:rsidR="002439D9" w:rsidRPr="00D2656D">
        <w:rPr>
          <w:szCs w:val="22"/>
        </w:rPr>
        <w:t xml:space="preserve"> tableta obsahuje 500 mg dihydrátu </w:t>
      </w:r>
      <w:r w:rsidRPr="00D2656D">
        <w:rPr>
          <w:szCs w:val="22"/>
        </w:rPr>
        <w:t>mliečnanu horečnatého</w:t>
      </w:r>
      <w:r w:rsidR="002439D9" w:rsidRPr="00D2656D">
        <w:rPr>
          <w:szCs w:val="22"/>
        </w:rPr>
        <w:t xml:space="preserve"> (</w:t>
      </w:r>
      <w:r w:rsidR="00A9528A">
        <w:rPr>
          <w:szCs w:val="22"/>
        </w:rPr>
        <w:t xml:space="preserve">dihydrátu </w:t>
      </w:r>
      <w:r w:rsidR="00FF45C2" w:rsidRPr="00D2656D">
        <w:rPr>
          <w:szCs w:val="22"/>
        </w:rPr>
        <w:t>magnéziumlaktátu</w:t>
      </w:r>
      <w:r w:rsidR="00A9528A">
        <w:rPr>
          <w:szCs w:val="22"/>
        </w:rPr>
        <w:t>)</w:t>
      </w:r>
      <w:r w:rsidR="002439D9" w:rsidRPr="00D2656D">
        <w:rPr>
          <w:szCs w:val="22"/>
        </w:rPr>
        <w:t xml:space="preserve"> (zodpovedá 51 mg čistého horčíka, resp. 2,1</w:t>
      </w:r>
      <w:r w:rsidR="00360E95" w:rsidRPr="00804D8B">
        <w:rPr>
          <w:szCs w:val="22"/>
        </w:rPr>
        <w:t> </w:t>
      </w:r>
      <w:r w:rsidR="002439D9" w:rsidRPr="00804D8B">
        <w:rPr>
          <w:szCs w:val="22"/>
        </w:rPr>
        <w:t>mmol Mg</w:t>
      </w:r>
      <w:r w:rsidR="002439D9" w:rsidRPr="00AC4BA2">
        <w:rPr>
          <w:szCs w:val="22"/>
          <w:vertAlign w:val="superscript"/>
        </w:rPr>
        <w:t xml:space="preserve">2+ </w:t>
      </w:r>
      <w:r w:rsidR="002439D9" w:rsidRPr="00AC4BA2">
        <w:rPr>
          <w:szCs w:val="22"/>
        </w:rPr>
        <w:t>= 4,2 mEq Mg</w:t>
      </w:r>
      <w:r w:rsidR="002439D9" w:rsidRPr="00AC4BA2">
        <w:rPr>
          <w:szCs w:val="22"/>
          <w:vertAlign w:val="superscript"/>
        </w:rPr>
        <w:t>2+</w:t>
      </w:r>
      <w:r w:rsidR="002439D9" w:rsidRPr="00AC4BA2">
        <w:rPr>
          <w:szCs w:val="22"/>
        </w:rPr>
        <w:t>).</w:t>
      </w:r>
    </w:p>
    <w:p w14:paraId="78945365" w14:textId="77777777" w:rsidR="002439D9" w:rsidRPr="0008227B" w:rsidRDefault="002439D9" w:rsidP="00804D8B">
      <w:pPr>
        <w:ind w:left="0" w:firstLine="0"/>
        <w:rPr>
          <w:szCs w:val="22"/>
        </w:rPr>
      </w:pPr>
    </w:p>
    <w:p w14:paraId="6D504133" w14:textId="5057BB87" w:rsidR="002439D9" w:rsidRPr="0008227B" w:rsidRDefault="002439D9" w:rsidP="00AC4BA2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08227B">
        <w:rPr>
          <w:szCs w:val="22"/>
          <w:u w:val="single"/>
          <w:lang w:val="sk-SK"/>
        </w:rPr>
        <w:t xml:space="preserve">Pomocná látka </w:t>
      </w:r>
      <w:r w:rsidRPr="0008227B">
        <w:rPr>
          <w:noProof/>
          <w:szCs w:val="22"/>
          <w:u w:val="single"/>
          <w:lang w:val="sk-SK"/>
        </w:rPr>
        <w:t>so známym účinkom</w:t>
      </w:r>
      <w:r w:rsidRPr="0008227B">
        <w:rPr>
          <w:szCs w:val="22"/>
          <w:u w:val="single"/>
          <w:lang w:val="sk-SK"/>
        </w:rPr>
        <w:t>:</w:t>
      </w:r>
      <w:r w:rsidRPr="0008227B">
        <w:rPr>
          <w:szCs w:val="22"/>
          <w:lang w:val="sk-SK"/>
        </w:rPr>
        <w:t xml:space="preserve"> </w:t>
      </w:r>
      <w:r w:rsidR="00437A55">
        <w:rPr>
          <w:szCs w:val="22"/>
          <w:lang w:val="sk-SK"/>
        </w:rPr>
        <w:t xml:space="preserve">laktóza </w:t>
      </w:r>
      <w:r w:rsidRPr="0008227B">
        <w:rPr>
          <w:szCs w:val="22"/>
          <w:lang w:val="sk-SK"/>
        </w:rPr>
        <w:t>monohydrát.</w:t>
      </w:r>
    </w:p>
    <w:p w14:paraId="3AE236F1" w14:textId="77777777" w:rsidR="00B97040" w:rsidRDefault="00B97040" w:rsidP="00B35A2F">
      <w:pPr>
        <w:tabs>
          <w:tab w:val="left" w:pos="567"/>
        </w:tabs>
        <w:ind w:left="0" w:firstLine="0"/>
        <w:rPr>
          <w:szCs w:val="22"/>
          <w:lang w:eastAsia="en-US"/>
        </w:rPr>
      </w:pPr>
    </w:p>
    <w:p w14:paraId="1362874E" w14:textId="77777777" w:rsidR="00B97040" w:rsidRDefault="002439D9" w:rsidP="00B35A2F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6C3F05">
        <w:rPr>
          <w:szCs w:val="22"/>
          <w:lang w:eastAsia="en-US"/>
        </w:rPr>
        <w:t>Úplný zoznam pomocných látok, pozri časť 6.1.</w:t>
      </w:r>
    </w:p>
    <w:p w14:paraId="45ED8750" w14:textId="77777777" w:rsidR="002439D9" w:rsidRPr="00D2656D" w:rsidRDefault="002439D9" w:rsidP="00D2656D">
      <w:pPr>
        <w:rPr>
          <w:szCs w:val="22"/>
        </w:rPr>
      </w:pPr>
    </w:p>
    <w:p w14:paraId="446CE8F2" w14:textId="77777777" w:rsidR="002439D9" w:rsidRPr="00D2656D" w:rsidRDefault="002439D9" w:rsidP="00804D8B">
      <w:pPr>
        <w:rPr>
          <w:szCs w:val="22"/>
        </w:rPr>
      </w:pPr>
    </w:p>
    <w:p w14:paraId="2131606F" w14:textId="77777777" w:rsidR="002439D9" w:rsidRPr="00D2656D" w:rsidRDefault="002439D9" w:rsidP="00AC4BA2">
      <w:pPr>
        <w:rPr>
          <w:caps/>
          <w:szCs w:val="22"/>
        </w:rPr>
      </w:pPr>
      <w:r w:rsidRPr="00D2656D">
        <w:rPr>
          <w:b/>
          <w:szCs w:val="22"/>
        </w:rPr>
        <w:t>3.</w:t>
      </w:r>
      <w:r w:rsidRPr="00D2656D">
        <w:rPr>
          <w:b/>
          <w:szCs w:val="22"/>
        </w:rPr>
        <w:tab/>
        <w:t>LIEKOVÁ FORMA</w:t>
      </w:r>
    </w:p>
    <w:p w14:paraId="7E4D57F7" w14:textId="77777777" w:rsidR="002439D9" w:rsidRPr="0008227B" w:rsidRDefault="002439D9" w:rsidP="00AC4BA2">
      <w:pPr>
        <w:rPr>
          <w:szCs w:val="22"/>
        </w:rPr>
      </w:pPr>
    </w:p>
    <w:p w14:paraId="7834902B" w14:textId="77777777" w:rsidR="002439D9" w:rsidRPr="0008227B" w:rsidRDefault="002439D9">
      <w:pPr>
        <w:rPr>
          <w:szCs w:val="22"/>
        </w:rPr>
      </w:pPr>
      <w:r w:rsidRPr="0008227B">
        <w:rPr>
          <w:szCs w:val="22"/>
        </w:rPr>
        <w:t>Tablety.</w:t>
      </w:r>
    </w:p>
    <w:p w14:paraId="138BC220" w14:textId="77777777" w:rsidR="002439D9" w:rsidRPr="0008227B" w:rsidRDefault="002439D9">
      <w:pPr>
        <w:rPr>
          <w:szCs w:val="22"/>
        </w:rPr>
      </w:pPr>
    </w:p>
    <w:p w14:paraId="73A30CE1" w14:textId="255D6A39" w:rsidR="002439D9" w:rsidRPr="00D2656D" w:rsidRDefault="002439D9">
      <w:pPr>
        <w:rPr>
          <w:szCs w:val="22"/>
        </w:rPr>
      </w:pPr>
      <w:r w:rsidRPr="006C3F05">
        <w:rPr>
          <w:szCs w:val="22"/>
        </w:rPr>
        <w:t xml:space="preserve">Biela až takmer biela, podlhovastá, </w:t>
      </w:r>
      <w:r w:rsidR="00D2656D">
        <w:rPr>
          <w:szCs w:val="22"/>
        </w:rPr>
        <w:t xml:space="preserve">obojstranne </w:t>
      </w:r>
      <w:r w:rsidRPr="00D2656D">
        <w:rPr>
          <w:szCs w:val="22"/>
        </w:rPr>
        <w:t>vypuklá tableta s deliacou ryhou na jednej strane.</w:t>
      </w:r>
    </w:p>
    <w:p w14:paraId="513209F9" w14:textId="77777777" w:rsidR="006A6D3B" w:rsidRPr="00804D8B" w:rsidRDefault="006A6D3B">
      <w:pPr>
        <w:rPr>
          <w:szCs w:val="22"/>
        </w:rPr>
      </w:pPr>
    </w:p>
    <w:p w14:paraId="07B58794" w14:textId="77777777" w:rsidR="006A6D3B" w:rsidRPr="00AC4BA2" w:rsidRDefault="006A6D3B">
      <w:pPr>
        <w:rPr>
          <w:szCs w:val="22"/>
        </w:rPr>
      </w:pPr>
      <w:r w:rsidRPr="00AC4BA2">
        <w:rPr>
          <w:szCs w:val="22"/>
        </w:rPr>
        <w:t>Tableta sa môže rozdeliť na rovnaké dávky.</w:t>
      </w:r>
    </w:p>
    <w:p w14:paraId="5A1EDE61" w14:textId="77777777" w:rsidR="002439D9" w:rsidRPr="0008227B" w:rsidRDefault="002439D9">
      <w:pPr>
        <w:rPr>
          <w:szCs w:val="22"/>
        </w:rPr>
      </w:pPr>
    </w:p>
    <w:p w14:paraId="6D46101E" w14:textId="77777777" w:rsidR="002439D9" w:rsidRPr="00D2656D" w:rsidRDefault="002439D9">
      <w:pPr>
        <w:rPr>
          <w:szCs w:val="22"/>
        </w:rPr>
      </w:pPr>
    </w:p>
    <w:p w14:paraId="33E549C8" w14:textId="77777777" w:rsidR="002439D9" w:rsidRPr="00D2656D" w:rsidRDefault="002439D9">
      <w:pPr>
        <w:rPr>
          <w:caps/>
          <w:szCs w:val="22"/>
        </w:rPr>
      </w:pPr>
      <w:r w:rsidRPr="00D2656D">
        <w:rPr>
          <w:b/>
          <w:caps/>
          <w:szCs w:val="22"/>
        </w:rPr>
        <w:t>4.</w:t>
      </w:r>
      <w:r w:rsidRPr="00D2656D">
        <w:rPr>
          <w:b/>
          <w:caps/>
          <w:szCs w:val="22"/>
        </w:rPr>
        <w:tab/>
        <w:t>KLINICKÉ ÚDAJE</w:t>
      </w:r>
    </w:p>
    <w:p w14:paraId="7E4C534C" w14:textId="77777777" w:rsidR="002439D9" w:rsidRPr="00D2656D" w:rsidRDefault="002439D9">
      <w:pPr>
        <w:rPr>
          <w:szCs w:val="22"/>
        </w:rPr>
      </w:pPr>
    </w:p>
    <w:p w14:paraId="51247C0D" w14:textId="77777777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4.1</w:t>
      </w:r>
      <w:r w:rsidRPr="00D2656D">
        <w:rPr>
          <w:b/>
          <w:szCs w:val="22"/>
        </w:rPr>
        <w:tab/>
        <w:t>Terapeutické indikácie</w:t>
      </w:r>
    </w:p>
    <w:p w14:paraId="7FB7D8DC" w14:textId="77777777" w:rsidR="002439D9" w:rsidRPr="00D2656D" w:rsidRDefault="002439D9">
      <w:pPr>
        <w:rPr>
          <w:szCs w:val="22"/>
        </w:rPr>
      </w:pPr>
    </w:p>
    <w:p w14:paraId="4B075D77" w14:textId="77777777" w:rsidR="00EB6E9F" w:rsidRPr="00D2656D" w:rsidRDefault="002439D9">
      <w:pPr>
        <w:ind w:left="0" w:firstLine="0"/>
        <w:rPr>
          <w:szCs w:val="22"/>
        </w:rPr>
      </w:pPr>
      <w:r w:rsidRPr="00D2656D">
        <w:rPr>
          <w:b/>
          <w:szCs w:val="22"/>
        </w:rPr>
        <w:t>Suplementácia horčíka</w:t>
      </w:r>
      <w:r w:rsidRPr="00D2656D">
        <w:rPr>
          <w:szCs w:val="22"/>
        </w:rPr>
        <w:t xml:space="preserve"> ako </w:t>
      </w:r>
      <w:r w:rsidRPr="00D2656D">
        <w:rPr>
          <w:b/>
          <w:szCs w:val="22"/>
        </w:rPr>
        <w:t>prevencia vzniku</w:t>
      </w:r>
      <w:r w:rsidR="005151E7" w:rsidRPr="00D2656D">
        <w:rPr>
          <w:b/>
          <w:szCs w:val="22"/>
        </w:rPr>
        <w:t xml:space="preserve"> a terapia</w:t>
      </w:r>
      <w:r w:rsidRPr="00D2656D">
        <w:rPr>
          <w:szCs w:val="22"/>
        </w:rPr>
        <w:t xml:space="preserve"> </w:t>
      </w:r>
      <w:r w:rsidRPr="00D2656D">
        <w:rPr>
          <w:b/>
          <w:szCs w:val="22"/>
        </w:rPr>
        <w:t>hypomagneziémie</w:t>
      </w:r>
      <w:r w:rsidR="000F1DAD" w:rsidRPr="00D2656D">
        <w:rPr>
          <w:b/>
          <w:szCs w:val="22"/>
        </w:rPr>
        <w:t>.</w:t>
      </w:r>
      <w:r w:rsidRPr="00D2656D">
        <w:rPr>
          <w:szCs w:val="22"/>
        </w:rPr>
        <w:t xml:space="preserve"> </w:t>
      </w:r>
    </w:p>
    <w:p w14:paraId="74998DA5" w14:textId="77777777" w:rsidR="00EB6E9F" w:rsidRPr="00D2656D" w:rsidRDefault="00EB6E9F">
      <w:pPr>
        <w:ind w:left="0" w:firstLine="0"/>
        <w:rPr>
          <w:szCs w:val="22"/>
        </w:rPr>
      </w:pPr>
    </w:p>
    <w:p w14:paraId="41DBF6F7" w14:textId="50C20647" w:rsidR="00247E04" w:rsidRPr="00094D0F" w:rsidRDefault="00BD3572">
      <w:pPr>
        <w:ind w:left="0" w:firstLine="0"/>
        <w:rPr>
          <w:szCs w:val="22"/>
        </w:rPr>
      </w:pPr>
      <w:r w:rsidRPr="00D2656D">
        <w:rPr>
          <w:b/>
          <w:szCs w:val="22"/>
        </w:rPr>
        <w:t>Prevencia a liečba deficitu horčíka</w:t>
      </w:r>
      <w:r w:rsidRPr="00D2656D">
        <w:rPr>
          <w:szCs w:val="22"/>
        </w:rPr>
        <w:t xml:space="preserve"> </w:t>
      </w:r>
      <w:r w:rsidR="002439D9" w:rsidRPr="00D2656D">
        <w:rPr>
          <w:szCs w:val="22"/>
        </w:rPr>
        <w:t>sprevádza</w:t>
      </w:r>
      <w:r w:rsidR="0097514D" w:rsidRPr="00D2656D">
        <w:rPr>
          <w:szCs w:val="22"/>
        </w:rPr>
        <w:t>júc</w:t>
      </w:r>
      <w:r w:rsidR="00466281" w:rsidRPr="00D2656D">
        <w:rPr>
          <w:szCs w:val="22"/>
        </w:rPr>
        <w:t>eho</w:t>
      </w:r>
      <w:r w:rsidR="002439D9" w:rsidRPr="00D2656D">
        <w:rPr>
          <w:szCs w:val="22"/>
        </w:rPr>
        <w:t xml:space="preserve"> in</w:t>
      </w:r>
      <w:r w:rsidR="0097514D" w:rsidRPr="00D2656D">
        <w:rPr>
          <w:szCs w:val="22"/>
        </w:rPr>
        <w:t>é</w:t>
      </w:r>
      <w:r w:rsidR="002439D9" w:rsidRPr="00D2656D">
        <w:rPr>
          <w:szCs w:val="22"/>
        </w:rPr>
        <w:t xml:space="preserve"> ochorenia (napr. diabetes mellitus, vírusové hepatitídy, poruchy pečeňových funkcií </w:t>
      </w:r>
      <w:r w:rsidR="002F577A" w:rsidRPr="00D2656D">
        <w:rPr>
          <w:szCs w:val="22"/>
        </w:rPr>
        <w:t xml:space="preserve">pri </w:t>
      </w:r>
      <w:r w:rsidR="002439D9" w:rsidRPr="00D2656D">
        <w:rPr>
          <w:szCs w:val="22"/>
        </w:rPr>
        <w:t>alkoholizm</w:t>
      </w:r>
      <w:r w:rsidR="002F577A" w:rsidRPr="00D2656D">
        <w:rPr>
          <w:szCs w:val="22"/>
        </w:rPr>
        <w:t>e,</w:t>
      </w:r>
      <w:r w:rsidR="002439D9" w:rsidRPr="00D2656D">
        <w:rPr>
          <w:szCs w:val="22"/>
        </w:rPr>
        <w:t xml:space="preserve"> malabsorpci</w:t>
      </w:r>
      <w:r w:rsidR="00B17F7A" w:rsidRPr="00D2656D">
        <w:rPr>
          <w:szCs w:val="22"/>
        </w:rPr>
        <w:t>a,</w:t>
      </w:r>
      <w:r w:rsidR="002439D9" w:rsidRPr="00D2656D">
        <w:rPr>
          <w:szCs w:val="22"/>
        </w:rPr>
        <w:t xml:space="preserve"> jednostrann</w:t>
      </w:r>
      <w:r w:rsidR="00B17F7A" w:rsidRPr="00D2656D">
        <w:rPr>
          <w:szCs w:val="22"/>
        </w:rPr>
        <w:t>á</w:t>
      </w:r>
      <w:r w:rsidR="002439D9" w:rsidRPr="00D2656D">
        <w:rPr>
          <w:szCs w:val="22"/>
        </w:rPr>
        <w:t xml:space="preserve"> výživ</w:t>
      </w:r>
      <w:r w:rsidR="00B17F7A" w:rsidRPr="00D2656D">
        <w:rPr>
          <w:szCs w:val="22"/>
        </w:rPr>
        <w:t>a</w:t>
      </w:r>
      <w:r w:rsidR="00CA783D" w:rsidRPr="00D2656D">
        <w:rPr>
          <w:szCs w:val="22"/>
        </w:rPr>
        <w:t>,</w:t>
      </w:r>
      <w:r w:rsidR="00F03C4C" w:rsidRPr="00D2656D">
        <w:rPr>
          <w:szCs w:val="22"/>
        </w:rPr>
        <w:t xml:space="preserve"> hypercholesterolémi</w:t>
      </w:r>
      <w:r w:rsidR="00CA783D" w:rsidRPr="00D2656D">
        <w:rPr>
          <w:szCs w:val="22"/>
        </w:rPr>
        <w:t>a</w:t>
      </w:r>
      <w:r w:rsidR="00F03C4C" w:rsidRPr="00D2656D">
        <w:rPr>
          <w:szCs w:val="22"/>
        </w:rPr>
        <w:t xml:space="preserve"> a</w:t>
      </w:r>
      <w:r w:rsidR="009A285D" w:rsidRPr="00D2656D">
        <w:rPr>
          <w:szCs w:val="22"/>
        </w:rPr>
        <w:t> </w:t>
      </w:r>
      <w:r w:rsidR="00F03C4C" w:rsidRPr="00D2656D">
        <w:rPr>
          <w:szCs w:val="22"/>
        </w:rPr>
        <w:t>dyslipidémi</w:t>
      </w:r>
      <w:r w:rsidR="00CA783D" w:rsidRPr="00D2656D">
        <w:rPr>
          <w:szCs w:val="22"/>
        </w:rPr>
        <w:t>e</w:t>
      </w:r>
      <w:r w:rsidR="009A285D" w:rsidRPr="00D2656D">
        <w:rPr>
          <w:szCs w:val="22"/>
        </w:rPr>
        <w:t xml:space="preserve">, </w:t>
      </w:r>
      <w:r w:rsidR="00975EE1" w:rsidRPr="00D2656D">
        <w:rPr>
          <w:szCs w:val="22"/>
        </w:rPr>
        <w:t>mierne až stredne závažné štádi</w:t>
      </w:r>
      <w:r w:rsidR="00DC0EC9" w:rsidRPr="00D2656D">
        <w:rPr>
          <w:szCs w:val="22"/>
        </w:rPr>
        <w:t>á</w:t>
      </w:r>
      <w:r w:rsidR="00975EE1" w:rsidRPr="00D2656D">
        <w:rPr>
          <w:szCs w:val="22"/>
        </w:rPr>
        <w:t xml:space="preserve"> chronických črevných zápalových ochorení ako napr. Crohnova choroba, </w:t>
      </w:r>
      <w:r w:rsidR="009A285D" w:rsidRPr="00D2656D">
        <w:rPr>
          <w:szCs w:val="22"/>
        </w:rPr>
        <w:t>dlhodob</w:t>
      </w:r>
      <w:r w:rsidR="00CA783D" w:rsidRPr="00D2656D">
        <w:rPr>
          <w:szCs w:val="22"/>
        </w:rPr>
        <w:t>é</w:t>
      </w:r>
      <w:r w:rsidR="009A285D" w:rsidRPr="00D2656D">
        <w:rPr>
          <w:szCs w:val="22"/>
        </w:rPr>
        <w:t xml:space="preserve"> stresov</w:t>
      </w:r>
      <w:r w:rsidR="00CA783D" w:rsidRPr="00D2656D">
        <w:rPr>
          <w:szCs w:val="22"/>
        </w:rPr>
        <w:t>é</w:t>
      </w:r>
      <w:r w:rsidR="009A285D" w:rsidRPr="00D2656D">
        <w:rPr>
          <w:szCs w:val="22"/>
        </w:rPr>
        <w:t xml:space="preserve"> stav</w:t>
      </w:r>
      <w:r w:rsidR="00CA783D" w:rsidRPr="00D2656D">
        <w:rPr>
          <w:szCs w:val="22"/>
        </w:rPr>
        <w:t>y</w:t>
      </w:r>
      <w:r w:rsidR="009A285D" w:rsidRPr="00D2656D">
        <w:rPr>
          <w:szCs w:val="22"/>
        </w:rPr>
        <w:t xml:space="preserve">, </w:t>
      </w:r>
      <w:r w:rsidR="00F5036F" w:rsidRPr="00D2656D">
        <w:rPr>
          <w:szCs w:val="22"/>
        </w:rPr>
        <w:t>mierna úzkosť,</w:t>
      </w:r>
      <w:r w:rsidR="00087F1F" w:rsidRPr="00D2656D">
        <w:rPr>
          <w:szCs w:val="22"/>
        </w:rPr>
        <w:t xml:space="preserve"> </w:t>
      </w:r>
      <w:r w:rsidR="009A285D" w:rsidRPr="00D2656D">
        <w:rPr>
          <w:szCs w:val="22"/>
        </w:rPr>
        <w:t>znížen</w:t>
      </w:r>
      <w:r w:rsidR="00DE01A5" w:rsidRPr="00D2656D">
        <w:rPr>
          <w:szCs w:val="22"/>
        </w:rPr>
        <w:t>á</w:t>
      </w:r>
      <w:r w:rsidR="009A285D" w:rsidRPr="00D2656D">
        <w:rPr>
          <w:szCs w:val="22"/>
        </w:rPr>
        <w:t xml:space="preserve"> </w:t>
      </w:r>
      <w:r w:rsidR="009A285D" w:rsidRPr="00094D0F">
        <w:rPr>
          <w:szCs w:val="22"/>
        </w:rPr>
        <w:t>schopnos</w:t>
      </w:r>
      <w:r w:rsidR="00DE01A5" w:rsidRPr="00094D0F">
        <w:rPr>
          <w:szCs w:val="22"/>
        </w:rPr>
        <w:t>ť</w:t>
      </w:r>
      <w:r w:rsidR="009A285D" w:rsidRPr="00094D0F">
        <w:rPr>
          <w:szCs w:val="22"/>
        </w:rPr>
        <w:t xml:space="preserve"> sústrediť sa, chronick</w:t>
      </w:r>
      <w:r w:rsidR="00C05AD4" w:rsidRPr="00094D0F">
        <w:rPr>
          <w:szCs w:val="22"/>
        </w:rPr>
        <w:t>ý</w:t>
      </w:r>
      <w:r w:rsidR="009A285D" w:rsidRPr="00094D0F">
        <w:rPr>
          <w:szCs w:val="22"/>
        </w:rPr>
        <w:t xml:space="preserve"> únavov</w:t>
      </w:r>
      <w:r w:rsidR="00C05AD4" w:rsidRPr="00094D0F">
        <w:rPr>
          <w:szCs w:val="22"/>
        </w:rPr>
        <w:t>ý</w:t>
      </w:r>
      <w:r w:rsidR="009A285D" w:rsidRPr="00094D0F">
        <w:rPr>
          <w:szCs w:val="22"/>
        </w:rPr>
        <w:t xml:space="preserve"> syndróm, tetáni</w:t>
      </w:r>
      <w:r w:rsidR="00C82987" w:rsidRPr="00094D0F">
        <w:rPr>
          <w:szCs w:val="22"/>
        </w:rPr>
        <w:t>a</w:t>
      </w:r>
      <w:r w:rsidR="009A285D" w:rsidRPr="00094D0F">
        <w:rPr>
          <w:szCs w:val="22"/>
        </w:rPr>
        <w:t>, spazmofíli</w:t>
      </w:r>
      <w:r w:rsidR="00C82987" w:rsidRPr="00094D0F">
        <w:rPr>
          <w:szCs w:val="22"/>
        </w:rPr>
        <w:t>a</w:t>
      </w:r>
      <w:r w:rsidR="00525851" w:rsidRPr="00094D0F">
        <w:rPr>
          <w:szCs w:val="22"/>
        </w:rPr>
        <w:t>, symptómy predmenštruačného syndrómu</w:t>
      </w:r>
      <w:r w:rsidR="009B1E40" w:rsidRPr="00094D0F">
        <w:rPr>
          <w:szCs w:val="22"/>
        </w:rPr>
        <w:t>,</w:t>
      </w:r>
      <w:r w:rsidR="00FE4010" w:rsidRPr="00094D0F">
        <w:rPr>
          <w:szCs w:val="22"/>
        </w:rPr>
        <w:t xml:space="preserve"> chorob</w:t>
      </w:r>
      <w:r w:rsidR="00531C48" w:rsidRPr="00094D0F">
        <w:rPr>
          <w:szCs w:val="22"/>
        </w:rPr>
        <w:t>y</w:t>
      </w:r>
      <w:r w:rsidR="00FE4010" w:rsidRPr="00094D0F">
        <w:rPr>
          <w:szCs w:val="22"/>
        </w:rPr>
        <w:t xml:space="preserve"> štítn</w:t>
      </w:r>
      <w:r w:rsidR="00264F59" w:rsidRPr="00094D0F">
        <w:rPr>
          <w:szCs w:val="22"/>
        </w:rPr>
        <w:t>ej žľazy a prištítnych teliesok</w:t>
      </w:r>
      <w:r w:rsidR="003B60E3" w:rsidRPr="00094D0F">
        <w:rPr>
          <w:szCs w:val="22"/>
        </w:rPr>
        <w:t xml:space="preserve">, </w:t>
      </w:r>
      <w:bookmarkStart w:id="0" w:name="_GoBack"/>
      <w:r w:rsidR="00006C35" w:rsidRPr="00094D0F">
        <w:rPr>
          <w:szCs w:val="22"/>
        </w:rPr>
        <w:t>alergické ochorenia a poruchy imunity</w:t>
      </w:r>
      <w:bookmarkEnd w:id="0"/>
      <w:r w:rsidR="002439D9" w:rsidRPr="00094D0F">
        <w:rPr>
          <w:szCs w:val="22"/>
        </w:rPr>
        <w:t>)</w:t>
      </w:r>
      <w:r w:rsidR="0085332F" w:rsidRPr="00094D0F">
        <w:rPr>
          <w:szCs w:val="22"/>
        </w:rPr>
        <w:t>.</w:t>
      </w:r>
    </w:p>
    <w:p w14:paraId="2E9E3DAB" w14:textId="77777777" w:rsidR="00247E04" w:rsidRPr="00094D0F" w:rsidRDefault="00247E04">
      <w:pPr>
        <w:ind w:left="0" w:firstLine="0"/>
        <w:rPr>
          <w:szCs w:val="22"/>
        </w:rPr>
      </w:pPr>
    </w:p>
    <w:p w14:paraId="07B09E18" w14:textId="77777777" w:rsidR="002439D9" w:rsidRPr="00094D0F" w:rsidRDefault="00FC4BE5">
      <w:pPr>
        <w:ind w:left="0" w:firstLine="0"/>
        <w:rPr>
          <w:szCs w:val="22"/>
        </w:rPr>
      </w:pPr>
      <w:r w:rsidRPr="00094D0F">
        <w:rPr>
          <w:szCs w:val="22"/>
        </w:rPr>
        <w:t>P</w:t>
      </w:r>
      <w:r w:rsidR="002439D9" w:rsidRPr="00094D0F">
        <w:rPr>
          <w:szCs w:val="22"/>
        </w:rPr>
        <w:t xml:space="preserve">ri </w:t>
      </w:r>
      <w:r w:rsidR="002439D9" w:rsidRPr="00094D0F">
        <w:rPr>
          <w:b/>
          <w:szCs w:val="22"/>
        </w:rPr>
        <w:t>nedostatočnom príjme alebo zvýšenej potrebe</w:t>
      </w:r>
      <w:r w:rsidR="002439D9" w:rsidRPr="00094D0F">
        <w:rPr>
          <w:szCs w:val="22"/>
        </w:rPr>
        <w:t xml:space="preserve"> </w:t>
      </w:r>
      <w:r w:rsidR="002439D9" w:rsidRPr="00094D0F">
        <w:rPr>
          <w:b/>
          <w:szCs w:val="22"/>
        </w:rPr>
        <w:t>horčíka</w:t>
      </w:r>
      <w:r w:rsidR="002439D9" w:rsidRPr="00094D0F">
        <w:rPr>
          <w:szCs w:val="22"/>
        </w:rPr>
        <w:t xml:space="preserve"> v období gravidity, laktácie, v puberte, v období rekonvalescencie a po operáciách, pri špeciálnych stravovacích zvykoch, pri nadmernej fyzickej a psychickej záťaži, pri strese alebo pri zvýšených stratách horčíka </w:t>
      </w:r>
      <w:r w:rsidR="00FD6D17" w:rsidRPr="00094D0F">
        <w:rPr>
          <w:szCs w:val="22"/>
        </w:rPr>
        <w:t>(napr. vracanie, hnačk</w:t>
      </w:r>
      <w:r w:rsidR="00F12205" w:rsidRPr="00094D0F">
        <w:rPr>
          <w:szCs w:val="22"/>
        </w:rPr>
        <w:t>y</w:t>
      </w:r>
      <w:r w:rsidR="00FD6D17" w:rsidRPr="00094D0F">
        <w:rPr>
          <w:szCs w:val="22"/>
        </w:rPr>
        <w:t>)</w:t>
      </w:r>
      <w:r w:rsidR="002439D9" w:rsidRPr="00094D0F">
        <w:rPr>
          <w:szCs w:val="22"/>
        </w:rPr>
        <w:t>.</w:t>
      </w:r>
    </w:p>
    <w:p w14:paraId="1DADB173" w14:textId="77777777" w:rsidR="002439D9" w:rsidRPr="00094D0F" w:rsidRDefault="002439D9">
      <w:pPr>
        <w:ind w:left="0" w:firstLine="0"/>
        <w:rPr>
          <w:szCs w:val="22"/>
        </w:rPr>
      </w:pPr>
    </w:p>
    <w:p w14:paraId="2B7D3B21" w14:textId="0BC0C342" w:rsidR="002439D9" w:rsidRPr="00094D0F" w:rsidRDefault="002439D9">
      <w:pPr>
        <w:ind w:left="0" w:firstLine="0"/>
        <w:rPr>
          <w:szCs w:val="22"/>
        </w:rPr>
      </w:pPr>
      <w:r w:rsidRPr="00094D0F">
        <w:rPr>
          <w:b/>
          <w:szCs w:val="22"/>
        </w:rPr>
        <w:t>Nedostatok horčíka so sú</w:t>
      </w:r>
      <w:r w:rsidR="009955C4" w:rsidRPr="00094D0F">
        <w:rPr>
          <w:b/>
          <w:szCs w:val="22"/>
        </w:rPr>
        <w:t>bežným</w:t>
      </w:r>
      <w:r w:rsidRPr="00094D0F">
        <w:rPr>
          <w:b/>
          <w:szCs w:val="22"/>
        </w:rPr>
        <w:t xml:space="preserve"> nedostatkom vápnika</w:t>
      </w:r>
      <w:r w:rsidRPr="00094D0F">
        <w:rPr>
          <w:szCs w:val="22"/>
        </w:rPr>
        <w:t xml:space="preserve">, kedy je v mnohých prípadoch nutné dopĺňať primárne horčík a až sekundárne vápnik. Osteoporóza, </w:t>
      </w:r>
      <w:r w:rsidR="00BD3572" w:rsidRPr="00094D0F">
        <w:rPr>
          <w:szCs w:val="22"/>
        </w:rPr>
        <w:t>postmenopauzálna osteoporóza a prevencia ich vzniku.</w:t>
      </w:r>
      <w:r w:rsidRPr="00094D0F">
        <w:rPr>
          <w:szCs w:val="22"/>
        </w:rPr>
        <w:t xml:space="preserve"> </w:t>
      </w:r>
    </w:p>
    <w:p w14:paraId="7E523D39" w14:textId="77777777" w:rsidR="002439D9" w:rsidRPr="00094D0F" w:rsidRDefault="002439D9">
      <w:pPr>
        <w:ind w:left="0" w:firstLine="0"/>
        <w:rPr>
          <w:szCs w:val="22"/>
        </w:rPr>
      </w:pPr>
    </w:p>
    <w:p w14:paraId="3403A48D" w14:textId="0FA45404" w:rsidR="002439D9" w:rsidRPr="00094D0F" w:rsidRDefault="00CC6430">
      <w:pPr>
        <w:ind w:left="0" w:firstLine="0"/>
        <w:rPr>
          <w:szCs w:val="22"/>
        </w:rPr>
      </w:pPr>
      <w:r w:rsidRPr="00094D0F">
        <w:rPr>
          <w:szCs w:val="22"/>
        </w:rPr>
        <w:t>Ľ</w:t>
      </w:r>
      <w:r w:rsidR="002439D9" w:rsidRPr="00094D0F">
        <w:rPr>
          <w:szCs w:val="22"/>
        </w:rPr>
        <w:t>ahšie poruchy spánku</w:t>
      </w:r>
      <w:r w:rsidR="003B60E3" w:rsidRPr="00094D0F">
        <w:rPr>
          <w:szCs w:val="22"/>
        </w:rPr>
        <w:t xml:space="preserve"> a </w:t>
      </w:r>
      <w:r w:rsidR="002439D9" w:rsidRPr="00094D0F">
        <w:rPr>
          <w:szCs w:val="22"/>
        </w:rPr>
        <w:t xml:space="preserve"> prejavy depresie</w:t>
      </w:r>
      <w:r w:rsidR="003B60E3" w:rsidRPr="00094D0F">
        <w:rPr>
          <w:szCs w:val="22"/>
        </w:rPr>
        <w:t xml:space="preserve"> </w:t>
      </w:r>
      <w:r w:rsidR="00006C35" w:rsidRPr="00094D0F">
        <w:rPr>
          <w:szCs w:val="22"/>
        </w:rPr>
        <w:t>súvisiace s hypomagneziémiou, profylaktická liečba migrény</w:t>
      </w:r>
      <w:r w:rsidR="00006C35" w:rsidRPr="00094D0F">
        <w:t>.</w:t>
      </w:r>
    </w:p>
    <w:p w14:paraId="0ACC7DFB" w14:textId="77777777" w:rsidR="002439D9" w:rsidRPr="00094D0F" w:rsidRDefault="002439D9">
      <w:pPr>
        <w:ind w:left="0" w:firstLine="0"/>
        <w:rPr>
          <w:szCs w:val="22"/>
        </w:rPr>
      </w:pPr>
    </w:p>
    <w:p w14:paraId="6209C7F8" w14:textId="77777777" w:rsidR="002439D9" w:rsidRPr="00094D0F" w:rsidRDefault="002439D9">
      <w:pPr>
        <w:ind w:left="0" w:firstLine="0"/>
        <w:rPr>
          <w:szCs w:val="22"/>
        </w:rPr>
      </w:pPr>
      <w:r w:rsidRPr="00094D0F">
        <w:rPr>
          <w:b/>
          <w:szCs w:val="22"/>
        </w:rPr>
        <w:t>Svalové kŕče kostrových svalov</w:t>
      </w:r>
      <w:r w:rsidRPr="00094D0F">
        <w:rPr>
          <w:szCs w:val="22"/>
        </w:rPr>
        <w:t xml:space="preserve"> pri preukázanej hypomagneziémii alebo, ak sú kŕče sprievodným symptómom iného primárneho ochorenia. </w:t>
      </w:r>
    </w:p>
    <w:p w14:paraId="2C49615E" w14:textId="77777777" w:rsidR="002439D9" w:rsidRPr="00094D0F" w:rsidRDefault="002439D9">
      <w:pPr>
        <w:ind w:left="0" w:firstLine="0"/>
        <w:rPr>
          <w:szCs w:val="22"/>
        </w:rPr>
      </w:pPr>
    </w:p>
    <w:p w14:paraId="162918AF" w14:textId="7D52D2D8" w:rsidR="002439D9" w:rsidRPr="00094D0F" w:rsidRDefault="002439D9">
      <w:pPr>
        <w:ind w:left="0" w:firstLine="0"/>
        <w:rPr>
          <w:szCs w:val="22"/>
        </w:rPr>
      </w:pPr>
      <w:r w:rsidRPr="00094D0F">
        <w:rPr>
          <w:b/>
          <w:szCs w:val="22"/>
        </w:rPr>
        <w:lastRenderedPageBreak/>
        <w:t>Prechodný nedostatok horčíka pri sú</w:t>
      </w:r>
      <w:r w:rsidR="009955C4" w:rsidRPr="00094D0F">
        <w:rPr>
          <w:b/>
          <w:szCs w:val="22"/>
        </w:rPr>
        <w:t>bežnej</w:t>
      </w:r>
      <w:r w:rsidRPr="00094D0F">
        <w:rPr>
          <w:b/>
          <w:szCs w:val="22"/>
        </w:rPr>
        <w:t xml:space="preserve"> dlhodobej liečbe niektorými liekmi </w:t>
      </w:r>
      <w:r w:rsidRPr="00094D0F">
        <w:rPr>
          <w:szCs w:val="22"/>
        </w:rPr>
        <w:t>ako sú diuretiká, antiepileptiká, laxatíva, hormonálna antikoncepcia, antibiotiká (gentam</w:t>
      </w:r>
      <w:r w:rsidR="009955C4" w:rsidRPr="00094D0F">
        <w:rPr>
          <w:szCs w:val="22"/>
        </w:rPr>
        <w:t>y</w:t>
      </w:r>
      <w:r w:rsidRPr="00094D0F">
        <w:rPr>
          <w:szCs w:val="22"/>
        </w:rPr>
        <w:t>cín, amfotericín B), cisplatina, imunosupresíva (inhibítory epidermálnych rastových faktorov)</w:t>
      </w:r>
      <w:r w:rsidR="00440751" w:rsidRPr="00094D0F">
        <w:rPr>
          <w:szCs w:val="22"/>
        </w:rPr>
        <w:t xml:space="preserve"> a</w:t>
      </w:r>
      <w:r w:rsidRPr="00094D0F">
        <w:rPr>
          <w:szCs w:val="22"/>
        </w:rPr>
        <w:t xml:space="preserve"> inhibítory protónovej pumpy.</w:t>
      </w:r>
    </w:p>
    <w:p w14:paraId="41A4BAA1" w14:textId="77777777" w:rsidR="002439D9" w:rsidRPr="00094D0F" w:rsidRDefault="002439D9">
      <w:pPr>
        <w:ind w:left="0" w:firstLine="0"/>
        <w:rPr>
          <w:szCs w:val="22"/>
        </w:rPr>
      </w:pPr>
    </w:p>
    <w:p w14:paraId="67989026" w14:textId="2E37E23D" w:rsidR="00737AE8" w:rsidRPr="00D2656D" w:rsidRDefault="002439D9">
      <w:pPr>
        <w:ind w:left="0" w:firstLine="0"/>
        <w:rPr>
          <w:szCs w:val="22"/>
        </w:rPr>
      </w:pPr>
      <w:r w:rsidRPr="00094D0F">
        <w:rPr>
          <w:b/>
          <w:szCs w:val="22"/>
        </w:rPr>
        <w:t>Doplnková liečba pri sú</w:t>
      </w:r>
      <w:r w:rsidR="009955C4" w:rsidRPr="00094D0F">
        <w:rPr>
          <w:b/>
          <w:szCs w:val="22"/>
        </w:rPr>
        <w:t>bežnej</w:t>
      </w:r>
      <w:r w:rsidRPr="00094D0F">
        <w:rPr>
          <w:b/>
          <w:szCs w:val="22"/>
        </w:rPr>
        <w:t xml:space="preserve"> kauzálnej terapii chorôb kardiovaskulárneho systému</w:t>
      </w:r>
      <w:r w:rsidRPr="00094D0F">
        <w:rPr>
          <w:szCs w:val="22"/>
        </w:rPr>
        <w:t xml:space="preserve"> </w:t>
      </w:r>
      <w:r w:rsidR="002A6D9B" w:rsidRPr="00094D0F">
        <w:rPr>
          <w:szCs w:val="22"/>
        </w:rPr>
        <w:t xml:space="preserve">ako </w:t>
      </w:r>
      <w:r w:rsidR="00C16F29" w:rsidRPr="00094D0F">
        <w:rPr>
          <w:szCs w:val="22"/>
        </w:rPr>
        <w:t>sú</w:t>
      </w:r>
      <w:r w:rsidR="002A6D9B" w:rsidRPr="00094D0F">
        <w:rPr>
          <w:szCs w:val="22"/>
        </w:rPr>
        <w:t xml:space="preserve"> </w:t>
      </w:r>
      <w:r w:rsidRPr="00094D0F">
        <w:rPr>
          <w:szCs w:val="22"/>
        </w:rPr>
        <w:t xml:space="preserve">hypertenzia, srdcové zlyhávanie, ateroskleróza a poruchy ciev, </w:t>
      </w:r>
      <w:r w:rsidR="00006C35" w:rsidRPr="00094D0F">
        <w:rPr>
          <w:szCs w:val="22"/>
        </w:rPr>
        <w:t>náhle cievne mozgové príhody</w:t>
      </w:r>
      <w:r w:rsidRPr="00094D0F">
        <w:rPr>
          <w:szCs w:val="22"/>
        </w:rPr>
        <w:t>,</w:t>
      </w:r>
      <w:r w:rsidRPr="00D2656D">
        <w:rPr>
          <w:szCs w:val="22"/>
        </w:rPr>
        <w:t xml:space="preserve"> ventrikulárne arytmie spojené s torsade de pointes </w:t>
      </w:r>
      <w:r w:rsidR="00463E4C">
        <w:rPr>
          <w:szCs w:val="22"/>
        </w:rPr>
        <w:t xml:space="preserve">a </w:t>
      </w:r>
      <w:r w:rsidRPr="00D2656D">
        <w:rPr>
          <w:szCs w:val="22"/>
        </w:rPr>
        <w:t xml:space="preserve">s predĺžením QT intervalu. Horčík znižuje nežiaduce účinky vysokých dávok srdcových glykozidov. </w:t>
      </w:r>
    </w:p>
    <w:p w14:paraId="62DEDD97" w14:textId="77777777" w:rsidR="00737AE8" w:rsidRPr="00D2656D" w:rsidRDefault="00737AE8">
      <w:pPr>
        <w:ind w:left="0" w:firstLine="0"/>
        <w:rPr>
          <w:szCs w:val="22"/>
        </w:rPr>
      </w:pPr>
    </w:p>
    <w:p w14:paraId="1AE7D741" w14:textId="77777777" w:rsidR="002439D9" w:rsidRPr="00D2656D" w:rsidRDefault="00BD3572">
      <w:pPr>
        <w:ind w:left="0" w:firstLine="0"/>
        <w:rPr>
          <w:szCs w:val="22"/>
        </w:rPr>
      </w:pPr>
      <w:r w:rsidRPr="00D2656D">
        <w:rPr>
          <w:b/>
          <w:szCs w:val="22"/>
        </w:rPr>
        <w:t>V tehotenstve</w:t>
      </w:r>
      <w:r w:rsidR="002439D9" w:rsidRPr="00D2656D">
        <w:rPr>
          <w:szCs w:val="22"/>
        </w:rPr>
        <w:t xml:space="preserve"> sa používa pri prejavoch eklampsie</w:t>
      </w:r>
      <w:r w:rsidR="00737AE8" w:rsidRPr="00D2656D">
        <w:rPr>
          <w:szCs w:val="22"/>
        </w:rPr>
        <w:t>, na z</w:t>
      </w:r>
      <w:r w:rsidR="002439D9" w:rsidRPr="00D2656D">
        <w:rPr>
          <w:szCs w:val="22"/>
        </w:rPr>
        <w:t xml:space="preserve">miernenie prejavov porúch spánku, </w:t>
      </w:r>
      <w:r w:rsidR="000B1DC0" w:rsidRPr="00D2656D">
        <w:rPr>
          <w:szCs w:val="22"/>
        </w:rPr>
        <w:t xml:space="preserve">pri </w:t>
      </w:r>
      <w:r w:rsidR="00737AE8" w:rsidRPr="00D2656D">
        <w:rPr>
          <w:szCs w:val="22"/>
        </w:rPr>
        <w:t>svalových kŕčo</w:t>
      </w:r>
      <w:r w:rsidR="000B1DC0" w:rsidRPr="00D2656D">
        <w:rPr>
          <w:szCs w:val="22"/>
        </w:rPr>
        <w:t>ch</w:t>
      </w:r>
      <w:r w:rsidR="002439D9" w:rsidRPr="00D2656D">
        <w:rPr>
          <w:szCs w:val="22"/>
        </w:rPr>
        <w:t xml:space="preserve">, </w:t>
      </w:r>
      <w:r w:rsidR="000B1DC0" w:rsidRPr="00D2656D">
        <w:rPr>
          <w:szCs w:val="22"/>
        </w:rPr>
        <w:t>pri bolestivých sťahoch maternice</w:t>
      </w:r>
      <w:r w:rsidR="00975EE1" w:rsidRPr="00D2656D">
        <w:rPr>
          <w:szCs w:val="22"/>
        </w:rPr>
        <w:t>.</w:t>
      </w:r>
      <w:r w:rsidR="000B1DC0" w:rsidRPr="00D2656D">
        <w:rPr>
          <w:szCs w:val="22"/>
        </w:rPr>
        <w:t xml:space="preserve"> </w:t>
      </w:r>
    </w:p>
    <w:p w14:paraId="6E1AE2FF" w14:textId="77777777" w:rsidR="002439D9" w:rsidRPr="00D2656D" w:rsidRDefault="002439D9">
      <w:pPr>
        <w:ind w:left="0" w:firstLine="0"/>
        <w:rPr>
          <w:szCs w:val="22"/>
        </w:rPr>
      </w:pPr>
    </w:p>
    <w:p w14:paraId="18834467" w14:textId="77777777" w:rsidR="002439D9" w:rsidRPr="00507AD5" w:rsidRDefault="00A25472">
      <w:pPr>
        <w:ind w:left="0" w:firstLine="0"/>
        <w:rPr>
          <w:color w:val="000000"/>
          <w:szCs w:val="22"/>
        </w:rPr>
      </w:pPr>
      <w:r w:rsidRPr="0008227B">
        <w:rPr>
          <w:color w:val="000000"/>
          <w:szCs w:val="22"/>
        </w:rPr>
        <w:t>Súčasť liečby</w:t>
      </w:r>
      <w:r w:rsidR="002439D9" w:rsidRPr="0008227B">
        <w:rPr>
          <w:color w:val="000000"/>
          <w:szCs w:val="22"/>
        </w:rPr>
        <w:t xml:space="preserve"> pri </w:t>
      </w:r>
      <w:r w:rsidR="00BD3572" w:rsidRPr="0008227B">
        <w:rPr>
          <w:b/>
          <w:color w:val="000000"/>
          <w:szCs w:val="22"/>
        </w:rPr>
        <w:t>diabetes mellitus 2. typu</w:t>
      </w:r>
      <w:r w:rsidR="002439D9" w:rsidRPr="0008227B">
        <w:rPr>
          <w:color w:val="000000"/>
          <w:szCs w:val="22"/>
        </w:rPr>
        <w:t xml:space="preserve"> </w:t>
      </w:r>
      <w:r w:rsidRPr="0008227B">
        <w:rPr>
          <w:color w:val="000000"/>
          <w:szCs w:val="22"/>
        </w:rPr>
        <w:t xml:space="preserve">na </w:t>
      </w:r>
      <w:r w:rsidR="00135D85" w:rsidRPr="006C3F05">
        <w:rPr>
          <w:color w:val="000000"/>
          <w:szCs w:val="22"/>
        </w:rPr>
        <w:t>zlepš</w:t>
      </w:r>
      <w:r w:rsidRPr="006C3F05">
        <w:rPr>
          <w:color w:val="000000"/>
          <w:szCs w:val="22"/>
        </w:rPr>
        <w:t>enie</w:t>
      </w:r>
      <w:r w:rsidR="002439D9" w:rsidRPr="006C3F05">
        <w:rPr>
          <w:color w:val="000000"/>
          <w:szCs w:val="22"/>
        </w:rPr>
        <w:t xml:space="preserve"> inzulínov</w:t>
      </w:r>
      <w:r w:rsidRPr="006C3F05">
        <w:rPr>
          <w:color w:val="000000"/>
          <w:szCs w:val="22"/>
        </w:rPr>
        <w:t>ej</w:t>
      </w:r>
      <w:r w:rsidR="002439D9" w:rsidRPr="006C3F05">
        <w:rPr>
          <w:color w:val="000000"/>
          <w:szCs w:val="22"/>
        </w:rPr>
        <w:t xml:space="preserve"> senzitivit</w:t>
      </w:r>
      <w:r w:rsidRPr="006C3F05">
        <w:rPr>
          <w:color w:val="000000"/>
          <w:szCs w:val="22"/>
        </w:rPr>
        <w:t>y</w:t>
      </w:r>
      <w:r w:rsidR="002439D9" w:rsidRPr="005E5584">
        <w:rPr>
          <w:color w:val="000000"/>
          <w:szCs w:val="22"/>
        </w:rPr>
        <w:t>, metabolick</w:t>
      </w:r>
      <w:r w:rsidRPr="005E5584">
        <w:rPr>
          <w:color w:val="000000"/>
          <w:szCs w:val="22"/>
        </w:rPr>
        <w:t>ej</w:t>
      </w:r>
      <w:r w:rsidR="002439D9" w:rsidRPr="005E5584">
        <w:rPr>
          <w:color w:val="000000"/>
          <w:szCs w:val="22"/>
        </w:rPr>
        <w:t xml:space="preserve"> a glykemick</w:t>
      </w:r>
      <w:r w:rsidRPr="005E5584">
        <w:rPr>
          <w:color w:val="000000"/>
          <w:szCs w:val="22"/>
        </w:rPr>
        <w:t>ej</w:t>
      </w:r>
      <w:r w:rsidR="002439D9" w:rsidRPr="00507AD5">
        <w:rPr>
          <w:color w:val="000000"/>
          <w:szCs w:val="22"/>
        </w:rPr>
        <w:t xml:space="preserve"> kontrol</w:t>
      </w:r>
      <w:r w:rsidRPr="00507AD5">
        <w:rPr>
          <w:color w:val="000000"/>
          <w:szCs w:val="22"/>
        </w:rPr>
        <w:t>y</w:t>
      </w:r>
      <w:r w:rsidR="002439D9" w:rsidRPr="00507AD5">
        <w:rPr>
          <w:color w:val="000000"/>
          <w:szCs w:val="22"/>
        </w:rPr>
        <w:t xml:space="preserve">. </w:t>
      </w:r>
    </w:p>
    <w:p w14:paraId="7EE3EF51" w14:textId="77777777" w:rsidR="002439D9" w:rsidRPr="00D2656D" w:rsidRDefault="002439D9">
      <w:pPr>
        <w:ind w:left="0" w:firstLine="0"/>
        <w:rPr>
          <w:szCs w:val="22"/>
        </w:rPr>
      </w:pPr>
    </w:p>
    <w:p w14:paraId="0960F6B5" w14:textId="77777777" w:rsidR="00135682" w:rsidRPr="00D2656D" w:rsidRDefault="00135682">
      <w:pPr>
        <w:rPr>
          <w:szCs w:val="22"/>
        </w:rPr>
      </w:pPr>
      <w:r w:rsidRPr="00D2656D">
        <w:rPr>
          <w:szCs w:val="22"/>
        </w:rPr>
        <w:t>Tento liek môžu užívať deti od 6 rokov, dospievajúci a dospelí.</w:t>
      </w:r>
    </w:p>
    <w:p w14:paraId="67E53007" w14:textId="77777777" w:rsidR="002439D9" w:rsidRPr="00D2656D" w:rsidRDefault="002439D9">
      <w:pPr>
        <w:rPr>
          <w:szCs w:val="22"/>
        </w:rPr>
      </w:pPr>
    </w:p>
    <w:p w14:paraId="5E70782C" w14:textId="77777777" w:rsidR="002439D9" w:rsidRPr="00D2656D" w:rsidRDefault="002439D9">
      <w:pPr>
        <w:rPr>
          <w:b/>
          <w:szCs w:val="22"/>
        </w:rPr>
      </w:pPr>
      <w:r w:rsidRPr="00D2656D">
        <w:rPr>
          <w:b/>
          <w:szCs w:val="22"/>
        </w:rPr>
        <w:t>4.2</w:t>
      </w:r>
      <w:r w:rsidRPr="00D2656D">
        <w:rPr>
          <w:b/>
          <w:szCs w:val="22"/>
        </w:rPr>
        <w:tab/>
        <w:t>Dávkovanie a spôsob podávania</w:t>
      </w:r>
    </w:p>
    <w:p w14:paraId="1BBF24F3" w14:textId="77777777" w:rsidR="002439D9" w:rsidRPr="00D2656D" w:rsidRDefault="002439D9">
      <w:pPr>
        <w:rPr>
          <w:szCs w:val="22"/>
        </w:rPr>
      </w:pPr>
    </w:p>
    <w:p w14:paraId="0EF94683" w14:textId="77777777" w:rsidR="002439D9" w:rsidRPr="00D2656D" w:rsidRDefault="002439D9">
      <w:pPr>
        <w:rPr>
          <w:szCs w:val="22"/>
          <w:u w:val="single"/>
        </w:rPr>
      </w:pPr>
      <w:r w:rsidRPr="00D2656D">
        <w:rPr>
          <w:szCs w:val="22"/>
          <w:u w:val="single"/>
        </w:rPr>
        <w:t>Dávkovanie</w:t>
      </w:r>
    </w:p>
    <w:p w14:paraId="0C12C6F7" w14:textId="77777777" w:rsidR="00D6636C" w:rsidRPr="0008227B" w:rsidRDefault="00D6636C">
      <w:pPr>
        <w:pStyle w:val="Default"/>
        <w:rPr>
          <w:sz w:val="22"/>
          <w:szCs w:val="22"/>
        </w:rPr>
      </w:pPr>
    </w:p>
    <w:p w14:paraId="4767AE1F" w14:textId="25D090BD" w:rsidR="00416136" w:rsidRPr="005410CF" w:rsidRDefault="00416136">
      <w:pPr>
        <w:pStyle w:val="Default"/>
        <w:rPr>
          <w:sz w:val="22"/>
          <w:szCs w:val="22"/>
        </w:rPr>
      </w:pPr>
      <w:r w:rsidRPr="0008227B">
        <w:rPr>
          <w:sz w:val="22"/>
          <w:szCs w:val="22"/>
        </w:rPr>
        <w:t xml:space="preserve">Dávkovanie je individuálne, </w:t>
      </w:r>
      <w:r w:rsidR="005410CF">
        <w:rPr>
          <w:sz w:val="22"/>
          <w:szCs w:val="22"/>
        </w:rPr>
        <w:t>zvy</w:t>
      </w:r>
      <w:r w:rsidRPr="005410CF">
        <w:rPr>
          <w:sz w:val="22"/>
          <w:szCs w:val="22"/>
        </w:rPr>
        <w:t>čajne je však nasled</w:t>
      </w:r>
      <w:r w:rsidR="005410CF">
        <w:rPr>
          <w:sz w:val="22"/>
          <w:szCs w:val="22"/>
        </w:rPr>
        <w:t>ovné</w:t>
      </w:r>
      <w:r w:rsidRPr="005410CF">
        <w:rPr>
          <w:sz w:val="22"/>
          <w:szCs w:val="22"/>
        </w:rPr>
        <w:t>:</w:t>
      </w:r>
    </w:p>
    <w:p w14:paraId="6F8FC489" w14:textId="4D4D6AD1" w:rsidR="002439D9" w:rsidRPr="005410CF" w:rsidRDefault="002439D9">
      <w:pPr>
        <w:pStyle w:val="Default"/>
        <w:rPr>
          <w:sz w:val="22"/>
          <w:szCs w:val="22"/>
        </w:rPr>
      </w:pPr>
    </w:p>
    <w:p w14:paraId="79739D79" w14:textId="07FF5568" w:rsidR="00CE2451" w:rsidRPr="00B35A2F" w:rsidRDefault="002439D9">
      <w:pPr>
        <w:pStyle w:val="Default"/>
        <w:rPr>
          <w:sz w:val="22"/>
          <w:szCs w:val="22"/>
        </w:rPr>
      </w:pPr>
      <w:r w:rsidRPr="00804D8B">
        <w:rPr>
          <w:sz w:val="22"/>
          <w:szCs w:val="22"/>
        </w:rPr>
        <w:t xml:space="preserve">Dospelí užívajú 1 tabletu 2 až 3-krát denne, pokiaľ lekár neurčí inak. </w:t>
      </w:r>
      <w:r w:rsidR="00CE2451" w:rsidRPr="00AC4BA2">
        <w:rPr>
          <w:sz w:val="22"/>
          <w:szCs w:val="22"/>
        </w:rPr>
        <w:t xml:space="preserve">Pri </w:t>
      </w:r>
      <w:r w:rsidR="009736AB">
        <w:rPr>
          <w:sz w:val="22"/>
          <w:szCs w:val="22"/>
        </w:rPr>
        <w:t>profylaktickej liečbe migrény</w:t>
      </w:r>
      <w:r w:rsidR="00CE2451" w:rsidRPr="00AC4BA2">
        <w:rPr>
          <w:sz w:val="22"/>
          <w:szCs w:val="22"/>
        </w:rPr>
        <w:t xml:space="preserve"> užívajú 2 tablety 3 až 4-krát denne</w:t>
      </w:r>
      <w:r w:rsidR="005A172E" w:rsidRPr="0008227B">
        <w:rPr>
          <w:sz w:val="22"/>
          <w:szCs w:val="22"/>
        </w:rPr>
        <w:t>,</w:t>
      </w:r>
      <w:r w:rsidR="005A172E" w:rsidRPr="00D2656D">
        <w:rPr>
          <w:sz w:val="22"/>
          <w:szCs w:val="22"/>
        </w:rPr>
        <w:t xml:space="preserve"> pokiaľ lekár</w:t>
      </w:r>
      <w:r w:rsidR="005A172E" w:rsidRPr="0008227B">
        <w:rPr>
          <w:sz w:val="22"/>
          <w:szCs w:val="22"/>
        </w:rPr>
        <w:t xml:space="preserve"> neurčí inak.</w:t>
      </w:r>
      <w:r w:rsidR="00CE2451" w:rsidRPr="0008227B">
        <w:rPr>
          <w:sz w:val="22"/>
          <w:szCs w:val="22"/>
        </w:rPr>
        <w:t xml:space="preserve"> Pri doplnkovej terapii srdcového zlyhávania užívajú 2 tablety 2 až 4-krát denne</w:t>
      </w:r>
      <w:r w:rsidR="00114606" w:rsidRPr="0008227B">
        <w:rPr>
          <w:sz w:val="22"/>
          <w:szCs w:val="22"/>
        </w:rPr>
        <w:t>,</w:t>
      </w:r>
      <w:r w:rsidR="005A172E" w:rsidRPr="0008227B">
        <w:rPr>
          <w:sz w:val="22"/>
          <w:szCs w:val="22"/>
        </w:rPr>
        <w:t xml:space="preserve"> </w:t>
      </w:r>
      <w:r w:rsidR="005A172E" w:rsidRPr="00D2656D">
        <w:rPr>
          <w:sz w:val="22"/>
          <w:szCs w:val="22"/>
        </w:rPr>
        <w:t>pokiaľ lekár</w:t>
      </w:r>
      <w:r w:rsidR="005A172E" w:rsidRPr="0008227B">
        <w:rPr>
          <w:sz w:val="22"/>
          <w:szCs w:val="22"/>
        </w:rPr>
        <w:t xml:space="preserve"> neurčí inak.</w:t>
      </w:r>
    </w:p>
    <w:p w14:paraId="636D25C3" w14:textId="77777777" w:rsidR="002439D9" w:rsidRPr="00D2656D" w:rsidRDefault="002439D9">
      <w:pPr>
        <w:pStyle w:val="Default"/>
        <w:rPr>
          <w:sz w:val="22"/>
          <w:szCs w:val="22"/>
        </w:rPr>
      </w:pPr>
    </w:p>
    <w:p w14:paraId="6D4E9EF3" w14:textId="77777777" w:rsidR="002439D9" w:rsidRPr="00D2656D" w:rsidRDefault="002439D9">
      <w:pPr>
        <w:rPr>
          <w:i/>
          <w:noProof/>
          <w:szCs w:val="22"/>
        </w:rPr>
      </w:pPr>
      <w:r w:rsidRPr="00D2656D">
        <w:rPr>
          <w:i/>
          <w:noProof/>
          <w:szCs w:val="22"/>
        </w:rPr>
        <w:t>Pediatrická populácia</w:t>
      </w:r>
    </w:p>
    <w:p w14:paraId="7C34CCCE" w14:textId="77777777" w:rsidR="002439D9" w:rsidRPr="00804D8B" w:rsidRDefault="002439D9">
      <w:pPr>
        <w:rPr>
          <w:i/>
          <w:noProof/>
          <w:szCs w:val="22"/>
        </w:rPr>
      </w:pPr>
    </w:p>
    <w:p w14:paraId="10A1F6D8" w14:textId="77777777" w:rsidR="002439D9" w:rsidRPr="005410CF" w:rsidRDefault="002439D9">
      <w:pPr>
        <w:pStyle w:val="Default"/>
        <w:rPr>
          <w:sz w:val="22"/>
          <w:szCs w:val="22"/>
        </w:rPr>
      </w:pPr>
      <w:r w:rsidRPr="00AC4BA2">
        <w:rPr>
          <w:sz w:val="22"/>
          <w:szCs w:val="22"/>
        </w:rPr>
        <w:t xml:space="preserve">Deti nad 6 rokov a dospievajúci užívajú 1/2 </w:t>
      </w:r>
      <w:r w:rsidR="005410CF">
        <w:rPr>
          <w:sz w:val="22"/>
          <w:szCs w:val="22"/>
        </w:rPr>
        <w:t xml:space="preserve">tablety </w:t>
      </w:r>
      <w:r w:rsidRPr="005410CF">
        <w:rPr>
          <w:sz w:val="22"/>
          <w:szCs w:val="22"/>
        </w:rPr>
        <w:t xml:space="preserve">až 1 tabletu 1-krát denne, pokiaľ lekár neurčí inak. </w:t>
      </w:r>
    </w:p>
    <w:p w14:paraId="308787A0" w14:textId="77777777" w:rsidR="002439D9" w:rsidRPr="00804D8B" w:rsidRDefault="002439D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A6ABFB8" w14:textId="77777777" w:rsidR="002439D9" w:rsidRPr="00AC4BA2" w:rsidRDefault="002439D9">
      <w:pPr>
        <w:rPr>
          <w:i/>
          <w:noProof/>
          <w:szCs w:val="22"/>
        </w:rPr>
      </w:pPr>
      <w:r w:rsidRPr="00AC4BA2">
        <w:rPr>
          <w:i/>
          <w:noProof/>
          <w:szCs w:val="22"/>
        </w:rPr>
        <w:t>Poruchy obličiek a pečene</w:t>
      </w:r>
    </w:p>
    <w:p w14:paraId="4C49D155" w14:textId="77777777" w:rsidR="002439D9" w:rsidRPr="00D2656D" w:rsidRDefault="002439D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6F07B67" w14:textId="77777777" w:rsidR="002439D9" w:rsidRPr="0008227B" w:rsidRDefault="002439D9">
      <w:pPr>
        <w:pStyle w:val="Default"/>
        <w:rPr>
          <w:sz w:val="22"/>
          <w:szCs w:val="22"/>
        </w:rPr>
      </w:pPr>
      <w:r w:rsidRPr="0008227B">
        <w:rPr>
          <w:sz w:val="22"/>
          <w:szCs w:val="22"/>
        </w:rPr>
        <w:t>Pri poruchách funkcie obličiek a  pečene je nutné stanoviť dávkovanie na základe vyšetrenia hladín horčíka v plazme.</w:t>
      </w:r>
    </w:p>
    <w:p w14:paraId="12BAE9E0" w14:textId="77777777" w:rsidR="002439D9" w:rsidRPr="00D2656D" w:rsidRDefault="002439D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7AAE67B" w14:textId="77777777" w:rsidR="002439D9" w:rsidRPr="005410CF" w:rsidRDefault="002439D9">
      <w:pPr>
        <w:rPr>
          <w:noProof/>
          <w:szCs w:val="22"/>
          <w:u w:val="single"/>
        </w:rPr>
      </w:pPr>
      <w:r w:rsidRPr="00507AD5">
        <w:rPr>
          <w:szCs w:val="22"/>
          <w:u w:val="single"/>
        </w:rPr>
        <w:t>Spôsob</w:t>
      </w:r>
      <w:r w:rsidRPr="00507AD5">
        <w:rPr>
          <w:noProof/>
          <w:szCs w:val="22"/>
          <w:u w:val="single"/>
        </w:rPr>
        <w:t xml:space="preserve"> podávania</w:t>
      </w:r>
    </w:p>
    <w:p w14:paraId="6258C7AF" w14:textId="77777777" w:rsidR="002439D9" w:rsidRPr="00804D8B" w:rsidRDefault="002439D9">
      <w:pPr>
        <w:rPr>
          <w:noProof/>
          <w:szCs w:val="22"/>
          <w:u w:val="single"/>
        </w:rPr>
      </w:pPr>
    </w:p>
    <w:p w14:paraId="02F17DF6" w14:textId="77777777" w:rsidR="002439D9" w:rsidRPr="00AC4BA2" w:rsidRDefault="002439D9">
      <w:pPr>
        <w:pStyle w:val="Default"/>
        <w:rPr>
          <w:sz w:val="22"/>
          <w:szCs w:val="22"/>
        </w:rPr>
      </w:pPr>
      <w:r w:rsidRPr="00AC4BA2">
        <w:rPr>
          <w:sz w:val="22"/>
          <w:szCs w:val="22"/>
        </w:rPr>
        <w:t xml:space="preserve">Tablety sa zapíjajú dostatočným množstvom vody. </w:t>
      </w:r>
    </w:p>
    <w:p w14:paraId="057A03BD" w14:textId="77777777" w:rsidR="00C24F45" w:rsidRPr="00D2656D" w:rsidRDefault="00C24F45">
      <w:pPr>
        <w:pStyle w:val="Default"/>
        <w:rPr>
          <w:sz w:val="22"/>
          <w:szCs w:val="22"/>
        </w:rPr>
      </w:pPr>
    </w:p>
    <w:p w14:paraId="34EE1413" w14:textId="77777777" w:rsidR="002439D9" w:rsidRPr="00D2656D" w:rsidRDefault="002439D9">
      <w:pPr>
        <w:pStyle w:val="Default"/>
        <w:rPr>
          <w:sz w:val="22"/>
          <w:szCs w:val="22"/>
        </w:rPr>
      </w:pPr>
      <w:r w:rsidRPr="00D2656D">
        <w:rPr>
          <w:sz w:val="22"/>
          <w:szCs w:val="22"/>
        </w:rPr>
        <w:t>Dennú terapeutickú dávku je vhodné rozdeliť na 2 – 3 jednotlivé dávky (ráno, obed, večer) a užívať po</w:t>
      </w:r>
      <w:r w:rsidR="0084541F" w:rsidRPr="00D2656D">
        <w:rPr>
          <w:sz w:val="22"/>
          <w:szCs w:val="22"/>
        </w:rPr>
        <w:t> </w:t>
      </w:r>
      <w:r w:rsidRPr="00D2656D">
        <w:rPr>
          <w:sz w:val="22"/>
          <w:szCs w:val="22"/>
        </w:rPr>
        <w:t>jedle alebo medzi jedlom.</w:t>
      </w:r>
    </w:p>
    <w:p w14:paraId="2C84E008" w14:textId="77777777" w:rsidR="00C24F45" w:rsidRPr="00D2656D" w:rsidRDefault="00C24F45">
      <w:pPr>
        <w:pStyle w:val="Default"/>
        <w:rPr>
          <w:sz w:val="22"/>
          <w:szCs w:val="22"/>
        </w:rPr>
      </w:pPr>
    </w:p>
    <w:p w14:paraId="009353E9" w14:textId="77777777" w:rsidR="00C24F45" w:rsidRPr="00D2656D" w:rsidRDefault="00C24F45">
      <w:pPr>
        <w:rPr>
          <w:i/>
          <w:szCs w:val="22"/>
        </w:rPr>
      </w:pPr>
      <w:r w:rsidRPr="00D2656D">
        <w:rPr>
          <w:szCs w:val="22"/>
        </w:rPr>
        <w:t>Odporúčaná dĺžka liečby je 4 až 6 týždňov,</w:t>
      </w:r>
      <w:r w:rsidRPr="00D2656D">
        <w:rPr>
          <w:i/>
          <w:szCs w:val="22"/>
        </w:rPr>
        <w:t xml:space="preserve"> </w:t>
      </w:r>
      <w:r w:rsidRPr="00D2656D">
        <w:rPr>
          <w:szCs w:val="22"/>
        </w:rPr>
        <w:t xml:space="preserve">pokiaľ lekár neurčí inak. Liek sa môže užívať aj dlhodobo. </w:t>
      </w:r>
    </w:p>
    <w:p w14:paraId="3230D316" w14:textId="77777777" w:rsidR="002439D9" w:rsidRPr="00D2656D" w:rsidRDefault="002439D9">
      <w:pPr>
        <w:rPr>
          <w:szCs w:val="22"/>
        </w:rPr>
      </w:pPr>
    </w:p>
    <w:p w14:paraId="161EC39E" w14:textId="77777777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4.3</w:t>
      </w:r>
      <w:r w:rsidRPr="00D2656D">
        <w:rPr>
          <w:b/>
          <w:szCs w:val="22"/>
        </w:rPr>
        <w:tab/>
        <w:t>Kontraindikácie</w:t>
      </w:r>
    </w:p>
    <w:p w14:paraId="354348F5" w14:textId="77777777" w:rsidR="002439D9" w:rsidRPr="00D2656D" w:rsidRDefault="002439D9">
      <w:pPr>
        <w:rPr>
          <w:szCs w:val="22"/>
        </w:rPr>
      </w:pPr>
    </w:p>
    <w:p w14:paraId="7152C08F" w14:textId="77777777" w:rsidR="002439D9" w:rsidRPr="00D2656D" w:rsidRDefault="002439D9">
      <w:pPr>
        <w:rPr>
          <w:szCs w:val="22"/>
        </w:rPr>
      </w:pPr>
      <w:r w:rsidRPr="00D2656D">
        <w:rPr>
          <w:szCs w:val="22"/>
        </w:rPr>
        <w:t>Užívanie tohto lieku je kontraindikované v nasledovných prípadoch:</w:t>
      </w:r>
    </w:p>
    <w:p w14:paraId="0EB21AD3" w14:textId="46E9CA44" w:rsidR="002439D9" w:rsidRPr="00804D8B" w:rsidRDefault="002439D9">
      <w:pPr>
        <w:pStyle w:val="Zkladntext"/>
        <w:numPr>
          <w:ilvl w:val="0"/>
          <w:numId w:val="1"/>
        </w:numPr>
        <w:rPr>
          <w:noProof/>
          <w:szCs w:val="22"/>
        </w:rPr>
      </w:pPr>
      <w:r w:rsidRPr="00D2656D">
        <w:rPr>
          <w:szCs w:val="22"/>
        </w:rPr>
        <w:t xml:space="preserve">precitlivenosť na </w:t>
      </w:r>
      <w:r w:rsidRPr="0008227B">
        <w:rPr>
          <w:szCs w:val="22"/>
        </w:rPr>
        <w:t>dihydrát</w:t>
      </w:r>
      <w:r w:rsidRPr="00D2656D">
        <w:rPr>
          <w:szCs w:val="22"/>
        </w:rPr>
        <w:t xml:space="preserve"> </w:t>
      </w:r>
      <w:r w:rsidR="005410CF">
        <w:rPr>
          <w:szCs w:val="22"/>
        </w:rPr>
        <w:t>mliečnanu horečnatého</w:t>
      </w:r>
      <w:r w:rsidRPr="005410CF">
        <w:rPr>
          <w:szCs w:val="22"/>
        </w:rPr>
        <w:t xml:space="preserve"> </w:t>
      </w:r>
      <w:r w:rsidR="00A9528A">
        <w:rPr>
          <w:szCs w:val="22"/>
        </w:rPr>
        <w:t xml:space="preserve">(dihydrát </w:t>
      </w:r>
      <w:r w:rsidR="002C2918" w:rsidRPr="005410CF">
        <w:rPr>
          <w:szCs w:val="22"/>
        </w:rPr>
        <w:t>magnéziumlaktátu</w:t>
      </w:r>
      <w:r w:rsidR="00A9528A">
        <w:rPr>
          <w:szCs w:val="22"/>
        </w:rPr>
        <w:t>)</w:t>
      </w:r>
      <w:r w:rsidRPr="005410CF">
        <w:rPr>
          <w:szCs w:val="22"/>
        </w:rPr>
        <w:t xml:space="preserve"> alebo na </w:t>
      </w:r>
      <w:r w:rsidRPr="005410CF">
        <w:rPr>
          <w:noProof/>
          <w:szCs w:val="22"/>
        </w:rPr>
        <w:t>ktorúkoľvek</w:t>
      </w:r>
      <w:r w:rsidRPr="005410CF">
        <w:rPr>
          <w:szCs w:val="22"/>
        </w:rPr>
        <w:t xml:space="preserve"> z pomocných látok </w:t>
      </w:r>
      <w:r w:rsidRPr="00804D8B">
        <w:rPr>
          <w:noProof/>
          <w:szCs w:val="22"/>
        </w:rPr>
        <w:t>uvedených v časti 6.1,</w:t>
      </w:r>
    </w:p>
    <w:p w14:paraId="61BBC147" w14:textId="77777777" w:rsidR="002439D9" w:rsidRPr="00D2656D" w:rsidRDefault="002439D9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AC4BA2">
        <w:rPr>
          <w:szCs w:val="22"/>
        </w:rPr>
        <w:t>hypermagneziémia (akejkoľvek príčiny),</w:t>
      </w:r>
    </w:p>
    <w:p w14:paraId="7AF2BC92" w14:textId="751ABA3F" w:rsidR="002439D9" w:rsidRPr="00D2656D" w:rsidRDefault="00503BD2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závažné</w:t>
      </w:r>
      <w:r w:rsidR="002439D9" w:rsidRPr="00D2656D">
        <w:rPr>
          <w:szCs w:val="22"/>
        </w:rPr>
        <w:t xml:space="preserve"> poruchy funkcie obličiek a pečene,</w:t>
      </w:r>
    </w:p>
    <w:p w14:paraId="4D392FF0" w14:textId="77777777" w:rsidR="002439D9" w:rsidRPr="00D2656D" w:rsidRDefault="002439D9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D2656D">
        <w:rPr>
          <w:szCs w:val="22"/>
        </w:rPr>
        <w:t>náchylnosť k tvorbe obličkových kameňov, nefrolitiáza</w:t>
      </w:r>
    </w:p>
    <w:p w14:paraId="25F0F09E" w14:textId="77777777" w:rsidR="002439D9" w:rsidRPr="00D2656D" w:rsidRDefault="002439D9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D2656D">
        <w:rPr>
          <w:szCs w:val="22"/>
        </w:rPr>
        <w:t xml:space="preserve">dlhodobé hnačky, závažné poruchy elektrolytovej rovnováhy, výrazná dehydratácia, </w:t>
      </w:r>
    </w:p>
    <w:p w14:paraId="274B9C7D" w14:textId="364089A9" w:rsidR="002439D9" w:rsidRPr="005410CF" w:rsidRDefault="002439D9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D2656D">
        <w:rPr>
          <w:szCs w:val="22"/>
        </w:rPr>
        <w:t>myast</w:t>
      </w:r>
      <w:r w:rsidR="005410CF">
        <w:rPr>
          <w:szCs w:val="22"/>
        </w:rPr>
        <w:t>é</w:t>
      </w:r>
      <w:r w:rsidRPr="005410CF">
        <w:rPr>
          <w:szCs w:val="22"/>
        </w:rPr>
        <w:t>nia gravis,</w:t>
      </w:r>
    </w:p>
    <w:p w14:paraId="1ABF3F01" w14:textId="77777777" w:rsidR="002439D9" w:rsidRPr="00804D8B" w:rsidRDefault="002439D9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804D8B">
        <w:rPr>
          <w:szCs w:val="22"/>
        </w:rPr>
        <w:t>Addisonova choroba,</w:t>
      </w:r>
    </w:p>
    <w:p w14:paraId="35E0C9CD" w14:textId="77777777" w:rsidR="002439D9" w:rsidRPr="00D2656D" w:rsidRDefault="002439D9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AC4BA2">
        <w:rPr>
          <w:szCs w:val="22"/>
        </w:rPr>
        <w:t>srdcový A-V blok vyššieho stupňa (pokiaľ pacient nemá zavedený pacemaker).</w:t>
      </w:r>
    </w:p>
    <w:p w14:paraId="0BAA9F68" w14:textId="77777777" w:rsidR="002439D9" w:rsidRPr="00D2656D" w:rsidRDefault="002439D9">
      <w:pPr>
        <w:rPr>
          <w:szCs w:val="22"/>
        </w:rPr>
      </w:pPr>
    </w:p>
    <w:p w14:paraId="2BB21BC5" w14:textId="77777777" w:rsidR="002439D9" w:rsidRPr="00D2656D" w:rsidRDefault="002439D9">
      <w:pPr>
        <w:rPr>
          <w:b/>
          <w:szCs w:val="22"/>
        </w:rPr>
      </w:pPr>
      <w:r w:rsidRPr="00D2656D">
        <w:rPr>
          <w:b/>
          <w:szCs w:val="22"/>
        </w:rPr>
        <w:t>4.4</w:t>
      </w:r>
      <w:r w:rsidRPr="00D2656D">
        <w:rPr>
          <w:b/>
          <w:szCs w:val="22"/>
        </w:rPr>
        <w:tab/>
        <w:t>Osobitné upozornenia a opatrenia pri používaní</w:t>
      </w:r>
    </w:p>
    <w:p w14:paraId="6AE016E0" w14:textId="77777777" w:rsidR="002439D9" w:rsidRPr="00D2656D" w:rsidRDefault="002439D9">
      <w:pPr>
        <w:rPr>
          <w:szCs w:val="22"/>
        </w:rPr>
      </w:pPr>
    </w:p>
    <w:p w14:paraId="31DA8610" w14:textId="2060765A" w:rsidR="002439D9" w:rsidRPr="005410CF" w:rsidRDefault="005410CF">
      <w:pPr>
        <w:ind w:left="0" w:firstLine="0"/>
        <w:rPr>
          <w:szCs w:val="22"/>
        </w:rPr>
      </w:pPr>
      <w:r>
        <w:rPr>
          <w:szCs w:val="22"/>
        </w:rPr>
        <w:t>P</w:t>
      </w:r>
      <w:r w:rsidR="002439D9" w:rsidRPr="005410CF">
        <w:rPr>
          <w:szCs w:val="22"/>
        </w:rPr>
        <w:t xml:space="preserve">ri poruchách obličkových a pečeňových funkcií </w:t>
      </w:r>
      <w:r>
        <w:rPr>
          <w:szCs w:val="22"/>
        </w:rPr>
        <w:t xml:space="preserve">sa má tento liek užívať so zvýšenou opatrnosťou </w:t>
      </w:r>
      <w:r w:rsidR="002439D9" w:rsidRPr="005410CF">
        <w:rPr>
          <w:szCs w:val="22"/>
        </w:rPr>
        <w:t xml:space="preserve">(vzhľadom k možnosti navodenia hypermagneziémie), </w:t>
      </w:r>
      <w:r>
        <w:rPr>
          <w:szCs w:val="22"/>
        </w:rPr>
        <w:t xml:space="preserve">taktiež </w:t>
      </w:r>
      <w:r w:rsidR="002439D9" w:rsidRPr="005410CF">
        <w:rPr>
          <w:szCs w:val="22"/>
        </w:rPr>
        <w:t>pri srdcových A-V blokoch, pri</w:t>
      </w:r>
      <w:r w:rsidR="0084541F" w:rsidRPr="005410CF">
        <w:rPr>
          <w:szCs w:val="22"/>
        </w:rPr>
        <w:t> </w:t>
      </w:r>
      <w:r w:rsidR="002439D9" w:rsidRPr="005410CF">
        <w:rPr>
          <w:szCs w:val="22"/>
        </w:rPr>
        <w:t>sú</w:t>
      </w:r>
      <w:r>
        <w:rPr>
          <w:szCs w:val="22"/>
        </w:rPr>
        <w:t>bežnom</w:t>
      </w:r>
      <w:r w:rsidR="002439D9" w:rsidRPr="005410CF">
        <w:rPr>
          <w:szCs w:val="22"/>
        </w:rPr>
        <w:t xml:space="preserve"> podávaní liekov s obsahom srdcových glykozidov a</w:t>
      </w:r>
      <w:r w:rsidR="00261BBE" w:rsidRPr="005410CF">
        <w:rPr>
          <w:szCs w:val="22"/>
        </w:rPr>
        <w:t>lebo</w:t>
      </w:r>
      <w:r w:rsidR="002439D9" w:rsidRPr="005410CF">
        <w:rPr>
          <w:szCs w:val="22"/>
        </w:rPr>
        <w:t xml:space="preserve"> myorelaxancií. </w:t>
      </w:r>
    </w:p>
    <w:p w14:paraId="2755E2DD" w14:textId="77777777" w:rsidR="002439D9" w:rsidRPr="00804D8B" w:rsidRDefault="002439D9">
      <w:pPr>
        <w:ind w:left="0" w:firstLine="0"/>
        <w:rPr>
          <w:szCs w:val="22"/>
        </w:rPr>
      </w:pPr>
    </w:p>
    <w:p w14:paraId="24ED03F7" w14:textId="77777777" w:rsidR="002439D9" w:rsidRPr="00AC4BA2" w:rsidRDefault="002439D9">
      <w:pPr>
        <w:ind w:left="0" w:firstLine="0"/>
        <w:rPr>
          <w:szCs w:val="22"/>
        </w:rPr>
      </w:pPr>
      <w:r w:rsidRPr="00AC4BA2">
        <w:rPr>
          <w:szCs w:val="22"/>
        </w:rPr>
        <w:t xml:space="preserve">Užívanie horčíka nalačno môže mať laxatívny účinok. </w:t>
      </w:r>
    </w:p>
    <w:p w14:paraId="33BDDFBE" w14:textId="77777777" w:rsidR="002439D9" w:rsidRPr="00B35A2F" w:rsidRDefault="002439D9">
      <w:pPr>
        <w:ind w:left="0" w:firstLine="0"/>
        <w:rPr>
          <w:color w:val="000000" w:themeColor="text1"/>
          <w:szCs w:val="22"/>
        </w:rPr>
      </w:pPr>
    </w:p>
    <w:p w14:paraId="163D3AAB" w14:textId="697C2AB4" w:rsidR="002439D9" w:rsidRPr="00B35A2F" w:rsidRDefault="00006C35">
      <w:pPr>
        <w:autoSpaceDE w:val="0"/>
        <w:autoSpaceDN w:val="0"/>
        <w:adjustRightInd w:val="0"/>
        <w:ind w:left="0" w:firstLine="0"/>
        <w:rPr>
          <w:color w:val="000000" w:themeColor="text1"/>
          <w:szCs w:val="22"/>
        </w:rPr>
      </w:pPr>
      <w:r w:rsidRPr="00B35A2F">
        <w:rPr>
          <w:color w:val="000000" w:themeColor="text1"/>
          <w:szCs w:val="22"/>
        </w:rPr>
        <w:t xml:space="preserve">Tento liek obsahuje </w:t>
      </w:r>
      <w:r w:rsidR="003B37DD">
        <w:rPr>
          <w:color w:val="000000" w:themeColor="text1"/>
          <w:szCs w:val="22"/>
        </w:rPr>
        <w:t xml:space="preserve">laktózu </w:t>
      </w:r>
      <w:r w:rsidRPr="00B35A2F">
        <w:rPr>
          <w:color w:val="000000" w:themeColor="text1"/>
          <w:szCs w:val="22"/>
        </w:rPr>
        <w:t xml:space="preserve">monohydrát. Pacienti so zriedkavými dedičnými problémami galaktózovej intolerancie, </w:t>
      </w:r>
      <w:r w:rsidR="00636FBB">
        <w:rPr>
          <w:color w:val="000000" w:themeColor="text1"/>
          <w:szCs w:val="22"/>
        </w:rPr>
        <w:t xml:space="preserve">celkovým </w:t>
      </w:r>
      <w:r w:rsidRPr="00B35A2F">
        <w:rPr>
          <w:color w:val="000000" w:themeColor="text1"/>
          <w:szCs w:val="22"/>
        </w:rPr>
        <w:t>deficit</w:t>
      </w:r>
      <w:r w:rsidR="00636FBB">
        <w:rPr>
          <w:color w:val="000000" w:themeColor="text1"/>
          <w:szCs w:val="22"/>
        </w:rPr>
        <w:t>om</w:t>
      </w:r>
      <w:r w:rsidRPr="00B35A2F">
        <w:rPr>
          <w:color w:val="000000" w:themeColor="text1"/>
          <w:szCs w:val="22"/>
        </w:rPr>
        <w:t xml:space="preserve"> laktázy alebo glukózo-galaktózov</w:t>
      </w:r>
      <w:r w:rsidR="00636FBB">
        <w:rPr>
          <w:color w:val="000000" w:themeColor="text1"/>
          <w:szCs w:val="22"/>
        </w:rPr>
        <w:t>ou</w:t>
      </w:r>
      <w:r w:rsidRPr="00B35A2F">
        <w:rPr>
          <w:color w:val="000000" w:themeColor="text1"/>
          <w:szCs w:val="22"/>
        </w:rPr>
        <w:t xml:space="preserve"> malabsorpci</w:t>
      </w:r>
      <w:r w:rsidR="00636FBB">
        <w:rPr>
          <w:color w:val="000000" w:themeColor="text1"/>
          <w:szCs w:val="22"/>
        </w:rPr>
        <w:t>ou</w:t>
      </w:r>
      <w:r w:rsidRPr="00B35A2F">
        <w:rPr>
          <w:color w:val="000000" w:themeColor="text1"/>
          <w:szCs w:val="22"/>
        </w:rPr>
        <w:t xml:space="preserve"> nesmú užívať tento liek. </w:t>
      </w:r>
    </w:p>
    <w:p w14:paraId="46005FE7" w14:textId="77777777" w:rsidR="002439D9" w:rsidRPr="00B35A2F" w:rsidRDefault="002439D9">
      <w:pPr>
        <w:ind w:left="0" w:firstLine="0"/>
        <w:rPr>
          <w:color w:val="000000" w:themeColor="text1"/>
          <w:szCs w:val="22"/>
        </w:rPr>
      </w:pPr>
    </w:p>
    <w:p w14:paraId="176BFA16" w14:textId="77777777" w:rsidR="002439D9" w:rsidRPr="00AC4BA2" w:rsidRDefault="002439D9">
      <w:pPr>
        <w:rPr>
          <w:b/>
          <w:szCs w:val="22"/>
        </w:rPr>
      </w:pPr>
      <w:r w:rsidRPr="00804D8B">
        <w:rPr>
          <w:b/>
          <w:szCs w:val="22"/>
        </w:rPr>
        <w:t>4.5</w:t>
      </w:r>
      <w:r w:rsidRPr="00804D8B">
        <w:rPr>
          <w:b/>
          <w:szCs w:val="22"/>
        </w:rPr>
        <w:tab/>
        <w:t>Liekové a iné interakcie</w:t>
      </w:r>
    </w:p>
    <w:p w14:paraId="2465D750" w14:textId="77777777" w:rsidR="002439D9" w:rsidRPr="00D2656D" w:rsidRDefault="002439D9">
      <w:pPr>
        <w:rPr>
          <w:szCs w:val="22"/>
        </w:rPr>
      </w:pPr>
    </w:p>
    <w:p w14:paraId="7201F02D" w14:textId="0F97A2EA" w:rsidR="002439D9" w:rsidRPr="00636FBB" w:rsidRDefault="002439D9">
      <w:pPr>
        <w:ind w:left="0" w:firstLine="0"/>
        <w:rPr>
          <w:szCs w:val="22"/>
        </w:rPr>
      </w:pPr>
      <w:r w:rsidRPr="00D2656D">
        <w:rPr>
          <w:szCs w:val="22"/>
        </w:rPr>
        <w:t>Horčík môže znížiť absorpciu chinolónov, tetracyklínov, bisfosfonátov, mykofenolátov. Absorpciu horčíka môže znižovať nitrofurantoín, dexametazón, paracetamol, salicyláty, digoxín. Zvýšené straty horčíka môžu zapríčiniť tiazidové a kľučkové diuretiká, cisplatina. Absorpciu horčíka znižuje sú</w:t>
      </w:r>
      <w:r w:rsidR="00636FBB">
        <w:rPr>
          <w:szCs w:val="22"/>
        </w:rPr>
        <w:t>bežný</w:t>
      </w:r>
      <w:r w:rsidRPr="00636FBB">
        <w:rPr>
          <w:szCs w:val="22"/>
        </w:rPr>
        <w:t xml:space="preserve"> príjem horčíka a</w:t>
      </w:r>
      <w:r w:rsidRPr="00C22327">
        <w:rPr>
          <w:szCs w:val="22"/>
        </w:rPr>
        <w:t> fosforu, v</w:t>
      </w:r>
      <w:r w:rsidR="00C22327">
        <w:rPr>
          <w:szCs w:val="22"/>
        </w:rPr>
        <w:t>eľkého množstva</w:t>
      </w:r>
      <w:r w:rsidRPr="00C22327">
        <w:rPr>
          <w:szCs w:val="22"/>
        </w:rPr>
        <w:t xml:space="preserve"> vápnika (viac ako 2 g/deň) alebo potravy s vysokým obsahom vlákniny, kyseliny oxálovej, fosfátov, vysokým obsahom bielkovín (viac ako 30 g/deň). Sú</w:t>
      </w:r>
      <w:r w:rsidR="00636FBB">
        <w:rPr>
          <w:szCs w:val="22"/>
        </w:rPr>
        <w:t>bežný</w:t>
      </w:r>
      <w:r w:rsidRPr="00636FBB">
        <w:rPr>
          <w:szCs w:val="22"/>
        </w:rPr>
        <w:t xml:space="preserve"> príjem </w:t>
      </w:r>
      <w:r w:rsidRPr="006C3F05">
        <w:rPr>
          <w:szCs w:val="22"/>
        </w:rPr>
        <w:t>horčíka</w:t>
      </w:r>
      <w:r w:rsidRPr="00636FBB">
        <w:rPr>
          <w:szCs w:val="22"/>
        </w:rPr>
        <w:t xml:space="preserve"> a železa alebo mangánu znižuje absorpciu týchto iónov. </w:t>
      </w:r>
      <w:r w:rsidRPr="00636FBB">
        <w:rPr>
          <w:noProof/>
          <w:szCs w:val="22"/>
        </w:rPr>
        <w:t>Pri sú</w:t>
      </w:r>
      <w:r w:rsidR="00636FBB">
        <w:rPr>
          <w:noProof/>
          <w:szCs w:val="22"/>
        </w:rPr>
        <w:t>bežnom</w:t>
      </w:r>
      <w:r w:rsidRPr="00636FBB">
        <w:rPr>
          <w:noProof/>
          <w:szCs w:val="22"/>
        </w:rPr>
        <w:t xml:space="preserve"> užívaní týchto prípravkov je nutné dodržiavať najmenej trojhodinový odstup od užitia </w:t>
      </w:r>
      <w:r w:rsidR="00636FBB">
        <w:rPr>
          <w:noProof/>
          <w:szCs w:val="22"/>
        </w:rPr>
        <w:t xml:space="preserve">lieku </w:t>
      </w:r>
      <w:r w:rsidR="005350E8" w:rsidRPr="00636FBB">
        <w:rPr>
          <w:szCs w:val="22"/>
        </w:rPr>
        <w:t xml:space="preserve">MAGNESII LACTAS </w:t>
      </w:r>
      <w:r w:rsidRPr="00636FBB">
        <w:rPr>
          <w:noProof/>
          <w:szCs w:val="22"/>
        </w:rPr>
        <w:t>VULM.</w:t>
      </w:r>
    </w:p>
    <w:p w14:paraId="4F67DF90" w14:textId="77777777" w:rsidR="002439D9" w:rsidRPr="00804D8B" w:rsidRDefault="002439D9">
      <w:pPr>
        <w:ind w:left="0" w:firstLine="0"/>
        <w:rPr>
          <w:szCs w:val="22"/>
        </w:rPr>
      </w:pPr>
    </w:p>
    <w:p w14:paraId="5EF882D5" w14:textId="0DB975AB" w:rsidR="002439D9" w:rsidRPr="00C22327" w:rsidRDefault="00D835D3">
      <w:pPr>
        <w:ind w:left="0" w:firstLine="0"/>
        <w:rPr>
          <w:szCs w:val="22"/>
        </w:rPr>
      </w:pPr>
      <w:r w:rsidRPr="00804D8B">
        <w:rPr>
          <w:szCs w:val="22"/>
        </w:rPr>
        <w:t>B</w:t>
      </w:r>
      <w:r w:rsidR="002439D9" w:rsidRPr="00AC4BA2">
        <w:rPr>
          <w:szCs w:val="22"/>
        </w:rPr>
        <w:t>lokátor</w:t>
      </w:r>
      <w:r w:rsidRPr="00AC4BA2">
        <w:rPr>
          <w:szCs w:val="22"/>
        </w:rPr>
        <w:t>y</w:t>
      </w:r>
      <w:r w:rsidR="002439D9" w:rsidRPr="00AC4BA2">
        <w:rPr>
          <w:szCs w:val="22"/>
        </w:rPr>
        <w:t xml:space="preserve"> vápnikových kanálov</w:t>
      </w:r>
      <w:r w:rsidRPr="00AC4BA2">
        <w:rPr>
          <w:szCs w:val="22"/>
        </w:rPr>
        <w:t xml:space="preserve"> môžu zvyšovať nežiaduce účinky (či toxické </w:t>
      </w:r>
      <w:r w:rsidR="00C22327">
        <w:rPr>
          <w:szCs w:val="22"/>
        </w:rPr>
        <w:t>účinky</w:t>
      </w:r>
      <w:r w:rsidRPr="00C22327">
        <w:rPr>
          <w:szCs w:val="22"/>
        </w:rPr>
        <w:t>) solí</w:t>
      </w:r>
      <w:r w:rsidR="00463E4C">
        <w:rPr>
          <w:szCs w:val="22"/>
        </w:rPr>
        <w:t xml:space="preserve"> horčíka</w:t>
      </w:r>
      <w:r w:rsidR="002439D9" w:rsidRPr="00C22327">
        <w:rPr>
          <w:szCs w:val="22"/>
        </w:rPr>
        <w:t xml:space="preserve">. </w:t>
      </w:r>
      <w:r w:rsidR="002439D9" w:rsidRPr="00C22327">
        <w:rPr>
          <w:noProof/>
          <w:szCs w:val="22"/>
        </w:rPr>
        <w:t>O sú</w:t>
      </w:r>
      <w:r w:rsidR="00C22327">
        <w:rPr>
          <w:noProof/>
          <w:szCs w:val="22"/>
        </w:rPr>
        <w:t>bežnom</w:t>
      </w:r>
      <w:r w:rsidR="002439D9" w:rsidRPr="00C22327">
        <w:rPr>
          <w:noProof/>
          <w:szCs w:val="22"/>
        </w:rPr>
        <w:t xml:space="preserve"> užívaní </w:t>
      </w:r>
      <w:r w:rsidR="009B01CB">
        <w:rPr>
          <w:noProof/>
          <w:szCs w:val="22"/>
        </w:rPr>
        <w:t xml:space="preserve">lieku </w:t>
      </w:r>
      <w:r w:rsidR="005350E8" w:rsidRPr="00C22327">
        <w:rPr>
          <w:szCs w:val="22"/>
        </w:rPr>
        <w:t>MAGNESII LACTAS</w:t>
      </w:r>
      <w:r w:rsidR="002439D9" w:rsidRPr="00C22327">
        <w:rPr>
          <w:noProof/>
          <w:szCs w:val="22"/>
        </w:rPr>
        <w:t xml:space="preserve"> VULM a týchto liekov je nutné sa poradiť s lekárom.</w:t>
      </w:r>
    </w:p>
    <w:p w14:paraId="7EC01851" w14:textId="77777777" w:rsidR="002439D9" w:rsidRPr="00804D8B" w:rsidRDefault="002439D9">
      <w:pPr>
        <w:ind w:left="0" w:firstLine="0"/>
        <w:rPr>
          <w:szCs w:val="22"/>
        </w:rPr>
      </w:pPr>
    </w:p>
    <w:p w14:paraId="2A71CDB1" w14:textId="77777777" w:rsidR="002439D9" w:rsidRPr="00D2656D" w:rsidRDefault="002439D9">
      <w:pPr>
        <w:rPr>
          <w:szCs w:val="22"/>
        </w:rPr>
      </w:pPr>
      <w:r w:rsidRPr="00AC4BA2">
        <w:rPr>
          <w:b/>
          <w:szCs w:val="22"/>
        </w:rPr>
        <w:t>4.6</w:t>
      </w:r>
      <w:r w:rsidRPr="00AC4BA2">
        <w:rPr>
          <w:b/>
          <w:szCs w:val="22"/>
        </w:rPr>
        <w:tab/>
      </w:r>
      <w:r w:rsidRPr="00AC4BA2">
        <w:rPr>
          <w:b/>
          <w:noProof/>
          <w:szCs w:val="22"/>
        </w:rPr>
        <w:t>Fertilita, g</w:t>
      </w:r>
      <w:r w:rsidRPr="00D2656D">
        <w:rPr>
          <w:b/>
          <w:szCs w:val="22"/>
        </w:rPr>
        <w:t>ravidita a laktácia</w:t>
      </w:r>
    </w:p>
    <w:p w14:paraId="6AECD94A" w14:textId="77777777" w:rsidR="002439D9" w:rsidRPr="0008227B" w:rsidRDefault="002439D9">
      <w:pPr>
        <w:rPr>
          <w:szCs w:val="22"/>
        </w:rPr>
      </w:pPr>
    </w:p>
    <w:p w14:paraId="1B58CB7E" w14:textId="77777777" w:rsidR="002439D9" w:rsidRPr="00D2656D" w:rsidRDefault="002439D9">
      <w:pPr>
        <w:rPr>
          <w:noProof/>
          <w:szCs w:val="22"/>
        </w:rPr>
      </w:pPr>
      <w:r w:rsidRPr="00D2656D">
        <w:rPr>
          <w:noProof/>
          <w:szCs w:val="22"/>
          <w:u w:val="single"/>
        </w:rPr>
        <w:t>Gravidita</w:t>
      </w:r>
    </w:p>
    <w:p w14:paraId="388371EC" w14:textId="77777777" w:rsidR="002439D9" w:rsidRPr="00D2656D" w:rsidRDefault="002439D9">
      <w:pPr>
        <w:ind w:left="0" w:firstLine="0"/>
        <w:rPr>
          <w:szCs w:val="22"/>
        </w:rPr>
      </w:pPr>
      <w:r w:rsidRPr="00D2656D">
        <w:rPr>
          <w:szCs w:val="22"/>
        </w:rPr>
        <w:t>Tento liek sa môže užívať počas gravidity v rámci uvedených indikácií na odporúčanie lekára. Užívanie prípravku v treťom trimestri môže vyvolať zníženie svalového napätia (hypotónia) u novorodenca.</w:t>
      </w:r>
    </w:p>
    <w:p w14:paraId="25B639B6" w14:textId="77777777" w:rsidR="002439D9" w:rsidRPr="00D2656D" w:rsidRDefault="002439D9">
      <w:pPr>
        <w:ind w:left="0" w:firstLine="0"/>
        <w:rPr>
          <w:szCs w:val="22"/>
        </w:rPr>
      </w:pPr>
    </w:p>
    <w:p w14:paraId="5AD0BFD3" w14:textId="77777777" w:rsidR="002439D9" w:rsidRPr="006C3F05" w:rsidRDefault="002439D9">
      <w:pPr>
        <w:ind w:left="0" w:firstLine="0"/>
        <w:rPr>
          <w:szCs w:val="22"/>
        </w:rPr>
      </w:pPr>
      <w:r w:rsidRPr="0008227B">
        <w:rPr>
          <w:szCs w:val="22"/>
        </w:rPr>
        <w:t>Fyziologická potreba horčíka je v období gravidity a dojčenia zvýšená, pričom denná dávka horčíka pre tehotné a dojčiace ženy by nemala presiahnuť 350 mg. Podľa dostupných klinických údajov neboli pre horčík preukázané žiadne malformačné alebo fetotoxické účinky.</w:t>
      </w:r>
    </w:p>
    <w:p w14:paraId="155BF126" w14:textId="77777777" w:rsidR="002439D9" w:rsidRPr="00D2656D" w:rsidRDefault="002439D9">
      <w:pPr>
        <w:rPr>
          <w:noProof/>
          <w:szCs w:val="22"/>
        </w:rPr>
      </w:pPr>
    </w:p>
    <w:p w14:paraId="033EFD13" w14:textId="77777777" w:rsidR="002439D9" w:rsidRPr="00D2656D" w:rsidRDefault="002439D9">
      <w:pPr>
        <w:rPr>
          <w:noProof/>
          <w:szCs w:val="22"/>
        </w:rPr>
      </w:pPr>
      <w:r w:rsidRPr="00D2656D">
        <w:rPr>
          <w:noProof/>
          <w:szCs w:val="22"/>
          <w:u w:val="single"/>
        </w:rPr>
        <w:t>Dojčenie</w:t>
      </w:r>
    </w:p>
    <w:p w14:paraId="227F7335" w14:textId="77777777" w:rsidR="002439D9" w:rsidRPr="00D2656D" w:rsidRDefault="002439D9">
      <w:pPr>
        <w:ind w:left="0" w:firstLine="0"/>
        <w:rPr>
          <w:szCs w:val="22"/>
        </w:rPr>
      </w:pPr>
      <w:r w:rsidRPr="00D2656D">
        <w:rPr>
          <w:szCs w:val="22"/>
        </w:rPr>
        <w:t xml:space="preserve">Tento liek sa môže užívať počas dojčenia v rámci uvedených indikácií na odporúčanie lekára. </w:t>
      </w:r>
      <w:r w:rsidRPr="00D2656D">
        <w:rPr>
          <w:noProof/>
          <w:szCs w:val="22"/>
        </w:rPr>
        <w:t>Horčík prechádza do materského mlieka.</w:t>
      </w:r>
    </w:p>
    <w:p w14:paraId="0E737FAB" w14:textId="77777777" w:rsidR="002439D9" w:rsidRPr="00D2656D" w:rsidRDefault="002439D9">
      <w:pPr>
        <w:rPr>
          <w:noProof/>
          <w:szCs w:val="22"/>
        </w:rPr>
      </w:pPr>
    </w:p>
    <w:p w14:paraId="7FF56B34" w14:textId="77777777" w:rsidR="002439D9" w:rsidRPr="00D2656D" w:rsidRDefault="002439D9">
      <w:pPr>
        <w:rPr>
          <w:noProof/>
          <w:szCs w:val="22"/>
        </w:rPr>
      </w:pPr>
      <w:r w:rsidRPr="00D2656D">
        <w:rPr>
          <w:noProof/>
          <w:szCs w:val="22"/>
          <w:u w:val="single"/>
        </w:rPr>
        <w:t>Fertilita</w:t>
      </w:r>
      <w:r w:rsidRPr="00D2656D">
        <w:rPr>
          <w:noProof/>
          <w:szCs w:val="22"/>
        </w:rPr>
        <w:t xml:space="preserve"> </w:t>
      </w:r>
    </w:p>
    <w:p w14:paraId="051EB0EA" w14:textId="77777777" w:rsidR="002439D9" w:rsidRPr="00D2656D" w:rsidRDefault="002439D9">
      <w:pPr>
        <w:rPr>
          <w:noProof/>
          <w:szCs w:val="22"/>
        </w:rPr>
      </w:pPr>
      <w:r w:rsidRPr="00D2656D">
        <w:rPr>
          <w:szCs w:val="22"/>
        </w:rPr>
        <w:t>Pri správnom použití nemá tento liek žiadny vplyv na plodnosť a reprodukčné funkcie.</w:t>
      </w:r>
    </w:p>
    <w:p w14:paraId="0575C0C7" w14:textId="77777777" w:rsidR="002439D9" w:rsidRPr="00D2656D" w:rsidRDefault="002439D9">
      <w:pPr>
        <w:rPr>
          <w:szCs w:val="22"/>
        </w:rPr>
      </w:pPr>
    </w:p>
    <w:p w14:paraId="11713583" w14:textId="77777777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4.7</w:t>
      </w:r>
      <w:r w:rsidRPr="00D2656D">
        <w:rPr>
          <w:b/>
          <w:szCs w:val="22"/>
        </w:rPr>
        <w:tab/>
        <w:t>Ovplyvnenie schopnosti viesť vozidlá a obsluhovať stroje</w:t>
      </w:r>
    </w:p>
    <w:p w14:paraId="3F1EA44D" w14:textId="77777777" w:rsidR="002439D9" w:rsidRPr="00D2656D" w:rsidRDefault="002439D9">
      <w:pPr>
        <w:rPr>
          <w:szCs w:val="22"/>
        </w:rPr>
      </w:pPr>
    </w:p>
    <w:p w14:paraId="15920347" w14:textId="77777777" w:rsidR="002439D9" w:rsidRPr="00D2656D" w:rsidRDefault="002439D9">
      <w:pPr>
        <w:ind w:left="0" w:firstLine="0"/>
        <w:rPr>
          <w:szCs w:val="22"/>
        </w:rPr>
      </w:pPr>
      <w:r w:rsidRPr="00D2656D">
        <w:rPr>
          <w:szCs w:val="22"/>
        </w:rPr>
        <w:t xml:space="preserve">Tento liek nemá žiadny alebo </w:t>
      </w:r>
      <w:r w:rsidRPr="00D2656D">
        <w:rPr>
          <w:noProof/>
          <w:szCs w:val="22"/>
        </w:rPr>
        <w:t>má</w:t>
      </w:r>
      <w:r w:rsidRPr="00D2656D">
        <w:rPr>
          <w:szCs w:val="22"/>
        </w:rPr>
        <w:t xml:space="preserve"> zanedbateľný vplyv na schopnosť viesť vozidlá a obsluhovať stroje. </w:t>
      </w:r>
    </w:p>
    <w:p w14:paraId="1D948473" w14:textId="77777777" w:rsidR="002439D9" w:rsidRPr="00D2656D" w:rsidRDefault="002439D9">
      <w:pPr>
        <w:rPr>
          <w:b/>
          <w:szCs w:val="22"/>
        </w:rPr>
      </w:pPr>
    </w:p>
    <w:p w14:paraId="65A9F875" w14:textId="77777777" w:rsidR="002439D9" w:rsidRPr="00D2656D" w:rsidRDefault="002439D9">
      <w:pPr>
        <w:rPr>
          <w:b/>
          <w:szCs w:val="22"/>
        </w:rPr>
      </w:pPr>
      <w:r w:rsidRPr="00D2656D">
        <w:rPr>
          <w:b/>
          <w:szCs w:val="22"/>
        </w:rPr>
        <w:t>4.8</w:t>
      </w:r>
      <w:r w:rsidRPr="00D2656D">
        <w:rPr>
          <w:b/>
          <w:szCs w:val="22"/>
        </w:rPr>
        <w:tab/>
        <w:t>Nežiaduce účinky</w:t>
      </w:r>
    </w:p>
    <w:p w14:paraId="44AD81B0" w14:textId="77777777" w:rsidR="002439D9" w:rsidRPr="00D2656D" w:rsidRDefault="002439D9">
      <w:pPr>
        <w:rPr>
          <w:b/>
          <w:szCs w:val="22"/>
        </w:rPr>
      </w:pPr>
    </w:p>
    <w:p w14:paraId="4F5506F7" w14:textId="1201608F" w:rsidR="002439D9" w:rsidRPr="00C22327" w:rsidRDefault="002439D9">
      <w:pPr>
        <w:ind w:left="0" w:firstLine="0"/>
        <w:rPr>
          <w:szCs w:val="22"/>
        </w:rPr>
      </w:pPr>
      <w:r w:rsidRPr="00D2656D">
        <w:rPr>
          <w:szCs w:val="22"/>
        </w:rPr>
        <w:t xml:space="preserve">Perorálne podávaný horčík vo forme </w:t>
      </w:r>
      <w:r w:rsidRPr="0008227B">
        <w:rPr>
          <w:szCs w:val="22"/>
        </w:rPr>
        <w:t xml:space="preserve">dihydrátu </w:t>
      </w:r>
      <w:r w:rsidR="00C22327">
        <w:rPr>
          <w:szCs w:val="22"/>
        </w:rPr>
        <w:t>mliečnanu horečnatého</w:t>
      </w:r>
      <w:r w:rsidRPr="00C22327">
        <w:rPr>
          <w:szCs w:val="22"/>
        </w:rPr>
        <w:t xml:space="preserve"> </w:t>
      </w:r>
      <w:r w:rsidR="00A9528A">
        <w:rPr>
          <w:szCs w:val="22"/>
        </w:rPr>
        <w:t xml:space="preserve">(dihydrátu </w:t>
      </w:r>
      <w:r w:rsidR="00495A93" w:rsidRPr="00C22327">
        <w:rPr>
          <w:szCs w:val="22"/>
        </w:rPr>
        <w:t>magnéziumlaktátu</w:t>
      </w:r>
      <w:r w:rsidR="00A9528A">
        <w:rPr>
          <w:szCs w:val="22"/>
        </w:rPr>
        <w:t>)</w:t>
      </w:r>
      <w:r w:rsidRPr="00C22327">
        <w:rPr>
          <w:szCs w:val="22"/>
        </w:rPr>
        <w:t xml:space="preserve"> je veľmi dobre tolerovaný.</w:t>
      </w:r>
    </w:p>
    <w:p w14:paraId="0BF91D42" w14:textId="77777777" w:rsidR="002439D9" w:rsidRPr="00804D8B" w:rsidRDefault="002439D9">
      <w:pPr>
        <w:rPr>
          <w:szCs w:val="22"/>
        </w:rPr>
      </w:pPr>
    </w:p>
    <w:p w14:paraId="6EE41330" w14:textId="77777777" w:rsidR="002439D9" w:rsidRPr="00AC4BA2" w:rsidRDefault="002439D9">
      <w:pPr>
        <w:ind w:left="0" w:firstLine="0"/>
        <w:rPr>
          <w:szCs w:val="22"/>
        </w:rPr>
      </w:pPr>
      <w:r w:rsidRPr="00AC4BA2">
        <w:rPr>
          <w:szCs w:val="22"/>
        </w:rPr>
        <w:t xml:space="preserve">Prehľad nežiaducich účinkov je uvedený </w:t>
      </w:r>
      <w:r w:rsidRPr="00D2656D">
        <w:rPr>
          <w:szCs w:val="22"/>
        </w:rPr>
        <w:t>podľa frekvencie výskytu a zoradený do jednotlivých tried orgánových systémov podľa terminológie MedDRA. Frekvencia je určená nasledovne: v</w:t>
      </w:r>
      <w:r w:rsidRPr="0008227B">
        <w:rPr>
          <w:szCs w:val="22"/>
        </w:rPr>
        <w:t xml:space="preserve">eľmi časté </w:t>
      </w:r>
      <w:r w:rsidRPr="0008227B">
        <w:rPr>
          <w:szCs w:val="22"/>
        </w:rPr>
        <w:lastRenderedPageBreak/>
        <w:t>(</w:t>
      </w:r>
      <w:r w:rsidRPr="00D2656D">
        <w:rPr>
          <w:szCs w:val="22"/>
        </w:rPr>
        <w:sym w:font="Symbol" w:char="F0B3"/>
      </w:r>
      <w:r w:rsidR="005D69CD" w:rsidRPr="00D2656D">
        <w:rPr>
          <w:szCs w:val="22"/>
        </w:rPr>
        <w:t> </w:t>
      </w:r>
      <w:r w:rsidRPr="00D2656D">
        <w:rPr>
          <w:szCs w:val="22"/>
        </w:rPr>
        <w:t>1/10), časté (</w:t>
      </w:r>
      <w:r w:rsidRPr="00D2656D">
        <w:rPr>
          <w:szCs w:val="22"/>
        </w:rPr>
        <w:sym w:font="Symbol" w:char="F0B3"/>
      </w:r>
      <w:r w:rsidR="005D69CD" w:rsidRPr="00D2656D">
        <w:rPr>
          <w:szCs w:val="22"/>
        </w:rPr>
        <w:t> </w:t>
      </w:r>
      <w:r w:rsidRPr="00D2656D">
        <w:rPr>
          <w:szCs w:val="22"/>
        </w:rPr>
        <w:t>1/100 až &lt;</w:t>
      </w:r>
      <w:r w:rsidR="005D69CD" w:rsidRPr="005410CF">
        <w:rPr>
          <w:szCs w:val="22"/>
        </w:rPr>
        <w:t> </w:t>
      </w:r>
      <w:r w:rsidRPr="005410CF">
        <w:rPr>
          <w:szCs w:val="22"/>
        </w:rPr>
        <w:t>1/10), menej časté (</w:t>
      </w:r>
      <w:r w:rsidRPr="00D2656D">
        <w:rPr>
          <w:szCs w:val="22"/>
        </w:rPr>
        <w:sym w:font="Symbol" w:char="F0B3"/>
      </w:r>
      <w:r w:rsidR="005D69CD" w:rsidRPr="00D2656D">
        <w:rPr>
          <w:szCs w:val="22"/>
        </w:rPr>
        <w:t> </w:t>
      </w:r>
      <w:r w:rsidRPr="00D2656D">
        <w:rPr>
          <w:szCs w:val="22"/>
        </w:rPr>
        <w:t>1/1 000 až &lt;</w:t>
      </w:r>
      <w:r w:rsidR="005D69CD" w:rsidRPr="005410CF">
        <w:rPr>
          <w:szCs w:val="22"/>
        </w:rPr>
        <w:t> </w:t>
      </w:r>
      <w:r w:rsidRPr="005410CF">
        <w:rPr>
          <w:szCs w:val="22"/>
        </w:rPr>
        <w:t>1/100), zriedkavé (</w:t>
      </w:r>
      <w:r w:rsidRPr="00D2656D">
        <w:rPr>
          <w:szCs w:val="22"/>
        </w:rPr>
        <w:sym w:font="Symbol" w:char="F0B3"/>
      </w:r>
      <w:r w:rsidR="005D69CD" w:rsidRPr="00D2656D">
        <w:rPr>
          <w:szCs w:val="22"/>
        </w:rPr>
        <w:t> </w:t>
      </w:r>
      <w:r w:rsidRPr="00D2656D">
        <w:rPr>
          <w:szCs w:val="22"/>
        </w:rPr>
        <w:t>1/10 000 až &lt;</w:t>
      </w:r>
      <w:r w:rsidR="005D69CD" w:rsidRPr="005410CF">
        <w:rPr>
          <w:szCs w:val="22"/>
        </w:rPr>
        <w:t> </w:t>
      </w:r>
      <w:r w:rsidRPr="005410CF">
        <w:rPr>
          <w:szCs w:val="22"/>
        </w:rPr>
        <w:t>1/1 000), veľmi zriedkavé (&lt;</w:t>
      </w:r>
      <w:r w:rsidR="005D69CD" w:rsidRPr="00804D8B">
        <w:rPr>
          <w:szCs w:val="22"/>
        </w:rPr>
        <w:t> </w:t>
      </w:r>
      <w:r w:rsidRPr="00804D8B">
        <w:rPr>
          <w:szCs w:val="22"/>
        </w:rPr>
        <w:t>1/10 000), neznáme (z dostupných údajov).</w:t>
      </w:r>
    </w:p>
    <w:p w14:paraId="3EC10AB4" w14:textId="77777777" w:rsidR="002439D9" w:rsidRPr="00AC4BA2" w:rsidRDefault="002439D9">
      <w:pPr>
        <w:ind w:left="0" w:firstLine="0"/>
        <w:rPr>
          <w:szCs w:val="22"/>
        </w:rPr>
      </w:pPr>
    </w:p>
    <w:p w14:paraId="0EC47562" w14:textId="77777777" w:rsidR="002439D9" w:rsidRPr="00D2656D" w:rsidRDefault="002439D9">
      <w:pPr>
        <w:ind w:left="0" w:firstLine="0"/>
        <w:rPr>
          <w:b/>
          <w:i/>
          <w:szCs w:val="22"/>
        </w:rPr>
      </w:pPr>
      <w:r w:rsidRPr="00D2656D">
        <w:rPr>
          <w:b/>
          <w:i/>
          <w:szCs w:val="22"/>
        </w:rPr>
        <w:t>Poruchy metabolizmu a výživy</w:t>
      </w:r>
    </w:p>
    <w:p w14:paraId="21D7E9D9" w14:textId="77777777" w:rsidR="002439D9" w:rsidRPr="00D2656D" w:rsidRDefault="002439D9">
      <w:pPr>
        <w:ind w:left="0" w:firstLine="0"/>
        <w:rPr>
          <w:szCs w:val="22"/>
        </w:rPr>
      </w:pPr>
      <w:r w:rsidRPr="00D2656D">
        <w:rPr>
          <w:b/>
          <w:i/>
          <w:szCs w:val="22"/>
        </w:rPr>
        <w:tab/>
      </w:r>
      <w:r w:rsidRPr="00D2656D">
        <w:rPr>
          <w:szCs w:val="22"/>
        </w:rPr>
        <w:t>Neznáme: nechutenstvo</w:t>
      </w:r>
    </w:p>
    <w:p w14:paraId="7332FAFA" w14:textId="77777777" w:rsidR="00804D8B" w:rsidRDefault="00804D8B">
      <w:pPr>
        <w:ind w:left="0" w:firstLine="0"/>
        <w:rPr>
          <w:b/>
          <w:i/>
          <w:szCs w:val="22"/>
        </w:rPr>
      </w:pPr>
    </w:p>
    <w:p w14:paraId="05D33E29" w14:textId="77777777" w:rsidR="002439D9" w:rsidRPr="00804D8B" w:rsidRDefault="002439D9">
      <w:pPr>
        <w:ind w:left="0" w:firstLine="0"/>
        <w:rPr>
          <w:b/>
          <w:i/>
          <w:szCs w:val="22"/>
        </w:rPr>
      </w:pPr>
      <w:r w:rsidRPr="00804D8B">
        <w:rPr>
          <w:b/>
          <w:i/>
          <w:szCs w:val="22"/>
        </w:rPr>
        <w:t>Poruchy srdca a srdcovej činnosti</w:t>
      </w:r>
    </w:p>
    <w:p w14:paraId="14046FC2" w14:textId="77777777" w:rsidR="002439D9" w:rsidRPr="00804D8B" w:rsidRDefault="002439D9">
      <w:pPr>
        <w:ind w:left="0" w:firstLine="0"/>
        <w:rPr>
          <w:szCs w:val="22"/>
        </w:rPr>
      </w:pPr>
      <w:r w:rsidRPr="00804D8B">
        <w:rPr>
          <w:b/>
          <w:i/>
          <w:szCs w:val="22"/>
        </w:rPr>
        <w:tab/>
      </w:r>
      <w:r w:rsidRPr="00804D8B">
        <w:rPr>
          <w:szCs w:val="22"/>
        </w:rPr>
        <w:t>Zriedkavé: poruchy srdcovej činnosti</w:t>
      </w:r>
    </w:p>
    <w:p w14:paraId="0940162F" w14:textId="77777777" w:rsidR="00804D8B" w:rsidRDefault="00804D8B">
      <w:pPr>
        <w:ind w:left="0" w:firstLine="0"/>
        <w:rPr>
          <w:b/>
          <w:i/>
          <w:szCs w:val="22"/>
        </w:rPr>
      </w:pPr>
    </w:p>
    <w:p w14:paraId="7A9FBF18" w14:textId="77777777" w:rsidR="002439D9" w:rsidRPr="00804D8B" w:rsidRDefault="002439D9">
      <w:pPr>
        <w:ind w:left="0" w:firstLine="0"/>
        <w:rPr>
          <w:b/>
          <w:i/>
          <w:szCs w:val="22"/>
        </w:rPr>
      </w:pPr>
      <w:r w:rsidRPr="00804D8B">
        <w:rPr>
          <w:b/>
          <w:i/>
          <w:szCs w:val="22"/>
        </w:rPr>
        <w:t>Poruchy ciev</w:t>
      </w:r>
    </w:p>
    <w:p w14:paraId="5D72FA7F" w14:textId="77777777" w:rsidR="002439D9" w:rsidRPr="00804D8B" w:rsidRDefault="002439D9">
      <w:pPr>
        <w:ind w:left="0" w:firstLine="0"/>
        <w:rPr>
          <w:szCs w:val="22"/>
        </w:rPr>
      </w:pPr>
      <w:r w:rsidRPr="00804D8B">
        <w:rPr>
          <w:b/>
          <w:i/>
          <w:szCs w:val="22"/>
        </w:rPr>
        <w:tab/>
      </w:r>
      <w:r w:rsidRPr="00804D8B">
        <w:rPr>
          <w:szCs w:val="22"/>
        </w:rPr>
        <w:t xml:space="preserve">Zriedkavé: hypotenzia </w:t>
      </w:r>
    </w:p>
    <w:p w14:paraId="1F00C0DE" w14:textId="77777777" w:rsidR="00804D8B" w:rsidRDefault="00804D8B">
      <w:pPr>
        <w:ind w:left="0" w:firstLine="0"/>
        <w:rPr>
          <w:b/>
          <w:i/>
          <w:szCs w:val="22"/>
        </w:rPr>
      </w:pPr>
    </w:p>
    <w:p w14:paraId="7AF3B93F" w14:textId="77777777" w:rsidR="002439D9" w:rsidRPr="00804D8B" w:rsidRDefault="002439D9">
      <w:pPr>
        <w:ind w:left="0" w:firstLine="0"/>
        <w:rPr>
          <w:b/>
          <w:i/>
          <w:szCs w:val="22"/>
        </w:rPr>
      </w:pPr>
      <w:r w:rsidRPr="00804D8B">
        <w:rPr>
          <w:b/>
          <w:i/>
          <w:szCs w:val="22"/>
        </w:rPr>
        <w:t>Poruchy gastrointestinálneho traktu</w:t>
      </w:r>
    </w:p>
    <w:p w14:paraId="7316935B" w14:textId="77777777" w:rsidR="002439D9" w:rsidRPr="00804D8B" w:rsidRDefault="002439D9">
      <w:pPr>
        <w:ind w:left="0" w:firstLine="0"/>
        <w:rPr>
          <w:szCs w:val="22"/>
        </w:rPr>
      </w:pPr>
      <w:r w:rsidRPr="00804D8B">
        <w:rPr>
          <w:b/>
          <w:i/>
          <w:szCs w:val="22"/>
        </w:rPr>
        <w:tab/>
      </w:r>
      <w:r w:rsidRPr="00804D8B">
        <w:rPr>
          <w:szCs w:val="22"/>
        </w:rPr>
        <w:t xml:space="preserve">Zriedkavé: nauzea, hnačky, bolesti brucha </w:t>
      </w:r>
    </w:p>
    <w:p w14:paraId="441FF26F" w14:textId="77777777" w:rsidR="00804D8B" w:rsidRDefault="00804D8B">
      <w:pPr>
        <w:ind w:left="0" w:firstLine="0"/>
        <w:rPr>
          <w:b/>
          <w:i/>
          <w:szCs w:val="22"/>
        </w:rPr>
      </w:pPr>
    </w:p>
    <w:p w14:paraId="18A46737" w14:textId="77777777" w:rsidR="002439D9" w:rsidRPr="00804D8B" w:rsidRDefault="002439D9">
      <w:pPr>
        <w:ind w:left="0" w:firstLine="0"/>
        <w:rPr>
          <w:b/>
          <w:i/>
          <w:szCs w:val="22"/>
        </w:rPr>
      </w:pPr>
      <w:r w:rsidRPr="00804D8B">
        <w:rPr>
          <w:b/>
          <w:i/>
          <w:szCs w:val="22"/>
        </w:rPr>
        <w:t>Celkové poruchy a reakcie v mieste podania</w:t>
      </w:r>
    </w:p>
    <w:p w14:paraId="7618691E" w14:textId="77777777" w:rsidR="002439D9" w:rsidRPr="00804D8B" w:rsidRDefault="002439D9">
      <w:pPr>
        <w:ind w:left="0" w:firstLine="0"/>
        <w:rPr>
          <w:szCs w:val="22"/>
        </w:rPr>
      </w:pPr>
      <w:r w:rsidRPr="00804D8B">
        <w:rPr>
          <w:b/>
          <w:i/>
          <w:szCs w:val="22"/>
        </w:rPr>
        <w:tab/>
      </w:r>
      <w:r w:rsidRPr="00804D8B">
        <w:rPr>
          <w:szCs w:val="22"/>
        </w:rPr>
        <w:t xml:space="preserve">Zriedkavé: celková slabosť </w:t>
      </w:r>
    </w:p>
    <w:p w14:paraId="21859052" w14:textId="77777777" w:rsidR="002439D9" w:rsidRPr="00AC4BA2" w:rsidRDefault="002439D9">
      <w:pPr>
        <w:rPr>
          <w:szCs w:val="22"/>
        </w:rPr>
      </w:pPr>
    </w:p>
    <w:p w14:paraId="1BFE6D56" w14:textId="77777777" w:rsidR="002439D9" w:rsidRPr="00D2656D" w:rsidRDefault="002439D9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D2656D">
        <w:rPr>
          <w:noProof/>
          <w:szCs w:val="22"/>
          <w:u w:val="single"/>
        </w:rPr>
        <w:t>Hlásenie podozrení na nežiaduce reakcie</w:t>
      </w:r>
    </w:p>
    <w:p w14:paraId="0AB54407" w14:textId="77777777" w:rsidR="006B0AD7" w:rsidRPr="00D2656D" w:rsidRDefault="002439D9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D2656D">
        <w:rPr>
          <w:noProof/>
          <w:szCs w:val="22"/>
        </w:rPr>
        <w:t>Hlásenie podozrení na nežiaduce reakcie po registrácii lieku je dôležité.</w:t>
      </w:r>
      <w:r w:rsidRPr="00D2656D">
        <w:rPr>
          <w:szCs w:val="22"/>
        </w:rPr>
        <w:t xml:space="preserve"> </w:t>
      </w:r>
      <w:r w:rsidRPr="00D2656D">
        <w:rPr>
          <w:noProof/>
          <w:szCs w:val="22"/>
        </w:rPr>
        <w:t>Umožňuje priebežné monitorovanie pomeru prínosu a rizika lieku.</w:t>
      </w:r>
      <w:r w:rsidRPr="00D2656D">
        <w:rPr>
          <w:szCs w:val="22"/>
        </w:rPr>
        <w:t xml:space="preserve"> Od </w:t>
      </w:r>
      <w:r w:rsidRPr="00D2656D">
        <w:rPr>
          <w:noProof/>
          <w:szCs w:val="22"/>
        </w:rPr>
        <w:t xml:space="preserve">zdravotníckych pracovníkov sa vyžaduje, aby hlásili akékoľvek podozrenia na nežiaduce reakcie </w:t>
      </w:r>
      <w:r w:rsidR="006B0AD7" w:rsidRPr="00D2656D">
        <w:rPr>
          <w:noProof/>
          <w:szCs w:val="22"/>
        </w:rPr>
        <w:t xml:space="preserve">na </w:t>
      </w:r>
      <w:r w:rsidR="006B0AD7" w:rsidRPr="00D2656D">
        <w:rPr>
          <w:noProof/>
          <w:szCs w:val="22"/>
          <w:highlight w:val="lightGray"/>
        </w:rPr>
        <w:t>národné centrum hlásenia uvedené v </w:t>
      </w:r>
      <w:hyperlink r:id="rId8" w:history="1">
        <w:r w:rsidR="006B0AD7" w:rsidRPr="00D2656D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B0AD7" w:rsidRPr="00D2656D">
        <w:rPr>
          <w:noProof/>
          <w:szCs w:val="22"/>
        </w:rPr>
        <w:t>.</w:t>
      </w:r>
    </w:p>
    <w:p w14:paraId="66FF7477" w14:textId="77777777" w:rsidR="002439D9" w:rsidRPr="00804D8B" w:rsidRDefault="002439D9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</w:p>
    <w:p w14:paraId="7123F4B6" w14:textId="77777777" w:rsidR="002439D9" w:rsidRPr="00AC4BA2" w:rsidRDefault="002439D9">
      <w:pPr>
        <w:rPr>
          <w:b/>
          <w:szCs w:val="22"/>
        </w:rPr>
      </w:pPr>
      <w:r w:rsidRPr="00AC4BA2">
        <w:rPr>
          <w:b/>
          <w:szCs w:val="22"/>
        </w:rPr>
        <w:t>4.9</w:t>
      </w:r>
      <w:r w:rsidRPr="00AC4BA2">
        <w:rPr>
          <w:b/>
          <w:szCs w:val="22"/>
        </w:rPr>
        <w:tab/>
        <w:t xml:space="preserve">Predávkovanie </w:t>
      </w:r>
    </w:p>
    <w:p w14:paraId="0B6FD126" w14:textId="77777777" w:rsidR="002439D9" w:rsidRPr="00D2656D" w:rsidRDefault="002439D9">
      <w:pPr>
        <w:rPr>
          <w:szCs w:val="22"/>
        </w:rPr>
      </w:pPr>
    </w:p>
    <w:p w14:paraId="5BB748FD" w14:textId="23577AAA" w:rsidR="002439D9" w:rsidRPr="00D2656D" w:rsidRDefault="002439D9">
      <w:pPr>
        <w:ind w:left="0" w:firstLine="0"/>
        <w:rPr>
          <w:szCs w:val="22"/>
        </w:rPr>
      </w:pPr>
      <w:r w:rsidRPr="00D2656D">
        <w:rPr>
          <w:szCs w:val="22"/>
        </w:rPr>
        <w:t>Pri normálnej funkcii obličiek a správnom použití sa predávkovanie horčíkom</w:t>
      </w:r>
      <w:r w:rsidR="00B96895" w:rsidRPr="00D2656D">
        <w:rPr>
          <w:szCs w:val="22"/>
        </w:rPr>
        <w:t xml:space="preserve"> neočakáva</w:t>
      </w:r>
      <w:r w:rsidRPr="00D2656D">
        <w:rPr>
          <w:szCs w:val="22"/>
        </w:rPr>
        <w:t xml:space="preserve">. Výrazné predávkovanie </w:t>
      </w:r>
      <w:r w:rsidR="006B2543" w:rsidRPr="00D2656D">
        <w:rPr>
          <w:szCs w:val="22"/>
        </w:rPr>
        <w:t xml:space="preserve">(sérová koncentrácia horčíka viac ako 2 mmol/l) </w:t>
      </w:r>
      <w:r w:rsidRPr="00D2656D">
        <w:rPr>
          <w:szCs w:val="22"/>
        </w:rPr>
        <w:t>môže viesť k</w:t>
      </w:r>
      <w:r w:rsidR="00EB7B80" w:rsidRPr="00D2656D">
        <w:rPr>
          <w:szCs w:val="22"/>
        </w:rPr>
        <w:t> </w:t>
      </w:r>
      <w:r w:rsidRPr="00D2656D">
        <w:rPr>
          <w:szCs w:val="22"/>
        </w:rPr>
        <w:t>hypermagneziémii</w:t>
      </w:r>
      <w:r w:rsidR="00EB7B80" w:rsidRPr="00D2656D">
        <w:rPr>
          <w:szCs w:val="22"/>
        </w:rPr>
        <w:t>, kedy u</w:t>
      </w:r>
      <w:r w:rsidRPr="00D2656D">
        <w:rPr>
          <w:szCs w:val="22"/>
        </w:rPr>
        <w:t> pacientov môže byť pozorovaná asystólia, bradykardia, hypotenzia</w:t>
      </w:r>
      <w:r w:rsidR="002D3821" w:rsidRPr="00D2656D">
        <w:rPr>
          <w:szCs w:val="22"/>
        </w:rPr>
        <w:t>,</w:t>
      </w:r>
      <w:r w:rsidRPr="0008227B">
        <w:rPr>
          <w:szCs w:val="22"/>
        </w:rPr>
        <w:t xml:space="preserve"> poruchy srdcovej činnosti, zmeny na EKG (predĺženie PQ a QT intervalov), svalová ochabnutosť, </w:t>
      </w:r>
      <w:r w:rsidRPr="00D2656D">
        <w:rPr>
          <w:szCs w:val="22"/>
        </w:rPr>
        <w:t xml:space="preserve">somnolencia, </w:t>
      </w:r>
      <w:r w:rsidRPr="0008227B">
        <w:rPr>
          <w:szCs w:val="22"/>
        </w:rPr>
        <w:t xml:space="preserve">oslabenie reflexov, depresia CNS, dvojité videnie, zvýšenie alebo zníženie dráždivosti, </w:t>
      </w:r>
      <w:r w:rsidRPr="00D2656D">
        <w:rPr>
          <w:szCs w:val="22"/>
        </w:rPr>
        <w:t xml:space="preserve">nervovosvalový blok, </w:t>
      </w:r>
      <w:r w:rsidRPr="0008227B">
        <w:rPr>
          <w:szCs w:val="22"/>
        </w:rPr>
        <w:t xml:space="preserve">nechutenstvo, nauzea, vracanie, únava, nadmerné potenie, pocit smädu, </w:t>
      </w:r>
      <w:r w:rsidRPr="00D2656D">
        <w:rPr>
          <w:szCs w:val="22"/>
        </w:rPr>
        <w:t xml:space="preserve">dýchacie ťažkosti (dyspnoe, respiračná depresia), </w:t>
      </w:r>
      <w:r w:rsidRPr="0008227B">
        <w:rPr>
          <w:szCs w:val="22"/>
        </w:rPr>
        <w:t>anúria, retencia moču.</w:t>
      </w:r>
      <w:r w:rsidR="00EB7B80" w:rsidRPr="0008227B">
        <w:rPr>
          <w:szCs w:val="22"/>
        </w:rPr>
        <w:t xml:space="preserve"> </w:t>
      </w:r>
      <w:r w:rsidR="00EB7B80" w:rsidRPr="00D2656D">
        <w:rPr>
          <w:szCs w:val="22"/>
        </w:rPr>
        <w:t>U osôb s poruchou funkcie obličiek sa horčík vo väčšej miere kumuluje v organizme a uvedené príznaky sa môžu prejaviť v závažnejšej forme.</w:t>
      </w:r>
    </w:p>
    <w:p w14:paraId="2177F5DE" w14:textId="77777777" w:rsidR="002439D9" w:rsidRPr="00D2656D" w:rsidRDefault="002439D9">
      <w:pPr>
        <w:ind w:left="0" w:firstLine="0"/>
        <w:rPr>
          <w:szCs w:val="22"/>
        </w:rPr>
      </w:pPr>
    </w:p>
    <w:p w14:paraId="122004F7" w14:textId="59E1F6DC" w:rsidR="002439D9" w:rsidRPr="00804D8B" w:rsidRDefault="002439D9" w:rsidP="00804D8B">
      <w:pPr>
        <w:ind w:left="0" w:firstLine="0"/>
        <w:rPr>
          <w:szCs w:val="22"/>
        </w:rPr>
      </w:pPr>
      <w:r w:rsidRPr="00804D8B">
        <w:rPr>
          <w:rStyle w:val="hps"/>
          <w:szCs w:val="22"/>
        </w:rPr>
        <w:t>V</w:t>
      </w:r>
      <w:r w:rsidRPr="00804D8B">
        <w:rPr>
          <w:szCs w:val="22"/>
        </w:rPr>
        <w:t xml:space="preserve"> </w:t>
      </w:r>
      <w:r w:rsidRPr="00804D8B">
        <w:rPr>
          <w:rStyle w:val="hps"/>
          <w:szCs w:val="22"/>
        </w:rPr>
        <w:t xml:space="preserve">prípade závažného predávkovania </w:t>
      </w:r>
      <w:r w:rsidR="00804D8B" w:rsidRPr="00804D8B">
        <w:rPr>
          <w:rStyle w:val="hps"/>
          <w:szCs w:val="22"/>
        </w:rPr>
        <w:t xml:space="preserve">alebo podozrenia na predávkovanie </w:t>
      </w:r>
      <w:r w:rsidRPr="00804D8B">
        <w:rPr>
          <w:rStyle w:val="hps"/>
          <w:szCs w:val="22"/>
        </w:rPr>
        <w:t>je nutné liek</w:t>
      </w:r>
      <w:r w:rsidRPr="00804D8B">
        <w:rPr>
          <w:szCs w:val="22"/>
        </w:rPr>
        <w:t xml:space="preserve"> ihneď </w:t>
      </w:r>
      <w:r w:rsidR="00804D8B">
        <w:rPr>
          <w:rStyle w:val="hps"/>
          <w:szCs w:val="22"/>
        </w:rPr>
        <w:t>prestať užívať</w:t>
      </w:r>
      <w:r w:rsidRPr="00804D8B">
        <w:rPr>
          <w:szCs w:val="22"/>
        </w:rPr>
        <w:t xml:space="preserve"> a </w:t>
      </w:r>
      <w:r w:rsidR="00E65F66">
        <w:rPr>
          <w:szCs w:val="22"/>
        </w:rPr>
        <w:t xml:space="preserve">pri závažných stavoch </w:t>
      </w:r>
      <w:r w:rsidRPr="00804D8B">
        <w:rPr>
          <w:szCs w:val="22"/>
        </w:rPr>
        <w:t xml:space="preserve">intravenózne podať </w:t>
      </w:r>
      <w:r w:rsidRPr="00804D8B">
        <w:rPr>
          <w:rStyle w:val="hps"/>
          <w:szCs w:val="22"/>
        </w:rPr>
        <w:t>10</w:t>
      </w:r>
      <w:r w:rsidRPr="00804D8B">
        <w:rPr>
          <w:szCs w:val="22"/>
        </w:rPr>
        <w:t xml:space="preserve"> </w:t>
      </w:r>
      <w:r w:rsidRPr="00804D8B">
        <w:rPr>
          <w:rStyle w:val="hps"/>
          <w:szCs w:val="22"/>
        </w:rPr>
        <w:t>ml</w:t>
      </w:r>
      <w:r w:rsidRPr="00804D8B">
        <w:rPr>
          <w:szCs w:val="22"/>
        </w:rPr>
        <w:t xml:space="preserve"> </w:t>
      </w:r>
      <w:r w:rsidRPr="00804D8B">
        <w:rPr>
          <w:rStyle w:val="hps"/>
          <w:szCs w:val="22"/>
        </w:rPr>
        <w:t>10</w:t>
      </w:r>
      <w:r w:rsidR="005D69CD" w:rsidRPr="00804D8B">
        <w:rPr>
          <w:rStyle w:val="hps"/>
          <w:szCs w:val="22"/>
        </w:rPr>
        <w:t> </w:t>
      </w:r>
      <w:r w:rsidRPr="00804D8B">
        <w:rPr>
          <w:szCs w:val="22"/>
        </w:rPr>
        <w:t xml:space="preserve">% glukonátu vápenatého </w:t>
      </w:r>
      <w:r w:rsidRPr="00804D8B">
        <w:rPr>
          <w:rStyle w:val="hps"/>
          <w:szCs w:val="22"/>
        </w:rPr>
        <w:t>(prípadne</w:t>
      </w:r>
      <w:r w:rsidRPr="00804D8B">
        <w:rPr>
          <w:szCs w:val="22"/>
        </w:rPr>
        <w:t xml:space="preserve"> </w:t>
      </w:r>
      <w:r w:rsidRPr="00804D8B">
        <w:rPr>
          <w:rStyle w:val="hps"/>
          <w:szCs w:val="22"/>
        </w:rPr>
        <w:t>aj viackrát</w:t>
      </w:r>
      <w:r w:rsidRPr="00804D8B">
        <w:rPr>
          <w:szCs w:val="22"/>
        </w:rPr>
        <w:t xml:space="preserve"> </w:t>
      </w:r>
      <w:r w:rsidRPr="00804D8B">
        <w:rPr>
          <w:rStyle w:val="hps"/>
          <w:szCs w:val="22"/>
        </w:rPr>
        <w:t>za</w:t>
      </w:r>
      <w:r w:rsidRPr="00804D8B">
        <w:rPr>
          <w:szCs w:val="22"/>
        </w:rPr>
        <w:t xml:space="preserve"> </w:t>
      </w:r>
      <w:r w:rsidRPr="00804D8B">
        <w:rPr>
          <w:rStyle w:val="hps"/>
          <w:szCs w:val="22"/>
        </w:rPr>
        <w:t>deň</w:t>
      </w:r>
      <w:r w:rsidRPr="00804D8B">
        <w:rPr>
          <w:szCs w:val="22"/>
        </w:rPr>
        <w:t xml:space="preserve">), </w:t>
      </w:r>
      <w:r w:rsidRPr="00804D8B">
        <w:rPr>
          <w:rStyle w:val="hps"/>
          <w:szCs w:val="22"/>
        </w:rPr>
        <w:t>vykonať</w:t>
      </w:r>
      <w:r w:rsidRPr="00804D8B">
        <w:rPr>
          <w:szCs w:val="22"/>
        </w:rPr>
        <w:t xml:space="preserve"> </w:t>
      </w:r>
      <w:r w:rsidRPr="00804D8B">
        <w:rPr>
          <w:rStyle w:val="hps"/>
          <w:szCs w:val="22"/>
        </w:rPr>
        <w:t>rehydratáciu a</w:t>
      </w:r>
      <w:r w:rsidRPr="00804D8B">
        <w:rPr>
          <w:szCs w:val="22"/>
        </w:rPr>
        <w:t> v </w:t>
      </w:r>
      <w:r w:rsidR="00804D8B">
        <w:rPr>
          <w:szCs w:val="22"/>
        </w:rPr>
        <w:t>nevyhnutnom</w:t>
      </w:r>
      <w:r w:rsidRPr="00804D8B">
        <w:rPr>
          <w:szCs w:val="22"/>
        </w:rPr>
        <w:t xml:space="preserve"> prípade </w:t>
      </w:r>
      <w:r w:rsidRPr="00804D8B">
        <w:rPr>
          <w:rStyle w:val="hps"/>
          <w:szCs w:val="22"/>
        </w:rPr>
        <w:t>forsírovanú</w:t>
      </w:r>
      <w:r w:rsidRPr="00804D8B">
        <w:rPr>
          <w:szCs w:val="22"/>
        </w:rPr>
        <w:t xml:space="preserve"> </w:t>
      </w:r>
      <w:r w:rsidRPr="00804D8B">
        <w:rPr>
          <w:rStyle w:val="hps"/>
          <w:szCs w:val="22"/>
        </w:rPr>
        <w:t>diurézu</w:t>
      </w:r>
      <w:r w:rsidRPr="00804D8B">
        <w:rPr>
          <w:szCs w:val="22"/>
        </w:rPr>
        <w:t>. V prípade zlyhania obličiek je nutná hemodialýza.</w:t>
      </w:r>
    </w:p>
    <w:p w14:paraId="716B3DDC" w14:textId="77777777" w:rsidR="002439D9" w:rsidRPr="00AC4BA2" w:rsidRDefault="002439D9" w:rsidP="00804D8B">
      <w:pPr>
        <w:ind w:left="0" w:firstLine="0"/>
        <w:rPr>
          <w:szCs w:val="22"/>
        </w:rPr>
      </w:pPr>
    </w:p>
    <w:p w14:paraId="3A3121B9" w14:textId="77777777" w:rsidR="002439D9" w:rsidRPr="00AC4BA2" w:rsidRDefault="002439D9" w:rsidP="00804D8B">
      <w:pPr>
        <w:rPr>
          <w:szCs w:val="22"/>
        </w:rPr>
      </w:pPr>
    </w:p>
    <w:p w14:paraId="09E79957" w14:textId="77777777" w:rsidR="002439D9" w:rsidRPr="00D2656D" w:rsidRDefault="002439D9" w:rsidP="00AC4BA2">
      <w:pPr>
        <w:rPr>
          <w:szCs w:val="22"/>
        </w:rPr>
      </w:pPr>
      <w:r w:rsidRPr="00D2656D">
        <w:rPr>
          <w:b/>
          <w:szCs w:val="22"/>
        </w:rPr>
        <w:t>5.</w:t>
      </w:r>
      <w:r w:rsidRPr="00D2656D">
        <w:rPr>
          <w:b/>
          <w:szCs w:val="22"/>
        </w:rPr>
        <w:tab/>
        <w:t>FARMAKOLOGICKÉ VLASTNOSTI</w:t>
      </w:r>
    </w:p>
    <w:p w14:paraId="14F25DFF" w14:textId="77777777" w:rsidR="002439D9" w:rsidRPr="00D2656D" w:rsidRDefault="002439D9">
      <w:pPr>
        <w:rPr>
          <w:bCs/>
          <w:szCs w:val="22"/>
        </w:rPr>
      </w:pPr>
    </w:p>
    <w:p w14:paraId="310CCCBD" w14:textId="01175765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5.1</w:t>
      </w:r>
      <w:r w:rsidRPr="00D2656D">
        <w:rPr>
          <w:b/>
          <w:szCs w:val="22"/>
        </w:rPr>
        <w:tab/>
        <w:t>Farmakodynamické vlastnosti</w:t>
      </w:r>
    </w:p>
    <w:p w14:paraId="531744FA" w14:textId="77777777" w:rsidR="002439D9" w:rsidRPr="00D2656D" w:rsidRDefault="002439D9">
      <w:pPr>
        <w:rPr>
          <w:szCs w:val="22"/>
        </w:rPr>
      </w:pPr>
    </w:p>
    <w:p w14:paraId="3EBE0E40" w14:textId="77777777" w:rsidR="002439D9" w:rsidRPr="00D2656D" w:rsidRDefault="002439D9">
      <w:pPr>
        <w:outlineLvl w:val="0"/>
        <w:rPr>
          <w:szCs w:val="22"/>
        </w:rPr>
      </w:pPr>
      <w:r w:rsidRPr="00D2656D">
        <w:rPr>
          <w:szCs w:val="22"/>
        </w:rPr>
        <w:t>Farmakoterapeutická skupina:</w:t>
      </w:r>
      <w:r w:rsidR="00C73537" w:rsidRPr="00D2656D">
        <w:rPr>
          <w:szCs w:val="22"/>
        </w:rPr>
        <w:t xml:space="preserve"> Minerálne doplnky, Horčík</w:t>
      </w:r>
      <w:r w:rsidRPr="00D2656D">
        <w:rPr>
          <w:szCs w:val="22"/>
        </w:rPr>
        <w:t>, ATC kód: A12CC06.</w:t>
      </w:r>
    </w:p>
    <w:p w14:paraId="1C358884" w14:textId="77777777" w:rsidR="002439D9" w:rsidRPr="00D2656D" w:rsidRDefault="002439D9">
      <w:pPr>
        <w:ind w:left="0" w:firstLine="0"/>
        <w:outlineLvl w:val="0"/>
        <w:rPr>
          <w:szCs w:val="22"/>
        </w:rPr>
      </w:pPr>
    </w:p>
    <w:p w14:paraId="4CC2EC92" w14:textId="77777777" w:rsidR="002439D9" w:rsidRPr="0008227B" w:rsidRDefault="002439D9">
      <w:pPr>
        <w:ind w:left="0" w:firstLine="0"/>
        <w:rPr>
          <w:szCs w:val="22"/>
          <w:u w:val="single"/>
        </w:rPr>
      </w:pPr>
      <w:r w:rsidRPr="0008227B">
        <w:rPr>
          <w:szCs w:val="22"/>
          <w:u w:val="single"/>
        </w:rPr>
        <w:t>Farmakodynamické účinky</w:t>
      </w:r>
    </w:p>
    <w:p w14:paraId="6CFA74DA" w14:textId="77777777" w:rsidR="002439D9" w:rsidRPr="00D2656D" w:rsidRDefault="002439D9">
      <w:pPr>
        <w:ind w:left="0" w:firstLine="0"/>
        <w:outlineLvl w:val="0"/>
        <w:rPr>
          <w:szCs w:val="22"/>
        </w:rPr>
      </w:pPr>
    </w:p>
    <w:p w14:paraId="5F61CAE6" w14:textId="77777777" w:rsidR="002439D9" w:rsidRPr="006C3F05" w:rsidRDefault="002439D9">
      <w:pPr>
        <w:ind w:left="0" w:firstLine="0"/>
        <w:rPr>
          <w:szCs w:val="22"/>
        </w:rPr>
      </w:pPr>
      <w:r w:rsidRPr="0008227B">
        <w:rPr>
          <w:szCs w:val="22"/>
        </w:rPr>
        <w:t>Horčík je štvrtý najviac zastúpený katión v organizme (za sodíkom, draslíkom a vápnikom) a druhý najčastejšie sa vyskytujúci intracelulárny katión, ktorý zohráva dôležitú úlohu pri funkcii enzýmov a transmembránovom prestupe iónov. Extracelulárny horčík predstavuje iba 1 % z celkového množstva horčíka v organizme. Normálna sérová koncentrácia horčíka je 0,75 – 0,95 mmol/l.</w:t>
      </w:r>
    </w:p>
    <w:p w14:paraId="45B1D590" w14:textId="77777777" w:rsidR="002439D9" w:rsidRPr="006C3F05" w:rsidRDefault="002439D9">
      <w:pPr>
        <w:ind w:left="0" w:firstLine="0"/>
        <w:rPr>
          <w:szCs w:val="22"/>
        </w:rPr>
      </w:pPr>
    </w:p>
    <w:p w14:paraId="525AC064" w14:textId="3D7B68F4" w:rsidR="002439D9" w:rsidRPr="0008227B" w:rsidRDefault="002439D9" w:rsidP="00A278EB">
      <w:pPr>
        <w:ind w:left="0" w:firstLine="0"/>
        <w:rPr>
          <w:szCs w:val="22"/>
        </w:rPr>
      </w:pPr>
      <w:r w:rsidRPr="005E5584">
        <w:rPr>
          <w:szCs w:val="22"/>
        </w:rPr>
        <w:t>Horčík má nezastupiteľnú úlohu ako kofaktor vo viac ako 600 enzymatických reakciách, ktoré</w:t>
      </w:r>
      <w:r w:rsidRPr="00507AD5">
        <w:rPr>
          <w:szCs w:val="22"/>
        </w:rPr>
        <w:t xml:space="preserve"> zahŕňajú nielen metabolicko – energetické pochody (glykolýza, proteosyntéza), ale aj syntézu nukleových kyselín (DNA). Je dôležitý v procese </w:t>
      </w:r>
      <w:r w:rsidR="00204F4E">
        <w:rPr>
          <w:szCs w:val="22"/>
        </w:rPr>
        <w:t>včlenenia</w:t>
      </w:r>
      <w:r w:rsidRPr="00A278EB">
        <w:rPr>
          <w:szCs w:val="22"/>
        </w:rPr>
        <w:t xml:space="preserve"> hormónov do bunkových receptorov. Má vplyv na aktivitu iónových kanálov, má dôležitú funkciu pri transmembránovom transporte iónov a </w:t>
      </w:r>
      <w:r w:rsidRPr="00A278EB">
        <w:rPr>
          <w:szCs w:val="22"/>
        </w:rPr>
        <w:lastRenderedPageBreak/>
        <w:t xml:space="preserve">zachovaní integrity bunkových membrán, v procese regulácie adenylátcyklázy, </w:t>
      </w:r>
      <w:r w:rsidRPr="00AC4BA2">
        <w:rPr>
          <w:szCs w:val="22"/>
        </w:rPr>
        <w:t>aktivácie aminokyselín a v procese metabolizmu tukov. Zohráva významnú úlohu v procese svalovej kontrakcie, neuronálnej aktivite znižovaním nervovosvalovej a nervovej dráždivosti, pri kontrole vazomotorického napätia, v procese srdcového rytmu a excitabili</w:t>
      </w:r>
      <w:r w:rsidRPr="0008227B">
        <w:rPr>
          <w:szCs w:val="22"/>
        </w:rPr>
        <w:t xml:space="preserve">ty a uvoľňovania neurotransmiterov. </w:t>
      </w:r>
    </w:p>
    <w:p w14:paraId="7E939650" w14:textId="4836EFFD" w:rsidR="002439D9" w:rsidRPr="00A278EB" w:rsidRDefault="002439D9" w:rsidP="00A278EB">
      <w:pPr>
        <w:ind w:left="0" w:firstLine="0"/>
        <w:rPr>
          <w:szCs w:val="22"/>
        </w:rPr>
      </w:pPr>
      <w:r w:rsidRPr="0008227B">
        <w:rPr>
          <w:szCs w:val="22"/>
        </w:rPr>
        <w:t xml:space="preserve">Zohráva </w:t>
      </w:r>
      <w:r w:rsidR="00A278EB">
        <w:rPr>
          <w:szCs w:val="22"/>
        </w:rPr>
        <w:t xml:space="preserve">tiež </w:t>
      </w:r>
      <w:r w:rsidRPr="00A278EB">
        <w:rPr>
          <w:szCs w:val="22"/>
        </w:rPr>
        <w:t>významnú úlohu v regulácii krvného tlaku, dilatácii bronchov a procese uvoľňovania a</w:t>
      </w:r>
      <w:r w:rsidR="00A278EB">
        <w:rPr>
          <w:szCs w:val="22"/>
        </w:rPr>
        <w:t xml:space="preserve"> regulácie </w:t>
      </w:r>
      <w:r w:rsidRPr="00A278EB">
        <w:rPr>
          <w:szCs w:val="22"/>
        </w:rPr>
        <w:t>aktivit</w:t>
      </w:r>
      <w:r w:rsidR="00A278EB">
        <w:rPr>
          <w:szCs w:val="22"/>
        </w:rPr>
        <w:t>y</w:t>
      </w:r>
      <w:r w:rsidRPr="00A278EB">
        <w:rPr>
          <w:szCs w:val="22"/>
        </w:rPr>
        <w:t xml:space="preserve"> inzulínu. Horčík napomáha využitiu kyslíka pri svalovej záťaži. Je nevyhnutný pre stavbu kostí, chrupaviek a zubov.</w:t>
      </w:r>
    </w:p>
    <w:p w14:paraId="7EFA8108" w14:textId="77777777" w:rsidR="002439D9" w:rsidRPr="00AC4BA2" w:rsidRDefault="002439D9" w:rsidP="00AC4BA2">
      <w:pPr>
        <w:ind w:left="0" w:firstLine="0"/>
        <w:rPr>
          <w:szCs w:val="22"/>
        </w:rPr>
      </w:pPr>
    </w:p>
    <w:p w14:paraId="6B35076A" w14:textId="77777777" w:rsidR="002439D9" w:rsidRPr="0008227B" w:rsidRDefault="002439D9">
      <w:pPr>
        <w:ind w:left="0" w:firstLine="0"/>
        <w:rPr>
          <w:szCs w:val="22"/>
          <w:u w:val="single"/>
        </w:rPr>
      </w:pPr>
      <w:r w:rsidRPr="0008227B">
        <w:rPr>
          <w:szCs w:val="22"/>
          <w:u w:val="single"/>
        </w:rPr>
        <w:t>Mechanizmus účinku</w:t>
      </w:r>
    </w:p>
    <w:p w14:paraId="6C6A62EB" w14:textId="77777777" w:rsidR="002439D9" w:rsidRPr="0008227B" w:rsidRDefault="002439D9">
      <w:pPr>
        <w:ind w:left="0" w:firstLine="0"/>
        <w:rPr>
          <w:szCs w:val="22"/>
          <w:u w:val="single"/>
        </w:rPr>
      </w:pPr>
    </w:p>
    <w:p w14:paraId="4861C37D" w14:textId="77777777" w:rsidR="002439D9" w:rsidRPr="0008227B" w:rsidRDefault="002439D9">
      <w:pPr>
        <w:ind w:left="0" w:firstLine="0"/>
        <w:rPr>
          <w:szCs w:val="22"/>
        </w:rPr>
      </w:pPr>
      <w:r w:rsidRPr="006C3F05">
        <w:rPr>
          <w:szCs w:val="22"/>
        </w:rPr>
        <w:t xml:space="preserve">Horčík </w:t>
      </w:r>
      <w:r w:rsidR="00E755B8" w:rsidRPr="006C3F05">
        <w:rPr>
          <w:szCs w:val="22"/>
        </w:rPr>
        <w:t xml:space="preserve">zohráva </w:t>
      </w:r>
      <w:r w:rsidRPr="006C3F05">
        <w:rPr>
          <w:szCs w:val="22"/>
        </w:rPr>
        <w:t>dôležitú úlohu vo fyziologických pochodoch v</w:t>
      </w:r>
      <w:r w:rsidR="00A520A1" w:rsidRPr="006C3F05">
        <w:rPr>
          <w:szCs w:val="22"/>
        </w:rPr>
        <w:t xml:space="preserve"> organizme a jeho </w:t>
      </w:r>
      <w:r w:rsidR="00A520A1" w:rsidRPr="00D2656D">
        <w:rPr>
          <w:szCs w:val="22"/>
        </w:rPr>
        <w:t>dostatočná hladina je dôležitá pre správnu funkciu kardiovaskulárneho, nervového, svalového, gastrointestinálneho a endokrinného systému.</w:t>
      </w:r>
      <w:r w:rsidRPr="0008227B">
        <w:rPr>
          <w:szCs w:val="22"/>
        </w:rPr>
        <w:t xml:space="preserve"> </w:t>
      </w:r>
    </w:p>
    <w:p w14:paraId="69955E76" w14:textId="77777777" w:rsidR="002439D9" w:rsidRPr="0008227B" w:rsidRDefault="002439D9">
      <w:pPr>
        <w:ind w:left="0" w:firstLine="0"/>
        <w:rPr>
          <w:szCs w:val="22"/>
        </w:rPr>
      </w:pPr>
    </w:p>
    <w:p w14:paraId="2255BCB8" w14:textId="77777777" w:rsidR="002439D9" w:rsidRPr="00A278EB" w:rsidRDefault="002439D9">
      <w:pPr>
        <w:ind w:left="0" w:firstLine="0"/>
        <w:rPr>
          <w:szCs w:val="22"/>
        </w:rPr>
      </w:pPr>
      <w:r w:rsidRPr="006C3F05">
        <w:rPr>
          <w:szCs w:val="22"/>
        </w:rPr>
        <w:t xml:space="preserve">Nedostatok horčíka zohráva zásadnú úlohu pri vzniku hypertenzie, </w:t>
      </w:r>
      <w:r w:rsidR="00A278EB">
        <w:rPr>
          <w:szCs w:val="22"/>
        </w:rPr>
        <w:t xml:space="preserve">ochorenia </w:t>
      </w:r>
      <w:r w:rsidRPr="00A278EB">
        <w:rPr>
          <w:szCs w:val="22"/>
        </w:rPr>
        <w:t>diabetes mellitus a hyperlipidémie.</w:t>
      </w:r>
    </w:p>
    <w:p w14:paraId="4E35AF3E" w14:textId="75F8E333" w:rsidR="002C53D4" w:rsidRPr="00D2656D" w:rsidRDefault="00204F4E">
      <w:pPr>
        <w:ind w:left="0" w:firstLine="0"/>
        <w:outlineLvl w:val="0"/>
        <w:rPr>
          <w:szCs w:val="22"/>
        </w:rPr>
      </w:pPr>
      <w:r>
        <w:rPr>
          <w:szCs w:val="22"/>
        </w:rPr>
        <w:t>N</w:t>
      </w:r>
      <w:r w:rsidR="002439D9" w:rsidRPr="00AC4BA2">
        <w:rPr>
          <w:szCs w:val="22"/>
        </w:rPr>
        <w:t>edostato</w:t>
      </w:r>
      <w:r>
        <w:rPr>
          <w:szCs w:val="22"/>
        </w:rPr>
        <w:t>k horčíka</w:t>
      </w:r>
      <w:r w:rsidR="002439D9" w:rsidRPr="00AC4BA2">
        <w:rPr>
          <w:szCs w:val="22"/>
        </w:rPr>
        <w:t xml:space="preserve"> spôsobuje poruchu regulácie výmen</w:t>
      </w:r>
      <w:r>
        <w:rPr>
          <w:szCs w:val="22"/>
        </w:rPr>
        <w:t>y</w:t>
      </w:r>
      <w:r w:rsidR="002439D9" w:rsidRPr="00AC4BA2">
        <w:rPr>
          <w:szCs w:val="22"/>
        </w:rPr>
        <w:t xml:space="preserve"> sodíka a horčíka, čo vedie k vysokej hladine intracelulárneho sodíka a vysokému krvnému tlaku. Relatívne nízke hladiny horčíka spôsobujú acelulárnu nerovnováhu medzi vápnikom a horčíkom, čo vedie k zvýšenému napätiu ciev a následnému zvýšeniu krvného tlaku. Nedostatok horčíka spôsobuje inzulínovú rezistenciu, ktorej výsledkom je hyperinzulinémia a následná hyperten</w:t>
      </w:r>
      <w:r w:rsidR="002439D9" w:rsidRPr="0008227B">
        <w:rPr>
          <w:szCs w:val="22"/>
        </w:rPr>
        <w:t>zia, diabetes mellitus a hyperlipidémia.</w:t>
      </w:r>
      <w:r w:rsidR="005562F2" w:rsidRPr="0008227B">
        <w:rPr>
          <w:szCs w:val="22"/>
        </w:rPr>
        <w:t xml:space="preserve"> </w:t>
      </w:r>
      <w:r w:rsidR="002C53D4" w:rsidRPr="00D2656D">
        <w:rPr>
          <w:szCs w:val="22"/>
        </w:rPr>
        <w:t xml:space="preserve">K nešpecifickým klinickým prejavom hypomagneziémie patrí tras, svalová slabosť, ataxia, tetanické kŕče, hyperreflexie, parestézia, nepravidelnosť srdcového rytmu s extrasystolami alebo tachyarytmiami, poruchy gastrointestinálneho systému s hnačkami, nauzeou, vracaním, psychické poruchy (zvýšená iritabilita alebo insomnia), úzkosť, závrat a anorexia. </w:t>
      </w:r>
    </w:p>
    <w:p w14:paraId="7C90B38A" w14:textId="77777777" w:rsidR="002439D9" w:rsidRPr="00D2656D" w:rsidRDefault="002439D9">
      <w:pPr>
        <w:rPr>
          <w:bCs/>
          <w:iCs/>
          <w:szCs w:val="22"/>
        </w:rPr>
      </w:pPr>
    </w:p>
    <w:p w14:paraId="5644A30D" w14:textId="3BC5CBED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5.2</w:t>
      </w:r>
      <w:r w:rsidRPr="00D2656D">
        <w:rPr>
          <w:b/>
          <w:szCs w:val="22"/>
        </w:rPr>
        <w:tab/>
        <w:t>Farmakokinetické vlastnosti</w:t>
      </w:r>
    </w:p>
    <w:p w14:paraId="2230158C" w14:textId="77777777" w:rsidR="002439D9" w:rsidRPr="00D2656D" w:rsidRDefault="002439D9">
      <w:pPr>
        <w:rPr>
          <w:szCs w:val="22"/>
        </w:rPr>
      </w:pPr>
    </w:p>
    <w:p w14:paraId="29B75DF3" w14:textId="77777777" w:rsidR="002439D9" w:rsidRPr="00D2656D" w:rsidRDefault="002439D9">
      <w:pPr>
        <w:outlineLvl w:val="0"/>
        <w:rPr>
          <w:szCs w:val="22"/>
          <w:u w:val="single"/>
        </w:rPr>
      </w:pPr>
      <w:r w:rsidRPr="00D2656D">
        <w:rPr>
          <w:szCs w:val="22"/>
          <w:u w:val="single"/>
        </w:rPr>
        <w:t>Absorpcia</w:t>
      </w:r>
    </w:p>
    <w:p w14:paraId="7A9BEEB1" w14:textId="77777777" w:rsidR="002439D9" w:rsidRPr="00D2656D" w:rsidRDefault="002439D9">
      <w:pPr>
        <w:outlineLvl w:val="0"/>
        <w:rPr>
          <w:szCs w:val="22"/>
          <w:u w:val="single"/>
        </w:rPr>
      </w:pPr>
    </w:p>
    <w:p w14:paraId="4B20FE14" w14:textId="77777777" w:rsidR="002439D9" w:rsidRPr="00D2656D" w:rsidRDefault="002439D9">
      <w:pPr>
        <w:ind w:left="0" w:firstLine="0"/>
        <w:outlineLvl w:val="0"/>
        <w:rPr>
          <w:szCs w:val="22"/>
        </w:rPr>
      </w:pPr>
      <w:r w:rsidRPr="00D2656D">
        <w:rPr>
          <w:szCs w:val="22"/>
        </w:rPr>
        <w:t xml:space="preserve">Absorpcia horčíka prebieha v intestinálnom trakte. Po perorálnom podaní horčíka sa približne 30 – 50 % absorbuje v tenkom čreve. Celkové množstvo absorbovaného horčíka závisí od jeho endogénnej hladiny. Absorpcia horčíka prebieha formou pasívneho </w:t>
      </w:r>
      <w:r w:rsidR="00B12277" w:rsidRPr="00D2656D">
        <w:rPr>
          <w:szCs w:val="22"/>
        </w:rPr>
        <w:t>transportu (</w:t>
      </w:r>
      <w:r w:rsidRPr="00D2656D">
        <w:rPr>
          <w:szCs w:val="22"/>
        </w:rPr>
        <w:t>na základe elektrochemického gradientu a rozpustnosti jednotlivých solí horčíka</w:t>
      </w:r>
      <w:r w:rsidR="00B12277" w:rsidRPr="00D2656D">
        <w:rPr>
          <w:szCs w:val="22"/>
        </w:rPr>
        <w:t>) a formou</w:t>
      </w:r>
      <w:r w:rsidRPr="00D2656D">
        <w:rPr>
          <w:szCs w:val="22"/>
        </w:rPr>
        <w:t xml:space="preserve"> aktívneho transportu</w:t>
      </w:r>
      <w:r w:rsidR="00B12277" w:rsidRPr="00D2656D">
        <w:rPr>
          <w:szCs w:val="22"/>
        </w:rPr>
        <w:t xml:space="preserve"> (</w:t>
      </w:r>
      <w:r w:rsidRPr="00D2656D">
        <w:rPr>
          <w:szCs w:val="22"/>
        </w:rPr>
        <w:t>výnimočn</w:t>
      </w:r>
      <w:r w:rsidR="00B12277" w:rsidRPr="00D2656D">
        <w:rPr>
          <w:szCs w:val="22"/>
        </w:rPr>
        <w:t>e</w:t>
      </w:r>
      <w:r w:rsidRPr="00D2656D">
        <w:rPr>
          <w:szCs w:val="22"/>
        </w:rPr>
        <w:t xml:space="preserve"> </w:t>
      </w:r>
      <w:r w:rsidR="00B12277" w:rsidRPr="00D2656D">
        <w:rPr>
          <w:szCs w:val="22"/>
        </w:rPr>
        <w:t xml:space="preserve">pri </w:t>
      </w:r>
      <w:r w:rsidRPr="00D2656D">
        <w:rPr>
          <w:szCs w:val="22"/>
        </w:rPr>
        <w:t>veľmi nízkych diétnych príjmoch horčíka</w:t>
      </w:r>
      <w:r w:rsidR="00B12277" w:rsidRPr="00D2656D">
        <w:rPr>
          <w:szCs w:val="22"/>
        </w:rPr>
        <w:t>)</w:t>
      </w:r>
      <w:r w:rsidRPr="00D2656D">
        <w:rPr>
          <w:szCs w:val="22"/>
        </w:rPr>
        <w:t>. Variabilita absorpcie horčíka je závislá od potravy, ktorá je prijímaná spolu s horčíkom. Diéta založená na vysokom príjme vlákniny a proteínov a diéta s vysokým obsahom tukov, kyseliny oxálovej, vápenatých, fosforečnanových a fluoridových iónov a malabsorpčný tukový syndróm môžu spôsobovať jeho zníženú absorpciu. K reabsorpcii horčíka dochádza zo žlče a pankreatickej šťavy.</w:t>
      </w:r>
    </w:p>
    <w:p w14:paraId="4BC00FD2" w14:textId="77777777" w:rsidR="002439D9" w:rsidRPr="00D2656D" w:rsidRDefault="002439D9">
      <w:pPr>
        <w:ind w:left="0" w:firstLine="0"/>
        <w:outlineLvl w:val="0"/>
        <w:rPr>
          <w:szCs w:val="22"/>
        </w:rPr>
      </w:pPr>
    </w:p>
    <w:p w14:paraId="222BBADD" w14:textId="77777777" w:rsidR="002439D9" w:rsidRPr="00D2656D" w:rsidRDefault="002439D9">
      <w:pPr>
        <w:ind w:left="0" w:firstLine="0"/>
        <w:outlineLvl w:val="0"/>
        <w:rPr>
          <w:szCs w:val="22"/>
          <w:u w:val="single"/>
        </w:rPr>
      </w:pPr>
      <w:r w:rsidRPr="00D2656D">
        <w:rPr>
          <w:szCs w:val="22"/>
          <w:u w:val="single"/>
        </w:rPr>
        <w:t>Distribúcia</w:t>
      </w:r>
    </w:p>
    <w:p w14:paraId="02AC8662" w14:textId="77777777" w:rsidR="002439D9" w:rsidRPr="00D2656D" w:rsidRDefault="002439D9">
      <w:pPr>
        <w:ind w:left="0" w:firstLine="0"/>
        <w:outlineLvl w:val="0"/>
        <w:rPr>
          <w:szCs w:val="22"/>
          <w:u w:val="single"/>
        </w:rPr>
      </w:pPr>
    </w:p>
    <w:p w14:paraId="2FAC05C4" w14:textId="2E2D210F" w:rsidR="00990FD3" w:rsidRDefault="002439D9" w:rsidP="00990FD3">
      <w:pPr>
        <w:ind w:left="0" w:firstLine="0"/>
        <w:outlineLvl w:val="0"/>
        <w:rPr>
          <w:szCs w:val="22"/>
        </w:rPr>
      </w:pPr>
      <w:r w:rsidRPr="00D2656D">
        <w:rPr>
          <w:szCs w:val="22"/>
        </w:rPr>
        <w:t xml:space="preserve">Horčík sa po absorpcii distribuuje na základe elektrochemického gradientu. Po absorpcii je horčík portálnym obehom transportovaný do pečene. Do ostatných častí organizmu sa distribuuje prostredníctvom systémovej cirkulácie. Normálna koncentrácia horčíka v krvi je </w:t>
      </w:r>
      <w:r w:rsidRPr="0008227B">
        <w:rPr>
          <w:szCs w:val="22"/>
        </w:rPr>
        <w:t>1,7 – 2,2 mg/dl</w:t>
      </w:r>
      <w:r w:rsidR="008F1557" w:rsidRPr="0008227B">
        <w:rPr>
          <w:szCs w:val="22"/>
        </w:rPr>
        <w:t xml:space="preserve"> – r</w:t>
      </w:r>
      <w:r w:rsidRPr="0008227B">
        <w:rPr>
          <w:szCs w:val="22"/>
        </w:rPr>
        <w:t xml:space="preserve">ozpustná frakcia horčíka </w:t>
      </w:r>
      <w:r w:rsidR="008F1557" w:rsidRPr="0008227B">
        <w:rPr>
          <w:szCs w:val="22"/>
        </w:rPr>
        <w:t>(</w:t>
      </w:r>
      <w:r w:rsidRPr="006C3F05">
        <w:rPr>
          <w:szCs w:val="22"/>
        </w:rPr>
        <w:t>približne 75 %</w:t>
      </w:r>
      <w:r w:rsidR="008F1557" w:rsidRPr="006C3F05">
        <w:rPr>
          <w:szCs w:val="22"/>
        </w:rPr>
        <w:t>)</w:t>
      </w:r>
      <w:r w:rsidRPr="006C3F05">
        <w:rPr>
          <w:szCs w:val="22"/>
        </w:rPr>
        <w:t xml:space="preserve"> je filtrovaná cez glomeruly</w:t>
      </w:r>
      <w:r w:rsidR="008F1557" w:rsidRPr="006C3F05">
        <w:rPr>
          <w:szCs w:val="22"/>
        </w:rPr>
        <w:t xml:space="preserve"> a n</w:t>
      </w:r>
      <w:r w:rsidRPr="006C3F05">
        <w:rPr>
          <w:szCs w:val="22"/>
        </w:rPr>
        <w:t>erozpustná frakcia</w:t>
      </w:r>
      <w:r w:rsidR="008F1557" w:rsidRPr="005E5584">
        <w:rPr>
          <w:szCs w:val="22"/>
        </w:rPr>
        <w:t xml:space="preserve"> (20 – 30 %)</w:t>
      </w:r>
      <w:r w:rsidRPr="005E5584">
        <w:rPr>
          <w:szCs w:val="22"/>
        </w:rPr>
        <w:t xml:space="preserve"> je </w:t>
      </w:r>
      <w:r w:rsidR="005B7CB6" w:rsidRPr="005E5584">
        <w:rPr>
          <w:szCs w:val="22"/>
        </w:rPr>
        <w:t xml:space="preserve">viazaná na </w:t>
      </w:r>
      <w:r w:rsidRPr="005E5584">
        <w:rPr>
          <w:szCs w:val="22"/>
        </w:rPr>
        <w:t>bunkové proteíny a </w:t>
      </w:r>
      <w:r w:rsidRPr="00990FD3">
        <w:rPr>
          <w:szCs w:val="22"/>
        </w:rPr>
        <w:t xml:space="preserve">energetické fosfáty. Vo významnom množstve sa horčík nachádza v mozgovomiešnom moku. Horčík prechádza hematoencefalickou bariérou a placentárnou bariérou. </w:t>
      </w:r>
      <w:r w:rsidR="00990FD3" w:rsidRPr="00990FD3">
        <w:rPr>
          <w:szCs w:val="22"/>
        </w:rPr>
        <w:t xml:space="preserve">Horčík prechádza </w:t>
      </w:r>
      <w:r w:rsidR="00204F4E">
        <w:rPr>
          <w:szCs w:val="22"/>
        </w:rPr>
        <w:t xml:space="preserve">aj </w:t>
      </w:r>
      <w:r w:rsidR="00990FD3" w:rsidRPr="00990FD3">
        <w:rPr>
          <w:szCs w:val="22"/>
        </w:rPr>
        <w:t>do materského mlieka</w:t>
      </w:r>
      <w:r w:rsidR="00990FD3">
        <w:rPr>
          <w:szCs w:val="22"/>
        </w:rPr>
        <w:t xml:space="preserve">. </w:t>
      </w:r>
      <w:r w:rsidRPr="00990FD3">
        <w:rPr>
          <w:szCs w:val="22"/>
        </w:rPr>
        <w:t xml:space="preserve">Sérové hladiny horčíka v plode korelujú s jeho hladinami v materskom organizme. </w:t>
      </w:r>
    </w:p>
    <w:p w14:paraId="7565F177" w14:textId="77777777" w:rsidR="002439D9" w:rsidRPr="00990FD3" w:rsidRDefault="002439D9" w:rsidP="00990FD3">
      <w:pPr>
        <w:ind w:left="0" w:firstLine="0"/>
        <w:outlineLvl w:val="0"/>
        <w:rPr>
          <w:szCs w:val="22"/>
        </w:rPr>
      </w:pPr>
      <w:r w:rsidRPr="00990FD3">
        <w:rPr>
          <w:szCs w:val="22"/>
        </w:rPr>
        <w:t>Maximálne plazmatické hladiny horčíka po perorálnom podaní prípravkov s obsahom horčíka sú dosiahnuté za 2 – 4 hodiny, účinná hladina pretrváva 4 – 6 hodín.</w:t>
      </w:r>
    </w:p>
    <w:p w14:paraId="62ED5B17" w14:textId="77777777" w:rsidR="002439D9" w:rsidRPr="00990FD3" w:rsidRDefault="002439D9" w:rsidP="00990FD3">
      <w:pPr>
        <w:ind w:left="0" w:firstLine="0"/>
        <w:outlineLvl w:val="0"/>
        <w:rPr>
          <w:szCs w:val="22"/>
        </w:rPr>
      </w:pPr>
      <w:r w:rsidRPr="00990FD3">
        <w:rPr>
          <w:szCs w:val="22"/>
        </w:rPr>
        <w:t>Horčík sa ukladá v kostiach, kostrovom svalstve, obličkách, pečeni a srdcovom svale. Malé množstvo horčíka sa nachádza v extracelulárnych tekutinách a v erytrocytoch.</w:t>
      </w:r>
    </w:p>
    <w:p w14:paraId="46CC5ABF" w14:textId="77777777" w:rsidR="002439D9" w:rsidRPr="00AC4BA2" w:rsidRDefault="002439D9" w:rsidP="00AC4BA2">
      <w:pPr>
        <w:ind w:left="0" w:firstLine="0"/>
        <w:outlineLvl w:val="0"/>
        <w:rPr>
          <w:szCs w:val="22"/>
        </w:rPr>
      </w:pPr>
    </w:p>
    <w:p w14:paraId="28C21F9D" w14:textId="77777777" w:rsidR="002439D9" w:rsidRPr="00D2656D" w:rsidRDefault="002439D9">
      <w:pPr>
        <w:ind w:left="0" w:firstLine="0"/>
        <w:outlineLvl w:val="0"/>
        <w:rPr>
          <w:szCs w:val="22"/>
          <w:u w:val="single"/>
        </w:rPr>
      </w:pPr>
      <w:r w:rsidRPr="00D2656D">
        <w:rPr>
          <w:szCs w:val="22"/>
          <w:u w:val="single"/>
        </w:rPr>
        <w:t>Eliminácia</w:t>
      </w:r>
    </w:p>
    <w:p w14:paraId="3A4395CA" w14:textId="77777777" w:rsidR="002439D9" w:rsidRPr="00D2656D" w:rsidRDefault="002439D9">
      <w:pPr>
        <w:ind w:left="0" w:firstLine="0"/>
        <w:outlineLvl w:val="0"/>
        <w:rPr>
          <w:szCs w:val="22"/>
          <w:u w:val="single"/>
        </w:rPr>
      </w:pPr>
    </w:p>
    <w:p w14:paraId="4DD6325C" w14:textId="145A0DC0" w:rsidR="002439D9" w:rsidRPr="00AC4BA2" w:rsidRDefault="002439D9">
      <w:pPr>
        <w:ind w:left="0" w:firstLine="0"/>
        <w:outlineLvl w:val="0"/>
        <w:rPr>
          <w:szCs w:val="22"/>
        </w:rPr>
      </w:pPr>
      <w:r w:rsidRPr="00D2656D">
        <w:rPr>
          <w:szCs w:val="22"/>
        </w:rPr>
        <w:lastRenderedPageBreak/>
        <w:t>Horčík sa vylučuje prevažne močom a stolicou. Pri normálnej hladine horčíka je jeho exkrécia približne rovnaká ako jeho absorpcia. Vylučovanie horčíka sa riadi cirkadiálnym rytmom, jeho exkrécia je najvyššia v noci. Z celkového plazmatického horčíka sa približne 80 % filtruje v glomeruloch, 5 – 15 % sa reabsorbuje v proximálnom tubule obličiek. Približne 30 % sérového horčíka sa viaže na albumín a preto nie je možná jeho glomerulárna filtrácia. Zásadnú úlohu v procese reabsorpcie horčíka zohráva kortikálny segment Henleho kľučky. Močom sa vylučuje približne 3 – 5 % prefiltrovaného horčíka. Zdravé obličky sú schopné limitovať exkréciu horčíka pri jeho zníženom prí</w:t>
      </w:r>
      <w:r w:rsidR="00AC4BA2">
        <w:rPr>
          <w:szCs w:val="22"/>
        </w:rPr>
        <w:t>jme</w:t>
      </w:r>
      <w:r w:rsidRPr="00AC4BA2">
        <w:rPr>
          <w:szCs w:val="22"/>
        </w:rPr>
        <w:t>. Pri závažnej poruche obličiek dochádza k retencii horčíka v organizme.</w:t>
      </w:r>
    </w:p>
    <w:p w14:paraId="2D56D44E" w14:textId="77777777" w:rsidR="002439D9" w:rsidRPr="00AC4BA2" w:rsidRDefault="002439D9">
      <w:pPr>
        <w:ind w:left="0" w:firstLine="0"/>
        <w:rPr>
          <w:szCs w:val="22"/>
        </w:rPr>
      </w:pPr>
    </w:p>
    <w:p w14:paraId="771B88DA" w14:textId="77777777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5.3</w:t>
      </w:r>
      <w:r w:rsidRPr="00D2656D">
        <w:rPr>
          <w:b/>
          <w:szCs w:val="22"/>
        </w:rPr>
        <w:tab/>
        <w:t>Predklinické údaje o bezpečnosti</w:t>
      </w:r>
    </w:p>
    <w:p w14:paraId="765E0F33" w14:textId="77777777" w:rsidR="002439D9" w:rsidRPr="00D2656D" w:rsidRDefault="002439D9">
      <w:pPr>
        <w:rPr>
          <w:szCs w:val="22"/>
        </w:rPr>
      </w:pPr>
    </w:p>
    <w:p w14:paraId="117A090C" w14:textId="77777777" w:rsidR="002439D9" w:rsidRPr="005E5584" w:rsidRDefault="002439D9">
      <w:pPr>
        <w:ind w:left="0" w:firstLine="0"/>
        <w:rPr>
          <w:szCs w:val="22"/>
        </w:rPr>
      </w:pPr>
      <w:r w:rsidRPr="0008227B">
        <w:rPr>
          <w:szCs w:val="22"/>
        </w:rPr>
        <w:t>Podľa predklinických údajov o bezpečnosti získaných z odbornej literatúry je tento liek pri odporúčanom spôsobe podávania netoxický, nie je u neho predpoklad vzniku kancerogeni</w:t>
      </w:r>
      <w:r w:rsidRPr="006C3F05">
        <w:rPr>
          <w:szCs w:val="22"/>
        </w:rPr>
        <w:t>ty, genotoxicity, teratogenity a nemá vplyv na reprodukčnú funkciu.</w:t>
      </w:r>
    </w:p>
    <w:p w14:paraId="11B9CC08" w14:textId="77777777" w:rsidR="002439D9" w:rsidRPr="00D2656D" w:rsidRDefault="002439D9">
      <w:pPr>
        <w:rPr>
          <w:szCs w:val="22"/>
        </w:rPr>
      </w:pPr>
    </w:p>
    <w:p w14:paraId="1FD50B00" w14:textId="77777777" w:rsidR="002439D9" w:rsidRPr="00D2656D" w:rsidRDefault="002439D9">
      <w:pPr>
        <w:rPr>
          <w:szCs w:val="22"/>
        </w:rPr>
      </w:pPr>
    </w:p>
    <w:p w14:paraId="4B13CC67" w14:textId="77777777" w:rsidR="002439D9" w:rsidRPr="00D2656D" w:rsidRDefault="002439D9">
      <w:pPr>
        <w:rPr>
          <w:b/>
          <w:szCs w:val="22"/>
        </w:rPr>
      </w:pPr>
      <w:r w:rsidRPr="00D2656D">
        <w:rPr>
          <w:b/>
          <w:szCs w:val="22"/>
        </w:rPr>
        <w:t>6.</w:t>
      </w:r>
      <w:r w:rsidRPr="00D2656D">
        <w:rPr>
          <w:b/>
          <w:szCs w:val="22"/>
        </w:rPr>
        <w:tab/>
        <w:t>FARMACEUTICKÉ INFORMÁCIE</w:t>
      </w:r>
    </w:p>
    <w:p w14:paraId="5195573F" w14:textId="77777777" w:rsidR="002439D9" w:rsidRPr="00D2656D" w:rsidRDefault="002439D9">
      <w:pPr>
        <w:rPr>
          <w:szCs w:val="22"/>
        </w:rPr>
      </w:pPr>
    </w:p>
    <w:p w14:paraId="6940DED5" w14:textId="77777777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6.1</w:t>
      </w:r>
      <w:r w:rsidRPr="00D2656D">
        <w:rPr>
          <w:b/>
          <w:szCs w:val="22"/>
        </w:rPr>
        <w:tab/>
        <w:t>Zoznam pomocných látok</w:t>
      </w:r>
    </w:p>
    <w:p w14:paraId="78B16E23" w14:textId="77777777" w:rsidR="002439D9" w:rsidRPr="0008227B" w:rsidRDefault="002439D9">
      <w:pPr>
        <w:rPr>
          <w:szCs w:val="22"/>
        </w:rPr>
      </w:pPr>
    </w:p>
    <w:p w14:paraId="49DB2FF9" w14:textId="77777777" w:rsidR="002439D9" w:rsidRPr="00D2656D" w:rsidRDefault="002439D9">
      <w:pPr>
        <w:ind w:left="0" w:firstLine="0"/>
        <w:rPr>
          <w:noProof/>
          <w:szCs w:val="22"/>
        </w:rPr>
      </w:pPr>
      <w:r w:rsidRPr="00D2656D">
        <w:rPr>
          <w:noProof/>
          <w:szCs w:val="22"/>
        </w:rPr>
        <w:t>mikrokryštalická celulóza</w:t>
      </w:r>
    </w:p>
    <w:p w14:paraId="78CC35A6" w14:textId="77777777" w:rsidR="002439D9" w:rsidRPr="00D2656D" w:rsidRDefault="002439D9">
      <w:pPr>
        <w:ind w:left="0" w:firstLine="0"/>
        <w:rPr>
          <w:noProof/>
          <w:szCs w:val="22"/>
        </w:rPr>
      </w:pPr>
      <w:r w:rsidRPr="00D2656D">
        <w:rPr>
          <w:noProof/>
          <w:szCs w:val="22"/>
        </w:rPr>
        <w:t>povidón</w:t>
      </w:r>
    </w:p>
    <w:p w14:paraId="4D332B79" w14:textId="5DCE354C" w:rsidR="002439D9" w:rsidRPr="00AC4BA2" w:rsidRDefault="00AC4BA2">
      <w:pPr>
        <w:ind w:left="0" w:firstLine="0"/>
        <w:rPr>
          <w:noProof/>
          <w:szCs w:val="22"/>
        </w:rPr>
      </w:pPr>
      <w:r>
        <w:rPr>
          <w:noProof/>
          <w:szCs w:val="22"/>
        </w:rPr>
        <w:t>stearan horečnatý</w:t>
      </w:r>
    </w:p>
    <w:p w14:paraId="3F1798B3" w14:textId="5B7F36DF" w:rsidR="002439D9" w:rsidRPr="00AC4BA2" w:rsidRDefault="002439D9">
      <w:pPr>
        <w:ind w:left="0" w:firstLine="0"/>
        <w:rPr>
          <w:noProof/>
          <w:szCs w:val="22"/>
        </w:rPr>
      </w:pPr>
      <w:r w:rsidRPr="00AC4BA2">
        <w:rPr>
          <w:noProof/>
          <w:szCs w:val="22"/>
        </w:rPr>
        <w:t>laktóz</w:t>
      </w:r>
      <w:r w:rsidR="004E45D5">
        <w:rPr>
          <w:noProof/>
          <w:szCs w:val="22"/>
        </w:rPr>
        <w:t xml:space="preserve">a </w:t>
      </w:r>
      <w:r w:rsidRPr="00AC4BA2">
        <w:rPr>
          <w:noProof/>
          <w:szCs w:val="22"/>
        </w:rPr>
        <w:t>monohydrát</w:t>
      </w:r>
    </w:p>
    <w:p w14:paraId="0749D968" w14:textId="77777777" w:rsidR="002439D9" w:rsidRPr="00D2656D" w:rsidRDefault="002439D9">
      <w:pPr>
        <w:ind w:left="0" w:firstLine="0"/>
        <w:rPr>
          <w:noProof/>
          <w:szCs w:val="22"/>
        </w:rPr>
      </w:pPr>
      <w:r w:rsidRPr="00D2656D">
        <w:rPr>
          <w:noProof/>
          <w:szCs w:val="22"/>
        </w:rPr>
        <w:t>mastenec</w:t>
      </w:r>
    </w:p>
    <w:p w14:paraId="37261E1C" w14:textId="3A68F00A" w:rsidR="002439D9" w:rsidRPr="00D2656D" w:rsidRDefault="002439D9">
      <w:pPr>
        <w:ind w:left="0" w:firstLine="0"/>
        <w:rPr>
          <w:noProof/>
          <w:szCs w:val="22"/>
        </w:rPr>
      </w:pPr>
      <w:r w:rsidRPr="00D2656D">
        <w:rPr>
          <w:noProof/>
          <w:szCs w:val="22"/>
        </w:rPr>
        <w:t>oxid kremičitý</w:t>
      </w:r>
      <w:r w:rsidR="004E45D5">
        <w:rPr>
          <w:noProof/>
          <w:szCs w:val="22"/>
        </w:rPr>
        <w:t xml:space="preserve"> </w:t>
      </w:r>
      <w:r w:rsidRPr="00D2656D">
        <w:rPr>
          <w:noProof/>
          <w:szCs w:val="22"/>
        </w:rPr>
        <w:t>koloidný bezvodý</w:t>
      </w:r>
    </w:p>
    <w:p w14:paraId="4C5DDBE8" w14:textId="77777777" w:rsidR="002439D9" w:rsidRPr="00D2656D" w:rsidRDefault="002439D9">
      <w:pPr>
        <w:rPr>
          <w:szCs w:val="22"/>
        </w:rPr>
      </w:pPr>
    </w:p>
    <w:p w14:paraId="47CA34EA" w14:textId="77777777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6.2</w:t>
      </w:r>
      <w:r w:rsidRPr="00D2656D">
        <w:rPr>
          <w:b/>
          <w:szCs w:val="22"/>
        </w:rPr>
        <w:tab/>
        <w:t>Inkompatibility</w:t>
      </w:r>
    </w:p>
    <w:p w14:paraId="335CC27C" w14:textId="77777777" w:rsidR="002439D9" w:rsidRPr="00D2656D" w:rsidRDefault="002439D9">
      <w:pPr>
        <w:rPr>
          <w:szCs w:val="22"/>
        </w:rPr>
      </w:pPr>
    </w:p>
    <w:p w14:paraId="089DE1D9" w14:textId="4ADF8771" w:rsidR="002439D9" w:rsidRPr="00AC4BA2" w:rsidRDefault="002439D9">
      <w:pPr>
        <w:rPr>
          <w:szCs w:val="22"/>
        </w:rPr>
      </w:pPr>
      <w:r w:rsidRPr="00D2656D">
        <w:rPr>
          <w:szCs w:val="22"/>
        </w:rPr>
        <w:t>N</w:t>
      </w:r>
      <w:r w:rsidR="00AC4BA2">
        <w:rPr>
          <w:szCs w:val="22"/>
        </w:rPr>
        <w:t>eaplikovateľné</w:t>
      </w:r>
      <w:r w:rsidRPr="00AC4BA2">
        <w:rPr>
          <w:szCs w:val="22"/>
        </w:rPr>
        <w:t xml:space="preserve">. </w:t>
      </w:r>
    </w:p>
    <w:p w14:paraId="2BEDEA4B" w14:textId="77777777" w:rsidR="002439D9" w:rsidRPr="00AC4BA2" w:rsidRDefault="002439D9">
      <w:pPr>
        <w:rPr>
          <w:szCs w:val="22"/>
        </w:rPr>
      </w:pPr>
    </w:p>
    <w:p w14:paraId="61421C61" w14:textId="77777777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6.3</w:t>
      </w:r>
      <w:r w:rsidRPr="00D2656D">
        <w:rPr>
          <w:b/>
          <w:szCs w:val="22"/>
        </w:rPr>
        <w:tab/>
        <w:t>Čas použiteľnosti</w:t>
      </w:r>
    </w:p>
    <w:p w14:paraId="4047ACF9" w14:textId="77777777" w:rsidR="002439D9" w:rsidRPr="00D2656D" w:rsidRDefault="002439D9">
      <w:pPr>
        <w:rPr>
          <w:szCs w:val="22"/>
        </w:rPr>
      </w:pPr>
    </w:p>
    <w:p w14:paraId="18C3B057" w14:textId="77777777" w:rsidR="00D713D9" w:rsidRPr="00D2656D" w:rsidRDefault="00F915C7">
      <w:pPr>
        <w:rPr>
          <w:szCs w:val="22"/>
        </w:rPr>
      </w:pPr>
      <w:r w:rsidRPr="00D2656D">
        <w:rPr>
          <w:szCs w:val="22"/>
        </w:rPr>
        <w:t xml:space="preserve">24 </w:t>
      </w:r>
      <w:r w:rsidR="00D713D9" w:rsidRPr="00D2656D">
        <w:rPr>
          <w:szCs w:val="22"/>
        </w:rPr>
        <w:t>mesiacov</w:t>
      </w:r>
    </w:p>
    <w:p w14:paraId="2650B1F4" w14:textId="77777777" w:rsidR="002439D9" w:rsidRPr="00D2656D" w:rsidRDefault="002439D9">
      <w:pPr>
        <w:ind w:left="540" w:hanging="540"/>
        <w:rPr>
          <w:szCs w:val="22"/>
        </w:rPr>
      </w:pPr>
    </w:p>
    <w:p w14:paraId="00C7A7E6" w14:textId="77777777" w:rsidR="002439D9" w:rsidRPr="00D2656D" w:rsidRDefault="002439D9">
      <w:pPr>
        <w:rPr>
          <w:szCs w:val="22"/>
        </w:rPr>
      </w:pPr>
      <w:r w:rsidRPr="00D2656D">
        <w:rPr>
          <w:b/>
          <w:szCs w:val="22"/>
        </w:rPr>
        <w:t>6.4</w:t>
      </w:r>
      <w:r w:rsidRPr="00D2656D">
        <w:rPr>
          <w:b/>
          <w:szCs w:val="22"/>
        </w:rPr>
        <w:tab/>
        <w:t>Špeciálne upozornenia na uchovávanie</w:t>
      </w:r>
    </w:p>
    <w:p w14:paraId="0680D642" w14:textId="77777777" w:rsidR="002439D9" w:rsidRPr="0008227B" w:rsidRDefault="002439D9">
      <w:pPr>
        <w:rPr>
          <w:szCs w:val="22"/>
        </w:rPr>
      </w:pPr>
    </w:p>
    <w:p w14:paraId="17A86232" w14:textId="77777777" w:rsidR="002439D9" w:rsidRPr="006C3F05" w:rsidRDefault="002439D9">
      <w:pPr>
        <w:ind w:left="0" w:firstLine="0"/>
        <w:rPr>
          <w:i/>
          <w:szCs w:val="22"/>
        </w:rPr>
      </w:pPr>
      <w:r w:rsidRPr="006C3F05">
        <w:rPr>
          <w:noProof/>
          <w:szCs w:val="22"/>
        </w:rPr>
        <w:t>Uchovávajte v pôvodnom obale pri teplote do 25</w:t>
      </w:r>
      <w:r w:rsidR="00180939" w:rsidRPr="006C3F05">
        <w:rPr>
          <w:noProof/>
          <w:szCs w:val="22"/>
        </w:rPr>
        <w:t> </w:t>
      </w:r>
      <w:r w:rsidRPr="006C3F05">
        <w:rPr>
          <w:noProof/>
          <w:szCs w:val="22"/>
        </w:rPr>
        <w:t>°C. Chráňte pred mrazom, vlhkosťou, svetlom a priamym slnečným žiarením.</w:t>
      </w:r>
    </w:p>
    <w:p w14:paraId="31CBCA53" w14:textId="77777777" w:rsidR="002439D9" w:rsidRPr="005E5584" w:rsidRDefault="002439D9">
      <w:pPr>
        <w:rPr>
          <w:szCs w:val="22"/>
        </w:rPr>
      </w:pPr>
      <w:r w:rsidRPr="005E5584">
        <w:rPr>
          <w:iCs/>
          <w:szCs w:val="22"/>
        </w:rPr>
        <w:t xml:space="preserve"> </w:t>
      </w:r>
    </w:p>
    <w:p w14:paraId="721DA886" w14:textId="77777777" w:rsidR="002439D9" w:rsidRPr="005B6364" w:rsidRDefault="002439D9">
      <w:pPr>
        <w:rPr>
          <w:szCs w:val="22"/>
        </w:rPr>
      </w:pPr>
      <w:r w:rsidRPr="00D2656D">
        <w:rPr>
          <w:b/>
          <w:szCs w:val="22"/>
        </w:rPr>
        <w:t>6.5</w:t>
      </w:r>
      <w:r w:rsidRPr="00D2656D">
        <w:rPr>
          <w:b/>
          <w:szCs w:val="22"/>
        </w:rPr>
        <w:tab/>
        <w:t>Druh obalu a obsah baleni</w:t>
      </w:r>
      <w:r w:rsidR="00006C35" w:rsidRPr="00B35A2F">
        <w:rPr>
          <w:b/>
          <w:color w:val="000000" w:themeColor="text1"/>
          <w:szCs w:val="22"/>
        </w:rPr>
        <w:t xml:space="preserve">a </w:t>
      </w:r>
    </w:p>
    <w:p w14:paraId="76D70EF1" w14:textId="77777777" w:rsidR="002439D9" w:rsidRPr="00D2656D" w:rsidRDefault="002439D9">
      <w:pPr>
        <w:rPr>
          <w:szCs w:val="22"/>
        </w:rPr>
      </w:pPr>
    </w:p>
    <w:p w14:paraId="336533E7" w14:textId="77777777" w:rsidR="002439D9" w:rsidRPr="00D2656D" w:rsidRDefault="002439D9">
      <w:pPr>
        <w:rPr>
          <w:szCs w:val="22"/>
        </w:rPr>
      </w:pPr>
      <w:r w:rsidRPr="00D2656D">
        <w:rPr>
          <w:szCs w:val="22"/>
        </w:rPr>
        <w:t>Veľkosť balenia: 30, 60, 90, 120 tabliet.</w:t>
      </w:r>
    </w:p>
    <w:p w14:paraId="4C85049A" w14:textId="17F2A3BD" w:rsidR="002439D9" w:rsidRPr="005B6364" w:rsidRDefault="00DA3DCD">
      <w:pPr>
        <w:ind w:left="0" w:firstLine="0"/>
        <w:rPr>
          <w:szCs w:val="22"/>
        </w:rPr>
      </w:pPr>
      <w:r>
        <w:rPr>
          <w:szCs w:val="22"/>
        </w:rPr>
        <w:t>B</w:t>
      </w:r>
      <w:r w:rsidR="002439D9" w:rsidRPr="00D2656D">
        <w:rPr>
          <w:szCs w:val="22"/>
        </w:rPr>
        <w:t>lister (hliníková fólia s potlačou,</w:t>
      </w:r>
      <w:r w:rsidR="005B6364">
        <w:rPr>
          <w:szCs w:val="22"/>
        </w:rPr>
        <w:t xml:space="preserve"> s </w:t>
      </w:r>
      <w:r w:rsidR="002439D9" w:rsidRPr="005B6364">
        <w:rPr>
          <w:szCs w:val="22"/>
        </w:rPr>
        <w:t xml:space="preserve">PVC </w:t>
      </w:r>
      <w:r w:rsidR="005B6364">
        <w:rPr>
          <w:szCs w:val="22"/>
        </w:rPr>
        <w:t xml:space="preserve">fóliou </w:t>
      </w:r>
      <w:r w:rsidR="002439D9" w:rsidRPr="005B6364">
        <w:rPr>
          <w:szCs w:val="22"/>
        </w:rPr>
        <w:t xml:space="preserve">alebo </w:t>
      </w:r>
      <w:r w:rsidR="005B6364">
        <w:rPr>
          <w:szCs w:val="22"/>
        </w:rPr>
        <w:t xml:space="preserve">s </w:t>
      </w:r>
      <w:r w:rsidR="002439D9" w:rsidRPr="005B6364">
        <w:rPr>
          <w:szCs w:val="22"/>
        </w:rPr>
        <w:t>PVC/PVDC fóli</w:t>
      </w:r>
      <w:r w:rsidR="005B6364">
        <w:rPr>
          <w:szCs w:val="22"/>
        </w:rPr>
        <w:t>ou</w:t>
      </w:r>
      <w:r w:rsidR="002439D9" w:rsidRPr="005B6364">
        <w:rPr>
          <w:szCs w:val="22"/>
        </w:rPr>
        <w:t xml:space="preserve">), </w:t>
      </w:r>
      <w:r>
        <w:rPr>
          <w:szCs w:val="22"/>
        </w:rPr>
        <w:t xml:space="preserve">a </w:t>
      </w:r>
      <w:r w:rsidR="002439D9" w:rsidRPr="005B6364">
        <w:rPr>
          <w:szCs w:val="22"/>
        </w:rPr>
        <w:t>písomná informácia pre používateľa</w:t>
      </w:r>
      <w:r>
        <w:rPr>
          <w:szCs w:val="22"/>
        </w:rPr>
        <w:t xml:space="preserve"> v papierovej škatuli</w:t>
      </w:r>
      <w:r w:rsidR="002439D9" w:rsidRPr="005B6364">
        <w:rPr>
          <w:szCs w:val="22"/>
        </w:rPr>
        <w:t>. Každý blister obsahuje 15 tabliet.</w:t>
      </w:r>
    </w:p>
    <w:p w14:paraId="260E6010" w14:textId="77777777" w:rsidR="002439D9" w:rsidRPr="00D2656D" w:rsidRDefault="002439D9">
      <w:pPr>
        <w:ind w:left="0" w:firstLine="0"/>
        <w:rPr>
          <w:szCs w:val="22"/>
        </w:rPr>
      </w:pPr>
    </w:p>
    <w:p w14:paraId="108810AB" w14:textId="77777777" w:rsidR="002439D9" w:rsidRPr="00D2656D" w:rsidRDefault="002439D9">
      <w:pPr>
        <w:rPr>
          <w:szCs w:val="22"/>
        </w:rPr>
      </w:pPr>
      <w:r w:rsidRPr="00D2656D">
        <w:rPr>
          <w:szCs w:val="22"/>
        </w:rPr>
        <w:t xml:space="preserve">Veľkosť balenia: 1200 tabliet (klinické balenie). </w:t>
      </w:r>
    </w:p>
    <w:p w14:paraId="4EF43534" w14:textId="05B9C14F" w:rsidR="002439D9" w:rsidRPr="00AC4BA2" w:rsidRDefault="002439D9" w:rsidP="00A02AE3">
      <w:pPr>
        <w:ind w:left="0" w:firstLine="0"/>
        <w:rPr>
          <w:szCs w:val="22"/>
        </w:rPr>
      </w:pPr>
      <w:r w:rsidRPr="00D2656D">
        <w:rPr>
          <w:szCs w:val="22"/>
        </w:rPr>
        <w:t xml:space="preserve">PP </w:t>
      </w:r>
      <w:r w:rsidR="00B34312">
        <w:rPr>
          <w:szCs w:val="22"/>
        </w:rPr>
        <w:t>téglik</w:t>
      </w:r>
      <w:r w:rsidRPr="005B6364">
        <w:rPr>
          <w:szCs w:val="22"/>
        </w:rPr>
        <w:t xml:space="preserve"> s vekom</w:t>
      </w:r>
      <w:r w:rsidR="000B3CE7">
        <w:rPr>
          <w:szCs w:val="22"/>
        </w:rPr>
        <w:t>, držadlom</w:t>
      </w:r>
      <w:r w:rsidRPr="005B6364">
        <w:rPr>
          <w:szCs w:val="22"/>
        </w:rPr>
        <w:t xml:space="preserve"> </w:t>
      </w:r>
      <w:r w:rsidR="005B6364">
        <w:rPr>
          <w:szCs w:val="22"/>
        </w:rPr>
        <w:t xml:space="preserve">a </w:t>
      </w:r>
      <w:r w:rsidRPr="005B6364">
        <w:rPr>
          <w:szCs w:val="22"/>
        </w:rPr>
        <w:t>s etiketou, vnútorn</w:t>
      </w:r>
      <w:r w:rsidR="001A2861">
        <w:rPr>
          <w:szCs w:val="22"/>
        </w:rPr>
        <w:t>é</w:t>
      </w:r>
      <w:r w:rsidRPr="005B6364">
        <w:rPr>
          <w:szCs w:val="22"/>
        </w:rPr>
        <w:t xml:space="preserve"> dvojit</w:t>
      </w:r>
      <w:r w:rsidR="001A2861">
        <w:rPr>
          <w:szCs w:val="22"/>
        </w:rPr>
        <w:t>é</w:t>
      </w:r>
      <w:r w:rsidRPr="005B6364">
        <w:rPr>
          <w:szCs w:val="22"/>
        </w:rPr>
        <w:t xml:space="preserve"> PE </w:t>
      </w:r>
      <w:r w:rsidR="00AC4BA2">
        <w:rPr>
          <w:szCs w:val="22"/>
        </w:rPr>
        <w:t>vrecko</w:t>
      </w:r>
      <w:r w:rsidRPr="00AC4BA2">
        <w:rPr>
          <w:szCs w:val="22"/>
        </w:rPr>
        <w:t xml:space="preserve"> s</w:t>
      </w:r>
      <w:r w:rsidR="00DA3DCD">
        <w:rPr>
          <w:szCs w:val="22"/>
        </w:rPr>
        <w:t> </w:t>
      </w:r>
      <w:r w:rsidRPr="00AC4BA2">
        <w:rPr>
          <w:szCs w:val="22"/>
        </w:rPr>
        <w:t>etiketou</w:t>
      </w:r>
      <w:r w:rsidR="00DA3DCD">
        <w:rPr>
          <w:szCs w:val="22"/>
        </w:rPr>
        <w:t xml:space="preserve"> a písomnou informáciou pre používateľa</w:t>
      </w:r>
      <w:r w:rsidRPr="00AC4BA2">
        <w:rPr>
          <w:szCs w:val="22"/>
        </w:rPr>
        <w:t>.</w:t>
      </w:r>
    </w:p>
    <w:p w14:paraId="09A9F7DE" w14:textId="77777777" w:rsidR="002439D9" w:rsidRPr="00A02AE3" w:rsidRDefault="002439D9" w:rsidP="00A02AE3">
      <w:pPr>
        <w:ind w:left="0" w:firstLine="0"/>
        <w:rPr>
          <w:szCs w:val="22"/>
        </w:rPr>
      </w:pPr>
    </w:p>
    <w:p w14:paraId="5896A94F" w14:textId="77777777" w:rsidR="002439D9" w:rsidRPr="00D2656D" w:rsidRDefault="002439D9">
      <w:pPr>
        <w:rPr>
          <w:szCs w:val="22"/>
        </w:rPr>
      </w:pPr>
      <w:r w:rsidRPr="0008227B">
        <w:rPr>
          <w:szCs w:val="22"/>
        </w:rPr>
        <w:t>Na trh nemusia byť uvedené</w:t>
      </w:r>
      <w:r w:rsidRPr="00D2656D">
        <w:rPr>
          <w:noProof/>
          <w:szCs w:val="22"/>
        </w:rPr>
        <w:t xml:space="preserve"> </w:t>
      </w:r>
      <w:r w:rsidRPr="00D2656D">
        <w:rPr>
          <w:szCs w:val="22"/>
        </w:rPr>
        <w:t>všetky veľkosti balenia.</w:t>
      </w:r>
    </w:p>
    <w:p w14:paraId="26EA153E" w14:textId="77777777" w:rsidR="002439D9" w:rsidRPr="0008227B" w:rsidRDefault="002439D9">
      <w:pPr>
        <w:rPr>
          <w:szCs w:val="22"/>
        </w:rPr>
      </w:pPr>
    </w:p>
    <w:p w14:paraId="7D3DA152" w14:textId="77777777" w:rsidR="002439D9" w:rsidRPr="0008227B" w:rsidRDefault="002439D9">
      <w:pPr>
        <w:rPr>
          <w:b/>
          <w:bCs/>
          <w:noProof/>
          <w:szCs w:val="22"/>
        </w:rPr>
      </w:pPr>
      <w:r w:rsidRPr="00D2656D">
        <w:rPr>
          <w:b/>
          <w:szCs w:val="22"/>
        </w:rPr>
        <w:t>6.6</w:t>
      </w:r>
      <w:r w:rsidRPr="00D2656D">
        <w:rPr>
          <w:b/>
          <w:szCs w:val="22"/>
        </w:rPr>
        <w:tab/>
      </w:r>
      <w:r w:rsidRPr="0008227B">
        <w:rPr>
          <w:b/>
          <w:bCs/>
          <w:noProof/>
          <w:szCs w:val="22"/>
        </w:rPr>
        <w:t>Špeciálne opatrenia na likvidáciu</w:t>
      </w:r>
      <w:r w:rsidRPr="00D2656D">
        <w:rPr>
          <w:b/>
          <w:szCs w:val="22"/>
        </w:rPr>
        <w:t xml:space="preserve"> </w:t>
      </w:r>
      <w:r w:rsidRPr="0008227B">
        <w:rPr>
          <w:b/>
          <w:bCs/>
          <w:noProof/>
          <w:szCs w:val="22"/>
        </w:rPr>
        <w:t>a iné zaobchádzanie s liekom</w:t>
      </w:r>
    </w:p>
    <w:p w14:paraId="4062B0AA" w14:textId="77777777" w:rsidR="002439D9" w:rsidRPr="006C3F05" w:rsidRDefault="002439D9">
      <w:pPr>
        <w:rPr>
          <w:bCs/>
          <w:noProof/>
          <w:szCs w:val="22"/>
        </w:rPr>
      </w:pPr>
    </w:p>
    <w:p w14:paraId="25203690" w14:textId="77777777" w:rsidR="002439D9" w:rsidRPr="00D2656D" w:rsidRDefault="002439D9">
      <w:pPr>
        <w:ind w:left="0" w:firstLine="0"/>
        <w:rPr>
          <w:szCs w:val="22"/>
        </w:rPr>
      </w:pPr>
      <w:r w:rsidRPr="00D2656D">
        <w:rPr>
          <w:szCs w:val="22"/>
        </w:rPr>
        <w:t>Všetok nepoužitý liek alebo odpad vzniknutý z lieku sa má zlikvidovať v súlade s národnými požiadavkami.</w:t>
      </w:r>
    </w:p>
    <w:p w14:paraId="5FD9ECC1" w14:textId="77777777" w:rsidR="002439D9" w:rsidRPr="00D2656D" w:rsidRDefault="002439D9">
      <w:pPr>
        <w:rPr>
          <w:szCs w:val="22"/>
        </w:rPr>
      </w:pPr>
    </w:p>
    <w:p w14:paraId="465C9C07" w14:textId="77777777" w:rsidR="00704877" w:rsidRPr="00D2656D" w:rsidRDefault="00704877">
      <w:pPr>
        <w:rPr>
          <w:szCs w:val="22"/>
        </w:rPr>
      </w:pPr>
    </w:p>
    <w:p w14:paraId="69DA924E" w14:textId="77777777" w:rsidR="002439D9" w:rsidRPr="00D2656D" w:rsidRDefault="002439D9">
      <w:pPr>
        <w:rPr>
          <w:b/>
          <w:szCs w:val="22"/>
        </w:rPr>
      </w:pPr>
      <w:r w:rsidRPr="00D2656D">
        <w:rPr>
          <w:b/>
          <w:szCs w:val="22"/>
        </w:rPr>
        <w:t>7.</w:t>
      </w:r>
      <w:r w:rsidRPr="00D2656D">
        <w:rPr>
          <w:b/>
          <w:szCs w:val="22"/>
        </w:rPr>
        <w:tab/>
        <w:t>DRŽITEĽ ROZHODNUTIA O REGISTRÁCII</w:t>
      </w:r>
    </w:p>
    <w:p w14:paraId="012BAB68" w14:textId="77777777" w:rsidR="002439D9" w:rsidRPr="00D2656D" w:rsidRDefault="002439D9">
      <w:pPr>
        <w:rPr>
          <w:szCs w:val="22"/>
        </w:rPr>
      </w:pPr>
    </w:p>
    <w:p w14:paraId="035B6BEF" w14:textId="77777777" w:rsidR="002439D9" w:rsidRPr="00D2656D" w:rsidRDefault="002439D9">
      <w:pPr>
        <w:rPr>
          <w:szCs w:val="22"/>
        </w:rPr>
      </w:pPr>
      <w:r w:rsidRPr="00D2656D">
        <w:rPr>
          <w:szCs w:val="22"/>
        </w:rPr>
        <w:t>VULM s.r.o., Tuhovská 18, 831 06 Bratislava, Slovenská republika</w:t>
      </w:r>
    </w:p>
    <w:p w14:paraId="65485750" w14:textId="77777777" w:rsidR="002439D9" w:rsidRPr="00D2656D" w:rsidRDefault="002439D9">
      <w:pPr>
        <w:rPr>
          <w:szCs w:val="22"/>
        </w:rPr>
      </w:pPr>
      <w:r w:rsidRPr="00D2656D">
        <w:rPr>
          <w:szCs w:val="22"/>
        </w:rPr>
        <w:t>tel.: +421 2 32 181 111</w:t>
      </w:r>
    </w:p>
    <w:p w14:paraId="234A72D6" w14:textId="77777777" w:rsidR="002439D9" w:rsidRPr="00D2656D" w:rsidRDefault="002439D9">
      <w:pPr>
        <w:rPr>
          <w:szCs w:val="22"/>
        </w:rPr>
      </w:pPr>
      <w:r w:rsidRPr="00D2656D">
        <w:rPr>
          <w:szCs w:val="22"/>
        </w:rPr>
        <w:t>e-mail: info@vulm.sk</w:t>
      </w:r>
    </w:p>
    <w:p w14:paraId="7A243D00" w14:textId="77777777" w:rsidR="002439D9" w:rsidRPr="00D2656D" w:rsidRDefault="002439D9">
      <w:pPr>
        <w:rPr>
          <w:szCs w:val="22"/>
        </w:rPr>
      </w:pPr>
    </w:p>
    <w:p w14:paraId="5B453138" w14:textId="77777777" w:rsidR="002439D9" w:rsidRPr="00D2656D" w:rsidRDefault="002439D9">
      <w:pPr>
        <w:rPr>
          <w:szCs w:val="22"/>
        </w:rPr>
      </w:pPr>
    </w:p>
    <w:p w14:paraId="087E13E1" w14:textId="77777777" w:rsidR="002439D9" w:rsidRPr="00D2656D" w:rsidRDefault="002439D9">
      <w:pPr>
        <w:rPr>
          <w:b/>
          <w:szCs w:val="22"/>
        </w:rPr>
      </w:pPr>
      <w:r w:rsidRPr="00D2656D">
        <w:rPr>
          <w:b/>
          <w:szCs w:val="22"/>
        </w:rPr>
        <w:t>8.</w:t>
      </w:r>
      <w:r w:rsidRPr="00D2656D">
        <w:rPr>
          <w:b/>
          <w:szCs w:val="22"/>
        </w:rPr>
        <w:tab/>
        <w:t>REGISTRAČNÉ ČÍSLO</w:t>
      </w:r>
    </w:p>
    <w:p w14:paraId="67CD4CBE" w14:textId="77777777" w:rsidR="002439D9" w:rsidRPr="0008227B" w:rsidRDefault="002439D9">
      <w:pPr>
        <w:rPr>
          <w:szCs w:val="22"/>
        </w:rPr>
      </w:pPr>
    </w:p>
    <w:p w14:paraId="4A060318" w14:textId="445C5FF5" w:rsidR="002439D9" w:rsidRPr="006C3F05" w:rsidRDefault="007F1398">
      <w:pPr>
        <w:rPr>
          <w:i/>
          <w:iCs/>
          <w:szCs w:val="22"/>
        </w:rPr>
      </w:pPr>
      <w:r w:rsidRPr="007F1398">
        <w:rPr>
          <w:szCs w:val="22"/>
        </w:rPr>
        <w:t>39/0066/18-S</w:t>
      </w:r>
    </w:p>
    <w:p w14:paraId="63B1830A" w14:textId="77777777" w:rsidR="002439D9" w:rsidRPr="00D2656D" w:rsidRDefault="002439D9">
      <w:pPr>
        <w:rPr>
          <w:szCs w:val="22"/>
        </w:rPr>
      </w:pPr>
    </w:p>
    <w:p w14:paraId="2BFCEFE0" w14:textId="77777777" w:rsidR="002439D9" w:rsidRPr="00D2656D" w:rsidRDefault="002439D9">
      <w:pPr>
        <w:rPr>
          <w:szCs w:val="22"/>
        </w:rPr>
      </w:pPr>
    </w:p>
    <w:p w14:paraId="218B24AA" w14:textId="77777777" w:rsidR="002439D9" w:rsidRPr="00D2656D" w:rsidRDefault="002439D9">
      <w:pPr>
        <w:rPr>
          <w:b/>
          <w:szCs w:val="22"/>
        </w:rPr>
      </w:pPr>
      <w:r w:rsidRPr="00D2656D">
        <w:rPr>
          <w:b/>
          <w:szCs w:val="22"/>
        </w:rPr>
        <w:t>9.</w:t>
      </w:r>
      <w:r w:rsidRPr="00D2656D">
        <w:rPr>
          <w:b/>
          <w:szCs w:val="22"/>
        </w:rPr>
        <w:tab/>
        <w:t>DÁTUM PRVEJ REGISTRÁCIE/PREDĹŽENIA REGISTRÁCIE</w:t>
      </w:r>
    </w:p>
    <w:p w14:paraId="720A61C0" w14:textId="77777777" w:rsidR="002439D9" w:rsidRPr="00D2656D" w:rsidRDefault="002439D9">
      <w:pPr>
        <w:rPr>
          <w:szCs w:val="22"/>
        </w:rPr>
      </w:pPr>
    </w:p>
    <w:p w14:paraId="1354F458" w14:textId="77777777" w:rsidR="002439D9" w:rsidRPr="0008227B" w:rsidRDefault="002439D9">
      <w:pPr>
        <w:rPr>
          <w:noProof/>
          <w:szCs w:val="22"/>
        </w:rPr>
      </w:pPr>
      <w:r w:rsidRPr="0008227B">
        <w:rPr>
          <w:noProof/>
          <w:szCs w:val="22"/>
        </w:rPr>
        <w:t xml:space="preserve">Dátum prvej registrácie: </w:t>
      </w:r>
    </w:p>
    <w:p w14:paraId="3D2E9588" w14:textId="77777777" w:rsidR="002439D9" w:rsidRPr="00D2656D" w:rsidRDefault="002439D9">
      <w:pPr>
        <w:rPr>
          <w:szCs w:val="22"/>
        </w:rPr>
      </w:pPr>
    </w:p>
    <w:p w14:paraId="3F2B59C6" w14:textId="77777777" w:rsidR="002439D9" w:rsidRPr="00D2656D" w:rsidRDefault="002439D9">
      <w:pPr>
        <w:rPr>
          <w:szCs w:val="22"/>
        </w:rPr>
      </w:pPr>
    </w:p>
    <w:p w14:paraId="7D1FD2D3" w14:textId="77777777" w:rsidR="002439D9" w:rsidRPr="00D2656D" w:rsidRDefault="002439D9">
      <w:pPr>
        <w:rPr>
          <w:b/>
          <w:szCs w:val="22"/>
        </w:rPr>
      </w:pPr>
      <w:r w:rsidRPr="00D2656D">
        <w:rPr>
          <w:b/>
          <w:szCs w:val="22"/>
        </w:rPr>
        <w:t>10.</w:t>
      </w:r>
      <w:r w:rsidRPr="00D2656D">
        <w:rPr>
          <w:b/>
          <w:szCs w:val="22"/>
        </w:rPr>
        <w:tab/>
        <w:t>DÁTUM REVÍZIE TEXTU</w:t>
      </w:r>
    </w:p>
    <w:p w14:paraId="48E7D6F2" w14:textId="77777777" w:rsidR="002439D9" w:rsidRPr="00D2656D" w:rsidRDefault="002439D9">
      <w:pPr>
        <w:rPr>
          <w:szCs w:val="22"/>
        </w:rPr>
      </w:pPr>
    </w:p>
    <w:p w14:paraId="012DEA25" w14:textId="26DA1558" w:rsidR="002439D9" w:rsidRPr="001A2861" w:rsidRDefault="00C417B8">
      <w:pPr>
        <w:suppressLineNumbers/>
        <w:rPr>
          <w:szCs w:val="22"/>
        </w:rPr>
      </w:pPr>
      <w:r>
        <w:rPr>
          <w:noProof/>
          <w:szCs w:val="22"/>
        </w:rPr>
        <w:t>02</w:t>
      </w:r>
      <w:r w:rsidR="002439D9" w:rsidRPr="001A2861">
        <w:rPr>
          <w:noProof/>
          <w:szCs w:val="22"/>
        </w:rPr>
        <w:t>/201</w:t>
      </w:r>
      <w:r w:rsidR="001A2861">
        <w:rPr>
          <w:noProof/>
          <w:szCs w:val="22"/>
        </w:rPr>
        <w:t>8</w:t>
      </w:r>
    </w:p>
    <w:p w14:paraId="597C33F4" w14:textId="77777777" w:rsidR="002439D9" w:rsidRPr="00A02AE3" w:rsidRDefault="002439D9">
      <w:pPr>
        <w:rPr>
          <w:iCs/>
          <w:szCs w:val="22"/>
        </w:rPr>
      </w:pPr>
    </w:p>
    <w:p w14:paraId="0CE1FF6C" w14:textId="77777777" w:rsidR="002439D9" w:rsidRPr="00D2656D" w:rsidRDefault="002439D9">
      <w:pPr>
        <w:rPr>
          <w:szCs w:val="22"/>
        </w:rPr>
      </w:pPr>
    </w:p>
    <w:p w14:paraId="551080C4" w14:textId="4E7276D7" w:rsidR="002439D9" w:rsidRPr="00D2656D" w:rsidRDefault="002439D9" w:rsidP="005E5584">
      <w:pPr>
        <w:ind w:left="0" w:firstLine="0"/>
        <w:rPr>
          <w:b/>
          <w:szCs w:val="22"/>
        </w:rPr>
      </w:pPr>
      <w:r w:rsidRPr="00D2656D">
        <w:rPr>
          <w:noProof/>
          <w:szCs w:val="22"/>
        </w:rPr>
        <w:t>Podrobné informácie o tomto lieku sú dostupné na internetovej stránke Štátneho ústavu pre kontrolu liečiv (</w:t>
      </w:r>
      <w:hyperlink r:id="rId9" w:history="1">
        <w:r w:rsidR="00006C35" w:rsidRPr="00B35A2F">
          <w:rPr>
            <w:rStyle w:val="Hypertextovprepojenie"/>
            <w:rFonts w:eastAsia="Calibri"/>
            <w:lang w:eastAsia="en-US"/>
          </w:rPr>
          <w:t>www.sukl.sk</w:t>
        </w:r>
      </w:hyperlink>
      <w:r w:rsidRPr="00D2656D">
        <w:rPr>
          <w:noProof/>
          <w:szCs w:val="22"/>
        </w:rPr>
        <w:t>).</w:t>
      </w:r>
    </w:p>
    <w:p w14:paraId="7528B152" w14:textId="77777777" w:rsidR="001E06A5" w:rsidRPr="0008227B" w:rsidRDefault="001E06A5">
      <w:pPr>
        <w:rPr>
          <w:szCs w:val="22"/>
        </w:rPr>
      </w:pPr>
    </w:p>
    <w:sectPr w:rsidR="001E06A5" w:rsidRPr="0008227B" w:rsidSect="00D2656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C7294" w14:textId="77777777" w:rsidR="001E5868" w:rsidRDefault="001E5868">
      <w:r>
        <w:separator/>
      </w:r>
    </w:p>
  </w:endnote>
  <w:endnote w:type="continuationSeparator" w:id="0">
    <w:p w14:paraId="23A6B78F" w14:textId="77777777" w:rsidR="001E5868" w:rsidRDefault="001E5868">
      <w:r>
        <w:continuationSeparator/>
      </w:r>
    </w:p>
  </w:endnote>
  <w:endnote w:type="continuationNotice" w:id="1">
    <w:p w14:paraId="280FDDBB" w14:textId="77777777" w:rsidR="001E5868" w:rsidRDefault="001E5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491C8" w14:textId="77777777" w:rsidR="003B60E3" w:rsidRPr="00B13F68" w:rsidRDefault="00006C3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3B60E3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412E51">
      <w:rPr>
        <w:rStyle w:val="slostrany"/>
        <w:rFonts w:ascii="Times New Roman" w:hAnsi="Times New Roman"/>
        <w:sz w:val="18"/>
      </w:rPr>
      <w:fldChar w:fldCharType="begin"/>
    </w:r>
    <w:r w:rsidR="003B60E3" w:rsidRPr="00412E51">
      <w:rPr>
        <w:rStyle w:val="slostrany"/>
        <w:rFonts w:ascii="Times New Roman" w:hAnsi="Times New Roman"/>
        <w:sz w:val="18"/>
      </w:rPr>
      <w:instrText xml:space="preserve">PAGE  </w:instrText>
    </w:r>
    <w:r w:rsidRPr="00412E51">
      <w:rPr>
        <w:rStyle w:val="slostrany"/>
        <w:rFonts w:ascii="Times New Roman" w:hAnsi="Times New Roman"/>
        <w:sz w:val="18"/>
      </w:rPr>
      <w:fldChar w:fldCharType="separate"/>
    </w:r>
    <w:r w:rsidR="00094D0F">
      <w:rPr>
        <w:rStyle w:val="slostrany"/>
        <w:rFonts w:ascii="Times New Roman" w:hAnsi="Times New Roman"/>
        <w:noProof/>
        <w:sz w:val="18"/>
      </w:rPr>
      <w:t>2</w:t>
    </w:r>
    <w:r w:rsidRPr="00412E51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507BD" w14:textId="77777777" w:rsidR="003B60E3" w:rsidRDefault="00006C3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3B60E3">
      <w:instrText xml:space="preserve"> EQ </w:instrText>
    </w:r>
    <w:r>
      <w:fldChar w:fldCharType="end"/>
    </w:r>
    <w:r w:rsidRPr="0091700C">
      <w:rPr>
        <w:rStyle w:val="slostrany"/>
        <w:rFonts w:ascii="Times New Roman" w:hAnsi="Times New Roman"/>
        <w:sz w:val="18"/>
      </w:rPr>
      <w:fldChar w:fldCharType="begin"/>
    </w:r>
    <w:r w:rsidR="003B60E3" w:rsidRPr="0091700C">
      <w:rPr>
        <w:rStyle w:val="slostrany"/>
        <w:rFonts w:ascii="Times New Roman" w:hAnsi="Times New Roman"/>
        <w:sz w:val="18"/>
      </w:rPr>
      <w:instrText xml:space="preserve">PAGE  </w:instrText>
    </w:r>
    <w:r w:rsidRPr="0091700C">
      <w:rPr>
        <w:rStyle w:val="slostrany"/>
        <w:rFonts w:ascii="Times New Roman" w:hAnsi="Times New Roman"/>
        <w:sz w:val="18"/>
      </w:rPr>
      <w:fldChar w:fldCharType="separate"/>
    </w:r>
    <w:r w:rsidR="00094D0F">
      <w:rPr>
        <w:rStyle w:val="slostrany"/>
        <w:rFonts w:ascii="Times New Roman" w:hAnsi="Times New Roman"/>
        <w:noProof/>
        <w:sz w:val="18"/>
      </w:rPr>
      <w:t>1</w:t>
    </w:r>
    <w:r w:rsidRPr="0091700C">
      <w:rPr>
        <w:rStyle w:val="slostrany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F490E" w14:textId="77777777" w:rsidR="001E5868" w:rsidRDefault="001E5868">
      <w:r>
        <w:separator/>
      </w:r>
    </w:p>
  </w:footnote>
  <w:footnote w:type="continuationSeparator" w:id="0">
    <w:p w14:paraId="2DF31261" w14:textId="77777777" w:rsidR="001E5868" w:rsidRDefault="001E5868">
      <w:r>
        <w:continuationSeparator/>
      </w:r>
    </w:p>
  </w:footnote>
  <w:footnote w:type="continuationNotice" w:id="1">
    <w:p w14:paraId="795F5AE0" w14:textId="77777777" w:rsidR="001E5868" w:rsidRDefault="001E58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90BCD" w14:textId="77777777" w:rsidR="00B97040" w:rsidRDefault="003B60E3" w:rsidP="00B35A2F">
    <w:pPr>
      <w:ind w:left="0" w:firstLine="0"/>
      <w:rPr>
        <w:color w:val="000000"/>
        <w:sz w:val="18"/>
        <w:szCs w:val="18"/>
      </w:rPr>
    </w:pPr>
    <w:r w:rsidRPr="00594B4C">
      <w:rPr>
        <w:sz w:val="18"/>
        <w:szCs w:val="18"/>
      </w:rPr>
      <w:t xml:space="preserve">Schválený text k rozhodnutiu o registrácii, ev. č.: </w:t>
    </w:r>
    <w:r w:rsidRPr="004808E9">
      <w:rPr>
        <w:color w:val="000000"/>
        <w:sz w:val="18"/>
        <w:szCs w:val="18"/>
      </w:rPr>
      <w:t>2015/07411-REG</w:t>
    </w:r>
  </w:p>
  <w:p w14:paraId="1B769091" w14:textId="77777777" w:rsidR="00B97040" w:rsidRPr="00B35A2F" w:rsidRDefault="00B97040" w:rsidP="00B35A2F">
    <w:pPr>
      <w:ind w:left="0" w:firstLine="0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FB752" w14:textId="77777777" w:rsidR="003B60E3" w:rsidRPr="004808E9" w:rsidRDefault="003B60E3" w:rsidP="00E73427">
    <w:pPr>
      <w:ind w:left="0" w:firstLine="0"/>
      <w:rPr>
        <w:color w:val="000000"/>
        <w:sz w:val="18"/>
        <w:szCs w:val="18"/>
      </w:rPr>
    </w:pPr>
    <w:r w:rsidRPr="00594B4C">
      <w:rPr>
        <w:sz w:val="18"/>
        <w:szCs w:val="18"/>
      </w:rPr>
      <w:t xml:space="preserve">Schválený text k rozhodnutiu o registrácii, ev. č.: </w:t>
    </w:r>
    <w:r w:rsidRPr="004808E9">
      <w:rPr>
        <w:color w:val="000000"/>
        <w:sz w:val="18"/>
        <w:szCs w:val="18"/>
      </w:rPr>
      <w:t>2015/07411-REG</w:t>
    </w:r>
  </w:p>
  <w:p w14:paraId="1D389F01" w14:textId="77777777" w:rsidR="003B60E3" w:rsidRPr="004279DA" w:rsidRDefault="003B60E3">
    <w:pPr>
      <w:pStyle w:val="Hlavika"/>
      <w:rPr>
        <w:rFonts w:ascii="Times New Roman" w:hAnsi="Times New Roman"/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70D5"/>
    <w:multiLevelType w:val="hybridMultilevel"/>
    <w:tmpl w:val="F66AD50A"/>
    <w:lvl w:ilvl="0" w:tplc="67A21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D9"/>
    <w:rsid w:val="00001DD8"/>
    <w:rsid w:val="000049ED"/>
    <w:rsid w:val="00006C35"/>
    <w:rsid w:val="000078AA"/>
    <w:rsid w:val="00022691"/>
    <w:rsid w:val="00036BE9"/>
    <w:rsid w:val="00053885"/>
    <w:rsid w:val="00060177"/>
    <w:rsid w:val="0007038D"/>
    <w:rsid w:val="0008227B"/>
    <w:rsid w:val="00087951"/>
    <w:rsid w:val="00087F1F"/>
    <w:rsid w:val="00094269"/>
    <w:rsid w:val="00094D0F"/>
    <w:rsid w:val="000B1DC0"/>
    <w:rsid w:val="000B3CE7"/>
    <w:rsid w:val="000B5C1A"/>
    <w:rsid w:val="000B7C50"/>
    <w:rsid w:val="000D05D0"/>
    <w:rsid w:val="000D30A1"/>
    <w:rsid w:val="000F1DAD"/>
    <w:rsid w:val="00100719"/>
    <w:rsid w:val="0010441F"/>
    <w:rsid w:val="00104495"/>
    <w:rsid w:val="00104A74"/>
    <w:rsid w:val="00114606"/>
    <w:rsid w:val="0011724C"/>
    <w:rsid w:val="001230E0"/>
    <w:rsid w:val="00135682"/>
    <w:rsid w:val="00135D85"/>
    <w:rsid w:val="00135E09"/>
    <w:rsid w:val="0013625A"/>
    <w:rsid w:val="00141D46"/>
    <w:rsid w:val="00180939"/>
    <w:rsid w:val="001841A5"/>
    <w:rsid w:val="0019116E"/>
    <w:rsid w:val="001A120A"/>
    <w:rsid w:val="001A18A5"/>
    <w:rsid w:val="001A2861"/>
    <w:rsid w:val="001A4549"/>
    <w:rsid w:val="001A45D0"/>
    <w:rsid w:val="001C1F03"/>
    <w:rsid w:val="001C2253"/>
    <w:rsid w:val="001C7976"/>
    <w:rsid w:val="001D0DF5"/>
    <w:rsid w:val="001D23B8"/>
    <w:rsid w:val="001D4A9C"/>
    <w:rsid w:val="001E06A5"/>
    <w:rsid w:val="001E0C9A"/>
    <w:rsid w:val="001E5868"/>
    <w:rsid w:val="001F2D9D"/>
    <w:rsid w:val="001F4E49"/>
    <w:rsid w:val="001F6223"/>
    <w:rsid w:val="002035F1"/>
    <w:rsid w:val="00204F4E"/>
    <w:rsid w:val="00225038"/>
    <w:rsid w:val="00227C3D"/>
    <w:rsid w:val="00233F61"/>
    <w:rsid w:val="002439D9"/>
    <w:rsid w:val="00247E04"/>
    <w:rsid w:val="00261BBE"/>
    <w:rsid w:val="00264F59"/>
    <w:rsid w:val="00274377"/>
    <w:rsid w:val="00280AA0"/>
    <w:rsid w:val="00281068"/>
    <w:rsid w:val="00293F5E"/>
    <w:rsid w:val="002A6D9B"/>
    <w:rsid w:val="002C2918"/>
    <w:rsid w:val="002C53D4"/>
    <w:rsid w:val="002D26D4"/>
    <w:rsid w:val="002D29D3"/>
    <w:rsid w:val="002D3821"/>
    <w:rsid w:val="002D5EB7"/>
    <w:rsid w:val="002E1B55"/>
    <w:rsid w:val="002E21A3"/>
    <w:rsid w:val="002E59A4"/>
    <w:rsid w:val="002F05C5"/>
    <w:rsid w:val="002F4016"/>
    <w:rsid w:val="002F47AF"/>
    <w:rsid w:val="002F577A"/>
    <w:rsid w:val="00300B75"/>
    <w:rsid w:val="00306605"/>
    <w:rsid w:val="00307164"/>
    <w:rsid w:val="00334789"/>
    <w:rsid w:val="00337252"/>
    <w:rsid w:val="00337B96"/>
    <w:rsid w:val="00344E77"/>
    <w:rsid w:val="00344EF3"/>
    <w:rsid w:val="00360E95"/>
    <w:rsid w:val="00371DC5"/>
    <w:rsid w:val="00375F38"/>
    <w:rsid w:val="003B37DD"/>
    <w:rsid w:val="003B60E3"/>
    <w:rsid w:val="003C7ADE"/>
    <w:rsid w:val="003D1A07"/>
    <w:rsid w:val="003D1F38"/>
    <w:rsid w:val="003D5986"/>
    <w:rsid w:val="003E700C"/>
    <w:rsid w:val="003F1D8E"/>
    <w:rsid w:val="003F6A5F"/>
    <w:rsid w:val="00406108"/>
    <w:rsid w:val="00416136"/>
    <w:rsid w:val="00416BF4"/>
    <w:rsid w:val="004347E5"/>
    <w:rsid w:val="00437A55"/>
    <w:rsid w:val="00440751"/>
    <w:rsid w:val="00463E4C"/>
    <w:rsid w:val="00466281"/>
    <w:rsid w:val="004766E8"/>
    <w:rsid w:val="004808E9"/>
    <w:rsid w:val="00483933"/>
    <w:rsid w:val="00495A93"/>
    <w:rsid w:val="004A05BF"/>
    <w:rsid w:val="004A61D2"/>
    <w:rsid w:val="004C0B82"/>
    <w:rsid w:val="004C384A"/>
    <w:rsid w:val="004C4A8C"/>
    <w:rsid w:val="004D10D3"/>
    <w:rsid w:val="004D474F"/>
    <w:rsid w:val="004D763C"/>
    <w:rsid w:val="004D7E87"/>
    <w:rsid w:val="004E45D5"/>
    <w:rsid w:val="004E6A02"/>
    <w:rsid w:val="005005C2"/>
    <w:rsid w:val="00503BD2"/>
    <w:rsid w:val="00507AD5"/>
    <w:rsid w:val="00514734"/>
    <w:rsid w:val="005151E7"/>
    <w:rsid w:val="0052104F"/>
    <w:rsid w:val="00525851"/>
    <w:rsid w:val="0053004F"/>
    <w:rsid w:val="00531C48"/>
    <w:rsid w:val="005350E8"/>
    <w:rsid w:val="005410CF"/>
    <w:rsid w:val="005562F2"/>
    <w:rsid w:val="0056183F"/>
    <w:rsid w:val="00567CD8"/>
    <w:rsid w:val="00585346"/>
    <w:rsid w:val="00593749"/>
    <w:rsid w:val="00594B4C"/>
    <w:rsid w:val="0059505A"/>
    <w:rsid w:val="005954AA"/>
    <w:rsid w:val="005A172E"/>
    <w:rsid w:val="005A45D0"/>
    <w:rsid w:val="005B3953"/>
    <w:rsid w:val="005B4F07"/>
    <w:rsid w:val="005B6364"/>
    <w:rsid w:val="005B7CB6"/>
    <w:rsid w:val="005C5AC0"/>
    <w:rsid w:val="005D69CD"/>
    <w:rsid w:val="005E5584"/>
    <w:rsid w:val="005F078A"/>
    <w:rsid w:val="0060578A"/>
    <w:rsid w:val="00621F92"/>
    <w:rsid w:val="00622E48"/>
    <w:rsid w:val="0062526A"/>
    <w:rsid w:val="00636FBB"/>
    <w:rsid w:val="00646FC5"/>
    <w:rsid w:val="0067476F"/>
    <w:rsid w:val="006831DE"/>
    <w:rsid w:val="006975CA"/>
    <w:rsid w:val="006A6D3B"/>
    <w:rsid w:val="006B0AD7"/>
    <w:rsid w:val="006B2543"/>
    <w:rsid w:val="006B2BDC"/>
    <w:rsid w:val="006B5CD3"/>
    <w:rsid w:val="006C27E8"/>
    <w:rsid w:val="006C3F05"/>
    <w:rsid w:val="006E0441"/>
    <w:rsid w:val="006E2391"/>
    <w:rsid w:val="006F7FE2"/>
    <w:rsid w:val="00704877"/>
    <w:rsid w:val="007050EB"/>
    <w:rsid w:val="007201C4"/>
    <w:rsid w:val="007227C4"/>
    <w:rsid w:val="00722F2B"/>
    <w:rsid w:val="0072603C"/>
    <w:rsid w:val="00727DA6"/>
    <w:rsid w:val="00735680"/>
    <w:rsid w:val="00737AE8"/>
    <w:rsid w:val="007829EB"/>
    <w:rsid w:val="00794F26"/>
    <w:rsid w:val="007A1013"/>
    <w:rsid w:val="007A28BF"/>
    <w:rsid w:val="007B20CB"/>
    <w:rsid w:val="007F1398"/>
    <w:rsid w:val="007F67A5"/>
    <w:rsid w:val="00804D8B"/>
    <w:rsid w:val="0082681E"/>
    <w:rsid w:val="0084541F"/>
    <w:rsid w:val="00847B8D"/>
    <w:rsid w:val="0085005C"/>
    <w:rsid w:val="0085332F"/>
    <w:rsid w:val="00863CAF"/>
    <w:rsid w:val="00872646"/>
    <w:rsid w:val="00892583"/>
    <w:rsid w:val="00892E4E"/>
    <w:rsid w:val="008A342E"/>
    <w:rsid w:val="008A3C50"/>
    <w:rsid w:val="008B3485"/>
    <w:rsid w:val="008B4AF6"/>
    <w:rsid w:val="008C3C62"/>
    <w:rsid w:val="008F0F0F"/>
    <w:rsid w:val="008F1557"/>
    <w:rsid w:val="008F72B6"/>
    <w:rsid w:val="009056E4"/>
    <w:rsid w:val="00906BAE"/>
    <w:rsid w:val="00906BC8"/>
    <w:rsid w:val="00924A85"/>
    <w:rsid w:val="00927578"/>
    <w:rsid w:val="00933958"/>
    <w:rsid w:val="00934989"/>
    <w:rsid w:val="009453B7"/>
    <w:rsid w:val="0095017B"/>
    <w:rsid w:val="009736AB"/>
    <w:rsid w:val="00973C6E"/>
    <w:rsid w:val="009747C5"/>
    <w:rsid w:val="0097514D"/>
    <w:rsid w:val="00975EE1"/>
    <w:rsid w:val="00990FD3"/>
    <w:rsid w:val="009955C4"/>
    <w:rsid w:val="00996C7E"/>
    <w:rsid w:val="009A093B"/>
    <w:rsid w:val="009A285D"/>
    <w:rsid w:val="009B01CB"/>
    <w:rsid w:val="009B1E40"/>
    <w:rsid w:val="009B2DD0"/>
    <w:rsid w:val="009D2CC0"/>
    <w:rsid w:val="009D5784"/>
    <w:rsid w:val="009D7CDD"/>
    <w:rsid w:val="00A02AE3"/>
    <w:rsid w:val="00A04537"/>
    <w:rsid w:val="00A12A9B"/>
    <w:rsid w:val="00A168C8"/>
    <w:rsid w:val="00A2108B"/>
    <w:rsid w:val="00A25472"/>
    <w:rsid w:val="00A278EB"/>
    <w:rsid w:val="00A30347"/>
    <w:rsid w:val="00A37601"/>
    <w:rsid w:val="00A445E0"/>
    <w:rsid w:val="00A478E3"/>
    <w:rsid w:val="00A507BD"/>
    <w:rsid w:val="00A50E96"/>
    <w:rsid w:val="00A520A1"/>
    <w:rsid w:val="00A674DE"/>
    <w:rsid w:val="00A731B5"/>
    <w:rsid w:val="00A86A91"/>
    <w:rsid w:val="00A90776"/>
    <w:rsid w:val="00A9528A"/>
    <w:rsid w:val="00AB61D6"/>
    <w:rsid w:val="00AC4BA2"/>
    <w:rsid w:val="00AD3E66"/>
    <w:rsid w:val="00AE0DE3"/>
    <w:rsid w:val="00AF08B3"/>
    <w:rsid w:val="00AF2EDA"/>
    <w:rsid w:val="00B02994"/>
    <w:rsid w:val="00B06F47"/>
    <w:rsid w:val="00B12277"/>
    <w:rsid w:val="00B15694"/>
    <w:rsid w:val="00B17F7A"/>
    <w:rsid w:val="00B2642F"/>
    <w:rsid w:val="00B34312"/>
    <w:rsid w:val="00B34636"/>
    <w:rsid w:val="00B35A2F"/>
    <w:rsid w:val="00B37DC6"/>
    <w:rsid w:val="00B46369"/>
    <w:rsid w:val="00B518A9"/>
    <w:rsid w:val="00B52AE9"/>
    <w:rsid w:val="00B647D8"/>
    <w:rsid w:val="00B65CDA"/>
    <w:rsid w:val="00B70BD3"/>
    <w:rsid w:val="00B92807"/>
    <w:rsid w:val="00B955FD"/>
    <w:rsid w:val="00B96895"/>
    <w:rsid w:val="00B968B5"/>
    <w:rsid w:val="00B97040"/>
    <w:rsid w:val="00BA3C2C"/>
    <w:rsid w:val="00BB2002"/>
    <w:rsid w:val="00BC236C"/>
    <w:rsid w:val="00BD2DE0"/>
    <w:rsid w:val="00BD3200"/>
    <w:rsid w:val="00BD3572"/>
    <w:rsid w:val="00BD452C"/>
    <w:rsid w:val="00BD6E5F"/>
    <w:rsid w:val="00BE0AC5"/>
    <w:rsid w:val="00C05AD4"/>
    <w:rsid w:val="00C143CC"/>
    <w:rsid w:val="00C1488D"/>
    <w:rsid w:val="00C16F29"/>
    <w:rsid w:val="00C22327"/>
    <w:rsid w:val="00C24F45"/>
    <w:rsid w:val="00C34126"/>
    <w:rsid w:val="00C35631"/>
    <w:rsid w:val="00C417B8"/>
    <w:rsid w:val="00C43AF8"/>
    <w:rsid w:val="00C46CFB"/>
    <w:rsid w:val="00C7329A"/>
    <w:rsid w:val="00C73537"/>
    <w:rsid w:val="00C821CF"/>
    <w:rsid w:val="00C82987"/>
    <w:rsid w:val="00C87DBE"/>
    <w:rsid w:val="00C910DB"/>
    <w:rsid w:val="00CA1481"/>
    <w:rsid w:val="00CA5FA2"/>
    <w:rsid w:val="00CA783D"/>
    <w:rsid w:val="00CB4062"/>
    <w:rsid w:val="00CB6CCB"/>
    <w:rsid w:val="00CC422C"/>
    <w:rsid w:val="00CC6430"/>
    <w:rsid w:val="00CE2451"/>
    <w:rsid w:val="00CF1F84"/>
    <w:rsid w:val="00D17670"/>
    <w:rsid w:val="00D2656D"/>
    <w:rsid w:val="00D3412E"/>
    <w:rsid w:val="00D6636C"/>
    <w:rsid w:val="00D713D9"/>
    <w:rsid w:val="00D73FA7"/>
    <w:rsid w:val="00D7711B"/>
    <w:rsid w:val="00D835D3"/>
    <w:rsid w:val="00D859D8"/>
    <w:rsid w:val="00DA26FD"/>
    <w:rsid w:val="00DA3DCD"/>
    <w:rsid w:val="00DC0EC9"/>
    <w:rsid w:val="00DC3F20"/>
    <w:rsid w:val="00DC4427"/>
    <w:rsid w:val="00DC75ED"/>
    <w:rsid w:val="00DD042F"/>
    <w:rsid w:val="00DD3D77"/>
    <w:rsid w:val="00DE01A5"/>
    <w:rsid w:val="00DE4D93"/>
    <w:rsid w:val="00DF1063"/>
    <w:rsid w:val="00E0338E"/>
    <w:rsid w:val="00E12BE3"/>
    <w:rsid w:val="00E20043"/>
    <w:rsid w:val="00E27B0F"/>
    <w:rsid w:val="00E305EC"/>
    <w:rsid w:val="00E61B0F"/>
    <w:rsid w:val="00E635A1"/>
    <w:rsid w:val="00E65F66"/>
    <w:rsid w:val="00E73427"/>
    <w:rsid w:val="00E755B8"/>
    <w:rsid w:val="00E75FB2"/>
    <w:rsid w:val="00E90E88"/>
    <w:rsid w:val="00E92924"/>
    <w:rsid w:val="00E92DF9"/>
    <w:rsid w:val="00EA1A1C"/>
    <w:rsid w:val="00EA30D3"/>
    <w:rsid w:val="00EA6A62"/>
    <w:rsid w:val="00EB3FB9"/>
    <w:rsid w:val="00EB68FC"/>
    <w:rsid w:val="00EB6E9F"/>
    <w:rsid w:val="00EB7B80"/>
    <w:rsid w:val="00ED6CC7"/>
    <w:rsid w:val="00EE52CB"/>
    <w:rsid w:val="00EF5622"/>
    <w:rsid w:val="00F039B2"/>
    <w:rsid w:val="00F03C4C"/>
    <w:rsid w:val="00F12205"/>
    <w:rsid w:val="00F3027E"/>
    <w:rsid w:val="00F31BBE"/>
    <w:rsid w:val="00F34920"/>
    <w:rsid w:val="00F42CF0"/>
    <w:rsid w:val="00F4772B"/>
    <w:rsid w:val="00F5036F"/>
    <w:rsid w:val="00F56D44"/>
    <w:rsid w:val="00F70693"/>
    <w:rsid w:val="00F773C7"/>
    <w:rsid w:val="00F81E21"/>
    <w:rsid w:val="00F83BC3"/>
    <w:rsid w:val="00F915C7"/>
    <w:rsid w:val="00F91C28"/>
    <w:rsid w:val="00FA3F3A"/>
    <w:rsid w:val="00FA6BA9"/>
    <w:rsid w:val="00FC3847"/>
    <w:rsid w:val="00FC4BE5"/>
    <w:rsid w:val="00FC712B"/>
    <w:rsid w:val="00FD6D17"/>
    <w:rsid w:val="00FD7018"/>
    <w:rsid w:val="00FE4010"/>
    <w:rsid w:val="00FE55CD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E0D7508-3985-4B22-AE3B-08FFB060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9D9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2439D9"/>
  </w:style>
  <w:style w:type="paragraph" w:styleId="Pta">
    <w:name w:val="footer"/>
    <w:basedOn w:val="Normlny"/>
    <w:link w:val="PtaChar"/>
    <w:rsid w:val="002439D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2439D9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2439D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2439D9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2439D9"/>
    <w:rPr>
      <w:color w:val="0000FF"/>
      <w:u w:val="single"/>
    </w:rPr>
  </w:style>
  <w:style w:type="paragraph" w:customStyle="1" w:styleId="EMEAEnBodyText">
    <w:name w:val="EMEA En Body Text"/>
    <w:basedOn w:val="Normlny"/>
    <w:rsid w:val="002439D9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2439D9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2439D9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semiHidden/>
    <w:rsid w:val="002439D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439D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439D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2439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rsid w:val="002439D9"/>
  </w:style>
  <w:style w:type="paragraph" w:styleId="Textbubliny">
    <w:name w:val="Balloon Text"/>
    <w:basedOn w:val="Normlny"/>
    <w:link w:val="TextbublinyChar"/>
    <w:uiPriority w:val="99"/>
    <w:semiHidden/>
    <w:unhideWhenUsed/>
    <w:rsid w:val="002439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9D9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7D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7DB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4D763C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468E-8D44-472F-934A-F740C3F9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Mózes, Iveta</dc:creator>
  <cp:lastModifiedBy>Lacková, Beáta</cp:lastModifiedBy>
  <cp:revision>11</cp:revision>
  <cp:lastPrinted>2017-11-15T12:19:00Z</cp:lastPrinted>
  <dcterms:created xsi:type="dcterms:W3CDTF">2018-02-14T12:25:00Z</dcterms:created>
  <dcterms:modified xsi:type="dcterms:W3CDTF">2018-02-15T15:49:00Z</dcterms:modified>
</cp:coreProperties>
</file>