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B4D27" w14:textId="284CB77B" w:rsidR="001643CD" w:rsidRPr="00C45747" w:rsidRDefault="001643CD" w:rsidP="006C46CB">
      <w:pPr>
        <w:pStyle w:val="Nzov"/>
        <w:rPr>
          <w:rFonts w:ascii="Times New Roman" w:hAnsi="Times New Roman"/>
          <w:caps/>
          <w:sz w:val="22"/>
          <w:szCs w:val="22"/>
        </w:rPr>
      </w:pPr>
      <w:r w:rsidRPr="00C45747">
        <w:rPr>
          <w:rFonts w:ascii="Times New Roman" w:hAnsi="Times New Roman"/>
          <w:caps/>
          <w:sz w:val="22"/>
          <w:szCs w:val="22"/>
        </w:rPr>
        <w:t>Súhrn charakteristických vlastností lieku</w:t>
      </w:r>
    </w:p>
    <w:p w14:paraId="252B80AD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</w:p>
    <w:p w14:paraId="10F42679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</w:p>
    <w:p w14:paraId="01749739" w14:textId="77777777" w:rsidR="001643CD" w:rsidRPr="00C45747" w:rsidRDefault="001643CD" w:rsidP="006C46CB">
      <w:pPr>
        <w:rPr>
          <w:rFonts w:ascii="Times New Roman" w:hAnsi="Times New Roman"/>
          <w:b/>
          <w:caps/>
          <w:sz w:val="22"/>
          <w:szCs w:val="22"/>
        </w:rPr>
      </w:pPr>
      <w:r w:rsidRPr="00C45747">
        <w:rPr>
          <w:rFonts w:ascii="Times New Roman" w:hAnsi="Times New Roman"/>
          <w:b/>
          <w:caps/>
          <w:sz w:val="22"/>
          <w:szCs w:val="22"/>
        </w:rPr>
        <w:t>1.</w:t>
      </w:r>
      <w:r w:rsidRPr="00C45747">
        <w:rPr>
          <w:rFonts w:ascii="Times New Roman" w:hAnsi="Times New Roman"/>
          <w:b/>
          <w:caps/>
          <w:sz w:val="22"/>
          <w:szCs w:val="22"/>
        </w:rPr>
        <w:tab/>
        <w:t>Názov lieku</w:t>
      </w:r>
    </w:p>
    <w:p w14:paraId="70DA2013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7B0D65D9" w14:textId="72FCCF7C" w:rsidR="0055613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Aspirin </w:t>
      </w:r>
      <w:r>
        <w:rPr>
          <w:rFonts w:ascii="Times New Roman" w:hAnsi="Times New Roman"/>
          <w:sz w:val="22"/>
          <w:szCs w:val="22"/>
        </w:rPr>
        <w:t xml:space="preserve">Express </w:t>
      </w:r>
      <w:r w:rsidR="0055613D" w:rsidRPr="00C45747">
        <w:rPr>
          <w:rFonts w:ascii="Times New Roman" w:hAnsi="Times New Roman"/>
          <w:sz w:val="22"/>
          <w:szCs w:val="22"/>
        </w:rPr>
        <w:t>500 mg obalené tablety</w:t>
      </w:r>
    </w:p>
    <w:p w14:paraId="6010C00C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7DA47E06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2A839B13" w14:textId="77777777" w:rsidR="001643CD" w:rsidRPr="00C45747" w:rsidRDefault="001643CD" w:rsidP="006C46CB">
      <w:pPr>
        <w:rPr>
          <w:rFonts w:ascii="Times New Roman" w:hAnsi="Times New Roman"/>
          <w:b/>
          <w:caps/>
          <w:sz w:val="22"/>
          <w:szCs w:val="22"/>
        </w:rPr>
      </w:pPr>
      <w:r w:rsidRPr="00C45747">
        <w:rPr>
          <w:rFonts w:ascii="Times New Roman" w:hAnsi="Times New Roman"/>
          <w:b/>
          <w:caps/>
          <w:sz w:val="22"/>
          <w:szCs w:val="22"/>
        </w:rPr>
        <w:t>2.</w:t>
      </w:r>
      <w:r w:rsidRPr="00C45747">
        <w:rPr>
          <w:rFonts w:ascii="Times New Roman" w:hAnsi="Times New Roman"/>
          <w:b/>
          <w:caps/>
          <w:sz w:val="22"/>
          <w:szCs w:val="22"/>
        </w:rPr>
        <w:tab/>
        <w:t xml:space="preserve">Kvalitatívne a kvantitatívne zloženie </w:t>
      </w:r>
    </w:p>
    <w:p w14:paraId="15E0FB27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730FB313" w14:textId="01083325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Jedna obalená tableta obsahuje 500 mg </w:t>
      </w:r>
      <w:r w:rsidR="00CA57D0">
        <w:rPr>
          <w:rFonts w:ascii="Times New Roman" w:hAnsi="Times New Roman"/>
          <w:sz w:val="22"/>
          <w:szCs w:val="22"/>
        </w:rPr>
        <w:t>kyseliny acety</w:t>
      </w:r>
      <w:r>
        <w:rPr>
          <w:rFonts w:ascii="Times New Roman" w:hAnsi="Times New Roman"/>
          <w:sz w:val="22"/>
          <w:szCs w:val="22"/>
        </w:rPr>
        <w:t>lsalicylovej.</w:t>
      </w:r>
    </w:p>
    <w:p w14:paraId="3C55CAAD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  <w:u w:val="single"/>
        </w:rPr>
        <w:t xml:space="preserve">Pomocná látka </w:t>
      </w:r>
      <w:r w:rsidRPr="00C45747">
        <w:rPr>
          <w:rFonts w:ascii="Times New Roman" w:hAnsi="Times New Roman"/>
          <w:noProof/>
          <w:sz w:val="22"/>
          <w:szCs w:val="22"/>
          <w:u w:val="single"/>
        </w:rPr>
        <w:t>so známym účinkom</w:t>
      </w:r>
      <w:r w:rsidRPr="00C45747">
        <w:rPr>
          <w:rFonts w:ascii="Times New Roman" w:hAnsi="Times New Roman"/>
          <w:sz w:val="22"/>
          <w:szCs w:val="22"/>
          <w:u w:val="single"/>
        </w:rPr>
        <w:t>:</w:t>
      </w:r>
      <w:r w:rsidRPr="00C45747">
        <w:rPr>
          <w:rFonts w:ascii="Times New Roman" w:hAnsi="Times New Roman"/>
          <w:sz w:val="22"/>
          <w:szCs w:val="22"/>
        </w:rPr>
        <w:t xml:space="preserve"> 1 obalená tableta obsahuje 3 mmol (72 mg) sodíka.</w:t>
      </w:r>
    </w:p>
    <w:p w14:paraId="424D228B" w14:textId="77777777" w:rsidR="001643CD" w:rsidRPr="00C45747" w:rsidRDefault="001643CD" w:rsidP="006C46CB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</w:rPr>
      </w:pPr>
    </w:p>
    <w:p w14:paraId="24330437" w14:textId="77777777" w:rsidR="001643CD" w:rsidRPr="00C45747" w:rsidRDefault="001643CD" w:rsidP="006C46CB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Úplný zoznam pomocných látok, pozri časť 6.1.</w:t>
      </w:r>
    </w:p>
    <w:p w14:paraId="54358407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2416D66A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1B2C5A21" w14:textId="77777777" w:rsidR="001643CD" w:rsidRPr="00C45747" w:rsidRDefault="001643CD" w:rsidP="006C46CB">
      <w:pPr>
        <w:rPr>
          <w:rFonts w:ascii="Times New Roman" w:hAnsi="Times New Roman"/>
          <w:caps/>
          <w:sz w:val="22"/>
          <w:szCs w:val="22"/>
        </w:rPr>
      </w:pPr>
      <w:r w:rsidRPr="00C45747">
        <w:rPr>
          <w:rFonts w:ascii="Times New Roman" w:hAnsi="Times New Roman"/>
          <w:b/>
          <w:caps/>
          <w:sz w:val="22"/>
          <w:szCs w:val="22"/>
        </w:rPr>
        <w:t>3.</w:t>
      </w:r>
      <w:r w:rsidRPr="00C45747">
        <w:rPr>
          <w:rFonts w:ascii="Times New Roman" w:hAnsi="Times New Roman"/>
          <w:b/>
          <w:caps/>
          <w:sz w:val="22"/>
          <w:szCs w:val="22"/>
        </w:rPr>
        <w:tab/>
        <w:t>Lieková forma</w:t>
      </w:r>
    </w:p>
    <w:p w14:paraId="0F8A719E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4D3574C4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Obalená tableta.</w:t>
      </w:r>
    </w:p>
    <w:p w14:paraId="16CD7027" w14:textId="329EB3DC" w:rsidR="001643CD" w:rsidRPr="00C45747" w:rsidRDefault="001643CD" w:rsidP="006C46CB">
      <w:pPr>
        <w:pStyle w:val="Default"/>
        <w:rPr>
          <w:sz w:val="22"/>
          <w:szCs w:val="22"/>
        </w:rPr>
      </w:pPr>
      <w:r w:rsidRPr="00C45747">
        <w:rPr>
          <w:sz w:val="22"/>
          <w:szCs w:val="22"/>
        </w:rPr>
        <w:t>Biele až takmer biele, guľaté, bikonvexné</w:t>
      </w:r>
      <w:r w:rsidR="00B750A8">
        <w:rPr>
          <w:sz w:val="22"/>
          <w:szCs w:val="22"/>
        </w:rPr>
        <w:t>,</w:t>
      </w:r>
      <w:r w:rsidRPr="00C45747">
        <w:rPr>
          <w:sz w:val="22"/>
          <w:szCs w:val="22"/>
        </w:rPr>
        <w:t xml:space="preserve"> obalené tablety s priemerom 12 mm, na jednej strane majú vyryté "BA 500" a na druhej strane </w:t>
      </w:r>
      <w:r w:rsidR="007B2BF1">
        <w:rPr>
          <w:sz w:val="22"/>
          <w:szCs w:val="22"/>
        </w:rPr>
        <w:t xml:space="preserve">kríž spoločnosti </w:t>
      </w:r>
      <w:r w:rsidRPr="00C45747">
        <w:rPr>
          <w:sz w:val="22"/>
          <w:szCs w:val="22"/>
        </w:rPr>
        <w:t>Bayer.</w:t>
      </w:r>
    </w:p>
    <w:p w14:paraId="62543FB0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551C33A1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35F58885" w14:textId="77777777" w:rsidR="001643CD" w:rsidRPr="00C45747" w:rsidRDefault="001643CD" w:rsidP="006C46CB">
      <w:pPr>
        <w:rPr>
          <w:rFonts w:ascii="Times New Roman" w:hAnsi="Times New Roman"/>
          <w:b/>
          <w:caps/>
          <w:sz w:val="22"/>
          <w:szCs w:val="22"/>
        </w:rPr>
      </w:pPr>
      <w:r w:rsidRPr="00C45747">
        <w:rPr>
          <w:rFonts w:ascii="Times New Roman" w:hAnsi="Times New Roman"/>
          <w:b/>
          <w:caps/>
          <w:sz w:val="22"/>
          <w:szCs w:val="22"/>
        </w:rPr>
        <w:t>4.</w:t>
      </w:r>
      <w:r w:rsidRPr="00C45747">
        <w:rPr>
          <w:rFonts w:ascii="Times New Roman" w:hAnsi="Times New Roman"/>
          <w:b/>
          <w:caps/>
          <w:sz w:val="22"/>
          <w:szCs w:val="22"/>
        </w:rPr>
        <w:tab/>
        <w:t>Klinické údaje</w:t>
      </w:r>
    </w:p>
    <w:p w14:paraId="278338C6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</w:p>
    <w:p w14:paraId="7025D154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  <w:r w:rsidRPr="00C45747">
        <w:rPr>
          <w:rFonts w:ascii="Times New Roman" w:hAnsi="Times New Roman"/>
          <w:b/>
          <w:sz w:val="22"/>
          <w:szCs w:val="22"/>
        </w:rPr>
        <w:t>4.1</w:t>
      </w:r>
      <w:r w:rsidRPr="00C45747">
        <w:rPr>
          <w:rFonts w:ascii="Times New Roman" w:hAnsi="Times New Roman"/>
          <w:b/>
          <w:sz w:val="22"/>
          <w:szCs w:val="22"/>
        </w:rPr>
        <w:tab/>
        <w:t>Terapeutické indikácie</w:t>
      </w:r>
    </w:p>
    <w:p w14:paraId="75DC75B4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259C73B4" w14:textId="3DA7CD3D" w:rsidR="001643CD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Aspirin </w:t>
      </w:r>
      <w:r>
        <w:rPr>
          <w:rFonts w:ascii="Times New Roman" w:hAnsi="Times New Roman"/>
          <w:sz w:val="22"/>
          <w:szCs w:val="22"/>
        </w:rPr>
        <w:t>Express</w:t>
      </w:r>
      <w:r w:rsidRPr="00C45747">
        <w:rPr>
          <w:rFonts w:ascii="Times New Roman" w:hAnsi="Times New Roman"/>
          <w:sz w:val="22"/>
          <w:szCs w:val="22"/>
        </w:rPr>
        <w:t xml:space="preserve"> sa používa pri miernych až stredne silných bolestiach, napr. bolestiach hlavy, zubov, svalov, kĺbov alebo menštruačných bolestiach a pri horúčke a zápaloch.</w:t>
      </w:r>
    </w:p>
    <w:p w14:paraId="7E0F76DC" w14:textId="77777777" w:rsidR="001643CD" w:rsidRDefault="001643CD" w:rsidP="006C46CB">
      <w:pPr>
        <w:rPr>
          <w:rFonts w:ascii="Times New Roman" w:hAnsi="Times New Roman"/>
          <w:sz w:val="22"/>
          <w:szCs w:val="22"/>
        </w:rPr>
      </w:pPr>
    </w:p>
    <w:p w14:paraId="324FD826" w14:textId="69796C78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Aspirin Express je indikovaný dospelým a </w:t>
      </w:r>
      <w:r w:rsidRPr="004815E7">
        <w:rPr>
          <w:rFonts w:ascii="Times New Roman" w:hAnsi="Times New Roman"/>
          <w:sz w:val="22"/>
          <w:szCs w:val="22"/>
        </w:rPr>
        <w:t xml:space="preserve">dospievajúcim </w:t>
      </w:r>
      <w:r w:rsidR="00381A79" w:rsidRPr="004815E7">
        <w:rPr>
          <w:rFonts w:ascii="Times New Roman" w:hAnsi="Times New Roman"/>
          <w:sz w:val="22"/>
          <w:szCs w:val="22"/>
        </w:rPr>
        <w:t xml:space="preserve">vo veku </w:t>
      </w:r>
      <w:r w:rsidRPr="004815E7">
        <w:rPr>
          <w:rFonts w:ascii="Times New Roman" w:hAnsi="Times New Roman"/>
          <w:sz w:val="22"/>
          <w:szCs w:val="22"/>
        </w:rPr>
        <w:t>16</w:t>
      </w:r>
      <w:r w:rsidR="00381A79" w:rsidRPr="004815E7">
        <w:rPr>
          <w:rFonts w:ascii="Times New Roman" w:hAnsi="Times New Roman"/>
          <w:sz w:val="22"/>
          <w:szCs w:val="22"/>
        </w:rPr>
        <w:t xml:space="preserve"> rokov</w:t>
      </w:r>
      <w:r w:rsidRPr="004815E7">
        <w:rPr>
          <w:rFonts w:ascii="Times New Roman" w:hAnsi="Times New Roman"/>
          <w:sz w:val="22"/>
          <w:szCs w:val="22"/>
        </w:rPr>
        <w:t xml:space="preserve"> a</w:t>
      </w:r>
      <w:r>
        <w:rPr>
          <w:rFonts w:ascii="Times New Roman" w:hAnsi="Times New Roman"/>
          <w:sz w:val="22"/>
          <w:szCs w:val="22"/>
        </w:rPr>
        <w:t> starším.</w:t>
      </w:r>
    </w:p>
    <w:p w14:paraId="3C23F7F5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  <w:u w:val="single"/>
        </w:rPr>
      </w:pPr>
    </w:p>
    <w:p w14:paraId="4AEC36CA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  <w:r w:rsidRPr="00C45747">
        <w:rPr>
          <w:rFonts w:ascii="Times New Roman" w:hAnsi="Times New Roman"/>
          <w:b/>
          <w:sz w:val="22"/>
          <w:szCs w:val="22"/>
        </w:rPr>
        <w:t>4.2</w:t>
      </w:r>
      <w:r w:rsidRPr="00C45747">
        <w:rPr>
          <w:rFonts w:ascii="Times New Roman" w:hAnsi="Times New Roman"/>
          <w:b/>
          <w:sz w:val="22"/>
          <w:szCs w:val="22"/>
        </w:rPr>
        <w:tab/>
        <w:t>Dávkovanie a spôsob podávania</w:t>
      </w:r>
    </w:p>
    <w:p w14:paraId="62FEB37B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60385631" w14:textId="77777777" w:rsidR="001643CD" w:rsidRPr="00C45747" w:rsidRDefault="001643CD" w:rsidP="006C46CB">
      <w:pPr>
        <w:pStyle w:val="StandardohneAbstand"/>
        <w:rPr>
          <w:rFonts w:ascii="Times New Roman" w:hAnsi="Times New Roman"/>
          <w:sz w:val="22"/>
          <w:szCs w:val="22"/>
          <w:u w:val="single"/>
          <w:lang w:val="sk-SK"/>
        </w:rPr>
      </w:pPr>
      <w:r w:rsidRPr="00C45747">
        <w:rPr>
          <w:rFonts w:ascii="Times New Roman" w:hAnsi="Times New Roman"/>
          <w:sz w:val="22"/>
          <w:szCs w:val="22"/>
          <w:u w:val="single"/>
          <w:lang w:val="sk-SK"/>
        </w:rPr>
        <w:t>Dávkovanie</w:t>
      </w:r>
      <w:r w:rsidR="00CA09B2">
        <w:rPr>
          <w:rFonts w:ascii="Times New Roman" w:hAnsi="Times New Roman"/>
          <w:sz w:val="22"/>
          <w:szCs w:val="22"/>
          <w:u w:val="single"/>
          <w:lang w:val="sk-SK"/>
        </w:rPr>
        <w:t xml:space="preserve"> </w:t>
      </w:r>
    </w:p>
    <w:p w14:paraId="6C4F6DD7" w14:textId="77777777" w:rsidR="001643CD" w:rsidRPr="00C45747" w:rsidRDefault="001643CD" w:rsidP="006C46CB">
      <w:pPr>
        <w:pStyle w:val="StandardohneAbstand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3E35BB5B" w14:textId="72432EE0" w:rsidR="001643CD" w:rsidRPr="00C45747" w:rsidRDefault="001643CD" w:rsidP="006C46CB">
      <w:pPr>
        <w:pStyle w:val="StandardohneAbstand"/>
        <w:rPr>
          <w:rFonts w:ascii="Times New Roman" w:hAnsi="Times New Roman"/>
          <w:sz w:val="22"/>
          <w:szCs w:val="22"/>
          <w:lang w:val="sk-SK"/>
        </w:rPr>
      </w:pPr>
      <w:r w:rsidRPr="00C45747">
        <w:rPr>
          <w:rFonts w:ascii="Times New Roman" w:hAnsi="Times New Roman"/>
          <w:sz w:val="22"/>
          <w:szCs w:val="22"/>
          <w:lang w:val="sk-SK"/>
        </w:rPr>
        <w:t xml:space="preserve">Kyselina acetylsalicylová sa nesmie užívať dlhšie </w:t>
      </w:r>
      <w:r w:rsidR="006E4C0A">
        <w:rPr>
          <w:rFonts w:ascii="Times New Roman" w:hAnsi="Times New Roman"/>
          <w:sz w:val="22"/>
          <w:szCs w:val="22"/>
          <w:lang w:val="sk-SK"/>
        </w:rPr>
        <w:t>ako</w:t>
      </w:r>
      <w:r w:rsidRPr="00C45747">
        <w:rPr>
          <w:rFonts w:ascii="Times New Roman" w:hAnsi="Times New Roman"/>
          <w:sz w:val="22"/>
          <w:szCs w:val="22"/>
          <w:lang w:val="sk-SK"/>
        </w:rPr>
        <w:t xml:space="preserve"> 3 – 5 dní bez konzultácie s lekárom. </w:t>
      </w:r>
    </w:p>
    <w:p w14:paraId="2E615B6A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67FCC4AD" w14:textId="77777777" w:rsidR="00CA09B2" w:rsidRPr="00F264DE" w:rsidRDefault="00381A79" w:rsidP="006C46CB">
      <w:pPr>
        <w:rPr>
          <w:rFonts w:ascii="Times New Roman" w:hAnsi="Times New Roman"/>
          <w:i/>
          <w:sz w:val="22"/>
          <w:szCs w:val="22"/>
          <w:u w:val="single"/>
        </w:rPr>
      </w:pPr>
      <w:r w:rsidRPr="00F264DE">
        <w:rPr>
          <w:rFonts w:ascii="Times New Roman" w:hAnsi="Times New Roman"/>
          <w:i/>
          <w:sz w:val="22"/>
          <w:szCs w:val="22"/>
          <w:u w:val="single"/>
        </w:rPr>
        <w:t xml:space="preserve">Dospelí a dospievajúci </w:t>
      </w:r>
      <w:r w:rsidR="00CA09B2" w:rsidRPr="00F264DE">
        <w:rPr>
          <w:rFonts w:ascii="Times New Roman" w:hAnsi="Times New Roman"/>
          <w:i/>
          <w:sz w:val="22"/>
          <w:szCs w:val="22"/>
          <w:u w:val="single"/>
        </w:rPr>
        <w:t xml:space="preserve">vo veku </w:t>
      </w:r>
      <w:r w:rsidRPr="00F264DE">
        <w:rPr>
          <w:rFonts w:ascii="Times New Roman" w:hAnsi="Times New Roman"/>
          <w:i/>
          <w:sz w:val="22"/>
          <w:szCs w:val="22"/>
          <w:u w:val="single"/>
        </w:rPr>
        <w:t>16 rokov</w:t>
      </w:r>
      <w:r w:rsidR="00CA09B2" w:rsidRPr="00F264DE">
        <w:rPr>
          <w:rFonts w:ascii="Times New Roman" w:hAnsi="Times New Roman"/>
          <w:i/>
          <w:sz w:val="22"/>
          <w:szCs w:val="22"/>
          <w:u w:val="single"/>
        </w:rPr>
        <w:t xml:space="preserve"> a starší</w:t>
      </w:r>
    </w:p>
    <w:p w14:paraId="67121283" w14:textId="16FBA334" w:rsidR="001643CD" w:rsidRPr="00C45747" w:rsidRDefault="00CA09B2" w:rsidP="006C46C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</w:t>
      </w:r>
      <w:r w:rsidR="001643CD" w:rsidRPr="00C45747">
        <w:rPr>
          <w:rFonts w:ascii="Times New Roman" w:hAnsi="Times New Roman"/>
          <w:sz w:val="22"/>
          <w:szCs w:val="22"/>
        </w:rPr>
        <w:t>ednorazová dávka</w:t>
      </w:r>
      <w:r>
        <w:rPr>
          <w:rFonts w:ascii="Times New Roman" w:hAnsi="Times New Roman"/>
          <w:sz w:val="22"/>
          <w:szCs w:val="22"/>
        </w:rPr>
        <w:t xml:space="preserve"> je</w:t>
      </w:r>
      <w:r w:rsidR="001643CD" w:rsidRPr="00C45747">
        <w:rPr>
          <w:rFonts w:ascii="Times New Roman" w:hAnsi="Times New Roman"/>
          <w:sz w:val="22"/>
          <w:szCs w:val="22"/>
        </w:rPr>
        <w:t xml:space="preserve"> 1 až 2 tablety (500 až 1</w:t>
      </w:r>
      <w:r w:rsidR="005901F2">
        <w:rPr>
          <w:rFonts w:ascii="Times New Roman" w:hAnsi="Times New Roman"/>
          <w:sz w:val="22"/>
          <w:szCs w:val="22"/>
        </w:rPr>
        <w:t xml:space="preserve"> </w:t>
      </w:r>
      <w:r w:rsidR="001643CD" w:rsidRPr="00C45747">
        <w:rPr>
          <w:rFonts w:ascii="Times New Roman" w:hAnsi="Times New Roman"/>
          <w:sz w:val="22"/>
          <w:szCs w:val="22"/>
        </w:rPr>
        <w:t xml:space="preserve">000 mg </w:t>
      </w:r>
      <w:r w:rsidR="00BA59F6">
        <w:rPr>
          <w:rFonts w:ascii="Times New Roman" w:hAnsi="Times New Roman"/>
          <w:sz w:val="22"/>
          <w:szCs w:val="22"/>
        </w:rPr>
        <w:t>kyseliny acetylsalicylovej</w:t>
      </w:r>
      <w:r w:rsidR="001643CD" w:rsidRPr="00C45747">
        <w:rPr>
          <w:rFonts w:ascii="Times New Roman" w:hAnsi="Times New Roman"/>
          <w:sz w:val="22"/>
          <w:szCs w:val="22"/>
        </w:rPr>
        <w:t>).</w:t>
      </w:r>
    </w:p>
    <w:p w14:paraId="3B5D1A7C" w14:textId="5FBBF62C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Maximálna denná dávka 8 tabliet (4 g </w:t>
      </w:r>
      <w:r w:rsidR="00BA59F6">
        <w:rPr>
          <w:rFonts w:ascii="Times New Roman" w:hAnsi="Times New Roman"/>
          <w:sz w:val="22"/>
          <w:szCs w:val="22"/>
        </w:rPr>
        <w:t xml:space="preserve">kyseliny </w:t>
      </w:r>
      <w:r w:rsidR="00BA59F6" w:rsidRPr="00351B27">
        <w:rPr>
          <w:rFonts w:ascii="Times New Roman" w:hAnsi="Times New Roman"/>
          <w:sz w:val="22"/>
          <w:szCs w:val="22"/>
        </w:rPr>
        <w:t>acetylsalicylovej</w:t>
      </w:r>
      <w:r w:rsidRPr="00351B27">
        <w:rPr>
          <w:rFonts w:ascii="Times New Roman" w:hAnsi="Times New Roman"/>
          <w:sz w:val="22"/>
          <w:szCs w:val="22"/>
        </w:rPr>
        <w:t xml:space="preserve">) sa nesmie prekročiť. V prípade potreby sa môže </w:t>
      </w:r>
      <w:r w:rsidR="001224E3" w:rsidRPr="00351B27">
        <w:rPr>
          <w:rFonts w:ascii="Times New Roman" w:hAnsi="Times New Roman"/>
          <w:sz w:val="22"/>
          <w:szCs w:val="22"/>
        </w:rPr>
        <w:t xml:space="preserve">jednorazová </w:t>
      </w:r>
      <w:r w:rsidRPr="00351B27">
        <w:rPr>
          <w:rFonts w:ascii="Times New Roman" w:hAnsi="Times New Roman"/>
          <w:sz w:val="22"/>
          <w:szCs w:val="22"/>
        </w:rPr>
        <w:t>dávka opakovať 3</w:t>
      </w:r>
      <w:r w:rsidR="006C46CB" w:rsidRPr="00351B27">
        <w:rPr>
          <w:rFonts w:ascii="Times New Roman" w:hAnsi="Times New Roman"/>
          <w:sz w:val="22"/>
          <w:szCs w:val="22"/>
        </w:rPr>
        <w:t>-</w:t>
      </w:r>
      <w:r w:rsidR="000C0EBD" w:rsidRPr="00351B27">
        <w:rPr>
          <w:rFonts w:ascii="Times New Roman" w:hAnsi="Times New Roman"/>
          <w:sz w:val="22"/>
          <w:szCs w:val="22"/>
        </w:rPr>
        <w:t xml:space="preserve"> až 4-krát denne s odstupom</w:t>
      </w:r>
      <w:r w:rsidRPr="00351B27">
        <w:rPr>
          <w:rFonts w:ascii="Times New Roman" w:hAnsi="Times New Roman"/>
          <w:sz w:val="22"/>
          <w:szCs w:val="22"/>
        </w:rPr>
        <w:t xml:space="preserve"> 4 až 8 hodín.</w:t>
      </w:r>
    </w:p>
    <w:p w14:paraId="7DCDDA4A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5D3C4184" w14:textId="77777777" w:rsidR="001643CD" w:rsidRDefault="00381A79" w:rsidP="006C46CB">
      <w:pPr>
        <w:rPr>
          <w:rFonts w:ascii="Times New Roman" w:hAnsi="Times New Roman"/>
          <w:i/>
          <w:sz w:val="22"/>
          <w:szCs w:val="22"/>
          <w:u w:val="single"/>
        </w:rPr>
      </w:pPr>
      <w:r w:rsidRPr="004815E7">
        <w:rPr>
          <w:rFonts w:ascii="Times New Roman" w:hAnsi="Times New Roman"/>
          <w:i/>
          <w:sz w:val="22"/>
          <w:szCs w:val="22"/>
          <w:u w:val="single"/>
        </w:rPr>
        <w:t xml:space="preserve">Pediatrická populácia </w:t>
      </w:r>
    </w:p>
    <w:p w14:paraId="1044C337" w14:textId="208C311F" w:rsidR="001643CD" w:rsidRPr="00C45747" w:rsidRDefault="001643CD" w:rsidP="006C46CB">
      <w:pPr>
        <w:pStyle w:val="StandardohneAbstand"/>
        <w:rPr>
          <w:rFonts w:ascii="Times New Roman" w:hAnsi="Times New Roman"/>
          <w:sz w:val="22"/>
          <w:szCs w:val="22"/>
          <w:lang w:val="sk-SK"/>
        </w:rPr>
      </w:pPr>
      <w:r w:rsidRPr="009D0A42">
        <w:rPr>
          <w:rFonts w:ascii="Times New Roman" w:hAnsi="Times New Roman"/>
          <w:sz w:val="22"/>
          <w:szCs w:val="22"/>
        </w:rPr>
        <w:t>Kyselina acetylsalicylová sa nemá používať u</w:t>
      </w:r>
      <w:r>
        <w:rPr>
          <w:rFonts w:ascii="Times New Roman" w:hAnsi="Times New Roman"/>
          <w:sz w:val="22"/>
          <w:szCs w:val="22"/>
        </w:rPr>
        <w:t> </w:t>
      </w:r>
      <w:r w:rsidRPr="009D0A42">
        <w:rPr>
          <w:rFonts w:ascii="Times New Roman" w:hAnsi="Times New Roman"/>
          <w:sz w:val="22"/>
          <w:szCs w:val="22"/>
        </w:rPr>
        <w:t>detí</w:t>
      </w:r>
      <w:r>
        <w:rPr>
          <w:rFonts w:ascii="Times New Roman" w:hAnsi="Times New Roman"/>
          <w:sz w:val="22"/>
          <w:szCs w:val="22"/>
        </w:rPr>
        <w:t xml:space="preserve"> a </w:t>
      </w:r>
      <w:r w:rsidR="001224E3">
        <w:rPr>
          <w:rFonts w:ascii="Times New Roman" w:hAnsi="Times New Roman"/>
          <w:sz w:val="22"/>
          <w:szCs w:val="22"/>
        </w:rPr>
        <w:t>dospievajúcich</w:t>
      </w:r>
      <w:r w:rsidRPr="009D0A42">
        <w:rPr>
          <w:rFonts w:ascii="Times New Roman" w:hAnsi="Times New Roman"/>
          <w:sz w:val="22"/>
          <w:szCs w:val="22"/>
        </w:rPr>
        <w:t xml:space="preserve"> mladších ako </w:t>
      </w:r>
      <w:r>
        <w:rPr>
          <w:rFonts w:ascii="Times New Roman" w:hAnsi="Times New Roman"/>
          <w:sz w:val="22"/>
          <w:szCs w:val="22"/>
        </w:rPr>
        <w:t>16</w:t>
      </w:r>
      <w:r w:rsidRPr="009D0A42">
        <w:rPr>
          <w:rFonts w:ascii="Times New Roman" w:hAnsi="Times New Roman"/>
          <w:sz w:val="22"/>
          <w:szCs w:val="22"/>
        </w:rPr>
        <w:t xml:space="preserve"> rokov </w:t>
      </w:r>
      <w:r w:rsidR="00B3661C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pozri časť 4.4</w:t>
      </w:r>
      <w:r w:rsidRPr="009D0A42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</w:t>
      </w:r>
      <w:r w:rsidRPr="009D0A4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3901CBE7" w14:textId="77777777" w:rsidR="001643CD" w:rsidRDefault="001643CD" w:rsidP="006C46CB">
      <w:pPr>
        <w:rPr>
          <w:rFonts w:ascii="Times New Roman" w:hAnsi="Times New Roman"/>
          <w:b/>
          <w:sz w:val="22"/>
          <w:szCs w:val="22"/>
        </w:rPr>
      </w:pPr>
    </w:p>
    <w:p w14:paraId="14F83C3B" w14:textId="77777777" w:rsidR="001643CD" w:rsidRDefault="001643CD" w:rsidP="006C46CB">
      <w:pPr>
        <w:rPr>
          <w:rFonts w:ascii="Times New Roman" w:hAnsi="Times New Roman"/>
          <w:i/>
          <w:sz w:val="22"/>
          <w:szCs w:val="22"/>
          <w:u w:val="single"/>
        </w:rPr>
      </w:pPr>
      <w:r>
        <w:rPr>
          <w:rFonts w:ascii="Times New Roman" w:hAnsi="Times New Roman"/>
          <w:i/>
          <w:sz w:val="22"/>
          <w:szCs w:val="22"/>
          <w:u w:val="single"/>
        </w:rPr>
        <w:t>Starší pacienti (vo veku 65 rokov a starší)</w:t>
      </w:r>
    </w:p>
    <w:p w14:paraId="23F6F737" w14:textId="408B0947" w:rsidR="001643CD" w:rsidRDefault="001224E3" w:rsidP="006C46CB">
      <w:pPr>
        <w:rPr>
          <w:rFonts w:ascii="Times New Roman" w:hAnsi="Times New Roman"/>
          <w:sz w:val="22"/>
          <w:szCs w:val="22"/>
        </w:rPr>
      </w:pPr>
      <w:r w:rsidRPr="001224E3">
        <w:rPr>
          <w:rFonts w:ascii="Times New Roman" w:hAnsi="Times New Roman"/>
          <w:sz w:val="22"/>
          <w:szCs w:val="22"/>
        </w:rPr>
        <w:t xml:space="preserve">Ako jednorazová dávka sa užíva 1 tableta podľa potreby, </w:t>
      </w:r>
      <w:r w:rsidR="00EA4107">
        <w:rPr>
          <w:rFonts w:ascii="Times New Roman" w:hAnsi="Times New Roman"/>
          <w:sz w:val="22"/>
          <w:szCs w:val="22"/>
        </w:rPr>
        <w:t>s odstupom najmenej</w:t>
      </w:r>
      <w:r w:rsidRPr="001224E3">
        <w:rPr>
          <w:rFonts w:ascii="Times New Roman" w:hAnsi="Times New Roman"/>
          <w:sz w:val="22"/>
          <w:szCs w:val="22"/>
        </w:rPr>
        <w:t xml:space="preserve"> 4 hodín</w:t>
      </w:r>
      <w:r w:rsidR="001643CD">
        <w:rPr>
          <w:rFonts w:ascii="Times New Roman" w:hAnsi="Times New Roman"/>
          <w:sz w:val="22"/>
          <w:szCs w:val="22"/>
        </w:rPr>
        <w:t xml:space="preserve">. </w:t>
      </w:r>
      <w:r w:rsidR="00381A79" w:rsidRPr="004815E7">
        <w:rPr>
          <w:rFonts w:ascii="Times New Roman" w:hAnsi="Times New Roman"/>
          <w:sz w:val="22"/>
          <w:szCs w:val="22"/>
        </w:rPr>
        <w:t xml:space="preserve">Maximálna denná dávka by nemala </w:t>
      </w:r>
      <w:r w:rsidR="001643CD" w:rsidRPr="004815E7">
        <w:rPr>
          <w:rFonts w:ascii="Times New Roman" w:hAnsi="Times New Roman"/>
          <w:sz w:val="22"/>
          <w:szCs w:val="22"/>
        </w:rPr>
        <w:t>prekročiť</w:t>
      </w:r>
      <w:r w:rsidR="00381A79" w:rsidRPr="004815E7">
        <w:rPr>
          <w:rFonts w:ascii="Times New Roman" w:hAnsi="Times New Roman"/>
          <w:sz w:val="22"/>
          <w:szCs w:val="22"/>
        </w:rPr>
        <w:t xml:space="preserve"> 4 tablety.</w:t>
      </w:r>
    </w:p>
    <w:p w14:paraId="5476BC31" w14:textId="77777777" w:rsidR="00A20913" w:rsidRDefault="00A20913" w:rsidP="006C46CB">
      <w:pPr>
        <w:rPr>
          <w:rFonts w:ascii="Times New Roman" w:hAnsi="Times New Roman"/>
          <w:sz w:val="22"/>
          <w:szCs w:val="22"/>
        </w:rPr>
      </w:pPr>
    </w:p>
    <w:p w14:paraId="6A1E7B04" w14:textId="77777777" w:rsidR="00A20913" w:rsidRPr="007B1A03" w:rsidRDefault="00A20913" w:rsidP="006C46CB">
      <w:pPr>
        <w:rPr>
          <w:rFonts w:ascii="Times New Roman" w:hAnsi="Times New Roman"/>
          <w:i/>
          <w:sz w:val="22"/>
          <w:szCs w:val="22"/>
          <w:u w:val="single"/>
        </w:rPr>
      </w:pPr>
      <w:r w:rsidRPr="007B1A03">
        <w:rPr>
          <w:rFonts w:ascii="Times New Roman" w:hAnsi="Times New Roman"/>
          <w:i/>
          <w:sz w:val="22"/>
          <w:szCs w:val="22"/>
          <w:u w:val="single"/>
        </w:rPr>
        <w:t xml:space="preserve">Porucha funkcie pečene, </w:t>
      </w:r>
      <w:r w:rsidR="00381A79" w:rsidRPr="007B1A03">
        <w:rPr>
          <w:rFonts w:ascii="Times New Roman" w:hAnsi="Times New Roman"/>
          <w:i/>
          <w:sz w:val="22"/>
          <w:szCs w:val="22"/>
          <w:u w:val="single"/>
        </w:rPr>
        <w:t>obličiek</w:t>
      </w:r>
      <w:r w:rsidRPr="007B1A03">
        <w:rPr>
          <w:rFonts w:ascii="Times New Roman" w:hAnsi="Times New Roman"/>
          <w:i/>
          <w:sz w:val="22"/>
          <w:szCs w:val="22"/>
          <w:u w:val="single"/>
        </w:rPr>
        <w:t xml:space="preserve"> a obehového systému</w:t>
      </w:r>
    </w:p>
    <w:p w14:paraId="2E6232C7" w14:textId="77F97ECE" w:rsidR="001643CD" w:rsidRDefault="001643CD" w:rsidP="006C46CB">
      <w:pPr>
        <w:rPr>
          <w:rFonts w:ascii="Times New Roman" w:hAnsi="Times New Roman"/>
          <w:sz w:val="22"/>
          <w:szCs w:val="22"/>
        </w:rPr>
      </w:pPr>
      <w:r w:rsidRPr="008F510C">
        <w:rPr>
          <w:rFonts w:ascii="Times New Roman" w:hAnsi="Times New Roman"/>
          <w:sz w:val="22"/>
          <w:szCs w:val="22"/>
        </w:rPr>
        <w:t>Kys</w:t>
      </w:r>
      <w:r>
        <w:rPr>
          <w:rFonts w:ascii="Times New Roman" w:hAnsi="Times New Roman"/>
          <w:sz w:val="22"/>
          <w:szCs w:val="22"/>
        </w:rPr>
        <w:t>elina acetysalicylová sa má užívať</w:t>
      </w:r>
      <w:r w:rsidRPr="008F510C">
        <w:rPr>
          <w:rFonts w:ascii="Times New Roman" w:hAnsi="Times New Roman"/>
          <w:sz w:val="22"/>
          <w:szCs w:val="22"/>
        </w:rPr>
        <w:t xml:space="preserve"> s opatrnosťou u pacientov s poruchou funkcie pečene</w:t>
      </w:r>
      <w:r w:rsidR="00381A79" w:rsidRPr="004815E7">
        <w:rPr>
          <w:rFonts w:ascii="Times New Roman" w:hAnsi="Times New Roman"/>
          <w:sz w:val="22"/>
          <w:szCs w:val="22"/>
        </w:rPr>
        <w:t xml:space="preserve">, </w:t>
      </w:r>
      <w:r w:rsidRPr="008F510C">
        <w:rPr>
          <w:rFonts w:ascii="Times New Roman" w:hAnsi="Times New Roman"/>
          <w:sz w:val="22"/>
          <w:szCs w:val="22"/>
        </w:rPr>
        <w:t>obličiek alebo cirkulácie</w:t>
      </w:r>
      <w:r w:rsidR="00903E71">
        <w:rPr>
          <w:rFonts w:ascii="Times New Roman" w:hAnsi="Times New Roman"/>
          <w:sz w:val="22"/>
          <w:szCs w:val="22"/>
        </w:rPr>
        <w:t xml:space="preserve"> (pozri časti</w:t>
      </w:r>
      <w:r w:rsidR="00A20913">
        <w:rPr>
          <w:rFonts w:ascii="Times New Roman" w:hAnsi="Times New Roman"/>
          <w:sz w:val="22"/>
          <w:szCs w:val="22"/>
        </w:rPr>
        <w:t xml:space="preserve"> </w:t>
      </w:r>
      <w:r w:rsidR="003E3BBB">
        <w:rPr>
          <w:rFonts w:ascii="Times New Roman" w:hAnsi="Times New Roman"/>
          <w:sz w:val="22"/>
          <w:szCs w:val="22"/>
        </w:rPr>
        <w:t xml:space="preserve">4.3 a </w:t>
      </w:r>
      <w:r w:rsidR="00A20913">
        <w:rPr>
          <w:rFonts w:ascii="Times New Roman" w:hAnsi="Times New Roman"/>
          <w:sz w:val="22"/>
          <w:szCs w:val="22"/>
        </w:rPr>
        <w:t>4.4)</w:t>
      </w:r>
      <w:r w:rsidRPr="008F510C">
        <w:rPr>
          <w:rFonts w:ascii="Times New Roman" w:hAnsi="Times New Roman"/>
          <w:sz w:val="22"/>
          <w:szCs w:val="22"/>
        </w:rPr>
        <w:t>.</w:t>
      </w:r>
    </w:p>
    <w:p w14:paraId="0842CC78" w14:textId="77777777" w:rsidR="001643CD" w:rsidRPr="004815E7" w:rsidRDefault="001643CD" w:rsidP="006C46CB">
      <w:pPr>
        <w:rPr>
          <w:rFonts w:ascii="Times New Roman" w:hAnsi="Times New Roman"/>
          <w:sz w:val="22"/>
          <w:szCs w:val="22"/>
        </w:rPr>
      </w:pPr>
    </w:p>
    <w:p w14:paraId="06486BAD" w14:textId="674DA3B0" w:rsidR="001643CD" w:rsidRPr="001A66E7" w:rsidRDefault="001643CD" w:rsidP="001A66E7">
      <w:pPr>
        <w:rPr>
          <w:rFonts w:ascii="Times New Roman" w:hAnsi="Times New Roman"/>
          <w:sz w:val="22"/>
          <w:szCs w:val="22"/>
          <w:u w:val="single"/>
        </w:rPr>
      </w:pPr>
      <w:r w:rsidRPr="00C45747">
        <w:rPr>
          <w:rFonts w:ascii="Times New Roman" w:hAnsi="Times New Roman"/>
          <w:sz w:val="22"/>
          <w:szCs w:val="22"/>
          <w:u w:val="single"/>
        </w:rPr>
        <w:lastRenderedPageBreak/>
        <w:t>Spôsob podávania</w:t>
      </w:r>
    </w:p>
    <w:p w14:paraId="2357901C" w14:textId="2804A1EC" w:rsidR="001643CD" w:rsidRPr="00C45747" w:rsidRDefault="001A66E7" w:rsidP="006C46CB">
      <w:pPr>
        <w:pStyle w:val="StandardohneAbstand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="001643CD" w:rsidRPr="00C45747">
        <w:rPr>
          <w:rFonts w:ascii="Times New Roman" w:hAnsi="Times New Roman"/>
          <w:sz w:val="22"/>
          <w:szCs w:val="22"/>
          <w:lang w:val="sk-SK"/>
        </w:rPr>
        <w:t xml:space="preserve">erorálne použitie. </w:t>
      </w:r>
    </w:p>
    <w:p w14:paraId="714047DA" w14:textId="1B6106F4" w:rsidR="001643CD" w:rsidRPr="00C45747" w:rsidRDefault="001643CD" w:rsidP="006C46CB">
      <w:pPr>
        <w:pStyle w:val="StandardohneAbstand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C45747">
        <w:rPr>
          <w:rFonts w:ascii="Times New Roman" w:hAnsi="Times New Roman"/>
          <w:sz w:val="22"/>
          <w:szCs w:val="22"/>
          <w:lang w:val="sk-SK"/>
        </w:rPr>
        <w:t>Tablety sa majú prednostne užívať po jedle a zapiť dostatočným množstvom tekutiny.</w:t>
      </w:r>
    </w:p>
    <w:p w14:paraId="4A11738D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1A8ABDB8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  <w:r w:rsidRPr="00C45747">
        <w:rPr>
          <w:rFonts w:ascii="Times New Roman" w:hAnsi="Times New Roman"/>
          <w:b/>
          <w:sz w:val="22"/>
          <w:szCs w:val="22"/>
        </w:rPr>
        <w:t>4.3</w:t>
      </w:r>
      <w:r w:rsidRPr="00C45747">
        <w:rPr>
          <w:rFonts w:ascii="Times New Roman" w:hAnsi="Times New Roman"/>
          <w:b/>
          <w:sz w:val="22"/>
          <w:szCs w:val="22"/>
        </w:rPr>
        <w:tab/>
        <w:t>Kontraindikácie</w:t>
      </w:r>
    </w:p>
    <w:p w14:paraId="579CF8FC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  <w:u w:val="single"/>
        </w:rPr>
      </w:pPr>
    </w:p>
    <w:p w14:paraId="3C08BDC7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Kyselina acetylsalicylová sa nesmie používať v nasledovných prípadoch:</w:t>
      </w:r>
    </w:p>
    <w:p w14:paraId="36655A27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6940625B" w14:textId="66291C51" w:rsidR="001643CD" w:rsidRPr="00C45747" w:rsidRDefault="001643CD" w:rsidP="006C46CB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precitlivenosť na kyselinu acetylsalicylovú alebo na iné salicyláty alebo na ktorúkoľvek z pomocných látok lieku</w:t>
      </w:r>
      <w:r w:rsidR="00CA09B2">
        <w:rPr>
          <w:rFonts w:ascii="Times New Roman" w:hAnsi="Times New Roman"/>
          <w:sz w:val="22"/>
          <w:szCs w:val="22"/>
        </w:rPr>
        <w:t xml:space="preserve"> (pozri časť 6.1)</w:t>
      </w:r>
    </w:p>
    <w:p w14:paraId="660A353E" w14:textId="1E697355" w:rsidR="001643CD" w:rsidRPr="00C45747" w:rsidRDefault="001643CD" w:rsidP="006C46CB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astma v anamnéze, ktorá bola vyvolaná podávaním salicylátov alebo </w:t>
      </w:r>
      <w:r w:rsidR="009B6D8F">
        <w:rPr>
          <w:rFonts w:ascii="Times New Roman" w:hAnsi="Times New Roman"/>
          <w:sz w:val="22"/>
          <w:szCs w:val="22"/>
        </w:rPr>
        <w:t>liečiv</w:t>
      </w:r>
      <w:r w:rsidR="009B6D8F" w:rsidRPr="00C45747">
        <w:rPr>
          <w:rFonts w:ascii="Times New Roman" w:hAnsi="Times New Roman"/>
          <w:sz w:val="22"/>
          <w:szCs w:val="22"/>
        </w:rPr>
        <w:t xml:space="preserve"> </w:t>
      </w:r>
      <w:r w:rsidRPr="00C45747">
        <w:rPr>
          <w:rFonts w:ascii="Times New Roman" w:hAnsi="Times New Roman"/>
          <w:sz w:val="22"/>
          <w:szCs w:val="22"/>
        </w:rPr>
        <w:t>s podobným účinkom, najmä po nestero</w:t>
      </w:r>
      <w:r w:rsidR="001005E9">
        <w:rPr>
          <w:rFonts w:ascii="Times New Roman" w:hAnsi="Times New Roman"/>
          <w:sz w:val="22"/>
          <w:szCs w:val="22"/>
        </w:rPr>
        <w:t>idových protizápalových liekoch</w:t>
      </w:r>
    </w:p>
    <w:p w14:paraId="30A972DA" w14:textId="78629B74" w:rsidR="001643CD" w:rsidRPr="00C45747" w:rsidRDefault="001005E9" w:rsidP="006C46CB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aktívne peptické vredy</w:t>
      </w:r>
    </w:p>
    <w:p w14:paraId="6FA7DB2D" w14:textId="6D1D3F10" w:rsidR="001643CD" w:rsidRPr="00C45747" w:rsidRDefault="001005E9" w:rsidP="006C46CB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hemoragická diatéza</w:t>
      </w:r>
    </w:p>
    <w:p w14:paraId="15904037" w14:textId="7B268883" w:rsidR="001643CD" w:rsidRPr="00C45747" w:rsidRDefault="001643CD" w:rsidP="006C46CB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závažné zlyh</w:t>
      </w:r>
      <w:r w:rsidR="00B750A8">
        <w:rPr>
          <w:rFonts w:ascii="Times New Roman" w:hAnsi="Times New Roman"/>
          <w:sz w:val="22"/>
          <w:szCs w:val="22"/>
        </w:rPr>
        <w:t>ávanie</w:t>
      </w:r>
      <w:r w:rsidR="001005E9">
        <w:rPr>
          <w:rFonts w:ascii="Times New Roman" w:hAnsi="Times New Roman"/>
          <w:sz w:val="22"/>
          <w:szCs w:val="22"/>
        </w:rPr>
        <w:t xml:space="preserve"> obličiek</w:t>
      </w:r>
    </w:p>
    <w:p w14:paraId="59FC42FD" w14:textId="65EE4C99" w:rsidR="001643CD" w:rsidRPr="00C45747" w:rsidRDefault="001643CD" w:rsidP="006C46CB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závažné zlyh</w:t>
      </w:r>
      <w:r w:rsidR="00B750A8">
        <w:rPr>
          <w:rFonts w:ascii="Times New Roman" w:hAnsi="Times New Roman"/>
          <w:sz w:val="22"/>
          <w:szCs w:val="22"/>
        </w:rPr>
        <w:t>ávanie</w:t>
      </w:r>
      <w:r w:rsidR="001005E9">
        <w:rPr>
          <w:rFonts w:ascii="Times New Roman" w:hAnsi="Times New Roman"/>
          <w:sz w:val="22"/>
          <w:szCs w:val="22"/>
        </w:rPr>
        <w:t xml:space="preserve"> pečene</w:t>
      </w:r>
    </w:p>
    <w:p w14:paraId="3DA2C8EA" w14:textId="01FD6D8A" w:rsidR="001643CD" w:rsidRPr="00C45747" w:rsidRDefault="001643CD" w:rsidP="006C46CB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závažné zly</w:t>
      </w:r>
      <w:r w:rsidR="00B750A8">
        <w:rPr>
          <w:rFonts w:ascii="Times New Roman" w:hAnsi="Times New Roman"/>
          <w:sz w:val="22"/>
          <w:szCs w:val="22"/>
        </w:rPr>
        <w:t>hávanie srdca</w:t>
      </w:r>
    </w:p>
    <w:p w14:paraId="61EDEA55" w14:textId="68E42FE9" w:rsidR="001643CD" w:rsidRPr="00C45747" w:rsidRDefault="001643CD" w:rsidP="006C46CB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kombinácia s metotrexátom v dávkach 15 mg/týždeň alebo vyšších</w:t>
      </w:r>
      <w:r w:rsidR="001005E9">
        <w:rPr>
          <w:rFonts w:ascii="Times New Roman" w:hAnsi="Times New Roman"/>
          <w:sz w:val="22"/>
          <w:szCs w:val="22"/>
        </w:rPr>
        <w:t xml:space="preserve"> (pozri časť 4.5)</w:t>
      </w:r>
    </w:p>
    <w:p w14:paraId="7F439E8F" w14:textId="150EEF2A" w:rsidR="00813707" w:rsidRDefault="001643CD" w:rsidP="006C46CB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93325F">
        <w:rPr>
          <w:rFonts w:ascii="Times New Roman" w:hAnsi="Times New Roman"/>
          <w:sz w:val="22"/>
          <w:szCs w:val="22"/>
        </w:rPr>
        <w:t>posledný trimester gravidity</w:t>
      </w:r>
      <w:r w:rsidR="00CA09B2">
        <w:rPr>
          <w:rFonts w:ascii="Times New Roman" w:hAnsi="Times New Roman"/>
          <w:sz w:val="22"/>
          <w:szCs w:val="22"/>
        </w:rPr>
        <w:t xml:space="preserve"> (pozri časť 4.6)</w:t>
      </w:r>
    </w:p>
    <w:p w14:paraId="6026D26D" w14:textId="77777777" w:rsidR="00813707" w:rsidRDefault="00813707" w:rsidP="006C46CB">
      <w:pPr>
        <w:ind w:left="720"/>
        <w:rPr>
          <w:rFonts w:ascii="Times New Roman" w:hAnsi="Times New Roman"/>
          <w:sz w:val="22"/>
          <w:szCs w:val="22"/>
        </w:rPr>
      </w:pPr>
    </w:p>
    <w:p w14:paraId="4C6390D0" w14:textId="77777777" w:rsidR="00813707" w:rsidRPr="004815E7" w:rsidRDefault="001643CD" w:rsidP="006C46CB">
      <w:pPr>
        <w:rPr>
          <w:rFonts w:ascii="Times New Roman" w:hAnsi="Times New Roman"/>
          <w:b/>
          <w:sz w:val="22"/>
          <w:szCs w:val="22"/>
        </w:rPr>
      </w:pPr>
      <w:r w:rsidRPr="00674250">
        <w:rPr>
          <w:rFonts w:ascii="Times New Roman" w:hAnsi="Times New Roman"/>
          <w:b/>
          <w:sz w:val="22"/>
          <w:szCs w:val="22"/>
        </w:rPr>
        <w:t>4.4</w:t>
      </w:r>
      <w:r w:rsidRPr="00674250">
        <w:rPr>
          <w:rFonts w:ascii="Times New Roman" w:hAnsi="Times New Roman"/>
          <w:b/>
          <w:sz w:val="22"/>
          <w:szCs w:val="22"/>
        </w:rPr>
        <w:tab/>
        <w:t>Osobitné upozornenia a opatrenia pri používaní</w:t>
      </w:r>
    </w:p>
    <w:p w14:paraId="22B76703" w14:textId="77777777" w:rsidR="001643CD" w:rsidRPr="00674250" w:rsidRDefault="001643CD" w:rsidP="006C46CB">
      <w:pPr>
        <w:rPr>
          <w:rFonts w:ascii="Times New Roman" w:hAnsi="Times New Roman"/>
          <w:b/>
          <w:sz w:val="22"/>
          <w:szCs w:val="22"/>
        </w:rPr>
      </w:pPr>
    </w:p>
    <w:p w14:paraId="70F7A3B2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674250">
        <w:rPr>
          <w:rFonts w:ascii="Times New Roman" w:hAnsi="Times New Roman"/>
          <w:sz w:val="22"/>
          <w:szCs w:val="22"/>
        </w:rPr>
        <w:t>Kyselina acetylsali</w:t>
      </w:r>
      <w:r w:rsidRPr="00C45747">
        <w:rPr>
          <w:rFonts w:ascii="Times New Roman" w:hAnsi="Times New Roman"/>
          <w:sz w:val="22"/>
          <w:szCs w:val="22"/>
        </w:rPr>
        <w:t xml:space="preserve">cylová sa má používať s osobitnou opatrnosťou v nasledovných prípadoch: </w:t>
      </w:r>
    </w:p>
    <w:p w14:paraId="674FDA0C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  <w:u w:val="single"/>
        </w:rPr>
      </w:pPr>
    </w:p>
    <w:p w14:paraId="7D6CFE42" w14:textId="77777777" w:rsidR="001643CD" w:rsidRPr="00C45747" w:rsidRDefault="001643CD" w:rsidP="006C46CB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Precitlivenosť na iné analgetiká, protizápalové lieky alebo antireumatiká alebo pri iných </w:t>
      </w:r>
      <w:r w:rsidR="00381A79" w:rsidRPr="0092201E">
        <w:rPr>
          <w:rFonts w:ascii="Times New Roman" w:hAnsi="Times New Roman"/>
          <w:sz w:val="22"/>
          <w:szCs w:val="22"/>
        </w:rPr>
        <w:t>alergiách.</w:t>
      </w:r>
      <w:r w:rsidRPr="00C45747">
        <w:rPr>
          <w:rFonts w:ascii="Times New Roman" w:hAnsi="Times New Roman"/>
          <w:sz w:val="22"/>
          <w:szCs w:val="22"/>
        </w:rPr>
        <w:t xml:space="preserve"> </w:t>
      </w:r>
    </w:p>
    <w:p w14:paraId="59632C80" w14:textId="438AC8C0" w:rsidR="001643CD" w:rsidRPr="00C45747" w:rsidRDefault="001643CD" w:rsidP="006C46CB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Gastrointestinálne vredy vrátane chronických alebo rekurentných vredov v anamnéze alebo gastrointestinálne krvácanie v anamnéze. </w:t>
      </w:r>
    </w:p>
    <w:p w14:paraId="4CAF1486" w14:textId="77777777" w:rsidR="001643CD" w:rsidRPr="00C45747" w:rsidRDefault="001643CD" w:rsidP="006C46CB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Súbežná liečba antikoagulanciami (pozri časť 4.5).</w:t>
      </w:r>
    </w:p>
    <w:p w14:paraId="73B33357" w14:textId="0ADA0A3F" w:rsidR="001643CD" w:rsidRPr="00E615B9" w:rsidRDefault="001643CD" w:rsidP="006C46CB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U pacientov s </w:t>
      </w:r>
      <w:r w:rsidR="005959CC">
        <w:rPr>
          <w:rFonts w:ascii="Times New Roman" w:hAnsi="Times New Roman"/>
          <w:sz w:val="22"/>
          <w:szCs w:val="22"/>
        </w:rPr>
        <w:t>poruchou</w:t>
      </w:r>
      <w:r w:rsidR="005959CC" w:rsidRPr="00C45747">
        <w:rPr>
          <w:rFonts w:ascii="Times New Roman" w:hAnsi="Times New Roman"/>
          <w:sz w:val="22"/>
          <w:szCs w:val="22"/>
        </w:rPr>
        <w:t xml:space="preserve"> </w:t>
      </w:r>
      <w:r w:rsidRPr="00C45747">
        <w:rPr>
          <w:rFonts w:ascii="Times New Roman" w:hAnsi="Times New Roman"/>
          <w:sz w:val="22"/>
          <w:szCs w:val="22"/>
        </w:rPr>
        <w:t>funkci</w:t>
      </w:r>
      <w:r w:rsidR="005959CC">
        <w:rPr>
          <w:rFonts w:ascii="Times New Roman" w:hAnsi="Times New Roman"/>
          <w:sz w:val="22"/>
          <w:szCs w:val="22"/>
        </w:rPr>
        <w:t>e</w:t>
      </w:r>
      <w:r w:rsidRPr="00C45747">
        <w:rPr>
          <w:rFonts w:ascii="Times New Roman" w:hAnsi="Times New Roman"/>
          <w:sz w:val="22"/>
          <w:szCs w:val="22"/>
        </w:rPr>
        <w:t xml:space="preserve"> obličiek alebo u pacientov s poruchou centrálnej cirkulácie (napr. ochorenie renálnych ciev, kongestívne zlyhanie srdca, deplécia objemu, veľký chirurgický zákrok, sepsa alebo masívne príhody krvácania), pretože kyselina acetylsalicylová môže ďalej zvyšovať riziko </w:t>
      </w:r>
      <w:r w:rsidR="00381A79" w:rsidRPr="00D93860">
        <w:rPr>
          <w:rFonts w:ascii="Times New Roman" w:hAnsi="Times New Roman"/>
          <w:sz w:val="22"/>
          <w:szCs w:val="22"/>
        </w:rPr>
        <w:t>poruchy funkcie obličiek</w:t>
      </w:r>
      <w:r w:rsidRPr="005B4679">
        <w:rPr>
          <w:rFonts w:ascii="Times New Roman" w:hAnsi="Times New Roman"/>
          <w:sz w:val="22"/>
          <w:szCs w:val="22"/>
        </w:rPr>
        <w:t xml:space="preserve"> a akútneho zlyhania obličiek.</w:t>
      </w:r>
    </w:p>
    <w:p w14:paraId="3CC58891" w14:textId="319B7DBE" w:rsidR="001643CD" w:rsidRPr="00D93860" w:rsidRDefault="003E3BBB" w:rsidP="006C46CB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4815E7">
        <w:rPr>
          <w:rFonts w:ascii="Times New Roman" w:hAnsi="Times New Roman"/>
          <w:sz w:val="22"/>
          <w:szCs w:val="22"/>
        </w:rPr>
        <w:t>Stredne závažná p</w:t>
      </w:r>
      <w:r w:rsidR="00381A79" w:rsidRPr="00D93860">
        <w:rPr>
          <w:rFonts w:ascii="Times New Roman" w:hAnsi="Times New Roman"/>
          <w:sz w:val="22"/>
          <w:szCs w:val="22"/>
        </w:rPr>
        <w:t>orucha funkcie pečene.</w:t>
      </w:r>
    </w:p>
    <w:p w14:paraId="0114F52D" w14:textId="77777777" w:rsidR="001643CD" w:rsidRPr="00C45747" w:rsidRDefault="001643CD" w:rsidP="006C46CB">
      <w:pPr>
        <w:pStyle w:val="Zkladntext3"/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2"/>
          <w:szCs w:val="22"/>
        </w:rPr>
      </w:pPr>
    </w:p>
    <w:p w14:paraId="1C0E724D" w14:textId="041B7872" w:rsidR="001643CD" w:rsidRPr="00C45747" w:rsidRDefault="001643CD" w:rsidP="006C46CB">
      <w:pPr>
        <w:pStyle w:val="Zkladntext3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Kyselina acetylsalicylová</w:t>
      </w:r>
      <w:r w:rsidR="00297680">
        <w:rPr>
          <w:rFonts w:ascii="Times New Roman" w:hAnsi="Times New Roman"/>
          <w:sz w:val="22"/>
          <w:szCs w:val="22"/>
        </w:rPr>
        <w:t xml:space="preserve"> môže vyvolať bronchospazmus a </w:t>
      </w:r>
      <w:r w:rsidRPr="00C45747">
        <w:rPr>
          <w:rFonts w:ascii="Times New Roman" w:hAnsi="Times New Roman"/>
          <w:sz w:val="22"/>
          <w:szCs w:val="22"/>
        </w:rPr>
        <w:t xml:space="preserve">astmatické záchvaty alebo iné reakcie precitlivenosti. Rizikovými faktormi sú prítomnosť astmy, senná nádcha, nosové polypy alebo chronické respiračné ochorenie. </w:t>
      </w:r>
      <w:r w:rsidR="00950BFA">
        <w:rPr>
          <w:rFonts w:ascii="Times New Roman" w:hAnsi="Times New Roman"/>
          <w:sz w:val="22"/>
          <w:szCs w:val="22"/>
        </w:rPr>
        <w:t>P</w:t>
      </w:r>
      <w:r w:rsidRPr="00C45747">
        <w:rPr>
          <w:rFonts w:ascii="Times New Roman" w:hAnsi="Times New Roman"/>
          <w:sz w:val="22"/>
          <w:szCs w:val="22"/>
        </w:rPr>
        <w:t xml:space="preserve">latí </w:t>
      </w:r>
      <w:r w:rsidR="00950BFA">
        <w:rPr>
          <w:rFonts w:ascii="Times New Roman" w:hAnsi="Times New Roman"/>
          <w:sz w:val="22"/>
          <w:szCs w:val="22"/>
        </w:rPr>
        <w:t xml:space="preserve">to aj </w:t>
      </w:r>
      <w:r w:rsidRPr="00C45747">
        <w:rPr>
          <w:rFonts w:ascii="Times New Roman" w:hAnsi="Times New Roman"/>
          <w:sz w:val="22"/>
          <w:szCs w:val="22"/>
        </w:rPr>
        <w:t>pre pacientov, u ktorých sa objavili alergické reakcie (napr. kožné reakcie, svrbenie a žihľavka) po iných liečivách.</w:t>
      </w:r>
    </w:p>
    <w:p w14:paraId="7143BB3A" w14:textId="77777777" w:rsidR="001643CD" w:rsidRPr="00C45747" w:rsidRDefault="001643CD" w:rsidP="006C46CB">
      <w:pPr>
        <w:pStyle w:val="Zkladntext3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</w:p>
    <w:p w14:paraId="4E72A1CF" w14:textId="59ECCC7D" w:rsidR="001643CD" w:rsidRDefault="001643CD" w:rsidP="006C46CB">
      <w:pPr>
        <w:pStyle w:val="Zkladntext3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V dôsledku inhibičného účinku na agregáciu trombocytov, ktorý môže pretrvávať niekoľko dní po podaní, môže viesť kyselina acetylsalicylová k zvýšeniu krvácavosti počas a po chirurgických zákrokoch (vrátane </w:t>
      </w:r>
      <w:r w:rsidR="00950BFA">
        <w:rPr>
          <w:rFonts w:ascii="Times New Roman" w:hAnsi="Times New Roman"/>
          <w:sz w:val="22"/>
          <w:szCs w:val="22"/>
        </w:rPr>
        <w:t>malých</w:t>
      </w:r>
      <w:r w:rsidR="00950BFA" w:rsidRPr="00C45747">
        <w:rPr>
          <w:rFonts w:ascii="Times New Roman" w:hAnsi="Times New Roman"/>
          <w:sz w:val="22"/>
          <w:szCs w:val="22"/>
        </w:rPr>
        <w:t xml:space="preserve"> </w:t>
      </w:r>
      <w:r w:rsidRPr="00C45747">
        <w:rPr>
          <w:rFonts w:ascii="Times New Roman" w:hAnsi="Times New Roman"/>
          <w:sz w:val="22"/>
          <w:szCs w:val="22"/>
        </w:rPr>
        <w:t>chirurgických zákrokov, napr.</w:t>
      </w:r>
      <w:r w:rsidR="00950BFA">
        <w:rPr>
          <w:rFonts w:ascii="Times New Roman" w:hAnsi="Times New Roman"/>
          <w:sz w:val="22"/>
          <w:szCs w:val="22"/>
        </w:rPr>
        <w:t xml:space="preserve"> po</w:t>
      </w:r>
      <w:r w:rsidRPr="00C45747">
        <w:rPr>
          <w:rFonts w:ascii="Times New Roman" w:hAnsi="Times New Roman"/>
          <w:sz w:val="22"/>
          <w:szCs w:val="22"/>
        </w:rPr>
        <w:t xml:space="preserve"> extrakci</w:t>
      </w:r>
      <w:r w:rsidR="00950BFA">
        <w:rPr>
          <w:rFonts w:ascii="Times New Roman" w:hAnsi="Times New Roman"/>
          <w:sz w:val="22"/>
          <w:szCs w:val="22"/>
        </w:rPr>
        <w:t>i</w:t>
      </w:r>
      <w:r w:rsidRPr="00C45747">
        <w:rPr>
          <w:rFonts w:ascii="Times New Roman" w:hAnsi="Times New Roman"/>
          <w:sz w:val="22"/>
          <w:szCs w:val="22"/>
        </w:rPr>
        <w:t xml:space="preserve"> zuba). </w:t>
      </w:r>
    </w:p>
    <w:p w14:paraId="1EB65C7D" w14:textId="77777777" w:rsidR="001643CD" w:rsidRDefault="001643CD" w:rsidP="006C46CB">
      <w:pPr>
        <w:pStyle w:val="Zkladntext3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</w:p>
    <w:p w14:paraId="5506FC87" w14:textId="1241846E" w:rsidR="001643CD" w:rsidRPr="00C45747" w:rsidRDefault="001643CD" w:rsidP="006C46CB">
      <w:pPr>
        <w:pStyle w:val="Zkladntext3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93325F">
        <w:rPr>
          <w:rFonts w:ascii="Times New Roman" w:hAnsi="Times New Roman"/>
          <w:sz w:val="22"/>
          <w:szCs w:val="22"/>
        </w:rPr>
        <w:t>Gastrointestinálne krvácanie alebo vredy/perforácie sa môžu vyskytnúť kedykoľvek počas liečb</w:t>
      </w:r>
      <w:r>
        <w:rPr>
          <w:rFonts w:ascii="Times New Roman" w:hAnsi="Times New Roman"/>
          <w:sz w:val="22"/>
          <w:szCs w:val="22"/>
        </w:rPr>
        <w:t>y kyselinou acetylsalicylovou</w:t>
      </w:r>
      <w:r w:rsidR="00780C91">
        <w:rPr>
          <w:rFonts w:ascii="Times New Roman" w:hAnsi="Times New Roman"/>
          <w:sz w:val="22"/>
          <w:szCs w:val="22"/>
        </w:rPr>
        <w:t xml:space="preserve"> aj</w:t>
      </w:r>
      <w:r w:rsidR="009F616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bez prítomn</w:t>
      </w:r>
      <w:r w:rsidR="00780C91">
        <w:rPr>
          <w:rFonts w:ascii="Times New Roman" w:hAnsi="Times New Roman"/>
          <w:sz w:val="22"/>
          <w:szCs w:val="22"/>
        </w:rPr>
        <w:t>ých</w:t>
      </w:r>
      <w:r w:rsidRPr="0093325F">
        <w:rPr>
          <w:rFonts w:ascii="Times New Roman" w:hAnsi="Times New Roman"/>
          <w:sz w:val="22"/>
          <w:szCs w:val="22"/>
        </w:rPr>
        <w:t xml:space="preserve"> predchádzajúc</w:t>
      </w:r>
      <w:r w:rsidR="00780C91">
        <w:rPr>
          <w:rFonts w:ascii="Times New Roman" w:hAnsi="Times New Roman"/>
          <w:sz w:val="22"/>
          <w:szCs w:val="22"/>
        </w:rPr>
        <w:t>ich</w:t>
      </w:r>
      <w:r w:rsidRPr="0093325F">
        <w:rPr>
          <w:rFonts w:ascii="Times New Roman" w:hAnsi="Times New Roman"/>
          <w:sz w:val="22"/>
          <w:szCs w:val="22"/>
        </w:rPr>
        <w:t xml:space="preserve"> príznak</w:t>
      </w:r>
      <w:r w:rsidR="00780C91">
        <w:rPr>
          <w:rFonts w:ascii="Times New Roman" w:hAnsi="Times New Roman"/>
          <w:sz w:val="22"/>
          <w:szCs w:val="22"/>
        </w:rPr>
        <w:t>ov</w:t>
      </w:r>
      <w:r w:rsidRPr="0093325F">
        <w:rPr>
          <w:rFonts w:ascii="Times New Roman" w:hAnsi="Times New Roman"/>
          <w:sz w:val="22"/>
          <w:szCs w:val="22"/>
        </w:rPr>
        <w:t xml:space="preserve"> alebo </w:t>
      </w:r>
      <w:r w:rsidR="00780C91">
        <w:rPr>
          <w:rFonts w:ascii="Times New Roman" w:hAnsi="Times New Roman"/>
          <w:sz w:val="22"/>
          <w:szCs w:val="22"/>
        </w:rPr>
        <w:t xml:space="preserve">pri negatívnej </w:t>
      </w:r>
      <w:r w:rsidRPr="0093325F">
        <w:rPr>
          <w:rFonts w:ascii="Times New Roman" w:hAnsi="Times New Roman"/>
          <w:sz w:val="22"/>
          <w:szCs w:val="22"/>
        </w:rPr>
        <w:t>anamnéz</w:t>
      </w:r>
      <w:r w:rsidR="00780C91">
        <w:rPr>
          <w:rFonts w:ascii="Times New Roman" w:hAnsi="Times New Roman"/>
          <w:sz w:val="22"/>
          <w:szCs w:val="22"/>
        </w:rPr>
        <w:t>e</w:t>
      </w:r>
      <w:r w:rsidRPr="0093325F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Relatívne riziko sa zvyšuje</w:t>
      </w:r>
      <w:r w:rsidRPr="0093325F">
        <w:rPr>
          <w:rFonts w:ascii="Times New Roman" w:hAnsi="Times New Roman"/>
          <w:sz w:val="22"/>
          <w:szCs w:val="22"/>
        </w:rPr>
        <w:t xml:space="preserve"> u starších </w:t>
      </w:r>
      <w:r>
        <w:rPr>
          <w:rFonts w:ascii="Times New Roman" w:hAnsi="Times New Roman"/>
          <w:sz w:val="22"/>
          <w:szCs w:val="22"/>
        </w:rPr>
        <w:t>pacientov</w:t>
      </w:r>
      <w:r w:rsidRPr="0093325F">
        <w:rPr>
          <w:rFonts w:ascii="Times New Roman" w:hAnsi="Times New Roman"/>
          <w:sz w:val="22"/>
          <w:szCs w:val="22"/>
        </w:rPr>
        <w:t xml:space="preserve">, u </w:t>
      </w:r>
      <w:r>
        <w:rPr>
          <w:rFonts w:ascii="Times New Roman" w:hAnsi="Times New Roman"/>
          <w:sz w:val="22"/>
          <w:szCs w:val="22"/>
        </w:rPr>
        <w:t>pacientov</w:t>
      </w:r>
      <w:r w:rsidRPr="0093325F">
        <w:rPr>
          <w:rFonts w:ascii="Times New Roman" w:hAnsi="Times New Roman"/>
          <w:sz w:val="22"/>
          <w:szCs w:val="22"/>
        </w:rPr>
        <w:t xml:space="preserve"> s nízkou telesnou hmotnosťou</w:t>
      </w:r>
      <w:r>
        <w:rPr>
          <w:rFonts w:ascii="Times New Roman" w:hAnsi="Times New Roman"/>
          <w:sz w:val="22"/>
          <w:szCs w:val="22"/>
        </w:rPr>
        <w:t xml:space="preserve"> </w:t>
      </w:r>
      <w:r w:rsidRPr="0093325F">
        <w:rPr>
          <w:rFonts w:ascii="Times New Roman" w:hAnsi="Times New Roman"/>
          <w:sz w:val="22"/>
          <w:szCs w:val="22"/>
        </w:rPr>
        <w:t xml:space="preserve">a u pacientov užívajúcich antikoagulanciá alebo </w:t>
      </w:r>
      <w:r w:rsidRPr="00AF30C4">
        <w:rPr>
          <w:rFonts w:ascii="Times New Roman" w:hAnsi="Times New Roman"/>
          <w:sz w:val="22"/>
          <w:szCs w:val="22"/>
        </w:rPr>
        <w:t>inhibítory agregácie krvných doštičiek (</w:t>
      </w:r>
      <w:r w:rsidRPr="0093325F">
        <w:rPr>
          <w:rFonts w:ascii="Times New Roman" w:hAnsi="Times New Roman"/>
          <w:sz w:val="22"/>
          <w:szCs w:val="22"/>
        </w:rPr>
        <w:t xml:space="preserve">pozri časť 4.5). V prípade gastrointestinálneho krvácania sa liečba musí okamžite </w:t>
      </w:r>
      <w:r w:rsidR="00780C91">
        <w:rPr>
          <w:rFonts w:ascii="Times New Roman" w:hAnsi="Times New Roman"/>
          <w:sz w:val="22"/>
          <w:szCs w:val="22"/>
        </w:rPr>
        <w:t>ukončiť</w:t>
      </w:r>
      <w:r w:rsidRPr="0093325F">
        <w:rPr>
          <w:rFonts w:ascii="Times New Roman" w:hAnsi="Times New Roman"/>
          <w:sz w:val="22"/>
          <w:szCs w:val="22"/>
        </w:rPr>
        <w:t>.</w:t>
      </w:r>
    </w:p>
    <w:p w14:paraId="0812AE13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4FACB903" w14:textId="14B38EED" w:rsidR="001643CD" w:rsidRDefault="005242EC" w:rsidP="006C46CB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</w:t>
      </w:r>
      <w:r w:rsidR="001643CD" w:rsidRPr="00C45747">
        <w:rPr>
          <w:rFonts w:ascii="Times New Roman" w:hAnsi="Times New Roman"/>
          <w:sz w:val="22"/>
          <w:szCs w:val="22"/>
        </w:rPr>
        <w:t>ízk</w:t>
      </w:r>
      <w:r>
        <w:rPr>
          <w:rFonts w:ascii="Times New Roman" w:hAnsi="Times New Roman"/>
          <w:sz w:val="22"/>
          <w:szCs w:val="22"/>
        </w:rPr>
        <w:t>e</w:t>
      </w:r>
      <w:r w:rsidR="001643CD" w:rsidRPr="00C45747">
        <w:rPr>
          <w:rFonts w:ascii="Times New Roman" w:hAnsi="Times New Roman"/>
          <w:sz w:val="22"/>
          <w:szCs w:val="22"/>
        </w:rPr>
        <w:t xml:space="preserve"> dávk</w:t>
      </w:r>
      <w:r>
        <w:rPr>
          <w:rFonts w:ascii="Times New Roman" w:hAnsi="Times New Roman"/>
          <w:sz w:val="22"/>
          <w:szCs w:val="22"/>
        </w:rPr>
        <w:t>y</w:t>
      </w:r>
      <w:r w:rsidR="001643CD" w:rsidRPr="00C45747">
        <w:rPr>
          <w:rFonts w:ascii="Times New Roman" w:hAnsi="Times New Roman"/>
          <w:sz w:val="22"/>
          <w:szCs w:val="22"/>
        </w:rPr>
        <w:t xml:space="preserve"> kyselin</w:t>
      </w:r>
      <w:r>
        <w:rPr>
          <w:rFonts w:ascii="Times New Roman" w:hAnsi="Times New Roman"/>
          <w:sz w:val="22"/>
          <w:szCs w:val="22"/>
        </w:rPr>
        <w:t>y</w:t>
      </w:r>
      <w:r w:rsidR="001643CD" w:rsidRPr="00C45747">
        <w:rPr>
          <w:rFonts w:ascii="Times New Roman" w:hAnsi="Times New Roman"/>
          <w:sz w:val="22"/>
          <w:szCs w:val="22"/>
        </w:rPr>
        <w:t xml:space="preserve"> acetylsalicylov</w:t>
      </w:r>
      <w:r>
        <w:rPr>
          <w:rFonts w:ascii="Times New Roman" w:hAnsi="Times New Roman"/>
          <w:sz w:val="22"/>
          <w:szCs w:val="22"/>
        </w:rPr>
        <w:t>ej</w:t>
      </w:r>
      <w:r w:rsidR="001643CD" w:rsidRPr="00C45747">
        <w:rPr>
          <w:rFonts w:ascii="Times New Roman" w:hAnsi="Times New Roman"/>
          <w:sz w:val="22"/>
          <w:szCs w:val="22"/>
        </w:rPr>
        <w:t xml:space="preserve"> znižuj</w:t>
      </w:r>
      <w:r>
        <w:rPr>
          <w:rFonts w:ascii="Times New Roman" w:hAnsi="Times New Roman"/>
          <w:sz w:val="22"/>
          <w:szCs w:val="22"/>
        </w:rPr>
        <w:t>ú</w:t>
      </w:r>
      <w:r w:rsidR="001643CD" w:rsidRPr="00C45747">
        <w:rPr>
          <w:rFonts w:ascii="Times New Roman" w:hAnsi="Times New Roman"/>
          <w:sz w:val="22"/>
          <w:szCs w:val="22"/>
        </w:rPr>
        <w:t xml:space="preserve"> vylučovanie kyseliny močovej. </w:t>
      </w:r>
      <w:r>
        <w:rPr>
          <w:rFonts w:ascii="Times New Roman" w:hAnsi="Times New Roman"/>
          <w:sz w:val="22"/>
          <w:szCs w:val="22"/>
        </w:rPr>
        <w:t>M</w:t>
      </w:r>
      <w:r w:rsidR="001643CD" w:rsidRPr="00C45747">
        <w:rPr>
          <w:rFonts w:ascii="Times New Roman" w:hAnsi="Times New Roman"/>
          <w:sz w:val="22"/>
          <w:szCs w:val="22"/>
        </w:rPr>
        <w:t xml:space="preserve">ôže </w:t>
      </w:r>
      <w:r>
        <w:rPr>
          <w:rFonts w:ascii="Times New Roman" w:hAnsi="Times New Roman"/>
          <w:sz w:val="22"/>
          <w:szCs w:val="22"/>
        </w:rPr>
        <w:t>to vyvolať</w:t>
      </w:r>
      <w:r w:rsidR="001643CD" w:rsidRPr="00C45747">
        <w:rPr>
          <w:rFonts w:ascii="Times New Roman" w:hAnsi="Times New Roman"/>
          <w:sz w:val="22"/>
          <w:szCs w:val="22"/>
        </w:rPr>
        <w:t xml:space="preserve"> záchvat dny u pacientov s predispozíciou. </w:t>
      </w:r>
    </w:p>
    <w:p w14:paraId="30428514" w14:textId="77777777" w:rsidR="001643CD" w:rsidRDefault="001643CD" w:rsidP="006C46CB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02F813B5" w14:textId="376281EE" w:rsidR="001643CD" w:rsidRPr="00C45747" w:rsidRDefault="00780C91" w:rsidP="006C46CB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780C91">
        <w:rPr>
          <w:rFonts w:ascii="Times New Roman" w:hAnsi="Times New Roman"/>
          <w:sz w:val="22"/>
          <w:szCs w:val="22"/>
        </w:rPr>
        <w:lastRenderedPageBreak/>
        <w:t>V súvislosti s užívaním NSAID boli veľmi zriedkavo hlásené závažné kožné reakcie, niektoré</w:t>
      </w:r>
      <w:r>
        <w:rPr>
          <w:rFonts w:ascii="Times New Roman" w:hAnsi="Times New Roman"/>
          <w:sz w:val="22"/>
          <w:szCs w:val="22"/>
        </w:rPr>
        <w:t xml:space="preserve"> fatálne</w:t>
      </w:r>
      <w:r w:rsidRPr="00780C91">
        <w:rPr>
          <w:rFonts w:ascii="Times New Roman" w:hAnsi="Times New Roman"/>
          <w:sz w:val="22"/>
          <w:szCs w:val="22"/>
        </w:rPr>
        <w:t xml:space="preserve">, vrátane exfoliatívnej dermatitídy, Stevensovho-Johnsonovho syndrómu a toxickej epidermálnej nekrolýzy </w:t>
      </w:r>
      <w:r w:rsidR="001643CD" w:rsidRPr="006427AC">
        <w:rPr>
          <w:rFonts w:ascii="Times New Roman" w:hAnsi="Times New Roman"/>
          <w:sz w:val="22"/>
          <w:szCs w:val="22"/>
        </w:rPr>
        <w:t xml:space="preserve">(pozri časť 4.8). Najvyššie riziko vzniku týchto reakcií sa u </w:t>
      </w:r>
      <w:r w:rsidR="001643CD" w:rsidRPr="004815E7">
        <w:rPr>
          <w:rFonts w:ascii="Times New Roman" w:hAnsi="Times New Roman"/>
          <w:sz w:val="22"/>
          <w:szCs w:val="22"/>
        </w:rPr>
        <w:t xml:space="preserve">pacientov vyskytne na začiatku liečby, nástup reakcie sa objaví vo väčšine prípadov v priebehu prvého mesiaca liečby. </w:t>
      </w:r>
      <w:r w:rsidR="00381A79" w:rsidRPr="004815E7">
        <w:rPr>
          <w:rFonts w:ascii="Times New Roman" w:hAnsi="Times New Roman"/>
          <w:sz w:val="22"/>
          <w:szCs w:val="22"/>
        </w:rPr>
        <w:t>Napriek tomu, že zatiaľ nebola dokázaná žiadna príčinná súvislosť,</w:t>
      </w:r>
      <w:r w:rsidR="001B3E2F" w:rsidRPr="004815E7">
        <w:rPr>
          <w:rFonts w:ascii="Times New Roman" w:hAnsi="Times New Roman"/>
          <w:sz w:val="22"/>
          <w:szCs w:val="22"/>
        </w:rPr>
        <w:t xml:space="preserve"> l</w:t>
      </w:r>
      <w:r w:rsidR="001643CD" w:rsidRPr="004815E7">
        <w:rPr>
          <w:rFonts w:ascii="Times New Roman" w:hAnsi="Times New Roman"/>
          <w:sz w:val="22"/>
          <w:szCs w:val="22"/>
        </w:rPr>
        <w:t>iečba</w:t>
      </w:r>
      <w:r w:rsidR="001643CD" w:rsidRPr="006427AC">
        <w:rPr>
          <w:rFonts w:ascii="Times New Roman" w:hAnsi="Times New Roman"/>
          <w:sz w:val="22"/>
          <w:szCs w:val="22"/>
        </w:rPr>
        <w:t xml:space="preserve"> </w:t>
      </w:r>
      <w:r w:rsidR="001643CD">
        <w:rPr>
          <w:rFonts w:ascii="Times New Roman" w:hAnsi="Times New Roman"/>
          <w:sz w:val="22"/>
          <w:szCs w:val="22"/>
        </w:rPr>
        <w:t>Aspirinom Express</w:t>
      </w:r>
      <w:r w:rsidR="001643CD" w:rsidRPr="006427AC">
        <w:rPr>
          <w:rFonts w:ascii="Times New Roman" w:hAnsi="Times New Roman"/>
          <w:sz w:val="22"/>
          <w:szCs w:val="22"/>
        </w:rPr>
        <w:t xml:space="preserve"> sa má ukončiť pri prvom výskyte kožnej vyrážky, mukóznych lézií alebo iných príznakov hypersenzitivity.</w:t>
      </w:r>
    </w:p>
    <w:p w14:paraId="0218A627" w14:textId="77777777" w:rsidR="001643CD" w:rsidRPr="00C45747" w:rsidRDefault="001643CD" w:rsidP="006C46CB">
      <w:pPr>
        <w:pStyle w:val="Zkladntext3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</w:p>
    <w:p w14:paraId="640A907F" w14:textId="43224420" w:rsidR="001643CD" w:rsidRPr="00C45747" w:rsidRDefault="001B3E2F" w:rsidP="006C46CB">
      <w:pPr>
        <w:pStyle w:val="Zkladntext3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Reyov</w:t>
      </w:r>
      <w:r w:rsidRPr="0093325F">
        <w:rPr>
          <w:rFonts w:ascii="Times New Roman" w:hAnsi="Times New Roman"/>
          <w:sz w:val="22"/>
          <w:szCs w:val="22"/>
        </w:rPr>
        <w:t xml:space="preserve"> syndróm, veľmi zriedkavé, život ohrozujúce ochorenie, sa pozoroval u detí s príznakmi vírusovej infekci</w:t>
      </w:r>
      <w:r>
        <w:rPr>
          <w:rFonts w:ascii="Times New Roman" w:hAnsi="Times New Roman"/>
          <w:sz w:val="22"/>
          <w:szCs w:val="22"/>
        </w:rPr>
        <w:t>e (najmä epizódy ochorení podobných ovčím kiahň</w:t>
      </w:r>
      <w:r w:rsidRPr="0093325F">
        <w:rPr>
          <w:rFonts w:ascii="Times New Roman" w:hAnsi="Times New Roman"/>
          <w:sz w:val="22"/>
          <w:szCs w:val="22"/>
        </w:rPr>
        <w:t>am</w:t>
      </w:r>
      <w:r>
        <w:rPr>
          <w:rFonts w:ascii="Times New Roman" w:hAnsi="Times New Roman"/>
          <w:sz w:val="22"/>
          <w:szCs w:val="22"/>
        </w:rPr>
        <w:t xml:space="preserve"> a chrípke</w:t>
      </w:r>
      <w:r w:rsidRPr="0093325F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, ktoré zároveň užívali </w:t>
      </w:r>
      <w:r w:rsidRPr="0093325F">
        <w:rPr>
          <w:rFonts w:ascii="Times New Roman" w:hAnsi="Times New Roman"/>
          <w:sz w:val="22"/>
          <w:szCs w:val="22"/>
        </w:rPr>
        <w:t>kyselin</w:t>
      </w:r>
      <w:r>
        <w:rPr>
          <w:rFonts w:ascii="Times New Roman" w:hAnsi="Times New Roman"/>
          <w:sz w:val="22"/>
          <w:szCs w:val="22"/>
        </w:rPr>
        <w:t>u</w:t>
      </w:r>
      <w:r w:rsidRPr="0093325F">
        <w:rPr>
          <w:rFonts w:ascii="Times New Roman" w:hAnsi="Times New Roman"/>
          <w:sz w:val="22"/>
          <w:szCs w:val="22"/>
        </w:rPr>
        <w:t xml:space="preserve"> acetylsalicylov</w:t>
      </w:r>
      <w:r>
        <w:rPr>
          <w:rFonts w:ascii="Times New Roman" w:hAnsi="Times New Roman"/>
          <w:sz w:val="22"/>
          <w:szCs w:val="22"/>
        </w:rPr>
        <w:t>ú</w:t>
      </w:r>
      <w:r w:rsidRPr="0093325F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Preto</w:t>
      </w:r>
      <w:r w:rsidRPr="0093325F">
        <w:rPr>
          <w:rFonts w:ascii="Times New Roman" w:hAnsi="Times New Roman"/>
          <w:sz w:val="22"/>
          <w:szCs w:val="22"/>
        </w:rPr>
        <w:t xml:space="preserve"> sa kyselina acetylsalicylová </w:t>
      </w:r>
      <w:r>
        <w:rPr>
          <w:rFonts w:ascii="Times New Roman" w:hAnsi="Times New Roman"/>
          <w:sz w:val="22"/>
          <w:szCs w:val="22"/>
        </w:rPr>
        <w:t>nesmie</w:t>
      </w:r>
      <w:r w:rsidRPr="0093325F">
        <w:rPr>
          <w:rFonts w:ascii="Times New Roman" w:hAnsi="Times New Roman"/>
          <w:sz w:val="22"/>
          <w:szCs w:val="22"/>
        </w:rPr>
        <w:t xml:space="preserve"> podávať deťom</w:t>
      </w:r>
      <w:r>
        <w:rPr>
          <w:rFonts w:ascii="Times New Roman" w:hAnsi="Times New Roman"/>
          <w:sz w:val="22"/>
          <w:szCs w:val="22"/>
        </w:rPr>
        <w:t> bez lekárskeho dohľadu a len v prípade ak</w:t>
      </w:r>
      <w:r w:rsidRPr="0093325F">
        <w:rPr>
          <w:rFonts w:ascii="Times New Roman" w:hAnsi="Times New Roman"/>
          <w:sz w:val="22"/>
          <w:szCs w:val="22"/>
        </w:rPr>
        <w:t xml:space="preserve"> zlyhali iné opatre</w:t>
      </w:r>
      <w:r w:rsidR="00D77FC8">
        <w:rPr>
          <w:rFonts w:ascii="Times New Roman" w:hAnsi="Times New Roman"/>
          <w:sz w:val="22"/>
          <w:szCs w:val="22"/>
        </w:rPr>
        <w:t xml:space="preserve">nia. V prípade pretrvávajúceho </w:t>
      </w:r>
      <w:r w:rsidRPr="0093325F">
        <w:rPr>
          <w:rFonts w:ascii="Times New Roman" w:hAnsi="Times New Roman"/>
          <w:sz w:val="22"/>
          <w:szCs w:val="22"/>
        </w:rPr>
        <w:t xml:space="preserve">vracania, porúch vedomia alebo </w:t>
      </w:r>
      <w:r w:rsidR="00BB4537">
        <w:rPr>
          <w:rFonts w:ascii="Times New Roman" w:hAnsi="Times New Roman"/>
          <w:sz w:val="22"/>
          <w:szCs w:val="22"/>
        </w:rPr>
        <w:t>nezvyčajného</w:t>
      </w:r>
      <w:r w:rsidRPr="0093325F">
        <w:rPr>
          <w:rFonts w:ascii="Times New Roman" w:hAnsi="Times New Roman"/>
          <w:sz w:val="22"/>
          <w:szCs w:val="22"/>
        </w:rPr>
        <w:t xml:space="preserve"> správania sa liečba kyselinou acetylsalicylovou musí prerušiť</w:t>
      </w:r>
      <w:r>
        <w:rPr>
          <w:rFonts w:ascii="Times New Roman" w:hAnsi="Times New Roman"/>
          <w:sz w:val="22"/>
          <w:szCs w:val="22"/>
        </w:rPr>
        <w:t>.</w:t>
      </w:r>
    </w:p>
    <w:p w14:paraId="04564AB8" w14:textId="77777777" w:rsidR="001643CD" w:rsidRPr="00C45747" w:rsidRDefault="001643CD" w:rsidP="006C46CB">
      <w:pPr>
        <w:pStyle w:val="Zkladntext3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</w:p>
    <w:p w14:paraId="7D7D34C1" w14:textId="0676A460" w:rsidR="001643CD" w:rsidRDefault="001643CD" w:rsidP="006C46CB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U pacientov, ktorí majú závažný nedostatok </w:t>
      </w:r>
      <w:r w:rsidR="008F1FFD">
        <w:rPr>
          <w:rFonts w:ascii="Times New Roman" w:hAnsi="Times New Roman"/>
          <w:sz w:val="22"/>
          <w:szCs w:val="22"/>
        </w:rPr>
        <w:t xml:space="preserve">enzýmu </w:t>
      </w:r>
      <w:r w:rsidRPr="00C45747">
        <w:rPr>
          <w:rStyle w:val="Zvraznenie"/>
          <w:rFonts w:ascii="Times New Roman" w:hAnsi="Times New Roman"/>
          <w:b w:val="0"/>
          <w:bCs/>
          <w:sz w:val="22"/>
          <w:szCs w:val="22"/>
        </w:rPr>
        <w:t>glukóz</w:t>
      </w:r>
      <w:r w:rsidR="008F1FFD">
        <w:rPr>
          <w:rStyle w:val="Zvraznenie"/>
          <w:rFonts w:ascii="Times New Roman" w:hAnsi="Times New Roman"/>
          <w:b w:val="0"/>
          <w:bCs/>
          <w:sz w:val="22"/>
          <w:szCs w:val="22"/>
        </w:rPr>
        <w:t>a</w:t>
      </w:r>
      <w:r w:rsidRPr="00C45747">
        <w:rPr>
          <w:rStyle w:val="Zvraznenie"/>
          <w:rFonts w:ascii="Times New Roman" w:hAnsi="Times New Roman"/>
          <w:b w:val="0"/>
          <w:bCs/>
          <w:sz w:val="22"/>
          <w:szCs w:val="22"/>
        </w:rPr>
        <w:t>-6-fosfát</w:t>
      </w:r>
      <w:r w:rsidRPr="00C45747">
        <w:rPr>
          <w:rFonts w:ascii="Times New Roman" w:hAnsi="Times New Roman"/>
          <w:sz w:val="22"/>
          <w:szCs w:val="22"/>
        </w:rPr>
        <w:t>-</w:t>
      </w:r>
      <w:r w:rsidRPr="00C45747">
        <w:rPr>
          <w:rStyle w:val="Zvraznenie"/>
          <w:rFonts w:ascii="Times New Roman" w:hAnsi="Times New Roman"/>
          <w:b w:val="0"/>
          <w:bCs/>
          <w:sz w:val="22"/>
          <w:szCs w:val="22"/>
        </w:rPr>
        <w:t>dehydrogenázy</w:t>
      </w:r>
      <w:r w:rsidR="008F1FFD">
        <w:rPr>
          <w:rStyle w:val="Zvraznenie"/>
          <w:rFonts w:ascii="Times New Roman" w:hAnsi="Times New Roman"/>
          <w:b w:val="0"/>
          <w:bCs/>
          <w:sz w:val="22"/>
          <w:szCs w:val="22"/>
        </w:rPr>
        <w:t>,</w:t>
      </w:r>
      <w:r w:rsidRPr="00C45747">
        <w:rPr>
          <w:rStyle w:val="Zvraznenie"/>
          <w:rFonts w:ascii="Times New Roman" w:hAnsi="Times New Roman"/>
          <w:b w:val="0"/>
          <w:bCs/>
          <w:sz w:val="22"/>
          <w:szCs w:val="22"/>
        </w:rPr>
        <w:t xml:space="preserve"> môže </w:t>
      </w:r>
      <w:r w:rsidRPr="00C45747">
        <w:rPr>
          <w:rFonts w:ascii="Times New Roman" w:hAnsi="Times New Roman"/>
          <w:sz w:val="22"/>
          <w:szCs w:val="22"/>
        </w:rPr>
        <w:t xml:space="preserve">kyselina acetylsalicylová vyvolať hemolýzu alebo hemolytickú anémiu. Faktory, ktoré môžu zvyšovať riziko hemolýzy sú napr. vysoké dávky, horúčka alebo akútne infekcie.  </w:t>
      </w:r>
    </w:p>
    <w:p w14:paraId="2967049E" w14:textId="77777777" w:rsidR="006E5154" w:rsidRDefault="006E5154" w:rsidP="006C46CB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5B8E9CAE" w14:textId="57191B96" w:rsidR="006E5154" w:rsidRPr="00C45747" w:rsidRDefault="006E5154" w:rsidP="006C46CB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6E5154">
        <w:rPr>
          <w:rFonts w:ascii="Times New Roman" w:hAnsi="Times New Roman"/>
          <w:sz w:val="22"/>
          <w:szCs w:val="22"/>
        </w:rPr>
        <w:t>Ten</w:t>
      </w:r>
      <w:r w:rsidR="008A0201">
        <w:rPr>
          <w:rFonts w:ascii="Times New Roman" w:hAnsi="Times New Roman"/>
          <w:sz w:val="22"/>
          <w:szCs w:val="22"/>
        </w:rPr>
        <w:t xml:space="preserve">to liek obsahuje 72 </w:t>
      </w:r>
      <w:r>
        <w:rPr>
          <w:rFonts w:ascii="Times New Roman" w:hAnsi="Times New Roman"/>
          <w:sz w:val="22"/>
          <w:szCs w:val="22"/>
        </w:rPr>
        <w:t>mg sodíka v jednej tablete</w:t>
      </w:r>
      <w:r w:rsidRPr="006E5154">
        <w:rPr>
          <w:rFonts w:ascii="Times New Roman" w:hAnsi="Times New Roman"/>
          <w:sz w:val="22"/>
          <w:szCs w:val="22"/>
        </w:rPr>
        <w:t xml:space="preserve">, čo zodpovedá </w:t>
      </w:r>
      <w:r>
        <w:rPr>
          <w:rFonts w:ascii="Times New Roman" w:hAnsi="Times New Roman"/>
          <w:sz w:val="22"/>
          <w:szCs w:val="22"/>
        </w:rPr>
        <w:t>3,6</w:t>
      </w:r>
      <w:r w:rsidRPr="006E5154">
        <w:rPr>
          <w:rFonts w:ascii="Times New Roman" w:hAnsi="Times New Roman"/>
          <w:sz w:val="22"/>
          <w:szCs w:val="22"/>
        </w:rPr>
        <w:t xml:space="preserve"> %</w:t>
      </w:r>
      <w:r>
        <w:rPr>
          <w:rFonts w:ascii="Times New Roman" w:hAnsi="Times New Roman"/>
          <w:sz w:val="22"/>
          <w:szCs w:val="22"/>
        </w:rPr>
        <w:t xml:space="preserve"> </w:t>
      </w:r>
      <w:r w:rsidRPr="006E5154">
        <w:rPr>
          <w:rFonts w:ascii="Times New Roman" w:hAnsi="Times New Roman"/>
          <w:sz w:val="22"/>
          <w:szCs w:val="22"/>
        </w:rPr>
        <w:t>WHO odporúčaného maximálneho denného</w:t>
      </w:r>
      <w:r>
        <w:rPr>
          <w:rFonts w:ascii="Times New Roman" w:hAnsi="Times New Roman"/>
          <w:sz w:val="22"/>
          <w:szCs w:val="22"/>
        </w:rPr>
        <w:t xml:space="preserve"> </w:t>
      </w:r>
      <w:r w:rsidRPr="006E5154">
        <w:rPr>
          <w:rFonts w:ascii="Times New Roman" w:hAnsi="Times New Roman"/>
          <w:sz w:val="22"/>
          <w:szCs w:val="22"/>
        </w:rPr>
        <w:t>príjmu 2 g sodíka pre dospelú osobu.</w:t>
      </w:r>
    </w:p>
    <w:p w14:paraId="475DCDFE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  <w:u w:val="single"/>
        </w:rPr>
      </w:pPr>
    </w:p>
    <w:p w14:paraId="74B4691B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  <w:r w:rsidRPr="00C45747">
        <w:rPr>
          <w:rFonts w:ascii="Times New Roman" w:hAnsi="Times New Roman"/>
          <w:b/>
          <w:sz w:val="22"/>
          <w:szCs w:val="22"/>
        </w:rPr>
        <w:t>4.5</w:t>
      </w:r>
      <w:r w:rsidRPr="00C45747">
        <w:rPr>
          <w:rFonts w:ascii="Times New Roman" w:hAnsi="Times New Roman"/>
          <w:b/>
          <w:sz w:val="22"/>
          <w:szCs w:val="22"/>
        </w:rPr>
        <w:tab/>
        <w:t>Liekové a iné interakcie</w:t>
      </w:r>
    </w:p>
    <w:p w14:paraId="483116DC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  <w:u w:val="single"/>
        </w:rPr>
      </w:pPr>
    </w:p>
    <w:p w14:paraId="1E46DF0C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  <w:u w:val="single"/>
        </w:rPr>
      </w:pPr>
      <w:r w:rsidRPr="00C45747">
        <w:rPr>
          <w:rFonts w:ascii="Times New Roman" w:hAnsi="Times New Roman"/>
          <w:sz w:val="22"/>
          <w:szCs w:val="22"/>
          <w:u w:val="single"/>
        </w:rPr>
        <w:t>Kontraindikované kombinácie:</w:t>
      </w:r>
    </w:p>
    <w:p w14:paraId="1FE7A322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  <w:u w:val="single"/>
        </w:rPr>
      </w:pPr>
    </w:p>
    <w:p w14:paraId="146A05AD" w14:textId="77777777" w:rsidR="001643CD" w:rsidRPr="00C45747" w:rsidRDefault="001643CD" w:rsidP="006C46CB">
      <w:pPr>
        <w:rPr>
          <w:rFonts w:ascii="Times New Roman" w:hAnsi="Times New Roman"/>
          <w:i/>
          <w:sz w:val="22"/>
          <w:szCs w:val="22"/>
        </w:rPr>
      </w:pPr>
      <w:r w:rsidRPr="00C45747">
        <w:rPr>
          <w:rFonts w:ascii="Times New Roman" w:hAnsi="Times New Roman"/>
          <w:i/>
          <w:sz w:val="22"/>
          <w:szCs w:val="22"/>
        </w:rPr>
        <w:t>Metotrexát používaný v dávke 15 mg/týždeň alebo vyššej:</w:t>
      </w:r>
    </w:p>
    <w:p w14:paraId="42688BC6" w14:textId="419D1FA8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Zvýšená hematologická toxicita metotrexátu (celkovo znížený renálny klírens metotrexátu antiflogistikami a vytesňovanie metotrexátu</w:t>
      </w:r>
      <w:r w:rsidR="00D14401">
        <w:rPr>
          <w:rFonts w:ascii="Times New Roman" w:hAnsi="Times New Roman"/>
          <w:sz w:val="22"/>
          <w:szCs w:val="22"/>
        </w:rPr>
        <w:t xml:space="preserve"> salicylátmi</w:t>
      </w:r>
      <w:r w:rsidRPr="00C45747">
        <w:rPr>
          <w:rFonts w:ascii="Times New Roman" w:hAnsi="Times New Roman"/>
          <w:sz w:val="22"/>
          <w:szCs w:val="22"/>
        </w:rPr>
        <w:t xml:space="preserve"> z väzby na plazmatické proteíny</w:t>
      </w:r>
      <w:r w:rsidR="00B76760">
        <w:rPr>
          <w:rFonts w:ascii="Times New Roman" w:hAnsi="Times New Roman"/>
          <w:sz w:val="22"/>
          <w:szCs w:val="22"/>
        </w:rPr>
        <w:t>)</w:t>
      </w:r>
      <w:r w:rsidRPr="00C45747">
        <w:rPr>
          <w:rFonts w:ascii="Times New Roman" w:hAnsi="Times New Roman"/>
          <w:sz w:val="22"/>
          <w:szCs w:val="22"/>
        </w:rPr>
        <w:t xml:space="preserve"> (pozri časť 4.3). </w:t>
      </w:r>
    </w:p>
    <w:p w14:paraId="3FC7012C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5084D172" w14:textId="7B20B864" w:rsidR="001643CD" w:rsidRPr="00C45747" w:rsidRDefault="00E31720" w:rsidP="006C46CB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Kombinácie vyžadujúce</w:t>
      </w:r>
      <w:r w:rsidR="001643CD" w:rsidRPr="00C45747">
        <w:rPr>
          <w:rFonts w:ascii="Times New Roman" w:hAnsi="Times New Roman"/>
          <w:sz w:val="22"/>
          <w:szCs w:val="22"/>
          <w:u w:val="single"/>
        </w:rPr>
        <w:t xml:space="preserve"> opatrnosť pri použití:</w:t>
      </w:r>
    </w:p>
    <w:p w14:paraId="1263E1CD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  <w:u w:val="single"/>
        </w:rPr>
      </w:pPr>
    </w:p>
    <w:p w14:paraId="1CDA31B8" w14:textId="747B3B3D" w:rsidR="001643CD" w:rsidRPr="00C45747" w:rsidRDefault="001643CD" w:rsidP="006C46CB">
      <w:pPr>
        <w:rPr>
          <w:rFonts w:ascii="Times New Roman" w:hAnsi="Times New Roman"/>
          <w:i/>
          <w:sz w:val="22"/>
          <w:szCs w:val="22"/>
        </w:rPr>
      </w:pPr>
      <w:r w:rsidRPr="00C45747">
        <w:rPr>
          <w:rFonts w:ascii="Times New Roman" w:hAnsi="Times New Roman"/>
          <w:i/>
          <w:sz w:val="22"/>
          <w:szCs w:val="22"/>
        </w:rPr>
        <w:t>Metotrex</w:t>
      </w:r>
      <w:r w:rsidR="000D05F6">
        <w:rPr>
          <w:rFonts w:ascii="Times New Roman" w:hAnsi="Times New Roman"/>
          <w:i/>
          <w:sz w:val="22"/>
          <w:szCs w:val="22"/>
        </w:rPr>
        <w:t xml:space="preserve">át používaný v dávke nižšej ako </w:t>
      </w:r>
      <w:r w:rsidRPr="00C45747">
        <w:rPr>
          <w:rFonts w:ascii="Times New Roman" w:hAnsi="Times New Roman"/>
          <w:i/>
          <w:sz w:val="22"/>
          <w:szCs w:val="22"/>
        </w:rPr>
        <w:t xml:space="preserve">15 mg/týždeň: </w:t>
      </w:r>
    </w:p>
    <w:p w14:paraId="79B214D1" w14:textId="369C8C8B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Zvýšená hematologická toxicita metotrexátu (celkovo </w:t>
      </w:r>
      <w:r w:rsidR="00013D6D">
        <w:rPr>
          <w:rFonts w:ascii="Times New Roman" w:hAnsi="Times New Roman"/>
          <w:sz w:val="22"/>
          <w:szCs w:val="22"/>
        </w:rPr>
        <w:t xml:space="preserve">sa účinkom antiflogistík </w:t>
      </w:r>
      <w:r w:rsidRPr="00C45747">
        <w:rPr>
          <w:rFonts w:ascii="Times New Roman" w:hAnsi="Times New Roman"/>
          <w:sz w:val="22"/>
          <w:szCs w:val="22"/>
        </w:rPr>
        <w:t>zn</w:t>
      </w:r>
      <w:r w:rsidR="00154D42">
        <w:rPr>
          <w:rFonts w:ascii="Times New Roman" w:hAnsi="Times New Roman"/>
          <w:sz w:val="22"/>
          <w:szCs w:val="22"/>
        </w:rPr>
        <w:t>i</w:t>
      </w:r>
      <w:r w:rsidRPr="00C45747">
        <w:rPr>
          <w:rFonts w:ascii="Times New Roman" w:hAnsi="Times New Roman"/>
          <w:sz w:val="22"/>
          <w:szCs w:val="22"/>
        </w:rPr>
        <w:t>ž</w:t>
      </w:r>
      <w:r w:rsidR="00013D6D">
        <w:rPr>
          <w:rFonts w:ascii="Times New Roman" w:hAnsi="Times New Roman"/>
          <w:sz w:val="22"/>
          <w:szCs w:val="22"/>
        </w:rPr>
        <w:t>uje</w:t>
      </w:r>
      <w:r w:rsidRPr="00C45747">
        <w:rPr>
          <w:rFonts w:ascii="Times New Roman" w:hAnsi="Times New Roman"/>
          <w:sz w:val="22"/>
          <w:szCs w:val="22"/>
        </w:rPr>
        <w:t xml:space="preserve"> renálny </w:t>
      </w:r>
      <w:r w:rsidR="00013D6D">
        <w:rPr>
          <w:rFonts w:ascii="Times New Roman" w:hAnsi="Times New Roman"/>
          <w:sz w:val="22"/>
          <w:szCs w:val="22"/>
        </w:rPr>
        <w:t xml:space="preserve">klírens </w:t>
      </w:r>
      <w:r w:rsidRPr="00C45747">
        <w:rPr>
          <w:rFonts w:ascii="Times New Roman" w:hAnsi="Times New Roman"/>
          <w:sz w:val="22"/>
          <w:szCs w:val="22"/>
        </w:rPr>
        <w:t xml:space="preserve">metotrexátu a vytesňovanie metotrexátu </w:t>
      </w:r>
      <w:r w:rsidR="00013D6D">
        <w:rPr>
          <w:rFonts w:ascii="Times New Roman" w:hAnsi="Times New Roman"/>
          <w:sz w:val="22"/>
          <w:szCs w:val="22"/>
        </w:rPr>
        <w:t xml:space="preserve">salicylátmi </w:t>
      </w:r>
      <w:r w:rsidRPr="00C45747">
        <w:rPr>
          <w:rFonts w:ascii="Times New Roman" w:hAnsi="Times New Roman"/>
          <w:sz w:val="22"/>
          <w:szCs w:val="22"/>
        </w:rPr>
        <w:t>z väzby na plazmatické proteíny).</w:t>
      </w:r>
    </w:p>
    <w:p w14:paraId="3FD57FE0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7C978837" w14:textId="058D914F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i/>
          <w:sz w:val="22"/>
          <w:szCs w:val="22"/>
        </w:rPr>
        <w:t>Antikoagulanciá, trombolytiká/iné inhibítory agregácie trombocytov:</w:t>
      </w:r>
    </w:p>
    <w:p w14:paraId="5C51AFFF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Zvýšené riziko krvácania.</w:t>
      </w:r>
    </w:p>
    <w:p w14:paraId="44D9B9F4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6FBFAA31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i/>
          <w:sz w:val="22"/>
          <w:szCs w:val="22"/>
        </w:rPr>
        <w:t>Iné nesteroidové antiflogistiká so salicylátmi vo vysokých dávkach</w:t>
      </w:r>
      <w:r w:rsidRPr="00C45747">
        <w:rPr>
          <w:rFonts w:ascii="Times New Roman" w:hAnsi="Times New Roman"/>
          <w:sz w:val="22"/>
          <w:szCs w:val="22"/>
        </w:rPr>
        <w:t>:</w:t>
      </w:r>
    </w:p>
    <w:p w14:paraId="26F110DD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V dôsledku synergického účinku je zvýšené riziko vzniku vredov a gastrointestinálneho krvácania.   </w:t>
      </w:r>
    </w:p>
    <w:p w14:paraId="0920B9E4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47881DDE" w14:textId="77777777" w:rsidR="001643CD" w:rsidRPr="00C45747" w:rsidRDefault="001643CD" w:rsidP="006C46CB">
      <w:pPr>
        <w:rPr>
          <w:rFonts w:ascii="Times New Roman" w:hAnsi="Times New Roman"/>
          <w:i/>
          <w:sz w:val="22"/>
          <w:szCs w:val="22"/>
        </w:rPr>
      </w:pPr>
      <w:r w:rsidRPr="00C45747">
        <w:rPr>
          <w:rFonts w:ascii="Times New Roman" w:hAnsi="Times New Roman"/>
          <w:i/>
          <w:sz w:val="22"/>
          <w:szCs w:val="22"/>
        </w:rPr>
        <w:t>Inhibítory spätného vychytávania sérotonínu (SSRIs):</w:t>
      </w:r>
    </w:p>
    <w:p w14:paraId="4BEEB6C6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V dôsledku pravdepodobného synergického účinku je zvýšené riziko krvácania v hornej časti gastrointestinálneho traktu.   </w:t>
      </w:r>
    </w:p>
    <w:p w14:paraId="1FE69DB4" w14:textId="77777777" w:rsidR="001643CD" w:rsidRPr="00C45747" w:rsidRDefault="001643CD" w:rsidP="006C46CB">
      <w:pPr>
        <w:rPr>
          <w:rFonts w:ascii="Times New Roman" w:hAnsi="Times New Roman"/>
          <w:i/>
          <w:sz w:val="22"/>
          <w:szCs w:val="22"/>
        </w:rPr>
      </w:pPr>
      <w:r w:rsidRPr="00C45747">
        <w:rPr>
          <w:rFonts w:ascii="Times New Roman" w:hAnsi="Times New Roman"/>
          <w:i/>
          <w:sz w:val="22"/>
          <w:szCs w:val="22"/>
        </w:rPr>
        <w:t xml:space="preserve"> </w:t>
      </w:r>
    </w:p>
    <w:p w14:paraId="6D3CB8B6" w14:textId="77777777" w:rsidR="001643CD" w:rsidRPr="00C45747" w:rsidRDefault="001643CD" w:rsidP="006C46CB">
      <w:pPr>
        <w:rPr>
          <w:rFonts w:ascii="Times New Roman" w:hAnsi="Times New Roman"/>
          <w:i/>
          <w:sz w:val="22"/>
          <w:szCs w:val="22"/>
        </w:rPr>
      </w:pPr>
      <w:r w:rsidRPr="00C45747">
        <w:rPr>
          <w:rFonts w:ascii="Times New Roman" w:hAnsi="Times New Roman"/>
          <w:i/>
          <w:sz w:val="22"/>
          <w:szCs w:val="22"/>
        </w:rPr>
        <w:t>Digoxín:</w:t>
      </w:r>
    </w:p>
    <w:p w14:paraId="4D871268" w14:textId="27CD2FE3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V dôsledku zníženého vylučovania obličkami s</w:t>
      </w:r>
      <w:r w:rsidR="00013D6D">
        <w:rPr>
          <w:rFonts w:ascii="Times New Roman" w:hAnsi="Times New Roman"/>
          <w:sz w:val="22"/>
          <w:szCs w:val="22"/>
        </w:rPr>
        <w:t>a</w:t>
      </w:r>
      <w:r w:rsidR="00E86CEE">
        <w:rPr>
          <w:rFonts w:ascii="Times New Roman" w:hAnsi="Times New Roman"/>
          <w:sz w:val="22"/>
          <w:szCs w:val="22"/>
        </w:rPr>
        <w:t xml:space="preserve"> zvy</w:t>
      </w:r>
      <w:r w:rsidRPr="00C45747">
        <w:rPr>
          <w:rFonts w:ascii="Times New Roman" w:hAnsi="Times New Roman"/>
          <w:sz w:val="22"/>
          <w:szCs w:val="22"/>
        </w:rPr>
        <w:t>š</w:t>
      </w:r>
      <w:r w:rsidR="00013D6D">
        <w:rPr>
          <w:rFonts w:ascii="Times New Roman" w:hAnsi="Times New Roman"/>
          <w:sz w:val="22"/>
          <w:szCs w:val="22"/>
        </w:rPr>
        <w:t>ujú</w:t>
      </w:r>
      <w:r w:rsidRPr="00C45747">
        <w:rPr>
          <w:rFonts w:ascii="Times New Roman" w:hAnsi="Times New Roman"/>
          <w:sz w:val="22"/>
          <w:szCs w:val="22"/>
        </w:rPr>
        <w:t xml:space="preserve"> plazmatické koncentrácie digoxínu.   </w:t>
      </w:r>
    </w:p>
    <w:p w14:paraId="51D9F606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31C020A4" w14:textId="399A5838" w:rsidR="001643CD" w:rsidRPr="00C45747" w:rsidRDefault="001643CD" w:rsidP="006C46CB">
      <w:pPr>
        <w:rPr>
          <w:rFonts w:ascii="Times New Roman" w:hAnsi="Times New Roman"/>
          <w:i/>
          <w:sz w:val="22"/>
          <w:szCs w:val="22"/>
        </w:rPr>
      </w:pPr>
      <w:r w:rsidRPr="00C45747">
        <w:rPr>
          <w:rFonts w:ascii="Times New Roman" w:hAnsi="Times New Roman"/>
          <w:i/>
          <w:sz w:val="22"/>
          <w:szCs w:val="22"/>
        </w:rPr>
        <w:t xml:space="preserve">Antidiabetiká, napr. inzulín, </w:t>
      </w:r>
      <w:r w:rsidR="00013D6D">
        <w:rPr>
          <w:rFonts w:ascii="Times New Roman" w:hAnsi="Times New Roman"/>
          <w:i/>
          <w:sz w:val="22"/>
          <w:szCs w:val="22"/>
        </w:rPr>
        <w:t xml:space="preserve">deriváty </w:t>
      </w:r>
      <w:r w:rsidRPr="00C45747">
        <w:rPr>
          <w:rFonts w:ascii="Times New Roman" w:hAnsi="Times New Roman"/>
          <w:i/>
          <w:sz w:val="22"/>
          <w:szCs w:val="22"/>
        </w:rPr>
        <w:t>sulfonylmočovin</w:t>
      </w:r>
      <w:r w:rsidR="00013D6D">
        <w:rPr>
          <w:rFonts w:ascii="Times New Roman" w:hAnsi="Times New Roman"/>
          <w:i/>
          <w:sz w:val="22"/>
          <w:szCs w:val="22"/>
        </w:rPr>
        <w:t>y</w:t>
      </w:r>
      <w:r w:rsidRPr="00C45747">
        <w:rPr>
          <w:rFonts w:ascii="Times New Roman" w:hAnsi="Times New Roman"/>
          <w:i/>
          <w:sz w:val="22"/>
          <w:szCs w:val="22"/>
        </w:rPr>
        <w:t xml:space="preserve">: </w:t>
      </w:r>
    </w:p>
    <w:p w14:paraId="66656592" w14:textId="77777777" w:rsidR="00B76760" w:rsidRDefault="00013D6D" w:rsidP="006C46CB">
      <w:pPr>
        <w:rPr>
          <w:rFonts w:ascii="Times New Roman" w:hAnsi="Times New Roman"/>
          <w:sz w:val="22"/>
          <w:szCs w:val="22"/>
        </w:rPr>
      </w:pPr>
      <w:r w:rsidRPr="00013D6D">
        <w:rPr>
          <w:rFonts w:ascii="Times New Roman" w:hAnsi="Times New Roman"/>
          <w:sz w:val="22"/>
          <w:szCs w:val="22"/>
        </w:rPr>
        <w:t>Zvýšený hypoglykemický účinok vyvolaný vysokými dávkami kyseliny acetylsalicylovej indukovaný hypoglykemickým účinkom kyseliny a</w:t>
      </w:r>
      <w:r>
        <w:rPr>
          <w:rFonts w:ascii="Times New Roman" w:hAnsi="Times New Roman"/>
          <w:sz w:val="22"/>
          <w:szCs w:val="22"/>
        </w:rPr>
        <w:t>cetylsalicylovej a vytesňovaním</w:t>
      </w:r>
      <w:r w:rsidRPr="00013D6D">
        <w:rPr>
          <w:rFonts w:ascii="Times New Roman" w:hAnsi="Times New Roman"/>
          <w:sz w:val="22"/>
          <w:szCs w:val="22"/>
        </w:rPr>
        <w:t xml:space="preserve"> derivátov sulfonylmočoviny z  väzby na plazmatické proteíny.</w:t>
      </w:r>
    </w:p>
    <w:p w14:paraId="4E3149F9" w14:textId="77777777" w:rsidR="001643CD" w:rsidRPr="00C45747" w:rsidRDefault="001643CD" w:rsidP="006C46CB">
      <w:pPr>
        <w:rPr>
          <w:rFonts w:ascii="Times New Roman" w:hAnsi="Times New Roman"/>
          <w:i/>
          <w:sz w:val="22"/>
          <w:szCs w:val="22"/>
        </w:rPr>
      </w:pPr>
    </w:p>
    <w:p w14:paraId="53EFB0CB" w14:textId="77777777" w:rsidR="001643CD" w:rsidRPr="00C45747" w:rsidRDefault="001643CD" w:rsidP="006C46CB">
      <w:pPr>
        <w:rPr>
          <w:rFonts w:ascii="Times New Roman" w:hAnsi="Times New Roman"/>
          <w:i/>
          <w:sz w:val="22"/>
          <w:szCs w:val="22"/>
        </w:rPr>
      </w:pPr>
      <w:r w:rsidRPr="00C45747">
        <w:rPr>
          <w:rFonts w:ascii="Times New Roman" w:hAnsi="Times New Roman"/>
          <w:i/>
          <w:sz w:val="22"/>
          <w:szCs w:val="22"/>
        </w:rPr>
        <w:t xml:space="preserve">Diuretiká v kombinácii s vysokými dávkami kyseliny acetylsalicylovej: </w:t>
      </w:r>
    </w:p>
    <w:p w14:paraId="2D5E45B2" w14:textId="1B3D7ABD" w:rsidR="001643CD" w:rsidRPr="00C45747" w:rsidRDefault="00013D6D" w:rsidP="006C46C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Dochádza k z</w:t>
      </w:r>
      <w:r w:rsidR="001643CD" w:rsidRPr="00C45747">
        <w:rPr>
          <w:rFonts w:ascii="Times New Roman" w:hAnsi="Times New Roman"/>
          <w:sz w:val="22"/>
          <w:szCs w:val="22"/>
        </w:rPr>
        <w:t>nížen</w:t>
      </w:r>
      <w:r>
        <w:rPr>
          <w:rFonts w:ascii="Times New Roman" w:hAnsi="Times New Roman"/>
          <w:sz w:val="22"/>
          <w:szCs w:val="22"/>
        </w:rPr>
        <w:t>iu</w:t>
      </w:r>
      <w:r w:rsidR="001643CD" w:rsidRPr="00C45747">
        <w:rPr>
          <w:rFonts w:ascii="Times New Roman" w:hAnsi="Times New Roman"/>
          <w:sz w:val="22"/>
          <w:szCs w:val="22"/>
        </w:rPr>
        <w:t xml:space="preserve"> glomerulárn</w:t>
      </w:r>
      <w:r>
        <w:rPr>
          <w:rFonts w:ascii="Times New Roman" w:hAnsi="Times New Roman"/>
          <w:sz w:val="22"/>
          <w:szCs w:val="22"/>
        </w:rPr>
        <w:t>ej</w:t>
      </w:r>
      <w:r w:rsidR="001643CD" w:rsidRPr="00C45747">
        <w:rPr>
          <w:rFonts w:ascii="Times New Roman" w:hAnsi="Times New Roman"/>
          <w:sz w:val="22"/>
          <w:szCs w:val="22"/>
        </w:rPr>
        <w:t xml:space="preserve"> filtráci</w:t>
      </w:r>
      <w:r>
        <w:rPr>
          <w:rFonts w:ascii="Times New Roman" w:hAnsi="Times New Roman"/>
          <w:sz w:val="22"/>
          <w:szCs w:val="22"/>
        </w:rPr>
        <w:t>e</w:t>
      </w:r>
      <w:r w:rsidR="001643CD" w:rsidRPr="00C45747">
        <w:rPr>
          <w:rFonts w:ascii="Times New Roman" w:hAnsi="Times New Roman"/>
          <w:sz w:val="22"/>
          <w:szCs w:val="22"/>
        </w:rPr>
        <w:t xml:space="preserve"> tým, že sa znižuje syntéza renálnych prostaglandínov. </w:t>
      </w:r>
    </w:p>
    <w:p w14:paraId="14A4915D" w14:textId="77777777" w:rsidR="001643CD" w:rsidRPr="00C45747" w:rsidRDefault="001643CD" w:rsidP="006C46CB">
      <w:pPr>
        <w:rPr>
          <w:rFonts w:ascii="Times New Roman" w:hAnsi="Times New Roman"/>
          <w:i/>
          <w:sz w:val="22"/>
          <w:szCs w:val="22"/>
        </w:rPr>
      </w:pPr>
    </w:p>
    <w:p w14:paraId="08694C25" w14:textId="5D565B53" w:rsidR="001643CD" w:rsidRPr="00C45747" w:rsidRDefault="001643CD" w:rsidP="006C46CB">
      <w:pPr>
        <w:rPr>
          <w:rFonts w:ascii="Times New Roman" w:hAnsi="Times New Roman"/>
          <w:i/>
          <w:sz w:val="22"/>
          <w:szCs w:val="22"/>
        </w:rPr>
      </w:pPr>
      <w:r w:rsidRPr="00C45747">
        <w:rPr>
          <w:rFonts w:ascii="Times New Roman" w:hAnsi="Times New Roman"/>
          <w:i/>
          <w:sz w:val="22"/>
          <w:szCs w:val="22"/>
        </w:rPr>
        <w:t xml:space="preserve">Systémové glukokortikoidy, okrem hydrokortizónu používaného </w:t>
      </w:r>
      <w:r w:rsidR="0015778A">
        <w:rPr>
          <w:rFonts w:ascii="Times New Roman" w:hAnsi="Times New Roman"/>
          <w:i/>
          <w:sz w:val="22"/>
          <w:szCs w:val="22"/>
        </w:rPr>
        <w:t>v substitučnej liečbe</w:t>
      </w:r>
      <w:r w:rsidRPr="00C45747">
        <w:rPr>
          <w:rFonts w:ascii="Times New Roman" w:hAnsi="Times New Roman"/>
          <w:i/>
          <w:sz w:val="22"/>
          <w:szCs w:val="22"/>
        </w:rPr>
        <w:t xml:space="preserve"> Addisonovej chorob</w:t>
      </w:r>
      <w:r w:rsidR="0015778A">
        <w:rPr>
          <w:rFonts w:ascii="Times New Roman" w:hAnsi="Times New Roman"/>
          <w:i/>
          <w:sz w:val="22"/>
          <w:szCs w:val="22"/>
        </w:rPr>
        <w:t>y</w:t>
      </w:r>
      <w:r w:rsidRPr="00C45747">
        <w:rPr>
          <w:rFonts w:ascii="Times New Roman" w:hAnsi="Times New Roman"/>
          <w:i/>
          <w:sz w:val="22"/>
          <w:szCs w:val="22"/>
        </w:rPr>
        <w:t xml:space="preserve">: </w:t>
      </w:r>
    </w:p>
    <w:p w14:paraId="4A9AD320" w14:textId="5425088C" w:rsidR="001643CD" w:rsidRPr="00C45747" w:rsidRDefault="00013D6D" w:rsidP="006C46C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Počas liečby kortikosteroidmi môže dôjsť k z</w:t>
      </w:r>
      <w:r w:rsidR="001643CD" w:rsidRPr="00F531E4">
        <w:rPr>
          <w:rFonts w:ascii="Times New Roman" w:hAnsi="Times New Roman"/>
          <w:sz w:val="22"/>
          <w:szCs w:val="22"/>
        </w:rPr>
        <w:t>nížen</w:t>
      </w:r>
      <w:r>
        <w:rPr>
          <w:rFonts w:ascii="Times New Roman" w:hAnsi="Times New Roman"/>
          <w:sz w:val="22"/>
          <w:szCs w:val="22"/>
        </w:rPr>
        <w:t>iu</w:t>
      </w:r>
      <w:r w:rsidR="001643CD" w:rsidRPr="00F531E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plazmatickej koncentrácie</w:t>
      </w:r>
      <w:r w:rsidR="001643CD" w:rsidRPr="00F531E4">
        <w:rPr>
          <w:rFonts w:ascii="Times New Roman" w:hAnsi="Times New Roman"/>
          <w:sz w:val="22"/>
          <w:szCs w:val="22"/>
        </w:rPr>
        <w:t xml:space="preserve"> salicylátov a</w:t>
      </w:r>
      <w:r>
        <w:rPr>
          <w:rFonts w:ascii="Times New Roman" w:hAnsi="Times New Roman"/>
          <w:sz w:val="22"/>
          <w:szCs w:val="22"/>
        </w:rPr>
        <w:t xml:space="preserve"> existuje</w:t>
      </w:r>
      <w:r w:rsidR="001643CD" w:rsidRPr="00F531E4">
        <w:rPr>
          <w:rFonts w:ascii="Times New Roman" w:hAnsi="Times New Roman"/>
          <w:sz w:val="22"/>
          <w:szCs w:val="22"/>
        </w:rPr>
        <w:t xml:space="preserve"> riziko predávkovania salicylátmi po ukončení liečby v dôsledku zvýšenej eliminácie salicylátov kortikosteroidmi.</w:t>
      </w:r>
    </w:p>
    <w:p w14:paraId="30A2487E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5CC3E9C1" w14:textId="2BC5BC1A" w:rsidR="001643CD" w:rsidRPr="00C45747" w:rsidRDefault="001643CD" w:rsidP="006C46CB">
      <w:pPr>
        <w:rPr>
          <w:rFonts w:ascii="Times New Roman" w:hAnsi="Times New Roman"/>
          <w:i/>
          <w:sz w:val="22"/>
          <w:szCs w:val="22"/>
        </w:rPr>
      </w:pPr>
      <w:r w:rsidRPr="00C45747">
        <w:rPr>
          <w:rFonts w:ascii="Times New Roman" w:hAnsi="Times New Roman"/>
          <w:i/>
          <w:sz w:val="22"/>
          <w:szCs w:val="22"/>
        </w:rPr>
        <w:t xml:space="preserve">Inhibítory angiotenzín konvertujúceho enzýmu (ACE  inhibítory) </w:t>
      </w:r>
      <w:r>
        <w:rPr>
          <w:rFonts w:ascii="Times New Roman" w:hAnsi="Times New Roman"/>
          <w:i/>
          <w:sz w:val="22"/>
          <w:szCs w:val="22"/>
        </w:rPr>
        <w:t xml:space="preserve">a </w:t>
      </w:r>
      <w:r w:rsidRPr="00C12D13">
        <w:rPr>
          <w:rFonts w:ascii="Times New Roman" w:hAnsi="Times New Roman"/>
          <w:i/>
          <w:sz w:val="22"/>
          <w:szCs w:val="22"/>
        </w:rPr>
        <w:t>antagonisty receptorov angiotenzínu-II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C45747">
        <w:rPr>
          <w:rFonts w:ascii="Times New Roman" w:hAnsi="Times New Roman"/>
          <w:i/>
          <w:sz w:val="22"/>
          <w:szCs w:val="22"/>
        </w:rPr>
        <w:t xml:space="preserve">v kombinácii s vysokými dávkami kyseliny acetylsalicylovej: </w:t>
      </w:r>
    </w:p>
    <w:p w14:paraId="62EB851A" w14:textId="10AFC778" w:rsidR="001643CD" w:rsidRPr="00C45747" w:rsidRDefault="00CD5AC5" w:rsidP="006C46C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Môže dôjsť k z</w:t>
      </w:r>
      <w:r w:rsidR="001643CD" w:rsidRPr="00C45747">
        <w:rPr>
          <w:rFonts w:ascii="Times New Roman" w:hAnsi="Times New Roman"/>
          <w:sz w:val="22"/>
          <w:szCs w:val="22"/>
        </w:rPr>
        <w:t>nížen</w:t>
      </w:r>
      <w:r>
        <w:rPr>
          <w:rFonts w:ascii="Times New Roman" w:hAnsi="Times New Roman"/>
          <w:sz w:val="22"/>
          <w:szCs w:val="22"/>
        </w:rPr>
        <w:t>iu</w:t>
      </w:r>
      <w:r w:rsidR="001643CD" w:rsidRPr="00C45747">
        <w:rPr>
          <w:rFonts w:ascii="Times New Roman" w:hAnsi="Times New Roman"/>
          <w:sz w:val="22"/>
          <w:szCs w:val="22"/>
        </w:rPr>
        <w:t xml:space="preserve"> glomerulárn</w:t>
      </w:r>
      <w:r>
        <w:rPr>
          <w:rFonts w:ascii="Times New Roman" w:hAnsi="Times New Roman"/>
          <w:sz w:val="22"/>
          <w:szCs w:val="22"/>
        </w:rPr>
        <w:t>ej</w:t>
      </w:r>
      <w:r w:rsidR="001643CD" w:rsidRPr="00C45747">
        <w:rPr>
          <w:rFonts w:ascii="Times New Roman" w:hAnsi="Times New Roman"/>
          <w:sz w:val="22"/>
          <w:szCs w:val="22"/>
        </w:rPr>
        <w:t xml:space="preserve"> filtráci</w:t>
      </w:r>
      <w:r>
        <w:rPr>
          <w:rFonts w:ascii="Times New Roman" w:hAnsi="Times New Roman"/>
          <w:sz w:val="22"/>
          <w:szCs w:val="22"/>
        </w:rPr>
        <w:t>e</w:t>
      </w:r>
      <w:r w:rsidR="001643CD" w:rsidRPr="00C45747">
        <w:rPr>
          <w:rFonts w:ascii="Times New Roman" w:hAnsi="Times New Roman"/>
          <w:sz w:val="22"/>
          <w:szCs w:val="22"/>
        </w:rPr>
        <w:t xml:space="preserve"> tým, že sa inhibuj</w:t>
      </w:r>
      <w:r>
        <w:rPr>
          <w:rFonts w:ascii="Times New Roman" w:hAnsi="Times New Roman"/>
          <w:sz w:val="22"/>
          <w:szCs w:val="22"/>
        </w:rPr>
        <w:t>e syntéza</w:t>
      </w:r>
      <w:r w:rsidR="001643CD" w:rsidRPr="00C45747">
        <w:rPr>
          <w:rFonts w:ascii="Times New Roman" w:hAnsi="Times New Roman"/>
          <w:sz w:val="22"/>
          <w:szCs w:val="22"/>
        </w:rPr>
        <w:t xml:space="preserve"> vazodilatačn</w:t>
      </w:r>
      <w:r>
        <w:rPr>
          <w:rFonts w:ascii="Times New Roman" w:hAnsi="Times New Roman"/>
          <w:sz w:val="22"/>
          <w:szCs w:val="22"/>
        </w:rPr>
        <w:t>ých</w:t>
      </w:r>
      <w:r w:rsidR="001643CD" w:rsidRPr="00C45747">
        <w:rPr>
          <w:rFonts w:ascii="Times New Roman" w:hAnsi="Times New Roman"/>
          <w:sz w:val="22"/>
          <w:szCs w:val="22"/>
        </w:rPr>
        <w:t xml:space="preserve">  prostaglandín</w:t>
      </w:r>
      <w:r>
        <w:rPr>
          <w:rFonts w:ascii="Times New Roman" w:hAnsi="Times New Roman"/>
          <w:sz w:val="22"/>
          <w:szCs w:val="22"/>
        </w:rPr>
        <w:t>ov</w:t>
      </w:r>
      <w:r w:rsidR="001643CD" w:rsidRPr="00C45747">
        <w:rPr>
          <w:rFonts w:ascii="Times New Roman" w:hAnsi="Times New Roman"/>
          <w:sz w:val="22"/>
          <w:szCs w:val="22"/>
        </w:rPr>
        <w:t xml:space="preserve">. Okrem toho je znížený antihypertenzívny účinok. </w:t>
      </w:r>
    </w:p>
    <w:p w14:paraId="005E172F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34AC064B" w14:textId="5DBB4396" w:rsidR="001643CD" w:rsidRPr="00C45747" w:rsidRDefault="00CD5AC5" w:rsidP="006C46C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K</w:t>
      </w:r>
      <w:r w:rsidR="001643CD" w:rsidRPr="00C45747">
        <w:rPr>
          <w:rFonts w:ascii="Times New Roman" w:hAnsi="Times New Roman"/>
          <w:i/>
          <w:sz w:val="22"/>
          <w:szCs w:val="22"/>
        </w:rPr>
        <w:t>yselina</w:t>
      </w:r>
      <w:r>
        <w:rPr>
          <w:rFonts w:ascii="Times New Roman" w:hAnsi="Times New Roman"/>
          <w:i/>
          <w:sz w:val="22"/>
          <w:szCs w:val="22"/>
        </w:rPr>
        <w:t xml:space="preserve"> valproová</w:t>
      </w:r>
      <w:r w:rsidR="001643CD" w:rsidRPr="00C45747">
        <w:rPr>
          <w:rFonts w:ascii="Times New Roman" w:hAnsi="Times New Roman"/>
          <w:i/>
          <w:sz w:val="22"/>
          <w:szCs w:val="22"/>
        </w:rPr>
        <w:t>:</w:t>
      </w:r>
      <w:r w:rsidR="001643CD" w:rsidRPr="00C45747">
        <w:rPr>
          <w:rFonts w:ascii="Times New Roman" w:hAnsi="Times New Roman"/>
          <w:sz w:val="22"/>
          <w:szCs w:val="22"/>
        </w:rPr>
        <w:t xml:space="preserve"> </w:t>
      </w:r>
    </w:p>
    <w:p w14:paraId="467A4922" w14:textId="3D69DA8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Zvýšen</w:t>
      </w:r>
      <w:r w:rsidR="00CD5AC5">
        <w:rPr>
          <w:rFonts w:ascii="Times New Roman" w:hAnsi="Times New Roman"/>
          <w:sz w:val="22"/>
          <w:szCs w:val="22"/>
        </w:rPr>
        <w:t>ie</w:t>
      </w:r>
      <w:r w:rsidRPr="00C45747">
        <w:rPr>
          <w:rFonts w:ascii="Times New Roman" w:hAnsi="Times New Roman"/>
          <w:sz w:val="22"/>
          <w:szCs w:val="22"/>
        </w:rPr>
        <w:t xml:space="preserve"> toxicit</w:t>
      </w:r>
      <w:r w:rsidR="00CD5AC5">
        <w:rPr>
          <w:rFonts w:ascii="Times New Roman" w:hAnsi="Times New Roman"/>
          <w:sz w:val="22"/>
          <w:szCs w:val="22"/>
        </w:rPr>
        <w:t>y</w:t>
      </w:r>
      <w:r w:rsidRPr="00C45747">
        <w:rPr>
          <w:rFonts w:ascii="Times New Roman" w:hAnsi="Times New Roman"/>
          <w:sz w:val="22"/>
          <w:szCs w:val="22"/>
        </w:rPr>
        <w:t xml:space="preserve"> kyseliny valproovej v dôsledku jej vytesnenia z väzbových miest </w:t>
      </w:r>
      <w:r w:rsidR="00CD5AC5">
        <w:rPr>
          <w:rFonts w:ascii="Times New Roman" w:hAnsi="Times New Roman"/>
          <w:sz w:val="22"/>
          <w:szCs w:val="22"/>
        </w:rPr>
        <w:t xml:space="preserve">na </w:t>
      </w:r>
      <w:r w:rsidRPr="00C45747">
        <w:rPr>
          <w:rFonts w:ascii="Times New Roman" w:hAnsi="Times New Roman"/>
          <w:sz w:val="22"/>
          <w:szCs w:val="22"/>
        </w:rPr>
        <w:t>proteíno</w:t>
      </w:r>
      <w:r w:rsidR="00CD5AC5">
        <w:rPr>
          <w:rFonts w:ascii="Times New Roman" w:hAnsi="Times New Roman"/>
          <w:sz w:val="22"/>
          <w:szCs w:val="22"/>
        </w:rPr>
        <w:t>ch</w:t>
      </w:r>
      <w:r w:rsidRPr="00C45747">
        <w:rPr>
          <w:rFonts w:ascii="Times New Roman" w:hAnsi="Times New Roman"/>
          <w:sz w:val="22"/>
          <w:szCs w:val="22"/>
        </w:rPr>
        <w:t xml:space="preserve">. </w:t>
      </w:r>
    </w:p>
    <w:p w14:paraId="5C547611" w14:textId="77777777" w:rsidR="001643CD" w:rsidRDefault="001643CD" w:rsidP="006C46CB">
      <w:pPr>
        <w:rPr>
          <w:rFonts w:ascii="Times New Roman" w:hAnsi="Times New Roman"/>
          <w:i/>
          <w:sz w:val="22"/>
          <w:szCs w:val="22"/>
        </w:rPr>
      </w:pPr>
    </w:p>
    <w:p w14:paraId="2F42466A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i/>
          <w:sz w:val="22"/>
          <w:szCs w:val="22"/>
        </w:rPr>
        <w:t>Alkohol:</w:t>
      </w:r>
      <w:r w:rsidRPr="00C45747">
        <w:rPr>
          <w:rFonts w:ascii="Times New Roman" w:hAnsi="Times New Roman"/>
          <w:sz w:val="22"/>
          <w:szCs w:val="22"/>
        </w:rPr>
        <w:t xml:space="preserve"> </w:t>
      </w:r>
    </w:p>
    <w:p w14:paraId="1C941AFD" w14:textId="20F15233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Zvýšené poškodenie gastrointestinálnej sliznice a predĺžený čas krvácania v dôsledku aditívnych účinkov kyseliny acetylsalicylovej a alkoholu. </w:t>
      </w:r>
    </w:p>
    <w:p w14:paraId="78DC2483" w14:textId="77777777" w:rsidR="001643CD" w:rsidRPr="00C45747" w:rsidRDefault="001643CD" w:rsidP="006C46CB">
      <w:pPr>
        <w:rPr>
          <w:rFonts w:ascii="Times New Roman" w:hAnsi="Times New Roman"/>
          <w:i/>
          <w:sz w:val="22"/>
          <w:szCs w:val="22"/>
        </w:rPr>
      </w:pPr>
    </w:p>
    <w:p w14:paraId="3071B62B" w14:textId="77777777" w:rsidR="001643CD" w:rsidRPr="00C45747" w:rsidRDefault="001643CD" w:rsidP="006C46CB">
      <w:pPr>
        <w:rPr>
          <w:rFonts w:ascii="Times New Roman" w:hAnsi="Times New Roman"/>
          <w:i/>
          <w:sz w:val="22"/>
          <w:szCs w:val="22"/>
        </w:rPr>
      </w:pPr>
      <w:r w:rsidRPr="00C45747">
        <w:rPr>
          <w:rFonts w:ascii="Times New Roman" w:hAnsi="Times New Roman"/>
          <w:i/>
          <w:sz w:val="22"/>
          <w:szCs w:val="22"/>
        </w:rPr>
        <w:t>Urikozuriká, ako sú benzbromarón, probenecid:</w:t>
      </w:r>
    </w:p>
    <w:p w14:paraId="15665DC6" w14:textId="50B60341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Znížen</w:t>
      </w:r>
      <w:r w:rsidR="00521C85">
        <w:rPr>
          <w:rFonts w:ascii="Times New Roman" w:hAnsi="Times New Roman"/>
          <w:sz w:val="22"/>
          <w:szCs w:val="22"/>
        </w:rPr>
        <w:t>ie</w:t>
      </w:r>
      <w:r w:rsidRPr="00C45747">
        <w:rPr>
          <w:rFonts w:ascii="Times New Roman" w:hAnsi="Times New Roman"/>
          <w:sz w:val="22"/>
          <w:szCs w:val="22"/>
        </w:rPr>
        <w:t xml:space="preserve"> urikozurick</w:t>
      </w:r>
      <w:r w:rsidR="00521C85">
        <w:rPr>
          <w:rFonts w:ascii="Times New Roman" w:hAnsi="Times New Roman"/>
          <w:sz w:val="22"/>
          <w:szCs w:val="22"/>
        </w:rPr>
        <w:t>ého</w:t>
      </w:r>
      <w:r w:rsidRPr="00C45747">
        <w:rPr>
          <w:rFonts w:ascii="Times New Roman" w:hAnsi="Times New Roman"/>
          <w:sz w:val="22"/>
          <w:szCs w:val="22"/>
        </w:rPr>
        <w:t xml:space="preserve"> účin</w:t>
      </w:r>
      <w:r w:rsidR="00521C85">
        <w:rPr>
          <w:rFonts w:ascii="Times New Roman" w:hAnsi="Times New Roman"/>
          <w:sz w:val="22"/>
          <w:szCs w:val="22"/>
        </w:rPr>
        <w:t>ku</w:t>
      </w:r>
      <w:r w:rsidRPr="00C45747">
        <w:rPr>
          <w:rFonts w:ascii="Times New Roman" w:hAnsi="Times New Roman"/>
          <w:sz w:val="22"/>
          <w:szCs w:val="22"/>
        </w:rPr>
        <w:t xml:space="preserve"> (kompetíciou </w:t>
      </w:r>
      <w:r w:rsidR="00521C85">
        <w:rPr>
          <w:rFonts w:ascii="Times New Roman" w:hAnsi="Times New Roman"/>
          <w:sz w:val="22"/>
          <w:szCs w:val="22"/>
        </w:rPr>
        <w:t xml:space="preserve">s </w:t>
      </w:r>
      <w:r w:rsidRPr="00C45747">
        <w:rPr>
          <w:rFonts w:ascii="Times New Roman" w:hAnsi="Times New Roman"/>
          <w:sz w:val="22"/>
          <w:szCs w:val="22"/>
        </w:rPr>
        <w:t>elimináci</w:t>
      </w:r>
      <w:r w:rsidR="00521C85">
        <w:rPr>
          <w:rFonts w:ascii="Times New Roman" w:hAnsi="Times New Roman"/>
          <w:sz w:val="22"/>
          <w:szCs w:val="22"/>
        </w:rPr>
        <w:t>ou</w:t>
      </w:r>
      <w:r w:rsidRPr="00C45747">
        <w:rPr>
          <w:rFonts w:ascii="Times New Roman" w:hAnsi="Times New Roman"/>
          <w:sz w:val="22"/>
          <w:szCs w:val="22"/>
        </w:rPr>
        <w:t xml:space="preserve"> kyseliny močovej</w:t>
      </w:r>
      <w:r w:rsidR="00521C85">
        <w:rPr>
          <w:rFonts w:ascii="Times New Roman" w:hAnsi="Times New Roman"/>
          <w:sz w:val="22"/>
          <w:szCs w:val="22"/>
        </w:rPr>
        <w:t xml:space="preserve"> v obličkových tubuloch</w:t>
      </w:r>
      <w:r w:rsidRPr="00C45747">
        <w:rPr>
          <w:rFonts w:ascii="Times New Roman" w:hAnsi="Times New Roman"/>
          <w:sz w:val="22"/>
          <w:szCs w:val="22"/>
        </w:rPr>
        <w:t>).</w:t>
      </w:r>
    </w:p>
    <w:p w14:paraId="132839B8" w14:textId="77777777" w:rsidR="001643CD" w:rsidRPr="00C45747" w:rsidRDefault="001643CD" w:rsidP="006C46CB">
      <w:pPr>
        <w:rPr>
          <w:rFonts w:ascii="Times New Roman" w:hAnsi="Times New Roman"/>
          <w:i/>
          <w:sz w:val="22"/>
          <w:szCs w:val="22"/>
        </w:rPr>
      </w:pPr>
    </w:p>
    <w:p w14:paraId="35529B46" w14:textId="1D55946D" w:rsidR="001643CD" w:rsidRDefault="00381A79" w:rsidP="006C46CB">
      <w:pPr>
        <w:rPr>
          <w:rFonts w:ascii="Times New Roman" w:hAnsi="Times New Roman"/>
          <w:sz w:val="22"/>
          <w:szCs w:val="22"/>
        </w:rPr>
      </w:pPr>
      <w:r w:rsidRPr="004815E7">
        <w:rPr>
          <w:rFonts w:ascii="Times New Roman" w:hAnsi="Times New Roman"/>
          <w:i/>
          <w:sz w:val="22"/>
          <w:szCs w:val="22"/>
        </w:rPr>
        <w:t>Deferasirox:</w:t>
      </w:r>
    </w:p>
    <w:p w14:paraId="3D1BA479" w14:textId="6738FA22" w:rsidR="001643CD" w:rsidRDefault="001643CD" w:rsidP="006C46C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Zvýše</w:t>
      </w:r>
      <w:r w:rsidR="00072EF4">
        <w:rPr>
          <w:rFonts w:ascii="Times New Roman" w:hAnsi="Times New Roman"/>
          <w:sz w:val="22"/>
          <w:szCs w:val="22"/>
        </w:rPr>
        <w:t>nie</w:t>
      </w:r>
      <w:r>
        <w:rPr>
          <w:rFonts w:ascii="Times New Roman" w:hAnsi="Times New Roman"/>
          <w:sz w:val="22"/>
          <w:szCs w:val="22"/>
        </w:rPr>
        <w:t xml:space="preserve"> rizik</w:t>
      </w:r>
      <w:r w:rsidR="00072EF4">
        <w:rPr>
          <w:rFonts w:ascii="Times New Roman" w:hAnsi="Times New Roman"/>
          <w:sz w:val="22"/>
          <w:szCs w:val="22"/>
        </w:rPr>
        <w:t>a vzniku</w:t>
      </w:r>
      <w:r w:rsidRPr="00C4574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gastrointestinálnych vredov a krvácania.</w:t>
      </w:r>
    </w:p>
    <w:p w14:paraId="688179D7" w14:textId="77777777" w:rsidR="001643CD" w:rsidRDefault="001643CD" w:rsidP="006C46CB">
      <w:pPr>
        <w:rPr>
          <w:rFonts w:ascii="Times New Roman" w:hAnsi="Times New Roman"/>
          <w:sz w:val="22"/>
          <w:szCs w:val="22"/>
        </w:rPr>
      </w:pPr>
    </w:p>
    <w:p w14:paraId="4A2C1CAC" w14:textId="77777777" w:rsidR="001643CD" w:rsidRPr="004815E7" w:rsidRDefault="00381A79" w:rsidP="006C46CB">
      <w:pPr>
        <w:rPr>
          <w:rFonts w:ascii="Times New Roman" w:hAnsi="Times New Roman"/>
          <w:i/>
          <w:sz w:val="22"/>
          <w:szCs w:val="22"/>
        </w:rPr>
      </w:pPr>
      <w:r w:rsidRPr="004815E7">
        <w:rPr>
          <w:rFonts w:ascii="Times New Roman" w:hAnsi="Times New Roman"/>
          <w:i/>
          <w:sz w:val="22"/>
          <w:szCs w:val="22"/>
        </w:rPr>
        <w:t>Pemetrexed:</w:t>
      </w:r>
    </w:p>
    <w:p w14:paraId="1954DE16" w14:textId="692F6F41" w:rsidR="001643CD" w:rsidRDefault="001643CD" w:rsidP="006C46C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Zvýšen</w:t>
      </w:r>
      <w:r w:rsidR="00072EF4">
        <w:rPr>
          <w:rFonts w:ascii="Times New Roman" w:hAnsi="Times New Roman"/>
          <w:sz w:val="22"/>
          <w:szCs w:val="22"/>
        </w:rPr>
        <w:t>ie</w:t>
      </w:r>
      <w:r>
        <w:rPr>
          <w:rFonts w:ascii="Times New Roman" w:hAnsi="Times New Roman"/>
          <w:sz w:val="22"/>
          <w:szCs w:val="22"/>
        </w:rPr>
        <w:t xml:space="preserve"> rizik</w:t>
      </w:r>
      <w:r w:rsidR="00072EF4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toxicity pemetrexedu u pacientov s miernou alebo stredne závažnou poruchou funkcie obličiek (kvôli zníže</w:t>
      </w:r>
      <w:r w:rsidR="00072EF4">
        <w:rPr>
          <w:rFonts w:ascii="Times New Roman" w:hAnsi="Times New Roman"/>
          <w:sz w:val="22"/>
          <w:szCs w:val="22"/>
        </w:rPr>
        <w:t>niu</w:t>
      </w:r>
      <w:r>
        <w:rPr>
          <w:rFonts w:ascii="Times New Roman" w:hAnsi="Times New Roman"/>
          <w:sz w:val="22"/>
          <w:szCs w:val="22"/>
        </w:rPr>
        <w:t xml:space="preserve"> renálne</w:t>
      </w:r>
      <w:r w:rsidR="00072EF4">
        <w:rPr>
          <w:rFonts w:ascii="Times New Roman" w:hAnsi="Times New Roman"/>
          <w:sz w:val="22"/>
          <w:szCs w:val="22"/>
        </w:rPr>
        <w:t>ho</w:t>
      </w:r>
      <w:r>
        <w:rPr>
          <w:rFonts w:ascii="Times New Roman" w:hAnsi="Times New Roman"/>
          <w:sz w:val="22"/>
          <w:szCs w:val="22"/>
        </w:rPr>
        <w:t xml:space="preserve"> klírensu pemetrexedu kyselinou acetylsalicylovou). Funkcia obličiek má byť monitorovaná. </w:t>
      </w:r>
    </w:p>
    <w:p w14:paraId="67D89F2C" w14:textId="77777777" w:rsidR="001643CD" w:rsidRDefault="001643CD" w:rsidP="006C46CB">
      <w:pPr>
        <w:rPr>
          <w:rFonts w:ascii="Times New Roman" w:hAnsi="Times New Roman"/>
          <w:sz w:val="22"/>
          <w:szCs w:val="22"/>
        </w:rPr>
      </w:pPr>
    </w:p>
    <w:p w14:paraId="7C5F4920" w14:textId="77777777" w:rsidR="001643CD" w:rsidRPr="004815E7" w:rsidRDefault="00381A79" w:rsidP="006C46CB">
      <w:pPr>
        <w:rPr>
          <w:rFonts w:ascii="Times New Roman" w:hAnsi="Times New Roman"/>
          <w:i/>
          <w:sz w:val="22"/>
          <w:szCs w:val="22"/>
        </w:rPr>
      </w:pPr>
      <w:r w:rsidRPr="004815E7">
        <w:rPr>
          <w:rFonts w:ascii="Times New Roman" w:hAnsi="Times New Roman"/>
          <w:i/>
          <w:sz w:val="22"/>
          <w:szCs w:val="22"/>
        </w:rPr>
        <w:t>Anagrelid:</w:t>
      </w:r>
    </w:p>
    <w:p w14:paraId="6E855146" w14:textId="6409D5C3" w:rsidR="001643CD" w:rsidRPr="00960759" w:rsidRDefault="001643CD" w:rsidP="006C46CB">
      <w:pPr>
        <w:rPr>
          <w:rFonts w:ascii="Times New Roman" w:hAnsi="Times New Roman"/>
          <w:sz w:val="22"/>
          <w:szCs w:val="22"/>
        </w:rPr>
      </w:pPr>
      <w:r w:rsidRPr="00960759">
        <w:rPr>
          <w:rFonts w:ascii="Times New Roman" w:hAnsi="Times New Roman"/>
          <w:sz w:val="22"/>
          <w:szCs w:val="22"/>
        </w:rPr>
        <w:t xml:space="preserve">Zvýšené riziko krvácania a zníženie antitrombotického účinku. </w:t>
      </w:r>
      <w:r w:rsidR="00960759">
        <w:rPr>
          <w:rFonts w:ascii="Times New Roman" w:hAnsi="Times New Roman"/>
          <w:sz w:val="22"/>
          <w:szCs w:val="22"/>
        </w:rPr>
        <w:t>A</w:t>
      </w:r>
      <w:r w:rsidR="00960759" w:rsidRPr="00960759">
        <w:rPr>
          <w:rFonts w:ascii="Times New Roman" w:hAnsi="Times New Roman"/>
          <w:sz w:val="22"/>
          <w:szCs w:val="22"/>
        </w:rPr>
        <w:t>k nie je možné vyhnúť sa súbežnému užívaniu</w:t>
      </w:r>
      <w:r w:rsidR="00960759">
        <w:rPr>
          <w:rFonts w:ascii="Times New Roman" w:hAnsi="Times New Roman"/>
          <w:sz w:val="22"/>
          <w:szCs w:val="22"/>
        </w:rPr>
        <w:t>,</w:t>
      </w:r>
      <w:r w:rsidR="00960759" w:rsidRPr="00960759">
        <w:rPr>
          <w:rFonts w:ascii="Times New Roman" w:hAnsi="Times New Roman"/>
          <w:sz w:val="22"/>
          <w:szCs w:val="22"/>
        </w:rPr>
        <w:t xml:space="preserve"> </w:t>
      </w:r>
      <w:r w:rsidR="00960759">
        <w:rPr>
          <w:rFonts w:ascii="Times New Roman" w:hAnsi="Times New Roman"/>
          <w:sz w:val="22"/>
          <w:szCs w:val="22"/>
        </w:rPr>
        <w:t>o</w:t>
      </w:r>
      <w:r w:rsidRPr="00960759">
        <w:rPr>
          <w:rFonts w:ascii="Times New Roman" w:hAnsi="Times New Roman"/>
          <w:sz w:val="22"/>
          <w:szCs w:val="22"/>
        </w:rPr>
        <w:t>dp</w:t>
      </w:r>
      <w:r w:rsidR="00960759">
        <w:rPr>
          <w:rFonts w:ascii="Times New Roman" w:hAnsi="Times New Roman"/>
          <w:sz w:val="22"/>
          <w:szCs w:val="22"/>
        </w:rPr>
        <w:t>orúča sa klinické monitorovanie.</w:t>
      </w:r>
    </w:p>
    <w:p w14:paraId="0B8BE5FD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</w:p>
    <w:p w14:paraId="1102E29F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  <w:r w:rsidRPr="00CC5D6C">
        <w:rPr>
          <w:rFonts w:ascii="Times New Roman" w:hAnsi="Times New Roman"/>
          <w:b/>
          <w:sz w:val="22"/>
          <w:szCs w:val="22"/>
        </w:rPr>
        <w:t>4.6</w:t>
      </w:r>
      <w:r w:rsidRPr="00CC5D6C">
        <w:rPr>
          <w:rFonts w:ascii="Times New Roman" w:hAnsi="Times New Roman"/>
          <w:b/>
          <w:sz w:val="22"/>
          <w:szCs w:val="22"/>
        </w:rPr>
        <w:tab/>
        <w:t>Fertilita, gravidita a laktácia</w:t>
      </w:r>
    </w:p>
    <w:p w14:paraId="36BC9AB8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7C885E14" w14:textId="77777777" w:rsidR="001643CD" w:rsidRPr="00C45747" w:rsidRDefault="001643CD" w:rsidP="006C46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C45747">
        <w:rPr>
          <w:rFonts w:ascii="Times New Roman" w:hAnsi="Times New Roman"/>
          <w:sz w:val="22"/>
          <w:szCs w:val="22"/>
          <w:u w:val="single"/>
        </w:rPr>
        <w:t>Gravidita</w:t>
      </w:r>
    </w:p>
    <w:p w14:paraId="168E3249" w14:textId="77777777" w:rsidR="001643CD" w:rsidRPr="00C45747" w:rsidRDefault="001643CD" w:rsidP="006C46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Inhibícia syntézy prostaglandínov môže negatívne ovplyvniť graviditu a/alebo embryofetálny</w:t>
      </w:r>
    </w:p>
    <w:p w14:paraId="72B00B22" w14:textId="5ED5D62D" w:rsidR="00813707" w:rsidRDefault="001643CD" w:rsidP="006C46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výv</w:t>
      </w:r>
      <w:r w:rsidR="00CD30E6">
        <w:rPr>
          <w:rFonts w:ascii="Times New Roman" w:hAnsi="Times New Roman"/>
          <w:sz w:val="22"/>
          <w:szCs w:val="22"/>
        </w:rPr>
        <w:t>in</w:t>
      </w:r>
      <w:r w:rsidRPr="00C45747">
        <w:rPr>
          <w:rFonts w:ascii="Times New Roman" w:hAnsi="Times New Roman"/>
          <w:sz w:val="22"/>
          <w:szCs w:val="22"/>
        </w:rPr>
        <w:t xml:space="preserve">. </w:t>
      </w:r>
      <w:r w:rsidRPr="00674250">
        <w:rPr>
          <w:rFonts w:ascii="Times New Roman" w:hAnsi="Times New Roman"/>
          <w:sz w:val="22"/>
          <w:szCs w:val="22"/>
        </w:rPr>
        <w:t>Údaje z epidemiologických štúdií naznačujú zvýšené riziko abortu</w:t>
      </w:r>
      <w:r w:rsidR="00CD30E6">
        <w:rPr>
          <w:rFonts w:ascii="Times New Roman" w:hAnsi="Times New Roman"/>
          <w:sz w:val="22"/>
          <w:szCs w:val="22"/>
        </w:rPr>
        <w:t xml:space="preserve">, </w:t>
      </w:r>
      <w:r w:rsidRPr="00674250">
        <w:rPr>
          <w:rFonts w:ascii="Times New Roman" w:hAnsi="Times New Roman"/>
          <w:sz w:val="22"/>
          <w:szCs w:val="22"/>
        </w:rPr>
        <w:t>srdcových malformácií a</w:t>
      </w:r>
      <w:r>
        <w:rPr>
          <w:rFonts w:ascii="Times New Roman" w:hAnsi="Times New Roman"/>
          <w:sz w:val="22"/>
          <w:szCs w:val="22"/>
        </w:rPr>
        <w:t xml:space="preserve"> </w:t>
      </w:r>
      <w:r w:rsidRPr="00674250">
        <w:rPr>
          <w:rFonts w:ascii="Times New Roman" w:hAnsi="Times New Roman"/>
          <w:sz w:val="22"/>
          <w:szCs w:val="22"/>
        </w:rPr>
        <w:t>gastroschíz</w:t>
      </w:r>
      <w:r w:rsidR="00CD30E6">
        <w:rPr>
          <w:rFonts w:ascii="Times New Roman" w:hAnsi="Times New Roman"/>
          <w:sz w:val="22"/>
          <w:szCs w:val="22"/>
        </w:rPr>
        <w:t>y</w:t>
      </w:r>
      <w:r w:rsidRPr="00674250">
        <w:rPr>
          <w:rFonts w:ascii="Times New Roman" w:hAnsi="Times New Roman"/>
          <w:sz w:val="22"/>
          <w:szCs w:val="22"/>
        </w:rPr>
        <w:t xml:space="preserve"> po užívaní inhibítorov syntézy prostaglandínov na začiatku gravidity. Absolútne riziko</w:t>
      </w:r>
    </w:p>
    <w:p w14:paraId="66A81D65" w14:textId="77777777" w:rsidR="00813707" w:rsidRDefault="001643CD" w:rsidP="006C46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4250">
        <w:rPr>
          <w:rFonts w:ascii="Times New Roman" w:hAnsi="Times New Roman"/>
          <w:sz w:val="22"/>
          <w:szCs w:val="22"/>
        </w:rPr>
        <w:t>kardiovaskulárnych malformácií bolo zvýšené z menej ako 1 % až na približne 1,5 %. Predpokladá sa,</w:t>
      </w:r>
    </w:p>
    <w:p w14:paraId="5A7CAA3E" w14:textId="77777777" w:rsidR="00813707" w:rsidRDefault="001643CD" w:rsidP="006C46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4250">
        <w:rPr>
          <w:rFonts w:ascii="Times New Roman" w:hAnsi="Times New Roman"/>
          <w:sz w:val="22"/>
          <w:szCs w:val="22"/>
        </w:rPr>
        <w:t>že riziko sa zvyšuje s dávkou a dĺžkou trvania liečby. U zvierat viedlo podávanie inhibítorov</w:t>
      </w:r>
      <w:r>
        <w:rPr>
          <w:rFonts w:ascii="Times New Roman" w:hAnsi="Times New Roman"/>
          <w:sz w:val="22"/>
          <w:szCs w:val="22"/>
        </w:rPr>
        <w:t xml:space="preserve"> syntézy</w:t>
      </w:r>
    </w:p>
    <w:p w14:paraId="7B9C04B5" w14:textId="6AB5264C" w:rsidR="00813707" w:rsidRDefault="001643CD" w:rsidP="006C46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4250">
        <w:rPr>
          <w:rFonts w:ascii="Times New Roman" w:hAnsi="Times New Roman"/>
          <w:sz w:val="22"/>
          <w:szCs w:val="22"/>
        </w:rPr>
        <w:t>prostaglandínov k</w:t>
      </w:r>
      <w:r>
        <w:rPr>
          <w:rFonts w:ascii="Times New Roman" w:hAnsi="Times New Roman"/>
          <w:sz w:val="22"/>
          <w:szCs w:val="22"/>
        </w:rPr>
        <w:t xml:space="preserve"> zvýšeniu predimplantačnej a postimplantačnej straty a </w:t>
      </w:r>
      <w:r w:rsidR="00CD30E6">
        <w:rPr>
          <w:rFonts w:ascii="Times New Roman" w:hAnsi="Times New Roman"/>
          <w:sz w:val="22"/>
          <w:szCs w:val="22"/>
        </w:rPr>
        <w:t>odumretiu embrya/plodu</w:t>
      </w:r>
      <w:r w:rsidRPr="00674250">
        <w:rPr>
          <w:rFonts w:ascii="Times New Roman" w:hAnsi="Times New Roman"/>
          <w:sz w:val="22"/>
          <w:szCs w:val="22"/>
        </w:rPr>
        <w:t xml:space="preserve">. </w:t>
      </w:r>
      <w:r w:rsidRPr="00F4392F">
        <w:rPr>
          <w:rFonts w:ascii="Times New Roman" w:hAnsi="Times New Roman"/>
          <w:sz w:val="22"/>
          <w:szCs w:val="22"/>
        </w:rPr>
        <w:t xml:space="preserve">Okrem toho sa u zvierat, ktorým sa počas </w:t>
      </w:r>
      <w:r w:rsidR="00CD30E6">
        <w:rPr>
          <w:rFonts w:ascii="Times New Roman" w:hAnsi="Times New Roman"/>
          <w:sz w:val="22"/>
          <w:szCs w:val="22"/>
        </w:rPr>
        <w:t>organogenézy</w:t>
      </w:r>
      <w:r w:rsidRPr="00F4392F">
        <w:rPr>
          <w:rFonts w:ascii="Times New Roman" w:hAnsi="Times New Roman"/>
          <w:sz w:val="22"/>
          <w:szCs w:val="22"/>
        </w:rPr>
        <w:t xml:space="preserve"> podával inhibítor syntézy prostaglandínov, hlásili zvýšené incidencie rôznych malformácií, vrátane kardiovaskulárnych.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B6D7B15" w14:textId="77777777" w:rsidR="00813707" w:rsidRDefault="00813707" w:rsidP="006C46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726AE7E" w14:textId="0DDBCA61" w:rsidR="001643CD" w:rsidRPr="00C45747" w:rsidRDefault="001643CD" w:rsidP="006C46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V prvom a druhom trimestri gravidity sa lieky s obsahom kyseliny acetylsalicylovej nemajú podávať, </w:t>
      </w:r>
      <w:r w:rsidR="00CD30E6">
        <w:rPr>
          <w:rFonts w:ascii="Times New Roman" w:hAnsi="Times New Roman"/>
          <w:sz w:val="22"/>
          <w:szCs w:val="22"/>
        </w:rPr>
        <w:t>ak</w:t>
      </w:r>
      <w:r w:rsidR="00CD30E6" w:rsidRPr="00C45747">
        <w:rPr>
          <w:rFonts w:ascii="Times New Roman" w:hAnsi="Times New Roman"/>
          <w:sz w:val="22"/>
          <w:szCs w:val="22"/>
        </w:rPr>
        <w:t xml:space="preserve"> </w:t>
      </w:r>
      <w:r w:rsidRPr="00C45747">
        <w:rPr>
          <w:rFonts w:ascii="Times New Roman" w:hAnsi="Times New Roman"/>
          <w:sz w:val="22"/>
          <w:szCs w:val="22"/>
        </w:rPr>
        <w:t>to nie je nevyhnutné. Ak lieky s obsahom kyseliny acetylsalicylovej užíva žena, ktorá sa pokúša otehotnieť</w:t>
      </w:r>
      <w:r w:rsidR="00CD30E6">
        <w:rPr>
          <w:rFonts w:ascii="Times New Roman" w:hAnsi="Times New Roman"/>
          <w:sz w:val="22"/>
          <w:szCs w:val="22"/>
        </w:rPr>
        <w:t>,</w:t>
      </w:r>
      <w:r w:rsidRPr="00C45747">
        <w:rPr>
          <w:rFonts w:ascii="Times New Roman" w:hAnsi="Times New Roman"/>
          <w:sz w:val="22"/>
          <w:szCs w:val="22"/>
        </w:rPr>
        <w:t xml:space="preserve"> alebo</w:t>
      </w:r>
      <w:r>
        <w:rPr>
          <w:rFonts w:ascii="Times New Roman" w:hAnsi="Times New Roman"/>
          <w:sz w:val="22"/>
          <w:szCs w:val="22"/>
        </w:rPr>
        <w:t xml:space="preserve"> je</w:t>
      </w:r>
      <w:r w:rsidRPr="00C45747">
        <w:rPr>
          <w:rFonts w:ascii="Times New Roman" w:hAnsi="Times New Roman"/>
          <w:sz w:val="22"/>
          <w:szCs w:val="22"/>
        </w:rPr>
        <w:t xml:space="preserve"> v prvom a druhom trimestri gravidity, potom sa má použiť najnižšia dávka a dĺžka liečba má byť čo najkratšia.</w:t>
      </w:r>
    </w:p>
    <w:p w14:paraId="7200CD1F" w14:textId="77777777" w:rsidR="001643CD" w:rsidRPr="00C45747" w:rsidRDefault="001643CD" w:rsidP="006C46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3CA04B1" w14:textId="43EF9918" w:rsidR="001643CD" w:rsidRPr="00C45747" w:rsidRDefault="001643CD" w:rsidP="006C46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C45747">
        <w:rPr>
          <w:rFonts w:ascii="Times New Roman" w:hAnsi="Times New Roman"/>
          <w:sz w:val="22"/>
          <w:szCs w:val="22"/>
          <w:u w:val="single"/>
        </w:rPr>
        <w:t>V treťom trimestri gravidity môžu všetky inhibítory syntézy prostaglandínov vystaviť plod:</w:t>
      </w:r>
    </w:p>
    <w:p w14:paraId="1822B978" w14:textId="77777777" w:rsidR="001643CD" w:rsidRPr="00C45747" w:rsidRDefault="001643CD" w:rsidP="006C46CB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sz w:val="22"/>
          <w:szCs w:val="22"/>
          <w:lang w:val="sk-SK"/>
        </w:rPr>
      </w:pPr>
      <w:r w:rsidRPr="00C45747">
        <w:rPr>
          <w:sz w:val="22"/>
          <w:szCs w:val="22"/>
          <w:lang w:val="sk-SK"/>
        </w:rPr>
        <w:t xml:space="preserve">kardiopulmonálnej toxicite (predčasné uzavretie </w:t>
      </w:r>
      <w:r w:rsidR="00381A79" w:rsidRPr="004815E7">
        <w:rPr>
          <w:i/>
          <w:sz w:val="22"/>
          <w:szCs w:val="22"/>
          <w:lang w:val="sk-SK"/>
        </w:rPr>
        <w:t>ductus arteriosus</w:t>
      </w:r>
      <w:r w:rsidRPr="00C45747">
        <w:rPr>
          <w:sz w:val="22"/>
          <w:szCs w:val="22"/>
          <w:lang w:val="sk-SK"/>
        </w:rPr>
        <w:t xml:space="preserve"> a pľúcna hypertenzia);</w:t>
      </w:r>
    </w:p>
    <w:p w14:paraId="0731E8CB" w14:textId="693E2A61" w:rsidR="001643CD" w:rsidRPr="00C45747" w:rsidRDefault="001643CD" w:rsidP="006C46CB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sz w:val="22"/>
          <w:szCs w:val="22"/>
          <w:lang w:val="sk-SK"/>
        </w:rPr>
      </w:pPr>
      <w:r w:rsidRPr="00C45747">
        <w:rPr>
          <w:sz w:val="22"/>
          <w:szCs w:val="22"/>
          <w:lang w:val="sk-SK"/>
        </w:rPr>
        <w:lastRenderedPageBreak/>
        <w:t xml:space="preserve">renálnej dysfunkcii, ktorá môže progredovať až </w:t>
      </w:r>
      <w:r w:rsidR="00CD30E6">
        <w:rPr>
          <w:sz w:val="22"/>
          <w:szCs w:val="22"/>
          <w:lang w:val="sk-SK"/>
        </w:rPr>
        <w:t>do</w:t>
      </w:r>
      <w:r w:rsidRPr="00C45747">
        <w:rPr>
          <w:sz w:val="22"/>
          <w:szCs w:val="22"/>
          <w:lang w:val="sk-SK"/>
        </w:rPr>
        <w:t> zlyhani</w:t>
      </w:r>
      <w:r w:rsidR="00CD30E6">
        <w:rPr>
          <w:sz w:val="22"/>
          <w:szCs w:val="22"/>
          <w:lang w:val="sk-SK"/>
        </w:rPr>
        <w:t>a</w:t>
      </w:r>
      <w:r w:rsidRPr="00C45747">
        <w:rPr>
          <w:sz w:val="22"/>
          <w:szCs w:val="22"/>
          <w:lang w:val="sk-SK"/>
        </w:rPr>
        <w:t xml:space="preserve"> obličiek s rozvojom </w:t>
      </w:r>
      <w:r w:rsidR="0052799C">
        <w:rPr>
          <w:sz w:val="22"/>
          <w:szCs w:val="22"/>
          <w:lang w:val="sk-SK"/>
        </w:rPr>
        <w:t xml:space="preserve"> </w:t>
      </w:r>
      <w:r w:rsidRPr="00C45747">
        <w:rPr>
          <w:sz w:val="22"/>
          <w:szCs w:val="22"/>
          <w:lang w:val="sk-SK"/>
        </w:rPr>
        <w:t>oligohydramniónu.</w:t>
      </w:r>
    </w:p>
    <w:p w14:paraId="20BC7011" w14:textId="77777777" w:rsidR="001643CD" w:rsidRPr="00C45747" w:rsidRDefault="001643CD" w:rsidP="006C46CB">
      <w:pPr>
        <w:pStyle w:val="Odsekzoznamu"/>
        <w:autoSpaceDE w:val="0"/>
        <w:autoSpaceDN w:val="0"/>
        <w:adjustRightInd w:val="0"/>
        <w:ind w:left="0"/>
        <w:rPr>
          <w:sz w:val="22"/>
          <w:szCs w:val="22"/>
          <w:lang w:val="sk-SK"/>
        </w:rPr>
      </w:pPr>
    </w:p>
    <w:p w14:paraId="7823F81E" w14:textId="77777777" w:rsidR="001643CD" w:rsidRPr="00C45747" w:rsidRDefault="001643CD" w:rsidP="006C46C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eastAsia="cs-CZ"/>
        </w:rPr>
      </w:pPr>
      <w:r w:rsidRPr="00C45747">
        <w:rPr>
          <w:rFonts w:ascii="Times New Roman" w:hAnsi="Times New Roman"/>
          <w:sz w:val="22"/>
          <w:szCs w:val="22"/>
          <w:u w:val="single"/>
        </w:rPr>
        <w:t>Na konci gravidity môžu všetky inhibítory syntézy prostaglandínov vystaviť matku a dieťa</w:t>
      </w:r>
      <w:r w:rsidRPr="00C45747">
        <w:rPr>
          <w:rFonts w:ascii="Times New Roman" w:hAnsi="Times New Roman"/>
          <w:sz w:val="22"/>
          <w:szCs w:val="22"/>
          <w:u w:val="single"/>
          <w:lang w:eastAsia="cs-CZ"/>
        </w:rPr>
        <w:t xml:space="preserve">: </w:t>
      </w:r>
    </w:p>
    <w:p w14:paraId="16F27CBB" w14:textId="77777777" w:rsidR="001643CD" w:rsidRPr="00C45747" w:rsidRDefault="001643CD" w:rsidP="006C46CB">
      <w:pPr>
        <w:pStyle w:val="Default"/>
        <w:numPr>
          <w:ilvl w:val="0"/>
          <w:numId w:val="6"/>
        </w:numPr>
        <w:ind w:left="0" w:firstLine="0"/>
        <w:rPr>
          <w:color w:val="auto"/>
          <w:sz w:val="22"/>
          <w:szCs w:val="22"/>
          <w:lang w:val="sk-SK"/>
        </w:rPr>
      </w:pPr>
      <w:r w:rsidRPr="00C45747">
        <w:rPr>
          <w:sz w:val="22"/>
          <w:szCs w:val="22"/>
          <w:lang w:val="sk-SK"/>
        </w:rPr>
        <w:t>možnému predĺženiu času krvácania, antiagregačnému účinku, ktorý sa môže vyskytnúť dokonca po veľmi nízkych dávkach;</w:t>
      </w:r>
    </w:p>
    <w:p w14:paraId="6FA7BFB6" w14:textId="77777777" w:rsidR="001643CD" w:rsidRPr="00C45747" w:rsidRDefault="001643CD" w:rsidP="006C46CB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sz w:val="22"/>
          <w:szCs w:val="22"/>
          <w:lang w:val="sk-SK"/>
        </w:rPr>
      </w:pPr>
      <w:r w:rsidRPr="00C45747">
        <w:rPr>
          <w:sz w:val="22"/>
          <w:szCs w:val="22"/>
          <w:lang w:val="sk-SK"/>
        </w:rPr>
        <w:t>inhibícii kontrakcií maternice, ktorá má za následok oneskorený alebo predĺžený pôrod.</w:t>
      </w:r>
    </w:p>
    <w:p w14:paraId="1172A8A6" w14:textId="77777777" w:rsidR="001643CD" w:rsidRPr="00C45747" w:rsidRDefault="001643CD" w:rsidP="006C46CB">
      <w:pPr>
        <w:pStyle w:val="Odsekzoznamu"/>
        <w:autoSpaceDE w:val="0"/>
        <w:autoSpaceDN w:val="0"/>
        <w:adjustRightInd w:val="0"/>
        <w:ind w:left="0"/>
        <w:rPr>
          <w:sz w:val="22"/>
          <w:szCs w:val="22"/>
          <w:lang w:val="sk-SK"/>
        </w:rPr>
      </w:pPr>
    </w:p>
    <w:p w14:paraId="76BCA1C6" w14:textId="3F30056F" w:rsidR="001643CD" w:rsidRPr="00C45747" w:rsidRDefault="001643CD" w:rsidP="006C46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Z týchto dôvodov je kyselina acetylsalicylová kontraindikovaná v treťom trimestri gravidity.</w:t>
      </w:r>
    </w:p>
    <w:p w14:paraId="3D970EFC" w14:textId="77777777" w:rsidR="001643CD" w:rsidRPr="00C45747" w:rsidRDefault="001643CD" w:rsidP="006C46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67269C4E" w14:textId="304D5602" w:rsidR="001643CD" w:rsidRPr="00C45747" w:rsidRDefault="002C7630" w:rsidP="006C46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Dojčenie</w:t>
      </w:r>
    </w:p>
    <w:p w14:paraId="1CDC9616" w14:textId="65004614" w:rsidR="001643CD" w:rsidRPr="00C45747" w:rsidRDefault="001643CD" w:rsidP="006C46CB">
      <w:pPr>
        <w:pStyle w:val="Zkladntext3"/>
        <w:spacing w:after="0"/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Salicyláty a ich metabolity v malých množstvách prestupujú do materského mlieka. </w:t>
      </w:r>
      <w:r>
        <w:rPr>
          <w:rFonts w:ascii="Times New Roman" w:hAnsi="Times New Roman"/>
          <w:sz w:val="22"/>
          <w:szCs w:val="22"/>
        </w:rPr>
        <w:t>D</w:t>
      </w:r>
      <w:r w:rsidRPr="00C45747">
        <w:rPr>
          <w:rFonts w:ascii="Times New Roman" w:hAnsi="Times New Roman"/>
          <w:sz w:val="22"/>
          <w:szCs w:val="22"/>
        </w:rPr>
        <w:t xml:space="preserve">oposiaľ </w:t>
      </w:r>
      <w:r>
        <w:rPr>
          <w:rFonts w:ascii="Times New Roman" w:hAnsi="Times New Roman"/>
          <w:sz w:val="22"/>
          <w:szCs w:val="22"/>
        </w:rPr>
        <w:t xml:space="preserve">sa </w:t>
      </w:r>
      <w:r w:rsidRPr="00C45747">
        <w:rPr>
          <w:rFonts w:ascii="Times New Roman" w:hAnsi="Times New Roman"/>
          <w:sz w:val="22"/>
          <w:szCs w:val="22"/>
        </w:rPr>
        <w:t>nepozorovali nežiaduce účinky na dojčatá</w:t>
      </w:r>
      <w:r>
        <w:rPr>
          <w:rFonts w:ascii="Times New Roman" w:hAnsi="Times New Roman"/>
          <w:sz w:val="22"/>
          <w:szCs w:val="22"/>
        </w:rPr>
        <w:t xml:space="preserve">. </w:t>
      </w:r>
      <w:r w:rsidRPr="00D72F71">
        <w:rPr>
          <w:rFonts w:ascii="Times New Roman" w:hAnsi="Times New Roman"/>
          <w:sz w:val="22"/>
          <w:szCs w:val="22"/>
        </w:rPr>
        <w:t>Vzhľadom na riziko vzniku Reyovho syndrómu u</w:t>
      </w:r>
      <w:r w:rsidR="00BA0D99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dojčiat</w:t>
      </w:r>
      <w:r w:rsidR="00BA0D99">
        <w:rPr>
          <w:rFonts w:ascii="Times New Roman" w:hAnsi="Times New Roman"/>
          <w:sz w:val="22"/>
          <w:szCs w:val="22"/>
        </w:rPr>
        <w:t>,</w:t>
      </w:r>
      <w:r w:rsidRPr="00D72F7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nemajú Aspirin Express užívať dojčiace pacientky. </w:t>
      </w:r>
      <w:r w:rsidRPr="00C45747">
        <w:rPr>
          <w:rFonts w:ascii="Times New Roman" w:hAnsi="Times New Roman"/>
          <w:sz w:val="22"/>
          <w:szCs w:val="22"/>
        </w:rPr>
        <w:t xml:space="preserve">Pri </w:t>
      </w:r>
      <w:r>
        <w:rPr>
          <w:rFonts w:ascii="Times New Roman" w:hAnsi="Times New Roman"/>
          <w:sz w:val="22"/>
          <w:szCs w:val="22"/>
        </w:rPr>
        <w:t xml:space="preserve">dlhodobom </w:t>
      </w:r>
      <w:r w:rsidRPr="00C45747">
        <w:rPr>
          <w:rFonts w:ascii="Times New Roman" w:hAnsi="Times New Roman"/>
          <w:sz w:val="22"/>
          <w:szCs w:val="22"/>
        </w:rPr>
        <w:t xml:space="preserve">užívaní alebo pri užívaní vysokých dávok je dojčenie potrebné prerušiť.  </w:t>
      </w:r>
    </w:p>
    <w:p w14:paraId="557679DF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  <w:u w:val="single"/>
        </w:rPr>
      </w:pPr>
    </w:p>
    <w:p w14:paraId="3D2E3C79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  <w:r w:rsidRPr="00C45747">
        <w:rPr>
          <w:rFonts w:ascii="Times New Roman" w:hAnsi="Times New Roman"/>
          <w:b/>
          <w:sz w:val="22"/>
          <w:szCs w:val="22"/>
        </w:rPr>
        <w:t>4.7</w:t>
      </w:r>
      <w:r w:rsidRPr="00C45747">
        <w:rPr>
          <w:rFonts w:ascii="Times New Roman" w:hAnsi="Times New Roman"/>
          <w:b/>
          <w:sz w:val="22"/>
          <w:szCs w:val="22"/>
        </w:rPr>
        <w:tab/>
        <w:t>Ovplyvnenie schopnosti viesť vozidlá a obsluhovať stroje</w:t>
      </w:r>
    </w:p>
    <w:p w14:paraId="31D2CD58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7F1C6535" w14:textId="568D6380" w:rsidR="001643CD" w:rsidRDefault="001643CD" w:rsidP="006C46CB">
      <w:pPr>
        <w:rPr>
          <w:rFonts w:ascii="Times New Roman" w:hAnsi="Times New Roman"/>
          <w:noProof/>
          <w:sz w:val="22"/>
          <w:szCs w:val="22"/>
        </w:rPr>
      </w:pPr>
      <w:r w:rsidRPr="00C45747">
        <w:rPr>
          <w:rFonts w:ascii="Times New Roman" w:hAnsi="Times New Roman"/>
          <w:noProof/>
          <w:sz w:val="22"/>
          <w:szCs w:val="22"/>
        </w:rPr>
        <w:t xml:space="preserve">Aspirin </w:t>
      </w:r>
      <w:r>
        <w:rPr>
          <w:rFonts w:ascii="Times New Roman" w:hAnsi="Times New Roman"/>
          <w:noProof/>
          <w:sz w:val="22"/>
          <w:szCs w:val="22"/>
        </w:rPr>
        <w:t>Express</w:t>
      </w:r>
      <w:r w:rsidRPr="00C45747">
        <w:rPr>
          <w:rFonts w:ascii="Times New Roman" w:hAnsi="Times New Roman"/>
          <w:noProof/>
          <w:sz w:val="22"/>
          <w:szCs w:val="22"/>
        </w:rPr>
        <w:t xml:space="preserve"> nemá žiadny vplyv na schopnosť viesť vozidlá a obsluhovať stroje.</w:t>
      </w:r>
    </w:p>
    <w:p w14:paraId="7F63A3F4" w14:textId="77777777" w:rsidR="001643CD" w:rsidRDefault="001643CD" w:rsidP="006C46CB">
      <w:pPr>
        <w:rPr>
          <w:rFonts w:ascii="Times New Roman" w:hAnsi="Times New Roman"/>
          <w:noProof/>
          <w:sz w:val="22"/>
          <w:szCs w:val="22"/>
        </w:rPr>
      </w:pPr>
    </w:p>
    <w:p w14:paraId="2C95B1AA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  <w:r w:rsidRPr="00C45747">
        <w:rPr>
          <w:rFonts w:ascii="Times New Roman" w:hAnsi="Times New Roman"/>
          <w:b/>
          <w:sz w:val="22"/>
          <w:szCs w:val="22"/>
        </w:rPr>
        <w:t>4.8</w:t>
      </w:r>
      <w:r w:rsidRPr="00C45747">
        <w:rPr>
          <w:rFonts w:ascii="Times New Roman" w:hAnsi="Times New Roman"/>
          <w:b/>
          <w:sz w:val="22"/>
          <w:szCs w:val="22"/>
        </w:rPr>
        <w:tab/>
        <w:t>Nežiaduce účinky</w:t>
      </w:r>
    </w:p>
    <w:p w14:paraId="05CDA180" w14:textId="77777777" w:rsidR="001643CD" w:rsidRDefault="001643CD" w:rsidP="006C46CB">
      <w:pPr>
        <w:rPr>
          <w:rFonts w:ascii="Times New Roman" w:hAnsi="Times New Roman"/>
          <w:sz w:val="22"/>
          <w:szCs w:val="22"/>
        </w:rPr>
      </w:pPr>
    </w:p>
    <w:p w14:paraId="4D2C614A" w14:textId="142001C3" w:rsidR="00FF0948" w:rsidRDefault="00FF0948" w:rsidP="006C46CB">
      <w:pPr>
        <w:rPr>
          <w:rFonts w:ascii="Times New Roman" w:hAnsi="Times New Roman"/>
          <w:sz w:val="22"/>
          <w:szCs w:val="22"/>
        </w:rPr>
      </w:pPr>
      <w:r w:rsidRPr="00FF0948">
        <w:rPr>
          <w:rFonts w:ascii="Times New Roman" w:hAnsi="Times New Roman"/>
          <w:sz w:val="22"/>
          <w:szCs w:val="22"/>
        </w:rPr>
        <w:t>Uvedené nežiaduce účinky pochádzajú zo spontánnych hlásení po uvedení lieku na trh zo všetkých používaných liekových foriem Aspirinu vrátane perorálnych liekových foriem pri krátkodobej aj dlhodobej liečbe. Z tohto dôvodu nie je zoradenie nežiaducich účinkov podľa kategórií frekvencie relevantné, a preto sa považujú za "neznáme". Nižšie uvedené frekvencie pridelené niektorým nežiaducim účinkom sú približné o</w:t>
      </w:r>
      <w:r w:rsidR="0052799C">
        <w:rPr>
          <w:rFonts w:ascii="Times New Roman" w:hAnsi="Times New Roman"/>
          <w:sz w:val="22"/>
          <w:szCs w:val="22"/>
        </w:rPr>
        <w:t>dhady zo zozbieraných údajov</w:t>
      </w:r>
      <w:r w:rsidRPr="00FF0948">
        <w:rPr>
          <w:rFonts w:ascii="Times New Roman" w:hAnsi="Times New Roman"/>
          <w:sz w:val="22"/>
          <w:szCs w:val="22"/>
        </w:rPr>
        <w:t xml:space="preserve"> z 3 metaanalýz</w:t>
      </w:r>
      <w:r w:rsidR="0052799C">
        <w:rPr>
          <w:rFonts w:ascii="Times New Roman" w:hAnsi="Times New Roman"/>
          <w:sz w:val="22"/>
          <w:szCs w:val="22"/>
        </w:rPr>
        <w:t>,</w:t>
      </w:r>
      <w:r w:rsidRPr="00FF0948">
        <w:rPr>
          <w:rFonts w:ascii="Times New Roman" w:hAnsi="Times New Roman"/>
          <w:sz w:val="22"/>
          <w:szCs w:val="22"/>
        </w:rPr>
        <w:t xml:space="preserve"> placebom kontrolovaných klinických skúšaní zahŕňajúcich celkovo 8 135 pacientov liečených Aspirin</w:t>
      </w:r>
      <w:r w:rsidR="0052799C">
        <w:rPr>
          <w:rFonts w:ascii="Times New Roman" w:hAnsi="Times New Roman"/>
          <w:sz w:val="22"/>
          <w:szCs w:val="22"/>
        </w:rPr>
        <w:t xml:space="preserve">om, ktorí užívali predovšetkým </w:t>
      </w:r>
      <w:r w:rsidRPr="00FF0948">
        <w:rPr>
          <w:rFonts w:ascii="Times New Roman" w:hAnsi="Times New Roman"/>
          <w:sz w:val="22"/>
          <w:szCs w:val="22"/>
        </w:rPr>
        <w:t>jednorazovú dávku kyseliny acetylsalicylovej v indikáciách bolesť a horúčka.</w:t>
      </w:r>
    </w:p>
    <w:p w14:paraId="142C3B8A" w14:textId="77777777" w:rsidR="00FF0948" w:rsidRDefault="00FF0948" w:rsidP="006C46CB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795"/>
        <w:gridCol w:w="1830"/>
        <w:gridCol w:w="1988"/>
        <w:gridCol w:w="1687"/>
      </w:tblGrid>
      <w:tr w:rsidR="009A2197" w14:paraId="1F370472" w14:textId="77777777" w:rsidTr="004815E7">
        <w:trPr>
          <w:tblHeader/>
        </w:trPr>
        <w:tc>
          <w:tcPr>
            <w:tcW w:w="1974" w:type="dxa"/>
            <w:shd w:val="clear" w:color="auto" w:fill="auto"/>
          </w:tcPr>
          <w:p w14:paraId="3B34FBAB" w14:textId="092F1778" w:rsidR="00AC6B3B" w:rsidRPr="005803FE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5803FE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Trieda orgánového systému</w:t>
            </w:r>
          </w:p>
        </w:tc>
        <w:tc>
          <w:tcPr>
            <w:tcW w:w="1804" w:type="dxa"/>
            <w:shd w:val="clear" w:color="auto" w:fill="auto"/>
          </w:tcPr>
          <w:p w14:paraId="221CE76D" w14:textId="77777777" w:rsidR="00AC6B3B" w:rsidRPr="005803FE" w:rsidRDefault="00AC6B3B" w:rsidP="006C46CB">
            <w:pPr>
              <w:pStyle w:val="Para0s"/>
              <w:spacing w:after="0"/>
              <w:rPr>
                <w:rFonts w:ascii="Times New Roman" w:eastAsia="SimSun" w:hAnsi="Times New Roman"/>
                <w:b/>
                <w:szCs w:val="22"/>
                <w:lang w:val="sk-SK" w:eastAsia="zh-CN"/>
              </w:rPr>
            </w:pPr>
            <w:r w:rsidRPr="005803FE">
              <w:rPr>
                <w:rFonts w:ascii="Times New Roman" w:eastAsia="SimSun" w:hAnsi="Times New Roman"/>
                <w:b/>
                <w:szCs w:val="22"/>
                <w:lang w:val="sk-SK" w:eastAsia="zh-CN"/>
              </w:rPr>
              <w:t>Časté</w:t>
            </w:r>
          </w:p>
          <w:p w14:paraId="7AA7A3DD" w14:textId="254169CC" w:rsidR="00AC6B3B" w:rsidRPr="005803FE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OLE_LINK1"/>
            <w:bookmarkStart w:id="1" w:name="OLE_LINK2"/>
            <w:r w:rsidRPr="005803FE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(≥</w:t>
            </w:r>
            <w:bookmarkEnd w:id="0"/>
            <w:bookmarkEnd w:id="1"/>
            <w:r w:rsidR="003D44DC" w:rsidRPr="005803FE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 xml:space="preserve"> </w:t>
            </w:r>
            <w:r w:rsidRPr="005803FE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1/100 až &lt;</w:t>
            </w:r>
            <w:r w:rsidR="003D44DC" w:rsidRPr="005803FE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 xml:space="preserve"> </w:t>
            </w:r>
            <w:r w:rsidRPr="005803FE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1/10)</w:t>
            </w:r>
          </w:p>
        </w:tc>
        <w:tc>
          <w:tcPr>
            <w:tcW w:w="1817" w:type="dxa"/>
            <w:shd w:val="clear" w:color="auto" w:fill="auto"/>
          </w:tcPr>
          <w:p w14:paraId="6DA9AEB0" w14:textId="77777777" w:rsidR="00AC6B3B" w:rsidRPr="005803FE" w:rsidRDefault="00AC6B3B" w:rsidP="006C46CB">
            <w:pPr>
              <w:pStyle w:val="Para0s"/>
              <w:spacing w:after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5803FE">
              <w:rPr>
                <w:rFonts w:ascii="Times New Roman" w:hAnsi="Times New Roman"/>
                <w:b/>
                <w:szCs w:val="22"/>
                <w:lang w:val="sk-SK"/>
              </w:rPr>
              <w:t xml:space="preserve">Zriedkavé </w:t>
            </w:r>
          </w:p>
          <w:p w14:paraId="0C463FD6" w14:textId="7FDA2595" w:rsidR="00AC6B3B" w:rsidRPr="005803FE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5803FE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(≥</w:t>
            </w:r>
            <w:r w:rsidR="003D44DC" w:rsidRPr="005803FE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 xml:space="preserve"> </w:t>
            </w:r>
            <w:r w:rsidRPr="005803FE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1/10 000 až</w:t>
            </w:r>
            <w:r w:rsidR="003D44DC" w:rsidRPr="005803FE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 xml:space="preserve"> </w:t>
            </w:r>
            <w:r w:rsidRPr="005803FE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&lt;</w:t>
            </w:r>
            <w:r w:rsidR="003D44DC" w:rsidRPr="005803FE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 xml:space="preserve"> </w:t>
            </w:r>
            <w:r w:rsidRPr="005803FE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1/1 000)</w:t>
            </w:r>
          </w:p>
        </w:tc>
        <w:tc>
          <w:tcPr>
            <w:tcW w:w="1974" w:type="dxa"/>
            <w:shd w:val="clear" w:color="auto" w:fill="auto"/>
          </w:tcPr>
          <w:p w14:paraId="7E0BB374" w14:textId="6EE0CF38" w:rsidR="00AC6B3B" w:rsidRPr="005803FE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5803FE">
              <w:rPr>
                <w:rFonts w:ascii="Times New Roman" w:hAnsi="Times New Roman"/>
                <w:b/>
                <w:sz w:val="22"/>
                <w:szCs w:val="22"/>
              </w:rPr>
              <w:t>Veľmi zriedkavé (&lt;</w:t>
            </w:r>
            <w:r w:rsidR="003D44DC" w:rsidRPr="005803F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803FE">
              <w:rPr>
                <w:rFonts w:ascii="Times New Roman" w:hAnsi="Times New Roman"/>
                <w:b/>
                <w:sz w:val="22"/>
                <w:szCs w:val="22"/>
              </w:rPr>
              <w:t>1/10 000)</w:t>
            </w:r>
          </w:p>
        </w:tc>
        <w:tc>
          <w:tcPr>
            <w:tcW w:w="1719" w:type="dxa"/>
            <w:shd w:val="clear" w:color="auto" w:fill="auto"/>
          </w:tcPr>
          <w:p w14:paraId="21F06A9E" w14:textId="47F7AD43" w:rsidR="00AC6B3B" w:rsidRPr="005803FE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5803FE">
              <w:rPr>
                <w:rFonts w:ascii="Times New Roman" w:hAnsi="Times New Roman"/>
                <w:b/>
                <w:sz w:val="22"/>
                <w:szCs w:val="22"/>
              </w:rPr>
              <w:t>Neznáme (z dostupných údajov)</w:t>
            </w:r>
          </w:p>
        </w:tc>
      </w:tr>
      <w:tr w:rsidR="009A2197" w14:paraId="13357552" w14:textId="77777777" w:rsidTr="004815E7">
        <w:tc>
          <w:tcPr>
            <w:tcW w:w="1974" w:type="dxa"/>
            <w:shd w:val="clear" w:color="auto" w:fill="auto"/>
          </w:tcPr>
          <w:p w14:paraId="1CB2431D" w14:textId="0BD54422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Poruchy krvi a lymfatického systému</w:t>
            </w:r>
          </w:p>
        </w:tc>
        <w:tc>
          <w:tcPr>
            <w:tcW w:w="1804" w:type="dxa"/>
            <w:shd w:val="clear" w:color="auto" w:fill="auto"/>
          </w:tcPr>
          <w:p w14:paraId="7DC55DC3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7" w:type="dxa"/>
            <w:shd w:val="clear" w:color="auto" w:fill="auto"/>
          </w:tcPr>
          <w:p w14:paraId="17AB04D1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16E48CE3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auto"/>
          </w:tcPr>
          <w:p w14:paraId="0032003C" w14:textId="5B062A3F" w:rsidR="00AC6B3B" w:rsidRPr="004815E7" w:rsidRDefault="00FF0948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Anémia z nedostatku železa spôsobená hemorágiou</w:t>
            </w:r>
            <w:r w:rsidRPr="004815E7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4815E7">
              <w:rPr>
                <w:rFonts w:ascii="Times New Roman" w:hAnsi="Times New Roman"/>
                <w:sz w:val="22"/>
                <w:szCs w:val="22"/>
              </w:rPr>
              <w:t xml:space="preserve"> s príslušnými laboratórnymi a klinickými prejavmi a</w:t>
            </w:r>
            <w:r w:rsidR="00485D02" w:rsidRPr="004815E7">
              <w:rPr>
                <w:rFonts w:ascii="Times New Roman" w:hAnsi="Times New Roman"/>
                <w:sz w:val="22"/>
                <w:szCs w:val="22"/>
              </w:rPr>
              <w:t> </w:t>
            </w:r>
            <w:r w:rsidRPr="004815E7">
              <w:rPr>
                <w:rFonts w:ascii="Times New Roman" w:hAnsi="Times New Roman"/>
                <w:sz w:val="22"/>
                <w:szCs w:val="22"/>
              </w:rPr>
              <w:t>príznakmi</w:t>
            </w:r>
          </w:p>
          <w:p w14:paraId="7D649280" w14:textId="77777777" w:rsidR="00485D02" w:rsidRPr="004815E7" w:rsidRDefault="00485D02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8FD9477" w14:textId="0E076DF6" w:rsidR="00FF0948" w:rsidRPr="004815E7" w:rsidRDefault="00FF0948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Hemolýza a hemolytická anémia u pacientov so závažnou formou nedostatku enzýmu glukóza-6-fosfát-</w:t>
            </w:r>
            <w:r w:rsidRPr="004815E7">
              <w:rPr>
                <w:rFonts w:ascii="Times New Roman" w:hAnsi="Times New Roman"/>
                <w:sz w:val="22"/>
                <w:szCs w:val="22"/>
              </w:rPr>
              <w:lastRenderedPageBreak/>
              <w:t>dehydrogenázy</w:t>
            </w:r>
          </w:p>
        </w:tc>
      </w:tr>
      <w:tr w:rsidR="009A2197" w14:paraId="080BA5CA" w14:textId="77777777" w:rsidTr="004815E7">
        <w:tc>
          <w:tcPr>
            <w:tcW w:w="1974" w:type="dxa"/>
            <w:shd w:val="clear" w:color="auto" w:fill="auto"/>
          </w:tcPr>
          <w:p w14:paraId="04E28756" w14:textId="4296B5D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lastRenderedPageBreak/>
              <w:t>Poruchy imunitného systému</w:t>
            </w:r>
          </w:p>
        </w:tc>
        <w:tc>
          <w:tcPr>
            <w:tcW w:w="1804" w:type="dxa"/>
            <w:shd w:val="clear" w:color="auto" w:fill="auto"/>
          </w:tcPr>
          <w:p w14:paraId="016E98BB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7" w:type="dxa"/>
            <w:shd w:val="clear" w:color="auto" w:fill="auto"/>
          </w:tcPr>
          <w:p w14:paraId="7549AE6B" w14:textId="42EB2A0B" w:rsidR="00FF0948" w:rsidRPr="004815E7" w:rsidRDefault="00FF0948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266828">
              <w:rPr>
                <w:rFonts w:ascii="Times New Roman" w:hAnsi="Times New Roman"/>
                <w:sz w:val="22"/>
                <w:szCs w:val="22"/>
              </w:rPr>
              <w:t>Precitlivenosť</w:t>
            </w:r>
            <w:r w:rsidR="00266828" w:rsidRPr="0026682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26B53E7A" w14:textId="1591F92D" w:rsidR="00FF0948" w:rsidRPr="004815E7" w:rsidRDefault="00266828" w:rsidP="006C46C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FF0948" w:rsidRPr="004815E7">
              <w:rPr>
                <w:rFonts w:ascii="Times New Roman" w:hAnsi="Times New Roman"/>
                <w:sz w:val="22"/>
                <w:szCs w:val="22"/>
              </w:rPr>
              <w:t>recitlivenosť na liečivo</w:t>
            </w:r>
            <w:r w:rsidR="003D44D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122A8EB0" w14:textId="06828821" w:rsidR="00FF0948" w:rsidRPr="004815E7" w:rsidRDefault="003D44DC" w:rsidP="006C46C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FF0948" w:rsidRPr="004815E7">
              <w:rPr>
                <w:rFonts w:ascii="Times New Roman" w:hAnsi="Times New Roman"/>
                <w:sz w:val="22"/>
                <w:szCs w:val="22"/>
              </w:rPr>
              <w:t>lergický edém a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="00FF0948" w:rsidRPr="004815E7">
              <w:rPr>
                <w:rFonts w:ascii="Times New Roman" w:hAnsi="Times New Roman"/>
                <w:sz w:val="22"/>
                <w:szCs w:val="22"/>
              </w:rPr>
              <w:t>angioedém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0AE5F10A" w14:textId="15A1383B" w:rsidR="00AC6B3B" w:rsidRPr="004815E7" w:rsidRDefault="003D44DC" w:rsidP="006C46C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FF0948" w:rsidRPr="004815E7">
              <w:rPr>
                <w:rFonts w:ascii="Times New Roman" w:hAnsi="Times New Roman"/>
                <w:sz w:val="22"/>
                <w:szCs w:val="22"/>
              </w:rPr>
              <w:t>nafylaktická reakcia</w:t>
            </w:r>
          </w:p>
        </w:tc>
        <w:tc>
          <w:tcPr>
            <w:tcW w:w="1974" w:type="dxa"/>
            <w:shd w:val="clear" w:color="auto" w:fill="auto"/>
          </w:tcPr>
          <w:p w14:paraId="325CBB77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auto"/>
          </w:tcPr>
          <w:p w14:paraId="2A90975D" w14:textId="72D2F6B3" w:rsidR="00AC6B3B" w:rsidRPr="004815E7" w:rsidRDefault="00FF0948" w:rsidP="003D44DC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 xml:space="preserve">Anafylaktický šok s príslušnými laboratórnymi a klinickými </w:t>
            </w:r>
            <w:r w:rsidR="003D44DC">
              <w:rPr>
                <w:rFonts w:ascii="Times New Roman" w:hAnsi="Times New Roman"/>
                <w:sz w:val="22"/>
                <w:szCs w:val="22"/>
              </w:rPr>
              <w:t>prejavmi a príznakmi</w:t>
            </w:r>
          </w:p>
        </w:tc>
      </w:tr>
      <w:tr w:rsidR="009A2197" w14:paraId="273FE65E" w14:textId="77777777" w:rsidTr="004815E7">
        <w:tc>
          <w:tcPr>
            <w:tcW w:w="1974" w:type="dxa"/>
            <w:shd w:val="clear" w:color="auto" w:fill="auto"/>
          </w:tcPr>
          <w:p w14:paraId="41E3EDCB" w14:textId="02816DDA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Poruchy nervového systému</w:t>
            </w:r>
          </w:p>
        </w:tc>
        <w:tc>
          <w:tcPr>
            <w:tcW w:w="1804" w:type="dxa"/>
            <w:shd w:val="clear" w:color="auto" w:fill="auto"/>
          </w:tcPr>
          <w:p w14:paraId="602657CD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7" w:type="dxa"/>
            <w:shd w:val="clear" w:color="auto" w:fill="auto"/>
          </w:tcPr>
          <w:p w14:paraId="3A034DE8" w14:textId="786B2707" w:rsidR="00AC6B3B" w:rsidRPr="004815E7" w:rsidRDefault="00FF0948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Cerebrálna a intrakraniálna hemorágia</w:t>
            </w:r>
          </w:p>
        </w:tc>
        <w:tc>
          <w:tcPr>
            <w:tcW w:w="1974" w:type="dxa"/>
            <w:shd w:val="clear" w:color="auto" w:fill="auto"/>
          </w:tcPr>
          <w:p w14:paraId="2BD08F7B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auto"/>
          </w:tcPr>
          <w:p w14:paraId="7B1D1F1F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2197" w14:paraId="59E5AA72" w14:textId="77777777" w:rsidTr="004815E7">
        <w:tc>
          <w:tcPr>
            <w:tcW w:w="1974" w:type="dxa"/>
            <w:shd w:val="clear" w:color="auto" w:fill="auto"/>
          </w:tcPr>
          <w:p w14:paraId="59757299" w14:textId="3483AE5E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Poruchy ucha a labyrintu</w:t>
            </w:r>
          </w:p>
        </w:tc>
        <w:tc>
          <w:tcPr>
            <w:tcW w:w="1804" w:type="dxa"/>
            <w:shd w:val="clear" w:color="auto" w:fill="auto"/>
          </w:tcPr>
          <w:p w14:paraId="09BA383E" w14:textId="24082CAB" w:rsidR="00AC6B3B" w:rsidRPr="004815E7" w:rsidRDefault="00FF0948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Tinitus</w:t>
            </w:r>
          </w:p>
        </w:tc>
        <w:tc>
          <w:tcPr>
            <w:tcW w:w="1817" w:type="dxa"/>
            <w:shd w:val="clear" w:color="auto" w:fill="auto"/>
          </w:tcPr>
          <w:p w14:paraId="480C6223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1E1DBAB9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auto"/>
          </w:tcPr>
          <w:p w14:paraId="75911529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2197" w14:paraId="124BB7B2" w14:textId="77777777" w:rsidTr="004815E7">
        <w:tc>
          <w:tcPr>
            <w:tcW w:w="1974" w:type="dxa"/>
            <w:shd w:val="clear" w:color="auto" w:fill="auto"/>
          </w:tcPr>
          <w:p w14:paraId="5AC8CE79" w14:textId="14DEF9FC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Poruchy srdca a srdcovej činnosti</w:t>
            </w:r>
          </w:p>
        </w:tc>
        <w:tc>
          <w:tcPr>
            <w:tcW w:w="1804" w:type="dxa"/>
            <w:shd w:val="clear" w:color="auto" w:fill="auto"/>
          </w:tcPr>
          <w:p w14:paraId="64A5E9D9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7" w:type="dxa"/>
            <w:shd w:val="clear" w:color="auto" w:fill="auto"/>
          </w:tcPr>
          <w:p w14:paraId="4C090744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1168A8F4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auto"/>
          </w:tcPr>
          <w:p w14:paraId="0F3228A8" w14:textId="68AF6AFF" w:rsidR="003D44DC" w:rsidRDefault="00FF0948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Kardiorespirač</w:t>
            </w:r>
            <w:r w:rsidR="003D44DC">
              <w:rPr>
                <w:rFonts w:ascii="Times New Roman" w:hAnsi="Times New Roman"/>
                <w:sz w:val="22"/>
                <w:szCs w:val="22"/>
              </w:rPr>
              <w:t>-</w:t>
            </w:r>
          </w:p>
          <w:p w14:paraId="772645AB" w14:textId="124E80C9" w:rsidR="00AC6B3B" w:rsidRPr="004815E7" w:rsidRDefault="00FF0948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ná tieseň</w:t>
            </w:r>
            <w:r w:rsidRPr="004815E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9A2197" w14:paraId="174D967C" w14:textId="77777777" w:rsidTr="004815E7">
        <w:tc>
          <w:tcPr>
            <w:tcW w:w="1974" w:type="dxa"/>
            <w:shd w:val="clear" w:color="auto" w:fill="auto"/>
          </w:tcPr>
          <w:p w14:paraId="7DD2E3D4" w14:textId="360D9426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Poruchy ciev</w:t>
            </w:r>
          </w:p>
        </w:tc>
        <w:tc>
          <w:tcPr>
            <w:tcW w:w="1804" w:type="dxa"/>
            <w:shd w:val="clear" w:color="auto" w:fill="auto"/>
          </w:tcPr>
          <w:p w14:paraId="1E7B36C0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7" w:type="dxa"/>
            <w:shd w:val="clear" w:color="auto" w:fill="auto"/>
          </w:tcPr>
          <w:p w14:paraId="77F02B74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53BFFAD3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auto"/>
          </w:tcPr>
          <w:p w14:paraId="4ABEB0A8" w14:textId="2CA89985" w:rsidR="00FF0948" w:rsidRPr="004815E7" w:rsidRDefault="00FF0948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Hemorágia</w:t>
            </w:r>
            <w:r w:rsidR="003D44D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108BF693" w14:textId="107ADB0C" w:rsidR="00FF0948" w:rsidRPr="004815E7" w:rsidRDefault="003D44DC" w:rsidP="006C46C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</w:t>
            </w:r>
            <w:r w:rsidR="00FF0948" w:rsidRPr="004815E7">
              <w:rPr>
                <w:rFonts w:ascii="Times New Roman" w:hAnsi="Times New Roman"/>
                <w:sz w:val="22"/>
                <w:szCs w:val="22"/>
              </w:rPr>
              <w:t>rvácanie počas operácie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070649E5" w14:textId="1F75D029" w:rsidR="00AC6B3B" w:rsidRPr="004815E7" w:rsidRDefault="003D44DC" w:rsidP="006C46C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</w:t>
            </w:r>
            <w:r w:rsidR="00FF0948" w:rsidRPr="004815E7">
              <w:rPr>
                <w:rFonts w:ascii="Times New Roman" w:hAnsi="Times New Roman"/>
                <w:sz w:val="22"/>
                <w:szCs w:val="22"/>
              </w:rPr>
              <w:t>ematóm</w:t>
            </w:r>
          </w:p>
        </w:tc>
      </w:tr>
      <w:tr w:rsidR="009A2197" w14:paraId="72F3C45B" w14:textId="77777777" w:rsidTr="004815E7">
        <w:tc>
          <w:tcPr>
            <w:tcW w:w="1974" w:type="dxa"/>
            <w:shd w:val="clear" w:color="auto" w:fill="auto"/>
          </w:tcPr>
          <w:p w14:paraId="1692C0AE" w14:textId="5958A916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Poruchy dýchacej sústavy, hrudníka a mediastína</w:t>
            </w:r>
          </w:p>
        </w:tc>
        <w:tc>
          <w:tcPr>
            <w:tcW w:w="1804" w:type="dxa"/>
            <w:shd w:val="clear" w:color="auto" w:fill="auto"/>
          </w:tcPr>
          <w:p w14:paraId="16F69E71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7" w:type="dxa"/>
            <w:shd w:val="clear" w:color="auto" w:fill="auto"/>
          </w:tcPr>
          <w:p w14:paraId="14A8EDD0" w14:textId="58AD09A4" w:rsidR="00FF0948" w:rsidRPr="004815E7" w:rsidRDefault="00FF0948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Astmatický syndróm</w:t>
            </w:r>
            <w:r w:rsidR="003D44D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2FB7F20C" w14:textId="1F66E1E3" w:rsidR="00FF0948" w:rsidRPr="004815E7" w:rsidRDefault="003D44DC" w:rsidP="006C46C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FF0948" w:rsidRPr="004815E7">
              <w:rPr>
                <w:rFonts w:ascii="Times New Roman" w:hAnsi="Times New Roman"/>
                <w:sz w:val="22"/>
                <w:szCs w:val="22"/>
              </w:rPr>
              <w:t>ádcha</w:t>
            </w:r>
          </w:p>
          <w:p w14:paraId="0E29169E" w14:textId="665C5188" w:rsidR="00AC6B3B" w:rsidRPr="004815E7" w:rsidRDefault="003D44DC" w:rsidP="006C46C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FF0948" w:rsidRPr="004815E7">
              <w:rPr>
                <w:rFonts w:ascii="Times New Roman" w:hAnsi="Times New Roman"/>
                <w:sz w:val="22"/>
                <w:szCs w:val="22"/>
              </w:rPr>
              <w:t>azálna kongescia</w:t>
            </w:r>
          </w:p>
        </w:tc>
        <w:tc>
          <w:tcPr>
            <w:tcW w:w="1974" w:type="dxa"/>
            <w:shd w:val="clear" w:color="auto" w:fill="auto"/>
          </w:tcPr>
          <w:p w14:paraId="59555C66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auto"/>
          </w:tcPr>
          <w:p w14:paraId="3AC6AD51" w14:textId="1A2F5773" w:rsidR="00AC6B3B" w:rsidRPr="004815E7" w:rsidRDefault="00FF0948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Epistaxa</w:t>
            </w:r>
          </w:p>
        </w:tc>
      </w:tr>
      <w:tr w:rsidR="009A2197" w14:paraId="7C84B8E6" w14:textId="77777777" w:rsidTr="004815E7">
        <w:tc>
          <w:tcPr>
            <w:tcW w:w="1974" w:type="dxa"/>
            <w:shd w:val="clear" w:color="auto" w:fill="auto"/>
          </w:tcPr>
          <w:p w14:paraId="234FA758" w14:textId="47D3E562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Poruchy gastrointestinálneho traktu</w:t>
            </w:r>
          </w:p>
        </w:tc>
        <w:tc>
          <w:tcPr>
            <w:tcW w:w="1804" w:type="dxa"/>
            <w:shd w:val="clear" w:color="auto" w:fill="auto"/>
          </w:tcPr>
          <w:p w14:paraId="583370CA" w14:textId="7EB0B80D" w:rsidR="00FF0948" w:rsidRPr="004815E7" w:rsidRDefault="00FF0948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Dyspepsia</w:t>
            </w:r>
            <w:r w:rsidR="003D44D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487AE507" w14:textId="2AE7B77D" w:rsidR="00FF0948" w:rsidRPr="004815E7" w:rsidRDefault="003D44DC" w:rsidP="006C46C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</w:t>
            </w:r>
            <w:r w:rsidR="00FF0948" w:rsidRPr="004815E7">
              <w:rPr>
                <w:rFonts w:ascii="Times New Roman" w:hAnsi="Times New Roman"/>
                <w:sz w:val="22"/>
                <w:szCs w:val="22"/>
              </w:rPr>
              <w:t>astrointestinálna bolesť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41D38F45" w14:textId="6BDD70CA" w:rsidR="00AC6B3B" w:rsidRPr="004815E7" w:rsidRDefault="00FF0948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bolesť</w:t>
            </w:r>
            <w:r w:rsidR="003D44DC">
              <w:rPr>
                <w:rFonts w:ascii="Times New Roman" w:hAnsi="Times New Roman"/>
                <w:sz w:val="22"/>
                <w:szCs w:val="22"/>
              </w:rPr>
              <w:t xml:space="preserve"> brucha</w:t>
            </w:r>
          </w:p>
        </w:tc>
        <w:tc>
          <w:tcPr>
            <w:tcW w:w="1817" w:type="dxa"/>
            <w:shd w:val="clear" w:color="auto" w:fill="auto"/>
          </w:tcPr>
          <w:p w14:paraId="2BD6A126" w14:textId="293CDE5C" w:rsidR="00FF0948" w:rsidRPr="004815E7" w:rsidRDefault="00FF0948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Gastrointestinálny zápal</w:t>
            </w:r>
            <w:r w:rsidR="003D44D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63F10160" w14:textId="26BA8291" w:rsidR="00FF0948" w:rsidRPr="004815E7" w:rsidRDefault="003D44DC" w:rsidP="006C46C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</w:t>
            </w:r>
            <w:r w:rsidR="00FF0948" w:rsidRPr="004815E7">
              <w:rPr>
                <w:rFonts w:ascii="Times New Roman" w:hAnsi="Times New Roman"/>
                <w:sz w:val="22"/>
                <w:szCs w:val="22"/>
              </w:rPr>
              <w:t>astrointestinálny vred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6C2C1BA9" w14:textId="2BE54B3F" w:rsidR="00AC6B3B" w:rsidRPr="004815E7" w:rsidRDefault="003D44DC" w:rsidP="006C46C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</w:t>
            </w:r>
            <w:r w:rsidR="00FF0948" w:rsidRPr="004815E7">
              <w:rPr>
                <w:rFonts w:ascii="Times New Roman" w:hAnsi="Times New Roman"/>
                <w:sz w:val="22"/>
                <w:szCs w:val="22"/>
              </w:rPr>
              <w:t>astrointestinálna hemorágia</w:t>
            </w:r>
          </w:p>
        </w:tc>
        <w:tc>
          <w:tcPr>
            <w:tcW w:w="1974" w:type="dxa"/>
            <w:shd w:val="clear" w:color="auto" w:fill="auto"/>
          </w:tcPr>
          <w:p w14:paraId="732E1B2D" w14:textId="6DAAF8C0" w:rsidR="00AC6B3B" w:rsidRPr="004815E7" w:rsidRDefault="00FF0948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Perforácia gastrointestinálnych vredov s príslušnými laboratórnymi a klinickými prejavmi a príznakmi</w:t>
            </w:r>
          </w:p>
        </w:tc>
        <w:tc>
          <w:tcPr>
            <w:tcW w:w="1719" w:type="dxa"/>
            <w:shd w:val="clear" w:color="auto" w:fill="auto"/>
          </w:tcPr>
          <w:p w14:paraId="4AD5860F" w14:textId="743513D7" w:rsidR="00AC6B3B" w:rsidRPr="004815E7" w:rsidRDefault="00FF0948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Krvácanie z ďasien</w:t>
            </w:r>
          </w:p>
        </w:tc>
      </w:tr>
      <w:tr w:rsidR="009A2197" w14:paraId="74488234" w14:textId="77777777" w:rsidTr="004815E7">
        <w:tc>
          <w:tcPr>
            <w:tcW w:w="1974" w:type="dxa"/>
            <w:shd w:val="clear" w:color="auto" w:fill="auto"/>
          </w:tcPr>
          <w:p w14:paraId="689880D0" w14:textId="03B18D61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Poruchy pečene a žlčových ciest</w:t>
            </w:r>
          </w:p>
        </w:tc>
        <w:tc>
          <w:tcPr>
            <w:tcW w:w="1804" w:type="dxa"/>
            <w:shd w:val="clear" w:color="auto" w:fill="auto"/>
          </w:tcPr>
          <w:p w14:paraId="3D92AB3E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7" w:type="dxa"/>
            <w:shd w:val="clear" w:color="auto" w:fill="auto"/>
          </w:tcPr>
          <w:p w14:paraId="3EC030C8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424F996A" w14:textId="224F2F5C" w:rsidR="00FF0948" w:rsidRPr="004815E7" w:rsidRDefault="00FF0948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Prechodná porucha funkcie pečene</w:t>
            </w:r>
            <w:r w:rsidR="003D44D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6E1C3887" w14:textId="5A852BAC" w:rsidR="00AC6B3B" w:rsidRPr="004815E7" w:rsidRDefault="003D44DC" w:rsidP="006C46C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</w:t>
            </w:r>
            <w:r w:rsidR="00FF0948" w:rsidRPr="004815E7">
              <w:rPr>
                <w:rFonts w:ascii="Times New Roman" w:hAnsi="Times New Roman"/>
                <w:sz w:val="22"/>
                <w:szCs w:val="22"/>
              </w:rPr>
              <w:t>výšenie transamináz</w:t>
            </w:r>
          </w:p>
        </w:tc>
        <w:tc>
          <w:tcPr>
            <w:tcW w:w="1719" w:type="dxa"/>
            <w:shd w:val="clear" w:color="auto" w:fill="auto"/>
          </w:tcPr>
          <w:p w14:paraId="4BB18502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2197" w14:paraId="19B440BB" w14:textId="77777777" w:rsidTr="004815E7">
        <w:tc>
          <w:tcPr>
            <w:tcW w:w="1974" w:type="dxa"/>
            <w:shd w:val="clear" w:color="auto" w:fill="auto"/>
          </w:tcPr>
          <w:p w14:paraId="57E41B56" w14:textId="6C5A5F5E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Poruchy kože a podkožného tkaniva</w:t>
            </w:r>
          </w:p>
        </w:tc>
        <w:tc>
          <w:tcPr>
            <w:tcW w:w="1804" w:type="dxa"/>
            <w:shd w:val="clear" w:color="auto" w:fill="auto"/>
          </w:tcPr>
          <w:p w14:paraId="64F9A674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7" w:type="dxa"/>
            <w:shd w:val="clear" w:color="auto" w:fill="auto"/>
          </w:tcPr>
          <w:p w14:paraId="498C7486" w14:textId="41E94877" w:rsidR="00FF0948" w:rsidRPr="004815E7" w:rsidRDefault="00FF0948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Vyrážka</w:t>
            </w:r>
            <w:r w:rsidR="003D44D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2C5F12AC" w14:textId="1BC7E961" w:rsidR="00FF0948" w:rsidRPr="004815E7" w:rsidRDefault="003D44DC" w:rsidP="006C46C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 w:rsidR="00FF0948" w:rsidRPr="004815E7">
              <w:rPr>
                <w:rFonts w:ascii="Times New Roman" w:hAnsi="Times New Roman"/>
                <w:sz w:val="22"/>
                <w:szCs w:val="22"/>
              </w:rPr>
              <w:t>rtikária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FF0948" w:rsidRPr="004815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873A5C7" w14:textId="784D310B" w:rsidR="00AC6B3B" w:rsidRPr="004815E7" w:rsidRDefault="003D44DC" w:rsidP="006C46C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FF0948" w:rsidRPr="004815E7">
              <w:rPr>
                <w:rFonts w:ascii="Times New Roman" w:hAnsi="Times New Roman"/>
                <w:sz w:val="22"/>
                <w:szCs w:val="22"/>
              </w:rPr>
              <w:t>ruritus</w:t>
            </w:r>
          </w:p>
        </w:tc>
        <w:tc>
          <w:tcPr>
            <w:tcW w:w="1974" w:type="dxa"/>
            <w:shd w:val="clear" w:color="auto" w:fill="auto"/>
          </w:tcPr>
          <w:p w14:paraId="67ABA3E0" w14:textId="47DD27D3" w:rsidR="00AC6B3B" w:rsidRPr="004815E7" w:rsidRDefault="00FF0948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Závažné kožné reakcie (Stevensov-Johnsonov syndróm a toxická epidermálna nekrolýza)</w:t>
            </w:r>
          </w:p>
        </w:tc>
        <w:tc>
          <w:tcPr>
            <w:tcW w:w="1719" w:type="dxa"/>
            <w:shd w:val="clear" w:color="auto" w:fill="auto"/>
          </w:tcPr>
          <w:p w14:paraId="3EBAA762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2197" w14:paraId="3BED3C9B" w14:textId="77777777" w:rsidTr="004815E7">
        <w:tc>
          <w:tcPr>
            <w:tcW w:w="1974" w:type="dxa"/>
            <w:shd w:val="clear" w:color="auto" w:fill="auto"/>
          </w:tcPr>
          <w:p w14:paraId="3D08109D" w14:textId="7AC9A4D8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Poruchy obličiek a močových ciest</w:t>
            </w:r>
          </w:p>
        </w:tc>
        <w:tc>
          <w:tcPr>
            <w:tcW w:w="1804" w:type="dxa"/>
            <w:shd w:val="clear" w:color="auto" w:fill="auto"/>
          </w:tcPr>
          <w:p w14:paraId="79722110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7" w:type="dxa"/>
            <w:shd w:val="clear" w:color="auto" w:fill="auto"/>
          </w:tcPr>
          <w:p w14:paraId="2A6B4E56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71A905E4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auto"/>
          </w:tcPr>
          <w:p w14:paraId="60937F01" w14:textId="5F50EED3" w:rsidR="00FF0948" w:rsidRPr="004815E7" w:rsidRDefault="00FF0948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</w:rPr>
              <w:t>Urogenitálna hemorágia</w:t>
            </w:r>
            <w:r w:rsidR="003D44D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157C2681" w14:textId="42186FA9" w:rsidR="00FF0948" w:rsidRPr="003D44DC" w:rsidRDefault="003D44DC" w:rsidP="006C46C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FF0948" w:rsidRPr="004815E7">
              <w:rPr>
                <w:rFonts w:ascii="Times New Roman" w:hAnsi="Times New Roman"/>
                <w:sz w:val="22"/>
                <w:szCs w:val="22"/>
              </w:rPr>
              <w:t>orucha funkcie obličiek</w:t>
            </w:r>
            <w:r w:rsidR="00FF0948" w:rsidRPr="004815E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7C53F50F" w14:textId="60490C0C" w:rsidR="00AC6B3B" w:rsidRPr="004815E7" w:rsidRDefault="003D44DC" w:rsidP="006C46C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FF0948" w:rsidRPr="004815E7">
              <w:rPr>
                <w:rFonts w:ascii="Times New Roman" w:hAnsi="Times New Roman"/>
                <w:sz w:val="22"/>
                <w:szCs w:val="22"/>
              </w:rPr>
              <w:t>kútne renálne zlyhanie</w:t>
            </w:r>
            <w:r w:rsidR="00FF0948" w:rsidRPr="004815E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AC6B3B" w14:paraId="7F1BD25C" w14:textId="77777777" w:rsidTr="004815E7">
        <w:tc>
          <w:tcPr>
            <w:tcW w:w="9288" w:type="dxa"/>
            <w:gridSpan w:val="5"/>
            <w:shd w:val="clear" w:color="auto" w:fill="auto"/>
          </w:tcPr>
          <w:p w14:paraId="2D710683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4815E7">
              <w:rPr>
                <w:rFonts w:ascii="Times New Roman" w:hAnsi="Times New Roman"/>
                <w:sz w:val="22"/>
                <w:szCs w:val="22"/>
              </w:rPr>
              <w:t xml:space="preserve"> V súvislosti s krvácaním</w:t>
            </w:r>
          </w:p>
          <w:p w14:paraId="64139725" w14:textId="77777777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4815E7">
              <w:rPr>
                <w:rFonts w:ascii="Times New Roman" w:hAnsi="Times New Roman"/>
                <w:sz w:val="22"/>
                <w:szCs w:val="22"/>
              </w:rPr>
              <w:t xml:space="preserve"> V súvislosti so závažnými alergickými reakciami</w:t>
            </w:r>
          </w:p>
          <w:p w14:paraId="48805A7A" w14:textId="5E9A5230" w:rsidR="00AC6B3B" w:rsidRPr="004815E7" w:rsidRDefault="00AC6B3B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4815E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4815E7">
              <w:rPr>
                <w:rFonts w:ascii="Times New Roman" w:hAnsi="Times New Roman"/>
                <w:sz w:val="22"/>
                <w:szCs w:val="22"/>
              </w:rPr>
              <w:t xml:space="preserve"> U pacientov s už existujúcou poruchou funkcie obličiek alebo poruchami kardiovaskulárneho obehu</w:t>
            </w:r>
          </w:p>
        </w:tc>
      </w:tr>
    </w:tbl>
    <w:p w14:paraId="539CAD6D" w14:textId="77777777" w:rsidR="00AC6B3B" w:rsidRDefault="00AC6B3B" w:rsidP="006C46CB">
      <w:pPr>
        <w:rPr>
          <w:rFonts w:ascii="Times New Roman" w:hAnsi="Times New Roman"/>
          <w:sz w:val="22"/>
          <w:szCs w:val="22"/>
        </w:rPr>
      </w:pPr>
    </w:p>
    <w:p w14:paraId="3CB61E3E" w14:textId="77777777" w:rsidR="00AC6B3B" w:rsidRDefault="00AC6B3B" w:rsidP="006C46CB">
      <w:pPr>
        <w:rPr>
          <w:rFonts w:ascii="Times New Roman" w:hAnsi="Times New Roman"/>
          <w:sz w:val="22"/>
          <w:szCs w:val="22"/>
        </w:rPr>
      </w:pPr>
    </w:p>
    <w:p w14:paraId="12582205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5A1DE066" w14:textId="77777777" w:rsidR="001643CD" w:rsidRPr="00C45747" w:rsidRDefault="001643CD" w:rsidP="006C46CB">
      <w:pPr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C45747">
        <w:rPr>
          <w:rFonts w:ascii="Times New Roman" w:hAnsi="Times New Roman"/>
          <w:noProof/>
          <w:sz w:val="22"/>
          <w:szCs w:val="22"/>
          <w:u w:val="single"/>
        </w:rPr>
        <w:t>Hlásenie podozrení na nežiaduce reakcie</w:t>
      </w:r>
    </w:p>
    <w:p w14:paraId="11E395E2" w14:textId="04258923" w:rsidR="001643CD" w:rsidRPr="00C45747" w:rsidRDefault="001643CD" w:rsidP="001A7EC0">
      <w:pPr>
        <w:suppressLineNumbers/>
        <w:autoSpaceDE w:val="0"/>
        <w:autoSpaceDN w:val="0"/>
        <w:adjustRightInd w:val="0"/>
        <w:rPr>
          <w:rFonts w:ascii="Times New Roman" w:hAnsi="Times New Roman"/>
          <w:noProof/>
          <w:sz w:val="22"/>
          <w:szCs w:val="22"/>
        </w:rPr>
      </w:pPr>
      <w:r w:rsidRPr="00C45747">
        <w:rPr>
          <w:rFonts w:ascii="Times New Roman" w:hAnsi="Times New Roman"/>
          <w:noProof/>
          <w:sz w:val="22"/>
          <w:szCs w:val="22"/>
        </w:rPr>
        <w:t>Hlásenie podozrení na nežiaduce reakcie po registrácii lieku je dôležité.</w:t>
      </w:r>
      <w:r w:rsidRPr="00C45747">
        <w:rPr>
          <w:rFonts w:ascii="Times New Roman" w:hAnsi="Times New Roman"/>
          <w:sz w:val="22"/>
          <w:szCs w:val="22"/>
        </w:rPr>
        <w:t xml:space="preserve"> </w:t>
      </w:r>
      <w:r w:rsidRPr="00C45747">
        <w:rPr>
          <w:rFonts w:ascii="Times New Roman" w:hAnsi="Times New Roman"/>
          <w:noProof/>
          <w:sz w:val="22"/>
          <w:szCs w:val="22"/>
        </w:rPr>
        <w:t>Umožňuje priebežné monitorovanie pomeru prínosu a rizika lieku.</w:t>
      </w:r>
      <w:r w:rsidRPr="00C45747">
        <w:rPr>
          <w:rFonts w:ascii="Times New Roman" w:hAnsi="Times New Roman"/>
          <w:sz w:val="22"/>
          <w:szCs w:val="22"/>
        </w:rPr>
        <w:t xml:space="preserve"> Od </w:t>
      </w:r>
      <w:r w:rsidRPr="00C45747">
        <w:rPr>
          <w:rFonts w:ascii="Times New Roman" w:hAnsi="Times New Roman"/>
          <w:noProof/>
          <w:sz w:val="22"/>
          <w:szCs w:val="22"/>
        </w:rPr>
        <w:t xml:space="preserve">zdravotníckych pracovníkov sa vyžaduje, aby hlásili akékoľvek podozrenia na nežiaduce reakcie </w:t>
      </w:r>
      <w:r>
        <w:rPr>
          <w:rFonts w:ascii="Times New Roman" w:hAnsi="Times New Roman"/>
          <w:noProof/>
          <w:sz w:val="22"/>
          <w:szCs w:val="22"/>
        </w:rPr>
        <w:t>na</w:t>
      </w:r>
      <w:r w:rsidRPr="00C45747">
        <w:rPr>
          <w:rFonts w:ascii="Times New Roman" w:hAnsi="Times New Roman"/>
          <w:noProof/>
          <w:sz w:val="22"/>
          <w:szCs w:val="22"/>
        </w:rPr>
        <w:t xml:space="preserve"> </w:t>
      </w:r>
      <w:r w:rsidRPr="006A0F01">
        <w:rPr>
          <w:rFonts w:ascii="Times New Roman" w:hAnsi="Times New Roman"/>
          <w:noProof/>
          <w:sz w:val="22"/>
          <w:szCs w:val="22"/>
          <w:highlight w:val="lightGray"/>
        </w:rPr>
        <w:t>národné centrum hlásenia uvedené v </w:t>
      </w:r>
      <w:hyperlink r:id="rId8" w:history="1">
        <w:r w:rsidRPr="006A0F01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Prílohe V</w:t>
        </w:r>
      </w:hyperlink>
      <w:r w:rsidRPr="00C45747">
        <w:rPr>
          <w:rFonts w:ascii="Times New Roman" w:hAnsi="Times New Roman"/>
          <w:noProof/>
          <w:sz w:val="22"/>
          <w:szCs w:val="22"/>
        </w:rPr>
        <w:t>.</w:t>
      </w:r>
    </w:p>
    <w:p w14:paraId="62F9B9C5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21589D06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  <w:r w:rsidRPr="00C45747">
        <w:rPr>
          <w:rFonts w:ascii="Times New Roman" w:hAnsi="Times New Roman"/>
          <w:b/>
          <w:sz w:val="22"/>
          <w:szCs w:val="22"/>
        </w:rPr>
        <w:t>4.9</w:t>
      </w:r>
      <w:r w:rsidRPr="00C45747">
        <w:rPr>
          <w:rFonts w:ascii="Times New Roman" w:hAnsi="Times New Roman"/>
          <w:b/>
          <w:sz w:val="22"/>
          <w:szCs w:val="22"/>
        </w:rPr>
        <w:tab/>
        <w:t>Predávkovanie</w:t>
      </w:r>
    </w:p>
    <w:p w14:paraId="5F8CBC94" w14:textId="77777777" w:rsidR="001643CD" w:rsidRPr="00C45747" w:rsidRDefault="001643CD" w:rsidP="006C46CB">
      <w:pPr>
        <w:pStyle w:val="Zkladntext2"/>
        <w:jc w:val="left"/>
        <w:rPr>
          <w:rFonts w:ascii="Times New Roman" w:hAnsi="Times New Roman"/>
          <w:sz w:val="22"/>
          <w:szCs w:val="22"/>
        </w:rPr>
      </w:pPr>
    </w:p>
    <w:p w14:paraId="352B6BF5" w14:textId="30C21F9A" w:rsidR="001643CD" w:rsidRPr="00C45747" w:rsidRDefault="001643CD" w:rsidP="006C46CB">
      <w:pPr>
        <w:pStyle w:val="Zkladntext3"/>
        <w:spacing w:after="0"/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Toxic</w:t>
      </w:r>
      <w:r w:rsidR="008309EB">
        <w:rPr>
          <w:rFonts w:ascii="Times New Roman" w:hAnsi="Times New Roman"/>
          <w:sz w:val="22"/>
          <w:szCs w:val="22"/>
        </w:rPr>
        <w:t>ké účinky</w:t>
      </w:r>
      <w:r w:rsidRPr="00C45747">
        <w:rPr>
          <w:rFonts w:ascii="Times New Roman" w:hAnsi="Times New Roman"/>
          <w:sz w:val="22"/>
          <w:szCs w:val="22"/>
        </w:rPr>
        <w:t xml:space="preserve"> salicylátov (</w:t>
      </w:r>
      <w:r w:rsidR="008309EB">
        <w:rPr>
          <w:rFonts w:ascii="Times New Roman" w:hAnsi="Times New Roman"/>
          <w:sz w:val="22"/>
          <w:szCs w:val="22"/>
        </w:rPr>
        <w:t>dávka viac ako</w:t>
      </w:r>
      <w:r w:rsidRPr="00C45747">
        <w:rPr>
          <w:rFonts w:ascii="Times New Roman" w:hAnsi="Times New Roman"/>
          <w:sz w:val="22"/>
          <w:szCs w:val="22"/>
        </w:rPr>
        <w:t xml:space="preserve"> 100 mg/kg/deň počas 2 dní môže vyvolať toxic</w:t>
      </w:r>
      <w:r w:rsidR="008309EB">
        <w:rPr>
          <w:rFonts w:ascii="Times New Roman" w:hAnsi="Times New Roman"/>
          <w:sz w:val="22"/>
          <w:szCs w:val="22"/>
        </w:rPr>
        <w:t>ké účinky</w:t>
      </w:r>
      <w:r w:rsidRPr="00C45747">
        <w:rPr>
          <w:rFonts w:ascii="Times New Roman" w:hAnsi="Times New Roman"/>
          <w:sz w:val="22"/>
          <w:szCs w:val="22"/>
        </w:rPr>
        <w:t>) môž</w:t>
      </w:r>
      <w:r w:rsidR="008309EB">
        <w:rPr>
          <w:rFonts w:ascii="Times New Roman" w:hAnsi="Times New Roman"/>
          <w:sz w:val="22"/>
          <w:szCs w:val="22"/>
        </w:rPr>
        <w:t>u</w:t>
      </w:r>
      <w:r w:rsidRPr="00C45747">
        <w:rPr>
          <w:rFonts w:ascii="Times New Roman" w:hAnsi="Times New Roman"/>
          <w:sz w:val="22"/>
          <w:szCs w:val="22"/>
        </w:rPr>
        <w:t xml:space="preserve"> byť </w:t>
      </w:r>
      <w:r w:rsidR="008309EB">
        <w:rPr>
          <w:rFonts w:ascii="Times New Roman" w:hAnsi="Times New Roman"/>
          <w:sz w:val="22"/>
          <w:szCs w:val="22"/>
        </w:rPr>
        <w:t>dôsledkom</w:t>
      </w:r>
      <w:r w:rsidR="008309EB" w:rsidRPr="00C45747">
        <w:rPr>
          <w:rFonts w:ascii="Times New Roman" w:hAnsi="Times New Roman"/>
          <w:sz w:val="22"/>
          <w:szCs w:val="22"/>
        </w:rPr>
        <w:t xml:space="preserve"> </w:t>
      </w:r>
      <w:r w:rsidRPr="00C45747">
        <w:rPr>
          <w:rFonts w:ascii="Times New Roman" w:hAnsi="Times New Roman"/>
          <w:sz w:val="22"/>
          <w:szCs w:val="22"/>
        </w:rPr>
        <w:t>chronického</w:t>
      </w:r>
      <w:r w:rsidR="008309EB">
        <w:rPr>
          <w:rFonts w:ascii="Times New Roman" w:hAnsi="Times New Roman"/>
          <w:sz w:val="22"/>
          <w:szCs w:val="22"/>
        </w:rPr>
        <w:t xml:space="preserve"> pr</w:t>
      </w:r>
      <w:r w:rsidR="00A84566">
        <w:rPr>
          <w:rFonts w:ascii="Times New Roman" w:hAnsi="Times New Roman"/>
          <w:sz w:val="22"/>
          <w:szCs w:val="22"/>
        </w:rPr>
        <w:t>edávkovania spôsobeného liečbou</w:t>
      </w:r>
      <w:r w:rsidRPr="00C45747">
        <w:rPr>
          <w:rFonts w:ascii="Times New Roman" w:hAnsi="Times New Roman"/>
          <w:sz w:val="22"/>
          <w:szCs w:val="22"/>
        </w:rPr>
        <w:t xml:space="preserve"> a akútnej intoxikácie</w:t>
      </w:r>
      <w:r w:rsidR="008309EB">
        <w:rPr>
          <w:rFonts w:ascii="Times New Roman" w:hAnsi="Times New Roman"/>
          <w:sz w:val="22"/>
          <w:szCs w:val="22"/>
        </w:rPr>
        <w:t>,</w:t>
      </w:r>
      <w:r w:rsidRPr="00C45747">
        <w:rPr>
          <w:rFonts w:ascii="Times New Roman" w:hAnsi="Times New Roman"/>
          <w:sz w:val="22"/>
          <w:szCs w:val="22"/>
        </w:rPr>
        <w:t xml:space="preserve"> </w:t>
      </w:r>
      <w:r w:rsidR="00785405">
        <w:rPr>
          <w:rFonts w:ascii="Times New Roman" w:hAnsi="Times New Roman"/>
          <w:sz w:val="22"/>
          <w:szCs w:val="22"/>
        </w:rPr>
        <w:t>ktorá</w:t>
      </w:r>
      <w:r w:rsidRPr="00C45747">
        <w:rPr>
          <w:rFonts w:ascii="Times New Roman" w:hAnsi="Times New Roman"/>
          <w:sz w:val="22"/>
          <w:szCs w:val="22"/>
        </w:rPr>
        <w:t xml:space="preserve"> zahŕňa prípady náhodného požitia </w:t>
      </w:r>
      <w:r w:rsidR="008309EB">
        <w:rPr>
          <w:rFonts w:ascii="Times New Roman" w:hAnsi="Times New Roman"/>
          <w:sz w:val="22"/>
          <w:szCs w:val="22"/>
        </w:rPr>
        <w:t>deťmi</w:t>
      </w:r>
      <w:r w:rsidRPr="00C45747">
        <w:rPr>
          <w:rFonts w:ascii="Times New Roman" w:hAnsi="Times New Roman"/>
          <w:sz w:val="22"/>
          <w:szCs w:val="22"/>
        </w:rPr>
        <w:t xml:space="preserve"> </w:t>
      </w:r>
      <w:r w:rsidRPr="008309EB">
        <w:rPr>
          <w:rFonts w:ascii="Times New Roman" w:hAnsi="Times New Roman"/>
          <w:sz w:val="22"/>
          <w:szCs w:val="22"/>
        </w:rPr>
        <w:t>a náhodn</w:t>
      </w:r>
      <w:r w:rsidR="00381A79" w:rsidRPr="004815E7">
        <w:rPr>
          <w:rFonts w:ascii="Times New Roman" w:hAnsi="Times New Roman"/>
          <w:sz w:val="22"/>
          <w:szCs w:val="22"/>
        </w:rPr>
        <w:t>ú</w:t>
      </w:r>
      <w:r w:rsidRPr="008309EB">
        <w:rPr>
          <w:rFonts w:ascii="Times New Roman" w:hAnsi="Times New Roman"/>
          <w:sz w:val="22"/>
          <w:szCs w:val="22"/>
        </w:rPr>
        <w:t xml:space="preserve"> </w:t>
      </w:r>
      <w:r w:rsidR="008309EB" w:rsidRPr="00785405">
        <w:rPr>
          <w:rFonts w:ascii="Times New Roman" w:hAnsi="Times New Roman"/>
          <w:sz w:val="22"/>
          <w:szCs w:val="22"/>
        </w:rPr>
        <w:t>otrav</w:t>
      </w:r>
      <w:r w:rsidR="00785405">
        <w:rPr>
          <w:rFonts w:ascii="Times New Roman" w:hAnsi="Times New Roman"/>
          <w:sz w:val="22"/>
          <w:szCs w:val="22"/>
        </w:rPr>
        <w:t>u</w:t>
      </w:r>
      <w:r w:rsidRPr="00785405">
        <w:rPr>
          <w:rFonts w:ascii="Times New Roman" w:hAnsi="Times New Roman"/>
          <w:sz w:val="22"/>
          <w:szCs w:val="22"/>
        </w:rPr>
        <w:t>.</w:t>
      </w:r>
      <w:r w:rsidRPr="00C45747">
        <w:rPr>
          <w:rFonts w:ascii="Times New Roman" w:hAnsi="Times New Roman"/>
          <w:sz w:val="22"/>
          <w:szCs w:val="22"/>
        </w:rPr>
        <w:t xml:space="preserve"> </w:t>
      </w:r>
    </w:p>
    <w:p w14:paraId="5DD968F3" w14:textId="77777777" w:rsidR="001643CD" w:rsidRPr="00C45747" w:rsidRDefault="001643CD" w:rsidP="006C46CB">
      <w:pPr>
        <w:pStyle w:val="Zkladntext3"/>
        <w:spacing w:after="0"/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  </w:t>
      </w:r>
    </w:p>
    <w:p w14:paraId="789C0F09" w14:textId="29BF74F3" w:rsidR="001643CD" w:rsidRPr="00C45747" w:rsidRDefault="001643CD" w:rsidP="006C46CB">
      <w:pPr>
        <w:pStyle w:val="Nadpis2"/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  <w:r w:rsidRPr="00C45747">
        <w:rPr>
          <w:rFonts w:ascii="Times New Roman" w:hAnsi="Times New Roman"/>
          <w:i w:val="0"/>
          <w:sz w:val="22"/>
          <w:szCs w:val="22"/>
        </w:rPr>
        <w:t>Chronická</w:t>
      </w:r>
      <w:r w:rsidRPr="00C45747">
        <w:rPr>
          <w:rFonts w:ascii="Times New Roman" w:hAnsi="Times New Roman"/>
          <w:b w:val="0"/>
          <w:i w:val="0"/>
          <w:sz w:val="22"/>
          <w:szCs w:val="22"/>
        </w:rPr>
        <w:t xml:space="preserve"> otrava salicylátmi môže byť nebezpečná, najmä v prípadoch, ak sú </w:t>
      </w:r>
      <w:r w:rsidR="008309EB">
        <w:rPr>
          <w:rFonts w:ascii="Times New Roman" w:hAnsi="Times New Roman"/>
          <w:b w:val="0"/>
          <w:i w:val="0"/>
          <w:sz w:val="22"/>
          <w:szCs w:val="22"/>
        </w:rPr>
        <w:t>prejavy</w:t>
      </w:r>
      <w:r w:rsidR="008309EB" w:rsidRPr="00C4574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C45747">
        <w:rPr>
          <w:rFonts w:ascii="Times New Roman" w:hAnsi="Times New Roman"/>
          <w:b w:val="0"/>
          <w:i w:val="0"/>
          <w:sz w:val="22"/>
          <w:szCs w:val="22"/>
        </w:rPr>
        <w:t>a </w:t>
      </w:r>
      <w:r w:rsidR="008309EB">
        <w:rPr>
          <w:rFonts w:ascii="Times New Roman" w:hAnsi="Times New Roman"/>
          <w:b w:val="0"/>
          <w:i w:val="0"/>
          <w:sz w:val="22"/>
          <w:szCs w:val="22"/>
        </w:rPr>
        <w:t>príznaky</w:t>
      </w:r>
      <w:r w:rsidRPr="00C45747">
        <w:rPr>
          <w:rFonts w:ascii="Times New Roman" w:hAnsi="Times New Roman"/>
          <w:b w:val="0"/>
          <w:i w:val="0"/>
          <w:sz w:val="22"/>
          <w:szCs w:val="22"/>
        </w:rPr>
        <w:t xml:space="preserve"> otravy nešpecifické. Mierna chronická intoxikácia salicylátmi alebo salicylizmus sa zvyčajne vyskytuje len po opakovanom používaní v</w:t>
      </w:r>
      <w:r w:rsidR="008309EB">
        <w:rPr>
          <w:rFonts w:ascii="Times New Roman" w:hAnsi="Times New Roman"/>
          <w:b w:val="0"/>
          <w:i w:val="0"/>
          <w:sz w:val="22"/>
          <w:szCs w:val="22"/>
        </w:rPr>
        <w:t>ysokých</w:t>
      </w:r>
      <w:r w:rsidRPr="00C45747">
        <w:rPr>
          <w:rFonts w:ascii="Times New Roman" w:hAnsi="Times New Roman"/>
          <w:b w:val="0"/>
          <w:i w:val="0"/>
          <w:sz w:val="22"/>
          <w:szCs w:val="22"/>
        </w:rPr>
        <w:t xml:space="preserve"> dávok. Symptómy zahŕňajú závrat</w:t>
      </w:r>
      <w:r w:rsidR="008309EB">
        <w:rPr>
          <w:rFonts w:ascii="Times New Roman" w:hAnsi="Times New Roman"/>
          <w:b w:val="0"/>
          <w:i w:val="0"/>
          <w:sz w:val="22"/>
          <w:szCs w:val="22"/>
        </w:rPr>
        <w:t>y</w:t>
      </w:r>
      <w:r w:rsidRPr="00C45747">
        <w:rPr>
          <w:rFonts w:ascii="Times New Roman" w:hAnsi="Times New Roman"/>
          <w:b w:val="0"/>
          <w:i w:val="0"/>
          <w:sz w:val="22"/>
          <w:szCs w:val="22"/>
        </w:rPr>
        <w:t xml:space="preserve">, vertigo, tinitus, hluchotu, potenie, nauzeu a vracanie, bolesť hlavy a zmätenosť a možno ich zmierniť znížením dávkovania. Tinitus sa môže objaviť pri plazmatických </w:t>
      </w:r>
      <w:r w:rsidRPr="005B4679">
        <w:rPr>
          <w:rFonts w:ascii="Times New Roman" w:hAnsi="Times New Roman"/>
          <w:b w:val="0"/>
          <w:i w:val="0"/>
          <w:sz w:val="22"/>
          <w:szCs w:val="22"/>
        </w:rPr>
        <w:t xml:space="preserve">koncentráciách </w:t>
      </w:r>
      <w:r w:rsidR="00381A79" w:rsidRPr="005B4679">
        <w:rPr>
          <w:rFonts w:ascii="Times New Roman" w:hAnsi="Times New Roman"/>
          <w:b w:val="0"/>
          <w:i w:val="0"/>
          <w:sz w:val="22"/>
          <w:szCs w:val="22"/>
        </w:rPr>
        <w:t>od 150 do 300 mikrogramov/ml. Závažnejšie nežiaduce udalosti sa prejavujú pri koncentráciách nad 300</w:t>
      </w:r>
      <w:r w:rsidRPr="00E615B9">
        <w:rPr>
          <w:rFonts w:ascii="Times New Roman" w:hAnsi="Times New Roman"/>
          <w:b w:val="0"/>
          <w:i w:val="0"/>
          <w:sz w:val="22"/>
          <w:szCs w:val="22"/>
        </w:rPr>
        <w:t xml:space="preserve"> mikrogramov/ml</w:t>
      </w:r>
      <w:r w:rsidRPr="00C45747">
        <w:rPr>
          <w:rFonts w:ascii="Times New Roman" w:hAnsi="Times New Roman"/>
          <w:b w:val="0"/>
          <w:i w:val="0"/>
          <w:sz w:val="22"/>
          <w:szCs w:val="22"/>
        </w:rPr>
        <w:t>.</w:t>
      </w:r>
    </w:p>
    <w:p w14:paraId="15F9C788" w14:textId="77777777" w:rsidR="001643CD" w:rsidRPr="00C45747" w:rsidRDefault="001643CD" w:rsidP="006C46CB">
      <w:pPr>
        <w:pStyle w:val="Nadpis2"/>
        <w:spacing w:before="0" w:after="0"/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  </w:t>
      </w:r>
    </w:p>
    <w:p w14:paraId="2A68583E" w14:textId="54AF92BF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Základným pr</w:t>
      </w:r>
      <w:r w:rsidR="00785405">
        <w:rPr>
          <w:rFonts w:ascii="Times New Roman" w:hAnsi="Times New Roman"/>
          <w:sz w:val="22"/>
          <w:szCs w:val="22"/>
        </w:rPr>
        <w:t>ejavom</w:t>
      </w:r>
      <w:r w:rsidRPr="00C45747">
        <w:rPr>
          <w:rFonts w:ascii="Times New Roman" w:hAnsi="Times New Roman"/>
          <w:sz w:val="22"/>
          <w:szCs w:val="22"/>
        </w:rPr>
        <w:t xml:space="preserve"> </w:t>
      </w:r>
      <w:r w:rsidRPr="00C45747">
        <w:rPr>
          <w:rFonts w:ascii="Times New Roman" w:hAnsi="Times New Roman"/>
          <w:b/>
          <w:bCs/>
          <w:sz w:val="22"/>
          <w:szCs w:val="22"/>
        </w:rPr>
        <w:t>akútnej intoxikácie</w:t>
      </w:r>
      <w:r w:rsidRPr="00C45747">
        <w:rPr>
          <w:rFonts w:ascii="Times New Roman" w:hAnsi="Times New Roman"/>
          <w:sz w:val="22"/>
          <w:szCs w:val="22"/>
        </w:rPr>
        <w:t xml:space="preserve"> je závažná porucha acidobázickej rovnováhy, ktorá sa môže vekom a závažnosťou intoxikácie meniť. Najčastejšie sa u detí vyskytuje metabolická acidóza. Závažnosť otravy nemožno odhadnúť </w:t>
      </w:r>
      <w:r w:rsidR="008309EB">
        <w:rPr>
          <w:rFonts w:ascii="Times New Roman" w:hAnsi="Times New Roman"/>
          <w:sz w:val="22"/>
          <w:szCs w:val="22"/>
        </w:rPr>
        <w:t xml:space="preserve">výlučne </w:t>
      </w:r>
      <w:r w:rsidRPr="00C45747">
        <w:rPr>
          <w:rFonts w:ascii="Times New Roman" w:hAnsi="Times New Roman"/>
          <w:sz w:val="22"/>
          <w:szCs w:val="22"/>
        </w:rPr>
        <w:t xml:space="preserve">podľa plazmatickej koncentrácie. Absorpciu kyseliny acetylsalicylovej možno oddialiť spomalením vyprázdňovania žalúdka, tvorbou zrazenín v žalúdku alebo požitím </w:t>
      </w:r>
      <w:r w:rsidR="004344E8" w:rsidRPr="00351B27">
        <w:rPr>
          <w:rFonts w:ascii="Times New Roman" w:hAnsi="Times New Roman"/>
          <w:sz w:val="22"/>
          <w:szCs w:val="22"/>
        </w:rPr>
        <w:t xml:space="preserve">enterosolventných </w:t>
      </w:r>
      <w:r w:rsidR="00A84566" w:rsidRPr="00351B27">
        <w:rPr>
          <w:rFonts w:ascii="Times New Roman" w:hAnsi="Times New Roman"/>
          <w:sz w:val="22"/>
          <w:szCs w:val="22"/>
        </w:rPr>
        <w:t>liekových foriem</w:t>
      </w:r>
      <w:r w:rsidRPr="00351B27">
        <w:rPr>
          <w:rFonts w:ascii="Times New Roman" w:hAnsi="Times New Roman"/>
          <w:sz w:val="22"/>
          <w:szCs w:val="22"/>
        </w:rPr>
        <w:t>. Liečba</w:t>
      </w:r>
      <w:r w:rsidRPr="00C45747">
        <w:rPr>
          <w:rFonts w:ascii="Times New Roman" w:hAnsi="Times New Roman"/>
          <w:sz w:val="22"/>
          <w:szCs w:val="22"/>
        </w:rPr>
        <w:t xml:space="preserve"> intoxikácie kyselinou acetylsalicylovou </w:t>
      </w:r>
      <w:r w:rsidR="008309EB">
        <w:rPr>
          <w:rFonts w:ascii="Times New Roman" w:hAnsi="Times New Roman"/>
          <w:sz w:val="22"/>
          <w:szCs w:val="22"/>
        </w:rPr>
        <w:t>sa odvíja od</w:t>
      </w:r>
      <w:r w:rsidRPr="00C45747">
        <w:rPr>
          <w:rFonts w:ascii="Times New Roman" w:hAnsi="Times New Roman"/>
          <w:sz w:val="22"/>
          <w:szCs w:val="22"/>
        </w:rPr>
        <w:t xml:space="preserve"> závažnos</w:t>
      </w:r>
      <w:r w:rsidR="008309EB">
        <w:rPr>
          <w:rFonts w:ascii="Times New Roman" w:hAnsi="Times New Roman"/>
          <w:sz w:val="22"/>
          <w:szCs w:val="22"/>
        </w:rPr>
        <w:t>ti</w:t>
      </w:r>
      <w:r w:rsidRPr="00C45747">
        <w:rPr>
          <w:rFonts w:ascii="Times New Roman" w:hAnsi="Times New Roman"/>
          <w:sz w:val="22"/>
          <w:szCs w:val="22"/>
        </w:rPr>
        <w:t>, stupň</w:t>
      </w:r>
      <w:r w:rsidR="008309EB">
        <w:rPr>
          <w:rFonts w:ascii="Times New Roman" w:hAnsi="Times New Roman"/>
          <w:sz w:val="22"/>
          <w:szCs w:val="22"/>
        </w:rPr>
        <w:t>a</w:t>
      </w:r>
      <w:r w:rsidRPr="00C45747">
        <w:rPr>
          <w:rFonts w:ascii="Times New Roman" w:hAnsi="Times New Roman"/>
          <w:sz w:val="22"/>
          <w:szCs w:val="22"/>
        </w:rPr>
        <w:t xml:space="preserve"> a klinick</w:t>
      </w:r>
      <w:r w:rsidR="008309EB">
        <w:rPr>
          <w:rFonts w:ascii="Times New Roman" w:hAnsi="Times New Roman"/>
          <w:sz w:val="22"/>
          <w:szCs w:val="22"/>
        </w:rPr>
        <w:t>ých</w:t>
      </w:r>
      <w:r w:rsidRPr="00C45747">
        <w:rPr>
          <w:rFonts w:ascii="Times New Roman" w:hAnsi="Times New Roman"/>
          <w:sz w:val="22"/>
          <w:szCs w:val="22"/>
        </w:rPr>
        <w:t xml:space="preserve"> príznak</w:t>
      </w:r>
      <w:r w:rsidR="008309EB">
        <w:rPr>
          <w:rFonts w:ascii="Times New Roman" w:hAnsi="Times New Roman"/>
          <w:sz w:val="22"/>
          <w:szCs w:val="22"/>
        </w:rPr>
        <w:t>ov</w:t>
      </w:r>
      <w:r w:rsidR="00A84566">
        <w:rPr>
          <w:rFonts w:ascii="Times New Roman" w:hAnsi="Times New Roman"/>
          <w:sz w:val="22"/>
          <w:szCs w:val="22"/>
        </w:rPr>
        <w:t xml:space="preserve"> a je v súlade so</w:t>
      </w:r>
      <w:r w:rsidRPr="00C45747">
        <w:rPr>
          <w:rFonts w:ascii="Times New Roman" w:hAnsi="Times New Roman"/>
          <w:sz w:val="22"/>
          <w:szCs w:val="22"/>
        </w:rPr>
        <w:t xml:space="preserve"> štandardnými postupmi </w:t>
      </w:r>
      <w:r w:rsidR="00785405">
        <w:rPr>
          <w:rFonts w:ascii="Times New Roman" w:hAnsi="Times New Roman"/>
          <w:sz w:val="22"/>
          <w:szCs w:val="22"/>
        </w:rPr>
        <w:t xml:space="preserve">na </w:t>
      </w:r>
      <w:r w:rsidRPr="00C45747">
        <w:rPr>
          <w:rFonts w:ascii="Times New Roman" w:hAnsi="Times New Roman"/>
          <w:sz w:val="22"/>
          <w:szCs w:val="22"/>
        </w:rPr>
        <w:t>liečb</w:t>
      </w:r>
      <w:r w:rsidR="00785405">
        <w:rPr>
          <w:rFonts w:ascii="Times New Roman" w:hAnsi="Times New Roman"/>
          <w:sz w:val="22"/>
          <w:szCs w:val="22"/>
        </w:rPr>
        <w:t>u</w:t>
      </w:r>
      <w:r w:rsidRPr="00C45747">
        <w:rPr>
          <w:rFonts w:ascii="Times New Roman" w:hAnsi="Times New Roman"/>
          <w:sz w:val="22"/>
          <w:szCs w:val="22"/>
        </w:rPr>
        <w:t xml:space="preserve"> otráv. Hlavnými opatreniami majú byť </w:t>
      </w:r>
      <w:r w:rsidR="008309EB">
        <w:rPr>
          <w:rFonts w:ascii="Times New Roman" w:hAnsi="Times New Roman"/>
          <w:sz w:val="22"/>
          <w:szCs w:val="22"/>
        </w:rPr>
        <w:t>urýchlenie</w:t>
      </w:r>
      <w:r w:rsidRPr="00C45747">
        <w:rPr>
          <w:rFonts w:ascii="Times New Roman" w:hAnsi="Times New Roman"/>
          <w:sz w:val="22"/>
          <w:szCs w:val="22"/>
        </w:rPr>
        <w:t xml:space="preserve"> vylučovani</w:t>
      </w:r>
      <w:r w:rsidR="008309EB">
        <w:rPr>
          <w:rFonts w:ascii="Times New Roman" w:hAnsi="Times New Roman"/>
          <w:sz w:val="22"/>
          <w:szCs w:val="22"/>
        </w:rPr>
        <w:t>a</w:t>
      </w:r>
      <w:r w:rsidRPr="00C45747">
        <w:rPr>
          <w:rFonts w:ascii="Times New Roman" w:hAnsi="Times New Roman"/>
          <w:sz w:val="22"/>
          <w:szCs w:val="22"/>
        </w:rPr>
        <w:t xml:space="preserve"> lieku ako </w:t>
      </w:r>
      <w:r w:rsidR="008309EB">
        <w:rPr>
          <w:rFonts w:ascii="Times New Roman" w:hAnsi="Times New Roman"/>
          <w:sz w:val="22"/>
          <w:szCs w:val="22"/>
        </w:rPr>
        <w:t>aj</w:t>
      </w:r>
      <w:r w:rsidRPr="00C45747">
        <w:rPr>
          <w:rFonts w:ascii="Times New Roman" w:hAnsi="Times New Roman"/>
          <w:sz w:val="22"/>
          <w:szCs w:val="22"/>
        </w:rPr>
        <w:t xml:space="preserve"> úprava elektrolytov a acidobázickej rovnováhy. </w:t>
      </w:r>
    </w:p>
    <w:p w14:paraId="000DFFF8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34217E79" w14:textId="6E9D8552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V dôsledku zložitosti patofyziologických účinkov otráv salicylátmi môžu </w:t>
      </w:r>
      <w:r w:rsidR="008309EB">
        <w:rPr>
          <w:rFonts w:ascii="Times New Roman" w:hAnsi="Times New Roman"/>
          <w:sz w:val="22"/>
          <w:szCs w:val="22"/>
        </w:rPr>
        <w:t>prejavy</w:t>
      </w:r>
      <w:r w:rsidR="008309EB" w:rsidRPr="00C45747">
        <w:rPr>
          <w:rFonts w:ascii="Times New Roman" w:hAnsi="Times New Roman"/>
          <w:sz w:val="22"/>
          <w:szCs w:val="22"/>
        </w:rPr>
        <w:t xml:space="preserve"> </w:t>
      </w:r>
      <w:r w:rsidRPr="00C45747">
        <w:rPr>
          <w:rFonts w:ascii="Times New Roman" w:hAnsi="Times New Roman"/>
          <w:sz w:val="22"/>
          <w:szCs w:val="22"/>
        </w:rPr>
        <w:t>a </w:t>
      </w:r>
      <w:r w:rsidR="008309EB">
        <w:rPr>
          <w:rFonts w:ascii="Times New Roman" w:hAnsi="Times New Roman"/>
          <w:sz w:val="22"/>
          <w:szCs w:val="22"/>
        </w:rPr>
        <w:t>príznaky</w:t>
      </w:r>
      <w:r w:rsidRPr="00C45747">
        <w:rPr>
          <w:rFonts w:ascii="Times New Roman" w:hAnsi="Times New Roman"/>
          <w:sz w:val="22"/>
          <w:szCs w:val="22"/>
        </w:rPr>
        <w:t>/</w:t>
      </w:r>
      <w:r w:rsidR="008309EB">
        <w:rPr>
          <w:rFonts w:ascii="Times New Roman" w:hAnsi="Times New Roman"/>
          <w:sz w:val="22"/>
          <w:szCs w:val="22"/>
        </w:rPr>
        <w:t>klinické</w:t>
      </w:r>
      <w:r w:rsidRPr="00C45747">
        <w:rPr>
          <w:rFonts w:ascii="Times New Roman" w:hAnsi="Times New Roman"/>
          <w:sz w:val="22"/>
          <w:szCs w:val="22"/>
        </w:rPr>
        <w:t xml:space="preserve"> nálezy zahŕňať:</w:t>
      </w:r>
    </w:p>
    <w:p w14:paraId="03FDB656" w14:textId="77777777" w:rsidR="001643CD" w:rsidRPr="00C45747" w:rsidRDefault="001643CD" w:rsidP="006C46CB">
      <w:pPr>
        <w:rPr>
          <w:rFonts w:ascii="Times New Roman" w:hAnsi="Times New Roman"/>
          <w:b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1643CD" w:rsidRPr="00C45747" w14:paraId="1D18E7C5" w14:textId="77777777" w:rsidTr="00CC3F7C">
        <w:tc>
          <w:tcPr>
            <w:tcW w:w="3070" w:type="dxa"/>
          </w:tcPr>
          <w:p w14:paraId="3748C235" w14:textId="0D891E43" w:rsidR="001643CD" w:rsidRPr="00C45747" w:rsidRDefault="004D7810" w:rsidP="006C46CB">
            <w:pPr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 Prejavy a príznaky</w:t>
            </w:r>
          </w:p>
        </w:tc>
        <w:tc>
          <w:tcPr>
            <w:tcW w:w="3071" w:type="dxa"/>
          </w:tcPr>
          <w:p w14:paraId="7D4F313C" w14:textId="605AAD1B" w:rsidR="001643CD" w:rsidRPr="00C45747" w:rsidRDefault="004D7810" w:rsidP="006C46CB">
            <w:pPr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Klinický nález</w:t>
            </w:r>
          </w:p>
        </w:tc>
        <w:tc>
          <w:tcPr>
            <w:tcW w:w="3071" w:type="dxa"/>
          </w:tcPr>
          <w:p w14:paraId="6220BDA9" w14:textId="11AFCA90" w:rsidR="001643CD" w:rsidRPr="00C45747" w:rsidRDefault="004D7810" w:rsidP="006C46CB">
            <w:pPr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Liečebné </w:t>
            </w:r>
            <w:r w:rsidR="001643CD" w:rsidRPr="00C45747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opatrenia</w:t>
            </w:r>
          </w:p>
        </w:tc>
      </w:tr>
      <w:tr w:rsidR="001643CD" w:rsidRPr="00C45747" w14:paraId="74523606" w14:textId="77777777" w:rsidTr="00CC3F7C">
        <w:tc>
          <w:tcPr>
            <w:tcW w:w="3070" w:type="dxa"/>
          </w:tcPr>
          <w:p w14:paraId="5F802F34" w14:textId="77777777" w:rsidR="001643CD" w:rsidRPr="00C45747" w:rsidRDefault="001643CD" w:rsidP="006C46C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45747">
              <w:rPr>
                <w:rFonts w:ascii="Times New Roman" w:hAnsi="Times New Roman"/>
                <w:b/>
                <w:bCs/>
                <w:sz w:val="22"/>
                <w:szCs w:val="22"/>
              </w:rPr>
              <w:t>Mierna až stredne závažná intoxikácia</w:t>
            </w:r>
          </w:p>
        </w:tc>
        <w:tc>
          <w:tcPr>
            <w:tcW w:w="3071" w:type="dxa"/>
          </w:tcPr>
          <w:p w14:paraId="539FD866" w14:textId="77777777" w:rsidR="001643CD" w:rsidRPr="00351B2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63D9A38" w14:textId="135BFC81" w:rsidR="001643CD" w:rsidRPr="00351B27" w:rsidRDefault="004D7810" w:rsidP="00A84566">
            <w:pPr>
              <w:rPr>
                <w:rFonts w:ascii="Times New Roman" w:hAnsi="Times New Roman"/>
                <w:sz w:val="22"/>
                <w:szCs w:val="22"/>
              </w:rPr>
            </w:pPr>
            <w:r w:rsidRPr="00351B27">
              <w:rPr>
                <w:rFonts w:ascii="Times New Roman" w:hAnsi="Times New Roman"/>
                <w:sz w:val="22"/>
                <w:szCs w:val="22"/>
              </w:rPr>
              <w:t>Gastrická laváž</w:t>
            </w:r>
            <w:r w:rsidR="001643CD" w:rsidRPr="00351B27">
              <w:rPr>
                <w:rFonts w:ascii="Times New Roman" w:hAnsi="Times New Roman"/>
                <w:sz w:val="22"/>
                <w:szCs w:val="22"/>
              </w:rPr>
              <w:t>, opakované podávani</w:t>
            </w:r>
            <w:r w:rsidRPr="00351B27">
              <w:rPr>
                <w:rFonts w:ascii="Times New Roman" w:hAnsi="Times New Roman"/>
                <w:sz w:val="22"/>
                <w:szCs w:val="22"/>
              </w:rPr>
              <w:t>e</w:t>
            </w:r>
            <w:r w:rsidR="001643CD" w:rsidRPr="00351B27">
              <w:rPr>
                <w:rFonts w:ascii="Times New Roman" w:hAnsi="Times New Roman"/>
                <w:sz w:val="22"/>
                <w:szCs w:val="22"/>
              </w:rPr>
              <w:t xml:space="preserve"> aktívneho uhlia, </w:t>
            </w:r>
            <w:r w:rsidR="00A84566" w:rsidRPr="00351B27">
              <w:rPr>
                <w:rFonts w:ascii="Times New Roman" w:hAnsi="Times New Roman"/>
                <w:sz w:val="22"/>
                <w:szCs w:val="22"/>
              </w:rPr>
              <w:t>forsírovaná</w:t>
            </w:r>
            <w:r w:rsidR="001643CD" w:rsidRPr="00351B27">
              <w:rPr>
                <w:rFonts w:ascii="Times New Roman" w:hAnsi="Times New Roman"/>
                <w:sz w:val="22"/>
                <w:szCs w:val="22"/>
              </w:rPr>
              <w:t xml:space="preserve"> alkalická diuréza</w:t>
            </w:r>
          </w:p>
        </w:tc>
      </w:tr>
      <w:tr w:rsidR="001643CD" w:rsidRPr="00C45747" w14:paraId="33322CDA" w14:textId="77777777" w:rsidTr="00CC3F7C">
        <w:tc>
          <w:tcPr>
            <w:tcW w:w="3070" w:type="dxa"/>
          </w:tcPr>
          <w:p w14:paraId="10EF82A9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C45747">
              <w:rPr>
                <w:rFonts w:ascii="Times New Roman" w:hAnsi="Times New Roman"/>
                <w:sz w:val="22"/>
                <w:szCs w:val="22"/>
              </w:rPr>
              <w:t>Tachypnoe, hyperventilácia, respiračná alkalóza</w:t>
            </w:r>
          </w:p>
        </w:tc>
        <w:tc>
          <w:tcPr>
            <w:tcW w:w="3071" w:type="dxa"/>
          </w:tcPr>
          <w:p w14:paraId="4F74583F" w14:textId="77777777" w:rsidR="001643CD" w:rsidRPr="00351B2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351B27">
              <w:rPr>
                <w:rFonts w:ascii="Times New Roman" w:hAnsi="Times New Roman"/>
                <w:sz w:val="22"/>
                <w:szCs w:val="22"/>
              </w:rPr>
              <w:t>Alkaliémia, alkalúria</w:t>
            </w:r>
          </w:p>
        </w:tc>
        <w:tc>
          <w:tcPr>
            <w:tcW w:w="3071" w:type="dxa"/>
          </w:tcPr>
          <w:p w14:paraId="3D6A5456" w14:textId="77777777" w:rsidR="001643CD" w:rsidRPr="00351B2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351B27">
              <w:rPr>
                <w:rFonts w:ascii="Times New Roman" w:hAnsi="Times New Roman"/>
                <w:sz w:val="22"/>
                <w:szCs w:val="22"/>
              </w:rPr>
              <w:t xml:space="preserve">Podanie tekutín a elektrolytov </w:t>
            </w:r>
          </w:p>
        </w:tc>
      </w:tr>
      <w:tr w:rsidR="001643CD" w:rsidRPr="00C45747" w14:paraId="4C07BE37" w14:textId="77777777" w:rsidTr="00CC3F7C">
        <w:tc>
          <w:tcPr>
            <w:tcW w:w="3070" w:type="dxa"/>
          </w:tcPr>
          <w:p w14:paraId="26EF7738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C45747">
              <w:rPr>
                <w:rFonts w:ascii="Times New Roman" w:hAnsi="Times New Roman"/>
                <w:sz w:val="22"/>
                <w:szCs w:val="22"/>
              </w:rPr>
              <w:t>Diaforéza</w:t>
            </w:r>
          </w:p>
        </w:tc>
        <w:tc>
          <w:tcPr>
            <w:tcW w:w="3071" w:type="dxa"/>
          </w:tcPr>
          <w:p w14:paraId="4BBD78E2" w14:textId="77777777" w:rsidR="001643CD" w:rsidRPr="00351B2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ED35244" w14:textId="77777777" w:rsidR="001643CD" w:rsidRPr="00351B2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3CD" w:rsidRPr="00C45747" w14:paraId="00E20D39" w14:textId="77777777" w:rsidTr="00CC3F7C">
        <w:tc>
          <w:tcPr>
            <w:tcW w:w="3070" w:type="dxa"/>
          </w:tcPr>
          <w:p w14:paraId="601910B5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C45747">
              <w:rPr>
                <w:rFonts w:ascii="Times New Roman" w:hAnsi="Times New Roman"/>
                <w:sz w:val="22"/>
                <w:szCs w:val="22"/>
              </w:rPr>
              <w:t>Nauzea, vracanie</w:t>
            </w:r>
          </w:p>
        </w:tc>
        <w:tc>
          <w:tcPr>
            <w:tcW w:w="3071" w:type="dxa"/>
          </w:tcPr>
          <w:p w14:paraId="3CA2C998" w14:textId="77777777" w:rsidR="001643CD" w:rsidRPr="00351B2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C1C9DE4" w14:textId="77777777" w:rsidR="001643CD" w:rsidRPr="00351B2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3CD" w:rsidRPr="00C45747" w14:paraId="3939C40B" w14:textId="77777777" w:rsidTr="00CC3F7C">
        <w:tc>
          <w:tcPr>
            <w:tcW w:w="3070" w:type="dxa"/>
          </w:tcPr>
          <w:p w14:paraId="7B21EB91" w14:textId="77777777" w:rsidR="001643CD" w:rsidRPr="00C45747" w:rsidRDefault="001643CD" w:rsidP="006C46C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45747">
              <w:rPr>
                <w:rFonts w:ascii="Times New Roman" w:hAnsi="Times New Roman"/>
                <w:b/>
                <w:bCs/>
                <w:sz w:val="22"/>
                <w:szCs w:val="22"/>
              </w:rPr>
              <w:t>Stredne závažná až závažná intoxikácia</w:t>
            </w:r>
          </w:p>
        </w:tc>
        <w:tc>
          <w:tcPr>
            <w:tcW w:w="3071" w:type="dxa"/>
          </w:tcPr>
          <w:p w14:paraId="5F570BCB" w14:textId="77777777" w:rsidR="001643CD" w:rsidRPr="00351B2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96C4257" w14:textId="591D2929" w:rsidR="001643CD" w:rsidRPr="00351B27" w:rsidRDefault="004D7810" w:rsidP="00A84566">
            <w:pPr>
              <w:rPr>
                <w:rFonts w:ascii="Times New Roman" w:hAnsi="Times New Roman"/>
                <w:sz w:val="22"/>
                <w:szCs w:val="22"/>
              </w:rPr>
            </w:pPr>
            <w:r w:rsidRPr="00351B27">
              <w:rPr>
                <w:rFonts w:ascii="Times New Roman" w:hAnsi="Times New Roman"/>
                <w:sz w:val="22"/>
                <w:szCs w:val="22"/>
              </w:rPr>
              <w:t>Gastrická laváž</w:t>
            </w:r>
            <w:r w:rsidR="001643CD" w:rsidRPr="00351B27">
              <w:rPr>
                <w:rFonts w:ascii="Times New Roman" w:hAnsi="Times New Roman"/>
                <w:sz w:val="22"/>
                <w:szCs w:val="22"/>
              </w:rPr>
              <w:t>, opakované podávani</w:t>
            </w:r>
            <w:r w:rsidRPr="00351B27">
              <w:rPr>
                <w:rFonts w:ascii="Times New Roman" w:hAnsi="Times New Roman"/>
                <w:sz w:val="22"/>
                <w:szCs w:val="22"/>
              </w:rPr>
              <w:t>e</w:t>
            </w:r>
            <w:r w:rsidR="001643CD" w:rsidRPr="00351B27">
              <w:rPr>
                <w:rFonts w:ascii="Times New Roman" w:hAnsi="Times New Roman"/>
                <w:sz w:val="22"/>
                <w:szCs w:val="22"/>
              </w:rPr>
              <w:t xml:space="preserve"> aktívneho uhlia, </w:t>
            </w:r>
            <w:r w:rsidR="00A84566" w:rsidRPr="00351B27">
              <w:rPr>
                <w:rFonts w:ascii="Times New Roman" w:hAnsi="Times New Roman"/>
                <w:sz w:val="22"/>
                <w:szCs w:val="22"/>
              </w:rPr>
              <w:t>forsírovaná</w:t>
            </w:r>
            <w:r w:rsidR="001643CD" w:rsidRPr="00351B27">
              <w:rPr>
                <w:rFonts w:ascii="Times New Roman" w:hAnsi="Times New Roman"/>
                <w:sz w:val="22"/>
                <w:szCs w:val="22"/>
              </w:rPr>
              <w:t xml:space="preserve"> alkalická diuréza, v závažných prípadoch hemodialýza</w:t>
            </w:r>
          </w:p>
        </w:tc>
      </w:tr>
      <w:tr w:rsidR="001643CD" w:rsidRPr="00C45747" w14:paraId="70F3846B" w14:textId="77777777" w:rsidTr="00CC3F7C">
        <w:tc>
          <w:tcPr>
            <w:tcW w:w="3070" w:type="dxa"/>
          </w:tcPr>
          <w:p w14:paraId="7822BBED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C45747">
              <w:rPr>
                <w:rFonts w:ascii="Times New Roman" w:hAnsi="Times New Roman"/>
                <w:sz w:val="22"/>
                <w:szCs w:val="22"/>
              </w:rPr>
              <w:t>Respiračná alkalóza s kompenzačnou metabolickou acidózou</w:t>
            </w:r>
          </w:p>
        </w:tc>
        <w:tc>
          <w:tcPr>
            <w:tcW w:w="3071" w:type="dxa"/>
          </w:tcPr>
          <w:p w14:paraId="67905C72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C45747">
              <w:rPr>
                <w:rFonts w:ascii="Times New Roman" w:hAnsi="Times New Roman"/>
                <w:sz w:val="22"/>
                <w:szCs w:val="22"/>
              </w:rPr>
              <w:t>Acidémia, acidúria</w:t>
            </w:r>
          </w:p>
        </w:tc>
        <w:tc>
          <w:tcPr>
            <w:tcW w:w="3071" w:type="dxa"/>
          </w:tcPr>
          <w:p w14:paraId="28376A3E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C45747">
              <w:rPr>
                <w:rFonts w:ascii="Times New Roman" w:hAnsi="Times New Roman"/>
                <w:sz w:val="22"/>
                <w:szCs w:val="22"/>
              </w:rPr>
              <w:t>Podanie tekutín a elektrolytov</w:t>
            </w:r>
          </w:p>
        </w:tc>
      </w:tr>
      <w:tr w:rsidR="001643CD" w:rsidRPr="00C45747" w14:paraId="44F7DB5C" w14:textId="77777777" w:rsidTr="00CC3F7C">
        <w:tc>
          <w:tcPr>
            <w:tcW w:w="3070" w:type="dxa"/>
          </w:tcPr>
          <w:p w14:paraId="492BEA0B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C45747">
              <w:rPr>
                <w:rFonts w:ascii="Times New Roman" w:hAnsi="Times New Roman"/>
                <w:sz w:val="22"/>
                <w:szCs w:val="22"/>
              </w:rPr>
              <w:t>Hyperpyrexia</w:t>
            </w:r>
          </w:p>
        </w:tc>
        <w:tc>
          <w:tcPr>
            <w:tcW w:w="3071" w:type="dxa"/>
          </w:tcPr>
          <w:p w14:paraId="34BE7480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9881770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C45747">
              <w:rPr>
                <w:rFonts w:ascii="Times New Roman" w:hAnsi="Times New Roman"/>
                <w:sz w:val="22"/>
                <w:szCs w:val="22"/>
              </w:rPr>
              <w:t>Podanie tekutín a elektrolytov</w:t>
            </w:r>
          </w:p>
        </w:tc>
      </w:tr>
      <w:tr w:rsidR="001643CD" w:rsidRPr="00C45747" w14:paraId="03AEDA9A" w14:textId="77777777" w:rsidTr="00CC3F7C">
        <w:tc>
          <w:tcPr>
            <w:tcW w:w="3070" w:type="dxa"/>
          </w:tcPr>
          <w:p w14:paraId="73A730AF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C45747">
              <w:rPr>
                <w:rFonts w:ascii="Times New Roman" w:hAnsi="Times New Roman"/>
                <w:sz w:val="22"/>
                <w:szCs w:val="22"/>
              </w:rPr>
              <w:t xml:space="preserve">Dýchacie: v rozsahu od hyperventilácie, nekardiogénneho edému pľúc až </w:t>
            </w:r>
            <w:r w:rsidR="004D7810">
              <w:rPr>
                <w:rFonts w:ascii="Times New Roman" w:hAnsi="Times New Roman"/>
                <w:sz w:val="22"/>
                <w:szCs w:val="22"/>
              </w:rPr>
              <w:t xml:space="preserve">do </w:t>
            </w:r>
            <w:r w:rsidRPr="00C45747">
              <w:rPr>
                <w:rFonts w:ascii="Times New Roman" w:hAnsi="Times New Roman"/>
                <w:sz w:val="22"/>
                <w:szCs w:val="22"/>
              </w:rPr>
              <w:t>zastavenia dýchania, asfyxia</w:t>
            </w:r>
          </w:p>
        </w:tc>
        <w:tc>
          <w:tcPr>
            <w:tcW w:w="3071" w:type="dxa"/>
          </w:tcPr>
          <w:p w14:paraId="7003A8BA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76CCAD9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3CD" w:rsidRPr="00C45747" w14:paraId="7267E4CA" w14:textId="77777777" w:rsidTr="00CC3F7C">
        <w:tc>
          <w:tcPr>
            <w:tcW w:w="3070" w:type="dxa"/>
          </w:tcPr>
          <w:p w14:paraId="6604EB68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C4574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Kardiovaskulárne: v rozsahu od dysrytmií, hypotenzie až </w:t>
            </w:r>
            <w:r w:rsidR="004D7810">
              <w:rPr>
                <w:rFonts w:ascii="Times New Roman" w:hAnsi="Times New Roman"/>
                <w:sz w:val="22"/>
                <w:szCs w:val="22"/>
              </w:rPr>
              <w:t xml:space="preserve">po </w:t>
            </w:r>
            <w:r w:rsidRPr="00C45747">
              <w:rPr>
                <w:rFonts w:ascii="Times New Roman" w:hAnsi="Times New Roman"/>
                <w:sz w:val="22"/>
                <w:szCs w:val="22"/>
              </w:rPr>
              <w:t>zastavenie srdca</w:t>
            </w:r>
          </w:p>
        </w:tc>
        <w:tc>
          <w:tcPr>
            <w:tcW w:w="3071" w:type="dxa"/>
          </w:tcPr>
          <w:p w14:paraId="65C7EE17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C45747">
              <w:rPr>
                <w:rFonts w:ascii="Times New Roman" w:hAnsi="Times New Roman"/>
                <w:sz w:val="22"/>
                <w:szCs w:val="22"/>
              </w:rPr>
              <w:t>napr. zmeny krvného tlaku, zmeny EKG</w:t>
            </w:r>
          </w:p>
        </w:tc>
        <w:tc>
          <w:tcPr>
            <w:tcW w:w="3071" w:type="dxa"/>
          </w:tcPr>
          <w:p w14:paraId="4205C51E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3CD" w:rsidRPr="00C45747" w14:paraId="484EE527" w14:textId="77777777" w:rsidTr="00CC3F7C">
        <w:tc>
          <w:tcPr>
            <w:tcW w:w="3070" w:type="dxa"/>
          </w:tcPr>
          <w:p w14:paraId="16C111DF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C45747">
              <w:rPr>
                <w:rFonts w:ascii="Times New Roman" w:hAnsi="Times New Roman"/>
                <w:sz w:val="22"/>
                <w:szCs w:val="22"/>
              </w:rPr>
              <w:t>Strata tekutín a elektrolytov:</w:t>
            </w:r>
          </w:p>
          <w:p w14:paraId="07D74E7D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C45747">
              <w:rPr>
                <w:rFonts w:ascii="Times New Roman" w:hAnsi="Times New Roman"/>
                <w:sz w:val="22"/>
                <w:szCs w:val="22"/>
              </w:rPr>
              <w:t xml:space="preserve">dehydratácia, oligúria až renálne zlyhanie </w:t>
            </w:r>
          </w:p>
        </w:tc>
        <w:tc>
          <w:tcPr>
            <w:tcW w:w="3071" w:type="dxa"/>
          </w:tcPr>
          <w:p w14:paraId="69EAC6E8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C45747">
              <w:rPr>
                <w:rFonts w:ascii="Times New Roman" w:hAnsi="Times New Roman"/>
                <w:sz w:val="22"/>
                <w:szCs w:val="22"/>
              </w:rPr>
              <w:t>napr. hypokaliémia, hypernatriémia, hyponatriémia, zmenená funkcia obličiek</w:t>
            </w:r>
          </w:p>
        </w:tc>
        <w:tc>
          <w:tcPr>
            <w:tcW w:w="3071" w:type="dxa"/>
          </w:tcPr>
          <w:p w14:paraId="6EDDA6A4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C45747">
              <w:rPr>
                <w:rFonts w:ascii="Times New Roman" w:hAnsi="Times New Roman"/>
                <w:sz w:val="22"/>
                <w:szCs w:val="22"/>
              </w:rPr>
              <w:t>Podanie tekutín a elektrolytov</w:t>
            </w:r>
          </w:p>
        </w:tc>
      </w:tr>
      <w:tr w:rsidR="001643CD" w:rsidRPr="00C45747" w14:paraId="341B9DF4" w14:textId="77777777" w:rsidTr="00CC3F7C">
        <w:tc>
          <w:tcPr>
            <w:tcW w:w="3070" w:type="dxa"/>
          </w:tcPr>
          <w:p w14:paraId="15B9E183" w14:textId="7F6BCAC0" w:rsidR="001643CD" w:rsidRPr="00C45747" w:rsidRDefault="004D7810" w:rsidP="006C46C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Zhoršený</w:t>
            </w:r>
            <w:r w:rsidRPr="00C457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643CD" w:rsidRPr="00C45747">
              <w:rPr>
                <w:rFonts w:ascii="Times New Roman" w:hAnsi="Times New Roman"/>
                <w:sz w:val="22"/>
                <w:szCs w:val="22"/>
              </w:rPr>
              <w:t>metabolizmus glukózy, ketóza</w:t>
            </w:r>
          </w:p>
        </w:tc>
        <w:tc>
          <w:tcPr>
            <w:tcW w:w="3071" w:type="dxa"/>
          </w:tcPr>
          <w:p w14:paraId="170D17FD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C45747">
              <w:rPr>
                <w:rFonts w:ascii="Times New Roman" w:hAnsi="Times New Roman"/>
                <w:sz w:val="22"/>
                <w:szCs w:val="22"/>
              </w:rPr>
              <w:t>Hyperglykémia, hypoglykémia (najmä u detí)</w:t>
            </w:r>
          </w:p>
          <w:p w14:paraId="6C5DFDA1" w14:textId="027F2C0B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C45747">
              <w:rPr>
                <w:rFonts w:ascii="Times New Roman" w:hAnsi="Times New Roman"/>
                <w:sz w:val="22"/>
                <w:szCs w:val="22"/>
              </w:rPr>
              <w:t>Zvýšené hladiny ket</w:t>
            </w:r>
            <w:r w:rsidR="004D7810">
              <w:rPr>
                <w:rFonts w:ascii="Times New Roman" w:hAnsi="Times New Roman"/>
                <w:sz w:val="22"/>
                <w:szCs w:val="22"/>
              </w:rPr>
              <w:t>o</w:t>
            </w:r>
            <w:r w:rsidRPr="00C45747">
              <w:rPr>
                <w:rFonts w:ascii="Times New Roman" w:hAnsi="Times New Roman"/>
                <w:sz w:val="22"/>
                <w:szCs w:val="22"/>
              </w:rPr>
              <w:t>n</w:t>
            </w:r>
            <w:r w:rsidR="004D7810">
              <w:rPr>
                <w:rFonts w:ascii="Times New Roman" w:hAnsi="Times New Roman"/>
                <w:sz w:val="22"/>
                <w:szCs w:val="22"/>
              </w:rPr>
              <w:t>ických látok</w:t>
            </w:r>
            <w:r w:rsidRPr="00C4574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6CD7F695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3CD" w:rsidRPr="00C45747" w14:paraId="353894EE" w14:textId="77777777" w:rsidTr="00CC3F7C">
        <w:tc>
          <w:tcPr>
            <w:tcW w:w="3070" w:type="dxa"/>
          </w:tcPr>
          <w:p w14:paraId="22875BCE" w14:textId="63C95BFD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C45747">
              <w:rPr>
                <w:rFonts w:ascii="Times New Roman" w:hAnsi="Times New Roman"/>
                <w:sz w:val="22"/>
                <w:szCs w:val="22"/>
              </w:rPr>
              <w:t>Tinitus, hluchota</w:t>
            </w:r>
          </w:p>
        </w:tc>
        <w:tc>
          <w:tcPr>
            <w:tcW w:w="3071" w:type="dxa"/>
          </w:tcPr>
          <w:p w14:paraId="3DD9B039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34A51FF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3CD" w:rsidRPr="00C45747" w14:paraId="44D627CC" w14:textId="77777777" w:rsidTr="00CC3F7C">
        <w:tc>
          <w:tcPr>
            <w:tcW w:w="3070" w:type="dxa"/>
          </w:tcPr>
          <w:p w14:paraId="56B63A83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C45747">
              <w:rPr>
                <w:rFonts w:ascii="Times New Roman" w:hAnsi="Times New Roman"/>
                <w:sz w:val="22"/>
                <w:szCs w:val="22"/>
              </w:rPr>
              <w:t xml:space="preserve">Gastrointestinálne: GI krvácanie </w:t>
            </w:r>
          </w:p>
        </w:tc>
        <w:tc>
          <w:tcPr>
            <w:tcW w:w="3071" w:type="dxa"/>
          </w:tcPr>
          <w:p w14:paraId="27EF9B71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E2B0E73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3CD" w:rsidRPr="00C45747" w14:paraId="3F6F94DF" w14:textId="77777777" w:rsidTr="00CC3F7C">
        <w:tc>
          <w:tcPr>
            <w:tcW w:w="3070" w:type="dxa"/>
          </w:tcPr>
          <w:p w14:paraId="66C184AA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C45747">
              <w:rPr>
                <w:rFonts w:ascii="Times New Roman" w:hAnsi="Times New Roman"/>
                <w:sz w:val="22"/>
                <w:szCs w:val="22"/>
              </w:rPr>
              <w:t xml:space="preserve">Hematologické: v rozsahu od inhibície trombocytov po koagulopatiu </w:t>
            </w:r>
          </w:p>
        </w:tc>
        <w:tc>
          <w:tcPr>
            <w:tcW w:w="3071" w:type="dxa"/>
          </w:tcPr>
          <w:p w14:paraId="290B5982" w14:textId="3EDAE961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C45747">
              <w:rPr>
                <w:rFonts w:ascii="Times New Roman" w:hAnsi="Times New Roman"/>
                <w:sz w:val="22"/>
                <w:szCs w:val="22"/>
              </w:rPr>
              <w:t>napr. pred</w:t>
            </w:r>
            <w:r w:rsidR="004D7810">
              <w:rPr>
                <w:rFonts w:ascii="Times New Roman" w:hAnsi="Times New Roman"/>
                <w:sz w:val="22"/>
                <w:szCs w:val="22"/>
              </w:rPr>
              <w:t>ĺ</w:t>
            </w:r>
            <w:r w:rsidRPr="00C45747">
              <w:rPr>
                <w:rFonts w:ascii="Times New Roman" w:hAnsi="Times New Roman"/>
                <w:sz w:val="22"/>
                <w:szCs w:val="22"/>
              </w:rPr>
              <w:t>ženie protrombínového  času, hypoprotrombinémia</w:t>
            </w:r>
          </w:p>
        </w:tc>
        <w:tc>
          <w:tcPr>
            <w:tcW w:w="3071" w:type="dxa"/>
          </w:tcPr>
          <w:p w14:paraId="33758B59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3CD" w:rsidRPr="00C45747" w14:paraId="5EF5BB2D" w14:textId="77777777" w:rsidTr="00CC3F7C">
        <w:tc>
          <w:tcPr>
            <w:tcW w:w="3070" w:type="dxa"/>
          </w:tcPr>
          <w:p w14:paraId="36AF0A0D" w14:textId="6F38115E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  <w:r w:rsidRPr="00C45747">
              <w:rPr>
                <w:rFonts w:ascii="Times New Roman" w:hAnsi="Times New Roman"/>
                <w:sz w:val="22"/>
                <w:szCs w:val="22"/>
              </w:rPr>
              <w:t xml:space="preserve">Neurologické: toxická encefalopatia a depresia CNS s prejavmi v rozsahu od letargie, zmätenosti </w:t>
            </w:r>
            <w:r w:rsidR="004D7810">
              <w:rPr>
                <w:rFonts w:ascii="Times New Roman" w:hAnsi="Times New Roman"/>
                <w:sz w:val="22"/>
                <w:szCs w:val="22"/>
              </w:rPr>
              <w:t xml:space="preserve">postupujúcich </w:t>
            </w:r>
            <w:r w:rsidRPr="00C45747">
              <w:rPr>
                <w:rFonts w:ascii="Times New Roman" w:hAnsi="Times New Roman"/>
                <w:sz w:val="22"/>
                <w:szCs w:val="22"/>
              </w:rPr>
              <w:t>až</w:t>
            </w:r>
            <w:r w:rsidR="004D7810">
              <w:rPr>
                <w:rFonts w:ascii="Times New Roman" w:hAnsi="Times New Roman"/>
                <w:sz w:val="22"/>
                <w:szCs w:val="22"/>
              </w:rPr>
              <w:t xml:space="preserve"> do</w:t>
            </w:r>
            <w:r w:rsidRPr="00C45747">
              <w:rPr>
                <w:rFonts w:ascii="Times New Roman" w:hAnsi="Times New Roman"/>
                <w:sz w:val="22"/>
                <w:szCs w:val="22"/>
              </w:rPr>
              <w:t xml:space="preserve"> kómy a záchvat</w:t>
            </w:r>
            <w:r w:rsidR="004D7810">
              <w:rPr>
                <w:rFonts w:ascii="Times New Roman" w:hAnsi="Times New Roman"/>
                <w:sz w:val="22"/>
                <w:szCs w:val="22"/>
              </w:rPr>
              <w:t>ov</w:t>
            </w:r>
            <w:r w:rsidRPr="00C45747">
              <w:rPr>
                <w:rFonts w:ascii="Times New Roman" w:hAnsi="Times New Roman"/>
                <w:sz w:val="22"/>
                <w:szCs w:val="22"/>
              </w:rPr>
              <w:t xml:space="preserve"> kŕčov</w:t>
            </w:r>
          </w:p>
        </w:tc>
        <w:tc>
          <w:tcPr>
            <w:tcW w:w="3071" w:type="dxa"/>
          </w:tcPr>
          <w:p w14:paraId="742162CC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FD8104A" w14:textId="77777777" w:rsidR="001643CD" w:rsidRPr="00C45747" w:rsidRDefault="001643CD" w:rsidP="006C46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41A9474" w14:textId="77777777" w:rsidR="001643CD" w:rsidRPr="00C45747" w:rsidRDefault="001643CD" w:rsidP="006C46CB">
      <w:pPr>
        <w:pStyle w:val="Zkladntext"/>
        <w:rPr>
          <w:rFonts w:ascii="Times New Roman" w:hAnsi="Times New Roman"/>
          <w:sz w:val="22"/>
          <w:szCs w:val="22"/>
        </w:rPr>
      </w:pPr>
    </w:p>
    <w:p w14:paraId="5ABDD738" w14:textId="77777777" w:rsidR="001643CD" w:rsidRPr="00C45747" w:rsidRDefault="001643CD" w:rsidP="006C46CB">
      <w:pPr>
        <w:pStyle w:val="Zkladntext"/>
        <w:rPr>
          <w:rFonts w:ascii="Times New Roman" w:hAnsi="Times New Roman"/>
          <w:sz w:val="22"/>
          <w:szCs w:val="22"/>
        </w:rPr>
      </w:pPr>
    </w:p>
    <w:p w14:paraId="3FF65836" w14:textId="77777777" w:rsidR="001643CD" w:rsidRPr="009A2197" w:rsidRDefault="001643CD" w:rsidP="006C46CB">
      <w:pPr>
        <w:pStyle w:val="Zkladntext"/>
        <w:rPr>
          <w:rFonts w:ascii="Times New Roman" w:hAnsi="Times New Roman"/>
          <w:b/>
          <w:caps/>
          <w:sz w:val="22"/>
          <w:szCs w:val="22"/>
        </w:rPr>
      </w:pPr>
      <w:r w:rsidRPr="009A2197">
        <w:rPr>
          <w:rFonts w:ascii="Times New Roman" w:hAnsi="Times New Roman"/>
          <w:b/>
          <w:caps/>
          <w:sz w:val="22"/>
          <w:szCs w:val="22"/>
        </w:rPr>
        <w:t>5.</w:t>
      </w:r>
      <w:r w:rsidRPr="009A2197">
        <w:rPr>
          <w:rFonts w:ascii="Times New Roman" w:hAnsi="Times New Roman"/>
          <w:b/>
          <w:caps/>
          <w:sz w:val="22"/>
          <w:szCs w:val="22"/>
        </w:rPr>
        <w:tab/>
        <w:t>Farmakologické vlastnosti</w:t>
      </w:r>
    </w:p>
    <w:p w14:paraId="68A2D36D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</w:p>
    <w:p w14:paraId="4995E533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  <w:r w:rsidRPr="00C45747">
        <w:rPr>
          <w:rFonts w:ascii="Times New Roman" w:hAnsi="Times New Roman"/>
          <w:b/>
          <w:sz w:val="22"/>
          <w:szCs w:val="22"/>
        </w:rPr>
        <w:t>5.1</w:t>
      </w:r>
      <w:r w:rsidRPr="00C45747">
        <w:rPr>
          <w:rFonts w:ascii="Times New Roman" w:hAnsi="Times New Roman"/>
          <w:b/>
          <w:sz w:val="22"/>
          <w:szCs w:val="22"/>
        </w:rPr>
        <w:tab/>
        <w:t>Farmakodynamické vlastnosti</w:t>
      </w:r>
    </w:p>
    <w:p w14:paraId="16869EE3" w14:textId="77777777" w:rsidR="001643CD" w:rsidRPr="00C45747" w:rsidRDefault="001643CD" w:rsidP="006C46CB">
      <w:pPr>
        <w:pStyle w:val="Zkladntext"/>
        <w:rPr>
          <w:rFonts w:ascii="Times New Roman" w:hAnsi="Times New Roman"/>
          <w:b/>
          <w:sz w:val="22"/>
          <w:szCs w:val="22"/>
        </w:rPr>
      </w:pPr>
    </w:p>
    <w:p w14:paraId="5DABA3BB" w14:textId="5BD0F32B" w:rsidR="001643CD" w:rsidRPr="00C45747" w:rsidRDefault="001643CD" w:rsidP="006C46CB">
      <w:pPr>
        <w:pStyle w:val="Zkladntext"/>
        <w:rPr>
          <w:rFonts w:ascii="Times New Roman" w:hAnsi="Times New Roman"/>
          <w:b/>
          <w:sz w:val="22"/>
          <w:szCs w:val="22"/>
        </w:rPr>
      </w:pPr>
      <w:r w:rsidRPr="00DB137D">
        <w:rPr>
          <w:rFonts w:ascii="Times New Roman" w:hAnsi="Times New Roman"/>
          <w:sz w:val="22"/>
          <w:szCs w:val="22"/>
        </w:rPr>
        <w:t>Farmakoterapeutická skupina: Analgetiká, kyselina salicylová a deriváty</w:t>
      </w:r>
    </w:p>
    <w:p w14:paraId="1CB52BD4" w14:textId="77777777" w:rsidR="001643CD" w:rsidRDefault="00381A79" w:rsidP="006C46CB">
      <w:pPr>
        <w:pStyle w:val="Zkladntext"/>
      </w:pPr>
      <w:r w:rsidRPr="004815E7">
        <w:rPr>
          <w:rFonts w:ascii="Times New Roman" w:hAnsi="Times New Roman"/>
          <w:sz w:val="22"/>
          <w:szCs w:val="22"/>
        </w:rPr>
        <w:t>ATC kód: N02BA01</w:t>
      </w:r>
    </w:p>
    <w:p w14:paraId="6D5F3742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78D7D79C" w14:textId="7DC35B73" w:rsidR="001643CD" w:rsidRPr="00C45747" w:rsidRDefault="001643CD" w:rsidP="006C46CB">
      <w:pPr>
        <w:pStyle w:val="Zkladntext3"/>
        <w:spacing w:after="0"/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Kyselina acetylsalicylová patrí </w:t>
      </w:r>
      <w:r w:rsidR="00944074">
        <w:rPr>
          <w:rFonts w:ascii="Times New Roman" w:hAnsi="Times New Roman"/>
          <w:sz w:val="22"/>
          <w:szCs w:val="22"/>
        </w:rPr>
        <w:t>medzi</w:t>
      </w:r>
      <w:r w:rsidRPr="00C45747">
        <w:rPr>
          <w:rFonts w:ascii="Times New Roman" w:hAnsi="Times New Roman"/>
          <w:sz w:val="22"/>
          <w:szCs w:val="22"/>
        </w:rPr>
        <w:t xml:space="preserve"> </w:t>
      </w:r>
      <w:r w:rsidRPr="00944074">
        <w:rPr>
          <w:rFonts w:ascii="Times New Roman" w:hAnsi="Times New Roman"/>
          <w:sz w:val="22"/>
          <w:szCs w:val="22"/>
        </w:rPr>
        <w:t>kysl</w:t>
      </w:r>
      <w:r w:rsidR="00944074">
        <w:rPr>
          <w:rFonts w:ascii="Times New Roman" w:hAnsi="Times New Roman"/>
          <w:sz w:val="22"/>
          <w:szCs w:val="22"/>
        </w:rPr>
        <w:t>é</w:t>
      </w:r>
      <w:r w:rsidRPr="00944074">
        <w:rPr>
          <w:rFonts w:ascii="Times New Roman" w:hAnsi="Times New Roman"/>
          <w:sz w:val="22"/>
          <w:szCs w:val="22"/>
        </w:rPr>
        <w:t xml:space="preserve"> nesteroidov</w:t>
      </w:r>
      <w:r w:rsidR="00944074">
        <w:rPr>
          <w:rFonts w:ascii="Times New Roman" w:hAnsi="Times New Roman"/>
          <w:sz w:val="22"/>
          <w:szCs w:val="22"/>
        </w:rPr>
        <w:t>é</w:t>
      </w:r>
      <w:r w:rsidRPr="00C45747">
        <w:rPr>
          <w:rFonts w:ascii="Times New Roman" w:hAnsi="Times New Roman"/>
          <w:sz w:val="22"/>
          <w:szCs w:val="22"/>
        </w:rPr>
        <w:t xml:space="preserve"> antiflogist</w:t>
      </w:r>
      <w:r w:rsidR="00944074">
        <w:rPr>
          <w:rFonts w:ascii="Times New Roman" w:hAnsi="Times New Roman"/>
          <w:sz w:val="22"/>
          <w:szCs w:val="22"/>
        </w:rPr>
        <w:t>iká</w:t>
      </w:r>
      <w:r w:rsidRPr="00C45747">
        <w:rPr>
          <w:rFonts w:ascii="Times New Roman" w:hAnsi="Times New Roman"/>
          <w:sz w:val="22"/>
          <w:szCs w:val="22"/>
        </w:rPr>
        <w:t xml:space="preserve"> s analgetickými, antipyretickými a antiflogistickými vlastnosťami. Jej mechanizmus účinku sa zakladá na ireverzibilnej inhibícii enzýmu cyklooxygenáz</w:t>
      </w:r>
      <w:r w:rsidR="00C559FC">
        <w:rPr>
          <w:rFonts w:ascii="Times New Roman" w:hAnsi="Times New Roman"/>
          <w:sz w:val="22"/>
          <w:szCs w:val="22"/>
        </w:rPr>
        <w:t>a, ktorá je</w:t>
      </w:r>
      <w:r w:rsidRPr="00C45747">
        <w:rPr>
          <w:rFonts w:ascii="Times New Roman" w:hAnsi="Times New Roman"/>
          <w:sz w:val="22"/>
          <w:szCs w:val="22"/>
        </w:rPr>
        <w:t xml:space="preserve"> zahrnut</w:t>
      </w:r>
      <w:r w:rsidR="00C559FC">
        <w:rPr>
          <w:rFonts w:ascii="Times New Roman" w:hAnsi="Times New Roman"/>
          <w:sz w:val="22"/>
          <w:szCs w:val="22"/>
        </w:rPr>
        <w:t>á</w:t>
      </w:r>
      <w:r w:rsidRPr="00C45747">
        <w:rPr>
          <w:rFonts w:ascii="Times New Roman" w:hAnsi="Times New Roman"/>
          <w:sz w:val="22"/>
          <w:szCs w:val="22"/>
        </w:rPr>
        <w:t xml:space="preserve"> </w:t>
      </w:r>
      <w:r w:rsidR="00C559FC">
        <w:rPr>
          <w:rFonts w:ascii="Times New Roman" w:hAnsi="Times New Roman"/>
          <w:sz w:val="22"/>
          <w:szCs w:val="22"/>
        </w:rPr>
        <w:t>do</w:t>
      </w:r>
      <w:r w:rsidRPr="00C45747">
        <w:rPr>
          <w:rFonts w:ascii="Times New Roman" w:hAnsi="Times New Roman"/>
          <w:sz w:val="22"/>
          <w:szCs w:val="22"/>
        </w:rPr>
        <w:t> syntéz</w:t>
      </w:r>
      <w:r w:rsidR="00C559FC">
        <w:rPr>
          <w:rFonts w:ascii="Times New Roman" w:hAnsi="Times New Roman"/>
          <w:sz w:val="22"/>
          <w:szCs w:val="22"/>
        </w:rPr>
        <w:t>y</w:t>
      </w:r>
      <w:r w:rsidRPr="00C45747">
        <w:rPr>
          <w:rFonts w:ascii="Times New Roman" w:hAnsi="Times New Roman"/>
          <w:sz w:val="22"/>
          <w:szCs w:val="22"/>
        </w:rPr>
        <w:t xml:space="preserve"> prostaglandínov. </w:t>
      </w:r>
    </w:p>
    <w:p w14:paraId="0B776699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7EA7B6D9" w14:textId="7C806FCD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Perorálne dávky kyseliny acetylsalicylovej 0,3 až 1,0 g sa používajú na </w:t>
      </w:r>
      <w:r w:rsidR="00B60BDE">
        <w:rPr>
          <w:rFonts w:ascii="Times New Roman" w:hAnsi="Times New Roman"/>
          <w:sz w:val="22"/>
          <w:szCs w:val="22"/>
        </w:rPr>
        <w:t>úľavu od</w:t>
      </w:r>
      <w:r w:rsidR="00B60BDE" w:rsidRPr="00C45747">
        <w:rPr>
          <w:rFonts w:ascii="Times New Roman" w:hAnsi="Times New Roman"/>
          <w:sz w:val="22"/>
          <w:szCs w:val="22"/>
        </w:rPr>
        <w:t xml:space="preserve"> </w:t>
      </w:r>
      <w:r w:rsidRPr="00C45747">
        <w:rPr>
          <w:rFonts w:ascii="Times New Roman" w:hAnsi="Times New Roman"/>
          <w:sz w:val="22"/>
          <w:szCs w:val="22"/>
        </w:rPr>
        <w:t>bolestí a</w:t>
      </w:r>
      <w:r w:rsidR="00B60BDE">
        <w:rPr>
          <w:rFonts w:ascii="Times New Roman" w:hAnsi="Times New Roman"/>
          <w:sz w:val="22"/>
          <w:szCs w:val="22"/>
        </w:rPr>
        <w:t xml:space="preserve"> pri </w:t>
      </w:r>
      <w:r w:rsidRPr="00C45747">
        <w:rPr>
          <w:rFonts w:ascii="Times New Roman" w:hAnsi="Times New Roman"/>
          <w:sz w:val="22"/>
          <w:szCs w:val="22"/>
        </w:rPr>
        <w:t>miernych horúčkovitých stavo</w:t>
      </w:r>
      <w:r w:rsidR="00B60BDE">
        <w:rPr>
          <w:rFonts w:ascii="Times New Roman" w:hAnsi="Times New Roman"/>
          <w:sz w:val="22"/>
          <w:szCs w:val="22"/>
        </w:rPr>
        <w:t>ch</w:t>
      </w:r>
      <w:r w:rsidR="00E615B9">
        <w:rPr>
          <w:rFonts w:ascii="Times New Roman" w:hAnsi="Times New Roman"/>
          <w:sz w:val="22"/>
          <w:szCs w:val="22"/>
        </w:rPr>
        <w:t>,</w:t>
      </w:r>
      <w:r w:rsidR="00B60BDE">
        <w:rPr>
          <w:rFonts w:ascii="Times New Roman" w:hAnsi="Times New Roman"/>
          <w:sz w:val="22"/>
          <w:szCs w:val="22"/>
        </w:rPr>
        <w:t xml:space="preserve"> pri</w:t>
      </w:r>
      <w:r w:rsidRPr="00C45747">
        <w:rPr>
          <w:rFonts w:ascii="Times New Roman" w:hAnsi="Times New Roman"/>
          <w:sz w:val="22"/>
          <w:szCs w:val="22"/>
        </w:rPr>
        <w:t xml:space="preserve"> prechladnut</w:t>
      </w:r>
      <w:r w:rsidR="00B60BDE">
        <w:rPr>
          <w:rFonts w:ascii="Times New Roman" w:hAnsi="Times New Roman"/>
          <w:sz w:val="22"/>
          <w:szCs w:val="22"/>
        </w:rPr>
        <w:t>í</w:t>
      </w:r>
      <w:r w:rsidRPr="00C45747">
        <w:rPr>
          <w:rFonts w:ascii="Times New Roman" w:hAnsi="Times New Roman"/>
          <w:sz w:val="22"/>
          <w:szCs w:val="22"/>
        </w:rPr>
        <w:t xml:space="preserve"> alebo chrípk</w:t>
      </w:r>
      <w:r w:rsidR="00B60BDE">
        <w:rPr>
          <w:rFonts w:ascii="Times New Roman" w:hAnsi="Times New Roman"/>
          <w:sz w:val="22"/>
          <w:szCs w:val="22"/>
        </w:rPr>
        <w:t>e</w:t>
      </w:r>
      <w:r w:rsidRPr="00C45747">
        <w:rPr>
          <w:rFonts w:ascii="Times New Roman" w:hAnsi="Times New Roman"/>
          <w:sz w:val="22"/>
          <w:szCs w:val="22"/>
        </w:rPr>
        <w:t>, na zníženie teploty a </w:t>
      </w:r>
      <w:r w:rsidR="00B60BDE">
        <w:rPr>
          <w:rFonts w:ascii="Times New Roman" w:hAnsi="Times New Roman"/>
          <w:sz w:val="22"/>
          <w:szCs w:val="22"/>
        </w:rPr>
        <w:t>zmiernenie</w:t>
      </w:r>
      <w:r w:rsidRPr="00C45747">
        <w:rPr>
          <w:rFonts w:ascii="Times New Roman" w:hAnsi="Times New Roman"/>
          <w:sz w:val="22"/>
          <w:szCs w:val="22"/>
        </w:rPr>
        <w:t xml:space="preserve"> bolestí kĺbov a svalov.</w:t>
      </w:r>
    </w:p>
    <w:p w14:paraId="031E96AD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4787176E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Používa sa aj na liečbu akútnych a chronických zápalových ochorení, ako sú reumatoidná artritída, osteoartritída, ankylózna spondylitída. </w:t>
      </w:r>
    </w:p>
    <w:p w14:paraId="249AB3BA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5DEDAC1A" w14:textId="6741FBE6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Kyselina acetylsalicylová inhibuje </w:t>
      </w:r>
      <w:r w:rsidR="00B60BDE">
        <w:rPr>
          <w:rFonts w:ascii="Times New Roman" w:hAnsi="Times New Roman"/>
          <w:sz w:val="22"/>
          <w:szCs w:val="22"/>
        </w:rPr>
        <w:t xml:space="preserve">aj </w:t>
      </w:r>
      <w:r w:rsidRPr="00C45747">
        <w:rPr>
          <w:rFonts w:ascii="Times New Roman" w:hAnsi="Times New Roman"/>
          <w:sz w:val="22"/>
          <w:szCs w:val="22"/>
        </w:rPr>
        <w:t>agregáciu trombocytov tým, že blokuje syntézu tromboxánu A</w:t>
      </w:r>
      <w:r w:rsidRPr="00C45747">
        <w:rPr>
          <w:rFonts w:ascii="Times New Roman" w:hAnsi="Times New Roman"/>
          <w:sz w:val="22"/>
          <w:szCs w:val="22"/>
          <w:vertAlign w:val="subscript"/>
        </w:rPr>
        <w:t>2</w:t>
      </w:r>
      <w:r w:rsidRPr="00C45747">
        <w:rPr>
          <w:rFonts w:ascii="Times New Roman" w:hAnsi="Times New Roman"/>
          <w:sz w:val="22"/>
          <w:szCs w:val="22"/>
        </w:rPr>
        <w:t xml:space="preserve"> v trombocytoch. </w:t>
      </w:r>
      <w:r w:rsidR="00B60BDE">
        <w:rPr>
          <w:rFonts w:ascii="Times New Roman" w:hAnsi="Times New Roman"/>
          <w:sz w:val="22"/>
          <w:szCs w:val="22"/>
        </w:rPr>
        <w:t>P</w:t>
      </w:r>
      <w:r w:rsidRPr="00C45747">
        <w:rPr>
          <w:rFonts w:ascii="Times New Roman" w:hAnsi="Times New Roman"/>
          <w:sz w:val="22"/>
          <w:szCs w:val="22"/>
        </w:rPr>
        <w:t xml:space="preserve">oužíva </w:t>
      </w:r>
      <w:r w:rsidR="00B60BDE">
        <w:rPr>
          <w:rFonts w:ascii="Times New Roman" w:hAnsi="Times New Roman"/>
          <w:sz w:val="22"/>
          <w:szCs w:val="22"/>
        </w:rPr>
        <w:t>sa preto v</w:t>
      </w:r>
      <w:r w:rsidRPr="00C45747">
        <w:rPr>
          <w:rFonts w:ascii="Times New Roman" w:hAnsi="Times New Roman"/>
          <w:sz w:val="22"/>
          <w:szCs w:val="22"/>
        </w:rPr>
        <w:t xml:space="preserve"> r</w:t>
      </w:r>
      <w:r w:rsidR="00B60BDE">
        <w:rPr>
          <w:rFonts w:ascii="Times New Roman" w:hAnsi="Times New Roman"/>
          <w:sz w:val="22"/>
          <w:szCs w:val="22"/>
        </w:rPr>
        <w:t>ôznych</w:t>
      </w:r>
      <w:r w:rsidRPr="00C45747">
        <w:rPr>
          <w:rFonts w:ascii="Times New Roman" w:hAnsi="Times New Roman"/>
          <w:sz w:val="22"/>
          <w:szCs w:val="22"/>
        </w:rPr>
        <w:t xml:space="preserve"> kardiovaskulárn</w:t>
      </w:r>
      <w:r w:rsidR="00B60BDE">
        <w:rPr>
          <w:rFonts w:ascii="Times New Roman" w:hAnsi="Times New Roman"/>
          <w:sz w:val="22"/>
          <w:szCs w:val="22"/>
        </w:rPr>
        <w:t>ych</w:t>
      </w:r>
      <w:r w:rsidRPr="00C45747">
        <w:rPr>
          <w:rFonts w:ascii="Times New Roman" w:hAnsi="Times New Roman"/>
          <w:sz w:val="22"/>
          <w:szCs w:val="22"/>
        </w:rPr>
        <w:t xml:space="preserve"> indikáci</w:t>
      </w:r>
      <w:r w:rsidR="00B60BDE">
        <w:rPr>
          <w:rFonts w:ascii="Times New Roman" w:hAnsi="Times New Roman"/>
          <w:sz w:val="22"/>
          <w:szCs w:val="22"/>
        </w:rPr>
        <w:t>ách</w:t>
      </w:r>
      <w:r w:rsidRPr="00C45747">
        <w:rPr>
          <w:rFonts w:ascii="Times New Roman" w:hAnsi="Times New Roman"/>
          <w:sz w:val="22"/>
          <w:szCs w:val="22"/>
        </w:rPr>
        <w:t xml:space="preserve"> v dávkach spravidla 75 až 300 mg denne. </w:t>
      </w:r>
    </w:p>
    <w:p w14:paraId="01F050DE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  <w:u w:val="single"/>
        </w:rPr>
      </w:pPr>
    </w:p>
    <w:p w14:paraId="7B5B0BF1" w14:textId="69699658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Experimentálne údaje naznačujú, že ibuprofén môže inhibovať účinok nízkej dávky kyseliny acetylsalicylovej na agregáciu </w:t>
      </w:r>
      <w:r w:rsidR="00527E71">
        <w:rPr>
          <w:rFonts w:ascii="Times New Roman" w:hAnsi="Times New Roman"/>
          <w:sz w:val="22"/>
          <w:szCs w:val="22"/>
        </w:rPr>
        <w:t xml:space="preserve">krvných </w:t>
      </w:r>
      <w:r w:rsidRPr="00C45747">
        <w:rPr>
          <w:rFonts w:ascii="Times New Roman" w:hAnsi="Times New Roman"/>
          <w:sz w:val="22"/>
          <w:szCs w:val="22"/>
        </w:rPr>
        <w:t xml:space="preserve">doštičiek, </w:t>
      </w:r>
      <w:r w:rsidR="00527E71">
        <w:rPr>
          <w:rFonts w:ascii="Times New Roman" w:hAnsi="Times New Roman"/>
          <w:sz w:val="22"/>
          <w:szCs w:val="22"/>
        </w:rPr>
        <w:t>ak</w:t>
      </w:r>
      <w:r w:rsidR="00527E71" w:rsidRPr="00C45747">
        <w:rPr>
          <w:rFonts w:ascii="Times New Roman" w:hAnsi="Times New Roman"/>
          <w:sz w:val="22"/>
          <w:szCs w:val="22"/>
        </w:rPr>
        <w:t xml:space="preserve"> </w:t>
      </w:r>
      <w:r w:rsidRPr="00C45747">
        <w:rPr>
          <w:rFonts w:ascii="Times New Roman" w:hAnsi="Times New Roman"/>
          <w:sz w:val="22"/>
          <w:szCs w:val="22"/>
        </w:rPr>
        <w:t xml:space="preserve">sa podávajú súbežne. </w:t>
      </w:r>
    </w:p>
    <w:p w14:paraId="6EE61EB3" w14:textId="3D9570DC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V jednej štúdii</w:t>
      </w:r>
      <w:r w:rsidR="00527E71">
        <w:rPr>
          <w:rFonts w:ascii="Times New Roman" w:hAnsi="Times New Roman"/>
          <w:sz w:val="22"/>
          <w:szCs w:val="22"/>
        </w:rPr>
        <w:t xml:space="preserve"> po jednorazovom podaní </w:t>
      </w:r>
      <w:r w:rsidRPr="00C45747">
        <w:rPr>
          <w:rFonts w:ascii="Times New Roman" w:hAnsi="Times New Roman"/>
          <w:sz w:val="22"/>
          <w:szCs w:val="22"/>
        </w:rPr>
        <w:t xml:space="preserve">400 mg ibuprofénu buď 8 hodín pred </w:t>
      </w:r>
      <w:r w:rsidR="00527E71">
        <w:rPr>
          <w:rFonts w:ascii="Times New Roman" w:hAnsi="Times New Roman"/>
          <w:sz w:val="22"/>
          <w:szCs w:val="22"/>
        </w:rPr>
        <w:t>alebo</w:t>
      </w:r>
      <w:r w:rsidR="00DB137D">
        <w:rPr>
          <w:rFonts w:ascii="Times New Roman" w:hAnsi="Times New Roman"/>
          <w:sz w:val="22"/>
          <w:szCs w:val="22"/>
        </w:rPr>
        <w:t xml:space="preserve"> </w:t>
      </w:r>
      <w:r w:rsidRPr="00C45747">
        <w:rPr>
          <w:rFonts w:ascii="Times New Roman" w:hAnsi="Times New Roman"/>
          <w:sz w:val="22"/>
          <w:szCs w:val="22"/>
        </w:rPr>
        <w:t>do 30 minút po  podaní</w:t>
      </w:r>
      <w:r w:rsidR="00527E71">
        <w:rPr>
          <w:rFonts w:ascii="Times New Roman" w:hAnsi="Times New Roman"/>
          <w:sz w:val="22"/>
          <w:szCs w:val="22"/>
        </w:rPr>
        <w:t xml:space="preserve"> kyseliny acetylsalicylovej s okamžitým uvoľňovaním v dávke 81 mg</w:t>
      </w:r>
      <w:r w:rsidRPr="00C45747">
        <w:rPr>
          <w:rFonts w:ascii="Times New Roman" w:hAnsi="Times New Roman"/>
          <w:sz w:val="22"/>
          <w:szCs w:val="22"/>
        </w:rPr>
        <w:t>, došlo k znížen</w:t>
      </w:r>
      <w:r w:rsidR="00527E71">
        <w:rPr>
          <w:rFonts w:ascii="Times New Roman" w:hAnsi="Times New Roman"/>
          <w:sz w:val="22"/>
          <w:szCs w:val="22"/>
        </w:rPr>
        <w:t>iu</w:t>
      </w:r>
      <w:r w:rsidRPr="00C45747">
        <w:rPr>
          <w:rFonts w:ascii="Times New Roman" w:hAnsi="Times New Roman"/>
          <w:sz w:val="22"/>
          <w:szCs w:val="22"/>
        </w:rPr>
        <w:t xml:space="preserve"> účinku kyseliny acetylsalicylovej na tvorbu tromboxánu alebo agregáci</w:t>
      </w:r>
      <w:r w:rsidR="00596F64">
        <w:rPr>
          <w:rFonts w:ascii="Times New Roman" w:hAnsi="Times New Roman"/>
          <w:sz w:val="22"/>
          <w:szCs w:val="22"/>
        </w:rPr>
        <w:t>u</w:t>
      </w:r>
      <w:r w:rsidRPr="00C45747">
        <w:rPr>
          <w:rFonts w:ascii="Times New Roman" w:hAnsi="Times New Roman"/>
          <w:sz w:val="22"/>
          <w:szCs w:val="22"/>
        </w:rPr>
        <w:t xml:space="preserve"> trombocytov. </w:t>
      </w:r>
    </w:p>
    <w:p w14:paraId="0D34BD6E" w14:textId="5DEB7ED4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Limitácie týchto údajov a neistot</w:t>
      </w:r>
      <w:r w:rsidR="00527E71">
        <w:rPr>
          <w:rFonts w:ascii="Times New Roman" w:hAnsi="Times New Roman"/>
          <w:sz w:val="22"/>
          <w:szCs w:val="22"/>
        </w:rPr>
        <w:t>a</w:t>
      </w:r>
      <w:r w:rsidRPr="00C45747">
        <w:rPr>
          <w:rFonts w:ascii="Times New Roman" w:hAnsi="Times New Roman"/>
          <w:sz w:val="22"/>
          <w:szCs w:val="22"/>
        </w:rPr>
        <w:t xml:space="preserve"> extrapolácie údajov </w:t>
      </w:r>
      <w:r w:rsidRPr="00C45747">
        <w:rPr>
          <w:rFonts w:ascii="Times New Roman" w:hAnsi="Times New Roman"/>
          <w:i/>
          <w:iCs/>
          <w:sz w:val="22"/>
          <w:szCs w:val="22"/>
        </w:rPr>
        <w:t xml:space="preserve">ex vivo </w:t>
      </w:r>
      <w:r w:rsidR="00527E71">
        <w:rPr>
          <w:rFonts w:ascii="Times New Roman" w:hAnsi="Times New Roman"/>
          <w:sz w:val="22"/>
          <w:szCs w:val="22"/>
        </w:rPr>
        <w:t>do klinickej praxe</w:t>
      </w:r>
      <w:r w:rsidRPr="00C45747">
        <w:rPr>
          <w:rFonts w:ascii="Times New Roman" w:hAnsi="Times New Roman"/>
          <w:sz w:val="22"/>
          <w:szCs w:val="22"/>
        </w:rPr>
        <w:t xml:space="preserve"> však</w:t>
      </w:r>
      <w:r w:rsidR="00527E71">
        <w:rPr>
          <w:rFonts w:ascii="Times New Roman" w:hAnsi="Times New Roman"/>
          <w:sz w:val="22"/>
          <w:szCs w:val="22"/>
        </w:rPr>
        <w:t xml:space="preserve"> naznačujú</w:t>
      </w:r>
      <w:r w:rsidRPr="00C45747">
        <w:rPr>
          <w:rFonts w:ascii="Times New Roman" w:hAnsi="Times New Roman"/>
          <w:sz w:val="22"/>
          <w:szCs w:val="22"/>
        </w:rPr>
        <w:t xml:space="preserve">, že nemožno urobiť jednoznačné </w:t>
      </w:r>
      <w:r w:rsidR="00527E71">
        <w:rPr>
          <w:rFonts w:ascii="Times New Roman" w:hAnsi="Times New Roman"/>
          <w:sz w:val="22"/>
          <w:szCs w:val="22"/>
        </w:rPr>
        <w:t>odporúčania</w:t>
      </w:r>
      <w:r w:rsidR="00527E71" w:rsidRPr="00C45747">
        <w:rPr>
          <w:rFonts w:ascii="Times New Roman" w:hAnsi="Times New Roman"/>
          <w:sz w:val="22"/>
          <w:szCs w:val="22"/>
        </w:rPr>
        <w:t xml:space="preserve"> </w:t>
      </w:r>
      <w:r w:rsidRPr="00C45747">
        <w:rPr>
          <w:rFonts w:ascii="Times New Roman" w:hAnsi="Times New Roman"/>
          <w:sz w:val="22"/>
          <w:szCs w:val="22"/>
        </w:rPr>
        <w:t xml:space="preserve">pre pravidelné užívanie ibuprofénu a </w:t>
      </w:r>
      <w:r w:rsidR="00527E71">
        <w:rPr>
          <w:rFonts w:ascii="Times New Roman" w:hAnsi="Times New Roman"/>
          <w:sz w:val="22"/>
          <w:szCs w:val="22"/>
        </w:rPr>
        <w:t>pri príležitostnom používaní ibuprofénu sa nepredpokladá klinicky významný účinok.</w:t>
      </w:r>
    </w:p>
    <w:p w14:paraId="3B53D6F0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  <w:u w:val="single"/>
        </w:rPr>
      </w:pPr>
    </w:p>
    <w:p w14:paraId="1A6994F3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  <w:r w:rsidRPr="00C45747">
        <w:rPr>
          <w:rFonts w:ascii="Times New Roman" w:hAnsi="Times New Roman"/>
          <w:b/>
          <w:sz w:val="22"/>
          <w:szCs w:val="22"/>
        </w:rPr>
        <w:t>5.2</w:t>
      </w:r>
      <w:r w:rsidRPr="00C45747">
        <w:rPr>
          <w:rFonts w:ascii="Times New Roman" w:hAnsi="Times New Roman"/>
          <w:b/>
          <w:sz w:val="22"/>
          <w:szCs w:val="22"/>
        </w:rPr>
        <w:tab/>
        <w:t>Farmakokinetické vlastnosti</w:t>
      </w:r>
    </w:p>
    <w:p w14:paraId="5F83E6FF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6241B1BB" w14:textId="77777777" w:rsidR="001643CD" w:rsidRPr="00C45747" w:rsidRDefault="001643CD" w:rsidP="006C46CB">
      <w:pPr>
        <w:tabs>
          <w:tab w:val="left" w:pos="720"/>
        </w:tabs>
        <w:spacing w:after="60"/>
        <w:rPr>
          <w:rFonts w:ascii="Times New Roman" w:hAnsi="Times New Roman"/>
          <w:bCs/>
          <w:color w:val="000000"/>
          <w:sz w:val="22"/>
          <w:szCs w:val="22"/>
          <w:u w:val="single"/>
        </w:rPr>
      </w:pPr>
      <w:r w:rsidRPr="00C45747">
        <w:rPr>
          <w:rFonts w:ascii="Times New Roman" w:hAnsi="Times New Roman"/>
          <w:color w:val="000000"/>
          <w:sz w:val="22"/>
          <w:szCs w:val="22"/>
          <w:u w:val="single"/>
        </w:rPr>
        <w:t>Absorpcia</w:t>
      </w:r>
    </w:p>
    <w:p w14:paraId="0D4C3EC2" w14:textId="5F5BE542" w:rsidR="001643CD" w:rsidRPr="00C45747" w:rsidRDefault="00527E71" w:rsidP="006C46CB">
      <w:pPr>
        <w:tabs>
          <w:tab w:val="left" w:pos="720"/>
        </w:tabs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L</w:t>
      </w:r>
      <w:r w:rsidR="001643CD" w:rsidRPr="00C45747">
        <w:rPr>
          <w:rFonts w:ascii="Times New Roman" w:hAnsi="Times New Roman"/>
          <w:color w:val="000000"/>
          <w:sz w:val="22"/>
          <w:szCs w:val="22"/>
        </w:rPr>
        <w:t>ieková forma</w:t>
      </w:r>
      <w:r>
        <w:rPr>
          <w:rFonts w:ascii="Times New Roman" w:hAnsi="Times New Roman"/>
          <w:color w:val="000000"/>
          <w:sz w:val="22"/>
          <w:szCs w:val="22"/>
        </w:rPr>
        <w:t>, obalené tablety,</w:t>
      </w:r>
      <w:r w:rsidR="001643CD" w:rsidRPr="00C45747">
        <w:rPr>
          <w:rFonts w:ascii="Times New Roman" w:hAnsi="Times New Roman"/>
          <w:color w:val="000000"/>
          <w:sz w:val="22"/>
          <w:szCs w:val="22"/>
        </w:rPr>
        <w:t xml:space="preserve"> poskytuje rýchlu úľavu od miernej až stredne silnej bolesti. Rýchla úľava od bolesti sa pripisuje rýchlemu nástupu účinku vďaka skrátenému času, za ktorý </w:t>
      </w:r>
      <w:r>
        <w:rPr>
          <w:rFonts w:ascii="Times New Roman" w:hAnsi="Times New Roman"/>
          <w:color w:val="000000"/>
          <w:sz w:val="22"/>
          <w:szCs w:val="22"/>
        </w:rPr>
        <w:t>sa dosiahne</w:t>
      </w:r>
      <w:r w:rsidRPr="00C4574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643CD" w:rsidRPr="00C45747">
        <w:rPr>
          <w:rFonts w:ascii="Times New Roman" w:hAnsi="Times New Roman"/>
          <w:color w:val="000000"/>
          <w:sz w:val="22"/>
          <w:szCs w:val="22"/>
        </w:rPr>
        <w:t>maximáln</w:t>
      </w:r>
      <w:r>
        <w:rPr>
          <w:rFonts w:ascii="Times New Roman" w:hAnsi="Times New Roman"/>
          <w:color w:val="000000"/>
          <w:sz w:val="22"/>
          <w:szCs w:val="22"/>
        </w:rPr>
        <w:t>a</w:t>
      </w:r>
      <w:r w:rsidR="001643CD" w:rsidRPr="00C45747">
        <w:rPr>
          <w:rFonts w:ascii="Times New Roman" w:hAnsi="Times New Roman"/>
          <w:color w:val="000000"/>
          <w:sz w:val="22"/>
          <w:szCs w:val="22"/>
        </w:rPr>
        <w:t xml:space="preserve"> plazmatick</w:t>
      </w:r>
      <w:r>
        <w:rPr>
          <w:rFonts w:ascii="Times New Roman" w:hAnsi="Times New Roman"/>
          <w:color w:val="000000"/>
          <w:sz w:val="22"/>
          <w:szCs w:val="22"/>
        </w:rPr>
        <w:t>á</w:t>
      </w:r>
      <w:r w:rsidR="001643CD" w:rsidRPr="00C45747">
        <w:rPr>
          <w:rFonts w:ascii="Times New Roman" w:hAnsi="Times New Roman"/>
          <w:color w:val="000000"/>
          <w:sz w:val="22"/>
          <w:szCs w:val="22"/>
        </w:rPr>
        <w:t xml:space="preserve"> koncentráci</w:t>
      </w:r>
      <w:r>
        <w:rPr>
          <w:rFonts w:ascii="Times New Roman" w:hAnsi="Times New Roman"/>
          <w:color w:val="000000"/>
          <w:sz w:val="22"/>
          <w:szCs w:val="22"/>
        </w:rPr>
        <w:t>a</w:t>
      </w:r>
      <w:r w:rsidR="001643CD" w:rsidRPr="00C45747">
        <w:rPr>
          <w:rFonts w:ascii="Times New Roman" w:hAnsi="Times New Roman"/>
          <w:color w:val="000000"/>
          <w:sz w:val="22"/>
          <w:szCs w:val="22"/>
        </w:rPr>
        <w:t>. Liek je tvorený kombináciou malých pomletých častíc liečiva</w:t>
      </w:r>
      <w:r>
        <w:rPr>
          <w:rFonts w:ascii="Times New Roman" w:hAnsi="Times New Roman"/>
          <w:color w:val="000000"/>
          <w:sz w:val="22"/>
          <w:szCs w:val="22"/>
        </w:rPr>
        <w:t>,</w:t>
      </w:r>
      <w:r w:rsidR="003B2AB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643CD" w:rsidRPr="00C45747">
        <w:rPr>
          <w:rFonts w:ascii="Times New Roman" w:hAnsi="Times New Roman"/>
          <w:color w:val="000000"/>
          <w:sz w:val="22"/>
          <w:szCs w:val="22"/>
        </w:rPr>
        <w:t>kyseliny acetylsalicylovej</w:t>
      </w:r>
      <w:r>
        <w:rPr>
          <w:rFonts w:ascii="Times New Roman" w:hAnsi="Times New Roman"/>
          <w:color w:val="000000"/>
          <w:sz w:val="22"/>
          <w:szCs w:val="22"/>
        </w:rPr>
        <w:t>,</w:t>
      </w:r>
      <w:r w:rsidR="001643CD" w:rsidRPr="00C45747">
        <w:rPr>
          <w:rFonts w:ascii="Times New Roman" w:hAnsi="Times New Roman"/>
          <w:color w:val="000000"/>
          <w:sz w:val="22"/>
          <w:szCs w:val="22"/>
        </w:rPr>
        <w:t xml:space="preserve"> a efervescentnej zložky, čo zabezpečuje veľmi rýchly rozpad jadra tablety. Vďaka rýchlemu rozpúšťaniu dochádza k rýchlejšej absorpcii kyseliny acetylsalicylovej.</w:t>
      </w:r>
    </w:p>
    <w:p w14:paraId="41105A90" w14:textId="77777777" w:rsidR="001643CD" w:rsidRPr="00C45747" w:rsidRDefault="001643CD" w:rsidP="006C46CB">
      <w:pPr>
        <w:tabs>
          <w:tab w:val="left" w:pos="720"/>
        </w:tabs>
        <w:rPr>
          <w:rFonts w:ascii="Times New Roman" w:hAnsi="Times New Roman"/>
          <w:bCs/>
          <w:color w:val="000000"/>
          <w:sz w:val="22"/>
          <w:szCs w:val="22"/>
        </w:rPr>
      </w:pPr>
    </w:p>
    <w:p w14:paraId="2B6F2818" w14:textId="70DA4212" w:rsidR="001643CD" w:rsidRPr="00351B27" w:rsidRDefault="001643CD" w:rsidP="006C46CB">
      <w:pPr>
        <w:tabs>
          <w:tab w:val="left" w:pos="720"/>
        </w:tabs>
        <w:rPr>
          <w:rFonts w:ascii="Times New Roman" w:hAnsi="Times New Roman"/>
          <w:bCs/>
          <w:color w:val="000000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Po perorálnom podaní sa kyselina acetylsalicylová rýchlo a úplne absorbuje z gastrointestinálneho traktu. Kyselina acetylsalicylová sa premieňa na svoj hlavný aktívny metabolit, kyselinu salicylovú</w:t>
      </w:r>
      <w:r w:rsidR="00527E71">
        <w:rPr>
          <w:rFonts w:ascii="Times New Roman" w:hAnsi="Times New Roman"/>
          <w:sz w:val="22"/>
          <w:szCs w:val="22"/>
        </w:rPr>
        <w:t>,</w:t>
      </w:r>
      <w:r w:rsidRPr="00C45747">
        <w:rPr>
          <w:rFonts w:ascii="Times New Roman" w:hAnsi="Times New Roman"/>
          <w:sz w:val="22"/>
          <w:szCs w:val="22"/>
        </w:rPr>
        <w:t xml:space="preserve">            v priebehu absorpcie a po absorpcii. </w:t>
      </w:r>
      <w:r w:rsidRPr="00C45747">
        <w:rPr>
          <w:rFonts w:ascii="Times New Roman" w:hAnsi="Times New Roman"/>
          <w:color w:val="000000"/>
          <w:sz w:val="22"/>
          <w:szCs w:val="22"/>
        </w:rPr>
        <w:t xml:space="preserve">V štúdiách biologickej dostupnosti bolo zistené, že priemerné maximálne plazmatické </w:t>
      </w:r>
      <w:r w:rsidR="00527E71">
        <w:rPr>
          <w:rFonts w:ascii="Times New Roman" w:hAnsi="Times New Roman"/>
          <w:color w:val="000000"/>
          <w:sz w:val="22"/>
          <w:szCs w:val="22"/>
        </w:rPr>
        <w:t>koncentrácie</w:t>
      </w:r>
      <w:r w:rsidR="00527E71" w:rsidRPr="00C4574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45747">
        <w:rPr>
          <w:rFonts w:ascii="Times New Roman" w:hAnsi="Times New Roman"/>
          <w:color w:val="000000"/>
          <w:sz w:val="22"/>
          <w:szCs w:val="22"/>
        </w:rPr>
        <w:t xml:space="preserve">sa dosahujú po približne </w:t>
      </w:r>
      <w:r>
        <w:rPr>
          <w:rFonts w:ascii="Times New Roman" w:hAnsi="Times New Roman"/>
          <w:color w:val="000000"/>
          <w:sz w:val="22"/>
          <w:szCs w:val="22"/>
        </w:rPr>
        <w:t>17,5</w:t>
      </w:r>
      <w:r w:rsidRPr="00C45747">
        <w:rPr>
          <w:rFonts w:ascii="Times New Roman" w:hAnsi="Times New Roman"/>
          <w:color w:val="000000"/>
          <w:sz w:val="22"/>
          <w:szCs w:val="22"/>
        </w:rPr>
        <w:t xml:space="preserve"> minútach pre kyselinu acetylsalicylovú a po približne </w:t>
      </w:r>
      <w:r>
        <w:rPr>
          <w:rFonts w:ascii="Times New Roman" w:hAnsi="Times New Roman"/>
          <w:color w:val="000000"/>
          <w:sz w:val="22"/>
          <w:szCs w:val="22"/>
        </w:rPr>
        <w:t>45</w:t>
      </w:r>
      <w:r w:rsidRPr="00C45747">
        <w:rPr>
          <w:rFonts w:ascii="Times New Roman" w:hAnsi="Times New Roman"/>
          <w:color w:val="000000"/>
          <w:sz w:val="22"/>
          <w:szCs w:val="22"/>
        </w:rPr>
        <w:t xml:space="preserve"> minútach pre kyselinu salicylovú. V </w:t>
      </w:r>
      <w:r w:rsidRPr="00234486">
        <w:rPr>
          <w:rFonts w:ascii="Times New Roman" w:hAnsi="Times New Roman"/>
          <w:color w:val="000000"/>
          <w:sz w:val="22"/>
          <w:szCs w:val="22"/>
        </w:rPr>
        <w:t>porovnaní s </w:t>
      </w:r>
      <w:r w:rsidRPr="00C45747">
        <w:rPr>
          <w:rFonts w:ascii="Times New Roman" w:hAnsi="Times New Roman"/>
          <w:color w:val="000000"/>
          <w:sz w:val="22"/>
          <w:szCs w:val="22"/>
        </w:rPr>
        <w:t>tabletami</w:t>
      </w:r>
      <w:r w:rsidR="00234486">
        <w:rPr>
          <w:rFonts w:ascii="Times New Roman" w:hAnsi="Times New Roman"/>
          <w:color w:val="000000"/>
          <w:sz w:val="22"/>
          <w:szCs w:val="22"/>
        </w:rPr>
        <w:t xml:space="preserve"> (bez obalu)</w:t>
      </w:r>
      <w:r w:rsidRPr="00C4574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34486">
        <w:rPr>
          <w:rFonts w:ascii="Times New Roman" w:hAnsi="Times New Roman"/>
          <w:color w:val="000000"/>
          <w:sz w:val="22"/>
          <w:szCs w:val="22"/>
        </w:rPr>
        <w:t xml:space="preserve">s obsahom </w:t>
      </w:r>
      <w:r w:rsidRPr="00C45747">
        <w:rPr>
          <w:rFonts w:ascii="Times New Roman" w:hAnsi="Times New Roman"/>
          <w:color w:val="000000"/>
          <w:sz w:val="22"/>
          <w:szCs w:val="22"/>
        </w:rPr>
        <w:t xml:space="preserve">kyseliny </w:t>
      </w:r>
      <w:r w:rsidRPr="00351B27">
        <w:rPr>
          <w:rFonts w:ascii="Times New Roman" w:hAnsi="Times New Roman"/>
          <w:color w:val="000000"/>
          <w:sz w:val="22"/>
          <w:szCs w:val="22"/>
        </w:rPr>
        <w:t xml:space="preserve">acetylsalicylovej (Aspirin) sa pri použití </w:t>
      </w:r>
      <w:r w:rsidR="0098062A" w:rsidRPr="00351B27">
        <w:rPr>
          <w:rFonts w:ascii="Times New Roman" w:hAnsi="Times New Roman"/>
          <w:color w:val="000000"/>
          <w:sz w:val="22"/>
          <w:szCs w:val="22"/>
        </w:rPr>
        <w:t>obalených tabliet</w:t>
      </w:r>
      <w:r w:rsidRPr="00351B27">
        <w:rPr>
          <w:rFonts w:ascii="Times New Roman" w:hAnsi="Times New Roman"/>
          <w:color w:val="000000"/>
          <w:sz w:val="22"/>
          <w:szCs w:val="22"/>
        </w:rPr>
        <w:t xml:space="preserve"> čas dosiahnutia maximálnej plazmatickej koncentrácie skrátil pre kyselinu acetylsalicylovú približne 2,6</w:t>
      </w:r>
      <w:r w:rsidR="003B2AB3" w:rsidRPr="00351B27">
        <w:rPr>
          <w:rFonts w:ascii="Times New Roman" w:hAnsi="Times New Roman"/>
          <w:color w:val="000000"/>
          <w:sz w:val="22"/>
          <w:szCs w:val="22"/>
        </w:rPr>
        <w:t>-násobne</w:t>
      </w:r>
      <w:r w:rsidRPr="00351B27">
        <w:rPr>
          <w:rFonts w:ascii="Times New Roman" w:hAnsi="Times New Roman"/>
          <w:color w:val="000000"/>
          <w:sz w:val="22"/>
          <w:szCs w:val="22"/>
        </w:rPr>
        <w:t xml:space="preserve"> a pre kyselinu salicylovú približne </w:t>
      </w:r>
      <w:r w:rsidR="003B2AB3" w:rsidRPr="00351B27">
        <w:rPr>
          <w:rFonts w:ascii="Times New Roman" w:hAnsi="Times New Roman"/>
          <w:color w:val="000000"/>
          <w:sz w:val="22"/>
          <w:szCs w:val="22"/>
        </w:rPr>
        <w:t>4-násobne</w:t>
      </w:r>
      <w:r w:rsidRPr="00351B27">
        <w:rPr>
          <w:rFonts w:ascii="Times New Roman" w:hAnsi="Times New Roman"/>
          <w:color w:val="000000"/>
          <w:sz w:val="22"/>
          <w:szCs w:val="22"/>
        </w:rPr>
        <w:t>.</w:t>
      </w:r>
    </w:p>
    <w:p w14:paraId="6261FC21" w14:textId="77777777" w:rsidR="001643CD" w:rsidRPr="00351B27" w:rsidRDefault="001643CD" w:rsidP="006C46CB">
      <w:pPr>
        <w:tabs>
          <w:tab w:val="left" w:pos="720"/>
        </w:tabs>
        <w:rPr>
          <w:rFonts w:ascii="Times New Roman" w:hAnsi="Times New Roman"/>
          <w:bCs/>
          <w:color w:val="000000"/>
          <w:sz w:val="22"/>
          <w:szCs w:val="22"/>
        </w:rPr>
      </w:pPr>
    </w:p>
    <w:p w14:paraId="64126EE7" w14:textId="7BCEE8E6" w:rsidR="001643CD" w:rsidRPr="00C45747" w:rsidRDefault="001643CD" w:rsidP="006C46CB">
      <w:pPr>
        <w:tabs>
          <w:tab w:val="left" w:pos="720"/>
        </w:tabs>
        <w:rPr>
          <w:rFonts w:ascii="Times New Roman" w:hAnsi="Times New Roman"/>
          <w:bCs/>
          <w:color w:val="000000"/>
          <w:sz w:val="22"/>
          <w:szCs w:val="22"/>
        </w:rPr>
      </w:pPr>
      <w:r w:rsidRPr="00351B27">
        <w:rPr>
          <w:rFonts w:ascii="Times New Roman" w:hAnsi="Times New Roman"/>
          <w:color w:val="000000"/>
          <w:sz w:val="22"/>
          <w:szCs w:val="22"/>
        </w:rPr>
        <w:t xml:space="preserve">Vyplývajúci klinicky rýchlejší nástup účinku bol demonštrovaný v klinických porovnávacích štúdiách účinnosti s viac </w:t>
      </w:r>
      <w:r w:rsidR="004B45E6" w:rsidRPr="00351B27">
        <w:rPr>
          <w:rFonts w:ascii="Times New Roman" w:hAnsi="Times New Roman"/>
          <w:color w:val="000000"/>
          <w:sz w:val="22"/>
          <w:szCs w:val="22"/>
        </w:rPr>
        <w:t>ako</w:t>
      </w:r>
      <w:r w:rsidRPr="00351B27">
        <w:rPr>
          <w:rFonts w:ascii="Times New Roman" w:hAnsi="Times New Roman"/>
          <w:color w:val="000000"/>
          <w:sz w:val="22"/>
          <w:szCs w:val="22"/>
        </w:rPr>
        <w:t xml:space="preserve"> 1</w:t>
      </w:r>
      <w:r w:rsidR="004B45E6" w:rsidRPr="00351B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351B27">
        <w:rPr>
          <w:rFonts w:ascii="Times New Roman" w:hAnsi="Times New Roman"/>
          <w:color w:val="000000"/>
          <w:sz w:val="22"/>
          <w:szCs w:val="22"/>
        </w:rPr>
        <w:t xml:space="preserve">000 pacientmi s bolesťou po chirurgickom </w:t>
      </w:r>
      <w:r w:rsidR="00B54ED2" w:rsidRPr="00351B27">
        <w:rPr>
          <w:rFonts w:ascii="Times New Roman" w:hAnsi="Times New Roman"/>
          <w:color w:val="000000"/>
          <w:sz w:val="22"/>
          <w:szCs w:val="22"/>
        </w:rPr>
        <w:t>zubolekárskom</w:t>
      </w:r>
      <w:r w:rsidRPr="00351B27">
        <w:rPr>
          <w:rFonts w:ascii="Times New Roman" w:hAnsi="Times New Roman"/>
          <w:color w:val="000000"/>
          <w:sz w:val="22"/>
          <w:szCs w:val="22"/>
        </w:rPr>
        <w:t xml:space="preserve"> zákroku. V týchto štúdiách došlo v porovnaní s tabletami</w:t>
      </w:r>
      <w:r w:rsidR="004B45E6" w:rsidRPr="00351B27">
        <w:rPr>
          <w:rFonts w:ascii="Times New Roman" w:hAnsi="Times New Roman"/>
          <w:color w:val="000000"/>
          <w:sz w:val="22"/>
          <w:szCs w:val="22"/>
        </w:rPr>
        <w:t xml:space="preserve"> (bez obalu)</w:t>
      </w:r>
      <w:r w:rsidRPr="00351B27">
        <w:rPr>
          <w:rFonts w:ascii="Times New Roman" w:hAnsi="Times New Roman"/>
          <w:color w:val="000000"/>
          <w:sz w:val="22"/>
          <w:szCs w:val="22"/>
        </w:rPr>
        <w:t xml:space="preserve"> s</w:t>
      </w:r>
      <w:r w:rsidR="004B45E6" w:rsidRPr="00351B27">
        <w:rPr>
          <w:rFonts w:ascii="Times New Roman" w:hAnsi="Times New Roman"/>
          <w:color w:val="000000"/>
          <w:sz w:val="22"/>
          <w:szCs w:val="22"/>
        </w:rPr>
        <w:t xml:space="preserve"> obahom </w:t>
      </w:r>
      <w:r w:rsidRPr="00351B27">
        <w:rPr>
          <w:rFonts w:ascii="Times New Roman" w:hAnsi="Times New Roman"/>
          <w:color w:val="000000"/>
          <w:sz w:val="22"/>
          <w:szCs w:val="22"/>
        </w:rPr>
        <w:t>kyselin</w:t>
      </w:r>
      <w:r w:rsidR="004B45E6" w:rsidRPr="00351B27">
        <w:rPr>
          <w:rFonts w:ascii="Times New Roman" w:hAnsi="Times New Roman"/>
          <w:color w:val="000000"/>
          <w:sz w:val="22"/>
          <w:szCs w:val="22"/>
        </w:rPr>
        <w:t>y</w:t>
      </w:r>
      <w:r w:rsidRPr="00351B27">
        <w:rPr>
          <w:rFonts w:ascii="Times New Roman" w:hAnsi="Times New Roman"/>
          <w:color w:val="000000"/>
          <w:sz w:val="22"/>
          <w:szCs w:val="22"/>
        </w:rPr>
        <w:t xml:space="preserve"> acetylsalicylov</w:t>
      </w:r>
      <w:r w:rsidR="004B45E6" w:rsidRPr="00351B27">
        <w:rPr>
          <w:rFonts w:ascii="Times New Roman" w:hAnsi="Times New Roman"/>
          <w:color w:val="000000"/>
          <w:sz w:val="22"/>
          <w:szCs w:val="22"/>
        </w:rPr>
        <w:t>ej</w:t>
      </w:r>
      <w:r w:rsidRPr="00351B27">
        <w:rPr>
          <w:rFonts w:ascii="Times New Roman" w:hAnsi="Times New Roman"/>
          <w:color w:val="000000"/>
          <w:sz w:val="22"/>
          <w:szCs w:val="22"/>
        </w:rPr>
        <w:t xml:space="preserve"> k významnému skráteniu času do prvej vnímateľnej úľavy od bolesti a času do relevantného</w:t>
      </w:r>
      <w:r w:rsidRPr="00C45747">
        <w:rPr>
          <w:rFonts w:ascii="Times New Roman" w:hAnsi="Times New Roman"/>
          <w:color w:val="000000"/>
          <w:sz w:val="22"/>
          <w:szCs w:val="22"/>
        </w:rPr>
        <w:t xml:space="preserve"> ústupu bolesti, pričom nedošlo k zmene v celkovej účinnosti (trvanie a intenzita účinku). V porovnaní s tabletami </w:t>
      </w:r>
      <w:r w:rsidR="004B45E6">
        <w:rPr>
          <w:rFonts w:ascii="Times New Roman" w:hAnsi="Times New Roman"/>
          <w:color w:val="000000"/>
          <w:sz w:val="22"/>
          <w:szCs w:val="22"/>
        </w:rPr>
        <w:t>(bez obalu)</w:t>
      </w:r>
      <w:r w:rsidRPr="00C45747">
        <w:rPr>
          <w:rFonts w:ascii="Times New Roman" w:hAnsi="Times New Roman"/>
          <w:color w:val="000000"/>
          <w:sz w:val="22"/>
          <w:szCs w:val="22"/>
        </w:rPr>
        <w:t xml:space="preserve"> s kyselinou acetylsalicylovou je čas, za ktorý došlo k relevantnej úľave od bolesti, dv</w:t>
      </w:r>
      <w:r w:rsidR="004B45E6">
        <w:rPr>
          <w:rFonts w:ascii="Times New Roman" w:hAnsi="Times New Roman"/>
          <w:color w:val="000000"/>
          <w:sz w:val="22"/>
          <w:szCs w:val="22"/>
        </w:rPr>
        <w:t>ojnásobne</w:t>
      </w:r>
      <w:r w:rsidRPr="00C45747">
        <w:rPr>
          <w:rFonts w:ascii="Times New Roman" w:hAnsi="Times New Roman"/>
          <w:color w:val="000000"/>
          <w:sz w:val="22"/>
          <w:szCs w:val="22"/>
        </w:rPr>
        <w:t xml:space="preserve"> kratší (49 minút oproti 99 minútam).</w:t>
      </w:r>
    </w:p>
    <w:p w14:paraId="323589DB" w14:textId="77777777" w:rsidR="001643CD" w:rsidRPr="00C45747" w:rsidRDefault="001643CD" w:rsidP="006C46CB">
      <w:pPr>
        <w:tabs>
          <w:tab w:val="left" w:pos="720"/>
        </w:tabs>
        <w:rPr>
          <w:rFonts w:ascii="Times New Roman" w:hAnsi="Times New Roman"/>
          <w:bCs/>
          <w:color w:val="000000"/>
          <w:sz w:val="22"/>
          <w:szCs w:val="22"/>
        </w:rPr>
      </w:pPr>
    </w:p>
    <w:p w14:paraId="4AF66CA7" w14:textId="77777777" w:rsidR="001643CD" w:rsidRPr="00C45747" w:rsidRDefault="001643CD" w:rsidP="006C46CB">
      <w:pPr>
        <w:tabs>
          <w:tab w:val="left" w:pos="720"/>
        </w:tabs>
        <w:spacing w:after="60"/>
        <w:rPr>
          <w:rFonts w:ascii="Times New Roman" w:hAnsi="Times New Roman"/>
          <w:bCs/>
          <w:color w:val="000000"/>
          <w:sz w:val="22"/>
          <w:szCs w:val="22"/>
          <w:u w:val="single"/>
        </w:rPr>
      </w:pPr>
      <w:r w:rsidRPr="00C45747">
        <w:rPr>
          <w:rFonts w:ascii="Times New Roman" w:hAnsi="Times New Roman"/>
          <w:color w:val="000000"/>
          <w:sz w:val="22"/>
          <w:szCs w:val="22"/>
          <w:u w:val="single"/>
        </w:rPr>
        <w:t>Distribúcia</w:t>
      </w:r>
    </w:p>
    <w:p w14:paraId="6AB31131" w14:textId="234DA9A5" w:rsidR="001643CD" w:rsidRPr="00C45747" w:rsidRDefault="006514F0" w:rsidP="006C46CB">
      <w:pPr>
        <w:tabs>
          <w:tab w:val="left" w:pos="720"/>
        </w:tabs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K</w:t>
      </w:r>
      <w:r w:rsidR="001643CD" w:rsidRPr="00C45747">
        <w:rPr>
          <w:rFonts w:ascii="Times New Roman" w:hAnsi="Times New Roman"/>
          <w:color w:val="000000"/>
          <w:sz w:val="22"/>
          <w:szCs w:val="22"/>
        </w:rPr>
        <w:t>yselina acetylsalicylová aj kyselina salicylová sa vo veľkej miere viažu na plazmatické bielkoviny a rýchlo sa distribuujú do celého tela. Kyselina salicylová prechádza do materského mlieka a prechádza cez placentu.</w:t>
      </w:r>
    </w:p>
    <w:p w14:paraId="72A76C6D" w14:textId="77777777" w:rsidR="001643CD" w:rsidRPr="00C45747" w:rsidRDefault="001643CD" w:rsidP="006C46CB">
      <w:pPr>
        <w:tabs>
          <w:tab w:val="left" w:pos="720"/>
        </w:tabs>
        <w:rPr>
          <w:rFonts w:ascii="Times New Roman" w:hAnsi="Times New Roman"/>
          <w:bCs/>
          <w:color w:val="000000"/>
          <w:sz w:val="22"/>
          <w:szCs w:val="22"/>
        </w:rPr>
      </w:pPr>
    </w:p>
    <w:p w14:paraId="1BF77375" w14:textId="77777777" w:rsidR="001643CD" w:rsidRPr="00C45747" w:rsidRDefault="001643CD" w:rsidP="006C46CB">
      <w:pPr>
        <w:tabs>
          <w:tab w:val="left" w:pos="720"/>
        </w:tabs>
        <w:spacing w:after="60"/>
        <w:rPr>
          <w:rFonts w:ascii="Times New Roman" w:hAnsi="Times New Roman"/>
          <w:bCs/>
          <w:color w:val="000000"/>
          <w:sz w:val="22"/>
          <w:szCs w:val="22"/>
          <w:u w:val="single"/>
        </w:rPr>
      </w:pPr>
      <w:r w:rsidRPr="00C45747">
        <w:rPr>
          <w:rFonts w:ascii="Times New Roman" w:hAnsi="Times New Roman"/>
          <w:color w:val="000000"/>
          <w:sz w:val="22"/>
          <w:szCs w:val="22"/>
          <w:u w:val="single"/>
        </w:rPr>
        <w:t>Eliminácia</w:t>
      </w:r>
    </w:p>
    <w:p w14:paraId="7F150BAB" w14:textId="13238EA9" w:rsidR="001643CD" w:rsidRPr="00C45747" w:rsidRDefault="001643CD" w:rsidP="006C46CB">
      <w:pPr>
        <w:tabs>
          <w:tab w:val="left" w:pos="720"/>
        </w:tabs>
        <w:rPr>
          <w:rFonts w:ascii="Times New Roman" w:hAnsi="Times New Roman"/>
          <w:bCs/>
          <w:color w:val="000000"/>
          <w:sz w:val="22"/>
          <w:szCs w:val="22"/>
        </w:rPr>
      </w:pPr>
      <w:r w:rsidRPr="00C45747">
        <w:rPr>
          <w:rFonts w:ascii="Times New Roman" w:hAnsi="Times New Roman"/>
          <w:color w:val="000000"/>
          <w:sz w:val="22"/>
          <w:szCs w:val="22"/>
        </w:rPr>
        <w:t>Kyselina salicylová sa eliminuje najmä prostredníctvom metabolizmu</w:t>
      </w:r>
      <w:r w:rsidR="006514F0">
        <w:rPr>
          <w:rFonts w:ascii="Times New Roman" w:hAnsi="Times New Roman"/>
          <w:color w:val="000000"/>
          <w:sz w:val="22"/>
          <w:szCs w:val="22"/>
        </w:rPr>
        <w:t xml:space="preserve"> v pečeni</w:t>
      </w:r>
      <w:r w:rsidRPr="00C45747">
        <w:rPr>
          <w:rFonts w:ascii="Times New Roman" w:hAnsi="Times New Roman"/>
          <w:color w:val="000000"/>
          <w:sz w:val="22"/>
          <w:szCs w:val="22"/>
        </w:rPr>
        <w:t>. Jej hlavnými metabolitmi sú kyselina salicyl</w:t>
      </w:r>
      <w:r w:rsidR="006514F0">
        <w:rPr>
          <w:rFonts w:ascii="Times New Roman" w:hAnsi="Times New Roman"/>
          <w:color w:val="000000"/>
          <w:sz w:val="22"/>
          <w:szCs w:val="22"/>
        </w:rPr>
        <w:t>urová</w:t>
      </w:r>
      <w:r w:rsidR="00C47045">
        <w:rPr>
          <w:rFonts w:ascii="Times New Roman" w:hAnsi="Times New Roman"/>
          <w:color w:val="000000"/>
          <w:sz w:val="22"/>
          <w:szCs w:val="22"/>
        </w:rPr>
        <w:t>, salicylf</w:t>
      </w:r>
      <w:r w:rsidR="00C47045" w:rsidRPr="00351B27">
        <w:rPr>
          <w:rFonts w:ascii="Times New Roman" w:hAnsi="Times New Roman"/>
          <w:color w:val="000000"/>
          <w:sz w:val="22"/>
          <w:szCs w:val="22"/>
        </w:rPr>
        <w:t>eny</w:t>
      </w:r>
      <w:r w:rsidRPr="00351B27">
        <w:rPr>
          <w:rFonts w:ascii="Times New Roman" w:hAnsi="Times New Roman"/>
          <w:color w:val="000000"/>
          <w:sz w:val="22"/>
          <w:szCs w:val="22"/>
        </w:rPr>
        <w:t>lgl</w:t>
      </w:r>
      <w:r w:rsidRPr="00C45747">
        <w:rPr>
          <w:rFonts w:ascii="Times New Roman" w:hAnsi="Times New Roman"/>
          <w:color w:val="000000"/>
          <w:sz w:val="22"/>
          <w:szCs w:val="22"/>
        </w:rPr>
        <w:t>ukuronid, salicylacylglukuronid, kyselina genti</w:t>
      </w:r>
      <w:r w:rsidR="006514F0">
        <w:rPr>
          <w:rFonts w:ascii="Times New Roman" w:hAnsi="Times New Roman"/>
          <w:color w:val="000000"/>
          <w:sz w:val="22"/>
          <w:szCs w:val="22"/>
        </w:rPr>
        <w:t>z</w:t>
      </w:r>
      <w:r w:rsidRPr="00C45747">
        <w:rPr>
          <w:rFonts w:ascii="Times New Roman" w:hAnsi="Times New Roman"/>
          <w:color w:val="000000"/>
          <w:sz w:val="22"/>
          <w:szCs w:val="22"/>
        </w:rPr>
        <w:t>ová a kyselina gent</w:t>
      </w:r>
      <w:r w:rsidR="006514F0">
        <w:rPr>
          <w:rFonts w:ascii="Times New Roman" w:hAnsi="Times New Roman"/>
          <w:color w:val="000000"/>
          <w:sz w:val="22"/>
          <w:szCs w:val="22"/>
        </w:rPr>
        <w:t>izurová</w:t>
      </w:r>
      <w:r w:rsidRPr="00C45747">
        <w:rPr>
          <w:rFonts w:ascii="Times New Roman" w:hAnsi="Times New Roman"/>
          <w:color w:val="000000"/>
          <w:sz w:val="22"/>
          <w:szCs w:val="22"/>
        </w:rPr>
        <w:t>.</w:t>
      </w:r>
    </w:p>
    <w:p w14:paraId="656D99DA" w14:textId="77777777" w:rsidR="001643CD" w:rsidRPr="00C45747" w:rsidRDefault="001643CD" w:rsidP="006C46CB">
      <w:pPr>
        <w:tabs>
          <w:tab w:val="left" w:pos="720"/>
        </w:tabs>
        <w:rPr>
          <w:rFonts w:ascii="Times New Roman" w:hAnsi="Times New Roman"/>
          <w:bCs/>
          <w:color w:val="000000"/>
          <w:sz w:val="22"/>
          <w:szCs w:val="22"/>
        </w:rPr>
      </w:pPr>
    </w:p>
    <w:p w14:paraId="38B42E6A" w14:textId="107430F7" w:rsidR="001643CD" w:rsidRPr="00C45747" w:rsidRDefault="001643CD" w:rsidP="006C46CB">
      <w:pPr>
        <w:tabs>
          <w:tab w:val="left" w:pos="720"/>
        </w:tabs>
        <w:rPr>
          <w:rFonts w:ascii="Times New Roman" w:hAnsi="Times New Roman"/>
          <w:bCs/>
          <w:color w:val="000000"/>
          <w:sz w:val="22"/>
          <w:szCs w:val="22"/>
        </w:rPr>
      </w:pPr>
      <w:r w:rsidRPr="00C45747">
        <w:rPr>
          <w:rFonts w:ascii="Times New Roman" w:hAnsi="Times New Roman"/>
          <w:color w:val="000000"/>
          <w:sz w:val="22"/>
          <w:szCs w:val="22"/>
        </w:rPr>
        <w:t xml:space="preserve">Kinetika eliminácie kyseliny salicylovej je závislá od dávky, pretože metabolizmus je limitovaný kapacitou pečeňových enzýmov. </w:t>
      </w:r>
      <w:r w:rsidR="006514F0">
        <w:rPr>
          <w:rFonts w:ascii="Times New Roman" w:hAnsi="Times New Roman"/>
          <w:color w:val="000000"/>
          <w:sz w:val="22"/>
          <w:szCs w:val="22"/>
        </w:rPr>
        <w:t>E</w:t>
      </w:r>
      <w:r w:rsidRPr="00C45747">
        <w:rPr>
          <w:rFonts w:ascii="Times New Roman" w:hAnsi="Times New Roman"/>
          <w:color w:val="000000"/>
          <w:sz w:val="22"/>
          <w:szCs w:val="22"/>
        </w:rPr>
        <w:t>limin</w:t>
      </w:r>
      <w:r w:rsidR="006514F0">
        <w:rPr>
          <w:rFonts w:ascii="Times New Roman" w:hAnsi="Times New Roman"/>
          <w:color w:val="000000"/>
          <w:sz w:val="22"/>
          <w:szCs w:val="22"/>
        </w:rPr>
        <w:t>ačný polčas</w:t>
      </w:r>
      <w:r w:rsidRPr="00C45747">
        <w:rPr>
          <w:rFonts w:ascii="Times New Roman" w:hAnsi="Times New Roman"/>
          <w:color w:val="000000"/>
          <w:sz w:val="22"/>
          <w:szCs w:val="22"/>
        </w:rPr>
        <w:t xml:space="preserve"> sa preto pohybuje v rozsahu od 2 do 3 hodín po nízkych dávkach až do približne 15 hodín po vysokých dávkach. Kyselina salicylová a jej metabolity sa vylučujú najmä obličkami.</w:t>
      </w:r>
    </w:p>
    <w:p w14:paraId="16FD2534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  <w:u w:val="single"/>
        </w:rPr>
      </w:pPr>
    </w:p>
    <w:p w14:paraId="0888FD02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  <w:r w:rsidRPr="00C45747">
        <w:rPr>
          <w:rFonts w:ascii="Times New Roman" w:hAnsi="Times New Roman"/>
          <w:b/>
          <w:sz w:val="22"/>
          <w:szCs w:val="22"/>
        </w:rPr>
        <w:t>5.3</w:t>
      </w:r>
      <w:r w:rsidRPr="00C45747">
        <w:rPr>
          <w:rFonts w:ascii="Times New Roman" w:hAnsi="Times New Roman"/>
          <w:b/>
          <w:sz w:val="22"/>
          <w:szCs w:val="22"/>
        </w:rPr>
        <w:tab/>
        <w:t>Predklinické údaje o bezpečnosti</w:t>
      </w:r>
    </w:p>
    <w:p w14:paraId="0A5EE349" w14:textId="77777777" w:rsidR="001643CD" w:rsidRPr="00C45747" w:rsidRDefault="001643CD" w:rsidP="006C46CB">
      <w:pPr>
        <w:rPr>
          <w:rFonts w:ascii="Times New Roman" w:hAnsi="Times New Roman"/>
          <w:i/>
          <w:sz w:val="22"/>
          <w:szCs w:val="22"/>
        </w:rPr>
      </w:pPr>
    </w:p>
    <w:p w14:paraId="75422BC7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Predklinické údaje o bezpečnosti kyseliny acetylsalicylovej sú dobre zdokumentované. </w:t>
      </w:r>
    </w:p>
    <w:p w14:paraId="06965D58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5187A9BF" w14:textId="6D0FAFCD" w:rsidR="001643CD" w:rsidRPr="00C45747" w:rsidRDefault="006514F0" w:rsidP="006C46CB">
      <w:pPr>
        <w:rPr>
          <w:rFonts w:ascii="Times New Roman" w:hAnsi="Times New Roman"/>
          <w:sz w:val="22"/>
          <w:szCs w:val="22"/>
        </w:rPr>
      </w:pPr>
      <w:r w:rsidRPr="006514F0">
        <w:rPr>
          <w:rFonts w:ascii="Times New Roman" w:hAnsi="Times New Roman"/>
          <w:sz w:val="22"/>
          <w:szCs w:val="22"/>
        </w:rPr>
        <w:t xml:space="preserve">V experimentálnych štúdiách na zvieratách sa nepreukázalo, že </w:t>
      </w:r>
      <w:r>
        <w:rPr>
          <w:rFonts w:ascii="Times New Roman" w:hAnsi="Times New Roman"/>
          <w:sz w:val="22"/>
          <w:szCs w:val="22"/>
        </w:rPr>
        <w:t>vysoké dávky salicylátov</w:t>
      </w:r>
      <w:r w:rsidRPr="006514F0">
        <w:rPr>
          <w:rFonts w:ascii="Times New Roman" w:hAnsi="Times New Roman"/>
          <w:sz w:val="22"/>
          <w:szCs w:val="22"/>
        </w:rPr>
        <w:t xml:space="preserve"> poškodzujú iné orgány ako obličky</w:t>
      </w:r>
      <w:r>
        <w:rPr>
          <w:rFonts w:ascii="Times New Roman" w:hAnsi="Times New Roman"/>
          <w:sz w:val="22"/>
          <w:szCs w:val="22"/>
        </w:rPr>
        <w:t>.</w:t>
      </w:r>
      <w:r w:rsidRPr="006514F0" w:rsidDel="006514F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Mutagenita k</w:t>
      </w:r>
      <w:r w:rsidR="001643CD" w:rsidRPr="00C45747">
        <w:rPr>
          <w:rFonts w:ascii="Times New Roman" w:hAnsi="Times New Roman"/>
          <w:sz w:val="22"/>
          <w:szCs w:val="22"/>
        </w:rPr>
        <w:t>yselina acetylsalicylov</w:t>
      </w:r>
      <w:r>
        <w:rPr>
          <w:rFonts w:ascii="Times New Roman" w:hAnsi="Times New Roman"/>
          <w:sz w:val="22"/>
          <w:szCs w:val="22"/>
        </w:rPr>
        <w:t>ej</w:t>
      </w:r>
      <w:r w:rsidR="001643CD" w:rsidRPr="00C45747">
        <w:rPr>
          <w:rFonts w:ascii="Times New Roman" w:hAnsi="Times New Roman"/>
          <w:sz w:val="22"/>
          <w:szCs w:val="22"/>
        </w:rPr>
        <w:t xml:space="preserve"> sa dostatočne testovala</w:t>
      </w:r>
      <w:r w:rsidR="000318A8">
        <w:rPr>
          <w:rFonts w:ascii="Times New Roman" w:hAnsi="Times New Roman"/>
          <w:sz w:val="22"/>
          <w:szCs w:val="22"/>
        </w:rPr>
        <w:t xml:space="preserve"> v štúdiách</w:t>
      </w:r>
      <w:r w:rsidR="001643CD" w:rsidRPr="00C45747">
        <w:rPr>
          <w:rFonts w:ascii="Times New Roman" w:hAnsi="Times New Roman"/>
          <w:sz w:val="22"/>
          <w:szCs w:val="22"/>
        </w:rPr>
        <w:t xml:space="preserve"> </w:t>
      </w:r>
      <w:r w:rsidR="001643CD" w:rsidRPr="00C45747">
        <w:rPr>
          <w:rFonts w:ascii="Times New Roman" w:hAnsi="Times New Roman"/>
          <w:i/>
          <w:sz w:val="22"/>
          <w:szCs w:val="22"/>
        </w:rPr>
        <w:t xml:space="preserve">in vitro </w:t>
      </w:r>
      <w:r w:rsidR="001643CD" w:rsidRPr="00C45747">
        <w:rPr>
          <w:rFonts w:ascii="Times New Roman" w:hAnsi="Times New Roman"/>
          <w:sz w:val="22"/>
          <w:szCs w:val="22"/>
        </w:rPr>
        <w:t xml:space="preserve">a </w:t>
      </w:r>
      <w:r w:rsidR="001643CD" w:rsidRPr="00C45747">
        <w:rPr>
          <w:rFonts w:ascii="Times New Roman" w:hAnsi="Times New Roman"/>
          <w:i/>
          <w:sz w:val="22"/>
          <w:szCs w:val="22"/>
        </w:rPr>
        <w:t>in vivo</w:t>
      </w:r>
      <w:r>
        <w:rPr>
          <w:rFonts w:ascii="Times New Roman" w:hAnsi="Times New Roman"/>
          <w:sz w:val="22"/>
          <w:szCs w:val="22"/>
        </w:rPr>
        <w:t>.</w:t>
      </w:r>
      <w:r w:rsidR="001643CD" w:rsidRPr="00C45747">
        <w:rPr>
          <w:rFonts w:ascii="Times New Roman" w:hAnsi="Times New Roman"/>
          <w:sz w:val="22"/>
          <w:szCs w:val="22"/>
        </w:rPr>
        <w:t xml:space="preserve"> Nepozorovali sa žiadne významné </w:t>
      </w:r>
      <w:r>
        <w:rPr>
          <w:rFonts w:ascii="Times New Roman" w:hAnsi="Times New Roman"/>
          <w:sz w:val="22"/>
          <w:szCs w:val="22"/>
        </w:rPr>
        <w:t>náznaky</w:t>
      </w:r>
      <w:r w:rsidRPr="00C45747">
        <w:rPr>
          <w:rFonts w:ascii="Times New Roman" w:hAnsi="Times New Roman"/>
          <w:sz w:val="22"/>
          <w:szCs w:val="22"/>
        </w:rPr>
        <w:t xml:space="preserve"> </w:t>
      </w:r>
      <w:r w:rsidR="001643CD" w:rsidRPr="00C45747">
        <w:rPr>
          <w:rFonts w:ascii="Times New Roman" w:hAnsi="Times New Roman"/>
          <w:sz w:val="22"/>
          <w:szCs w:val="22"/>
        </w:rPr>
        <w:t xml:space="preserve">mutagénneho potenciálu. To isté sa vzťahuje aj na štúdie karcinogenity. </w:t>
      </w:r>
    </w:p>
    <w:p w14:paraId="5C87E7BD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64D23851" w14:textId="3ABA019A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V štúdiách na zvieratách a na určitom počte rôznych druhov zvierat vykazujú salicyláty teratogénne účinky. Po prenatálnej expozícii sa popísali implantačné defekty, embryotoxické a fetotoxické účinky a u potomkov bola </w:t>
      </w:r>
      <w:r w:rsidR="000318A8">
        <w:rPr>
          <w:rFonts w:ascii="Times New Roman" w:hAnsi="Times New Roman"/>
          <w:sz w:val="22"/>
          <w:szCs w:val="22"/>
        </w:rPr>
        <w:t xml:space="preserve">zhoršená </w:t>
      </w:r>
      <w:r w:rsidRPr="00C45747">
        <w:rPr>
          <w:rFonts w:ascii="Times New Roman" w:hAnsi="Times New Roman"/>
          <w:sz w:val="22"/>
          <w:szCs w:val="22"/>
        </w:rPr>
        <w:t>schopnosť uč</w:t>
      </w:r>
      <w:r w:rsidR="006514F0">
        <w:rPr>
          <w:rFonts w:ascii="Times New Roman" w:hAnsi="Times New Roman"/>
          <w:sz w:val="22"/>
          <w:szCs w:val="22"/>
        </w:rPr>
        <w:t>iť</w:t>
      </w:r>
      <w:r w:rsidRPr="00C45747">
        <w:rPr>
          <w:rFonts w:ascii="Times New Roman" w:hAnsi="Times New Roman"/>
          <w:sz w:val="22"/>
          <w:szCs w:val="22"/>
        </w:rPr>
        <w:t xml:space="preserve"> sa.</w:t>
      </w:r>
    </w:p>
    <w:p w14:paraId="6FC76286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4F1BAC7C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</w:p>
    <w:p w14:paraId="73B4E9FC" w14:textId="77777777" w:rsidR="001643CD" w:rsidRPr="009A2197" w:rsidRDefault="001643CD" w:rsidP="006C46CB">
      <w:pPr>
        <w:pStyle w:val="Zkladntext"/>
        <w:rPr>
          <w:rFonts w:ascii="Times New Roman" w:hAnsi="Times New Roman"/>
          <w:b/>
          <w:caps/>
          <w:sz w:val="22"/>
          <w:szCs w:val="22"/>
        </w:rPr>
      </w:pPr>
      <w:r w:rsidRPr="009A2197">
        <w:rPr>
          <w:rFonts w:ascii="Times New Roman" w:hAnsi="Times New Roman"/>
          <w:b/>
          <w:caps/>
          <w:sz w:val="22"/>
          <w:szCs w:val="22"/>
        </w:rPr>
        <w:lastRenderedPageBreak/>
        <w:t>6.</w:t>
      </w:r>
      <w:r w:rsidRPr="009A2197">
        <w:rPr>
          <w:rFonts w:ascii="Times New Roman" w:hAnsi="Times New Roman"/>
          <w:b/>
          <w:caps/>
          <w:sz w:val="22"/>
          <w:szCs w:val="22"/>
        </w:rPr>
        <w:tab/>
        <w:t>Farmaceutické údaje</w:t>
      </w:r>
    </w:p>
    <w:p w14:paraId="7E8159AF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</w:p>
    <w:p w14:paraId="435A9991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  <w:r w:rsidRPr="00C45747">
        <w:rPr>
          <w:rFonts w:ascii="Times New Roman" w:hAnsi="Times New Roman"/>
          <w:b/>
          <w:sz w:val="22"/>
          <w:szCs w:val="22"/>
        </w:rPr>
        <w:t>6.1</w:t>
      </w:r>
      <w:r w:rsidRPr="00C45747">
        <w:rPr>
          <w:rFonts w:ascii="Times New Roman" w:hAnsi="Times New Roman"/>
          <w:b/>
          <w:sz w:val="22"/>
          <w:szCs w:val="22"/>
        </w:rPr>
        <w:tab/>
        <w:t xml:space="preserve">Zoznam pomocných látok </w:t>
      </w:r>
    </w:p>
    <w:p w14:paraId="05C2276C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046F0240" w14:textId="77777777" w:rsidR="006514F0" w:rsidRDefault="006514F0" w:rsidP="006C46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Jadro tablety</w:t>
      </w:r>
    </w:p>
    <w:p w14:paraId="31B60494" w14:textId="77777777" w:rsidR="001643CD" w:rsidRPr="00C45747" w:rsidRDefault="001643CD" w:rsidP="006C46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koloidný</w:t>
      </w:r>
      <w:r w:rsidRPr="00C45747">
        <w:rPr>
          <w:sz w:val="22"/>
          <w:szCs w:val="22"/>
        </w:rPr>
        <w:t xml:space="preserve"> </w:t>
      </w:r>
      <w:r w:rsidR="007F777E">
        <w:rPr>
          <w:sz w:val="22"/>
          <w:szCs w:val="22"/>
        </w:rPr>
        <w:t xml:space="preserve">bezvodý </w:t>
      </w:r>
      <w:r w:rsidRPr="00C45747">
        <w:rPr>
          <w:sz w:val="22"/>
          <w:szCs w:val="22"/>
        </w:rPr>
        <w:t xml:space="preserve">oxid kremičitý </w:t>
      </w:r>
    </w:p>
    <w:p w14:paraId="2EDA6581" w14:textId="77777777" w:rsidR="001643CD" w:rsidRDefault="001643CD" w:rsidP="006C46CB">
      <w:pPr>
        <w:pStyle w:val="Default"/>
        <w:rPr>
          <w:sz w:val="22"/>
          <w:szCs w:val="22"/>
        </w:rPr>
      </w:pPr>
      <w:r w:rsidRPr="00C45747">
        <w:rPr>
          <w:sz w:val="22"/>
          <w:szCs w:val="22"/>
        </w:rPr>
        <w:t>bezvodý uhličitan sodný</w:t>
      </w:r>
    </w:p>
    <w:p w14:paraId="0B74C123" w14:textId="77777777" w:rsidR="006514F0" w:rsidRDefault="006514F0" w:rsidP="006C46CB">
      <w:pPr>
        <w:pStyle w:val="Default"/>
        <w:rPr>
          <w:sz w:val="22"/>
          <w:szCs w:val="22"/>
        </w:rPr>
      </w:pPr>
    </w:p>
    <w:p w14:paraId="192202D5" w14:textId="77777777" w:rsidR="006514F0" w:rsidRPr="00C45747" w:rsidRDefault="006514F0" w:rsidP="006C46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Obal tablety</w:t>
      </w:r>
    </w:p>
    <w:p w14:paraId="48D351D0" w14:textId="77777777" w:rsidR="001643CD" w:rsidRPr="00C45747" w:rsidRDefault="001643CD" w:rsidP="006C46CB">
      <w:pPr>
        <w:pStyle w:val="Default"/>
        <w:rPr>
          <w:sz w:val="22"/>
          <w:szCs w:val="22"/>
        </w:rPr>
      </w:pPr>
      <w:r w:rsidRPr="00C45747">
        <w:rPr>
          <w:sz w:val="22"/>
          <w:szCs w:val="22"/>
        </w:rPr>
        <w:t xml:space="preserve">karnaubský vosk </w:t>
      </w:r>
    </w:p>
    <w:p w14:paraId="6DF66762" w14:textId="77777777" w:rsidR="001643CD" w:rsidRPr="00C45747" w:rsidRDefault="001643CD" w:rsidP="006C46CB">
      <w:pPr>
        <w:pStyle w:val="Default"/>
        <w:rPr>
          <w:sz w:val="22"/>
          <w:szCs w:val="22"/>
        </w:rPr>
      </w:pPr>
      <w:r w:rsidRPr="00C45747">
        <w:rPr>
          <w:sz w:val="22"/>
          <w:szCs w:val="22"/>
        </w:rPr>
        <w:t xml:space="preserve">hypromelóza </w:t>
      </w:r>
    </w:p>
    <w:p w14:paraId="20E91E1A" w14:textId="0CDC493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stear</w:t>
      </w:r>
      <w:r>
        <w:rPr>
          <w:rFonts w:ascii="Times New Roman" w:hAnsi="Times New Roman"/>
          <w:sz w:val="22"/>
          <w:szCs w:val="22"/>
        </w:rPr>
        <w:t>an</w:t>
      </w:r>
      <w:r w:rsidRPr="00C45747">
        <w:rPr>
          <w:rFonts w:ascii="Times New Roman" w:hAnsi="Times New Roman"/>
          <w:sz w:val="22"/>
          <w:szCs w:val="22"/>
        </w:rPr>
        <w:t xml:space="preserve"> zinočnatý</w:t>
      </w:r>
    </w:p>
    <w:p w14:paraId="2A349CE5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3F73C1AD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  <w:r w:rsidRPr="00C45747">
        <w:rPr>
          <w:rFonts w:ascii="Times New Roman" w:hAnsi="Times New Roman"/>
          <w:b/>
          <w:sz w:val="22"/>
          <w:szCs w:val="22"/>
        </w:rPr>
        <w:t>6.2</w:t>
      </w:r>
      <w:r w:rsidRPr="00C45747">
        <w:rPr>
          <w:rFonts w:ascii="Times New Roman" w:hAnsi="Times New Roman"/>
          <w:b/>
          <w:sz w:val="22"/>
          <w:szCs w:val="22"/>
        </w:rPr>
        <w:tab/>
        <w:t>Inkompatibility</w:t>
      </w:r>
    </w:p>
    <w:p w14:paraId="56D9E46F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001D6752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Neaplikovateľné.</w:t>
      </w:r>
    </w:p>
    <w:p w14:paraId="031164F9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  <w:u w:val="single"/>
        </w:rPr>
      </w:pPr>
    </w:p>
    <w:p w14:paraId="4D5B5011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  <w:r w:rsidRPr="00C45747">
        <w:rPr>
          <w:rFonts w:ascii="Times New Roman" w:hAnsi="Times New Roman"/>
          <w:b/>
          <w:sz w:val="22"/>
          <w:szCs w:val="22"/>
        </w:rPr>
        <w:t>6.3</w:t>
      </w:r>
      <w:r w:rsidRPr="00C45747">
        <w:rPr>
          <w:rFonts w:ascii="Times New Roman" w:hAnsi="Times New Roman"/>
          <w:b/>
          <w:sz w:val="22"/>
          <w:szCs w:val="22"/>
        </w:rPr>
        <w:tab/>
        <w:t>Čas použiteľnosti</w:t>
      </w:r>
    </w:p>
    <w:p w14:paraId="431B7973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100F102A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3 roky</w:t>
      </w:r>
    </w:p>
    <w:p w14:paraId="2CEBD780" w14:textId="77777777" w:rsidR="001643CD" w:rsidRPr="00C45747" w:rsidRDefault="001643CD" w:rsidP="006C46CB">
      <w:pPr>
        <w:rPr>
          <w:rFonts w:ascii="Times New Roman" w:hAnsi="Times New Roman"/>
          <w:b/>
          <w:noProof/>
          <w:sz w:val="22"/>
          <w:szCs w:val="22"/>
        </w:rPr>
      </w:pPr>
    </w:p>
    <w:p w14:paraId="6EB724D6" w14:textId="77777777" w:rsidR="001643CD" w:rsidRPr="00C45747" w:rsidRDefault="001643CD" w:rsidP="006C46CB">
      <w:pPr>
        <w:rPr>
          <w:rFonts w:ascii="Times New Roman" w:hAnsi="Times New Roman"/>
          <w:noProof/>
          <w:sz w:val="22"/>
          <w:szCs w:val="22"/>
        </w:rPr>
      </w:pPr>
      <w:r w:rsidRPr="00C45747">
        <w:rPr>
          <w:rFonts w:ascii="Times New Roman" w:hAnsi="Times New Roman"/>
          <w:b/>
          <w:noProof/>
          <w:sz w:val="22"/>
          <w:szCs w:val="22"/>
        </w:rPr>
        <w:t>6.4</w:t>
      </w:r>
      <w:r w:rsidRPr="00C45747">
        <w:rPr>
          <w:rFonts w:ascii="Times New Roman" w:hAnsi="Times New Roman"/>
          <w:b/>
          <w:noProof/>
          <w:sz w:val="22"/>
          <w:szCs w:val="22"/>
        </w:rPr>
        <w:tab/>
        <w:t>Špeciálne upozornenia na uchovávanie</w:t>
      </w:r>
    </w:p>
    <w:p w14:paraId="030D0FB2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271FCD26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30ﾠﾰC"/>
        </w:smartTagPr>
        <w:r w:rsidRPr="00C45747">
          <w:rPr>
            <w:rFonts w:ascii="Times New Roman" w:hAnsi="Times New Roman"/>
            <w:sz w:val="22"/>
            <w:szCs w:val="22"/>
          </w:rPr>
          <w:t>30 °C</w:t>
        </w:r>
      </w:smartTag>
      <w:r w:rsidRPr="00C45747">
        <w:rPr>
          <w:rFonts w:ascii="Times New Roman" w:hAnsi="Times New Roman"/>
          <w:sz w:val="22"/>
          <w:szCs w:val="22"/>
        </w:rPr>
        <w:t>.</w:t>
      </w:r>
    </w:p>
    <w:p w14:paraId="0A0DE81A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  <w:u w:val="single"/>
        </w:rPr>
      </w:pPr>
    </w:p>
    <w:p w14:paraId="528DE7E3" w14:textId="77777777" w:rsidR="001643CD" w:rsidRPr="00C45747" w:rsidRDefault="001643CD" w:rsidP="006C46CB">
      <w:pPr>
        <w:rPr>
          <w:rFonts w:ascii="Times New Roman" w:hAnsi="Times New Roman"/>
          <w:noProof/>
          <w:sz w:val="22"/>
          <w:szCs w:val="22"/>
        </w:rPr>
      </w:pPr>
      <w:r w:rsidRPr="00C45747">
        <w:rPr>
          <w:rFonts w:ascii="Times New Roman" w:hAnsi="Times New Roman"/>
          <w:b/>
          <w:noProof/>
          <w:sz w:val="22"/>
          <w:szCs w:val="22"/>
        </w:rPr>
        <w:t>6.5</w:t>
      </w:r>
      <w:r w:rsidRPr="00C45747">
        <w:rPr>
          <w:rFonts w:ascii="Times New Roman" w:hAnsi="Times New Roman"/>
          <w:b/>
          <w:noProof/>
          <w:sz w:val="22"/>
          <w:szCs w:val="22"/>
        </w:rPr>
        <w:tab/>
        <w:t>Druh obalu a obsah balenia</w:t>
      </w:r>
      <w:r w:rsidRPr="00C45747">
        <w:rPr>
          <w:rFonts w:ascii="Times New Roman" w:hAnsi="Times New Roman"/>
          <w:b/>
          <w:noProof/>
          <w:color w:val="0000FF"/>
          <w:sz w:val="22"/>
          <w:szCs w:val="22"/>
        </w:rPr>
        <w:t xml:space="preserve"> </w:t>
      </w:r>
    </w:p>
    <w:p w14:paraId="2905E361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</w:p>
    <w:p w14:paraId="61F0DA00" w14:textId="79735033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Stripy (fólia papier</w:t>
      </w:r>
      <w:r w:rsidR="00310FFA">
        <w:rPr>
          <w:rFonts w:ascii="Times New Roman" w:hAnsi="Times New Roman"/>
          <w:sz w:val="22"/>
          <w:szCs w:val="22"/>
        </w:rPr>
        <w:t>/</w:t>
      </w:r>
      <w:r w:rsidRPr="00C45747">
        <w:rPr>
          <w:rFonts w:ascii="Times New Roman" w:hAnsi="Times New Roman"/>
          <w:sz w:val="22"/>
          <w:szCs w:val="22"/>
        </w:rPr>
        <w:t>PE</w:t>
      </w:r>
      <w:r w:rsidR="00310FFA">
        <w:rPr>
          <w:rFonts w:ascii="Times New Roman" w:hAnsi="Times New Roman"/>
          <w:sz w:val="22"/>
          <w:szCs w:val="22"/>
        </w:rPr>
        <w:t>/AL</w:t>
      </w:r>
      <w:r w:rsidR="00097F5E">
        <w:rPr>
          <w:rFonts w:ascii="Times New Roman" w:hAnsi="Times New Roman"/>
          <w:sz w:val="22"/>
          <w:szCs w:val="22"/>
        </w:rPr>
        <w:t>U</w:t>
      </w:r>
      <w:r w:rsidR="00310FFA">
        <w:rPr>
          <w:rFonts w:ascii="Times New Roman" w:hAnsi="Times New Roman"/>
          <w:sz w:val="22"/>
          <w:szCs w:val="22"/>
        </w:rPr>
        <w:t>/</w:t>
      </w:r>
      <w:r w:rsidRPr="00C45747">
        <w:rPr>
          <w:rFonts w:ascii="Times New Roman" w:hAnsi="Times New Roman"/>
          <w:sz w:val="22"/>
          <w:szCs w:val="22"/>
        </w:rPr>
        <w:t>kopolymér</w:t>
      </w:r>
      <w:r w:rsidR="00310FFA">
        <w:rPr>
          <w:rFonts w:ascii="Times New Roman" w:hAnsi="Times New Roman"/>
          <w:sz w:val="22"/>
          <w:szCs w:val="22"/>
        </w:rPr>
        <w:t xml:space="preserve"> etylénu s kyselinou metakrylovou</w:t>
      </w:r>
      <w:r w:rsidRPr="00C45747">
        <w:rPr>
          <w:rFonts w:ascii="Times New Roman" w:hAnsi="Times New Roman"/>
          <w:sz w:val="22"/>
          <w:szCs w:val="22"/>
        </w:rPr>
        <w:t>) obsahujúce 8, 20, 40 tabliet, papierová škatuľka.</w:t>
      </w:r>
    </w:p>
    <w:p w14:paraId="6FE82310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Na trh nemusia byť uvedené</w:t>
      </w:r>
      <w:r w:rsidRPr="00C45747">
        <w:rPr>
          <w:rFonts w:ascii="Times New Roman" w:hAnsi="Times New Roman"/>
          <w:noProof/>
          <w:sz w:val="22"/>
          <w:szCs w:val="22"/>
        </w:rPr>
        <w:t xml:space="preserve"> </w:t>
      </w:r>
      <w:r w:rsidRPr="00C45747">
        <w:rPr>
          <w:rFonts w:ascii="Times New Roman" w:hAnsi="Times New Roman"/>
          <w:sz w:val="22"/>
          <w:szCs w:val="22"/>
        </w:rPr>
        <w:t>všetky veľkosti balenia.</w:t>
      </w:r>
    </w:p>
    <w:p w14:paraId="379620B0" w14:textId="77777777" w:rsidR="001643CD" w:rsidRPr="00C45747" w:rsidRDefault="001643CD" w:rsidP="006C46CB">
      <w:pPr>
        <w:pStyle w:val="Zkladntext"/>
        <w:rPr>
          <w:rFonts w:ascii="Times New Roman" w:hAnsi="Times New Roman"/>
          <w:sz w:val="22"/>
          <w:szCs w:val="22"/>
        </w:rPr>
      </w:pPr>
    </w:p>
    <w:p w14:paraId="1570CDCA" w14:textId="77777777" w:rsidR="001643CD" w:rsidRPr="00C45747" w:rsidRDefault="001643CD" w:rsidP="006C46CB">
      <w:pPr>
        <w:rPr>
          <w:rFonts w:ascii="Times New Roman" w:hAnsi="Times New Roman"/>
          <w:b/>
          <w:bCs/>
          <w:noProof/>
          <w:sz w:val="22"/>
          <w:szCs w:val="22"/>
          <w:lang w:val="pl-PL"/>
        </w:rPr>
      </w:pPr>
      <w:r w:rsidRPr="00C45747">
        <w:rPr>
          <w:rFonts w:ascii="Times New Roman" w:hAnsi="Times New Roman"/>
          <w:b/>
          <w:noProof/>
          <w:sz w:val="22"/>
          <w:szCs w:val="22"/>
        </w:rPr>
        <w:t>6.6</w:t>
      </w:r>
      <w:r w:rsidRPr="00C45747">
        <w:rPr>
          <w:rFonts w:ascii="Times New Roman" w:hAnsi="Times New Roman"/>
          <w:b/>
          <w:noProof/>
          <w:sz w:val="22"/>
          <w:szCs w:val="22"/>
        </w:rPr>
        <w:tab/>
      </w:r>
      <w:r w:rsidRPr="00C45747">
        <w:rPr>
          <w:rFonts w:ascii="Times New Roman" w:hAnsi="Times New Roman"/>
          <w:b/>
          <w:bCs/>
          <w:noProof/>
          <w:sz w:val="22"/>
          <w:szCs w:val="22"/>
          <w:lang w:val="pl-PL"/>
        </w:rPr>
        <w:t>Špeciálne opatrenia na likvidáciu a iné zaobchádzanie s liekom</w:t>
      </w:r>
    </w:p>
    <w:p w14:paraId="23938DA9" w14:textId="77777777" w:rsidR="001643CD" w:rsidRPr="00C45747" w:rsidRDefault="001643CD" w:rsidP="006C46CB">
      <w:pPr>
        <w:pStyle w:val="Zkladntext2"/>
        <w:jc w:val="left"/>
        <w:rPr>
          <w:rFonts w:ascii="Times New Roman" w:hAnsi="Times New Roman"/>
          <w:sz w:val="22"/>
          <w:szCs w:val="22"/>
        </w:rPr>
      </w:pPr>
    </w:p>
    <w:p w14:paraId="6EAE469C" w14:textId="77777777" w:rsidR="001643CD" w:rsidRPr="00C45747" w:rsidRDefault="001643CD" w:rsidP="006C46CB">
      <w:pPr>
        <w:pStyle w:val="Zkladntext2"/>
        <w:jc w:val="left"/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sz w:val="22"/>
          <w:szCs w:val="22"/>
        </w:rPr>
        <w:t>Žiadne zvláštne požiadavky.</w:t>
      </w:r>
    </w:p>
    <w:p w14:paraId="2ED7D40C" w14:textId="77777777" w:rsidR="001643CD" w:rsidRPr="00C45747" w:rsidRDefault="001643CD" w:rsidP="006C46CB">
      <w:pPr>
        <w:pStyle w:val="Zkladntext"/>
        <w:rPr>
          <w:rFonts w:ascii="Times New Roman" w:hAnsi="Times New Roman"/>
          <w:sz w:val="22"/>
          <w:szCs w:val="22"/>
        </w:rPr>
      </w:pPr>
    </w:p>
    <w:p w14:paraId="28EE9020" w14:textId="77777777" w:rsidR="001643CD" w:rsidRPr="009A2197" w:rsidRDefault="001643CD" w:rsidP="006C46CB">
      <w:pPr>
        <w:pStyle w:val="Zkladntext"/>
        <w:rPr>
          <w:rFonts w:ascii="Times New Roman" w:hAnsi="Times New Roman"/>
          <w:b/>
          <w:sz w:val="22"/>
          <w:szCs w:val="22"/>
        </w:rPr>
      </w:pPr>
    </w:p>
    <w:p w14:paraId="631BE534" w14:textId="77777777" w:rsidR="001643CD" w:rsidRPr="009A2197" w:rsidRDefault="001643CD" w:rsidP="006C46CB">
      <w:pPr>
        <w:pStyle w:val="Zkladntext"/>
        <w:rPr>
          <w:rFonts w:ascii="Times New Roman" w:hAnsi="Times New Roman"/>
          <w:b/>
          <w:caps/>
          <w:sz w:val="22"/>
          <w:szCs w:val="22"/>
        </w:rPr>
      </w:pPr>
      <w:r w:rsidRPr="009A2197">
        <w:rPr>
          <w:rFonts w:ascii="Times New Roman" w:hAnsi="Times New Roman"/>
          <w:b/>
          <w:caps/>
          <w:sz w:val="22"/>
          <w:szCs w:val="22"/>
        </w:rPr>
        <w:t>7.</w:t>
      </w:r>
      <w:r w:rsidRPr="009A2197">
        <w:rPr>
          <w:rFonts w:ascii="Times New Roman" w:hAnsi="Times New Roman"/>
          <w:b/>
          <w:caps/>
          <w:sz w:val="22"/>
          <w:szCs w:val="22"/>
        </w:rPr>
        <w:tab/>
        <w:t>Držiteľ rozhodnutia o registrácii</w:t>
      </w:r>
    </w:p>
    <w:p w14:paraId="4034E3F7" w14:textId="77777777" w:rsidR="001643CD" w:rsidRPr="00C45747" w:rsidRDefault="001643CD" w:rsidP="006C46CB">
      <w:pPr>
        <w:pStyle w:val="Zkladntext"/>
        <w:rPr>
          <w:rFonts w:ascii="Times New Roman" w:hAnsi="Times New Roman"/>
          <w:b/>
          <w:sz w:val="22"/>
          <w:szCs w:val="22"/>
        </w:rPr>
      </w:pPr>
    </w:p>
    <w:p w14:paraId="481A6009" w14:textId="77777777" w:rsidR="001643CD" w:rsidRPr="00C45747" w:rsidRDefault="001643CD" w:rsidP="006C46CB">
      <w:pPr>
        <w:rPr>
          <w:rFonts w:ascii="Times New Roman" w:hAnsi="Times New Roman"/>
          <w:color w:val="000000"/>
          <w:sz w:val="22"/>
          <w:szCs w:val="22"/>
        </w:rPr>
      </w:pPr>
      <w:r w:rsidRPr="00C45747">
        <w:rPr>
          <w:rFonts w:ascii="Times New Roman" w:hAnsi="Times New Roman"/>
          <w:color w:val="000000"/>
          <w:sz w:val="22"/>
          <w:szCs w:val="22"/>
        </w:rPr>
        <w:t>Bayer, spol. s r.o.</w:t>
      </w:r>
    </w:p>
    <w:p w14:paraId="36E302ED" w14:textId="57D8A25F" w:rsidR="001643CD" w:rsidRPr="00C45747" w:rsidRDefault="001643CD" w:rsidP="006C46CB">
      <w:pPr>
        <w:rPr>
          <w:rFonts w:ascii="Times New Roman" w:hAnsi="Times New Roman"/>
          <w:color w:val="000000"/>
          <w:sz w:val="22"/>
          <w:szCs w:val="22"/>
          <w:lang w:val="pt-PT"/>
        </w:rPr>
      </w:pPr>
      <w:r>
        <w:rPr>
          <w:rFonts w:ascii="Times New Roman" w:hAnsi="Times New Roman"/>
          <w:color w:val="000000"/>
          <w:sz w:val="22"/>
          <w:szCs w:val="22"/>
          <w:lang w:val="pt-PT"/>
        </w:rPr>
        <w:t>Karadžičova 2</w:t>
      </w:r>
    </w:p>
    <w:p w14:paraId="3DF406C7" w14:textId="418FEB3A" w:rsidR="001643CD" w:rsidRPr="00C45747" w:rsidRDefault="001643CD" w:rsidP="006C46CB">
      <w:pPr>
        <w:rPr>
          <w:rFonts w:ascii="Times New Roman" w:hAnsi="Times New Roman"/>
          <w:color w:val="000000"/>
          <w:sz w:val="22"/>
          <w:szCs w:val="22"/>
          <w:lang w:val="sv-SE"/>
        </w:rPr>
      </w:pPr>
      <w:r w:rsidRPr="00C45747">
        <w:rPr>
          <w:rFonts w:ascii="Times New Roman" w:hAnsi="Times New Roman"/>
          <w:color w:val="000000"/>
          <w:sz w:val="22"/>
          <w:szCs w:val="22"/>
          <w:lang w:val="sv-SE"/>
        </w:rPr>
        <w:t>8</w:t>
      </w:r>
      <w:r>
        <w:rPr>
          <w:rFonts w:ascii="Times New Roman" w:hAnsi="Times New Roman"/>
          <w:color w:val="000000"/>
          <w:sz w:val="22"/>
          <w:szCs w:val="22"/>
          <w:lang w:val="sv-SE"/>
        </w:rPr>
        <w:t>1</w:t>
      </w:r>
      <w:r w:rsidRPr="00C45747">
        <w:rPr>
          <w:rFonts w:ascii="Times New Roman" w:hAnsi="Times New Roman"/>
          <w:color w:val="000000"/>
          <w:sz w:val="22"/>
          <w:szCs w:val="22"/>
          <w:lang w:val="sv-SE"/>
        </w:rPr>
        <w:t>1 0</w:t>
      </w:r>
      <w:r>
        <w:rPr>
          <w:rFonts w:ascii="Times New Roman" w:hAnsi="Times New Roman"/>
          <w:color w:val="000000"/>
          <w:sz w:val="22"/>
          <w:szCs w:val="22"/>
          <w:lang w:val="sv-SE"/>
        </w:rPr>
        <w:t>9</w:t>
      </w:r>
      <w:r w:rsidRPr="00C45747">
        <w:rPr>
          <w:rFonts w:ascii="Times New Roman" w:hAnsi="Times New Roman"/>
          <w:color w:val="000000"/>
          <w:sz w:val="22"/>
          <w:szCs w:val="22"/>
          <w:lang w:val="sv-SE"/>
        </w:rPr>
        <w:t xml:space="preserve"> Bratislava</w:t>
      </w:r>
    </w:p>
    <w:p w14:paraId="55B4E179" w14:textId="77777777" w:rsidR="001643CD" w:rsidRPr="00C45747" w:rsidRDefault="001643CD" w:rsidP="006C46CB">
      <w:pPr>
        <w:rPr>
          <w:rFonts w:ascii="Times New Roman" w:hAnsi="Times New Roman"/>
          <w:color w:val="000000"/>
          <w:sz w:val="22"/>
          <w:szCs w:val="22"/>
          <w:lang w:val="pt-PT"/>
        </w:rPr>
      </w:pPr>
      <w:r w:rsidRPr="00C45747">
        <w:rPr>
          <w:rFonts w:ascii="Times New Roman" w:hAnsi="Times New Roman"/>
          <w:color w:val="000000"/>
          <w:sz w:val="22"/>
          <w:szCs w:val="22"/>
          <w:lang w:val="sv-SE"/>
        </w:rPr>
        <w:t>Slovenská republika</w:t>
      </w:r>
      <w:r w:rsidRPr="00C45747">
        <w:rPr>
          <w:rFonts w:ascii="Times New Roman" w:hAnsi="Times New Roman"/>
          <w:color w:val="000000"/>
          <w:sz w:val="22"/>
          <w:szCs w:val="22"/>
          <w:lang w:val="pt-PT"/>
        </w:rPr>
        <w:t xml:space="preserve"> </w:t>
      </w:r>
    </w:p>
    <w:p w14:paraId="173ACF5A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</w:p>
    <w:p w14:paraId="463174DB" w14:textId="77777777" w:rsidR="001643CD" w:rsidRPr="00C45747" w:rsidRDefault="001643CD" w:rsidP="006C46CB">
      <w:pPr>
        <w:rPr>
          <w:rFonts w:ascii="Times New Roman" w:hAnsi="Times New Roman"/>
          <w:b/>
          <w:sz w:val="22"/>
          <w:szCs w:val="22"/>
        </w:rPr>
      </w:pPr>
    </w:p>
    <w:p w14:paraId="725CC222" w14:textId="77777777" w:rsidR="001643CD" w:rsidRPr="00C45747" w:rsidRDefault="001643CD" w:rsidP="006C46CB">
      <w:pPr>
        <w:rPr>
          <w:rFonts w:ascii="Times New Roman" w:hAnsi="Times New Roman"/>
          <w:b/>
          <w:caps/>
          <w:sz w:val="22"/>
          <w:szCs w:val="22"/>
          <w:u w:val="single"/>
        </w:rPr>
      </w:pPr>
      <w:r w:rsidRPr="00C45747">
        <w:rPr>
          <w:rFonts w:ascii="Times New Roman" w:hAnsi="Times New Roman"/>
          <w:b/>
          <w:caps/>
          <w:sz w:val="22"/>
          <w:szCs w:val="22"/>
        </w:rPr>
        <w:t>8.</w:t>
      </w:r>
      <w:r w:rsidRPr="00C45747">
        <w:rPr>
          <w:rFonts w:ascii="Times New Roman" w:hAnsi="Times New Roman"/>
          <w:b/>
          <w:caps/>
          <w:sz w:val="22"/>
          <w:szCs w:val="22"/>
        </w:rPr>
        <w:tab/>
        <w:t>Registračné číslo</w:t>
      </w:r>
    </w:p>
    <w:p w14:paraId="6B90849D" w14:textId="77777777" w:rsidR="001643CD" w:rsidRPr="008D6648" w:rsidRDefault="001643CD" w:rsidP="006C46CB">
      <w:pPr>
        <w:rPr>
          <w:rFonts w:ascii="Times New Roman" w:hAnsi="Times New Roman"/>
          <w:caps/>
          <w:sz w:val="22"/>
          <w:szCs w:val="22"/>
        </w:rPr>
      </w:pPr>
      <w:bookmarkStart w:id="2" w:name="_GoBack"/>
    </w:p>
    <w:p w14:paraId="055664A7" w14:textId="6E383C2C" w:rsidR="001643CD" w:rsidRPr="008D6648" w:rsidRDefault="008D6648" w:rsidP="006C46CB">
      <w:pPr>
        <w:rPr>
          <w:rFonts w:ascii="Times New Roman" w:hAnsi="Times New Roman"/>
          <w:caps/>
          <w:sz w:val="22"/>
          <w:szCs w:val="22"/>
        </w:rPr>
      </w:pPr>
      <w:r w:rsidRPr="008D6648">
        <w:rPr>
          <w:rFonts w:ascii="Times New Roman" w:hAnsi="Times New Roman"/>
          <w:caps/>
          <w:sz w:val="22"/>
          <w:szCs w:val="22"/>
        </w:rPr>
        <w:t>07/0067/18-S</w:t>
      </w:r>
    </w:p>
    <w:bookmarkEnd w:id="2"/>
    <w:p w14:paraId="7E694D8E" w14:textId="77777777" w:rsidR="008D6648" w:rsidRPr="00C45747" w:rsidRDefault="008D6648" w:rsidP="006C46CB">
      <w:pPr>
        <w:rPr>
          <w:rFonts w:ascii="Times New Roman" w:hAnsi="Times New Roman"/>
          <w:b/>
          <w:caps/>
          <w:sz w:val="22"/>
          <w:szCs w:val="22"/>
        </w:rPr>
      </w:pPr>
    </w:p>
    <w:p w14:paraId="5E600C6B" w14:textId="77777777" w:rsidR="001643CD" w:rsidRPr="00C45747" w:rsidRDefault="001643CD" w:rsidP="006C46CB">
      <w:pPr>
        <w:rPr>
          <w:rFonts w:ascii="Times New Roman" w:hAnsi="Times New Roman"/>
          <w:b/>
          <w:caps/>
          <w:sz w:val="22"/>
          <w:szCs w:val="22"/>
        </w:rPr>
      </w:pPr>
    </w:p>
    <w:p w14:paraId="25C95617" w14:textId="77777777" w:rsidR="001643CD" w:rsidRPr="00C45747" w:rsidRDefault="001643CD" w:rsidP="006C46CB">
      <w:pPr>
        <w:rPr>
          <w:rFonts w:ascii="Times New Roman" w:hAnsi="Times New Roman"/>
          <w:b/>
          <w:caps/>
          <w:sz w:val="22"/>
          <w:szCs w:val="22"/>
        </w:rPr>
      </w:pPr>
      <w:r w:rsidRPr="00C45747">
        <w:rPr>
          <w:rFonts w:ascii="Times New Roman" w:hAnsi="Times New Roman"/>
          <w:b/>
          <w:caps/>
          <w:sz w:val="22"/>
          <w:szCs w:val="22"/>
        </w:rPr>
        <w:t>9.</w:t>
      </w:r>
      <w:r w:rsidRPr="00C45747">
        <w:rPr>
          <w:rFonts w:ascii="Times New Roman" w:hAnsi="Times New Roman"/>
          <w:b/>
          <w:caps/>
          <w:sz w:val="22"/>
          <w:szCs w:val="22"/>
        </w:rPr>
        <w:tab/>
        <w:t>Dátum registrácie/Dátum predĺženia registrácie</w:t>
      </w:r>
    </w:p>
    <w:p w14:paraId="37F87571" w14:textId="77777777" w:rsidR="001643CD" w:rsidRPr="00C45747" w:rsidRDefault="001643CD" w:rsidP="006C46CB">
      <w:pPr>
        <w:pStyle w:val="Zkladntext2"/>
        <w:jc w:val="left"/>
        <w:rPr>
          <w:rFonts w:ascii="Times New Roman" w:hAnsi="Times New Roman"/>
          <w:caps/>
          <w:sz w:val="22"/>
          <w:szCs w:val="22"/>
        </w:rPr>
      </w:pPr>
    </w:p>
    <w:p w14:paraId="51BE35A9" w14:textId="6BAB4D32" w:rsidR="001643CD" w:rsidRPr="00C45747" w:rsidRDefault="001643CD" w:rsidP="006C46CB">
      <w:pPr>
        <w:rPr>
          <w:rFonts w:ascii="Times New Roman" w:hAnsi="Times New Roman"/>
          <w:noProof/>
          <w:sz w:val="22"/>
          <w:szCs w:val="22"/>
        </w:rPr>
      </w:pPr>
      <w:r w:rsidRPr="00C45747">
        <w:rPr>
          <w:rFonts w:ascii="Times New Roman" w:hAnsi="Times New Roman"/>
          <w:noProof/>
          <w:sz w:val="22"/>
          <w:szCs w:val="22"/>
        </w:rPr>
        <w:t xml:space="preserve">Dátum prvej registrácie: </w:t>
      </w:r>
    </w:p>
    <w:p w14:paraId="091D646C" w14:textId="25BD55E0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  <w:r w:rsidRPr="00C45747">
        <w:rPr>
          <w:rFonts w:ascii="Times New Roman" w:hAnsi="Times New Roman"/>
          <w:noProof/>
          <w:sz w:val="22"/>
          <w:szCs w:val="22"/>
        </w:rPr>
        <w:t xml:space="preserve">Dátum posledného predĺženia registrácie: </w:t>
      </w:r>
    </w:p>
    <w:p w14:paraId="47A23669" w14:textId="77777777" w:rsidR="001643CD" w:rsidRPr="00C45747" w:rsidRDefault="001643CD" w:rsidP="006C46CB">
      <w:pPr>
        <w:rPr>
          <w:rFonts w:ascii="Times New Roman" w:hAnsi="Times New Roman"/>
          <w:b/>
          <w:caps/>
          <w:sz w:val="22"/>
          <w:szCs w:val="22"/>
        </w:rPr>
      </w:pPr>
    </w:p>
    <w:p w14:paraId="350E364F" w14:textId="77777777" w:rsidR="001643CD" w:rsidRPr="00C45747" w:rsidRDefault="001643CD" w:rsidP="006C46CB">
      <w:pPr>
        <w:rPr>
          <w:rFonts w:ascii="Times New Roman" w:hAnsi="Times New Roman"/>
          <w:b/>
          <w:caps/>
          <w:sz w:val="22"/>
          <w:szCs w:val="22"/>
        </w:rPr>
      </w:pPr>
    </w:p>
    <w:p w14:paraId="7D463835" w14:textId="77777777" w:rsidR="001643CD" w:rsidRPr="00C45747" w:rsidRDefault="001643CD" w:rsidP="006C46CB">
      <w:pPr>
        <w:rPr>
          <w:rFonts w:ascii="Times New Roman" w:hAnsi="Times New Roman"/>
          <w:b/>
          <w:caps/>
          <w:sz w:val="22"/>
          <w:szCs w:val="22"/>
        </w:rPr>
      </w:pPr>
      <w:r w:rsidRPr="00C45747">
        <w:rPr>
          <w:rFonts w:ascii="Times New Roman" w:hAnsi="Times New Roman"/>
          <w:b/>
          <w:caps/>
          <w:sz w:val="22"/>
          <w:szCs w:val="22"/>
        </w:rPr>
        <w:lastRenderedPageBreak/>
        <w:t>10.</w:t>
      </w:r>
      <w:r w:rsidRPr="00C45747">
        <w:rPr>
          <w:rFonts w:ascii="Times New Roman" w:hAnsi="Times New Roman"/>
          <w:b/>
          <w:caps/>
          <w:sz w:val="22"/>
          <w:szCs w:val="22"/>
        </w:rPr>
        <w:tab/>
        <w:t>Dátum poslednej revízie textu</w:t>
      </w:r>
    </w:p>
    <w:p w14:paraId="09E73C59" w14:textId="77777777" w:rsidR="001643CD" w:rsidRPr="00C45747" w:rsidRDefault="001643CD" w:rsidP="006C46CB">
      <w:pPr>
        <w:rPr>
          <w:rFonts w:ascii="Times New Roman" w:hAnsi="Times New Roman"/>
          <w:sz w:val="22"/>
          <w:szCs w:val="22"/>
        </w:rPr>
      </w:pPr>
    </w:p>
    <w:p w14:paraId="12D137E0" w14:textId="4EE1D95A" w:rsidR="001643CD" w:rsidRPr="00BE7E11" w:rsidRDefault="00BE7E11" w:rsidP="006C46CB">
      <w:pPr>
        <w:rPr>
          <w:rFonts w:ascii="Times New Roman" w:hAnsi="Times New Roman"/>
          <w:caps/>
          <w:sz w:val="22"/>
          <w:szCs w:val="22"/>
        </w:rPr>
      </w:pPr>
      <w:r w:rsidRPr="00BE7E11">
        <w:rPr>
          <w:rFonts w:ascii="Times New Roman" w:hAnsi="Times New Roman"/>
          <w:caps/>
          <w:sz w:val="22"/>
          <w:szCs w:val="22"/>
        </w:rPr>
        <w:t>02/2018</w:t>
      </w:r>
    </w:p>
    <w:sectPr w:rsidR="001643CD" w:rsidRPr="00BE7E11" w:rsidSect="002F555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91524" w14:textId="77777777" w:rsidR="006A0F01" w:rsidRDefault="006A0F01">
      <w:r>
        <w:separator/>
      </w:r>
    </w:p>
  </w:endnote>
  <w:endnote w:type="continuationSeparator" w:id="0">
    <w:p w14:paraId="27DB314A" w14:textId="77777777" w:rsidR="006A0F01" w:rsidRDefault="006A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692AD" w14:textId="77777777" w:rsidR="00FE724D" w:rsidRDefault="00FE724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935F879" w14:textId="77777777" w:rsidR="00FE724D" w:rsidRDefault="00FE724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ABAC0" w14:textId="77777777" w:rsidR="00FE724D" w:rsidRPr="00C45747" w:rsidRDefault="00FE724D" w:rsidP="00C45747">
    <w:pPr>
      <w:pStyle w:val="Pta"/>
      <w:framePr w:wrap="around" w:vAnchor="text" w:hAnchor="margin" w:xAlign="right" w:y="1"/>
      <w:jc w:val="center"/>
      <w:rPr>
        <w:rStyle w:val="slostrany"/>
        <w:rFonts w:ascii="Times New Roman" w:hAnsi="Times New Roman"/>
        <w:sz w:val="18"/>
        <w:szCs w:val="18"/>
      </w:rPr>
    </w:pPr>
    <w:r w:rsidRPr="00C45747">
      <w:rPr>
        <w:rStyle w:val="slostrany"/>
        <w:rFonts w:ascii="Times New Roman" w:hAnsi="Times New Roman"/>
        <w:sz w:val="18"/>
        <w:szCs w:val="18"/>
      </w:rPr>
      <w:fldChar w:fldCharType="begin"/>
    </w:r>
    <w:r w:rsidRPr="00C4574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C45747">
      <w:rPr>
        <w:rStyle w:val="slostrany"/>
        <w:rFonts w:ascii="Times New Roman" w:hAnsi="Times New Roman"/>
        <w:sz w:val="18"/>
        <w:szCs w:val="18"/>
      </w:rPr>
      <w:fldChar w:fldCharType="separate"/>
    </w:r>
    <w:r w:rsidR="008D6648">
      <w:rPr>
        <w:rStyle w:val="slostrany"/>
        <w:rFonts w:ascii="Times New Roman" w:hAnsi="Times New Roman"/>
        <w:noProof/>
        <w:sz w:val="18"/>
        <w:szCs w:val="18"/>
      </w:rPr>
      <w:t>1</w:t>
    </w:r>
    <w:r w:rsidRPr="00C45747">
      <w:rPr>
        <w:rStyle w:val="slostrany"/>
        <w:rFonts w:ascii="Times New Roman" w:hAnsi="Times New Roman"/>
        <w:sz w:val="18"/>
        <w:szCs w:val="18"/>
      </w:rPr>
      <w:fldChar w:fldCharType="end"/>
    </w:r>
  </w:p>
  <w:p w14:paraId="642AFE7C" w14:textId="77777777" w:rsidR="00FE724D" w:rsidRDefault="00FE724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291CC" w14:textId="77777777" w:rsidR="006A0F01" w:rsidRDefault="006A0F01">
      <w:r>
        <w:separator/>
      </w:r>
    </w:p>
  </w:footnote>
  <w:footnote w:type="continuationSeparator" w:id="0">
    <w:p w14:paraId="2B1299B7" w14:textId="77777777" w:rsidR="006A0F01" w:rsidRDefault="006A0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6A215" w14:textId="77777777" w:rsidR="00FE724D" w:rsidRDefault="00FE724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0594CCBC" w14:textId="77777777" w:rsidR="00FE724D" w:rsidRDefault="00FE724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C40B4" w14:textId="5D396AFD" w:rsidR="004815E7" w:rsidRPr="004815E7" w:rsidRDefault="004815E7" w:rsidP="004815E7">
    <w:pPr>
      <w:pStyle w:val="Hlavika"/>
      <w:rPr>
        <w:rFonts w:ascii="Times New Roman" w:hAnsi="Times New Roman"/>
        <w:sz w:val="18"/>
        <w:szCs w:val="18"/>
      </w:rPr>
    </w:pPr>
    <w:r w:rsidRPr="004815E7">
      <w:rPr>
        <w:rFonts w:ascii="Times New Roman" w:hAnsi="Times New Roman"/>
        <w:sz w:val="18"/>
        <w:szCs w:val="18"/>
      </w:rPr>
      <w:t>Schválený text k rozhodnutiu o registrácii ev. č.: 2015/01824-REG</w:t>
    </w:r>
  </w:p>
  <w:p w14:paraId="15DEBD52" w14:textId="3A6559F9" w:rsidR="004815E7" w:rsidRDefault="004815E7">
    <w:pPr>
      <w:pStyle w:val="Hlavika"/>
    </w:pPr>
  </w:p>
  <w:p w14:paraId="7614C32D" w14:textId="77777777" w:rsidR="004815E7" w:rsidRDefault="004815E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7D7D"/>
    <w:multiLevelType w:val="hybridMultilevel"/>
    <w:tmpl w:val="DE946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254BD"/>
    <w:multiLevelType w:val="hybridMultilevel"/>
    <w:tmpl w:val="33F25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83E83"/>
    <w:multiLevelType w:val="hybridMultilevel"/>
    <w:tmpl w:val="AD784DE4"/>
    <w:lvl w:ilvl="0" w:tplc="916C6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F27C9"/>
    <w:multiLevelType w:val="hybridMultilevel"/>
    <w:tmpl w:val="10C6B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9413DA"/>
    <w:multiLevelType w:val="hybridMultilevel"/>
    <w:tmpl w:val="571089AC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31C465B"/>
    <w:multiLevelType w:val="hybridMultilevel"/>
    <w:tmpl w:val="8F2043EA"/>
    <w:lvl w:ilvl="0" w:tplc="44C6B9B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BEA"/>
    <w:rsid w:val="00005314"/>
    <w:rsid w:val="00010D34"/>
    <w:rsid w:val="00013D6D"/>
    <w:rsid w:val="00016B95"/>
    <w:rsid w:val="00023D6F"/>
    <w:rsid w:val="000318A8"/>
    <w:rsid w:val="0004634C"/>
    <w:rsid w:val="00051739"/>
    <w:rsid w:val="0005334B"/>
    <w:rsid w:val="0005365B"/>
    <w:rsid w:val="000544E7"/>
    <w:rsid w:val="00057290"/>
    <w:rsid w:val="00072EF4"/>
    <w:rsid w:val="0008020E"/>
    <w:rsid w:val="00083FB1"/>
    <w:rsid w:val="000841B9"/>
    <w:rsid w:val="00091078"/>
    <w:rsid w:val="0009319D"/>
    <w:rsid w:val="0009745F"/>
    <w:rsid w:val="00097F5E"/>
    <w:rsid w:val="000A352D"/>
    <w:rsid w:val="000A59A3"/>
    <w:rsid w:val="000A79E8"/>
    <w:rsid w:val="000A7DF5"/>
    <w:rsid w:val="000B44B7"/>
    <w:rsid w:val="000B5B1D"/>
    <w:rsid w:val="000B7528"/>
    <w:rsid w:val="000B76FC"/>
    <w:rsid w:val="000B7F4B"/>
    <w:rsid w:val="000C0EBD"/>
    <w:rsid w:val="000D05F6"/>
    <w:rsid w:val="000D1B2D"/>
    <w:rsid w:val="000D4397"/>
    <w:rsid w:val="000D5685"/>
    <w:rsid w:val="000E77CB"/>
    <w:rsid w:val="000F1233"/>
    <w:rsid w:val="000F46AE"/>
    <w:rsid w:val="000F66A6"/>
    <w:rsid w:val="001005E9"/>
    <w:rsid w:val="00101A7B"/>
    <w:rsid w:val="00110CB1"/>
    <w:rsid w:val="0011705B"/>
    <w:rsid w:val="001224E3"/>
    <w:rsid w:val="001250C8"/>
    <w:rsid w:val="0012775F"/>
    <w:rsid w:val="0013254A"/>
    <w:rsid w:val="00134452"/>
    <w:rsid w:val="00144588"/>
    <w:rsid w:val="00144DA4"/>
    <w:rsid w:val="00154D42"/>
    <w:rsid w:val="001552A2"/>
    <w:rsid w:val="0015778A"/>
    <w:rsid w:val="001643CD"/>
    <w:rsid w:val="001916E4"/>
    <w:rsid w:val="0019518F"/>
    <w:rsid w:val="001A0301"/>
    <w:rsid w:val="001A27D6"/>
    <w:rsid w:val="001A66E7"/>
    <w:rsid w:val="001A7EC0"/>
    <w:rsid w:val="001B3E2F"/>
    <w:rsid w:val="001D1BFD"/>
    <w:rsid w:val="001D3BA8"/>
    <w:rsid w:val="001D4387"/>
    <w:rsid w:val="001E4BC0"/>
    <w:rsid w:val="001F2290"/>
    <w:rsid w:val="002002CE"/>
    <w:rsid w:val="00224F42"/>
    <w:rsid w:val="00227115"/>
    <w:rsid w:val="00227290"/>
    <w:rsid w:val="00234486"/>
    <w:rsid w:val="002352F1"/>
    <w:rsid w:val="00236BC6"/>
    <w:rsid w:val="0024043A"/>
    <w:rsid w:val="00242479"/>
    <w:rsid w:val="00245D0C"/>
    <w:rsid w:val="00245E09"/>
    <w:rsid w:val="002515C0"/>
    <w:rsid w:val="00266828"/>
    <w:rsid w:val="00285666"/>
    <w:rsid w:val="00285F80"/>
    <w:rsid w:val="0029065E"/>
    <w:rsid w:val="0029189B"/>
    <w:rsid w:val="00297680"/>
    <w:rsid w:val="002A119B"/>
    <w:rsid w:val="002B2401"/>
    <w:rsid w:val="002C0440"/>
    <w:rsid w:val="002C7488"/>
    <w:rsid w:val="002C7630"/>
    <w:rsid w:val="002F5550"/>
    <w:rsid w:val="00301925"/>
    <w:rsid w:val="00310068"/>
    <w:rsid w:val="00310FFA"/>
    <w:rsid w:val="003126A9"/>
    <w:rsid w:val="00321AF4"/>
    <w:rsid w:val="003341B2"/>
    <w:rsid w:val="003458A2"/>
    <w:rsid w:val="00345F7A"/>
    <w:rsid w:val="00350FE3"/>
    <w:rsid w:val="00351B27"/>
    <w:rsid w:val="0035713A"/>
    <w:rsid w:val="003735BB"/>
    <w:rsid w:val="00381A79"/>
    <w:rsid w:val="00385C7C"/>
    <w:rsid w:val="0039133F"/>
    <w:rsid w:val="00392F6E"/>
    <w:rsid w:val="00393344"/>
    <w:rsid w:val="003953A1"/>
    <w:rsid w:val="003A258B"/>
    <w:rsid w:val="003A5A22"/>
    <w:rsid w:val="003B2AB3"/>
    <w:rsid w:val="003B2F04"/>
    <w:rsid w:val="003B41CA"/>
    <w:rsid w:val="003C1BBD"/>
    <w:rsid w:val="003C210E"/>
    <w:rsid w:val="003C22ED"/>
    <w:rsid w:val="003C3A8C"/>
    <w:rsid w:val="003C7924"/>
    <w:rsid w:val="003D14AC"/>
    <w:rsid w:val="003D44DC"/>
    <w:rsid w:val="003E3BBB"/>
    <w:rsid w:val="003F7641"/>
    <w:rsid w:val="004001E8"/>
    <w:rsid w:val="00405941"/>
    <w:rsid w:val="00427885"/>
    <w:rsid w:val="004344E8"/>
    <w:rsid w:val="00436100"/>
    <w:rsid w:val="004470C7"/>
    <w:rsid w:val="0045063A"/>
    <w:rsid w:val="00452CDA"/>
    <w:rsid w:val="004577F2"/>
    <w:rsid w:val="0046153A"/>
    <w:rsid w:val="0046574F"/>
    <w:rsid w:val="00473F28"/>
    <w:rsid w:val="00477512"/>
    <w:rsid w:val="004815E7"/>
    <w:rsid w:val="00485D02"/>
    <w:rsid w:val="00490AE0"/>
    <w:rsid w:val="004925C7"/>
    <w:rsid w:val="004A02B1"/>
    <w:rsid w:val="004A50CF"/>
    <w:rsid w:val="004A6F3E"/>
    <w:rsid w:val="004B22AE"/>
    <w:rsid w:val="004B45E6"/>
    <w:rsid w:val="004D0F17"/>
    <w:rsid w:val="004D7810"/>
    <w:rsid w:val="004E014E"/>
    <w:rsid w:val="004F0F38"/>
    <w:rsid w:val="004F330A"/>
    <w:rsid w:val="00504BFC"/>
    <w:rsid w:val="0050664E"/>
    <w:rsid w:val="00514314"/>
    <w:rsid w:val="00515717"/>
    <w:rsid w:val="00517F37"/>
    <w:rsid w:val="00520BAE"/>
    <w:rsid w:val="00521C85"/>
    <w:rsid w:val="00522464"/>
    <w:rsid w:val="005242EC"/>
    <w:rsid w:val="0052799C"/>
    <w:rsid w:val="00527E71"/>
    <w:rsid w:val="00537284"/>
    <w:rsid w:val="005403B4"/>
    <w:rsid w:val="00540DCE"/>
    <w:rsid w:val="00546B44"/>
    <w:rsid w:val="005520E8"/>
    <w:rsid w:val="0055613D"/>
    <w:rsid w:val="005654EE"/>
    <w:rsid w:val="00566306"/>
    <w:rsid w:val="0057177D"/>
    <w:rsid w:val="005803FE"/>
    <w:rsid w:val="00586EE6"/>
    <w:rsid w:val="005901F2"/>
    <w:rsid w:val="00592BFE"/>
    <w:rsid w:val="005959CC"/>
    <w:rsid w:val="00596F64"/>
    <w:rsid w:val="005B4679"/>
    <w:rsid w:val="005B50DB"/>
    <w:rsid w:val="005C0BEA"/>
    <w:rsid w:val="005C32D1"/>
    <w:rsid w:val="005C6666"/>
    <w:rsid w:val="005E2EB8"/>
    <w:rsid w:val="005F14F0"/>
    <w:rsid w:val="005F69FF"/>
    <w:rsid w:val="00610B6B"/>
    <w:rsid w:val="006122BB"/>
    <w:rsid w:val="00615095"/>
    <w:rsid w:val="00615823"/>
    <w:rsid w:val="00616E43"/>
    <w:rsid w:val="0062139F"/>
    <w:rsid w:val="0062328F"/>
    <w:rsid w:val="006301F8"/>
    <w:rsid w:val="0063444D"/>
    <w:rsid w:val="00640940"/>
    <w:rsid w:val="00642398"/>
    <w:rsid w:val="006427AC"/>
    <w:rsid w:val="006514F0"/>
    <w:rsid w:val="00655FB7"/>
    <w:rsid w:val="00661F40"/>
    <w:rsid w:val="0066657D"/>
    <w:rsid w:val="00667FF7"/>
    <w:rsid w:val="00671A25"/>
    <w:rsid w:val="00674250"/>
    <w:rsid w:val="006917A8"/>
    <w:rsid w:val="006A0F01"/>
    <w:rsid w:val="006A1F97"/>
    <w:rsid w:val="006A2491"/>
    <w:rsid w:val="006A6F55"/>
    <w:rsid w:val="006B0BA2"/>
    <w:rsid w:val="006B1A4D"/>
    <w:rsid w:val="006B702B"/>
    <w:rsid w:val="006C212F"/>
    <w:rsid w:val="006C46CB"/>
    <w:rsid w:val="006D2994"/>
    <w:rsid w:val="006D3BCA"/>
    <w:rsid w:val="006E4C0A"/>
    <w:rsid w:val="006E5154"/>
    <w:rsid w:val="006F1B6C"/>
    <w:rsid w:val="00706B86"/>
    <w:rsid w:val="0071002D"/>
    <w:rsid w:val="00714DDA"/>
    <w:rsid w:val="0073241E"/>
    <w:rsid w:val="00736CBA"/>
    <w:rsid w:val="00741F5C"/>
    <w:rsid w:val="0074219C"/>
    <w:rsid w:val="00751CA3"/>
    <w:rsid w:val="0075732C"/>
    <w:rsid w:val="00761438"/>
    <w:rsid w:val="00765620"/>
    <w:rsid w:val="007701C8"/>
    <w:rsid w:val="00770CD7"/>
    <w:rsid w:val="00780C91"/>
    <w:rsid w:val="00785405"/>
    <w:rsid w:val="0079222C"/>
    <w:rsid w:val="007A53EE"/>
    <w:rsid w:val="007A729D"/>
    <w:rsid w:val="007B18C4"/>
    <w:rsid w:val="007B1A03"/>
    <w:rsid w:val="007B2BF1"/>
    <w:rsid w:val="007D151E"/>
    <w:rsid w:val="007D4CD6"/>
    <w:rsid w:val="007D635C"/>
    <w:rsid w:val="007E1BC9"/>
    <w:rsid w:val="007F1B16"/>
    <w:rsid w:val="007F777E"/>
    <w:rsid w:val="00803266"/>
    <w:rsid w:val="0080453D"/>
    <w:rsid w:val="00810E1E"/>
    <w:rsid w:val="00811D0B"/>
    <w:rsid w:val="00813707"/>
    <w:rsid w:val="00820A54"/>
    <w:rsid w:val="00827077"/>
    <w:rsid w:val="00830110"/>
    <w:rsid w:val="008309EB"/>
    <w:rsid w:val="0083414E"/>
    <w:rsid w:val="008404AD"/>
    <w:rsid w:val="00842728"/>
    <w:rsid w:val="0084758F"/>
    <w:rsid w:val="0085382B"/>
    <w:rsid w:val="00853AAF"/>
    <w:rsid w:val="00856824"/>
    <w:rsid w:val="00862191"/>
    <w:rsid w:val="0086321D"/>
    <w:rsid w:val="0087657B"/>
    <w:rsid w:val="00883B25"/>
    <w:rsid w:val="00891F62"/>
    <w:rsid w:val="008934E6"/>
    <w:rsid w:val="008A0201"/>
    <w:rsid w:val="008A439A"/>
    <w:rsid w:val="008B1B56"/>
    <w:rsid w:val="008B2876"/>
    <w:rsid w:val="008C3B96"/>
    <w:rsid w:val="008D31D1"/>
    <w:rsid w:val="008D403A"/>
    <w:rsid w:val="008D6648"/>
    <w:rsid w:val="008D671A"/>
    <w:rsid w:val="008E6EAA"/>
    <w:rsid w:val="008E7ED0"/>
    <w:rsid w:val="008F1FFD"/>
    <w:rsid w:val="008F510C"/>
    <w:rsid w:val="00903E71"/>
    <w:rsid w:val="009058D3"/>
    <w:rsid w:val="0092201E"/>
    <w:rsid w:val="009304E3"/>
    <w:rsid w:val="0093325F"/>
    <w:rsid w:val="0094353F"/>
    <w:rsid w:val="00944074"/>
    <w:rsid w:val="00950BFA"/>
    <w:rsid w:val="00950C9F"/>
    <w:rsid w:val="00954483"/>
    <w:rsid w:val="009545D4"/>
    <w:rsid w:val="00960759"/>
    <w:rsid w:val="00961CE4"/>
    <w:rsid w:val="00965841"/>
    <w:rsid w:val="0097695A"/>
    <w:rsid w:val="0098062A"/>
    <w:rsid w:val="00985096"/>
    <w:rsid w:val="00990E06"/>
    <w:rsid w:val="009A0C73"/>
    <w:rsid w:val="009A111C"/>
    <w:rsid w:val="009A2197"/>
    <w:rsid w:val="009A52D3"/>
    <w:rsid w:val="009B3DB0"/>
    <w:rsid w:val="009B6D8F"/>
    <w:rsid w:val="009C7097"/>
    <w:rsid w:val="009D0A42"/>
    <w:rsid w:val="009D79C1"/>
    <w:rsid w:val="009E39B6"/>
    <w:rsid w:val="009E5FB5"/>
    <w:rsid w:val="009F0B97"/>
    <w:rsid w:val="009F616A"/>
    <w:rsid w:val="009F7187"/>
    <w:rsid w:val="00A02576"/>
    <w:rsid w:val="00A169B6"/>
    <w:rsid w:val="00A20913"/>
    <w:rsid w:val="00A27950"/>
    <w:rsid w:val="00A37249"/>
    <w:rsid w:val="00A44E70"/>
    <w:rsid w:val="00A50090"/>
    <w:rsid w:val="00A67979"/>
    <w:rsid w:val="00A71232"/>
    <w:rsid w:val="00A73801"/>
    <w:rsid w:val="00A74328"/>
    <w:rsid w:val="00A76267"/>
    <w:rsid w:val="00A82EB9"/>
    <w:rsid w:val="00A84566"/>
    <w:rsid w:val="00A860C9"/>
    <w:rsid w:val="00A90DA7"/>
    <w:rsid w:val="00A95223"/>
    <w:rsid w:val="00A95360"/>
    <w:rsid w:val="00A960DF"/>
    <w:rsid w:val="00AA3454"/>
    <w:rsid w:val="00AA3776"/>
    <w:rsid w:val="00AA6169"/>
    <w:rsid w:val="00AC6B3B"/>
    <w:rsid w:val="00AD28B9"/>
    <w:rsid w:val="00AD77C2"/>
    <w:rsid w:val="00AD7E7F"/>
    <w:rsid w:val="00AE735B"/>
    <w:rsid w:val="00AF30C4"/>
    <w:rsid w:val="00B014C0"/>
    <w:rsid w:val="00B03646"/>
    <w:rsid w:val="00B05CEB"/>
    <w:rsid w:val="00B103B3"/>
    <w:rsid w:val="00B12B74"/>
    <w:rsid w:val="00B21085"/>
    <w:rsid w:val="00B2463D"/>
    <w:rsid w:val="00B27B99"/>
    <w:rsid w:val="00B31C39"/>
    <w:rsid w:val="00B3661C"/>
    <w:rsid w:val="00B46D47"/>
    <w:rsid w:val="00B47761"/>
    <w:rsid w:val="00B47C2B"/>
    <w:rsid w:val="00B51500"/>
    <w:rsid w:val="00B54ED2"/>
    <w:rsid w:val="00B60BDE"/>
    <w:rsid w:val="00B62FF8"/>
    <w:rsid w:val="00B63B01"/>
    <w:rsid w:val="00B7272D"/>
    <w:rsid w:val="00B7302D"/>
    <w:rsid w:val="00B74046"/>
    <w:rsid w:val="00B750A8"/>
    <w:rsid w:val="00B76760"/>
    <w:rsid w:val="00B80A28"/>
    <w:rsid w:val="00B8572C"/>
    <w:rsid w:val="00B860CA"/>
    <w:rsid w:val="00BA0D99"/>
    <w:rsid w:val="00BA59F6"/>
    <w:rsid w:val="00BB2F1B"/>
    <w:rsid w:val="00BB4537"/>
    <w:rsid w:val="00BC2D2E"/>
    <w:rsid w:val="00BC30D7"/>
    <w:rsid w:val="00BE0396"/>
    <w:rsid w:val="00BE3158"/>
    <w:rsid w:val="00BE7E11"/>
    <w:rsid w:val="00BF4FEE"/>
    <w:rsid w:val="00C12D13"/>
    <w:rsid w:val="00C13193"/>
    <w:rsid w:val="00C17B31"/>
    <w:rsid w:val="00C22BDB"/>
    <w:rsid w:val="00C308DD"/>
    <w:rsid w:val="00C45747"/>
    <w:rsid w:val="00C47045"/>
    <w:rsid w:val="00C53030"/>
    <w:rsid w:val="00C546FB"/>
    <w:rsid w:val="00C54FD2"/>
    <w:rsid w:val="00C559FC"/>
    <w:rsid w:val="00C71AD7"/>
    <w:rsid w:val="00C72A55"/>
    <w:rsid w:val="00C74B04"/>
    <w:rsid w:val="00C80829"/>
    <w:rsid w:val="00C82431"/>
    <w:rsid w:val="00C9334A"/>
    <w:rsid w:val="00C96E46"/>
    <w:rsid w:val="00CA09B2"/>
    <w:rsid w:val="00CA2CA5"/>
    <w:rsid w:val="00CA301B"/>
    <w:rsid w:val="00CA3650"/>
    <w:rsid w:val="00CA57D0"/>
    <w:rsid w:val="00CB1B80"/>
    <w:rsid w:val="00CC14A9"/>
    <w:rsid w:val="00CC1AF9"/>
    <w:rsid w:val="00CC1F12"/>
    <w:rsid w:val="00CC2DB6"/>
    <w:rsid w:val="00CC3F7C"/>
    <w:rsid w:val="00CC5D6C"/>
    <w:rsid w:val="00CD30E6"/>
    <w:rsid w:val="00CD5AC5"/>
    <w:rsid w:val="00CD5E74"/>
    <w:rsid w:val="00CF7F46"/>
    <w:rsid w:val="00D10AF3"/>
    <w:rsid w:val="00D14401"/>
    <w:rsid w:val="00D3189D"/>
    <w:rsid w:val="00D4021E"/>
    <w:rsid w:val="00D421CF"/>
    <w:rsid w:val="00D444DD"/>
    <w:rsid w:val="00D528D3"/>
    <w:rsid w:val="00D64385"/>
    <w:rsid w:val="00D66869"/>
    <w:rsid w:val="00D72CD8"/>
    <w:rsid w:val="00D72F71"/>
    <w:rsid w:val="00D73BA1"/>
    <w:rsid w:val="00D76B1B"/>
    <w:rsid w:val="00D77FC8"/>
    <w:rsid w:val="00D83F98"/>
    <w:rsid w:val="00D8567D"/>
    <w:rsid w:val="00D86299"/>
    <w:rsid w:val="00D91C71"/>
    <w:rsid w:val="00D93653"/>
    <w:rsid w:val="00D93860"/>
    <w:rsid w:val="00D947FC"/>
    <w:rsid w:val="00D960C8"/>
    <w:rsid w:val="00DA1C86"/>
    <w:rsid w:val="00DB137D"/>
    <w:rsid w:val="00DB7336"/>
    <w:rsid w:val="00DC5EDA"/>
    <w:rsid w:val="00DF7AB4"/>
    <w:rsid w:val="00DF7FED"/>
    <w:rsid w:val="00E01750"/>
    <w:rsid w:val="00E03CFC"/>
    <w:rsid w:val="00E10D56"/>
    <w:rsid w:val="00E11C2B"/>
    <w:rsid w:val="00E139DC"/>
    <w:rsid w:val="00E21F95"/>
    <w:rsid w:val="00E2784C"/>
    <w:rsid w:val="00E31720"/>
    <w:rsid w:val="00E3474B"/>
    <w:rsid w:val="00E453A8"/>
    <w:rsid w:val="00E45975"/>
    <w:rsid w:val="00E54DD6"/>
    <w:rsid w:val="00E615B9"/>
    <w:rsid w:val="00E642CB"/>
    <w:rsid w:val="00E7077F"/>
    <w:rsid w:val="00E86CEE"/>
    <w:rsid w:val="00E94B41"/>
    <w:rsid w:val="00E96CF3"/>
    <w:rsid w:val="00EA23E7"/>
    <w:rsid w:val="00EA2925"/>
    <w:rsid w:val="00EA4107"/>
    <w:rsid w:val="00EA7866"/>
    <w:rsid w:val="00EB7A27"/>
    <w:rsid w:val="00EC4FDA"/>
    <w:rsid w:val="00EC54E0"/>
    <w:rsid w:val="00EC57BE"/>
    <w:rsid w:val="00ED223A"/>
    <w:rsid w:val="00ED69C6"/>
    <w:rsid w:val="00ED793C"/>
    <w:rsid w:val="00EE5A5C"/>
    <w:rsid w:val="00EF29FA"/>
    <w:rsid w:val="00F03447"/>
    <w:rsid w:val="00F035A8"/>
    <w:rsid w:val="00F053C5"/>
    <w:rsid w:val="00F05542"/>
    <w:rsid w:val="00F26454"/>
    <w:rsid w:val="00F264DE"/>
    <w:rsid w:val="00F306F1"/>
    <w:rsid w:val="00F3548E"/>
    <w:rsid w:val="00F42194"/>
    <w:rsid w:val="00F4392F"/>
    <w:rsid w:val="00F43C49"/>
    <w:rsid w:val="00F47CA9"/>
    <w:rsid w:val="00F531E4"/>
    <w:rsid w:val="00F555D6"/>
    <w:rsid w:val="00F64997"/>
    <w:rsid w:val="00F66E49"/>
    <w:rsid w:val="00F709F2"/>
    <w:rsid w:val="00F73C10"/>
    <w:rsid w:val="00F86E46"/>
    <w:rsid w:val="00F873BD"/>
    <w:rsid w:val="00F90935"/>
    <w:rsid w:val="00F926B6"/>
    <w:rsid w:val="00FA7C23"/>
    <w:rsid w:val="00FB0DF8"/>
    <w:rsid w:val="00FB1B1C"/>
    <w:rsid w:val="00FB76A3"/>
    <w:rsid w:val="00FC4AC4"/>
    <w:rsid w:val="00FE1EA3"/>
    <w:rsid w:val="00FE724D"/>
    <w:rsid w:val="00F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6DCA52"/>
  <w15:docId w15:val="{DB26AA45-35F7-4F0E-8046-85135219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5550"/>
    <w:rPr>
      <w:rFonts w:ascii="Arial" w:hAnsi="Arial"/>
      <w:sz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2F555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EC4FDA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0562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semiHidden/>
    <w:locked/>
    <w:rsid w:val="00EC4FDA"/>
    <w:rPr>
      <w:rFonts w:ascii="Cambria" w:hAnsi="Cambria"/>
      <w:b/>
      <w:i/>
      <w:sz w:val="28"/>
    </w:rPr>
  </w:style>
  <w:style w:type="paragraph" w:styleId="Zkladntext">
    <w:name w:val="Body Text"/>
    <w:basedOn w:val="Normlny"/>
    <w:link w:val="ZkladntextChar"/>
    <w:uiPriority w:val="99"/>
    <w:rsid w:val="002F5550"/>
  </w:style>
  <w:style w:type="character" w:customStyle="1" w:styleId="ZkladntextChar">
    <w:name w:val="Základný text Char"/>
    <w:link w:val="Zkladntext"/>
    <w:uiPriority w:val="99"/>
    <w:semiHidden/>
    <w:rsid w:val="00C05622"/>
    <w:rPr>
      <w:rFonts w:ascii="Arial" w:hAnsi="Arial"/>
      <w:sz w:val="24"/>
      <w:lang w:eastAsia="en-US"/>
    </w:rPr>
  </w:style>
  <w:style w:type="paragraph" w:styleId="Hlavika">
    <w:name w:val="header"/>
    <w:basedOn w:val="Normlny"/>
    <w:link w:val="HlavikaChar"/>
    <w:uiPriority w:val="99"/>
    <w:rsid w:val="002F5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C05622"/>
    <w:rPr>
      <w:rFonts w:ascii="Arial" w:hAnsi="Arial"/>
      <w:sz w:val="24"/>
      <w:lang w:eastAsia="en-US"/>
    </w:rPr>
  </w:style>
  <w:style w:type="character" w:styleId="slostrany">
    <w:name w:val="page number"/>
    <w:uiPriority w:val="99"/>
    <w:rsid w:val="002F555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2F5550"/>
    <w:pPr>
      <w:jc w:val="both"/>
    </w:pPr>
  </w:style>
  <w:style w:type="character" w:customStyle="1" w:styleId="Zkladntext2Char">
    <w:name w:val="Základný text 2 Char"/>
    <w:link w:val="Zkladntext2"/>
    <w:uiPriority w:val="99"/>
    <w:semiHidden/>
    <w:rsid w:val="00C05622"/>
    <w:rPr>
      <w:rFonts w:ascii="Arial" w:hAnsi="Arial"/>
      <w:sz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2F5550"/>
    <w:pPr>
      <w:jc w:val="center"/>
    </w:pPr>
    <w:rPr>
      <w:b/>
    </w:rPr>
  </w:style>
  <w:style w:type="character" w:customStyle="1" w:styleId="NzovChar">
    <w:name w:val="Názov Char"/>
    <w:link w:val="Nzov"/>
    <w:uiPriority w:val="10"/>
    <w:locked/>
    <w:rsid w:val="005C0BEA"/>
    <w:rPr>
      <w:rFonts w:ascii="Arial" w:hAnsi="Arial"/>
      <w:b/>
      <w:sz w:val="24"/>
    </w:rPr>
  </w:style>
  <w:style w:type="paragraph" w:styleId="Pta">
    <w:name w:val="footer"/>
    <w:basedOn w:val="Normlny"/>
    <w:link w:val="PtaChar"/>
    <w:uiPriority w:val="99"/>
    <w:rsid w:val="002F555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C05622"/>
    <w:rPr>
      <w:rFonts w:ascii="Arial" w:hAnsi="Arial"/>
      <w:sz w:val="24"/>
      <w:lang w:eastAsia="en-US"/>
    </w:rPr>
  </w:style>
  <w:style w:type="character" w:styleId="Hypertextovprepojenie">
    <w:name w:val="Hyperlink"/>
    <w:uiPriority w:val="99"/>
    <w:rsid w:val="005C0BEA"/>
    <w:rPr>
      <w:color w:val="0000FF"/>
      <w:u w:val="single"/>
    </w:rPr>
  </w:style>
  <w:style w:type="paragraph" w:customStyle="1" w:styleId="StandardohneAbstand">
    <w:name w:val="Standard ohne Abstand"/>
    <w:basedOn w:val="Normlny"/>
    <w:rsid w:val="009058D3"/>
    <w:rPr>
      <w:szCs w:val="24"/>
      <w:lang w:val="en-GB" w:eastAsia="de-DE"/>
    </w:rPr>
  </w:style>
  <w:style w:type="paragraph" w:styleId="Zkladntext3">
    <w:name w:val="Body Text 3"/>
    <w:basedOn w:val="Normlny"/>
    <w:link w:val="Zkladntext3Char"/>
    <w:uiPriority w:val="99"/>
    <w:unhideWhenUsed/>
    <w:rsid w:val="00FB0DF8"/>
    <w:pPr>
      <w:spacing w:after="120"/>
    </w:pPr>
    <w:rPr>
      <w:sz w:val="16"/>
    </w:rPr>
  </w:style>
  <w:style w:type="character" w:customStyle="1" w:styleId="Zkladntext3Char">
    <w:name w:val="Základný text 3 Char"/>
    <w:link w:val="Zkladntext3"/>
    <w:uiPriority w:val="99"/>
    <w:locked/>
    <w:rsid w:val="00FB0DF8"/>
    <w:rPr>
      <w:rFonts w:ascii="Arial" w:hAnsi="Arial"/>
      <w:sz w:val="16"/>
    </w:rPr>
  </w:style>
  <w:style w:type="character" w:styleId="Zvraznenie">
    <w:name w:val="Emphasis"/>
    <w:uiPriority w:val="20"/>
    <w:qFormat/>
    <w:rsid w:val="00FB0DF8"/>
    <w:rPr>
      <w:b/>
    </w:rPr>
  </w:style>
  <w:style w:type="paragraph" w:styleId="Odsekzoznamu">
    <w:name w:val="List Paragraph"/>
    <w:basedOn w:val="Normlny"/>
    <w:uiPriority w:val="34"/>
    <w:qFormat/>
    <w:rsid w:val="00ED69C6"/>
    <w:pPr>
      <w:ind w:left="720"/>
    </w:pPr>
    <w:rPr>
      <w:rFonts w:ascii="Times New Roman" w:hAnsi="Times New Roman"/>
      <w:szCs w:val="24"/>
      <w:lang w:val="cs-CZ" w:eastAsia="cs-CZ"/>
    </w:rPr>
  </w:style>
  <w:style w:type="paragraph" w:customStyle="1" w:styleId="Default">
    <w:name w:val="Default"/>
    <w:rsid w:val="00ED69C6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Normlnywebov">
    <w:name w:val="Normal (Web)"/>
    <w:basedOn w:val="Normlny"/>
    <w:uiPriority w:val="99"/>
    <w:semiHidden/>
    <w:unhideWhenUsed/>
    <w:rsid w:val="0005334B"/>
    <w:pPr>
      <w:spacing w:before="96" w:after="96"/>
    </w:pPr>
    <w:rPr>
      <w:rFonts w:ascii="Times New Roman" w:hAnsi="Times New Roman"/>
      <w:szCs w:val="24"/>
      <w:lang w:val="en-US"/>
    </w:rPr>
  </w:style>
  <w:style w:type="character" w:styleId="Odkaznakomentr">
    <w:name w:val="annotation reference"/>
    <w:uiPriority w:val="99"/>
    <w:semiHidden/>
    <w:unhideWhenUsed/>
    <w:rsid w:val="003A5A22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5A22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3A5A22"/>
    <w:rPr>
      <w:rFonts w:ascii="Arial" w:hAnsi="Arial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5A22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3A5A22"/>
    <w:rPr>
      <w:rFonts w:ascii="Arial" w:hAnsi="Arial"/>
      <w:b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5A22"/>
    <w:rPr>
      <w:rFonts w:ascii="Tahoma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A5A22"/>
    <w:rPr>
      <w:rFonts w:ascii="Tahoma" w:hAnsi="Tahoma"/>
      <w:sz w:val="16"/>
      <w:lang w:eastAsia="en-US"/>
    </w:rPr>
  </w:style>
  <w:style w:type="paragraph" w:styleId="Revzia">
    <w:name w:val="Revision"/>
    <w:hidden/>
    <w:uiPriority w:val="99"/>
    <w:semiHidden/>
    <w:rsid w:val="00473F28"/>
    <w:rPr>
      <w:rFonts w:ascii="Arial" w:hAnsi="Arial"/>
      <w:sz w:val="24"/>
      <w:lang w:eastAsia="en-US"/>
    </w:rPr>
  </w:style>
  <w:style w:type="character" w:customStyle="1" w:styleId="apple-converted-space">
    <w:name w:val="apple-converted-space"/>
    <w:rsid w:val="00B21085"/>
    <w:rPr>
      <w:rFonts w:cs="Times New Roman"/>
    </w:rPr>
  </w:style>
  <w:style w:type="table" w:styleId="Mriekatabuky">
    <w:name w:val="Table Grid"/>
    <w:basedOn w:val="Normlnatabuka"/>
    <w:uiPriority w:val="59"/>
    <w:rsid w:val="0063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0s">
    <w:name w:val="Para:0:s"/>
    <w:basedOn w:val="Normlny"/>
    <w:link w:val="Para0sZchn"/>
    <w:rsid w:val="00AC6B3B"/>
    <w:pPr>
      <w:spacing w:after="220"/>
    </w:pPr>
    <w:rPr>
      <w:rFonts w:ascii="Helvetica" w:hAnsi="Helvetica"/>
      <w:sz w:val="22"/>
      <w:lang w:val="en-US" w:eastAsia="fi-FI"/>
    </w:rPr>
  </w:style>
  <w:style w:type="character" w:customStyle="1" w:styleId="Para0sZchn">
    <w:name w:val="Para:0:s Zchn"/>
    <w:link w:val="Para0s"/>
    <w:rsid w:val="00AC6B3B"/>
    <w:rPr>
      <w:rFonts w:ascii="Helvetica" w:hAnsi="Helvetica"/>
      <w:sz w:val="22"/>
      <w:lang w:val="en-US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1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0C3F2-7C78-42E7-AA31-C60155D3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11</Pages>
  <Words>3511</Words>
  <Characters>20016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Súhrnná informácia o prípravku:</vt:lpstr>
      <vt:lpstr>Súhrnná informácia o prípravku:</vt:lpstr>
    </vt:vector>
  </TitlesOfParts>
  <Company>BAYER spol. s r.o.</Company>
  <LinksUpToDate>false</LinksUpToDate>
  <CharactersWithSpaces>23481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Súhrnná informácia o prípravku:</dc:title>
  <dc:subject/>
  <dc:creator>Steyer</dc:creator>
  <cp:keywords/>
  <dc:description/>
  <cp:lastModifiedBy>Petriková, Miroslava</cp:lastModifiedBy>
  <cp:revision>76</cp:revision>
  <cp:lastPrinted>2011-10-01T03:20:00Z</cp:lastPrinted>
  <dcterms:created xsi:type="dcterms:W3CDTF">2018-01-22T17:00:00Z</dcterms:created>
  <dcterms:modified xsi:type="dcterms:W3CDTF">2018-02-16T09:38:00Z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ClassBayerRetention">
    <vt:lpwstr>1;#Short-Term|6d967203-8346-4b9c-90f8-b3828a3fa508</vt:lpwstr>
  </property>
  <property fmtid="{D5CDD505-2E9C-101B-9397-08002B2CF9AE}" pid="3" name="_dlc_ExpireDate">
    <vt:lpwstr>2016-05-23T09:42:24Z</vt:lpwstr>
  </property>
  <property fmtid="{D5CDD505-2E9C-101B-9397-08002B2CF9AE}" pid="4" name="TaxCatchAll">
    <vt:lpwstr>1;#</vt:lpwstr>
  </property>
  <property fmtid="{D5CDD505-2E9C-101B-9397-08002B2CF9AE}" pid="5" name="gbbd9102adcd43839cd73b51972a464c">
    <vt:lpwstr>Short-Term|6d967203-8346-4b9c-90f8-b3828a3fa508</vt:lpwstr>
  </property>
</Properties>
</file>