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BE2" w:rsidRPr="00051880" w:rsidRDefault="00052BE2" w:rsidP="00DF1CD8">
      <w:pPr>
        <w:widowControl w:val="0"/>
        <w:spacing w:line="240" w:lineRule="auto"/>
        <w:jc w:val="center"/>
        <w:rPr>
          <w:b/>
          <w:color w:val="000000"/>
          <w:szCs w:val="22"/>
        </w:rPr>
      </w:pPr>
    </w:p>
    <w:p w:rsidR="00BA558B" w:rsidRPr="00051880" w:rsidRDefault="00BA558B" w:rsidP="00DF1CD8">
      <w:pPr>
        <w:widowControl w:val="0"/>
        <w:spacing w:line="240" w:lineRule="auto"/>
        <w:jc w:val="center"/>
        <w:rPr>
          <w:bCs/>
          <w:iCs/>
          <w:color w:val="000000"/>
          <w:szCs w:val="22"/>
        </w:rPr>
      </w:pPr>
      <w:r w:rsidRPr="00051880">
        <w:rPr>
          <w:b/>
          <w:color w:val="000000"/>
          <w:szCs w:val="22"/>
        </w:rPr>
        <w:t>SÚHRN CHARAKTERISTICKÝCH VLASTNOSTÍ LIEKU</w:t>
      </w:r>
    </w:p>
    <w:p w:rsidR="00BA558B" w:rsidRPr="00051880" w:rsidRDefault="00BA558B" w:rsidP="00DF1CD8">
      <w:pPr>
        <w:widowControl w:val="0"/>
        <w:spacing w:line="240" w:lineRule="auto"/>
        <w:rPr>
          <w:color w:val="000000"/>
          <w:szCs w:val="22"/>
        </w:rPr>
      </w:pPr>
    </w:p>
    <w:p w:rsidR="009A0E97" w:rsidRPr="00051880" w:rsidRDefault="0038664C" w:rsidP="009A0E97">
      <w:pPr>
        <w:widowControl w:val="0"/>
        <w:spacing w:line="240" w:lineRule="auto"/>
        <w:rPr>
          <w:color w:val="000000"/>
          <w:szCs w:val="22"/>
        </w:rPr>
      </w:pPr>
      <w:r w:rsidRPr="00051880">
        <w:rPr>
          <w:noProof/>
          <w:szCs w:val="22"/>
          <w:lang w:eastAsia="sk-SK"/>
        </w:rPr>
        <w:drawing>
          <wp:inline distT="0" distB="0" distL="0" distR="0">
            <wp:extent cx="196850"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6850" cy="171450"/>
                    </a:xfrm>
                    <a:prstGeom prst="rect">
                      <a:avLst/>
                    </a:prstGeom>
                    <a:noFill/>
                    <a:ln>
                      <a:noFill/>
                    </a:ln>
                  </pic:spPr>
                </pic:pic>
              </a:graphicData>
            </a:graphic>
          </wp:inline>
        </w:drawing>
      </w:r>
      <w:r w:rsidR="009A0E97" w:rsidRPr="00051880">
        <w:rPr>
          <w:noProof/>
          <w:szCs w:val="22"/>
        </w:rPr>
        <w:t>Tento liek je predmetom ďalšieho monitorovania. To umožní rýchle získanie nových informácií o bezpečnosti.</w:t>
      </w:r>
      <w:r w:rsidR="009A0E97" w:rsidRPr="00051880">
        <w:rPr>
          <w:szCs w:val="22"/>
        </w:rPr>
        <w:t xml:space="preserve"> Od </w:t>
      </w:r>
      <w:r w:rsidR="009A0E97" w:rsidRPr="00051880">
        <w:rPr>
          <w:noProof/>
          <w:szCs w:val="22"/>
        </w:rPr>
        <w:t>zdravotníckych pracovníkov sa vyžaduje, aby hlásili akékoľvek podozrenia na nežiaduce reakcie.</w:t>
      </w:r>
      <w:r w:rsidR="009A0E97" w:rsidRPr="00051880">
        <w:rPr>
          <w:szCs w:val="22"/>
        </w:rPr>
        <w:t xml:space="preserve"> </w:t>
      </w:r>
      <w:r w:rsidR="009A0E97" w:rsidRPr="00051880">
        <w:rPr>
          <w:noProof/>
          <w:szCs w:val="22"/>
        </w:rPr>
        <w:t>Informácie o tom, ako hlásiť nežiaduce reakcie, nájdete v časti 4.8.</w:t>
      </w:r>
    </w:p>
    <w:p w:rsidR="009A0E97" w:rsidRPr="00051880" w:rsidRDefault="009A0E97" w:rsidP="00DF1CD8">
      <w:pPr>
        <w:widowControl w:val="0"/>
        <w:spacing w:line="240" w:lineRule="auto"/>
        <w:rPr>
          <w:color w:val="000000"/>
          <w:szCs w:val="22"/>
        </w:rPr>
      </w:pPr>
    </w:p>
    <w:p w:rsidR="00DF1CD8" w:rsidRPr="00051880" w:rsidRDefault="00DF1CD8" w:rsidP="00DF1CD8">
      <w:pPr>
        <w:widowControl w:val="0"/>
        <w:spacing w:line="240" w:lineRule="auto"/>
        <w:rPr>
          <w:color w:val="000000"/>
          <w:szCs w:val="22"/>
        </w:rPr>
      </w:pPr>
    </w:p>
    <w:p w:rsidR="00BA558B" w:rsidRPr="00051880" w:rsidRDefault="00BA558B" w:rsidP="00DF1CD8">
      <w:pPr>
        <w:pStyle w:val="Nadpis3"/>
        <w:spacing w:before="0" w:after="0" w:line="240" w:lineRule="auto"/>
        <w:rPr>
          <w:color w:val="000000"/>
          <w:sz w:val="22"/>
          <w:szCs w:val="22"/>
        </w:rPr>
      </w:pPr>
      <w:r w:rsidRPr="00051880">
        <w:rPr>
          <w:color w:val="000000"/>
          <w:sz w:val="22"/>
          <w:szCs w:val="22"/>
        </w:rPr>
        <w:t>1.</w:t>
      </w:r>
      <w:r w:rsidRPr="00051880">
        <w:rPr>
          <w:color w:val="000000"/>
          <w:sz w:val="22"/>
          <w:szCs w:val="22"/>
        </w:rPr>
        <w:tab/>
        <w:t>NÁZOV LIEKU</w:t>
      </w:r>
    </w:p>
    <w:p w:rsidR="00BA558B" w:rsidRPr="00051880" w:rsidRDefault="00BA558B" w:rsidP="00DF1CD8">
      <w:pPr>
        <w:spacing w:line="240" w:lineRule="auto"/>
        <w:rPr>
          <w:color w:val="000000"/>
          <w:szCs w:val="22"/>
        </w:rPr>
      </w:pPr>
    </w:p>
    <w:p w:rsidR="00BA558B" w:rsidRPr="00051880" w:rsidRDefault="00BA558B" w:rsidP="00DF1CD8">
      <w:pPr>
        <w:spacing w:line="240" w:lineRule="auto"/>
        <w:rPr>
          <w:color w:val="000000"/>
          <w:szCs w:val="22"/>
        </w:rPr>
      </w:pPr>
      <w:r w:rsidRPr="00051880">
        <w:rPr>
          <w:color w:val="000000"/>
          <w:szCs w:val="22"/>
        </w:rPr>
        <w:t xml:space="preserve">Rapibloc 300 mg prášok na infúzny roztok </w:t>
      </w:r>
    </w:p>
    <w:p w:rsidR="00BA558B" w:rsidRPr="00051880" w:rsidRDefault="00BA558B" w:rsidP="00DF1CD8">
      <w:pPr>
        <w:spacing w:line="240" w:lineRule="auto"/>
        <w:rPr>
          <w:color w:val="000000"/>
          <w:szCs w:val="22"/>
        </w:rPr>
      </w:pPr>
      <w:r w:rsidRPr="00051880">
        <w:rPr>
          <w:color w:val="000000"/>
          <w:szCs w:val="22"/>
        </w:rPr>
        <w:t xml:space="preserve">Rapibloc 600 mg prášok na infúzny roztok </w:t>
      </w:r>
    </w:p>
    <w:p w:rsidR="00BA558B" w:rsidRPr="00051880" w:rsidRDefault="00BA558B" w:rsidP="00DF1CD8">
      <w:pPr>
        <w:widowControl w:val="0"/>
        <w:spacing w:line="240" w:lineRule="auto"/>
        <w:rPr>
          <w:b/>
          <w:color w:val="000000"/>
          <w:szCs w:val="22"/>
        </w:rPr>
      </w:pPr>
    </w:p>
    <w:p w:rsidR="00BA558B" w:rsidRPr="00051880" w:rsidRDefault="00BA558B" w:rsidP="00DF1CD8">
      <w:pPr>
        <w:widowControl w:val="0"/>
        <w:spacing w:line="240" w:lineRule="auto"/>
        <w:rPr>
          <w:b/>
          <w:color w:val="000000"/>
          <w:szCs w:val="22"/>
        </w:rPr>
      </w:pPr>
    </w:p>
    <w:p w:rsidR="00BA558B" w:rsidRPr="00051880" w:rsidRDefault="00BA558B" w:rsidP="00DF1CD8">
      <w:pPr>
        <w:pStyle w:val="Nadpis3"/>
        <w:spacing w:before="0" w:after="0" w:line="240" w:lineRule="auto"/>
        <w:rPr>
          <w:color w:val="000000"/>
          <w:sz w:val="22"/>
          <w:szCs w:val="22"/>
        </w:rPr>
      </w:pPr>
      <w:r w:rsidRPr="00051880">
        <w:rPr>
          <w:color w:val="000000"/>
          <w:sz w:val="22"/>
          <w:szCs w:val="22"/>
        </w:rPr>
        <w:t>2.</w:t>
      </w:r>
      <w:r w:rsidRPr="00051880">
        <w:rPr>
          <w:color w:val="000000"/>
          <w:sz w:val="22"/>
          <w:szCs w:val="22"/>
        </w:rPr>
        <w:tab/>
        <w:t>KVALITATÍVNE A KVANTITATÍVNE ZLOŽENIE</w:t>
      </w:r>
    </w:p>
    <w:p w:rsidR="00BA558B" w:rsidRPr="00051880" w:rsidRDefault="00BA558B" w:rsidP="00DF1CD8">
      <w:pPr>
        <w:tabs>
          <w:tab w:val="clear" w:pos="567"/>
        </w:tabs>
        <w:spacing w:line="240" w:lineRule="auto"/>
        <w:rPr>
          <w:color w:val="000000"/>
          <w:szCs w:val="22"/>
        </w:rPr>
      </w:pPr>
    </w:p>
    <w:p w:rsidR="00BA558B" w:rsidRPr="00051880" w:rsidRDefault="00BA558B" w:rsidP="00DF1CD8">
      <w:pPr>
        <w:tabs>
          <w:tab w:val="clear" w:pos="567"/>
        </w:tabs>
        <w:spacing w:line="240" w:lineRule="auto"/>
        <w:rPr>
          <w:color w:val="000000"/>
          <w:szCs w:val="22"/>
        </w:rPr>
      </w:pPr>
      <w:r w:rsidRPr="00051880">
        <w:rPr>
          <w:color w:val="000000"/>
          <w:szCs w:val="22"/>
        </w:rPr>
        <w:t xml:space="preserve">Jedna </w:t>
      </w:r>
      <w:r w:rsidR="00FE5E15" w:rsidRPr="00051880">
        <w:rPr>
          <w:color w:val="000000"/>
          <w:szCs w:val="22"/>
        </w:rPr>
        <w:t>injekčná liekovka</w:t>
      </w:r>
      <w:r w:rsidRPr="00051880">
        <w:rPr>
          <w:color w:val="000000"/>
          <w:szCs w:val="22"/>
        </w:rPr>
        <w:t xml:space="preserve"> obsahuje 300 mg alebo 600 mg landiolol</w:t>
      </w:r>
      <w:r w:rsidR="00DF1CD8" w:rsidRPr="00051880">
        <w:rPr>
          <w:color w:val="000000"/>
          <w:szCs w:val="22"/>
        </w:rPr>
        <w:t>ium</w:t>
      </w:r>
      <w:r w:rsidRPr="00051880">
        <w:rPr>
          <w:color w:val="000000"/>
          <w:szCs w:val="22"/>
        </w:rPr>
        <w:t>chloridu, čo zodpovedá 280 mg alebo 560 mg landiololu.</w:t>
      </w:r>
    </w:p>
    <w:p w:rsidR="00BA558B" w:rsidRPr="00051880" w:rsidRDefault="00BA558B" w:rsidP="00DF1CD8">
      <w:pPr>
        <w:tabs>
          <w:tab w:val="clear" w:pos="567"/>
        </w:tabs>
        <w:spacing w:line="240" w:lineRule="auto"/>
        <w:rPr>
          <w:color w:val="000000"/>
          <w:szCs w:val="22"/>
        </w:rPr>
      </w:pPr>
    </w:p>
    <w:p w:rsidR="00BA558B" w:rsidRPr="00051880" w:rsidRDefault="00BA558B" w:rsidP="00DF1CD8">
      <w:pPr>
        <w:tabs>
          <w:tab w:val="clear" w:pos="567"/>
        </w:tabs>
        <w:spacing w:line="240" w:lineRule="auto"/>
        <w:rPr>
          <w:color w:val="000000"/>
          <w:szCs w:val="22"/>
        </w:rPr>
      </w:pPr>
      <w:r w:rsidRPr="00051880">
        <w:rPr>
          <w:color w:val="000000"/>
          <w:szCs w:val="22"/>
        </w:rPr>
        <w:t>Po rekonštitúcii (pozri časť 6.6) jeden ml obsahuje 6 mg alebo 12 mg landiolol</w:t>
      </w:r>
      <w:r w:rsidR="00DF1CD8" w:rsidRPr="00051880">
        <w:rPr>
          <w:color w:val="000000"/>
          <w:szCs w:val="22"/>
        </w:rPr>
        <w:t>ium</w:t>
      </w:r>
      <w:r w:rsidRPr="00051880">
        <w:rPr>
          <w:color w:val="000000"/>
          <w:szCs w:val="22"/>
        </w:rPr>
        <w:t>chloridu.</w:t>
      </w:r>
    </w:p>
    <w:p w:rsidR="00BA558B" w:rsidRPr="00051880" w:rsidRDefault="00BA558B" w:rsidP="00DF1CD8">
      <w:pPr>
        <w:spacing w:line="240" w:lineRule="auto"/>
        <w:rPr>
          <w:color w:val="000000"/>
          <w:szCs w:val="22"/>
        </w:rPr>
      </w:pPr>
    </w:p>
    <w:p w:rsidR="00BA558B" w:rsidRPr="00051880" w:rsidRDefault="00BA558B" w:rsidP="00DF1CD8">
      <w:pPr>
        <w:spacing w:line="240" w:lineRule="auto"/>
        <w:rPr>
          <w:color w:val="000000"/>
          <w:szCs w:val="22"/>
        </w:rPr>
      </w:pPr>
      <w:r w:rsidRPr="00051880">
        <w:rPr>
          <w:color w:val="000000"/>
          <w:szCs w:val="22"/>
        </w:rPr>
        <w:t>Úplný zoznam pomocných látok</w:t>
      </w:r>
      <w:r w:rsidR="00DF1CD8" w:rsidRPr="00051880">
        <w:rPr>
          <w:color w:val="000000"/>
          <w:szCs w:val="22"/>
        </w:rPr>
        <w:t xml:space="preserve">, pozri časť </w:t>
      </w:r>
      <w:r w:rsidRPr="00051880">
        <w:rPr>
          <w:color w:val="000000"/>
          <w:szCs w:val="22"/>
        </w:rPr>
        <w:t>6.1.</w:t>
      </w:r>
    </w:p>
    <w:p w:rsidR="00BA558B" w:rsidRPr="00051880" w:rsidRDefault="00BA558B" w:rsidP="00DF1CD8">
      <w:pPr>
        <w:spacing w:line="240" w:lineRule="auto"/>
        <w:rPr>
          <w:color w:val="000000"/>
          <w:szCs w:val="22"/>
        </w:rPr>
      </w:pPr>
    </w:p>
    <w:p w:rsidR="00BA558B" w:rsidRPr="00051880" w:rsidRDefault="00BA558B" w:rsidP="00DF1CD8">
      <w:pPr>
        <w:spacing w:line="240" w:lineRule="auto"/>
        <w:rPr>
          <w:color w:val="000000"/>
          <w:szCs w:val="22"/>
        </w:rPr>
      </w:pPr>
    </w:p>
    <w:p w:rsidR="00BA558B" w:rsidRPr="00051880" w:rsidRDefault="00BA558B" w:rsidP="00DF1CD8">
      <w:pPr>
        <w:pStyle w:val="Nadpis3"/>
        <w:spacing w:before="0" w:after="0" w:line="240" w:lineRule="auto"/>
        <w:rPr>
          <w:color w:val="000000"/>
          <w:sz w:val="22"/>
          <w:szCs w:val="22"/>
        </w:rPr>
      </w:pPr>
      <w:r w:rsidRPr="00051880">
        <w:rPr>
          <w:color w:val="000000"/>
          <w:sz w:val="22"/>
          <w:szCs w:val="22"/>
        </w:rPr>
        <w:t>3.</w:t>
      </w:r>
      <w:r w:rsidRPr="00051880">
        <w:rPr>
          <w:color w:val="000000"/>
          <w:sz w:val="22"/>
          <w:szCs w:val="22"/>
        </w:rPr>
        <w:tab/>
        <w:t>LIEKOVÁ FORMA</w:t>
      </w:r>
    </w:p>
    <w:p w:rsidR="00BA558B" w:rsidRPr="00051880" w:rsidRDefault="00BA558B" w:rsidP="00DF1CD8">
      <w:pPr>
        <w:spacing w:line="240" w:lineRule="auto"/>
        <w:rPr>
          <w:color w:val="000000"/>
          <w:szCs w:val="22"/>
        </w:rPr>
      </w:pPr>
    </w:p>
    <w:p w:rsidR="00BA558B" w:rsidRPr="00051880" w:rsidRDefault="00BA558B" w:rsidP="00DF1CD8">
      <w:pPr>
        <w:spacing w:line="240" w:lineRule="auto"/>
        <w:rPr>
          <w:color w:val="000000"/>
          <w:szCs w:val="22"/>
        </w:rPr>
      </w:pPr>
      <w:r w:rsidRPr="00051880">
        <w:rPr>
          <w:color w:val="000000"/>
          <w:szCs w:val="22"/>
        </w:rPr>
        <w:t>Prášok na infúzny roztok.</w:t>
      </w:r>
    </w:p>
    <w:p w:rsidR="00BA558B" w:rsidRPr="00051880" w:rsidRDefault="00BA558B" w:rsidP="00DF1CD8">
      <w:pPr>
        <w:spacing w:line="240" w:lineRule="auto"/>
        <w:rPr>
          <w:color w:val="000000"/>
          <w:szCs w:val="22"/>
        </w:rPr>
      </w:pPr>
    </w:p>
    <w:p w:rsidR="00BA558B" w:rsidRPr="00051880" w:rsidRDefault="00BA558B" w:rsidP="00DF1CD8">
      <w:pPr>
        <w:spacing w:line="240" w:lineRule="auto"/>
        <w:rPr>
          <w:color w:val="000000"/>
          <w:szCs w:val="22"/>
        </w:rPr>
      </w:pPr>
      <w:r w:rsidRPr="00051880">
        <w:rPr>
          <w:color w:val="000000"/>
          <w:szCs w:val="22"/>
        </w:rPr>
        <w:t>Biely až takmer biely prášok.</w:t>
      </w:r>
    </w:p>
    <w:p w:rsidR="00BA558B" w:rsidRPr="00051880" w:rsidRDefault="00BA558B" w:rsidP="00DF1CD8">
      <w:pPr>
        <w:spacing w:line="240" w:lineRule="auto"/>
        <w:rPr>
          <w:color w:val="000000"/>
          <w:szCs w:val="22"/>
        </w:rPr>
      </w:pPr>
    </w:p>
    <w:p w:rsidR="00BA558B" w:rsidRPr="00051880" w:rsidRDefault="00BA558B" w:rsidP="00DF1CD8">
      <w:pPr>
        <w:spacing w:line="240" w:lineRule="auto"/>
        <w:rPr>
          <w:color w:val="000000"/>
          <w:szCs w:val="22"/>
        </w:rPr>
      </w:pPr>
    </w:p>
    <w:p w:rsidR="00BA558B" w:rsidRPr="00051880" w:rsidRDefault="00BA558B" w:rsidP="00DF1CD8">
      <w:pPr>
        <w:pStyle w:val="Nadpis3"/>
        <w:spacing w:before="0" w:after="0" w:line="240" w:lineRule="auto"/>
        <w:rPr>
          <w:color w:val="000000"/>
          <w:sz w:val="22"/>
          <w:szCs w:val="22"/>
        </w:rPr>
      </w:pPr>
      <w:r w:rsidRPr="00051880">
        <w:rPr>
          <w:color w:val="000000"/>
          <w:sz w:val="22"/>
          <w:szCs w:val="22"/>
        </w:rPr>
        <w:t>4.</w:t>
      </w:r>
      <w:r w:rsidRPr="00051880">
        <w:rPr>
          <w:color w:val="000000"/>
          <w:sz w:val="22"/>
          <w:szCs w:val="22"/>
        </w:rPr>
        <w:tab/>
        <w:t>KLINICKÉ ÚDAJE</w:t>
      </w:r>
    </w:p>
    <w:p w:rsidR="00BA558B" w:rsidRPr="00051880" w:rsidRDefault="00BA558B" w:rsidP="00DF1CD8">
      <w:pPr>
        <w:spacing w:line="240" w:lineRule="auto"/>
        <w:rPr>
          <w:color w:val="000000"/>
          <w:szCs w:val="22"/>
        </w:rPr>
      </w:pPr>
    </w:p>
    <w:p w:rsidR="00BA558B" w:rsidRPr="00051880" w:rsidRDefault="00BA558B" w:rsidP="00DF1CD8">
      <w:pPr>
        <w:pStyle w:val="Nadpis4"/>
        <w:spacing w:line="240" w:lineRule="auto"/>
        <w:jc w:val="left"/>
        <w:rPr>
          <w:color w:val="000000"/>
          <w:szCs w:val="22"/>
        </w:rPr>
      </w:pPr>
      <w:r w:rsidRPr="00051880">
        <w:rPr>
          <w:color w:val="000000"/>
          <w:szCs w:val="22"/>
        </w:rPr>
        <w:t>4.1</w:t>
      </w:r>
      <w:r w:rsidRPr="00051880">
        <w:rPr>
          <w:color w:val="000000"/>
          <w:szCs w:val="22"/>
        </w:rPr>
        <w:tab/>
        <w:t>Terapeutické indikácie</w:t>
      </w:r>
    </w:p>
    <w:p w:rsidR="00BA558B" w:rsidRPr="00051880" w:rsidRDefault="00BA558B" w:rsidP="00DF1CD8">
      <w:pPr>
        <w:spacing w:line="240" w:lineRule="auto"/>
        <w:rPr>
          <w:color w:val="000000"/>
          <w:szCs w:val="22"/>
        </w:rPr>
      </w:pPr>
    </w:p>
    <w:p w:rsidR="00BA558B" w:rsidRPr="00051880" w:rsidRDefault="00BA558B" w:rsidP="00DF1CD8">
      <w:pPr>
        <w:numPr>
          <w:ilvl w:val="0"/>
          <w:numId w:val="46"/>
        </w:numPr>
        <w:spacing w:line="240" w:lineRule="auto"/>
        <w:ind w:left="567"/>
        <w:rPr>
          <w:color w:val="000000"/>
          <w:szCs w:val="22"/>
        </w:rPr>
      </w:pPr>
      <w:r w:rsidRPr="00051880">
        <w:rPr>
          <w:color w:val="000000"/>
          <w:szCs w:val="22"/>
        </w:rPr>
        <w:t xml:space="preserve">Supraventrikulárna tachykardia a </w:t>
      </w:r>
      <w:r w:rsidR="009A0E97" w:rsidRPr="00051880">
        <w:rPr>
          <w:color w:val="000000"/>
          <w:szCs w:val="22"/>
        </w:rPr>
        <w:t>na</w:t>
      </w:r>
      <w:r w:rsidRPr="00051880">
        <w:rPr>
          <w:color w:val="000000"/>
          <w:szCs w:val="22"/>
        </w:rPr>
        <w:t xml:space="preserve"> rýchlu kontrolu komorovej frekvencie u pacientov s fibriláciou predsiení alebo predsieňovým flutterom v perioperačnom a pooperačnom stave alebo za iných okolností, k</w:t>
      </w:r>
      <w:r w:rsidR="009A0E97" w:rsidRPr="00051880">
        <w:rPr>
          <w:color w:val="000000"/>
          <w:szCs w:val="22"/>
        </w:rPr>
        <w:t>de</w:t>
      </w:r>
      <w:r w:rsidRPr="00051880">
        <w:rPr>
          <w:color w:val="000000"/>
          <w:szCs w:val="22"/>
        </w:rPr>
        <w:t xml:space="preserve"> je žiaduca krátkodobá kontrola komorovej frekvencie krátkodobo pôsobiacim agensom. </w:t>
      </w:r>
    </w:p>
    <w:p w:rsidR="00BA558B" w:rsidRPr="00051880" w:rsidRDefault="00BA558B" w:rsidP="00DF1CD8">
      <w:pPr>
        <w:numPr>
          <w:ilvl w:val="0"/>
          <w:numId w:val="46"/>
        </w:numPr>
        <w:spacing w:line="240" w:lineRule="auto"/>
        <w:ind w:left="567"/>
        <w:rPr>
          <w:color w:val="000000"/>
          <w:szCs w:val="22"/>
        </w:rPr>
      </w:pPr>
      <w:r w:rsidRPr="00051880">
        <w:rPr>
          <w:color w:val="000000"/>
          <w:szCs w:val="22"/>
        </w:rPr>
        <w:t xml:space="preserve">Nekompenzačná sínusová tachykardia, keď si podľa úsudku lekára rýchla srdcová frekvencia vyžaduje špecifickú intervenciu. </w:t>
      </w:r>
    </w:p>
    <w:p w:rsidR="00BA558B" w:rsidRPr="00051880" w:rsidRDefault="00BA558B" w:rsidP="00DF1CD8">
      <w:pPr>
        <w:numPr>
          <w:ilvl w:val="0"/>
          <w:numId w:val="46"/>
        </w:numPr>
        <w:spacing w:line="240" w:lineRule="auto"/>
        <w:ind w:left="567"/>
        <w:rPr>
          <w:color w:val="000000"/>
          <w:szCs w:val="22"/>
        </w:rPr>
      </w:pPr>
      <w:r w:rsidRPr="00051880">
        <w:rPr>
          <w:color w:val="000000"/>
          <w:szCs w:val="22"/>
        </w:rPr>
        <w:t xml:space="preserve">Landiolol nie je určený na použitie na liečbu chronických stavov. </w:t>
      </w:r>
    </w:p>
    <w:p w:rsidR="00BA558B" w:rsidRPr="00051880" w:rsidRDefault="00BA558B" w:rsidP="00DF1CD8">
      <w:pPr>
        <w:spacing w:line="240" w:lineRule="auto"/>
        <w:rPr>
          <w:color w:val="000000"/>
          <w:szCs w:val="22"/>
        </w:rPr>
      </w:pPr>
    </w:p>
    <w:p w:rsidR="00BA558B" w:rsidRPr="00051880" w:rsidRDefault="00BA558B" w:rsidP="00DF1CD8">
      <w:pPr>
        <w:pStyle w:val="Nadpis4"/>
        <w:spacing w:line="240" w:lineRule="auto"/>
        <w:jc w:val="left"/>
        <w:rPr>
          <w:color w:val="000000"/>
          <w:szCs w:val="22"/>
        </w:rPr>
      </w:pPr>
      <w:r w:rsidRPr="00051880">
        <w:rPr>
          <w:color w:val="000000"/>
          <w:szCs w:val="22"/>
        </w:rPr>
        <w:t>4.2</w:t>
      </w:r>
      <w:r w:rsidRPr="00051880">
        <w:rPr>
          <w:color w:val="000000"/>
          <w:szCs w:val="22"/>
        </w:rPr>
        <w:tab/>
        <w:t>Dávkovanie a spôsob podávania</w:t>
      </w:r>
    </w:p>
    <w:p w:rsidR="00BA558B" w:rsidRPr="00051880" w:rsidRDefault="00BA558B" w:rsidP="00DF1CD8">
      <w:pPr>
        <w:tabs>
          <w:tab w:val="clear" w:pos="567"/>
        </w:tabs>
        <w:spacing w:line="240" w:lineRule="auto"/>
        <w:rPr>
          <w:color w:val="000000"/>
          <w:szCs w:val="22"/>
          <w:u w:val="single"/>
        </w:rPr>
      </w:pPr>
    </w:p>
    <w:p w:rsidR="00BA558B" w:rsidRPr="00051880" w:rsidRDefault="00BA558B" w:rsidP="00DF1CD8">
      <w:pPr>
        <w:tabs>
          <w:tab w:val="clear" w:pos="567"/>
        </w:tabs>
        <w:spacing w:line="240" w:lineRule="auto"/>
        <w:rPr>
          <w:color w:val="000000"/>
          <w:szCs w:val="22"/>
          <w:u w:val="single"/>
        </w:rPr>
      </w:pPr>
      <w:r w:rsidRPr="00051880">
        <w:rPr>
          <w:color w:val="000000"/>
          <w:szCs w:val="22"/>
          <w:u w:val="single"/>
        </w:rPr>
        <w:t>Dávkovanie</w:t>
      </w:r>
    </w:p>
    <w:p w:rsidR="00BA558B" w:rsidRPr="00051880" w:rsidRDefault="00BA558B" w:rsidP="00DF1CD8">
      <w:pPr>
        <w:tabs>
          <w:tab w:val="clear" w:pos="567"/>
        </w:tabs>
        <w:spacing w:line="240" w:lineRule="auto"/>
        <w:rPr>
          <w:color w:val="000000"/>
          <w:szCs w:val="22"/>
          <w:u w:val="single"/>
        </w:rPr>
      </w:pPr>
    </w:p>
    <w:p w:rsidR="00BA558B" w:rsidRPr="00051880" w:rsidRDefault="00BA558B" w:rsidP="00DF1CD8">
      <w:pPr>
        <w:tabs>
          <w:tab w:val="clear" w:pos="567"/>
        </w:tabs>
        <w:spacing w:line="240" w:lineRule="auto"/>
        <w:rPr>
          <w:color w:val="000000"/>
          <w:szCs w:val="22"/>
        </w:rPr>
      </w:pPr>
      <w:r w:rsidRPr="00051880">
        <w:rPr>
          <w:color w:val="000000"/>
          <w:szCs w:val="22"/>
        </w:rPr>
        <w:t xml:space="preserve">Landiolol je určený na intravenózne použitie v </w:t>
      </w:r>
      <w:r w:rsidR="00E903BB" w:rsidRPr="00051880">
        <w:rPr>
          <w:color w:val="000000"/>
          <w:szCs w:val="22"/>
        </w:rPr>
        <w:t>kontrolova</w:t>
      </w:r>
      <w:r w:rsidRPr="00051880">
        <w:rPr>
          <w:color w:val="000000"/>
          <w:szCs w:val="22"/>
        </w:rPr>
        <w:t xml:space="preserve">nom prostredí. Landiolol </w:t>
      </w:r>
      <w:r w:rsidR="009A0E97" w:rsidRPr="00051880">
        <w:rPr>
          <w:color w:val="000000"/>
          <w:szCs w:val="22"/>
        </w:rPr>
        <w:t>má</w:t>
      </w:r>
      <w:r w:rsidRPr="00051880">
        <w:rPr>
          <w:color w:val="000000"/>
          <w:szCs w:val="22"/>
        </w:rPr>
        <w:t xml:space="preserve"> podávať iba kvalifikovaný </w:t>
      </w:r>
      <w:r w:rsidR="009A0E97" w:rsidRPr="00051880">
        <w:rPr>
          <w:color w:val="000000"/>
          <w:szCs w:val="22"/>
        </w:rPr>
        <w:t>zdravotnícky pracovník</w:t>
      </w:r>
      <w:r w:rsidRPr="00051880">
        <w:rPr>
          <w:color w:val="000000"/>
          <w:szCs w:val="22"/>
        </w:rPr>
        <w:t xml:space="preserve">. Dávkovanie landiololu je potrebné titrovať individuálne. </w:t>
      </w:r>
    </w:p>
    <w:p w:rsidR="00BA558B" w:rsidRPr="00051880" w:rsidRDefault="00BA558B" w:rsidP="00DF1CD8">
      <w:pPr>
        <w:tabs>
          <w:tab w:val="clear" w:pos="567"/>
        </w:tabs>
        <w:spacing w:line="240" w:lineRule="auto"/>
        <w:rPr>
          <w:color w:val="000000"/>
          <w:szCs w:val="22"/>
        </w:rPr>
      </w:pPr>
    </w:p>
    <w:p w:rsidR="00BA558B" w:rsidRPr="00051880" w:rsidRDefault="00BA558B" w:rsidP="00DF1CD8">
      <w:pPr>
        <w:tabs>
          <w:tab w:val="clear" w:pos="567"/>
        </w:tabs>
        <w:spacing w:line="240" w:lineRule="auto"/>
        <w:rPr>
          <w:color w:val="000000"/>
          <w:szCs w:val="22"/>
        </w:rPr>
      </w:pPr>
      <w:r w:rsidRPr="00051880">
        <w:rPr>
          <w:color w:val="000000"/>
          <w:szCs w:val="22"/>
        </w:rPr>
        <w:t xml:space="preserve">Intravenóznu infúziu začnite s </w:t>
      </w:r>
      <w:r w:rsidR="00BC0204" w:rsidRPr="00051880">
        <w:rPr>
          <w:color w:val="000000"/>
          <w:szCs w:val="22"/>
        </w:rPr>
        <w:t>nasycovacou</w:t>
      </w:r>
      <w:r w:rsidRPr="00051880">
        <w:rPr>
          <w:color w:val="000000"/>
          <w:szCs w:val="22"/>
        </w:rPr>
        <w:t xml:space="preserve"> dávkou 100</w:t>
      </w:r>
      <w:r w:rsidR="00C63EB2" w:rsidRPr="00051880">
        <w:rPr>
          <w:szCs w:val="22"/>
        </w:rPr>
        <w:t> </w:t>
      </w:r>
      <w:r w:rsidRPr="00051880">
        <w:rPr>
          <w:color w:val="000000"/>
          <w:szCs w:val="22"/>
        </w:rPr>
        <w:t>mikrogramov/kg</w:t>
      </w:r>
      <w:r w:rsidR="005B66A1" w:rsidRPr="00051880">
        <w:rPr>
          <w:color w:val="000000"/>
          <w:szCs w:val="22"/>
        </w:rPr>
        <w:t> </w:t>
      </w:r>
      <w:r w:rsidRPr="00051880">
        <w:rPr>
          <w:color w:val="000000"/>
          <w:szCs w:val="22"/>
        </w:rPr>
        <w:t>telesnej hmotnosti po</w:t>
      </w:r>
      <w:r w:rsidR="009A0E97" w:rsidRPr="00051880">
        <w:rPr>
          <w:color w:val="000000"/>
          <w:szCs w:val="22"/>
        </w:rPr>
        <w:t>čas</w:t>
      </w:r>
      <w:r w:rsidRPr="00051880">
        <w:rPr>
          <w:color w:val="000000"/>
          <w:szCs w:val="22"/>
        </w:rPr>
        <w:t xml:space="preserve"> 1 minút</w:t>
      </w:r>
      <w:r w:rsidR="009A0E97" w:rsidRPr="00051880">
        <w:rPr>
          <w:color w:val="000000"/>
          <w:szCs w:val="22"/>
        </w:rPr>
        <w:t>y</w:t>
      </w:r>
      <w:r w:rsidRPr="00051880">
        <w:rPr>
          <w:color w:val="000000"/>
          <w:szCs w:val="22"/>
        </w:rPr>
        <w:t xml:space="preserve"> s následnou kontinuálnou intravenóznou infúziou 10 – 40</w:t>
      </w:r>
      <w:r w:rsidR="00C63EB2" w:rsidRPr="00051880">
        <w:rPr>
          <w:color w:val="000000"/>
          <w:szCs w:val="22"/>
        </w:rPr>
        <w:t> </w:t>
      </w:r>
      <w:r w:rsidRPr="00051880">
        <w:rPr>
          <w:color w:val="000000"/>
          <w:szCs w:val="22"/>
        </w:rPr>
        <w:t>mikrogramov/kg</w:t>
      </w:r>
      <w:r w:rsidR="005B66A1" w:rsidRPr="00051880">
        <w:rPr>
          <w:color w:val="000000"/>
          <w:szCs w:val="22"/>
        </w:rPr>
        <w:t> </w:t>
      </w:r>
      <w:r w:rsidRPr="00051880">
        <w:rPr>
          <w:color w:val="000000"/>
          <w:szCs w:val="22"/>
        </w:rPr>
        <w:t xml:space="preserve">telesnej hmotnosti/min. </w:t>
      </w:r>
    </w:p>
    <w:p w:rsidR="00BA558B" w:rsidRPr="00051880" w:rsidRDefault="00BA558B" w:rsidP="00C63EB2">
      <w:pPr>
        <w:tabs>
          <w:tab w:val="clear" w:pos="567"/>
        </w:tabs>
        <w:spacing w:line="240" w:lineRule="auto"/>
        <w:rPr>
          <w:color w:val="000000"/>
          <w:szCs w:val="22"/>
        </w:rPr>
      </w:pPr>
      <w:r w:rsidRPr="00051880">
        <w:rPr>
          <w:color w:val="000000"/>
          <w:szCs w:val="22"/>
        </w:rPr>
        <w:t>Pokiaľ nie je nutný rýchly nástup účinku spôsobujúceho spomalenie srdcového rytmu (do 2 až 4</w:t>
      </w:r>
      <w:r w:rsidR="00C63EB2" w:rsidRPr="00051880">
        <w:rPr>
          <w:color w:val="000000"/>
          <w:szCs w:val="22"/>
        </w:rPr>
        <w:t> </w:t>
      </w:r>
      <w:r w:rsidRPr="00051880">
        <w:rPr>
          <w:color w:val="000000"/>
          <w:szCs w:val="22"/>
        </w:rPr>
        <w:t>min)</w:t>
      </w:r>
      <w:r w:rsidR="00BC0204" w:rsidRPr="00051880">
        <w:rPr>
          <w:color w:val="000000"/>
          <w:szCs w:val="22"/>
        </w:rPr>
        <w:t>, pri začatí</w:t>
      </w:r>
      <w:r w:rsidRPr="00051880">
        <w:rPr>
          <w:color w:val="000000"/>
          <w:szCs w:val="22"/>
        </w:rPr>
        <w:t xml:space="preserve"> infúzi</w:t>
      </w:r>
      <w:r w:rsidR="00BC0204" w:rsidRPr="00051880">
        <w:rPr>
          <w:color w:val="000000"/>
          <w:szCs w:val="22"/>
        </w:rPr>
        <w:t>e</w:t>
      </w:r>
      <w:r w:rsidRPr="00051880">
        <w:rPr>
          <w:color w:val="000000"/>
          <w:szCs w:val="22"/>
        </w:rPr>
        <w:t xml:space="preserve"> s udržiavacou infúznou rýchlosťou 10 – 40</w:t>
      </w:r>
      <w:r w:rsidR="00C63EB2" w:rsidRPr="00051880">
        <w:rPr>
          <w:color w:val="000000"/>
          <w:szCs w:val="22"/>
        </w:rPr>
        <w:t> </w:t>
      </w:r>
      <w:r w:rsidRPr="00051880">
        <w:rPr>
          <w:color w:val="000000"/>
          <w:szCs w:val="22"/>
        </w:rPr>
        <w:t>mikrogramov/kg</w:t>
      </w:r>
      <w:r w:rsidR="005B66A1" w:rsidRPr="00051880">
        <w:rPr>
          <w:color w:val="000000"/>
          <w:szCs w:val="22"/>
        </w:rPr>
        <w:t> </w:t>
      </w:r>
      <w:r w:rsidRPr="00051880">
        <w:rPr>
          <w:color w:val="000000"/>
          <w:szCs w:val="22"/>
        </w:rPr>
        <w:t>telesnej hmotnosti/min</w:t>
      </w:r>
      <w:r w:rsidR="00BC0204" w:rsidRPr="00051880">
        <w:rPr>
          <w:color w:val="000000"/>
          <w:szCs w:val="22"/>
        </w:rPr>
        <w:t xml:space="preserve"> sa </w:t>
      </w:r>
      <w:r w:rsidRPr="00051880">
        <w:rPr>
          <w:color w:val="000000"/>
          <w:szCs w:val="22"/>
        </w:rPr>
        <w:t>účinok dosiahne v rozmedzí 10 – 20</w:t>
      </w:r>
      <w:r w:rsidR="00C63EB2" w:rsidRPr="00051880">
        <w:rPr>
          <w:color w:val="000000"/>
          <w:szCs w:val="22"/>
        </w:rPr>
        <w:t> </w:t>
      </w:r>
      <w:r w:rsidRPr="00051880">
        <w:rPr>
          <w:color w:val="000000"/>
          <w:szCs w:val="22"/>
        </w:rPr>
        <w:t>min.</w:t>
      </w:r>
    </w:p>
    <w:p w:rsidR="00BA558B" w:rsidRPr="00051880" w:rsidRDefault="00BA558B" w:rsidP="00DF1CD8">
      <w:pPr>
        <w:tabs>
          <w:tab w:val="clear" w:pos="567"/>
        </w:tabs>
        <w:spacing w:line="240" w:lineRule="auto"/>
        <w:rPr>
          <w:color w:val="000000"/>
          <w:szCs w:val="22"/>
        </w:rPr>
      </w:pPr>
    </w:p>
    <w:p w:rsidR="00BA558B" w:rsidRPr="00051880" w:rsidRDefault="00BA558B" w:rsidP="00DF1CD8">
      <w:pPr>
        <w:tabs>
          <w:tab w:val="clear" w:pos="567"/>
        </w:tabs>
        <w:spacing w:line="240" w:lineRule="auto"/>
        <w:rPr>
          <w:color w:val="000000"/>
          <w:szCs w:val="22"/>
        </w:rPr>
      </w:pPr>
      <w:r w:rsidRPr="00051880">
        <w:rPr>
          <w:i/>
          <w:szCs w:val="22"/>
        </w:rPr>
        <w:t>Maximálna dávka</w:t>
      </w:r>
      <w:r w:rsidRPr="00051880">
        <w:rPr>
          <w:szCs w:val="22"/>
        </w:rPr>
        <w:t>:</w:t>
      </w:r>
      <w:r w:rsidRPr="00051880">
        <w:rPr>
          <w:color w:val="000000"/>
          <w:szCs w:val="22"/>
        </w:rPr>
        <w:t xml:space="preserve"> V prípade, že sa požadovaná terapeutická odpoveď nepodarí dosiahnuť týmto dávkovacím režimom, udržiavacia dávka sa môže zvýšiť až na 80</w:t>
      </w:r>
      <w:r w:rsidR="00C63EB2" w:rsidRPr="00051880">
        <w:rPr>
          <w:color w:val="000000"/>
          <w:szCs w:val="22"/>
        </w:rPr>
        <w:t> </w:t>
      </w:r>
      <w:r w:rsidRPr="00051880">
        <w:rPr>
          <w:color w:val="000000"/>
          <w:szCs w:val="22"/>
        </w:rPr>
        <w:t xml:space="preserve">mikrogramov/kg telesnej hmotnosti/min, pokiaľ to kardiovaskulárny stav pacienta vyžaduje a umožňuje také zvýšenie dávky. </w:t>
      </w:r>
    </w:p>
    <w:p w:rsidR="00BA558B" w:rsidRPr="00051880" w:rsidRDefault="00BA558B" w:rsidP="00DF1CD8">
      <w:pPr>
        <w:tabs>
          <w:tab w:val="clear" w:pos="567"/>
        </w:tabs>
        <w:spacing w:line="240" w:lineRule="auto"/>
        <w:rPr>
          <w:color w:val="000000"/>
          <w:szCs w:val="22"/>
        </w:rPr>
      </w:pPr>
    </w:p>
    <w:p w:rsidR="00BA558B" w:rsidRPr="00051880" w:rsidRDefault="00BA558B" w:rsidP="00DF1CD8">
      <w:pPr>
        <w:tabs>
          <w:tab w:val="clear" w:pos="567"/>
        </w:tabs>
        <w:spacing w:line="240" w:lineRule="auto"/>
        <w:rPr>
          <w:szCs w:val="22"/>
        </w:rPr>
      </w:pPr>
      <w:r w:rsidRPr="00051880">
        <w:rPr>
          <w:szCs w:val="22"/>
        </w:rPr>
        <w:t xml:space="preserve">Konverzná tabuľka pre počiatočnú intravenóznu infúziu z mikrogramov/kg/min na ml/h (Rapibloc 300 mg/50 ml = </w:t>
      </w:r>
      <w:r w:rsidRPr="00051880">
        <w:rPr>
          <w:b/>
          <w:szCs w:val="22"/>
        </w:rPr>
        <w:t>6 mg/ml</w:t>
      </w:r>
      <w:r w:rsidRPr="00051880">
        <w:rPr>
          <w:szCs w:val="22"/>
        </w:rPr>
        <w:t>):</w:t>
      </w:r>
    </w:p>
    <w:p w:rsidR="009A0E97" w:rsidRPr="00051880" w:rsidRDefault="009A0E97" w:rsidP="00DF1CD8">
      <w:pPr>
        <w:tabs>
          <w:tab w:val="clear" w:pos="567"/>
        </w:tabs>
        <w:spacing w:line="240" w:lineRule="auto"/>
        <w:rPr>
          <w:color w:val="000000"/>
          <w:szCs w:val="22"/>
        </w:rPr>
      </w:pPr>
    </w:p>
    <w:tbl>
      <w:tblPr>
        <w:tblpPr w:leftFromText="141" w:rightFromText="141" w:vertAnchor="text" w:horzAnchor="margin" w:tblpY="38"/>
        <w:tblOverlap w:val="never"/>
        <w:tblW w:w="2263" w:type="dxa"/>
        <w:tblLayout w:type="fixed"/>
        <w:tblCellMar>
          <w:left w:w="70" w:type="dxa"/>
          <w:right w:w="70" w:type="dxa"/>
        </w:tblCellMar>
        <w:tblLook w:val="04A0"/>
      </w:tblPr>
      <w:tblGrid>
        <w:gridCol w:w="846"/>
        <w:gridCol w:w="850"/>
        <w:gridCol w:w="567"/>
      </w:tblGrid>
      <w:tr w:rsidR="00BA558B" w:rsidRPr="00051880" w:rsidTr="00BA558B">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558B" w:rsidRPr="00051880" w:rsidRDefault="00BA558B" w:rsidP="00DF1CD8">
            <w:pPr>
              <w:spacing w:line="240" w:lineRule="auto"/>
              <w:rPr>
                <w:color w:val="000000"/>
                <w:szCs w:val="22"/>
              </w:rPr>
            </w:pPr>
            <w:r w:rsidRPr="00051880">
              <w:rPr>
                <w:color w:val="000000"/>
                <w:szCs w:val="22"/>
              </w:rPr>
              <w:t>kg telesnej hmotnosti</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BA558B" w:rsidRPr="00051880" w:rsidRDefault="00BA558B" w:rsidP="00DF1CD8">
            <w:pPr>
              <w:spacing w:line="240" w:lineRule="auto"/>
              <w:rPr>
                <w:color w:val="000000"/>
                <w:szCs w:val="22"/>
              </w:rPr>
            </w:pPr>
            <w:r w:rsidRPr="00051880">
              <w:rPr>
                <w:color w:val="000000"/>
                <w:szCs w:val="22"/>
              </w:rPr>
              <w:t>100 µg/kg za 1 minútu</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BA558B" w:rsidRPr="00051880" w:rsidRDefault="00BA558B" w:rsidP="00DF1CD8">
            <w:pPr>
              <w:spacing w:line="240" w:lineRule="auto"/>
              <w:rPr>
                <w:color w:val="000000"/>
                <w:szCs w:val="22"/>
              </w:rPr>
            </w:pPr>
          </w:p>
        </w:tc>
      </w:tr>
      <w:tr w:rsidR="00BA558B" w:rsidRPr="00051880" w:rsidTr="00BA558B">
        <w:trPr>
          <w:trHeight w:val="22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40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40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BA558B" w:rsidRPr="00051880" w:rsidRDefault="00BA558B" w:rsidP="00DF1CD8">
            <w:pPr>
              <w:spacing w:line="240" w:lineRule="auto"/>
              <w:rPr>
                <w:color w:val="000000"/>
                <w:szCs w:val="22"/>
              </w:rPr>
            </w:pPr>
            <w:r w:rsidRPr="00051880">
              <w:rPr>
                <w:color w:val="000000"/>
                <w:szCs w:val="22"/>
              </w:rPr>
              <w:t>ml/h</w:t>
            </w:r>
          </w:p>
        </w:tc>
      </w:tr>
      <w:tr w:rsidR="00BA558B" w:rsidRPr="00051880" w:rsidTr="00BA558B">
        <w:trPr>
          <w:trHeight w:val="227"/>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50</w:t>
            </w:r>
          </w:p>
        </w:tc>
        <w:tc>
          <w:tcPr>
            <w:tcW w:w="850" w:type="dxa"/>
            <w:tcBorders>
              <w:top w:val="nil"/>
              <w:left w:val="nil"/>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50</w:t>
            </w:r>
          </w:p>
        </w:tc>
        <w:tc>
          <w:tcPr>
            <w:tcW w:w="567" w:type="dxa"/>
            <w:tcBorders>
              <w:top w:val="nil"/>
              <w:left w:val="nil"/>
              <w:bottom w:val="single" w:sz="4" w:space="0" w:color="auto"/>
              <w:right w:val="single" w:sz="4" w:space="0" w:color="auto"/>
            </w:tcBorders>
            <w:shd w:val="clear" w:color="auto" w:fill="auto"/>
            <w:noWrap/>
            <w:vAlign w:val="bottom"/>
          </w:tcPr>
          <w:p w:rsidR="00BA558B" w:rsidRPr="00051880" w:rsidRDefault="00BA558B" w:rsidP="00DF1CD8">
            <w:pPr>
              <w:spacing w:line="240" w:lineRule="auto"/>
              <w:rPr>
                <w:color w:val="000000"/>
                <w:szCs w:val="22"/>
              </w:rPr>
            </w:pPr>
            <w:r w:rsidRPr="00051880">
              <w:rPr>
                <w:color w:val="000000"/>
                <w:szCs w:val="22"/>
              </w:rPr>
              <w:t>ml/h</w:t>
            </w:r>
          </w:p>
        </w:tc>
      </w:tr>
      <w:tr w:rsidR="00BA558B" w:rsidRPr="00051880" w:rsidTr="00BA558B">
        <w:trPr>
          <w:trHeight w:val="227"/>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60</w:t>
            </w:r>
          </w:p>
        </w:tc>
        <w:tc>
          <w:tcPr>
            <w:tcW w:w="850" w:type="dxa"/>
            <w:tcBorders>
              <w:top w:val="nil"/>
              <w:left w:val="nil"/>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60</w:t>
            </w:r>
          </w:p>
        </w:tc>
        <w:tc>
          <w:tcPr>
            <w:tcW w:w="567" w:type="dxa"/>
            <w:tcBorders>
              <w:top w:val="nil"/>
              <w:left w:val="nil"/>
              <w:bottom w:val="single" w:sz="4" w:space="0" w:color="auto"/>
              <w:right w:val="single" w:sz="4" w:space="0" w:color="auto"/>
            </w:tcBorders>
            <w:shd w:val="clear" w:color="auto" w:fill="auto"/>
            <w:noWrap/>
            <w:vAlign w:val="bottom"/>
          </w:tcPr>
          <w:p w:rsidR="00BA558B" w:rsidRPr="00051880" w:rsidRDefault="00BA558B" w:rsidP="00DF1CD8">
            <w:pPr>
              <w:spacing w:line="240" w:lineRule="auto"/>
              <w:rPr>
                <w:color w:val="000000"/>
                <w:szCs w:val="22"/>
              </w:rPr>
            </w:pPr>
            <w:r w:rsidRPr="00051880">
              <w:rPr>
                <w:color w:val="000000"/>
                <w:szCs w:val="22"/>
              </w:rPr>
              <w:t>ml/h</w:t>
            </w:r>
          </w:p>
        </w:tc>
      </w:tr>
      <w:tr w:rsidR="00BA558B" w:rsidRPr="00051880" w:rsidTr="00BA558B">
        <w:trPr>
          <w:trHeight w:val="227"/>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70</w:t>
            </w:r>
          </w:p>
        </w:tc>
        <w:tc>
          <w:tcPr>
            <w:tcW w:w="850" w:type="dxa"/>
            <w:tcBorders>
              <w:top w:val="nil"/>
              <w:left w:val="nil"/>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70</w:t>
            </w:r>
          </w:p>
        </w:tc>
        <w:tc>
          <w:tcPr>
            <w:tcW w:w="567" w:type="dxa"/>
            <w:tcBorders>
              <w:top w:val="nil"/>
              <w:left w:val="nil"/>
              <w:bottom w:val="single" w:sz="4" w:space="0" w:color="auto"/>
              <w:right w:val="single" w:sz="4" w:space="0" w:color="auto"/>
            </w:tcBorders>
            <w:shd w:val="clear" w:color="auto" w:fill="auto"/>
            <w:noWrap/>
            <w:vAlign w:val="bottom"/>
          </w:tcPr>
          <w:p w:rsidR="00BA558B" w:rsidRPr="00051880" w:rsidRDefault="00BA558B" w:rsidP="00DF1CD8">
            <w:pPr>
              <w:spacing w:line="240" w:lineRule="auto"/>
              <w:rPr>
                <w:color w:val="000000"/>
                <w:szCs w:val="22"/>
              </w:rPr>
            </w:pPr>
            <w:r w:rsidRPr="00051880">
              <w:rPr>
                <w:color w:val="000000"/>
                <w:szCs w:val="22"/>
              </w:rPr>
              <w:t>ml/h</w:t>
            </w:r>
          </w:p>
        </w:tc>
      </w:tr>
      <w:tr w:rsidR="00BA558B" w:rsidRPr="00051880" w:rsidTr="00BA558B">
        <w:trPr>
          <w:trHeight w:val="227"/>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80</w:t>
            </w:r>
          </w:p>
        </w:tc>
        <w:tc>
          <w:tcPr>
            <w:tcW w:w="850" w:type="dxa"/>
            <w:tcBorders>
              <w:top w:val="nil"/>
              <w:left w:val="nil"/>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80</w:t>
            </w:r>
          </w:p>
        </w:tc>
        <w:tc>
          <w:tcPr>
            <w:tcW w:w="567" w:type="dxa"/>
            <w:tcBorders>
              <w:top w:val="nil"/>
              <w:left w:val="nil"/>
              <w:bottom w:val="single" w:sz="4" w:space="0" w:color="auto"/>
              <w:right w:val="single" w:sz="4" w:space="0" w:color="auto"/>
            </w:tcBorders>
            <w:shd w:val="clear" w:color="auto" w:fill="auto"/>
            <w:noWrap/>
            <w:vAlign w:val="bottom"/>
          </w:tcPr>
          <w:p w:rsidR="00BA558B" w:rsidRPr="00051880" w:rsidRDefault="00BA558B" w:rsidP="00DF1CD8">
            <w:pPr>
              <w:spacing w:line="240" w:lineRule="auto"/>
              <w:rPr>
                <w:color w:val="000000"/>
                <w:szCs w:val="22"/>
              </w:rPr>
            </w:pPr>
            <w:r w:rsidRPr="00051880">
              <w:rPr>
                <w:color w:val="000000"/>
                <w:szCs w:val="22"/>
              </w:rPr>
              <w:t>ml/h</w:t>
            </w:r>
          </w:p>
        </w:tc>
      </w:tr>
      <w:tr w:rsidR="00BA558B" w:rsidRPr="00051880" w:rsidTr="00BA558B">
        <w:trPr>
          <w:trHeight w:val="227"/>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90</w:t>
            </w:r>
          </w:p>
        </w:tc>
        <w:tc>
          <w:tcPr>
            <w:tcW w:w="850" w:type="dxa"/>
            <w:tcBorders>
              <w:top w:val="nil"/>
              <w:left w:val="nil"/>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90</w:t>
            </w:r>
          </w:p>
        </w:tc>
        <w:tc>
          <w:tcPr>
            <w:tcW w:w="567" w:type="dxa"/>
            <w:tcBorders>
              <w:top w:val="nil"/>
              <w:left w:val="nil"/>
              <w:bottom w:val="single" w:sz="4" w:space="0" w:color="auto"/>
              <w:right w:val="single" w:sz="4" w:space="0" w:color="auto"/>
            </w:tcBorders>
            <w:shd w:val="clear" w:color="auto" w:fill="auto"/>
            <w:noWrap/>
            <w:vAlign w:val="bottom"/>
          </w:tcPr>
          <w:p w:rsidR="00BA558B" w:rsidRPr="00051880" w:rsidRDefault="00BA558B" w:rsidP="00DF1CD8">
            <w:pPr>
              <w:spacing w:line="240" w:lineRule="auto"/>
              <w:rPr>
                <w:color w:val="000000"/>
                <w:szCs w:val="22"/>
              </w:rPr>
            </w:pPr>
            <w:r w:rsidRPr="00051880">
              <w:rPr>
                <w:color w:val="000000"/>
                <w:szCs w:val="22"/>
              </w:rPr>
              <w:t>ml/h</w:t>
            </w:r>
          </w:p>
        </w:tc>
      </w:tr>
      <w:tr w:rsidR="00BA558B" w:rsidRPr="00051880" w:rsidTr="00BA558B">
        <w:trPr>
          <w:trHeight w:val="227"/>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100</w:t>
            </w:r>
          </w:p>
        </w:tc>
        <w:tc>
          <w:tcPr>
            <w:tcW w:w="850" w:type="dxa"/>
            <w:tcBorders>
              <w:top w:val="nil"/>
              <w:left w:val="nil"/>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100</w:t>
            </w:r>
          </w:p>
        </w:tc>
        <w:tc>
          <w:tcPr>
            <w:tcW w:w="567" w:type="dxa"/>
            <w:tcBorders>
              <w:top w:val="nil"/>
              <w:left w:val="nil"/>
              <w:bottom w:val="single" w:sz="4" w:space="0" w:color="auto"/>
              <w:right w:val="single" w:sz="4" w:space="0" w:color="auto"/>
            </w:tcBorders>
            <w:shd w:val="clear" w:color="auto" w:fill="auto"/>
            <w:noWrap/>
            <w:vAlign w:val="bottom"/>
          </w:tcPr>
          <w:p w:rsidR="00BA558B" w:rsidRPr="00051880" w:rsidRDefault="00BA558B" w:rsidP="00DF1CD8">
            <w:pPr>
              <w:spacing w:line="240" w:lineRule="auto"/>
              <w:rPr>
                <w:color w:val="000000"/>
                <w:szCs w:val="22"/>
              </w:rPr>
            </w:pPr>
            <w:r w:rsidRPr="00051880">
              <w:rPr>
                <w:color w:val="000000"/>
                <w:szCs w:val="22"/>
              </w:rPr>
              <w:t>ml/h</w:t>
            </w:r>
          </w:p>
        </w:tc>
      </w:tr>
    </w:tbl>
    <w:p w:rsidR="00BA558B" w:rsidRPr="00051880" w:rsidRDefault="00BA558B" w:rsidP="00DF1CD8">
      <w:pPr>
        <w:tabs>
          <w:tab w:val="clear" w:pos="567"/>
        </w:tabs>
        <w:spacing w:line="240" w:lineRule="auto"/>
        <w:rPr>
          <w:color w:val="000000"/>
          <w:szCs w:val="22"/>
        </w:rPr>
      </w:pPr>
      <w:r w:rsidRPr="00051880">
        <w:rPr>
          <w:color w:val="000000"/>
          <w:szCs w:val="22"/>
        </w:rPr>
        <w:t xml:space="preserve"> </w:t>
      </w:r>
    </w:p>
    <w:p w:rsidR="00BA558B" w:rsidRPr="00051880" w:rsidRDefault="00BA558B" w:rsidP="00DF1CD8">
      <w:pPr>
        <w:tabs>
          <w:tab w:val="clear" w:pos="567"/>
        </w:tabs>
        <w:spacing w:line="240" w:lineRule="auto"/>
        <w:rPr>
          <w:color w:val="000000"/>
          <w:szCs w:val="22"/>
        </w:rPr>
      </w:pPr>
    </w:p>
    <w:p w:rsidR="00BA558B" w:rsidRPr="00051880" w:rsidRDefault="00BA558B" w:rsidP="00DF1CD8">
      <w:pPr>
        <w:tabs>
          <w:tab w:val="clear" w:pos="567"/>
        </w:tabs>
        <w:spacing w:line="240" w:lineRule="auto"/>
        <w:rPr>
          <w:color w:val="000000"/>
          <w:szCs w:val="22"/>
        </w:rPr>
      </w:pPr>
    </w:p>
    <w:p w:rsidR="00BA558B" w:rsidRPr="00051880" w:rsidRDefault="00BA558B" w:rsidP="00DF1CD8">
      <w:pPr>
        <w:tabs>
          <w:tab w:val="clear" w:pos="567"/>
        </w:tabs>
        <w:spacing w:line="240" w:lineRule="auto"/>
        <w:rPr>
          <w:color w:val="000000"/>
          <w:szCs w:val="22"/>
        </w:rPr>
      </w:pPr>
    </w:p>
    <w:p w:rsidR="00BA558B" w:rsidRPr="00051880" w:rsidRDefault="00BA558B" w:rsidP="00DF1CD8">
      <w:pPr>
        <w:tabs>
          <w:tab w:val="clear" w:pos="567"/>
        </w:tabs>
        <w:spacing w:line="240" w:lineRule="auto"/>
        <w:rPr>
          <w:color w:val="000000"/>
          <w:szCs w:val="22"/>
        </w:rPr>
      </w:pPr>
    </w:p>
    <w:p w:rsidR="00BA558B" w:rsidRPr="00051880" w:rsidRDefault="00BA558B" w:rsidP="00DF1CD8">
      <w:pPr>
        <w:tabs>
          <w:tab w:val="clear" w:pos="567"/>
        </w:tabs>
        <w:spacing w:line="240" w:lineRule="auto"/>
        <w:rPr>
          <w:color w:val="000000"/>
          <w:szCs w:val="22"/>
        </w:rPr>
      </w:pPr>
    </w:p>
    <w:p w:rsidR="00BA558B" w:rsidRPr="00051880" w:rsidRDefault="00BA558B" w:rsidP="00DF1CD8">
      <w:pPr>
        <w:tabs>
          <w:tab w:val="clear" w:pos="567"/>
        </w:tabs>
        <w:spacing w:line="240" w:lineRule="auto"/>
        <w:rPr>
          <w:color w:val="000000"/>
          <w:szCs w:val="22"/>
        </w:rPr>
      </w:pPr>
    </w:p>
    <w:p w:rsidR="00BA558B" w:rsidRPr="00051880" w:rsidRDefault="00BA558B" w:rsidP="00DF1CD8">
      <w:pPr>
        <w:spacing w:line="240" w:lineRule="auto"/>
        <w:rPr>
          <w:color w:val="000000"/>
          <w:szCs w:val="22"/>
        </w:rPr>
      </w:pPr>
    </w:p>
    <w:p w:rsidR="00BA558B" w:rsidRPr="00051880" w:rsidRDefault="00BA558B" w:rsidP="00DF1CD8">
      <w:pPr>
        <w:spacing w:line="240" w:lineRule="auto"/>
        <w:rPr>
          <w:color w:val="000000"/>
          <w:szCs w:val="22"/>
        </w:rPr>
      </w:pPr>
    </w:p>
    <w:p w:rsidR="00BA558B" w:rsidRPr="00051880" w:rsidRDefault="00BA558B" w:rsidP="00DF1CD8">
      <w:pPr>
        <w:spacing w:line="240" w:lineRule="auto"/>
        <w:rPr>
          <w:color w:val="000000"/>
          <w:szCs w:val="22"/>
        </w:rPr>
      </w:pPr>
    </w:p>
    <w:p w:rsidR="00BA558B" w:rsidRPr="00051880" w:rsidRDefault="00BA558B" w:rsidP="00DF1CD8">
      <w:pPr>
        <w:spacing w:line="240" w:lineRule="auto"/>
        <w:rPr>
          <w:color w:val="000000"/>
          <w:szCs w:val="22"/>
        </w:rPr>
      </w:pPr>
    </w:p>
    <w:p w:rsidR="00BA558B" w:rsidRPr="00051880" w:rsidRDefault="00BA558B" w:rsidP="00DF1CD8">
      <w:pPr>
        <w:spacing w:line="240" w:lineRule="auto"/>
        <w:rPr>
          <w:color w:val="000000"/>
          <w:szCs w:val="22"/>
        </w:rPr>
      </w:pPr>
    </w:p>
    <w:p w:rsidR="009A0E97" w:rsidRPr="00051880" w:rsidRDefault="009A0E97" w:rsidP="00DF1CD8">
      <w:pPr>
        <w:spacing w:line="240" w:lineRule="auto"/>
        <w:rPr>
          <w:color w:val="000000"/>
          <w:szCs w:val="22"/>
        </w:rPr>
      </w:pPr>
    </w:p>
    <w:p w:rsidR="00BA558B" w:rsidRPr="00051880" w:rsidRDefault="00BA558B" w:rsidP="00DF1CD8">
      <w:pPr>
        <w:spacing w:line="240" w:lineRule="auto"/>
        <w:rPr>
          <w:color w:val="000000"/>
          <w:szCs w:val="22"/>
        </w:rPr>
      </w:pPr>
      <w:r w:rsidRPr="00051880">
        <w:rPr>
          <w:color w:val="000000"/>
          <w:szCs w:val="22"/>
        </w:rPr>
        <w:t xml:space="preserve">Konverzná tabuľka pre kontinuálnu intravenóznu infúziu: mikrogramy/kg/min na ml/h </w:t>
      </w:r>
    </w:p>
    <w:p w:rsidR="00BA558B" w:rsidRPr="00051880" w:rsidRDefault="00BA558B" w:rsidP="00DF1CD8">
      <w:pPr>
        <w:spacing w:line="240" w:lineRule="auto"/>
        <w:rPr>
          <w:color w:val="000000"/>
          <w:szCs w:val="22"/>
        </w:rPr>
      </w:pPr>
      <w:r w:rsidRPr="00051880">
        <w:rPr>
          <w:color w:val="000000"/>
          <w:szCs w:val="22"/>
        </w:rPr>
        <w:t xml:space="preserve">(Rapibloc 300 mg/50 ml = </w:t>
      </w:r>
      <w:r w:rsidRPr="00051880">
        <w:rPr>
          <w:b/>
          <w:color w:val="000000"/>
          <w:szCs w:val="22"/>
        </w:rPr>
        <w:t>6 mg/ml</w:t>
      </w:r>
      <w:r w:rsidRPr="00051880">
        <w:rPr>
          <w:color w:val="000000"/>
          <w:szCs w:val="22"/>
        </w:rPr>
        <w:t>):</w:t>
      </w:r>
    </w:p>
    <w:p w:rsidR="009A0E97" w:rsidRPr="00051880" w:rsidRDefault="009A0E97" w:rsidP="00DF1CD8">
      <w:pPr>
        <w:spacing w:line="240" w:lineRule="auto"/>
        <w:rPr>
          <w:color w:val="000000"/>
          <w:szCs w:val="22"/>
        </w:rPr>
      </w:pPr>
    </w:p>
    <w:p w:rsidR="00BA558B" w:rsidRPr="00051880" w:rsidRDefault="00BA558B" w:rsidP="00DF1CD8">
      <w:pPr>
        <w:tabs>
          <w:tab w:val="clear" w:pos="567"/>
        </w:tabs>
        <w:spacing w:line="240" w:lineRule="auto"/>
        <w:rPr>
          <w:color w:val="000000"/>
          <w:szCs w:val="22"/>
        </w:rPr>
      </w:pPr>
    </w:p>
    <w:p w:rsidR="00BA558B" w:rsidRPr="00051880" w:rsidRDefault="00BA558B" w:rsidP="00DF1CD8">
      <w:pPr>
        <w:tabs>
          <w:tab w:val="clear" w:pos="567"/>
        </w:tabs>
        <w:spacing w:line="240" w:lineRule="auto"/>
        <w:rPr>
          <w:color w:val="000000"/>
          <w:szCs w:val="22"/>
        </w:rPr>
      </w:pPr>
    </w:p>
    <w:tbl>
      <w:tblPr>
        <w:tblpPr w:leftFromText="141" w:rightFromText="141" w:vertAnchor="text" w:horzAnchor="margin" w:tblpY="-463"/>
        <w:tblW w:w="7402" w:type="dxa"/>
        <w:tblCellMar>
          <w:left w:w="70" w:type="dxa"/>
          <w:right w:w="70" w:type="dxa"/>
        </w:tblCellMar>
        <w:tblLook w:val="04A0"/>
      </w:tblPr>
      <w:tblGrid>
        <w:gridCol w:w="1302"/>
        <w:gridCol w:w="1062"/>
        <w:gridCol w:w="1062"/>
        <w:gridCol w:w="1062"/>
        <w:gridCol w:w="1062"/>
        <w:gridCol w:w="1062"/>
        <w:gridCol w:w="790"/>
      </w:tblGrid>
      <w:tr w:rsidR="00BA558B" w:rsidRPr="00051880" w:rsidTr="00BA558B">
        <w:trPr>
          <w:trHeight w:val="300"/>
        </w:trPr>
        <w:tc>
          <w:tcPr>
            <w:tcW w:w="13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558B" w:rsidRPr="00051880" w:rsidRDefault="00BA558B" w:rsidP="00DF1CD8">
            <w:pPr>
              <w:spacing w:line="240" w:lineRule="auto"/>
              <w:rPr>
                <w:color w:val="000000"/>
                <w:szCs w:val="22"/>
              </w:rPr>
            </w:pPr>
            <w:r w:rsidRPr="00051880">
              <w:rPr>
                <w:color w:val="000000"/>
                <w:szCs w:val="22"/>
              </w:rPr>
              <w:t>kg telesnej hmotnosti</w:t>
            </w:r>
          </w:p>
        </w:tc>
        <w:tc>
          <w:tcPr>
            <w:tcW w:w="1062" w:type="dxa"/>
            <w:tcBorders>
              <w:top w:val="single" w:sz="4" w:space="0" w:color="auto"/>
              <w:left w:val="nil"/>
              <w:bottom w:val="single" w:sz="4" w:space="0" w:color="auto"/>
              <w:right w:val="single" w:sz="4" w:space="0" w:color="auto"/>
            </w:tcBorders>
            <w:shd w:val="clear" w:color="auto" w:fill="auto"/>
            <w:noWrap/>
            <w:vAlign w:val="bottom"/>
          </w:tcPr>
          <w:p w:rsidR="00BA558B" w:rsidRPr="00051880" w:rsidRDefault="00BA558B" w:rsidP="00DF1CD8">
            <w:pPr>
              <w:spacing w:line="240" w:lineRule="auto"/>
              <w:rPr>
                <w:color w:val="000000"/>
                <w:szCs w:val="22"/>
              </w:rPr>
            </w:pPr>
            <w:r w:rsidRPr="00051880">
              <w:rPr>
                <w:color w:val="000000"/>
                <w:szCs w:val="22"/>
              </w:rPr>
              <w:t>10 µg/kg/min</w:t>
            </w:r>
          </w:p>
        </w:tc>
        <w:tc>
          <w:tcPr>
            <w:tcW w:w="1062" w:type="dxa"/>
            <w:tcBorders>
              <w:top w:val="single" w:sz="4" w:space="0" w:color="auto"/>
              <w:left w:val="nil"/>
              <w:bottom w:val="single" w:sz="4" w:space="0" w:color="auto"/>
              <w:right w:val="single" w:sz="4" w:space="0" w:color="auto"/>
            </w:tcBorders>
            <w:shd w:val="clear" w:color="auto" w:fill="auto"/>
            <w:noWrap/>
            <w:vAlign w:val="bottom"/>
          </w:tcPr>
          <w:p w:rsidR="00BA558B" w:rsidRPr="00051880" w:rsidRDefault="00BA558B" w:rsidP="00DF1CD8">
            <w:pPr>
              <w:spacing w:line="240" w:lineRule="auto"/>
              <w:rPr>
                <w:color w:val="000000"/>
                <w:szCs w:val="22"/>
              </w:rPr>
            </w:pPr>
            <w:r w:rsidRPr="00051880">
              <w:rPr>
                <w:color w:val="000000"/>
                <w:szCs w:val="22"/>
              </w:rPr>
              <w:t>20 µg/kg/min</w:t>
            </w:r>
          </w:p>
        </w:tc>
        <w:tc>
          <w:tcPr>
            <w:tcW w:w="1062" w:type="dxa"/>
            <w:tcBorders>
              <w:top w:val="single" w:sz="4" w:space="0" w:color="auto"/>
              <w:left w:val="nil"/>
              <w:bottom w:val="single" w:sz="4" w:space="0" w:color="auto"/>
              <w:right w:val="single" w:sz="4" w:space="0" w:color="auto"/>
            </w:tcBorders>
            <w:shd w:val="clear" w:color="auto" w:fill="auto"/>
            <w:noWrap/>
            <w:vAlign w:val="bottom"/>
          </w:tcPr>
          <w:p w:rsidR="00BA558B" w:rsidRPr="00051880" w:rsidRDefault="00BA558B" w:rsidP="00DF1CD8">
            <w:pPr>
              <w:spacing w:line="240" w:lineRule="auto"/>
              <w:rPr>
                <w:color w:val="000000"/>
                <w:szCs w:val="22"/>
              </w:rPr>
            </w:pPr>
            <w:r w:rsidRPr="00051880">
              <w:rPr>
                <w:color w:val="000000"/>
                <w:szCs w:val="22"/>
              </w:rPr>
              <w:t>30 µg/kg/min</w:t>
            </w:r>
          </w:p>
        </w:tc>
        <w:tc>
          <w:tcPr>
            <w:tcW w:w="1062" w:type="dxa"/>
            <w:tcBorders>
              <w:top w:val="single" w:sz="4" w:space="0" w:color="auto"/>
              <w:left w:val="nil"/>
              <w:bottom w:val="single" w:sz="4" w:space="0" w:color="auto"/>
              <w:right w:val="single" w:sz="4" w:space="0" w:color="auto"/>
            </w:tcBorders>
            <w:shd w:val="clear" w:color="auto" w:fill="auto"/>
            <w:noWrap/>
            <w:vAlign w:val="bottom"/>
          </w:tcPr>
          <w:p w:rsidR="00BA558B" w:rsidRPr="00051880" w:rsidRDefault="00BA558B" w:rsidP="00DF1CD8">
            <w:pPr>
              <w:spacing w:line="240" w:lineRule="auto"/>
              <w:rPr>
                <w:color w:val="000000"/>
                <w:szCs w:val="22"/>
              </w:rPr>
            </w:pPr>
            <w:r w:rsidRPr="00051880">
              <w:rPr>
                <w:color w:val="000000"/>
                <w:szCs w:val="22"/>
              </w:rPr>
              <w:t>40 µg/kg/min</w:t>
            </w:r>
          </w:p>
        </w:tc>
        <w:tc>
          <w:tcPr>
            <w:tcW w:w="1062" w:type="dxa"/>
            <w:tcBorders>
              <w:top w:val="single" w:sz="4" w:space="0" w:color="auto"/>
              <w:left w:val="nil"/>
              <w:bottom w:val="single" w:sz="4" w:space="0" w:color="auto"/>
              <w:right w:val="single" w:sz="4" w:space="0" w:color="auto"/>
            </w:tcBorders>
            <w:shd w:val="clear" w:color="auto" w:fill="auto"/>
            <w:noWrap/>
            <w:vAlign w:val="bottom"/>
          </w:tcPr>
          <w:p w:rsidR="00BA558B" w:rsidRPr="00051880" w:rsidRDefault="00BA558B" w:rsidP="00DF1CD8">
            <w:pPr>
              <w:spacing w:line="240" w:lineRule="auto"/>
              <w:rPr>
                <w:color w:val="000000"/>
                <w:szCs w:val="22"/>
              </w:rPr>
            </w:pPr>
            <w:r w:rsidRPr="00051880">
              <w:rPr>
                <w:color w:val="000000"/>
                <w:szCs w:val="22"/>
              </w:rPr>
              <w:t>80 µg/kg/min</w:t>
            </w:r>
          </w:p>
        </w:tc>
        <w:tc>
          <w:tcPr>
            <w:tcW w:w="790" w:type="dxa"/>
            <w:tcBorders>
              <w:top w:val="single" w:sz="4" w:space="0" w:color="auto"/>
              <w:left w:val="nil"/>
              <w:bottom w:val="single" w:sz="4" w:space="0" w:color="auto"/>
              <w:right w:val="single" w:sz="4" w:space="0" w:color="auto"/>
            </w:tcBorders>
            <w:shd w:val="clear" w:color="auto" w:fill="auto"/>
            <w:noWrap/>
            <w:vAlign w:val="bottom"/>
          </w:tcPr>
          <w:p w:rsidR="00BA558B" w:rsidRPr="00051880" w:rsidRDefault="00BA558B" w:rsidP="00DF1CD8">
            <w:pPr>
              <w:spacing w:line="240" w:lineRule="auto"/>
              <w:rPr>
                <w:color w:val="000000"/>
                <w:szCs w:val="22"/>
              </w:rPr>
            </w:pPr>
          </w:p>
        </w:tc>
      </w:tr>
      <w:tr w:rsidR="00BA558B" w:rsidRPr="00051880" w:rsidTr="00BA558B">
        <w:trPr>
          <w:trHeight w:val="227"/>
        </w:trPr>
        <w:tc>
          <w:tcPr>
            <w:tcW w:w="13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40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4</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8</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12</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16</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32</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ml/h</w:t>
            </w:r>
          </w:p>
        </w:tc>
      </w:tr>
      <w:tr w:rsidR="00BA558B" w:rsidRPr="00051880" w:rsidTr="00BA558B">
        <w:trPr>
          <w:trHeight w:val="227"/>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50</w:t>
            </w:r>
          </w:p>
        </w:tc>
        <w:tc>
          <w:tcPr>
            <w:tcW w:w="1062" w:type="dxa"/>
            <w:tcBorders>
              <w:top w:val="nil"/>
              <w:left w:val="nil"/>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5</w:t>
            </w:r>
          </w:p>
        </w:tc>
        <w:tc>
          <w:tcPr>
            <w:tcW w:w="1062" w:type="dxa"/>
            <w:tcBorders>
              <w:top w:val="nil"/>
              <w:left w:val="nil"/>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10</w:t>
            </w:r>
          </w:p>
        </w:tc>
        <w:tc>
          <w:tcPr>
            <w:tcW w:w="1062" w:type="dxa"/>
            <w:tcBorders>
              <w:top w:val="nil"/>
              <w:left w:val="nil"/>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15</w:t>
            </w:r>
          </w:p>
        </w:tc>
        <w:tc>
          <w:tcPr>
            <w:tcW w:w="1062" w:type="dxa"/>
            <w:tcBorders>
              <w:top w:val="nil"/>
              <w:left w:val="nil"/>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20</w:t>
            </w:r>
          </w:p>
        </w:tc>
        <w:tc>
          <w:tcPr>
            <w:tcW w:w="1062" w:type="dxa"/>
            <w:tcBorders>
              <w:top w:val="nil"/>
              <w:left w:val="nil"/>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40</w:t>
            </w:r>
          </w:p>
        </w:tc>
        <w:tc>
          <w:tcPr>
            <w:tcW w:w="790" w:type="dxa"/>
            <w:tcBorders>
              <w:top w:val="nil"/>
              <w:left w:val="nil"/>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ml/h</w:t>
            </w:r>
          </w:p>
        </w:tc>
      </w:tr>
      <w:tr w:rsidR="00BA558B" w:rsidRPr="00051880" w:rsidTr="00BA558B">
        <w:trPr>
          <w:trHeight w:val="227"/>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60</w:t>
            </w:r>
          </w:p>
        </w:tc>
        <w:tc>
          <w:tcPr>
            <w:tcW w:w="1062" w:type="dxa"/>
            <w:tcBorders>
              <w:top w:val="nil"/>
              <w:left w:val="nil"/>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6</w:t>
            </w:r>
          </w:p>
        </w:tc>
        <w:tc>
          <w:tcPr>
            <w:tcW w:w="1062" w:type="dxa"/>
            <w:tcBorders>
              <w:top w:val="nil"/>
              <w:left w:val="nil"/>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12</w:t>
            </w:r>
          </w:p>
        </w:tc>
        <w:tc>
          <w:tcPr>
            <w:tcW w:w="1062" w:type="dxa"/>
            <w:tcBorders>
              <w:top w:val="nil"/>
              <w:left w:val="nil"/>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18</w:t>
            </w:r>
          </w:p>
        </w:tc>
        <w:tc>
          <w:tcPr>
            <w:tcW w:w="1062" w:type="dxa"/>
            <w:tcBorders>
              <w:top w:val="nil"/>
              <w:left w:val="nil"/>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24</w:t>
            </w:r>
          </w:p>
        </w:tc>
        <w:tc>
          <w:tcPr>
            <w:tcW w:w="1062" w:type="dxa"/>
            <w:tcBorders>
              <w:top w:val="nil"/>
              <w:left w:val="nil"/>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48</w:t>
            </w:r>
          </w:p>
        </w:tc>
        <w:tc>
          <w:tcPr>
            <w:tcW w:w="790" w:type="dxa"/>
            <w:tcBorders>
              <w:top w:val="nil"/>
              <w:left w:val="nil"/>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ml/h</w:t>
            </w:r>
          </w:p>
        </w:tc>
      </w:tr>
      <w:tr w:rsidR="00BA558B" w:rsidRPr="00051880" w:rsidTr="00BA558B">
        <w:trPr>
          <w:trHeight w:val="227"/>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70</w:t>
            </w:r>
          </w:p>
        </w:tc>
        <w:tc>
          <w:tcPr>
            <w:tcW w:w="1062" w:type="dxa"/>
            <w:tcBorders>
              <w:top w:val="nil"/>
              <w:left w:val="nil"/>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7</w:t>
            </w:r>
          </w:p>
        </w:tc>
        <w:tc>
          <w:tcPr>
            <w:tcW w:w="1062" w:type="dxa"/>
            <w:tcBorders>
              <w:top w:val="nil"/>
              <w:left w:val="nil"/>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14</w:t>
            </w:r>
          </w:p>
        </w:tc>
        <w:tc>
          <w:tcPr>
            <w:tcW w:w="1062" w:type="dxa"/>
            <w:tcBorders>
              <w:top w:val="nil"/>
              <w:left w:val="nil"/>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21</w:t>
            </w:r>
          </w:p>
        </w:tc>
        <w:tc>
          <w:tcPr>
            <w:tcW w:w="1062" w:type="dxa"/>
            <w:tcBorders>
              <w:top w:val="nil"/>
              <w:left w:val="nil"/>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28</w:t>
            </w:r>
          </w:p>
        </w:tc>
        <w:tc>
          <w:tcPr>
            <w:tcW w:w="1062" w:type="dxa"/>
            <w:tcBorders>
              <w:top w:val="nil"/>
              <w:left w:val="nil"/>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56</w:t>
            </w:r>
          </w:p>
        </w:tc>
        <w:tc>
          <w:tcPr>
            <w:tcW w:w="790" w:type="dxa"/>
            <w:tcBorders>
              <w:top w:val="nil"/>
              <w:left w:val="nil"/>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ml/h</w:t>
            </w:r>
          </w:p>
        </w:tc>
      </w:tr>
      <w:tr w:rsidR="00BA558B" w:rsidRPr="00051880" w:rsidTr="00BA558B">
        <w:trPr>
          <w:trHeight w:val="227"/>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80</w:t>
            </w:r>
          </w:p>
        </w:tc>
        <w:tc>
          <w:tcPr>
            <w:tcW w:w="1062" w:type="dxa"/>
            <w:tcBorders>
              <w:top w:val="nil"/>
              <w:left w:val="nil"/>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8</w:t>
            </w:r>
          </w:p>
        </w:tc>
        <w:tc>
          <w:tcPr>
            <w:tcW w:w="1062" w:type="dxa"/>
            <w:tcBorders>
              <w:top w:val="nil"/>
              <w:left w:val="nil"/>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16</w:t>
            </w:r>
          </w:p>
        </w:tc>
        <w:tc>
          <w:tcPr>
            <w:tcW w:w="1062" w:type="dxa"/>
            <w:tcBorders>
              <w:top w:val="nil"/>
              <w:left w:val="nil"/>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24</w:t>
            </w:r>
          </w:p>
        </w:tc>
        <w:tc>
          <w:tcPr>
            <w:tcW w:w="1062" w:type="dxa"/>
            <w:tcBorders>
              <w:top w:val="nil"/>
              <w:left w:val="nil"/>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32</w:t>
            </w:r>
          </w:p>
        </w:tc>
        <w:tc>
          <w:tcPr>
            <w:tcW w:w="1062" w:type="dxa"/>
            <w:tcBorders>
              <w:top w:val="nil"/>
              <w:left w:val="nil"/>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64</w:t>
            </w:r>
          </w:p>
        </w:tc>
        <w:tc>
          <w:tcPr>
            <w:tcW w:w="790" w:type="dxa"/>
            <w:tcBorders>
              <w:top w:val="nil"/>
              <w:left w:val="nil"/>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ml/h</w:t>
            </w:r>
          </w:p>
        </w:tc>
      </w:tr>
      <w:tr w:rsidR="00BA558B" w:rsidRPr="00051880" w:rsidTr="00BA558B">
        <w:trPr>
          <w:trHeight w:val="227"/>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90</w:t>
            </w:r>
          </w:p>
        </w:tc>
        <w:tc>
          <w:tcPr>
            <w:tcW w:w="1062" w:type="dxa"/>
            <w:tcBorders>
              <w:top w:val="nil"/>
              <w:left w:val="nil"/>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9</w:t>
            </w:r>
          </w:p>
        </w:tc>
        <w:tc>
          <w:tcPr>
            <w:tcW w:w="1062" w:type="dxa"/>
            <w:tcBorders>
              <w:top w:val="nil"/>
              <w:left w:val="nil"/>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18</w:t>
            </w:r>
          </w:p>
        </w:tc>
        <w:tc>
          <w:tcPr>
            <w:tcW w:w="1062" w:type="dxa"/>
            <w:tcBorders>
              <w:top w:val="nil"/>
              <w:left w:val="nil"/>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27</w:t>
            </w:r>
          </w:p>
        </w:tc>
        <w:tc>
          <w:tcPr>
            <w:tcW w:w="1062" w:type="dxa"/>
            <w:tcBorders>
              <w:top w:val="nil"/>
              <w:left w:val="nil"/>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36</w:t>
            </w:r>
          </w:p>
        </w:tc>
        <w:tc>
          <w:tcPr>
            <w:tcW w:w="1062" w:type="dxa"/>
            <w:tcBorders>
              <w:top w:val="nil"/>
              <w:left w:val="nil"/>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72</w:t>
            </w:r>
          </w:p>
        </w:tc>
        <w:tc>
          <w:tcPr>
            <w:tcW w:w="790" w:type="dxa"/>
            <w:tcBorders>
              <w:top w:val="nil"/>
              <w:left w:val="nil"/>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ml/h</w:t>
            </w:r>
          </w:p>
        </w:tc>
      </w:tr>
      <w:tr w:rsidR="00BA558B" w:rsidRPr="00051880" w:rsidTr="00BA558B">
        <w:trPr>
          <w:trHeight w:val="227"/>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100</w:t>
            </w:r>
          </w:p>
        </w:tc>
        <w:tc>
          <w:tcPr>
            <w:tcW w:w="1062" w:type="dxa"/>
            <w:tcBorders>
              <w:top w:val="nil"/>
              <w:left w:val="nil"/>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10</w:t>
            </w:r>
          </w:p>
        </w:tc>
        <w:tc>
          <w:tcPr>
            <w:tcW w:w="1062" w:type="dxa"/>
            <w:tcBorders>
              <w:top w:val="nil"/>
              <w:left w:val="nil"/>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20</w:t>
            </w:r>
          </w:p>
        </w:tc>
        <w:tc>
          <w:tcPr>
            <w:tcW w:w="1062" w:type="dxa"/>
            <w:tcBorders>
              <w:top w:val="nil"/>
              <w:left w:val="nil"/>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30</w:t>
            </w:r>
          </w:p>
        </w:tc>
        <w:tc>
          <w:tcPr>
            <w:tcW w:w="1062" w:type="dxa"/>
            <w:tcBorders>
              <w:top w:val="nil"/>
              <w:left w:val="nil"/>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40</w:t>
            </w:r>
          </w:p>
        </w:tc>
        <w:tc>
          <w:tcPr>
            <w:tcW w:w="1062" w:type="dxa"/>
            <w:tcBorders>
              <w:top w:val="nil"/>
              <w:left w:val="nil"/>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80</w:t>
            </w:r>
          </w:p>
        </w:tc>
        <w:tc>
          <w:tcPr>
            <w:tcW w:w="790" w:type="dxa"/>
            <w:tcBorders>
              <w:top w:val="nil"/>
              <w:left w:val="nil"/>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ml/h</w:t>
            </w:r>
          </w:p>
        </w:tc>
      </w:tr>
    </w:tbl>
    <w:p w:rsidR="00BA558B" w:rsidRPr="00051880" w:rsidRDefault="00BA558B" w:rsidP="00DF1CD8">
      <w:pPr>
        <w:tabs>
          <w:tab w:val="clear" w:pos="567"/>
        </w:tabs>
        <w:spacing w:line="240" w:lineRule="auto"/>
        <w:rPr>
          <w:color w:val="000000"/>
          <w:szCs w:val="22"/>
        </w:rPr>
      </w:pPr>
    </w:p>
    <w:p w:rsidR="00BA558B" w:rsidRPr="00051880" w:rsidRDefault="00BA558B" w:rsidP="00DF1CD8">
      <w:pPr>
        <w:tabs>
          <w:tab w:val="clear" w:pos="567"/>
        </w:tabs>
        <w:spacing w:line="240" w:lineRule="auto"/>
        <w:rPr>
          <w:color w:val="000000"/>
          <w:szCs w:val="22"/>
        </w:rPr>
      </w:pPr>
    </w:p>
    <w:p w:rsidR="00BA558B" w:rsidRPr="00051880" w:rsidRDefault="00BA558B" w:rsidP="00DF1CD8">
      <w:pPr>
        <w:tabs>
          <w:tab w:val="clear" w:pos="567"/>
        </w:tabs>
        <w:spacing w:line="240" w:lineRule="auto"/>
        <w:rPr>
          <w:color w:val="000000"/>
          <w:szCs w:val="22"/>
        </w:rPr>
      </w:pPr>
    </w:p>
    <w:p w:rsidR="00BA558B" w:rsidRPr="00051880" w:rsidRDefault="00BA558B" w:rsidP="00DF1CD8">
      <w:pPr>
        <w:tabs>
          <w:tab w:val="clear" w:pos="567"/>
        </w:tabs>
        <w:spacing w:line="240" w:lineRule="auto"/>
        <w:rPr>
          <w:color w:val="000000"/>
          <w:szCs w:val="22"/>
        </w:rPr>
      </w:pPr>
    </w:p>
    <w:p w:rsidR="00BA558B" w:rsidRPr="00051880" w:rsidRDefault="00BA558B" w:rsidP="00DF1CD8">
      <w:pPr>
        <w:tabs>
          <w:tab w:val="clear" w:pos="567"/>
        </w:tabs>
        <w:spacing w:line="240" w:lineRule="auto"/>
        <w:rPr>
          <w:color w:val="000000"/>
          <w:szCs w:val="22"/>
        </w:rPr>
      </w:pPr>
    </w:p>
    <w:p w:rsidR="00BA558B" w:rsidRPr="00051880" w:rsidRDefault="00BA558B" w:rsidP="00DF1CD8">
      <w:pPr>
        <w:tabs>
          <w:tab w:val="clear" w:pos="567"/>
        </w:tabs>
        <w:spacing w:line="240" w:lineRule="auto"/>
        <w:rPr>
          <w:color w:val="000000"/>
          <w:szCs w:val="22"/>
        </w:rPr>
      </w:pPr>
    </w:p>
    <w:p w:rsidR="00BA558B" w:rsidRPr="00051880" w:rsidRDefault="00BA558B" w:rsidP="00DF1CD8">
      <w:pPr>
        <w:tabs>
          <w:tab w:val="clear" w:pos="567"/>
        </w:tabs>
        <w:spacing w:line="240" w:lineRule="auto"/>
        <w:rPr>
          <w:color w:val="000000"/>
          <w:szCs w:val="22"/>
        </w:rPr>
      </w:pPr>
    </w:p>
    <w:p w:rsidR="00BA558B" w:rsidRPr="00051880" w:rsidRDefault="00BA558B" w:rsidP="00DF1CD8">
      <w:pPr>
        <w:tabs>
          <w:tab w:val="clear" w:pos="567"/>
        </w:tabs>
        <w:spacing w:line="240" w:lineRule="auto"/>
        <w:rPr>
          <w:color w:val="000000"/>
          <w:szCs w:val="22"/>
        </w:rPr>
      </w:pPr>
    </w:p>
    <w:p w:rsidR="00BA558B" w:rsidRPr="00051880" w:rsidRDefault="00BA558B" w:rsidP="00DF1CD8">
      <w:pPr>
        <w:spacing w:line="240" w:lineRule="auto"/>
        <w:rPr>
          <w:color w:val="000000"/>
          <w:szCs w:val="22"/>
        </w:rPr>
      </w:pPr>
    </w:p>
    <w:p w:rsidR="00BA558B" w:rsidRPr="00051880" w:rsidRDefault="00BA558B" w:rsidP="00DF1CD8">
      <w:pPr>
        <w:spacing w:line="240" w:lineRule="auto"/>
        <w:rPr>
          <w:szCs w:val="22"/>
        </w:rPr>
      </w:pPr>
      <w:r w:rsidRPr="00051880">
        <w:rPr>
          <w:szCs w:val="22"/>
        </w:rPr>
        <w:t xml:space="preserve">Konverzná tabuľka pre počiatočnú intravenóznu infúziu z mikrogramov/kg/min na ml/h (Rapibloc 600 mg/50 ml = </w:t>
      </w:r>
      <w:r w:rsidRPr="00051880">
        <w:rPr>
          <w:b/>
          <w:szCs w:val="22"/>
        </w:rPr>
        <w:t>12 mg/ml</w:t>
      </w:r>
      <w:r w:rsidRPr="00051880">
        <w:rPr>
          <w:szCs w:val="22"/>
        </w:rPr>
        <w:t>):</w:t>
      </w:r>
    </w:p>
    <w:p w:rsidR="009A0E97" w:rsidRPr="00051880" w:rsidRDefault="009A0E97" w:rsidP="00DF1CD8">
      <w:pPr>
        <w:spacing w:line="240" w:lineRule="auto"/>
        <w:rPr>
          <w:color w:val="000000"/>
          <w:szCs w:val="22"/>
        </w:rPr>
      </w:pPr>
    </w:p>
    <w:p w:rsidR="00BA558B" w:rsidRPr="00051880" w:rsidRDefault="00BA558B" w:rsidP="00DF1CD8">
      <w:pPr>
        <w:framePr w:hSpace="141" w:wrap="around" w:vAnchor="text" w:hAnchor="margin" w:xAlign="center" w:y="20"/>
        <w:spacing w:line="240" w:lineRule="auto"/>
        <w:rPr>
          <w:color w:val="000000"/>
          <w:szCs w:val="22"/>
        </w:rPr>
      </w:pPr>
    </w:p>
    <w:tbl>
      <w:tblPr>
        <w:tblpPr w:leftFromText="141" w:rightFromText="141" w:vertAnchor="text" w:horzAnchor="margin" w:tblpY="38"/>
        <w:tblOverlap w:val="never"/>
        <w:tblW w:w="2263" w:type="dxa"/>
        <w:tblLayout w:type="fixed"/>
        <w:tblCellMar>
          <w:left w:w="70" w:type="dxa"/>
          <w:right w:w="70" w:type="dxa"/>
        </w:tblCellMar>
        <w:tblLook w:val="04A0"/>
      </w:tblPr>
      <w:tblGrid>
        <w:gridCol w:w="846"/>
        <w:gridCol w:w="850"/>
        <w:gridCol w:w="567"/>
      </w:tblGrid>
      <w:tr w:rsidR="00BA558B" w:rsidRPr="00051880" w:rsidTr="00BA558B">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558B" w:rsidRPr="00051880" w:rsidRDefault="00BA558B" w:rsidP="00DF1CD8">
            <w:pPr>
              <w:spacing w:line="240" w:lineRule="auto"/>
              <w:rPr>
                <w:color w:val="000000"/>
                <w:szCs w:val="22"/>
              </w:rPr>
            </w:pPr>
            <w:r w:rsidRPr="00051880">
              <w:rPr>
                <w:color w:val="000000"/>
                <w:szCs w:val="22"/>
              </w:rPr>
              <w:t>kg telesnej hmotnosti</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BA558B" w:rsidRPr="00051880" w:rsidRDefault="00BA558B" w:rsidP="00DF1CD8">
            <w:pPr>
              <w:spacing w:line="240" w:lineRule="auto"/>
              <w:rPr>
                <w:color w:val="000000"/>
                <w:szCs w:val="22"/>
              </w:rPr>
            </w:pPr>
            <w:r w:rsidRPr="00051880">
              <w:rPr>
                <w:color w:val="000000"/>
                <w:szCs w:val="22"/>
              </w:rPr>
              <w:t>100 µg/kg za 1 minútu</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BA558B" w:rsidRPr="00051880" w:rsidRDefault="00BA558B" w:rsidP="00DF1CD8">
            <w:pPr>
              <w:spacing w:line="240" w:lineRule="auto"/>
              <w:rPr>
                <w:color w:val="000000"/>
                <w:szCs w:val="22"/>
              </w:rPr>
            </w:pPr>
          </w:p>
        </w:tc>
      </w:tr>
      <w:tr w:rsidR="00BA558B" w:rsidRPr="00051880" w:rsidTr="00BA558B">
        <w:trPr>
          <w:trHeight w:val="22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40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20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BA558B" w:rsidRPr="00051880" w:rsidRDefault="00BA558B" w:rsidP="00DF1CD8">
            <w:pPr>
              <w:spacing w:line="240" w:lineRule="auto"/>
              <w:rPr>
                <w:color w:val="000000"/>
                <w:szCs w:val="22"/>
              </w:rPr>
            </w:pPr>
            <w:r w:rsidRPr="00051880">
              <w:rPr>
                <w:color w:val="000000"/>
                <w:szCs w:val="22"/>
              </w:rPr>
              <w:t>ml/h</w:t>
            </w:r>
          </w:p>
        </w:tc>
      </w:tr>
      <w:tr w:rsidR="00BA558B" w:rsidRPr="00051880" w:rsidTr="00BA558B">
        <w:trPr>
          <w:trHeight w:val="227"/>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50</w:t>
            </w:r>
          </w:p>
        </w:tc>
        <w:tc>
          <w:tcPr>
            <w:tcW w:w="850" w:type="dxa"/>
            <w:tcBorders>
              <w:top w:val="nil"/>
              <w:left w:val="nil"/>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25</w:t>
            </w:r>
          </w:p>
        </w:tc>
        <w:tc>
          <w:tcPr>
            <w:tcW w:w="567" w:type="dxa"/>
            <w:tcBorders>
              <w:top w:val="nil"/>
              <w:left w:val="nil"/>
              <w:bottom w:val="single" w:sz="4" w:space="0" w:color="auto"/>
              <w:right w:val="single" w:sz="4" w:space="0" w:color="auto"/>
            </w:tcBorders>
            <w:shd w:val="clear" w:color="auto" w:fill="auto"/>
            <w:noWrap/>
            <w:vAlign w:val="bottom"/>
          </w:tcPr>
          <w:p w:rsidR="00BA558B" w:rsidRPr="00051880" w:rsidRDefault="00BA558B" w:rsidP="00DF1CD8">
            <w:pPr>
              <w:spacing w:line="240" w:lineRule="auto"/>
              <w:rPr>
                <w:color w:val="000000"/>
                <w:szCs w:val="22"/>
              </w:rPr>
            </w:pPr>
            <w:r w:rsidRPr="00051880">
              <w:rPr>
                <w:color w:val="000000"/>
                <w:szCs w:val="22"/>
              </w:rPr>
              <w:t>ml/h</w:t>
            </w:r>
          </w:p>
        </w:tc>
      </w:tr>
      <w:tr w:rsidR="00BA558B" w:rsidRPr="00051880" w:rsidTr="00BA558B">
        <w:trPr>
          <w:trHeight w:val="227"/>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60</w:t>
            </w:r>
          </w:p>
        </w:tc>
        <w:tc>
          <w:tcPr>
            <w:tcW w:w="850" w:type="dxa"/>
            <w:tcBorders>
              <w:top w:val="nil"/>
              <w:left w:val="nil"/>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30</w:t>
            </w:r>
          </w:p>
        </w:tc>
        <w:tc>
          <w:tcPr>
            <w:tcW w:w="567" w:type="dxa"/>
            <w:tcBorders>
              <w:top w:val="nil"/>
              <w:left w:val="nil"/>
              <w:bottom w:val="single" w:sz="4" w:space="0" w:color="auto"/>
              <w:right w:val="single" w:sz="4" w:space="0" w:color="auto"/>
            </w:tcBorders>
            <w:shd w:val="clear" w:color="auto" w:fill="auto"/>
            <w:noWrap/>
            <w:vAlign w:val="bottom"/>
          </w:tcPr>
          <w:p w:rsidR="00BA558B" w:rsidRPr="00051880" w:rsidRDefault="00BA558B" w:rsidP="00DF1CD8">
            <w:pPr>
              <w:spacing w:line="240" w:lineRule="auto"/>
              <w:rPr>
                <w:color w:val="000000"/>
                <w:szCs w:val="22"/>
              </w:rPr>
            </w:pPr>
            <w:r w:rsidRPr="00051880">
              <w:rPr>
                <w:color w:val="000000"/>
                <w:szCs w:val="22"/>
              </w:rPr>
              <w:t>ml/h</w:t>
            </w:r>
          </w:p>
        </w:tc>
      </w:tr>
      <w:tr w:rsidR="00BA558B" w:rsidRPr="00051880" w:rsidTr="00BA558B">
        <w:trPr>
          <w:trHeight w:val="227"/>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70</w:t>
            </w:r>
          </w:p>
        </w:tc>
        <w:tc>
          <w:tcPr>
            <w:tcW w:w="850" w:type="dxa"/>
            <w:tcBorders>
              <w:top w:val="nil"/>
              <w:left w:val="nil"/>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35</w:t>
            </w:r>
          </w:p>
        </w:tc>
        <w:tc>
          <w:tcPr>
            <w:tcW w:w="567" w:type="dxa"/>
            <w:tcBorders>
              <w:top w:val="nil"/>
              <w:left w:val="nil"/>
              <w:bottom w:val="single" w:sz="4" w:space="0" w:color="auto"/>
              <w:right w:val="single" w:sz="4" w:space="0" w:color="auto"/>
            </w:tcBorders>
            <w:shd w:val="clear" w:color="auto" w:fill="auto"/>
            <w:noWrap/>
            <w:vAlign w:val="bottom"/>
          </w:tcPr>
          <w:p w:rsidR="00BA558B" w:rsidRPr="00051880" w:rsidRDefault="00BA558B" w:rsidP="00DF1CD8">
            <w:pPr>
              <w:spacing w:line="240" w:lineRule="auto"/>
              <w:rPr>
                <w:color w:val="000000"/>
                <w:szCs w:val="22"/>
              </w:rPr>
            </w:pPr>
            <w:r w:rsidRPr="00051880">
              <w:rPr>
                <w:color w:val="000000"/>
                <w:szCs w:val="22"/>
              </w:rPr>
              <w:t>ml/h</w:t>
            </w:r>
          </w:p>
        </w:tc>
      </w:tr>
      <w:tr w:rsidR="00BA558B" w:rsidRPr="00051880" w:rsidTr="00BA558B">
        <w:trPr>
          <w:trHeight w:val="227"/>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80</w:t>
            </w:r>
          </w:p>
        </w:tc>
        <w:tc>
          <w:tcPr>
            <w:tcW w:w="850" w:type="dxa"/>
            <w:tcBorders>
              <w:top w:val="nil"/>
              <w:left w:val="nil"/>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40</w:t>
            </w:r>
          </w:p>
        </w:tc>
        <w:tc>
          <w:tcPr>
            <w:tcW w:w="567" w:type="dxa"/>
            <w:tcBorders>
              <w:top w:val="nil"/>
              <w:left w:val="nil"/>
              <w:bottom w:val="single" w:sz="4" w:space="0" w:color="auto"/>
              <w:right w:val="single" w:sz="4" w:space="0" w:color="auto"/>
            </w:tcBorders>
            <w:shd w:val="clear" w:color="auto" w:fill="auto"/>
            <w:noWrap/>
            <w:vAlign w:val="bottom"/>
          </w:tcPr>
          <w:p w:rsidR="00BA558B" w:rsidRPr="00051880" w:rsidRDefault="00BA558B" w:rsidP="00DF1CD8">
            <w:pPr>
              <w:spacing w:line="240" w:lineRule="auto"/>
              <w:rPr>
                <w:color w:val="000000"/>
                <w:szCs w:val="22"/>
              </w:rPr>
            </w:pPr>
            <w:r w:rsidRPr="00051880">
              <w:rPr>
                <w:color w:val="000000"/>
                <w:szCs w:val="22"/>
              </w:rPr>
              <w:t>ml/h</w:t>
            </w:r>
          </w:p>
        </w:tc>
      </w:tr>
      <w:tr w:rsidR="00BA558B" w:rsidRPr="00051880" w:rsidTr="00BA558B">
        <w:trPr>
          <w:trHeight w:val="227"/>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90</w:t>
            </w:r>
          </w:p>
        </w:tc>
        <w:tc>
          <w:tcPr>
            <w:tcW w:w="850" w:type="dxa"/>
            <w:tcBorders>
              <w:top w:val="nil"/>
              <w:left w:val="nil"/>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45</w:t>
            </w:r>
          </w:p>
        </w:tc>
        <w:tc>
          <w:tcPr>
            <w:tcW w:w="567" w:type="dxa"/>
            <w:tcBorders>
              <w:top w:val="nil"/>
              <w:left w:val="nil"/>
              <w:bottom w:val="single" w:sz="4" w:space="0" w:color="auto"/>
              <w:right w:val="single" w:sz="4" w:space="0" w:color="auto"/>
            </w:tcBorders>
            <w:shd w:val="clear" w:color="auto" w:fill="auto"/>
            <w:noWrap/>
            <w:vAlign w:val="bottom"/>
          </w:tcPr>
          <w:p w:rsidR="00BA558B" w:rsidRPr="00051880" w:rsidRDefault="00BA558B" w:rsidP="00DF1CD8">
            <w:pPr>
              <w:spacing w:line="240" w:lineRule="auto"/>
              <w:rPr>
                <w:color w:val="000000"/>
                <w:szCs w:val="22"/>
              </w:rPr>
            </w:pPr>
            <w:r w:rsidRPr="00051880">
              <w:rPr>
                <w:color w:val="000000"/>
                <w:szCs w:val="22"/>
              </w:rPr>
              <w:t>ml/h</w:t>
            </w:r>
          </w:p>
        </w:tc>
      </w:tr>
      <w:tr w:rsidR="00BA558B" w:rsidRPr="00051880" w:rsidTr="00BA558B">
        <w:trPr>
          <w:trHeight w:val="227"/>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100</w:t>
            </w:r>
          </w:p>
        </w:tc>
        <w:tc>
          <w:tcPr>
            <w:tcW w:w="850" w:type="dxa"/>
            <w:tcBorders>
              <w:top w:val="nil"/>
              <w:left w:val="nil"/>
              <w:bottom w:val="single" w:sz="4" w:space="0" w:color="auto"/>
              <w:right w:val="single" w:sz="4" w:space="0" w:color="auto"/>
            </w:tcBorders>
            <w:shd w:val="clear" w:color="auto" w:fill="auto"/>
            <w:noWrap/>
            <w:vAlign w:val="bottom"/>
            <w:hideMark/>
          </w:tcPr>
          <w:p w:rsidR="00BA558B" w:rsidRPr="00051880" w:rsidRDefault="00BA558B" w:rsidP="00DF1CD8">
            <w:pPr>
              <w:spacing w:line="240" w:lineRule="auto"/>
              <w:rPr>
                <w:color w:val="000000"/>
                <w:szCs w:val="22"/>
              </w:rPr>
            </w:pPr>
            <w:r w:rsidRPr="00051880">
              <w:rPr>
                <w:color w:val="000000"/>
                <w:szCs w:val="22"/>
              </w:rPr>
              <w:t>50</w:t>
            </w:r>
          </w:p>
        </w:tc>
        <w:tc>
          <w:tcPr>
            <w:tcW w:w="567" w:type="dxa"/>
            <w:tcBorders>
              <w:top w:val="nil"/>
              <w:left w:val="nil"/>
              <w:bottom w:val="single" w:sz="4" w:space="0" w:color="auto"/>
              <w:right w:val="single" w:sz="4" w:space="0" w:color="auto"/>
            </w:tcBorders>
            <w:shd w:val="clear" w:color="auto" w:fill="auto"/>
            <w:noWrap/>
            <w:vAlign w:val="bottom"/>
          </w:tcPr>
          <w:p w:rsidR="00BA558B" w:rsidRPr="00051880" w:rsidRDefault="00BA558B" w:rsidP="00DF1CD8">
            <w:pPr>
              <w:spacing w:line="240" w:lineRule="auto"/>
              <w:rPr>
                <w:color w:val="000000"/>
                <w:szCs w:val="22"/>
              </w:rPr>
            </w:pPr>
            <w:r w:rsidRPr="00051880">
              <w:rPr>
                <w:color w:val="000000"/>
                <w:szCs w:val="22"/>
              </w:rPr>
              <w:t>ml/h</w:t>
            </w:r>
          </w:p>
        </w:tc>
      </w:tr>
    </w:tbl>
    <w:p w:rsidR="00BA558B" w:rsidRPr="00051880" w:rsidRDefault="00BA558B" w:rsidP="00DF1CD8">
      <w:pPr>
        <w:spacing w:line="240" w:lineRule="auto"/>
        <w:rPr>
          <w:color w:val="000000"/>
          <w:szCs w:val="22"/>
        </w:rPr>
      </w:pPr>
    </w:p>
    <w:p w:rsidR="00BA558B" w:rsidRPr="00051880" w:rsidRDefault="00BA558B" w:rsidP="00DF1CD8">
      <w:pPr>
        <w:spacing w:line="240" w:lineRule="auto"/>
        <w:rPr>
          <w:color w:val="000000"/>
          <w:szCs w:val="22"/>
        </w:rPr>
      </w:pPr>
    </w:p>
    <w:p w:rsidR="00BA558B" w:rsidRPr="00051880" w:rsidRDefault="00BA558B" w:rsidP="00DF1CD8">
      <w:pPr>
        <w:spacing w:line="240" w:lineRule="auto"/>
        <w:rPr>
          <w:color w:val="000000"/>
          <w:szCs w:val="22"/>
        </w:rPr>
      </w:pPr>
    </w:p>
    <w:p w:rsidR="00BA558B" w:rsidRPr="00051880" w:rsidRDefault="00BA558B" w:rsidP="00DF1CD8">
      <w:pPr>
        <w:spacing w:line="240" w:lineRule="auto"/>
        <w:rPr>
          <w:color w:val="000000"/>
          <w:szCs w:val="22"/>
        </w:rPr>
      </w:pPr>
    </w:p>
    <w:p w:rsidR="00BA558B" w:rsidRPr="00051880" w:rsidRDefault="00BA558B" w:rsidP="00DF1CD8">
      <w:pPr>
        <w:spacing w:line="240" w:lineRule="auto"/>
        <w:rPr>
          <w:color w:val="000000"/>
          <w:szCs w:val="22"/>
        </w:rPr>
      </w:pPr>
    </w:p>
    <w:p w:rsidR="00BA558B" w:rsidRPr="00051880" w:rsidRDefault="00BA558B" w:rsidP="00DF1CD8">
      <w:pPr>
        <w:spacing w:line="240" w:lineRule="auto"/>
        <w:rPr>
          <w:color w:val="000000"/>
          <w:szCs w:val="22"/>
        </w:rPr>
      </w:pPr>
    </w:p>
    <w:p w:rsidR="00BA558B" w:rsidRPr="00051880" w:rsidRDefault="00BA558B" w:rsidP="00DF1CD8">
      <w:pPr>
        <w:spacing w:line="240" w:lineRule="auto"/>
        <w:rPr>
          <w:color w:val="000000"/>
          <w:szCs w:val="22"/>
        </w:rPr>
      </w:pPr>
    </w:p>
    <w:p w:rsidR="00BA558B" w:rsidRPr="00051880" w:rsidRDefault="00BA558B" w:rsidP="00DF1CD8">
      <w:pPr>
        <w:spacing w:line="240" w:lineRule="auto"/>
        <w:rPr>
          <w:color w:val="000000"/>
          <w:szCs w:val="22"/>
        </w:rPr>
      </w:pPr>
    </w:p>
    <w:p w:rsidR="00BA558B" w:rsidRPr="00051880" w:rsidRDefault="00BA558B" w:rsidP="00DF1CD8">
      <w:pPr>
        <w:spacing w:line="240" w:lineRule="auto"/>
        <w:rPr>
          <w:color w:val="000000"/>
          <w:szCs w:val="22"/>
        </w:rPr>
      </w:pPr>
    </w:p>
    <w:p w:rsidR="00BA558B" w:rsidRPr="00051880" w:rsidRDefault="00BA558B" w:rsidP="00DF1CD8">
      <w:pPr>
        <w:spacing w:line="240" w:lineRule="auto"/>
        <w:rPr>
          <w:color w:val="000000"/>
          <w:szCs w:val="22"/>
        </w:rPr>
      </w:pPr>
    </w:p>
    <w:p w:rsidR="00BA558B" w:rsidRPr="00051880" w:rsidRDefault="00BA558B" w:rsidP="00DF1CD8">
      <w:pPr>
        <w:spacing w:line="240" w:lineRule="auto"/>
        <w:rPr>
          <w:color w:val="000000"/>
          <w:szCs w:val="22"/>
        </w:rPr>
      </w:pPr>
    </w:p>
    <w:p w:rsidR="00BA558B" w:rsidRPr="00051880" w:rsidRDefault="00BA558B" w:rsidP="00DF1CD8">
      <w:pPr>
        <w:spacing w:line="240" w:lineRule="auto"/>
        <w:rPr>
          <w:color w:val="000000"/>
          <w:szCs w:val="22"/>
        </w:rPr>
      </w:pPr>
    </w:p>
    <w:p w:rsidR="009A0E97" w:rsidRPr="00051880" w:rsidRDefault="009A0E97" w:rsidP="00DF1CD8">
      <w:pPr>
        <w:spacing w:line="240" w:lineRule="auto"/>
        <w:rPr>
          <w:color w:val="000000"/>
          <w:szCs w:val="22"/>
        </w:rPr>
      </w:pPr>
    </w:p>
    <w:p w:rsidR="00BA558B" w:rsidRPr="00051880" w:rsidRDefault="00BA558B" w:rsidP="00DF1CD8">
      <w:pPr>
        <w:spacing w:line="240" w:lineRule="auto"/>
        <w:rPr>
          <w:color w:val="000000"/>
          <w:szCs w:val="22"/>
        </w:rPr>
      </w:pPr>
      <w:r w:rsidRPr="00051880">
        <w:rPr>
          <w:color w:val="000000"/>
          <w:szCs w:val="22"/>
        </w:rPr>
        <w:t xml:space="preserve">Konverzná tabuľka pre kontinuálnu intravenóznu infúziu: mikrogramy/kg/min na ml/h </w:t>
      </w:r>
    </w:p>
    <w:p w:rsidR="00BA558B" w:rsidRPr="00051880" w:rsidRDefault="00BA558B" w:rsidP="00DF1CD8">
      <w:pPr>
        <w:spacing w:line="240" w:lineRule="auto"/>
        <w:rPr>
          <w:color w:val="000000"/>
          <w:szCs w:val="22"/>
        </w:rPr>
      </w:pPr>
      <w:r w:rsidRPr="00051880">
        <w:rPr>
          <w:color w:val="000000"/>
          <w:szCs w:val="22"/>
        </w:rPr>
        <w:t xml:space="preserve">(Rapibloc 600 mg/50 ml = </w:t>
      </w:r>
      <w:r w:rsidRPr="00051880">
        <w:rPr>
          <w:b/>
          <w:color w:val="000000"/>
          <w:szCs w:val="22"/>
        </w:rPr>
        <w:t>12 mg/ml</w:t>
      </w:r>
      <w:r w:rsidRPr="00051880">
        <w:rPr>
          <w:color w:val="000000"/>
          <w:szCs w:val="22"/>
        </w:rPr>
        <w:t>):</w:t>
      </w:r>
    </w:p>
    <w:p w:rsidR="009A0E97" w:rsidRPr="00051880" w:rsidRDefault="009A0E97" w:rsidP="00DF1CD8">
      <w:pPr>
        <w:spacing w:line="240" w:lineRule="auto"/>
        <w:rPr>
          <w:color w:val="000000"/>
          <w:szCs w:val="22"/>
        </w:rPr>
      </w:pPr>
    </w:p>
    <w:p w:rsidR="00BA558B" w:rsidRPr="00051880" w:rsidRDefault="00BA558B" w:rsidP="00DF1CD8">
      <w:pPr>
        <w:tabs>
          <w:tab w:val="clear" w:pos="567"/>
        </w:tabs>
        <w:spacing w:line="240" w:lineRule="auto"/>
        <w:rPr>
          <w:color w:val="000000"/>
          <w:szCs w:val="22"/>
        </w:rPr>
      </w:pPr>
    </w:p>
    <w:p w:rsidR="00BA558B" w:rsidRPr="00051880" w:rsidRDefault="00BA558B" w:rsidP="00DF1CD8">
      <w:pPr>
        <w:tabs>
          <w:tab w:val="clear" w:pos="567"/>
        </w:tabs>
        <w:spacing w:line="240" w:lineRule="auto"/>
        <w:rPr>
          <w:color w:val="000000"/>
          <w:szCs w:val="22"/>
        </w:rPr>
      </w:pPr>
    </w:p>
    <w:p w:rsidR="00BA558B" w:rsidRPr="00051880" w:rsidRDefault="00BA558B" w:rsidP="00DF1CD8">
      <w:pPr>
        <w:tabs>
          <w:tab w:val="clear" w:pos="567"/>
        </w:tabs>
        <w:spacing w:line="240" w:lineRule="auto"/>
        <w:rPr>
          <w:color w:val="000000"/>
          <w:szCs w:val="22"/>
        </w:rPr>
      </w:pPr>
    </w:p>
    <w:p w:rsidR="00BA558B" w:rsidRPr="00051880" w:rsidRDefault="00BA558B" w:rsidP="00DF1CD8">
      <w:pPr>
        <w:tabs>
          <w:tab w:val="clear" w:pos="567"/>
        </w:tabs>
        <w:spacing w:line="240" w:lineRule="auto"/>
        <w:rPr>
          <w:color w:val="000000"/>
          <w:szCs w:val="22"/>
        </w:rPr>
      </w:pPr>
    </w:p>
    <w:p w:rsidR="00BA558B" w:rsidRPr="00051880" w:rsidRDefault="00BA558B" w:rsidP="00DF1CD8">
      <w:pPr>
        <w:tabs>
          <w:tab w:val="clear" w:pos="567"/>
        </w:tabs>
        <w:spacing w:line="240" w:lineRule="auto"/>
        <w:rPr>
          <w:color w:val="000000"/>
          <w:szCs w:val="22"/>
        </w:rPr>
      </w:pPr>
    </w:p>
    <w:tbl>
      <w:tblPr>
        <w:tblpPr w:leftFromText="141" w:rightFromText="141" w:vertAnchor="text" w:horzAnchor="margin" w:tblpY="-463"/>
        <w:tblW w:w="7402" w:type="dxa"/>
        <w:tblCellMar>
          <w:left w:w="70" w:type="dxa"/>
          <w:right w:w="70" w:type="dxa"/>
        </w:tblCellMar>
        <w:tblLook w:val="04A0"/>
      </w:tblPr>
      <w:tblGrid>
        <w:gridCol w:w="1302"/>
        <w:gridCol w:w="1062"/>
        <w:gridCol w:w="1063"/>
        <w:gridCol w:w="1063"/>
        <w:gridCol w:w="1063"/>
        <w:gridCol w:w="1063"/>
        <w:gridCol w:w="786"/>
      </w:tblGrid>
      <w:tr w:rsidR="00D80CB9" w:rsidRPr="00051880" w:rsidTr="00051880">
        <w:trPr>
          <w:trHeight w:val="300"/>
        </w:trPr>
        <w:tc>
          <w:tcPr>
            <w:tcW w:w="13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0CB9" w:rsidRPr="00051880" w:rsidRDefault="00D80CB9" w:rsidP="00051880">
            <w:pPr>
              <w:spacing w:line="240" w:lineRule="auto"/>
              <w:rPr>
                <w:color w:val="000000"/>
                <w:szCs w:val="22"/>
              </w:rPr>
            </w:pPr>
            <w:r w:rsidRPr="00051880">
              <w:rPr>
                <w:color w:val="000000"/>
                <w:szCs w:val="22"/>
              </w:rPr>
              <w:t>kg telesnej hmotnosti</w:t>
            </w:r>
          </w:p>
        </w:tc>
        <w:tc>
          <w:tcPr>
            <w:tcW w:w="1062" w:type="dxa"/>
            <w:tcBorders>
              <w:top w:val="single" w:sz="4" w:space="0" w:color="auto"/>
              <w:left w:val="nil"/>
              <w:bottom w:val="single" w:sz="4" w:space="0" w:color="auto"/>
              <w:right w:val="single" w:sz="4" w:space="0" w:color="auto"/>
            </w:tcBorders>
            <w:shd w:val="clear" w:color="auto" w:fill="auto"/>
            <w:noWrap/>
            <w:vAlign w:val="bottom"/>
          </w:tcPr>
          <w:p w:rsidR="00D80CB9" w:rsidRPr="00051880" w:rsidRDefault="00D80CB9" w:rsidP="00051880">
            <w:pPr>
              <w:spacing w:line="240" w:lineRule="auto"/>
              <w:rPr>
                <w:color w:val="000000"/>
                <w:szCs w:val="22"/>
              </w:rPr>
            </w:pPr>
            <w:r w:rsidRPr="00051880">
              <w:rPr>
                <w:color w:val="000000"/>
                <w:szCs w:val="22"/>
              </w:rPr>
              <w:t>10 µg/kg/min</w:t>
            </w:r>
          </w:p>
        </w:tc>
        <w:tc>
          <w:tcPr>
            <w:tcW w:w="1062" w:type="dxa"/>
            <w:tcBorders>
              <w:top w:val="single" w:sz="4" w:space="0" w:color="auto"/>
              <w:left w:val="nil"/>
              <w:bottom w:val="single" w:sz="4" w:space="0" w:color="auto"/>
              <w:right w:val="single" w:sz="4" w:space="0" w:color="auto"/>
            </w:tcBorders>
            <w:shd w:val="clear" w:color="auto" w:fill="auto"/>
            <w:noWrap/>
            <w:vAlign w:val="bottom"/>
          </w:tcPr>
          <w:p w:rsidR="00D80CB9" w:rsidRPr="00051880" w:rsidRDefault="00D80CB9" w:rsidP="00051880">
            <w:pPr>
              <w:spacing w:line="240" w:lineRule="auto"/>
              <w:rPr>
                <w:color w:val="000000"/>
                <w:szCs w:val="22"/>
              </w:rPr>
            </w:pPr>
            <w:r w:rsidRPr="00051880">
              <w:rPr>
                <w:color w:val="000000"/>
                <w:szCs w:val="22"/>
              </w:rPr>
              <w:t>20 µg/kg/min</w:t>
            </w:r>
          </w:p>
        </w:tc>
        <w:tc>
          <w:tcPr>
            <w:tcW w:w="1062" w:type="dxa"/>
            <w:tcBorders>
              <w:top w:val="single" w:sz="4" w:space="0" w:color="auto"/>
              <w:left w:val="nil"/>
              <w:bottom w:val="single" w:sz="4" w:space="0" w:color="auto"/>
              <w:right w:val="single" w:sz="4" w:space="0" w:color="auto"/>
            </w:tcBorders>
            <w:shd w:val="clear" w:color="auto" w:fill="auto"/>
            <w:noWrap/>
            <w:vAlign w:val="bottom"/>
          </w:tcPr>
          <w:p w:rsidR="00D80CB9" w:rsidRPr="00051880" w:rsidRDefault="00D80CB9" w:rsidP="00051880">
            <w:pPr>
              <w:spacing w:line="240" w:lineRule="auto"/>
              <w:rPr>
                <w:color w:val="000000"/>
                <w:szCs w:val="22"/>
              </w:rPr>
            </w:pPr>
            <w:r w:rsidRPr="00051880">
              <w:rPr>
                <w:color w:val="000000"/>
                <w:szCs w:val="22"/>
              </w:rPr>
              <w:t>30 µg/kg/min</w:t>
            </w:r>
          </w:p>
        </w:tc>
        <w:tc>
          <w:tcPr>
            <w:tcW w:w="1062" w:type="dxa"/>
            <w:tcBorders>
              <w:top w:val="single" w:sz="4" w:space="0" w:color="auto"/>
              <w:left w:val="nil"/>
              <w:bottom w:val="single" w:sz="4" w:space="0" w:color="auto"/>
              <w:right w:val="single" w:sz="4" w:space="0" w:color="auto"/>
            </w:tcBorders>
            <w:shd w:val="clear" w:color="auto" w:fill="auto"/>
            <w:noWrap/>
            <w:vAlign w:val="bottom"/>
          </w:tcPr>
          <w:p w:rsidR="00D80CB9" w:rsidRPr="00051880" w:rsidRDefault="00D80CB9" w:rsidP="00051880">
            <w:pPr>
              <w:spacing w:line="240" w:lineRule="auto"/>
              <w:rPr>
                <w:color w:val="000000"/>
                <w:szCs w:val="22"/>
              </w:rPr>
            </w:pPr>
            <w:r w:rsidRPr="00051880">
              <w:rPr>
                <w:color w:val="000000"/>
                <w:szCs w:val="22"/>
              </w:rPr>
              <w:t>40 µg/kg/min</w:t>
            </w:r>
          </w:p>
        </w:tc>
        <w:tc>
          <w:tcPr>
            <w:tcW w:w="1062" w:type="dxa"/>
            <w:tcBorders>
              <w:top w:val="single" w:sz="4" w:space="0" w:color="auto"/>
              <w:left w:val="nil"/>
              <w:bottom w:val="single" w:sz="4" w:space="0" w:color="auto"/>
              <w:right w:val="single" w:sz="4" w:space="0" w:color="auto"/>
            </w:tcBorders>
            <w:shd w:val="clear" w:color="auto" w:fill="auto"/>
            <w:noWrap/>
            <w:vAlign w:val="bottom"/>
          </w:tcPr>
          <w:p w:rsidR="00D80CB9" w:rsidRPr="00051880" w:rsidRDefault="00D80CB9" w:rsidP="00051880">
            <w:pPr>
              <w:spacing w:line="240" w:lineRule="auto"/>
              <w:rPr>
                <w:color w:val="000000"/>
                <w:szCs w:val="22"/>
              </w:rPr>
            </w:pPr>
            <w:r w:rsidRPr="00051880">
              <w:rPr>
                <w:color w:val="000000"/>
                <w:szCs w:val="22"/>
              </w:rPr>
              <w:t>80 µg/kg/min</w:t>
            </w:r>
          </w:p>
        </w:tc>
        <w:tc>
          <w:tcPr>
            <w:tcW w:w="785" w:type="dxa"/>
            <w:tcBorders>
              <w:top w:val="single" w:sz="4" w:space="0" w:color="auto"/>
              <w:left w:val="nil"/>
              <w:bottom w:val="single" w:sz="4" w:space="0" w:color="auto"/>
              <w:right w:val="single" w:sz="4" w:space="0" w:color="auto"/>
            </w:tcBorders>
            <w:shd w:val="clear" w:color="auto" w:fill="auto"/>
            <w:noWrap/>
            <w:vAlign w:val="bottom"/>
          </w:tcPr>
          <w:p w:rsidR="00D80CB9" w:rsidRPr="00051880" w:rsidRDefault="00D80CB9" w:rsidP="00051880">
            <w:pPr>
              <w:spacing w:line="240" w:lineRule="auto"/>
              <w:rPr>
                <w:color w:val="000000"/>
                <w:szCs w:val="22"/>
              </w:rPr>
            </w:pPr>
          </w:p>
        </w:tc>
      </w:tr>
      <w:tr w:rsidR="00D80CB9" w:rsidRPr="00051880" w:rsidTr="00051880">
        <w:trPr>
          <w:trHeight w:val="227"/>
        </w:trPr>
        <w:tc>
          <w:tcPr>
            <w:tcW w:w="13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0CB9" w:rsidRPr="00051880" w:rsidRDefault="00D80CB9" w:rsidP="00051880">
            <w:pPr>
              <w:spacing w:line="240" w:lineRule="auto"/>
              <w:rPr>
                <w:color w:val="000000"/>
                <w:szCs w:val="22"/>
              </w:rPr>
            </w:pPr>
            <w:r w:rsidRPr="00051880">
              <w:rPr>
                <w:color w:val="000000"/>
                <w:szCs w:val="22"/>
              </w:rPr>
              <w:t>40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rsidR="00D80CB9" w:rsidRPr="00051880" w:rsidRDefault="00D80CB9" w:rsidP="00051880">
            <w:pPr>
              <w:spacing w:line="240" w:lineRule="auto"/>
              <w:rPr>
                <w:color w:val="000000"/>
                <w:szCs w:val="22"/>
              </w:rPr>
            </w:pPr>
            <w:r w:rsidRPr="00051880">
              <w:rPr>
                <w:color w:val="000000"/>
                <w:szCs w:val="22"/>
              </w:rPr>
              <w:t>2</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rsidR="00D80CB9" w:rsidRPr="00051880" w:rsidRDefault="00D80CB9" w:rsidP="00051880">
            <w:pPr>
              <w:spacing w:line="240" w:lineRule="auto"/>
              <w:rPr>
                <w:color w:val="000000"/>
                <w:szCs w:val="22"/>
              </w:rPr>
            </w:pPr>
            <w:r w:rsidRPr="00051880">
              <w:rPr>
                <w:color w:val="000000"/>
                <w:szCs w:val="22"/>
              </w:rPr>
              <w:t>4</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rsidR="00D80CB9" w:rsidRPr="00051880" w:rsidRDefault="00D80CB9" w:rsidP="00051880">
            <w:pPr>
              <w:spacing w:line="240" w:lineRule="auto"/>
              <w:rPr>
                <w:color w:val="000000"/>
                <w:szCs w:val="22"/>
              </w:rPr>
            </w:pPr>
            <w:r w:rsidRPr="00051880">
              <w:rPr>
                <w:color w:val="000000"/>
                <w:szCs w:val="22"/>
              </w:rPr>
              <w:t>6</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rsidR="00D80CB9" w:rsidRPr="00051880" w:rsidRDefault="00D80CB9" w:rsidP="00051880">
            <w:pPr>
              <w:spacing w:line="240" w:lineRule="auto"/>
              <w:rPr>
                <w:color w:val="000000"/>
                <w:szCs w:val="22"/>
              </w:rPr>
            </w:pPr>
            <w:r w:rsidRPr="00051880">
              <w:rPr>
                <w:color w:val="000000"/>
                <w:szCs w:val="22"/>
              </w:rPr>
              <w:t>8</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rsidR="00D80CB9" w:rsidRPr="00051880" w:rsidRDefault="00D80CB9" w:rsidP="00051880">
            <w:pPr>
              <w:spacing w:line="240" w:lineRule="auto"/>
              <w:rPr>
                <w:color w:val="000000"/>
                <w:szCs w:val="22"/>
              </w:rPr>
            </w:pPr>
            <w:r w:rsidRPr="00051880">
              <w:rPr>
                <w:color w:val="000000"/>
                <w:szCs w:val="22"/>
              </w:rPr>
              <w:t>16</w:t>
            </w:r>
          </w:p>
        </w:tc>
        <w:tc>
          <w:tcPr>
            <w:tcW w:w="785" w:type="dxa"/>
            <w:tcBorders>
              <w:top w:val="single" w:sz="4" w:space="0" w:color="auto"/>
              <w:left w:val="nil"/>
              <w:bottom w:val="single" w:sz="4" w:space="0" w:color="auto"/>
              <w:right w:val="single" w:sz="4" w:space="0" w:color="auto"/>
            </w:tcBorders>
            <w:shd w:val="clear" w:color="auto" w:fill="auto"/>
            <w:noWrap/>
            <w:vAlign w:val="bottom"/>
            <w:hideMark/>
          </w:tcPr>
          <w:p w:rsidR="00D80CB9" w:rsidRPr="00051880" w:rsidRDefault="00D80CB9" w:rsidP="00051880">
            <w:pPr>
              <w:spacing w:line="240" w:lineRule="auto"/>
              <w:rPr>
                <w:color w:val="000000"/>
                <w:szCs w:val="22"/>
              </w:rPr>
            </w:pPr>
            <w:r w:rsidRPr="00051880">
              <w:rPr>
                <w:color w:val="000000"/>
                <w:szCs w:val="22"/>
              </w:rPr>
              <w:t>ml/h</w:t>
            </w:r>
          </w:p>
        </w:tc>
      </w:tr>
      <w:tr w:rsidR="00D80CB9" w:rsidRPr="00051880" w:rsidTr="00051880">
        <w:trPr>
          <w:trHeight w:val="227"/>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D80CB9" w:rsidRPr="00051880" w:rsidRDefault="00D80CB9" w:rsidP="00051880">
            <w:pPr>
              <w:spacing w:line="240" w:lineRule="auto"/>
              <w:rPr>
                <w:color w:val="000000"/>
                <w:szCs w:val="22"/>
              </w:rPr>
            </w:pPr>
            <w:r w:rsidRPr="00051880">
              <w:rPr>
                <w:color w:val="000000"/>
                <w:szCs w:val="22"/>
              </w:rPr>
              <w:t>50</w:t>
            </w:r>
          </w:p>
        </w:tc>
        <w:tc>
          <w:tcPr>
            <w:tcW w:w="1062" w:type="dxa"/>
            <w:tcBorders>
              <w:top w:val="nil"/>
              <w:left w:val="nil"/>
              <w:bottom w:val="single" w:sz="4" w:space="0" w:color="auto"/>
              <w:right w:val="single" w:sz="4" w:space="0" w:color="auto"/>
            </w:tcBorders>
            <w:shd w:val="clear" w:color="auto" w:fill="auto"/>
            <w:noWrap/>
            <w:vAlign w:val="bottom"/>
            <w:hideMark/>
          </w:tcPr>
          <w:p w:rsidR="00D80CB9" w:rsidRPr="00051880" w:rsidRDefault="00D80CB9" w:rsidP="00051880">
            <w:pPr>
              <w:spacing w:line="240" w:lineRule="auto"/>
              <w:rPr>
                <w:color w:val="000000"/>
                <w:szCs w:val="22"/>
              </w:rPr>
            </w:pPr>
            <w:r w:rsidRPr="00051880">
              <w:rPr>
                <w:color w:val="000000"/>
                <w:szCs w:val="22"/>
              </w:rPr>
              <w:t>2,5</w:t>
            </w:r>
          </w:p>
        </w:tc>
        <w:tc>
          <w:tcPr>
            <w:tcW w:w="1062" w:type="dxa"/>
            <w:tcBorders>
              <w:top w:val="nil"/>
              <w:left w:val="nil"/>
              <w:bottom w:val="single" w:sz="4" w:space="0" w:color="auto"/>
              <w:right w:val="single" w:sz="4" w:space="0" w:color="auto"/>
            </w:tcBorders>
            <w:shd w:val="clear" w:color="auto" w:fill="auto"/>
            <w:noWrap/>
            <w:vAlign w:val="bottom"/>
            <w:hideMark/>
          </w:tcPr>
          <w:p w:rsidR="00D80CB9" w:rsidRPr="00051880" w:rsidRDefault="00D80CB9" w:rsidP="00051880">
            <w:pPr>
              <w:spacing w:line="240" w:lineRule="auto"/>
              <w:rPr>
                <w:color w:val="000000"/>
                <w:szCs w:val="22"/>
              </w:rPr>
            </w:pPr>
            <w:r w:rsidRPr="00051880">
              <w:rPr>
                <w:color w:val="000000"/>
                <w:szCs w:val="22"/>
              </w:rPr>
              <w:t>5</w:t>
            </w:r>
          </w:p>
        </w:tc>
        <w:tc>
          <w:tcPr>
            <w:tcW w:w="1062" w:type="dxa"/>
            <w:tcBorders>
              <w:top w:val="nil"/>
              <w:left w:val="nil"/>
              <w:bottom w:val="single" w:sz="4" w:space="0" w:color="auto"/>
              <w:right w:val="single" w:sz="4" w:space="0" w:color="auto"/>
            </w:tcBorders>
            <w:shd w:val="clear" w:color="auto" w:fill="auto"/>
            <w:noWrap/>
            <w:vAlign w:val="bottom"/>
            <w:hideMark/>
          </w:tcPr>
          <w:p w:rsidR="00D80CB9" w:rsidRPr="00051880" w:rsidRDefault="00D80CB9" w:rsidP="00051880">
            <w:pPr>
              <w:spacing w:line="240" w:lineRule="auto"/>
              <w:rPr>
                <w:color w:val="000000"/>
                <w:szCs w:val="22"/>
              </w:rPr>
            </w:pPr>
            <w:r w:rsidRPr="00051880">
              <w:rPr>
                <w:color w:val="000000"/>
                <w:szCs w:val="22"/>
              </w:rPr>
              <w:t>7,5</w:t>
            </w:r>
          </w:p>
        </w:tc>
        <w:tc>
          <w:tcPr>
            <w:tcW w:w="1062" w:type="dxa"/>
            <w:tcBorders>
              <w:top w:val="nil"/>
              <w:left w:val="nil"/>
              <w:bottom w:val="single" w:sz="4" w:space="0" w:color="auto"/>
              <w:right w:val="single" w:sz="4" w:space="0" w:color="auto"/>
            </w:tcBorders>
            <w:shd w:val="clear" w:color="auto" w:fill="auto"/>
            <w:noWrap/>
            <w:vAlign w:val="bottom"/>
            <w:hideMark/>
          </w:tcPr>
          <w:p w:rsidR="00D80CB9" w:rsidRPr="00051880" w:rsidRDefault="00D80CB9" w:rsidP="00051880">
            <w:pPr>
              <w:spacing w:line="240" w:lineRule="auto"/>
              <w:rPr>
                <w:color w:val="000000"/>
                <w:szCs w:val="22"/>
              </w:rPr>
            </w:pPr>
            <w:r w:rsidRPr="00051880">
              <w:rPr>
                <w:color w:val="000000"/>
                <w:szCs w:val="22"/>
              </w:rPr>
              <w:t>10</w:t>
            </w:r>
          </w:p>
        </w:tc>
        <w:tc>
          <w:tcPr>
            <w:tcW w:w="1062" w:type="dxa"/>
            <w:tcBorders>
              <w:top w:val="nil"/>
              <w:left w:val="nil"/>
              <w:bottom w:val="single" w:sz="4" w:space="0" w:color="auto"/>
              <w:right w:val="single" w:sz="4" w:space="0" w:color="auto"/>
            </w:tcBorders>
            <w:shd w:val="clear" w:color="auto" w:fill="auto"/>
            <w:noWrap/>
            <w:vAlign w:val="bottom"/>
            <w:hideMark/>
          </w:tcPr>
          <w:p w:rsidR="00D80CB9" w:rsidRPr="00051880" w:rsidRDefault="00D80CB9" w:rsidP="00051880">
            <w:pPr>
              <w:spacing w:line="240" w:lineRule="auto"/>
              <w:rPr>
                <w:color w:val="000000"/>
                <w:szCs w:val="22"/>
              </w:rPr>
            </w:pPr>
            <w:r w:rsidRPr="00051880">
              <w:rPr>
                <w:color w:val="000000"/>
                <w:szCs w:val="22"/>
              </w:rPr>
              <w:t>20</w:t>
            </w:r>
          </w:p>
        </w:tc>
        <w:tc>
          <w:tcPr>
            <w:tcW w:w="785" w:type="dxa"/>
            <w:tcBorders>
              <w:top w:val="nil"/>
              <w:left w:val="nil"/>
              <w:bottom w:val="single" w:sz="4" w:space="0" w:color="auto"/>
              <w:right w:val="single" w:sz="4" w:space="0" w:color="auto"/>
            </w:tcBorders>
            <w:shd w:val="clear" w:color="auto" w:fill="auto"/>
            <w:noWrap/>
            <w:vAlign w:val="bottom"/>
            <w:hideMark/>
          </w:tcPr>
          <w:p w:rsidR="00D80CB9" w:rsidRPr="00051880" w:rsidRDefault="00D80CB9" w:rsidP="00051880">
            <w:pPr>
              <w:spacing w:line="240" w:lineRule="auto"/>
              <w:rPr>
                <w:color w:val="000000"/>
                <w:szCs w:val="22"/>
              </w:rPr>
            </w:pPr>
            <w:r w:rsidRPr="00051880">
              <w:rPr>
                <w:color w:val="000000"/>
                <w:szCs w:val="22"/>
              </w:rPr>
              <w:t>ml/h</w:t>
            </w:r>
          </w:p>
        </w:tc>
      </w:tr>
      <w:tr w:rsidR="00D80CB9" w:rsidRPr="00051880" w:rsidTr="00051880">
        <w:trPr>
          <w:trHeight w:val="227"/>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D80CB9" w:rsidRPr="00051880" w:rsidRDefault="00D80CB9" w:rsidP="00051880">
            <w:pPr>
              <w:spacing w:line="240" w:lineRule="auto"/>
              <w:rPr>
                <w:color w:val="000000"/>
                <w:szCs w:val="22"/>
              </w:rPr>
            </w:pPr>
            <w:r w:rsidRPr="00051880">
              <w:rPr>
                <w:color w:val="000000"/>
                <w:szCs w:val="22"/>
              </w:rPr>
              <w:t>60</w:t>
            </w:r>
          </w:p>
        </w:tc>
        <w:tc>
          <w:tcPr>
            <w:tcW w:w="1062" w:type="dxa"/>
            <w:tcBorders>
              <w:top w:val="nil"/>
              <w:left w:val="nil"/>
              <w:bottom w:val="single" w:sz="4" w:space="0" w:color="auto"/>
              <w:right w:val="single" w:sz="4" w:space="0" w:color="auto"/>
            </w:tcBorders>
            <w:shd w:val="clear" w:color="auto" w:fill="auto"/>
            <w:noWrap/>
            <w:vAlign w:val="bottom"/>
            <w:hideMark/>
          </w:tcPr>
          <w:p w:rsidR="00D80CB9" w:rsidRPr="00051880" w:rsidRDefault="00D80CB9" w:rsidP="00051880">
            <w:pPr>
              <w:spacing w:line="240" w:lineRule="auto"/>
              <w:rPr>
                <w:color w:val="000000"/>
                <w:szCs w:val="22"/>
              </w:rPr>
            </w:pPr>
            <w:r w:rsidRPr="00051880">
              <w:rPr>
                <w:color w:val="000000"/>
                <w:szCs w:val="22"/>
              </w:rPr>
              <w:t>3</w:t>
            </w:r>
          </w:p>
        </w:tc>
        <w:tc>
          <w:tcPr>
            <w:tcW w:w="1062" w:type="dxa"/>
            <w:tcBorders>
              <w:top w:val="nil"/>
              <w:left w:val="nil"/>
              <w:bottom w:val="single" w:sz="4" w:space="0" w:color="auto"/>
              <w:right w:val="single" w:sz="4" w:space="0" w:color="auto"/>
            </w:tcBorders>
            <w:shd w:val="clear" w:color="auto" w:fill="auto"/>
            <w:noWrap/>
            <w:vAlign w:val="bottom"/>
            <w:hideMark/>
          </w:tcPr>
          <w:p w:rsidR="00D80CB9" w:rsidRPr="00051880" w:rsidRDefault="00D80CB9" w:rsidP="00051880">
            <w:pPr>
              <w:spacing w:line="240" w:lineRule="auto"/>
              <w:rPr>
                <w:color w:val="000000"/>
                <w:szCs w:val="22"/>
              </w:rPr>
            </w:pPr>
            <w:r w:rsidRPr="00051880">
              <w:rPr>
                <w:color w:val="000000"/>
                <w:szCs w:val="22"/>
              </w:rPr>
              <w:t>6</w:t>
            </w:r>
          </w:p>
        </w:tc>
        <w:tc>
          <w:tcPr>
            <w:tcW w:w="1062" w:type="dxa"/>
            <w:tcBorders>
              <w:top w:val="nil"/>
              <w:left w:val="nil"/>
              <w:bottom w:val="single" w:sz="4" w:space="0" w:color="auto"/>
              <w:right w:val="single" w:sz="4" w:space="0" w:color="auto"/>
            </w:tcBorders>
            <w:shd w:val="clear" w:color="auto" w:fill="auto"/>
            <w:noWrap/>
            <w:vAlign w:val="bottom"/>
            <w:hideMark/>
          </w:tcPr>
          <w:p w:rsidR="00D80CB9" w:rsidRPr="00051880" w:rsidRDefault="00D80CB9" w:rsidP="00051880">
            <w:pPr>
              <w:spacing w:line="240" w:lineRule="auto"/>
              <w:rPr>
                <w:color w:val="000000"/>
                <w:szCs w:val="22"/>
              </w:rPr>
            </w:pPr>
            <w:r w:rsidRPr="00051880">
              <w:rPr>
                <w:color w:val="000000"/>
                <w:szCs w:val="22"/>
              </w:rPr>
              <w:t>9</w:t>
            </w:r>
          </w:p>
        </w:tc>
        <w:tc>
          <w:tcPr>
            <w:tcW w:w="1062" w:type="dxa"/>
            <w:tcBorders>
              <w:top w:val="nil"/>
              <w:left w:val="nil"/>
              <w:bottom w:val="single" w:sz="4" w:space="0" w:color="auto"/>
              <w:right w:val="single" w:sz="4" w:space="0" w:color="auto"/>
            </w:tcBorders>
            <w:shd w:val="clear" w:color="auto" w:fill="auto"/>
            <w:noWrap/>
            <w:vAlign w:val="bottom"/>
            <w:hideMark/>
          </w:tcPr>
          <w:p w:rsidR="00D80CB9" w:rsidRPr="00051880" w:rsidRDefault="00D80CB9" w:rsidP="00051880">
            <w:pPr>
              <w:spacing w:line="240" w:lineRule="auto"/>
              <w:rPr>
                <w:color w:val="000000"/>
                <w:szCs w:val="22"/>
              </w:rPr>
            </w:pPr>
            <w:r w:rsidRPr="00051880">
              <w:rPr>
                <w:color w:val="000000"/>
                <w:szCs w:val="22"/>
              </w:rPr>
              <w:t>12</w:t>
            </w:r>
          </w:p>
        </w:tc>
        <w:tc>
          <w:tcPr>
            <w:tcW w:w="1062" w:type="dxa"/>
            <w:tcBorders>
              <w:top w:val="nil"/>
              <w:left w:val="nil"/>
              <w:bottom w:val="single" w:sz="4" w:space="0" w:color="auto"/>
              <w:right w:val="single" w:sz="4" w:space="0" w:color="auto"/>
            </w:tcBorders>
            <w:shd w:val="clear" w:color="auto" w:fill="auto"/>
            <w:noWrap/>
            <w:vAlign w:val="bottom"/>
            <w:hideMark/>
          </w:tcPr>
          <w:p w:rsidR="00D80CB9" w:rsidRPr="00051880" w:rsidRDefault="00D80CB9" w:rsidP="00051880">
            <w:pPr>
              <w:spacing w:line="240" w:lineRule="auto"/>
              <w:rPr>
                <w:color w:val="000000"/>
                <w:szCs w:val="22"/>
              </w:rPr>
            </w:pPr>
            <w:r w:rsidRPr="00051880">
              <w:rPr>
                <w:color w:val="000000"/>
                <w:szCs w:val="22"/>
              </w:rPr>
              <w:t>24</w:t>
            </w:r>
          </w:p>
        </w:tc>
        <w:tc>
          <w:tcPr>
            <w:tcW w:w="785" w:type="dxa"/>
            <w:tcBorders>
              <w:top w:val="nil"/>
              <w:left w:val="nil"/>
              <w:bottom w:val="single" w:sz="4" w:space="0" w:color="auto"/>
              <w:right w:val="single" w:sz="4" w:space="0" w:color="auto"/>
            </w:tcBorders>
            <w:shd w:val="clear" w:color="auto" w:fill="auto"/>
            <w:noWrap/>
            <w:vAlign w:val="bottom"/>
            <w:hideMark/>
          </w:tcPr>
          <w:p w:rsidR="00D80CB9" w:rsidRPr="00051880" w:rsidRDefault="00D80CB9" w:rsidP="00051880">
            <w:pPr>
              <w:spacing w:line="240" w:lineRule="auto"/>
              <w:rPr>
                <w:color w:val="000000"/>
                <w:szCs w:val="22"/>
              </w:rPr>
            </w:pPr>
            <w:r w:rsidRPr="00051880">
              <w:rPr>
                <w:color w:val="000000"/>
                <w:szCs w:val="22"/>
              </w:rPr>
              <w:t>ml/h</w:t>
            </w:r>
          </w:p>
        </w:tc>
      </w:tr>
      <w:tr w:rsidR="00D80CB9" w:rsidRPr="00051880" w:rsidTr="00051880">
        <w:trPr>
          <w:trHeight w:val="227"/>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D80CB9" w:rsidRPr="00051880" w:rsidRDefault="00D80CB9" w:rsidP="00051880">
            <w:pPr>
              <w:spacing w:line="240" w:lineRule="auto"/>
              <w:rPr>
                <w:color w:val="000000"/>
                <w:szCs w:val="22"/>
              </w:rPr>
            </w:pPr>
            <w:r w:rsidRPr="00051880">
              <w:rPr>
                <w:color w:val="000000"/>
                <w:szCs w:val="22"/>
              </w:rPr>
              <w:t>70</w:t>
            </w:r>
          </w:p>
        </w:tc>
        <w:tc>
          <w:tcPr>
            <w:tcW w:w="1062" w:type="dxa"/>
            <w:tcBorders>
              <w:top w:val="nil"/>
              <w:left w:val="nil"/>
              <w:bottom w:val="single" w:sz="4" w:space="0" w:color="auto"/>
              <w:right w:val="single" w:sz="4" w:space="0" w:color="auto"/>
            </w:tcBorders>
            <w:shd w:val="clear" w:color="auto" w:fill="auto"/>
            <w:noWrap/>
            <w:vAlign w:val="bottom"/>
            <w:hideMark/>
          </w:tcPr>
          <w:p w:rsidR="00D80CB9" w:rsidRPr="00051880" w:rsidRDefault="00D80CB9" w:rsidP="00051880">
            <w:pPr>
              <w:spacing w:line="240" w:lineRule="auto"/>
              <w:rPr>
                <w:color w:val="000000"/>
                <w:szCs w:val="22"/>
              </w:rPr>
            </w:pPr>
            <w:r w:rsidRPr="00051880">
              <w:rPr>
                <w:color w:val="000000"/>
                <w:szCs w:val="22"/>
              </w:rPr>
              <w:t>3,5</w:t>
            </w:r>
          </w:p>
        </w:tc>
        <w:tc>
          <w:tcPr>
            <w:tcW w:w="1062" w:type="dxa"/>
            <w:tcBorders>
              <w:top w:val="nil"/>
              <w:left w:val="nil"/>
              <w:bottom w:val="single" w:sz="4" w:space="0" w:color="auto"/>
              <w:right w:val="single" w:sz="4" w:space="0" w:color="auto"/>
            </w:tcBorders>
            <w:shd w:val="clear" w:color="auto" w:fill="auto"/>
            <w:noWrap/>
            <w:vAlign w:val="bottom"/>
            <w:hideMark/>
          </w:tcPr>
          <w:p w:rsidR="00D80CB9" w:rsidRPr="00051880" w:rsidRDefault="00D80CB9" w:rsidP="00051880">
            <w:pPr>
              <w:spacing w:line="240" w:lineRule="auto"/>
              <w:rPr>
                <w:color w:val="000000"/>
                <w:szCs w:val="22"/>
              </w:rPr>
            </w:pPr>
            <w:r w:rsidRPr="00051880">
              <w:rPr>
                <w:color w:val="000000"/>
                <w:szCs w:val="22"/>
              </w:rPr>
              <w:t>7</w:t>
            </w:r>
          </w:p>
        </w:tc>
        <w:tc>
          <w:tcPr>
            <w:tcW w:w="1062" w:type="dxa"/>
            <w:tcBorders>
              <w:top w:val="nil"/>
              <w:left w:val="nil"/>
              <w:bottom w:val="single" w:sz="4" w:space="0" w:color="auto"/>
              <w:right w:val="single" w:sz="4" w:space="0" w:color="auto"/>
            </w:tcBorders>
            <w:shd w:val="clear" w:color="auto" w:fill="auto"/>
            <w:noWrap/>
            <w:vAlign w:val="bottom"/>
            <w:hideMark/>
          </w:tcPr>
          <w:p w:rsidR="00D80CB9" w:rsidRPr="00051880" w:rsidRDefault="00D80CB9" w:rsidP="00051880">
            <w:pPr>
              <w:spacing w:line="240" w:lineRule="auto"/>
              <w:rPr>
                <w:color w:val="000000"/>
                <w:szCs w:val="22"/>
              </w:rPr>
            </w:pPr>
            <w:r w:rsidRPr="00051880">
              <w:rPr>
                <w:color w:val="000000"/>
                <w:szCs w:val="22"/>
              </w:rPr>
              <w:t>10,5</w:t>
            </w:r>
          </w:p>
        </w:tc>
        <w:tc>
          <w:tcPr>
            <w:tcW w:w="1062" w:type="dxa"/>
            <w:tcBorders>
              <w:top w:val="nil"/>
              <w:left w:val="nil"/>
              <w:bottom w:val="single" w:sz="4" w:space="0" w:color="auto"/>
              <w:right w:val="single" w:sz="4" w:space="0" w:color="auto"/>
            </w:tcBorders>
            <w:shd w:val="clear" w:color="auto" w:fill="auto"/>
            <w:noWrap/>
            <w:vAlign w:val="bottom"/>
            <w:hideMark/>
          </w:tcPr>
          <w:p w:rsidR="00D80CB9" w:rsidRPr="00051880" w:rsidRDefault="00D80CB9" w:rsidP="00051880">
            <w:pPr>
              <w:spacing w:line="240" w:lineRule="auto"/>
              <w:rPr>
                <w:color w:val="000000"/>
                <w:szCs w:val="22"/>
              </w:rPr>
            </w:pPr>
            <w:r w:rsidRPr="00051880">
              <w:rPr>
                <w:color w:val="000000"/>
                <w:szCs w:val="22"/>
              </w:rPr>
              <w:t>14</w:t>
            </w:r>
          </w:p>
        </w:tc>
        <w:tc>
          <w:tcPr>
            <w:tcW w:w="1062" w:type="dxa"/>
            <w:tcBorders>
              <w:top w:val="nil"/>
              <w:left w:val="nil"/>
              <w:bottom w:val="single" w:sz="4" w:space="0" w:color="auto"/>
              <w:right w:val="single" w:sz="4" w:space="0" w:color="auto"/>
            </w:tcBorders>
            <w:shd w:val="clear" w:color="auto" w:fill="auto"/>
            <w:noWrap/>
            <w:vAlign w:val="bottom"/>
            <w:hideMark/>
          </w:tcPr>
          <w:p w:rsidR="00D80CB9" w:rsidRPr="00051880" w:rsidRDefault="00D80CB9" w:rsidP="00051880">
            <w:pPr>
              <w:spacing w:line="240" w:lineRule="auto"/>
              <w:rPr>
                <w:color w:val="000000"/>
                <w:szCs w:val="22"/>
              </w:rPr>
            </w:pPr>
            <w:r w:rsidRPr="00051880">
              <w:rPr>
                <w:color w:val="000000"/>
                <w:szCs w:val="22"/>
              </w:rPr>
              <w:t>28</w:t>
            </w:r>
          </w:p>
        </w:tc>
        <w:tc>
          <w:tcPr>
            <w:tcW w:w="785" w:type="dxa"/>
            <w:tcBorders>
              <w:top w:val="nil"/>
              <w:left w:val="nil"/>
              <w:bottom w:val="single" w:sz="4" w:space="0" w:color="auto"/>
              <w:right w:val="single" w:sz="4" w:space="0" w:color="auto"/>
            </w:tcBorders>
            <w:shd w:val="clear" w:color="auto" w:fill="auto"/>
            <w:noWrap/>
            <w:vAlign w:val="bottom"/>
            <w:hideMark/>
          </w:tcPr>
          <w:p w:rsidR="00D80CB9" w:rsidRPr="00051880" w:rsidRDefault="00D80CB9" w:rsidP="00051880">
            <w:pPr>
              <w:spacing w:line="240" w:lineRule="auto"/>
              <w:rPr>
                <w:color w:val="000000"/>
                <w:szCs w:val="22"/>
              </w:rPr>
            </w:pPr>
            <w:r w:rsidRPr="00051880">
              <w:rPr>
                <w:color w:val="000000"/>
                <w:szCs w:val="22"/>
              </w:rPr>
              <w:t>ml/h</w:t>
            </w:r>
          </w:p>
        </w:tc>
      </w:tr>
      <w:tr w:rsidR="00D80CB9" w:rsidRPr="00051880" w:rsidTr="00051880">
        <w:trPr>
          <w:trHeight w:val="227"/>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D80CB9" w:rsidRPr="00051880" w:rsidRDefault="00D80CB9" w:rsidP="00051880">
            <w:pPr>
              <w:spacing w:line="240" w:lineRule="auto"/>
              <w:rPr>
                <w:color w:val="000000"/>
                <w:szCs w:val="22"/>
              </w:rPr>
            </w:pPr>
            <w:r w:rsidRPr="00051880">
              <w:rPr>
                <w:color w:val="000000"/>
                <w:szCs w:val="22"/>
              </w:rPr>
              <w:t>80</w:t>
            </w:r>
          </w:p>
        </w:tc>
        <w:tc>
          <w:tcPr>
            <w:tcW w:w="1062" w:type="dxa"/>
            <w:tcBorders>
              <w:top w:val="nil"/>
              <w:left w:val="nil"/>
              <w:bottom w:val="single" w:sz="4" w:space="0" w:color="auto"/>
              <w:right w:val="single" w:sz="4" w:space="0" w:color="auto"/>
            </w:tcBorders>
            <w:shd w:val="clear" w:color="auto" w:fill="auto"/>
            <w:noWrap/>
            <w:vAlign w:val="bottom"/>
            <w:hideMark/>
          </w:tcPr>
          <w:p w:rsidR="00D80CB9" w:rsidRPr="00051880" w:rsidRDefault="00D80CB9" w:rsidP="00051880">
            <w:pPr>
              <w:spacing w:line="240" w:lineRule="auto"/>
              <w:rPr>
                <w:color w:val="000000"/>
                <w:szCs w:val="22"/>
              </w:rPr>
            </w:pPr>
            <w:r w:rsidRPr="00051880">
              <w:rPr>
                <w:color w:val="000000"/>
                <w:szCs w:val="22"/>
              </w:rPr>
              <w:t>4</w:t>
            </w:r>
          </w:p>
        </w:tc>
        <w:tc>
          <w:tcPr>
            <w:tcW w:w="1062" w:type="dxa"/>
            <w:tcBorders>
              <w:top w:val="nil"/>
              <w:left w:val="nil"/>
              <w:bottom w:val="single" w:sz="4" w:space="0" w:color="auto"/>
              <w:right w:val="single" w:sz="4" w:space="0" w:color="auto"/>
            </w:tcBorders>
            <w:shd w:val="clear" w:color="auto" w:fill="auto"/>
            <w:noWrap/>
            <w:vAlign w:val="bottom"/>
            <w:hideMark/>
          </w:tcPr>
          <w:p w:rsidR="00D80CB9" w:rsidRPr="00051880" w:rsidRDefault="00D80CB9" w:rsidP="00051880">
            <w:pPr>
              <w:spacing w:line="240" w:lineRule="auto"/>
              <w:rPr>
                <w:color w:val="000000"/>
                <w:szCs w:val="22"/>
              </w:rPr>
            </w:pPr>
            <w:r w:rsidRPr="00051880">
              <w:rPr>
                <w:color w:val="000000"/>
                <w:szCs w:val="22"/>
              </w:rPr>
              <w:t>8</w:t>
            </w:r>
          </w:p>
        </w:tc>
        <w:tc>
          <w:tcPr>
            <w:tcW w:w="1062" w:type="dxa"/>
            <w:tcBorders>
              <w:top w:val="nil"/>
              <w:left w:val="nil"/>
              <w:bottom w:val="single" w:sz="4" w:space="0" w:color="auto"/>
              <w:right w:val="single" w:sz="4" w:space="0" w:color="auto"/>
            </w:tcBorders>
            <w:shd w:val="clear" w:color="auto" w:fill="auto"/>
            <w:noWrap/>
            <w:vAlign w:val="bottom"/>
            <w:hideMark/>
          </w:tcPr>
          <w:p w:rsidR="00D80CB9" w:rsidRPr="00051880" w:rsidRDefault="00D80CB9" w:rsidP="00051880">
            <w:pPr>
              <w:spacing w:line="240" w:lineRule="auto"/>
              <w:rPr>
                <w:color w:val="000000"/>
                <w:szCs w:val="22"/>
              </w:rPr>
            </w:pPr>
            <w:r w:rsidRPr="00051880">
              <w:rPr>
                <w:color w:val="000000"/>
                <w:szCs w:val="22"/>
              </w:rPr>
              <w:t>12</w:t>
            </w:r>
          </w:p>
        </w:tc>
        <w:tc>
          <w:tcPr>
            <w:tcW w:w="1062" w:type="dxa"/>
            <w:tcBorders>
              <w:top w:val="nil"/>
              <w:left w:val="nil"/>
              <w:bottom w:val="single" w:sz="4" w:space="0" w:color="auto"/>
              <w:right w:val="single" w:sz="4" w:space="0" w:color="auto"/>
            </w:tcBorders>
            <w:shd w:val="clear" w:color="auto" w:fill="auto"/>
            <w:noWrap/>
            <w:vAlign w:val="bottom"/>
            <w:hideMark/>
          </w:tcPr>
          <w:p w:rsidR="00D80CB9" w:rsidRPr="00051880" w:rsidRDefault="00D80CB9" w:rsidP="00051880">
            <w:pPr>
              <w:spacing w:line="240" w:lineRule="auto"/>
              <w:rPr>
                <w:color w:val="000000"/>
                <w:szCs w:val="22"/>
              </w:rPr>
            </w:pPr>
            <w:r w:rsidRPr="00051880">
              <w:rPr>
                <w:color w:val="000000"/>
                <w:szCs w:val="22"/>
              </w:rPr>
              <w:t>16</w:t>
            </w:r>
          </w:p>
        </w:tc>
        <w:tc>
          <w:tcPr>
            <w:tcW w:w="1062" w:type="dxa"/>
            <w:tcBorders>
              <w:top w:val="nil"/>
              <w:left w:val="nil"/>
              <w:bottom w:val="single" w:sz="4" w:space="0" w:color="auto"/>
              <w:right w:val="single" w:sz="4" w:space="0" w:color="auto"/>
            </w:tcBorders>
            <w:shd w:val="clear" w:color="auto" w:fill="auto"/>
            <w:noWrap/>
            <w:vAlign w:val="bottom"/>
            <w:hideMark/>
          </w:tcPr>
          <w:p w:rsidR="00D80CB9" w:rsidRPr="00051880" w:rsidRDefault="00D80CB9" w:rsidP="00051880">
            <w:pPr>
              <w:spacing w:line="240" w:lineRule="auto"/>
              <w:rPr>
                <w:color w:val="000000"/>
                <w:szCs w:val="22"/>
              </w:rPr>
            </w:pPr>
            <w:r w:rsidRPr="00051880">
              <w:rPr>
                <w:color w:val="000000"/>
                <w:szCs w:val="22"/>
              </w:rPr>
              <w:t>32</w:t>
            </w:r>
          </w:p>
        </w:tc>
        <w:tc>
          <w:tcPr>
            <w:tcW w:w="785" w:type="dxa"/>
            <w:tcBorders>
              <w:top w:val="nil"/>
              <w:left w:val="nil"/>
              <w:bottom w:val="single" w:sz="4" w:space="0" w:color="auto"/>
              <w:right w:val="single" w:sz="4" w:space="0" w:color="auto"/>
            </w:tcBorders>
            <w:shd w:val="clear" w:color="auto" w:fill="auto"/>
            <w:noWrap/>
            <w:vAlign w:val="bottom"/>
            <w:hideMark/>
          </w:tcPr>
          <w:p w:rsidR="00D80CB9" w:rsidRPr="00051880" w:rsidRDefault="00D80CB9" w:rsidP="00051880">
            <w:pPr>
              <w:spacing w:line="240" w:lineRule="auto"/>
              <w:rPr>
                <w:color w:val="000000"/>
                <w:szCs w:val="22"/>
              </w:rPr>
            </w:pPr>
            <w:r w:rsidRPr="00051880">
              <w:rPr>
                <w:color w:val="000000"/>
                <w:szCs w:val="22"/>
              </w:rPr>
              <w:t>ml/h</w:t>
            </w:r>
          </w:p>
        </w:tc>
      </w:tr>
      <w:tr w:rsidR="00D80CB9" w:rsidRPr="00051880" w:rsidTr="00051880">
        <w:trPr>
          <w:trHeight w:val="227"/>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D80CB9" w:rsidRPr="00051880" w:rsidRDefault="00D80CB9" w:rsidP="00051880">
            <w:pPr>
              <w:spacing w:line="240" w:lineRule="auto"/>
              <w:rPr>
                <w:color w:val="000000"/>
                <w:szCs w:val="22"/>
              </w:rPr>
            </w:pPr>
            <w:r w:rsidRPr="00051880">
              <w:rPr>
                <w:color w:val="000000"/>
                <w:szCs w:val="22"/>
              </w:rPr>
              <w:t>90</w:t>
            </w:r>
          </w:p>
        </w:tc>
        <w:tc>
          <w:tcPr>
            <w:tcW w:w="1062" w:type="dxa"/>
            <w:tcBorders>
              <w:top w:val="nil"/>
              <w:left w:val="nil"/>
              <w:bottom w:val="single" w:sz="4" w:space="0" w:color="auto"/>
              <w:right w:val="single" w:sz="4" w:space="0" w:color="auto"/>
            </w:tcBorders>
            <w:shd w:val="clear" w:color="auto" w:fill="auto"/>
            <w:noWrap/>
            <w:vAlign w:val="bottom"/>
            <w:hideMark/>
          </w:tcPr>
          <w:p w:rsidR="00D80CB9" w:rsidRPr="00051880" w:rsidRDefault="00D80CB9" w:rsidP="00051880">
            <w:pPr>
              <w:spacing w:line="240" w:lineRule="auto"/>
              <w:rPr>
                <w:color w:val="000000"/>
                <w:szCs w:val="22"/>
              </w:rPr>
            </w:pPr>
            <w:r w:rsidRPr="00051880">
              <w:rPr>
                <w:color w:val="000000"/>
                <w:szCs w:val="22"/>
              </w:rPr>
              <w:t>4,5</w:t>
            </w:r>
          </w:p>
        </w:tc>
        <w:tc>
          <w:tcPr>
            <w:tcW w:w="1062" w:type="dxa"/>
            <w:tcBorders>
              <w:top w:val="nil"/>
              <w:left w:val="nil"/>
              <w:bottom w:val="single" w:sz="4" w:space="0" w:color="auto"/>
              <w:right w:val="single" w:sz="4" w:space="0" w:color="auto"/>
            </w:tcBorders>
            <w:shd w:val="clear" w:color="auto" w:fill="auto"/>
            <w:noWrap/>
            <w:vAlign w:val="bottom"/>
            <w:hideMark/>
          </w:tcPr>
          <w:p w:rsidR="00D80CB9" w:rsidRPr="00051880" w:rsidRDefault="00D80CB9" w:rsidP="00051880">
            <w:pPr>
              <w:spacing w:line="240" w:lineRule="auto"/>
              <w:rPr>
                <w:color w:val="000000"/>
                <w:szCs w:val="22"/>
              </w:rPr>
            </w:pPr>
            <w:r w:rsidRPr="00051880">
              <w:rPr>
                <w:color w:val="000000"/>
                <w:szCs w:val="22"/>
              </w:rPr>
              <w:t>9</w:t>
            </w:r>
          </w:p>
        </w:tc>
        <w:tc>
          <w:tcPr>
            <w:tcW w:w="1062" w:type="dxa"/>
            <w:tcBorders>
              <w:top w:val="nil"/>
              <w:left w:val="nil"/>
              <w:bottom w:val="single" w:sz="4" w:space="0" w:color="auto"/>
              <w:right w:val="single" w:sz="4" w:space="0" w:color="auto"/>
            </w:tcBorders>
            <w:shd w:val="clear" w:color="auto" w:fill="auto"/>
            <w:noWrap/>
            <w:vAlign w:val="bottom"/>
            <w:hideMark/>
          </w:tcPr>
          <w:p w:rsidR="00D80CB9" w:rsidRPr="00051880" w:rsidRDefault="00D80CB9" w:rsidP="00051880">
            <w:pPr>
              <w:spacing w:line="240" w:lineRule="auto"/>
              <w:rPr>
                <w:color w:val="000000"/>
                <w:szCs w:val="22"/>
              </w:rPr>
            </w:pPr>
            <w:r w:rsidRPr="00051880">
              <w:rPr>
                <w:color w:val="000000"/>
                <w:szCs w:val="22"/>
              </w:rPr>
              <w:t>13,5</w:t>
            </w:r>
          </w:p>
        </w:tc>
        <w:tc>
          <w:tcPr>
            <w:tcW w:w="1062" w:type="dxa"/>
            <w:tcBorders>
              <w:top w:val="nil"/>
              <w:left w:val="nil"/>
              <w:bottom w:val="single" w:sz="4" w:space="0" w:color="auto"/>
              <w:right w:val="single" w:sz="4" w:space="0" w:color="auto"/>
            </w:tcBorders>
            <w:shd w:val="clear" w:color="auto" w:fill="auto"/>
            <w:noWrap/>
            <w:vAlign w:val="bottom"/>
            <w:hideMark/>
          </w:tcPr>
          <w:p w:rsidR="00D80CB9" w:rsidRPr="00051880" w:rsidRDefault="00D80CB9" w:rsidP="00051880">
            <w:pPr>
              <w:spacing w:line="240" w:lineRule="auto"/>
              <w:rPr>
                <w:color w:val="000000"/>
                <w:szCs w:val="22"/>
              </w:rPr>
            </w:pPr>
            <w:r w:rsidRPr="00051880">
              <w:rPr>
                <w:color w:val="000000"/>
                <w:szCs w:val="22"/>
              </w:rPr>
              <w:t>18</w:t>
            </w:r>
          </w:p>
        </w:tc>
        <w:tc>
          <w:tcPr>
            <w:tcW w:w="1062" w:type="dxa"/>
            <w:tcBorders>
              <w:top w:val="nil"/>
              <w:left w:val="nil"/>
              <w:bottom w:val="single" w:sz="4" w:space="0" w:color="auto"/>
              <w:right w:val="single" w:sz="4" w:space="0" w:color="auto"/>
            </w:tcBorders>
            <w:shd w:val="clear" w:color="auto" w:fill="auto"/>
            <w:noWrap/>
            <w:vAlign w:val="bottom"/>
            <w:hideMark/>
          </w:tcPr>
          <w:p w:rsidR="00D80CB9" w:rsidRPr="00051880" w:rsidRDefault="00D80CB9" w:rsidP="00051880">
            <w:pPr>
              <w:spacing w:line="240" w:lineRule="auto"/>
              <w:rPr>
                <w:color w:val="000000"/>
                <w:szCs w:val="22"/>
              </w:rPr>
            </w:pPr>
            <w:r w:rsidRPr="00051880">
              <w:rPr>
                <w:color w:val="000000"/>
                <w:szCs w:val="22"/>
              </w:rPr>
              <w:t>36</w:t>
            </w:r>
          </w:p>
        </w:tc>
        <w:tc>
          <w:tcPr>
            <w:tcW w:w="785" w:type="dxa"/>
            <w:tcBorders>
              <w:top w:val="nil"/>
              <w:left w:val="nil"/>
              <w:bottom w:val="single" w:sz="4" w:space="0" w:color="auto"/>
              <w:right w:val="single" w:sz="4" w:space="0" w:color="auto"/>
            </w:tcBorders>
            <w:shd w:val="clear" w:color="auto" w:fill="auto"/>
            <w:noWrap/>
            <w:vAlign w:val="bottom"/>
            <w:hideMark/>
          </w:tcPr>
          <w:p w:rsidR="00D80CB9" w:rsidRPr="00051880" w:rsidRDefault="00D80CB9" w:rsidP="00051880">
            <w:pPr>
              <w:spacing w:line="240" w:lineRule="auto"/>
              <w:rPr>
                <w:color w:val="000000"/>
                <w:szCs w:val="22"/>
              </w:rPr>
            </w:pPr>
            <w:r w:rsidRPr="00051880">
              <w:rPr>
                <w:color w:val="000000"/>
                <w:szCs w:val="22"/>
              </w:rPr>
              <w:t>ml/h</w:t>
            </w:r>
          </w:p>
        </w:tc>
      </w:tr>
      <w:tr w:rsidR="00D80CB9" w:rsidRPr="00051880" w:rsidTr="00051880">
        <w:trPr>
          <w:trHeight w:val="227"/>
        </w:trPr>
        <w:tc>
          <w:tcPr>
            <w:tcW w:w="1302" w:type="dxa"/>
            <w:tcBorders>
              <w:top w:val="nil"/>
              <w:left w:val="single" w:sz="4" w:space="0" w:color="auto"/>
              <w:bottom w:val="single" w:sz="4" w:space="0" w:color="auto"/>
              <w:right w:val="single" w:sz="4" w:space="0" w:color="auto"/>
            </w:tcBorders>
            <w:shd w:val="clear" w:color="auto" w:fill="auto"/>
            <w:noWrap/>
            <w:vAlign w:val="bottom"/>
            <w:hideMark/>
          </w:tcPr>
          <w:p w:rsidR="00D80CB9" w:rsidRPr="00051880" w:rsidRDefault="00D80CB9" w:rsidP="00051880">
            <w:pPr>
              <w:spacing w:line="240" w:lineRule="auto"/>
              <w:rPr>
                <w:color w:val="000000"/>
                <w:szCs w:val="22"/>
              </w:rPr>
            </w:pPr>
            <w:r w:rsidRPr="00051880">
              <w:rPr>
                <w:color w:val="000000"/>
                <w:szCs w:val="22"/>
              </w:rPr>
              <w:t>100</w:t>
            </w:r>
          </w:p>
        </w:tc>
        <w:tc>
          <w:tcPr>
            <w:tcW w:w="1062" w:type="dxa"/>
            <w:tcBorders>
              <w:top w:val="nil"/>
              <w:left w:val="nil"/>
              <w:bottom w:val="single" w:sz="4" w:space="0" w:color="auto"/>
              <w:right w:val="single" w:sz="4" w:space="0" w:color="auto"/>
            </w:tcBorders>
            <w:shd w:val="clear" w:color="auto" w:fill="auto"/>
            <w:noWrap/>
            <w:vAlign w:val="bottom"/>
            <w:hideMark/>
          </w:tcPr>
          <w:p w:rsidR="00D80CB9" w:rsidRPr="00051880" w:rsidRDefault="00D80CB9" w:rsidP="00051880">
            <w:pPr>
              <w:spacing w:line="240" w:lineRule="auto"/>
              <w:rPr>
                <w:color w:val="000000"/>
                <w:szCs w:val="22"/>
              </w:rPr>
            </w:pPr>
            <w:r w:rsidRPr="00051880">
              <w:rPr>
                <w:color w:val="000000"/>
                <w:szCs w:val="22"/>
              </w:rPr>
              <w:t>5</w:t>
            </w:r>
          </w:p>
        </w:tc>
        <w:tc>
          <w:tcPr>
            <w:tcW w:w="1062" w:type="dxa"/>
            <w:tcBorders>
              <w:top w:val="nil"/>
              <w:left w:val="nil"/>
              <w:bottom w:val="single" w:sz="4" w:space="0" w:color="auto"/>
              <w:right w:val="single" w:sz="4" w:space="0" w:color="auto"/>
            </w:tcBorders>
            <w:shd w:val="clear" w:color="auto" w:fill="auto"/>
            <w:noWrap/>
            <w:vAlign w:val="bottom"/>
            <w:hideMark/>
          </w:tcPr>
          <w:p w:rsidR="00D80CB9" w:rsidRPr="00051880" w:rsidRDefault="00D80CB9" w:rsidP="00051880">
            <w:pPr>
              <w:spacing w:line="240" w:lineRule="auto"/>
              <w:rPr>
                <w:color w:val="000000"/>
                <w:szCs w:val="22"/>
              </w:rPr>
            </w:pPr>
            <w:r w:rsidRPr="00051880">
              <w:rPr>
                <w:color w:val="000000"/>
                <w:szCs w:val="22"/>
              </w:rPr>
              <w:t>10</w:t>
            </w:r>
          </w:p>
        </w:tc>
        <w:tc>
          <w:tcPr>
            <w:tcW w:w="1062" w:type="dxa"/>
            <w:tcBorders>
              <w:top w:val="nil"/>
              <w:left w:val="nil"/>
              <w:bottom w:val="single" w:sz="4" w:space="0" w:color="auto"/>
              <w:right w:val="single" w:sz="4" w:space="0" w:color="auto"/>
            </w:tcBorders>
            <w:shd w:val="clear" w:color="auto" w:fill="auto"/>
            <w:noWrap/>
            <w:vAlign w:val="bottom"/>
            <w:hideMark/>
          </w:tcPr>
          <w:p w:rsidR="00D80CB9" w:rsidRPr="00051880" w:rsidRDefault="00D80CB9" w:rsidP="00051880">
            <w:pPr>
              <w:spacing w:line="240" w:lineRule="auto"/>
              <w:rPr>
                <w:color w:val="000000"/>
                <w:szCs w:val="22"/>
              </w:rPr>
            </w:pPr>
            <w:r w:rsidRPr="00051880">
              <w:rPr>
                <w:color w:val="000000"/>
                <w:szCs w:val="22"/>
              </w:rPr>
              <w:t>15</w:t>
            </w:r>
          </w:p>
        </w:tc>
        <w:tc>
          <w:tcPr>
            <w:tcW w:w="1062" w:type="dxa"/>
            <w:tcBorders>
              <w:top w:val="nil"/>
              <w:left w:val="nil"/>
              <w:bottom w:val="single" w:sz="4" w:space="0" w:color="auto"/>
              <w:right w:val="single" w:sz="4" w:space="0" w:color="auto"/>
            </w:tcBorders>
            <w:shd w:val="clear" w:color="auto" w:fill="auto"/>
            <w:noWrap/>
            <w:vAlign w:val="bottom"/>
            <w:hideMark/>
          </w:tcPr>
          <w:p w:rsidR="00D80CB9" w:rsidRPr="00051880" w:rsidRDefault="00D80CB9" w:rsidP="00051880">
            <w:pPr>
              <w:spacing w:line="240" w:lineRule="auto"/>
              <w:rPr>
                <w:color w:val="000000"/>
                <w:szCs w:val="22"/>
              </w:rPr>
            </w:pPr>
            <w:r w:rsidRPr="00051880">
              <w:rPr>
                <w:color w:val="000000"/>
                <w:szCs w:val="22"/>
              </w:rPr>
              <w:t>20</w:t>
            </w:r>
          </w:p>
        </w:tc>
        <w:tc>
          <w:tcPr>
            <w:tcW w:w="1062" w:type="dxa"/>
            <w:tcBorders>
              <w:top w:val="nil"/>
              <w:left w:val="nil"/>
              <w:bottom w:val="single" w:sz="4" w:space="0" w:color="auto"/>
              <w:right w:val="single" w:sz="4" w:space="0" w:color="auto"/>
            </w:tcBorders>
            <w:shd w:val="clear" w:color="auto" w:fill="auto"/>
            <w:noWrap/>
            <w:vAlign w:val="bottom"/>
            <w:hideMark/>
          </w:tcPr>
          <w:p w:rsidR="00D80CB9" w:rsidRPr="00051880" w:rsidRDefault="00D80CB9" w:rsidP="00051880">
            <w:pPr>
              <w:spacing w:line="240" w:lineRule="auto"/>
              <w:rPr>
                <w:color w:val="000000"/>
                <w:szCs w:val="22"/>
              </w:rPr>
            </w:pPr>
            <w:r w:rsidRPr="00051880">
              <w:rPr>
                <w:color w:val="000000"/>
                <w:szCs w:val="22"/>
              </w:rPr>
              <w:t>40</w:t>
            </w:r>
          </w:p>
        </w:tc>
        <w:tc>
          <w:tcPr>
            <w:tcW w:w="785" w:type="dxa"/>
            <w:tcBorders>
              <w:top w:val="nil"/>
              <w:left w:val="nil"/>
              <w:bottom w:val="single" w:sz="4" w:space="0" w:color="auto"/>
              <w:right w:val="single" w:sz="4" w:space="0" w:color="auto"/>
            </w:tcBorders>
            <w:shd w:val="clear" w:color="auto" w:fill="auto"/>
            <w:noWrap/>
            <w:vAlign w:val="bottom"/>
            <w:hideMark/>
          </w:tcPr>
          <w:p w:rsidR="00D80CB9" w:rsidRPr="00051880" w:rsidRDefault="00D80CB9" w:rsidP="00051880">
            <w:pPr>
              <w:spacing w:line="240" w:lineRule="auto"/>
              <w:rPr>
                <w:color w:val="000000"/>
                <w:szCs w:val="22"/>
              </w:rPr>
            </w:pPr>
            <w:r w:rsidRPr="00051880">
              <w:rPr>
                <w:color w:val="000000"/>
                <w:szCs w:val="22"/>
              </w:rPr>
              <w:t>ml/h</w:t>
            </w:r>
          </w:p>
        </w:tc>
      </w:tr>
    </w:tbl>
    <w:p w:rsidR="00BA558B" w:rsidRPr="00051880" w:rsidRDefault="00BA558B" w:rsidP="00DF1CD8">
      <w:pPr>
        <w:tabs>
          <w:tab w:val="clear" w:pos="567"/>
        </w:tabs>
        <w:spacing w:line="240" w:lineRule="auto"/>
        <w:rPr>
          <w:color w:val="000000"/>
          <w:szCs w:val="22"/>
        </w:rPr>
      </w:pPr>
    </w:p>
    <w:p w:rsidR="00BA558B" w:rsidRPr="00051880" w:rsidRDefault="00BA558B" w:rsidP="00DF1CD8">
      <w:pPr>
        <w:tabs>
          <w:tab w:val="clear" w:pos="567"/>
        </w:tabs>
        <w:spacing w:line="240" w:lineRule="auto"/>
        <w:rPr>
          <w:color w:val="000000"/>
          <w:szCs w:val="22"/>
        </w:rPr>
      </w:pPr>
    </w:p>
    <w:p w:rsidR="00BA558B" w:rsidRPr="00051880" w:rsidRDefault="00BA558B" w:rsidP="00DF1CD8">
      <w:pPr>
        <w:tabs>
          <w:tab w:val="clear" w:pos="567"/>
        </w:tabs>
        <w:spacing w:line="240" w:lineRule="auto"/>
        <w:rPr>
          <w:color w:val="000000"/>
          <w:szCs w:val="22"/>
        </w:rPr>
      </w:pPr>
    </w:p>
    <w:p w:rsidR="00BA558B" w:rsidRPr="00051880" w:rsidRDefault="00BA558B" w:rsidP="00DF1CD8">
      <w:pPr>
        <w:tabs>
          <w:tab w:val="clear" w:pos="567"/>
        </w:tabs>
        <w:spacing w:line="240" w:lineRule="auto"/>
        <w:rPr>
          <w:color w:val="000000"/>
          <w:szCs w:val="22"/>
        </w:rPr>
      </w:pPr>
    </w:p>
    <w:p w:rsidR="00BA558B" w:rsidRPr="00051880" w:rsidRDefault="00BA558B" w:rsidP="00DF1CD8">
      <w:pPr>
        <w:tabs>
          <w:tab w:val="clear" w:pos="567"/>
        </w:tabs>
        <w:spacing w:line="240" w:lineRule="auto"/>
        <w:rPr>
          <w:color w:val="000000"/>
          <w:szCs w:val="22"/>
        </w:rPr>
      </w:pPr>
    </w:p>
    <w:p w:rsidR="00BA558B" w:rsidRPr="00051880" w:rsidRDefault="00BA558B" w:rsidP="00DF1CD8">
      <w:pPr>
        <w:tabs>
          <w:tab w:val="clear" w:pos="567"/>
        </w:tabs>
        <w:spacing w:line="240" w:lineRule="auto"/>
        <w:rPr>
          <w:color w:val="000000"/>
          <w:szCs w:val="22"/>
        </w:rPr>
      </w:pPr>
    </w:p>
    <w:p w:rsidR="00D80CB9" w:rsidRPr="00051880" w:rsidRDefault="00D80CB9" w:rsidP="00DF1CD8">
      <w:pPr>
        <w:tabs>
          <w:tab w:val="clear" w:pos="567"/>
        </w:tabs>
        <w:spacing w:line="240" w:lineRule="auto"/>
        <w:rPr>
          <w:color w:val="000000"/>
          <w:szCs w:val="22"/>
        </w:rPr>
      </w:pPr>
    </w:p>
    <w:p w:rsidR="00D80CB9" w:rsidRPr="00051880" w:rsidRDefault="00D80CB9" w:rsidP="00DF1CD8">
      <w:pPr>
        <w:tabs>
          <w:tab w:val="clear" w:pos="567"/>
        </w:tabs>
        <w:spacing w:line="240" w:lineRule="auto"/>
        <w:rPr>
          <w:color w:val="000000"/>
          <w:szCs w:val="22"/>
        </w:rPr>
      </w:pPr>
    </w:p>
    <w:p w:rsidR="00D80CB9" w:rsidRPr="00051880" w:rsidRDefault="00D80CB9" w:rsidP="00DF1CD8">
      <w:pPr>
        <w:tabs>
          <w:tab w:val="clear" w:pos="567"/>
        </w:tabs>
        <w:spacing w:line="240" w:lineRule="auto"/>
        <w:rPr>
          <w:color w:val="000000"/>
          <w:szCs w:val="22"/>
        </w:rPr>
      </w:pPr>
    </w:p>
    <w:p w:rsidR="00BA558B" w:rsidRPr="00051880" w:rsidRDefault="00BA558B" w:rsidP="00DF1CD8">
      <w:pPr>
        <w:tabs>
          <w:tab w:val="clear" w:pos="567"/>
        </w:tabs>
        <w:spacing w:line="240" w:lineRule="auto"/>
        <w:rPr>
          <w:color w:val="000000"/>
          <w:szCs w:val="22"/>
        </w:rPr>
      </w:pPr>
      <w:r w:rsidRPr="00051880">
        <w:rPr>
          <w:color w:val="000000"/>
          <w:szCs w:val="22"/>
        </w:rPr>
        <w:t>Maximálna odporúčaná denná dávka landiololu je 8 064 mg/osoba/deň (na základe 80 mikrogramov/kg telesnej hmotnosti/min pre 70-kilogramového pacienta a maximáln</w:t>
      </w:r>
      <w:r w:rsidR="00BC0204" w:rsidRPr="00051880">
        <w:rPr>
          <w:color w:val="000000"/>
          <w:szCs w:val="22"/>
        </w:rPr>
        <w:t>o</w:t>
      </w:r>
      <w:r w:rsidRPr="00051880">
        <w:rPr>
          <w:color w:val="000000"/>
          <w:szCs w:val="22"/>
        </w:rPr>
        <w:t xml:space="preserve">u dobou infúzie 24 hodín). </w:t>
      </w:r>
    </w:p>
    <w:p w:rsidR="00BA558B" w:rsidRPr="00051880" w:rsidRDefault="00BA558B" w:rsidP="00DF1CD8">
      <w:pPr>
        <w:tabs>
          <w:tab w:val="clear" w:pos="567"/>
        </w:tabs>
        <w:spacing w:line="240" w:lineRule="auto"/>
        <w:rPr>
          <w:strike/>
          <w:color w:val="000000"/>
          <w:szCs w:val="22"/>
        </w:rPr>
      </w:pPr>
      <w:r w:rsidRPr="00051880">
        <w:rPr>
          <w:color w:val="000000"/>
          <w:szCs w:val="22"/>
        </w:rPr>
        <w:t xml:space="preserve">S podávaním infúzie landiololu dlhšie ako 24 hodín sú len obmedzené skúsenosti. </w:t>
      </w:r>
    </w:p>
    <w:p w:rsidR="00BA558B" w:rsidRPr="00051880" w:rsidRDefault="00BA558B" w:rsidP="00DF1CD8">
      <w:pPr>
        <w:tabs>
          <w:tab w:val="clear" w:pos="567"/>
        </w:tabs>
        <w:spacing w:line="240" w:lineRule="auto"/>
        <w:rPr>
          <w:color w:val="000000"/>
          <w:szCs w:val="22"/>
          <w:u w:val="single"/>
        </w:rPr>
      </w:pPr>
    </w:p>
    <w:p w:rsidR="00BA558B" w:rsidRPr="00051880" w:rsidRDefault="00BA558B" w:rsidP="00DF1CD8">
      <w:pPr>
        <w:tabs>
          <w:tab w:val="clear" w:pos="567"/>
        </w:tabs>
        <w:spacing w:line="240" w:lineRule="auto"/>
        <w:rPr>
          <w:color w:val="000000"/>
          <w:szCs w:val="22"/>
        </w:rPr>
      </w:pPr>
      <w:r w:rsidRPr="00051880">
        <w:rPr>
          <w:color w:val="000000"/>
          <w:szCs w:val="22"/>
        </w:rPr>
        <w:t>V prípade nežiaducich účinkov (pozri časť 4.8) je potrebné dávku landiololu znížiť alebo infúziu prerušiť a pacienti by mali dostať príslušnú lekársku starostlivosť. V prípade hypotenzie a bradykardie je možné podávanie landiololu obnoviť v nižšej dávke potom, ako sa krvný tlak alebo srdcová frekvencia vrátili na prijateľnú úroveň. U pacientov s nízkym systolickým krvným tlakom je potrebná mimoriadna opatrnosť pri úprave dávky a počas udržiavacej infúzie.</w:t>
      </w:r>
    </w:p>
    <w:p w:rsidR="00BA558B" w:rsidRPr="00051880" w:rsidRDefault="00BA558B" w:rsidP="00DF1CD8">
      <w:pPr>
        <w:tabs>
          <w:tab w:val="clear" w:pos="567"/>
        </w:tabs>
        <w:spacing w:line="240" w:lineRule="auto"/>
        <w:rPr>
          <w:color w:val="000000"/>
          <w:szCs w:val="22"/>
          <w:u w:val="single"/>
        </w:rPr>
      </w:pPr>
    </w:p>
    <w:p w:rsidR="00BA558B" w:rsidRPr="00051880" w:rsidRDefault="00BA558B" w:rsidP="00DF1CD8">
      <w:pPr>
        <w:tabs>
          <w:tab w:val="clear" w:pos="567"/>
        </w:tabs>
        <w:spacing w:line="240" w:lineRule="auto"/>
        <w:rPr>
          <w:color w:val="000000"/>
          <w:szCs w:val="22"/>
          <w:u w:val="single"/>
        </w:rPr>
      </w:pPr>
      <w:r w:rsidRPr="00051880">
        <w:rPr>
          <w:i/>
          <w:color w:val="000000"/>
          <w:szCs w:val="22"/>
        </w:rPr>
        <w:t>Prechod na alternatívne lieky:</w:t>
      </w:r>
      <w:r w:rsidRPr="00051880">
        <w:rPr>
          <w:color w:val="000000"/>
          <w:szCs w:val="22"/>
        </w:rPr>
        <w:t xml:space="preserve"> Po dosiahnutí požadovanej kontroly srdcovej frekvencie a stabilného klinického stavu môže byť vykonaný prechod na alternatívne lieky (ako sú perorálne antiarytmiká).</w:t>
      </w:r>
    </w:p>
    <w:p w:rsidR="00BA558B" w:rsidRPr="00051880" w:rsidRDefault="00BA558B" w:rsidP="00DF1CD8">
      <w:pPr>
        <w:tabs>
          <w:tab w:val="clear" w:pos="567"/>
        </w:tabs>
        <w:spacing w:line="240" w:lineRule="auto"/>
        <w:rPr>
          <w:color w:val="000000"/>
          <w:szCs w:val="22"/>
        </w:rPr>
      </w:pPr>
      <w:r w:rsidRPr="00051880">
        <w:rPr>
          <w:color w:val="000000"/>
          <w:szCs w:val="22"/>
        </w:rPr>
        <w:t>Keď sa landiolol nahrádza alternatívnymi liekmi, lekár by mal venovať starostlivú pozornosť označeniu a dávkovaniu alternatívneho lieku a dávkovanie landiololu môže byť znížene nasledovne:</w:t>
      </w:r>
    </w:p>
    <w:p w:rsidR="00BA558B" w:rsidRPr="00051880" w:rsidRDefault="00BA558B" w:rsidP="00DF1CD8">
      <w:pPr>
        <w:widowControl w:val="0"/>
        <w:numPr>
          <w:ilvl w:val="0"/>
          <w:numId w:val="42"/>
        </w:numPr>
        <w:tabs>
          <w:tab w:val="clear" w:pos="567"/>
        </w:tabs>
        <w:spacing w:line="240" w:lineRule="auto"/>
        <w:rPr>
          <w:color w:val="000000"/>
          <w:szCs w:val="22"/>
        </w:rPr>
      </w:pPr>
      <w:r w:rsidRPr="00051880">
        <w:rPr>
          <w:color w:val="000000"/>
          <w:szCs w:val="22"/>
        </w:rPr>
        <w:t>V priebehu prvej hodiny po podaní prvej dávky alternatívneho lieku by sa rýchlosť infúzie landiololu mala znížiť o polovicu (50 %).</w:t>
      </w:r>
    </w:p>
    <w:p w:rsidR="00BA558B" w:rsidRPr="00051880" w:rsidRDefault="00BA558B" w:rsidP="00DF1CD8">
      <w:pPr>
        <w:widowControl w:val="0"/>
        <w:numPr>
          <w:ilvl w:val="0"/>
          <w:numId w:val="42"/>
        </w:numPr>
        <w:tabs>
          <w:tab w:val="clear" w:pos="567"/>
        </w:tabs>
        <w:spacing w:line="240" w:lineRule="auto"/>
        <w:rPr>
          <w:color w:val="000000"/>
          <w:szCs w:val="22"/>
        </w:rPr>
      </w:pPr>
      <w:r w:rsidRPr="00051880">
        <w:rPr>
          <w:color w:val="000000"/>
          <w:szCs w:val="22"/>
        </w:rPr>
        <w:t>Po podaní druhej dávky alternatívneho lieku je nutné sledovať reakciu pacienta, a ak bola najmenej počas jednej hodiny udržiavaná uspokojujúca kontrola, môže byť infúzia landiololu prerušená.</w:t>
      </w:r>
    </w:p>
    <w:p w:rsidR="00BA558B" w:rsidRPr="00051880" w:rsidRDefault="00BA558B" w:rsidP="00DF1CD8">
      <w:pPr>
        <w:tabs>
          <w:tab w:val="clear" w:pos="567"/>
        </w:tabs>
        <w:spacing w:line="240" w:lineRule="auto"/>
        <w:rPr>
          <w:color w:val="000000"/>
          <w:szCs w:val="22"/>
        </w:rPr>
      </w:pPr>
    </w:p>
    <w:p w:rsidR="00BA558B" w:rsidRPr="00051880" w:rsidRDefault="009A0E97" w:rsidP="00DF1CD8">
      <w:pPr>
        <w:tabs>
          <w:tab w:val="clear" w:pos="567"/>
        </w:tabs>
        <w:spacing w:line="240" w:lineRule="auto"/>
        <w:rPr>
          <w:bCs/>
          <w:iCs/>
          <w:color w:val="000000"/>
          <w:szCs w:val="22"/>
          <w:u w:val="single"/>
        </w:rPr>
      </w:pPr>
      <w:r w:rsidRPr="00051880">
        <w:rPr>
          <w:color w:val="000000"/>
          <w:szCs w:val="22"/>
          <w:u w:val="single"/>
        </w:rPr>
        <w:t>Osobitné</w:t>
      </w:r>
      <w:r w:rsidR="00BA558B" w:rsidRPr="00051880">
        <w:rPr>
          <w:color w:val="000000"/>
          <w:szCs w:val="22"/>
          <w:u w:val="single"/>
        </w:rPr>
        <w:t xml:space="preserve"> skupiny pacientov</w:t>
      </w:r>
    </w:p>
    <w:p w:rsidR="00BA558B" w:rsidRPr="00051880" w:rsidRDefault="00BA558B" w:rsidP="00DF1CD8">
      <w:pPr>
        <w:tabs>
          <w:tab w:val="clear" w:pos="567"/>
        </w:tabs>
        <w:spacing w:line="240" w:lineRule="auto"/>
        <w:rPr>
          <w:bCs/>
          <w:i/>
          <w:iCs/>
          <w:color w:val="000000"/>
          <w:szCs w:val="22"/>
        </w:rPr>
      </w:pPr>
    </w:p>
    <w:p w:rsidR="00BA558B" w:rsidRPr="00051880" w:rsidRDefault="00BA558B" w:rsidP="00DF1CD8">
      <w:pPr>
        <w:tabs>
          <w:tab w:val="clear" w:pos="567"/>
        </w:tabs>
        <w:spacing w:line="240" w:lineRule="auto"/>
        <w:rPr>
          <w:bCs/>
          <w:i/>
          <w:iCs/>
          <w:color w:val="000000"/>
          <w:szCs w:val="22"/>
        </w:rPr>
      </w:pPr>
      <w:r w:rsidRPr="00051880">
        <w:rPr>
          <w:i/>
          <w:color w:val="000000"/>
          <w:szCs w:val="22"/>
        </w:rPr>
        <w:t>Starší pacienti (≥ 65 rokov)</w:t>
      </w:r>
    </w:p>
    <w:p w:rsidR="00BA558B" w:rsidRPr="00051880" w:rsidRDefault="00BA558B" w:rsidP="00DF1CD8">
      <w:pPr>
        <w:tabs>
          <w:tab w:val="clear" w:pos="567"/>
        </w:tabs>
        <w:spacing w:line="240" w:lineRule="auto"/>
        <w:rPr>
          <w:bCs/>
          <w:i/>
          <w:iCs/>
          <w:color w:val="000000"/>
          <w:szCs w:val="22"/>
        </w:rPr>
      </w:pPr>
    </w:p>
    <w:p w:rsidR="00BA558B" w:rsidRPr="00051880" w:rsidRDefault="00BA558B" w:rsidP="00DF1CD8">
      <w:pPr>
        <w:tabs>
          <w:tab w:val="clear" w:pos="567"/>
        </w:tabs>
        <w:autoSpaceDE w:val="0"/>
        <w:autoSpaceDN w:val="0"/>
        <w:adjustRightInd w:val="0"/>
        <w:spacing w:line="240" w:lineRule="auto"/>
        <w:rPr>
          <w:bCs/>
          <w:i/>
          <w:iCs/>
          <w:color w:val="000000"/>
          <w:szCs w:val="22"/>
        </w:rPr>
      </w:pPr>
      <w:r w:rsidRPr="00051880">
        <w:rPr>
          <w:color w:val="000000"/>
          <w:szCs w:val="22"/>
        </w:rPr>
        <w:t>Úprava dávky nie je potrebná.</w:t>
      </w:r>
    </w:p>
    <w:p w:rsidR="00BA558B" w:rsidRPr="00051880" w:rsidRDefault="00BA558B" w:rsidP="00DF1CD8">
      <w:pPr>
        <w:tabs>
          <w:tab w:val="clear" w:pos="567"/>
        </w:tabs>
        <w:spacing w:line="240" w:lineRule="auto"/>
        <w:rPr>
          <w:bCs/>
          <w:i/>
          <w:iCs/>
          <w:color w:val="000000"/>
          <w:szCs w:val="22"/>
        </w:rPr>
      </w:pPr>
    </w:p>
    <w:p w:rsidR="00BA558B" w:rsidRPr="00051880" w:rsidRDefault="00BA558B" w:rsidP="00DF1CD8">
      <w:pPr>
        <w:tabs>
          <w:tab w:val="clear" w:pos="567"/>
        </w:tabs>
        <w:spacing w:line="240" w:lineRule="auto"/>
        <w:rPr>
          <w:bCs/>
          <w:i/>
          <w:iCs/>
          <w:color w:val="000000"/>
          <w:szCs w:val="22"/>
        </w:rPr>
      </w:pPr>
      <w:r w:rsidRPr="00051880">
        <w:rPr>
          <w:i/>
          <w:color w:val="000000"/>
          <w:szCs w:val="22"/>
        </w:rPr>
        <w:t>Porucha funkcie obličiek</w:t>
      </w:r>
    </w:p>
    <w:p w:rsidR="00BA558B" w:rsidRPr="00051880" w:rsidRDefault="00BA558B" w:rsidP="00DF1CD8">
      <w:pPr>
        <w:spacing w:line="240" w:lineRule="auto"/>
        <w:rPr>
          <w:color w:val="000000"/>
          <w:szCs w:val="22"/>
        </w:rPr>
      </w:pPr>
    </w:p>
    <w:p w:rsidR="00BA558B" w:rsidRPr="00051880" w:rsidRDefault="00BA558B" w:rsidP="00DF1CD8">
      <w:pPr>
        <w:tabs>
          <w:tab w:val="clear" w:pos="567"/>
        </w:tabs>
        <w:autoSpaceDE w:val="0"/>
        <w:autoSpaceDN w:val="0"/>
        <w:adjustRightInd w:val="0"/>
        <w:spacing w:line="240" w:lineRule="auto"/>
        <w:rPr>
          <w:color w:val="000000"/>
          <w:szCs w:val="22"/>
        </w:rPr>
      </w:pPr>
      <w:r w:rsidRPr="00051880">
        <w:rPr>
          <w:szCs w:val="22"/>
        </w:rPr>
        <w:t>Úprava dávky nie je potrebná (pozri časť 4.4 a 5.2).</w:t>
      </w:r>
    </w:p>
    <w:p w:rsidR="00BA558B" w:rsidRPr="00051880" w:rsidRDefault="00BA558B" w:rsidP="00DF1CD8">
      <w:pPr>
        <w:tabs>
          <w:tab w:val="clear" w:pos="567"/>
        </w:tabs>
        <w:spacing w:line="240" w:lineRule="auto"/>
        <w:rPr>
          <w:bCs/>
          <w:i/>
          <w:iCs/>
          <w:color w:val="000000"/>
          <w:szCs w:val="22"/>
        </w:rPr>
      </w:pPr>
    </w:p>
    <w:p w:rsidR="00BA558B" w:rsidRPr="00051880" w:rsidRDefault="00BA558B" w:rsidP="00DF1CD8">
      <w:pPr>
        <w:tabs>
          <w:tab w:val="clear" w:pos="567"/>
        </w:tabs>
        <w:spacing w:line="240" w:lineRule="auto"/>
        <w:rPr>
          <w:bCs/>
          <w:i/>
          <w:iCs/>
          <w:color w:val="000000"/>
          <w:szCs w:val="22"/>
        </w:rPr>
      </w:pPr>
      <w:r w:rsidRPr="00051880">
        <w:rPr>
          <w:i/>
          <w:color w:val="000000"/>
          <w:szCs w:val="22"/>
        </w:rPr>
        <w:t>Porucha funkcie pečene</w:t>
      </w:r>
    </w:p>
    <w:p w:rsidR="00BA558B" w:rsidRPr="00051880" w:rsidRDefault="00BA558B" w:rsidP="00DF1CD8">
      <w:pPr>
        <w:tabs>
          <w:tab w:val="clear" w:pos="567"/>
        </w:tabs>
        <w:autoSpaceDE w:val="0"/>
        <w:autoSpaceDN w:val="0"/>
        <w:adjustRightInd w:val="0"/>
        <w:spacing w:line="240" w:lineRule="auto"/>
        <w:rPr>
          <w:color w:val="000000"/>
          <w:szCs w:val="22"/>
        </w:rPr>
      </w:pPr>
    </w:p>
    <w:p w:rsidR="00BA558B" w:rsidRPr="00051880" w:rsidRDefault="00BA558B" w:rsidP="00DF1CD8">
      <w:pPr>
        <w:tabs>
          <w:tab w:val="clear" w:pos="567"/>
        </w:tabs>
        <w:autoSpaceDE w:val="0"/>
        <w:autoSpaceDN w:val="0"/>
        <w:adjustRightInd w:val="0"/>
        <w:spacing w:line="240" w:lineRule="auto"/>
        <w:rPr>
          <w:szCs w:val="22"/>
        </w:rPr>
      </w:pPr>
      <w:r w:rsidRPr="00051880">
        <w:rPr>
          <w:szCs w:val="22"/>
        </w:rPr>
        <w:t>Údaje o liečbe pacientov s poruchou funkcie pečene sú obmedzené (pozri časť 5.2).</w:t>
      </w:r>
      <w:r w:rsidRPr="00051880">
        <w:rPr>
          <w:color w:val="000000"/>
          <w:szCs w:val="22"/>
        </w:rPr>
        <w:t xml:space="preserve"> </w:t>
      </w:r>
      <w:r w:rsidRPr="00051880">
        <w:rPr>
          <w:szCs w:val="22"/>
        </w:rPr>
        <w:t xml:space="preserve">U pacientov so všetkými stupňami poruchy funkcie pečene sa odporúča opatrné dávkovanie </w:t>
      </w:r>
      <w:r w:rsidR="009A0E97" w:rsidRPr="00051880">
        <w:rPr>
          <w:szCs w:val="22"/>
        </w:rPr>
        <w:t>so začiatočnou</w:t>
      </w:r>
      <w:r w:rsidRPr="00051880">
        <w:rPr>
          <w:szCs w:val="22"/>
        </w:rPr>
        <w:t xml:space="preserve"> najnižšou dávkou.</w:t>
      </w:r>
    </w:p>
    <w:p w:rsidR="00BA558B" w:rsidRPr="00051880" w:rsidRDefault="00BA558B" w:rsidP="00DF1CD8">
      <w:pPr>
        <w:tabs>
          <w:tab w:val="clear" w:pos="567"/>
        </w:tabs>
        <w:spacing w:line="240" w:lineRule="auto"/>
        <w:rPr>
          <w:bCs/>
          <w:i/>
          <w:iCs/>
          <w:color w:val="000000"/>
          <w:szCs w:val="22"/>
        </w:rPr>
      </w:pPr>
    </w:p>
    <w:p w:rsidR="000316E5" w:rsidRPr="00051880" w:rsidRDefault="00DC689A" w:rsidP="00DF1CD8">
      <w:pPr>
        <w:tabs>
          <w:tab w:val="clear" w:pos="567"/>
        </w:tabs>
        <w:spacing w:line="240" w:lineRule="auto"/>
        <w:rPr>
          <w:bCs/>
          <w:i/>
          <w:iCs/>
          <w:color w:val="000000"/>
          <w:szCs w:val="22"/>
        </w:rPr>
      </w:pPr>
      <w:r w:rsidRPr="00051880">
        <w:rPr>
          <w:bCs/>
          <w:i/>
          <w:iCs/>
          <w:color w:val="000000"/>
          <w:szCs w:val="22"/>
        </w:rPr>
        <w:t>Porucha funkcie srdca</w:t>
      </w:r>
    </w:p>
    <w:p w:rsidR="00DC689A" w:rsidRPr="00051880" w:rsidRDefault="00DC689A" w:rsidP="00DF1CD8">
      <w:pPr>
        <w:tabs>
          <w:tab w:val="clear" w:pos="567"/>
        </w:tabs>
        <w:spacing w:line="240" w:lineRule="auto"/>
        <w:rPr>
          <w:bCs/>
          <w:i/>
          <w:iCs/>
          <w:color w:val="000000"/>
          <w:szCs w:val="22"/>
        </w:rPr>
      </w:pPr>
    </w:p>
    <w:p w:rsidR="00DC689A" w:rsidRPr="00051880" w:rsidRDefault="00DC689A" w:rsidP="00DF1CD8">
      <w:pPr>
        <w:tabs>
          <w:tab w:val="clear" w:pos="567"/>
        </w:tabs>
        <w:spacing w:line="240" w:lineRule="auto"/>
        <w:rPr>
          <w:bCs/>
          <w:iCs/>
          <w:color w:val="000000"/>
          <w:szCs w:val="22"/>
        </w:rPr>
      </w:pPr>
      <w:r w:rsidRPr="00051880">
        <w:rPr>
          <w:bCs/>
          <w:iCs/>
          <w:color w:val="000000"/>
          <w:szCs w:val="22"/>
        </w:rPr>
        <w:t xml:space="preserve">U pacientov s poruchou funkcie ľavej komory </w:t>
      </w:r>
      <w:r w:rsidRPr="00051880">
        <w:rPr>
          <w:szCs w:val="22"/>
        </w:rPr>
        <w:t>(EF ĽK &lt;40</w:t>
      </w:r>
      <w:r w:rsidR="000E7C8B" w:rsidRPr="00051880">
        <w:rPr>
          <w:szCs w:val="22"/>
        </w:rPr>
        <w:t xml:space="preserve"> </w:t>
      </w:r>
      <w:r w:rsidRPr="00051880">
        <w:rPr>
          <w:szCs w:val="22"/>
        </w:rPr>
        <w:t>%, SI &lt;2</w:t>
      </w:r>
      <w:r w:rsidR="000E7C8B" w:rsidRPr="00051880">
        <w:rPr>
          <w:szCs w:val="22"/>
        </w:rPr>
        <w:t>,</w:t>
      </w:r>
      <w:r w:rsidRPr="00051880">
        <w:rPr>
          <w:szCs w:val="22"/>
        </w:rPr>
        <w:t>5 l/min/m</w:t>
      </w:r>
      <w:r w:rsidRPr="00051880">
        <w:rPr>
          <w:szCs w:val="22"/>
          <w:vertAlign w:val="superscript"/>
        </w:rPr>
        <w:t>2</w:t>
      </w:r>
      <w:r w:rsidRPr="00051880">
        <w:rPr>
          <w:szCs w:val="22"/>
        </w:rPr>
        <w:t>, klasifikácia podľa NYHA 3-4)</w:t>
      </w:r>
      <w:r w:rsidR="000E7C8B" w:rsidRPr="00051880">
        <w:rPr>
          <w:szCs w:val="22"/>
        </w:rPr>
        <w:t xml:space="preserve"> napr. po operácii srdca, počas ischémie alebo u septických stavov </w:t>
      </w:r>
      <w:r w:rsidR="009B2135" w:rsidRPr="00051880">
        <w:rPr>
          <w:szCs w:val="22"/>
        </w:rPr>
        <w:t xml:space="preserve">boli </w:t>
      </w:r>
      <w:r w:rsidR="000E7C8B" w:rsidRPr="00051880">
        <w:rPr>
          <w:szCs w:val="22"/>
        </w:rPr>
        <w:t xml:space="preserve">na dosiahnutie kontroly srdcového tepu používané nižšie dávky </w:t>
      </w:r>
      <w:r w:rsidR="00E8142A" w:rsidRPr="00051880">
        <w:rPr>
          <w:szCs w:val="22"/>
        </w:rPr>
        <w:t>počnúc</w:t>
      </w:r>
      <w:r w:rsidR="000E7C8B" w:rsidRPr="00051880">
        <w:rPr>
          <w:szCs w:val="22"/>
        </w:rPr>
        <w:t xml:space="preserve"> od 1 mikrogramu/kg telesnej hmotnosti/min</w:t>
      </w:r>
      <w:r w:rsidR="00E8142A" w:rsidRPr="00051880">
        <w:rPr>
          <w:szCs w:val="22"/>
        </w:rPr>
        <w:t xml:space="preserve"> </w:t>
      </w:r>
      <w:r w:rsidR="00051880" w:rsidRPr="00051880">
        <w:rPr>
          <w:szCs w:val="22"/>
        </w:rPr>
        <w:t xml:space="preserve">a </w:t>
      </w:r>
      <w:r w:rsidR="00E8142A" w:rsidRPr="00051880">
        <w:rPr>
          <w:szCs w:val="22"/>
        </w:rPr>
        <w:t>boli</w:t>
      </w:r>
      <w:r w:rsidR="000E7C8B" w:rsidRPr="00051880">
        <w:rPr>
          <w:szCs w:val="22"/>
        </w:rPr>
        <w:t> postupne zvyšované za pozorného sledovania krvného tlaku až na 10 mikrogramov/kg telesnej hmotnosti/min</w:t>
      </w:r>
      <w:r w:rsidR="009B2135" w:rsidRPr="00051880">
        <w:rPr>
          <w:szCs w:val="22"/>
        </w:rPr>
        <w:t>.</w:t>
      </w:r>
    </w:p>
    <w:p w:rsidR="000316E5" w:rsidRPr="00051880" w:rsidRDefault="000316E5" w:rsidP="00DF1CD8">
      <w:pPr>
        <w:tabs>
          <w:tab w:val="clear" w:pos="567"/>
        </w:tabs>
        <w:spacing w:line="240" w:lineRule="auto"/>
        <w:rPr>
          <w:bCs/>
          <w:i/>
          <w:iCs/>
          <w:color w:val="000000"/>
          <w:szCs w:val="22"/>
        </w:rPr>
      </w:pPr>
    </w:p>
    <w:p w:rsidR="000316E5" w:rsidRPr="00051880" w:rsidRDefault="000316E5" w:rsidP="00DF1CD8">
      <w:pPr>
        <w:tabs>
          <w:tab w:val="clear" w:pos="567"/>
        </w:tabs>
        <w:spacing w:line="240" w:lineRule="auto"/>
        <w:rPr>
          <w:bCs/>
          <w:i/>
          <w:iCs/>
          <w:color w:val="000000"/>
          <w:szCs w:val="22"/>
        </w:rPr>
      </w:pPr>
    </w:p>
    <w:p w:rsidR="00BA558B" w:rsidRPr="00051880" w:rsidRDefault="00DF1CD8" w:rsidP="00DF1CD8">
      <w:pPr>
        <w:tabs>
          <w:tab w:val="clear" w:pos="567"/>
        </w:tabs>
        <w:spacing w:line="240" w:lineRule="auto"/>
        <w:rPr>
          <w:bCs/>
          <w:i/>
          <w:iCs/>
          <w:color w:val="000000"/>
          <w:szCs w:val="22"/>
        </w:rPr>
      </w:pPr>
      <w:r w:rsidRPr="00051880">
        <w:rPr>
          <w:i/>
          <w:color w:val="000000"/>
          <w:szCs w:val="22"/>
        </w:rPr>
        <w:t>Pediatrická populácia</w:t>
      </w:r>
    </w:p>
    <w:p w:rsidR="00BA558B" w:rsidRPr="00051880" w:rsidRDefault="00BA558B" w:rsidP="00DF1CD8">
      <w:pPr>
        <w:tabs>
          <w:tab w:val="clear" w:pos="567"/>
        </w:tabs>
        <w:spacing w:line="240" w:lineRule="auto"/>
        <w:rPr>
          <w:bCs/>
          <w:i/>
          <w:iCs/>
          <w:color w:val="000000"/>
          <w:szCs w:val="22"/>
        </w:rPr>
      </w:pPr>
    </w:p>
    <w:p w:rsidR="00BA558B" w:rsidRPr="00051880" w:rsidRDefault="00BA558B" w:rsidP="00DF1CD8">
      <w:pPr>
        <w:tabs>
          <w:tab w:val="clear" w:pos="567"/>
        </w:tabs>
        <w:autoSpaceDE w:val="0"/>
        <w:autoSpaceDN w:val="0"/>
        <w:adjustRightInd w:val="0"/>
        <w:spacing w:line="240" w:lineRule="auto"/>
        <w:rPr>
          <w:color w:val="000000"/>
          <w:szCs w:val="22"/>
        </w:rPr>
      </w:pPr>
      <w:r w:rsidRPr="00051880">
        <w:rPr>
          <w:szCs w:val="22"/>
        </w:rPr>
        <w:t>Bezpečnosť a účinnosť landiololu u detí vo veku 0 až 18 rokov nebola doteraz stanovená.</w:t>
      </w:r>
      <w:r w:rsidRPr="00051880">
        <w:rPr>
          <w:color w:val="000000"/>
          <w:szCs w:val="22"/>
        </w:rPr>
        <w:t xml:space="preserve"> V súčasnosti dostupné údaje sú opísané v časti 5.2, ale nie je možné uviesť žiadne odporúčania týkajúce sa dávkovania.</w:t>
      </w:r>
    </w:p>
    <w:p w:rsidR="00BA558B" w:rsidRPr="00051880" w:rsidRDefault="00BA558B" w:rsidP="00DF1CD8">
      <w:pPr>
        <w:tabs>
          <w:tab w:val="clear" w:pos="567"/>
        </w:tabs>
        <w:spacing w:line="240" w:lineRule="auto"/>
        <w:rPr>
          <w:color w:val="000000"/>
          <w:szCs w:val="22"/>
          <w:u w:val="single"/>
        </w:rPr>
      </w:pPr>
    </w:p>
    <w:p w:rsidR="00BA558B" w:rsidRPr="00051880" w:rsidRDefault="00BA558B" w:rsidP="00DF1CD8">
      <w:pPr>
        <w:tabs>
          <w:tab w:val="clear" w:pos="567"/>
        </w:tabs>
        <w:spacing w:line="240" w:lineRule="auto"/>
        <w:rPr>
          <w:color w:val="000000"/>
          <w:szCs w:val="22"/>
          <w:u w:val="single"/>
        </w:rPr>
      </w:pPr>
      <w:r w:rsidRPr="00051880">
        <w:rPr>
          <w:color w:val="000000"/>
          <w:szCs w:val="22"/>
          <w:u w:val="single"/>
        </w:rPr>
        <w:t>Spôsob podávania</w:t>
      </w:r>
    </w:p>
    <w:p w:rsidR="00BA558B" w:rsidRPr="00051880" w:rsidRDefault="00BA558B" w:rsidP="00DF1CD8">
      <w:pPr>
        <w:tabs>
          <w:tab w:val="clear" w:pos="567"/>
        </w:tabs>
        <w:spacing w:line="240" w:lineRule="auto"/>
        <w:rPr>
          <w:color w:val="000000"/>
          <w:szCs w:val="22"/>
        </w:rPr>
      </w:pPr>
    </w:p>
    <w:p w:rsidR="00BA558B" w:rsidRPr="00051880" w:rsidRDefault="00BA558B" w:rsidP="00DF1CD8">
      <w:pPr>
        <w:tabs>
          <w:tab w:val="clear" w:pos="567"/>
        </w:tabs>
        <w:spacing w:line="240" w:lineRule="auto"/>
        <w:rPr>
          <w:color w:val="000000"/>
          <w:szCs w:val="22"/>
        </w:rPr>
      </w:pPr>
      <w:r w:rsidRPr="00051880">
        <w:rPr>
          <w:color w:val="000000"/>
          <w:szCs w:val="22"/>
        </w:rPr>
        <w:t xml:space="preserve">Rapibloc sa musí pred podaním rekonštituovať (inštrukcie sú uvedené v časti 6.6) a použiť ihneď po otvorení (pozri časť 4.4 a 6.3). </w:t>
      </w:r>
    </w:p>
    <w:p w:rsidR="00BA558B" w:rsidRPr="00051880" w:rsidRDefault="00BA558B" w:rsidP="00DF1CD8">
      <w:pPr>
        <w:tabs>
          <w:tab w:val="clear" w:pos="567"/>
        </w:tabs>
        <w:spacing w:line="240" w:lineRule="auto"/>
        <w:rPr>
          <w:color w:val="000000"/>
          <w:szCs w:val="22"/>
        </w:rPr>
      </w:pPr>
    </w:p>
    <w:p w:rsidR="00BA558B" w:rsidRPr="00051880" w:rsidRDefault="00BA558B" w:rsidP="00DF1CD8">
      <w:pPr>
        <w:tabs>
          <w:tab w:val="clear" w:pos="567"/>
        </w:tabs>
        <w:spacing w:line="240" w:lineRule="auto"/>
        <w:rPr>
          <w:color w:val="000000"/>
          <w:szCs w:val="22"/>
        </w:rPr>
      </w:pPr>
      <w:r w:rsidRPr="00051880">
        <w:rPr>
          <w:color w:val="000000"/>
          <w:szCs w:val="22"/>
        </w:rPr>
        <w:t>Rapibloc sa nesmie zmiešavať s inými produktmi okrem tých, ktoré sú uvedené v časti 6.6.</w:t>
      </w:r>
    </w:p>
    <w:p w:rsidR="00BA558B" w:rsidRPr="00051880" w:rsidRDefault="00BA558B" w:rsidP="00DF1CD8">
      <w:pPr>
        <w:tabs>
          <w:tab w:val="clear" w:pos="567"/>
        </w:tabs>
        <w:spacing w:line="240" w:lineRule="auto"/>
        <w:rPr>
          <w:color w:val="000000"/>
          <w:szCs w:val="22"/>
        </w:rPr>
      </w:pPr>
    </w:p>
    <w:p w:rsidR="00BA558B" w:rsidRPr="00051880" w:rsidRDefault="00BA558B" w:rsidP="00DF1CD8">
      <w:pPr>
        <w:tabs>
          <w:tab w:val="clear" w:pos="567"/>
        </w:tabs>
        <w:spacing w:line="240" w:lineRule="auto"/>
        <w:rPr>
          <w:color w:val="000000"/>
          <w:szCs w:val="22"/>
        </w:rPr>
      </w:pPr>
      <w:r w:rsidRPr="00051880">
        <w:rPr>
          <w:color w:val="000000"/>
          <w:szCs w:val="22"/>
        </w:rPr>
        <w:t>Landiolol sa m</w:t>
      </w:r>
      <w:r w:rsidR="005826F6" w:rsidRPr="00051880">
        <w:rPr>
          <w:color w:val="000000"/>
          <w:szCs w:val="22"/>
        </w:rPr>
        <w:t>á</w:t>
      </w:r>
      <w:r w:rsidRPr="00051880">
        <w:rPr>
          <w:color w:val="000000"/>
          <w:szCs w:val="22"/>
        </w:rPr>
        <w:t xml:space="preserve"> podávať intravenózne cez centrálnu </w:t>
      </w:r>
      <w:r w:rsidR="005826F6" w:rsidRPr="00051880">
        <w:rPr>
          <w:color w:val="000000"/>
          <w:szCs w:val="22"/>
        </w:rPr>
        <w:t>žilu</w:t>
      </w:r>
      <w:r w:rsidRPr="00051880">
        <w:rPr>
          <w:color w:val="000000"/>
          <w:szCs w:val="22"/>
        </w:rPr>
        <w:t xml:space="preserve"> alebo periférnu </w:t>
      </w:r>
      <w:r w:rsidR="005826F6" w:rsidRPr="00051880">
        <w:rPr>
          <w:color w:val="000000"/>
          <w:szCs w:val="22"/>
        </w:rPr>
        <w:t>žilu</w:t>
      </w:r>
      <w:r w:rsidRPr="00051880">
        <w:rPr>
          <w:color w:val="000000"/>
          <w:szCs w:val="22"/>
        </w:rPr>
        <w:t xml:space="preserve"> a nem</w:t>
      </w:r>
      <w:r w:rsidR="005826F6" w:rsidRPr="00051880">
        <w:rPr>
          <w:color w:val="000000"/>
          <w:szCs w:val="22"/>
        </w:rPr>
        <w:t>á</w:t>
      </w:r>
      <w:r w:rsidRPr="00051880">
        <w:rPr>
          <w:color w:val="000000"/>
          <w:szCs w:val="22"/>
        </w:rPr>
        <w:t xml:space="preserve"> byť podávaný cez tú istú infúz</w:t>
      </w:r>
      <w:r w:rsidR="005826F6" w:rsidRPr="00051880">
        <w:rPr>
          <w:color w:val="000000"/>
          <w:szCs w:val="22"/>
        </w:rPr>
        <w:t>nu súpravu</w:t>
      </w:r>
      <w:r w:rsidRPr="00051880">
        <w:rPr>
          <w:color w:val="000000"/>
          <w:szCs w:val="22"/>
        </w:rPr>
        <w:t xml:space="preserve"> ako iné lieky (pozri časť 6.6).</w:t>
      </w:r>
    </w:p>
    <w:p w:rsidR="00BA558B" w:rsidRPr="00051880" w:rsidRDefault="00BA558B" w:rsidP="00DF1CD8">
      <w:pPr>
        <w:tabs>
          <w:tab w:val="clear" w:pos="567"/>
        </w:tabs>
        <w:spacing w:line="240" w:lineRule="auto"/>
        <w:rPr>
          <w:color w:val="000000"/>
          <w:szCs w:val="22"/>
        </w:rPr>
      </w:pPr>
    </w:p>
    <w:p w:rsidR="00BA558B" w:rsidRPr="00051880" w:rsidRDefault="00BA558B" w:rsidP="00DF1CD8">
      <w:pPr>
        <w:tabs>
          <w:tab w:val="clear" w:pos="567"/>
        </w:tabs>
        <w:spacing w:line="240" w:lineRule="auto"/>
        <w:rPr>
          <w:color w:val="000000"/>
          <w:szCs w:val="22"/>
        </w:rPr>
      </w:pPr>
      <w:r w:rsidRPr="00051880">
        <w:rPr>
          <w:color w:val="000000"/>
          <w:szCs w:val="22"/>
        </w:rPr>
        <w:t>Pri landiolole sa na rozdiel od iných betablokátorov neobjavuje tachykardia ako reakcia na náhle ukončenie podávania po 24 hodinách kontinuálnej infúzie. Avšak pacienti by mali byť pozorne sledovaní, keď má byť podávanie landiololu prerušené.</w:t>
      </w:r>
    </w:p>
    <w:p w:rsidR="00BA558B" w:rsidRPr="00051880" w:rsidRDefault="00BA558B" w:rsidP="00DF1CD8">
      <w:pPr>
        <w:tabs>
          <w:tab w:val="clear" w:pos="567"/>
        </w:tabs>
        <w:autoSpaceDE w:val="0"/>
        <w:autoSpaceDN w:val="0"/>
        <w:adjustRightInd w:val="0"/>
        <w:spacing w:line="240" w:lineRule="auto"/>
        <w:rPr>
          <w:color w:val="000000"/>
          <w:szCs w:val="22"/>
          <w:u w:val="single"/>
        </w:rPr>
      </w:pPr>
    </w:p>
    <w:p w:rsidR="00BA558B" w:rsidRPr="00051880" w:rsidRDefault="00BA558B" w:rsidP="00DF1CD8">
      <w:pPr>
        <w:pStyle w:val="Nadpis4"/>
        <w:spacing w:line="240" w:lineRule="auto"/>
        <w:jc w:val="left"/>
        <w:rPr>
          <w:color w:val="000000"/>
          <w:szCs w:val="22"/>
        </w:rPr>
      </w:pPr>
      <w:r w:rsidRPr="00051880">
        <w:rPr>
          <w:color w:val="000000"/>
          <w:szCs w:val="22"/>
        </w:rPr>
        <w:t>4.3</w:t>
      </w:r>
      <w:r w:rsidRPr="00051880">
        <w:rPr>
          <w:color w:val="000000"/>
          <w:szCs w:val="22"/>
        </w:rPr>
        <w:tab/>
        <w:t>Kontraindikácie</w:t>
      </w:r>
    </w:p>
    <w:p w:rsidR="00BA558B" w:rsidRPr="00051880" w:rsidRDefault="00BA558B" w:rsidP="00DF1CD8">
      <w:pPr>
        <w:spacing w:line="240" w:lineRule="auto"/>
        <w:rPr>
          <w:color w:val="000000"/>
          <w:szCs w:val="22"/>
        </w:rPr>
      </w:pPr>
    </w:p>
    <w:p w:rsidR="00BA558B" w:rsidRPr="00051880" w:rsidRDefault="00BA558B" w:rsidP="00DF1CD8">
      <w:pPr>
        <w:widowControl w:val="0"/>
        <w:numPr>
          <w:ilvl w:val="0"/>
          <w:numId w:val="38"/>
        </w:numPr>
        <w:tabs>
          <w:tab w:val="clear" w:pos="567"/>
        </w:tabs>
        <w:spacing w:line="240" w:lineRule="auto"/>
        <w:ind w:left="567" w:hanging="567"/>
        <w:rPr>
          <w:color w:val="000000"/>
          <w:szCs w:val="22"/>
        </w:rPr>
      </w:pPr>
      <w:r w:rsidRPr="00051880">
        <w:rPr>
          <w:color w:val="000000"/>
          <w:szCs w:val="22"/>
        </w:rPr>
        <w:t>Precitlivenosť na liečivo alebo na ktorúkoľvek z pomocných látok uvedených v časti 6.1.</w:t>
      </w:r>
    </w:p>
    <w:p w:rsidR="00BA558B" w:rsidRPr="00051880" w:rsidRDefault="00BA558B" w:rsidP="00DF1CD8">
      <w:pPr>
        <w:widowControl w:val="0"/>
        <w:numPr>
          <w:ilvl w:val="0"/>
          <w:numId w:val="38"/>
        </w:numPr>
        <w:tabs>
          <w:tab w:val="clear" w:pos="567"/>
        </w:tabs>
        <w:spacing w:line="240" w:lineRule="auto"/>
        <w:ind w:left="567" w:hanging="567"/>
        <w:rPr>
          <w:bCs/>
          <w:color w:val="000000"/>
          <w:szCs w:val="22"/>
        </w:rPr>
      </w:pPr>
      <w:r w:rsidRPr="00051880">
        <w:rPr>
          <w:color w:val="000000"/>
          <w:szCs w:val="22"/>
        </w:rPr>
        <w:t>Ťažká bradykardia (pulz menej ako 50 úderov za minútu)</w:t>
      </w:r>
    </w:p>
    <w:p w:rsidR="00BA558B" w:rsidRPr="00051880" w:rsidRDefault="00BA558B" w:rsidP="00DF1CD8">
      <w:pPr>
        <w:widowControl w:val="0"/>
        <w:numPr>
          <w:ilvl w:val="0"/>
          <w:numId w:val="38"/>
        </w:numPr>
        <w:tabs>
          <w:tab w:val="clear" w:pos="567"/>
        </w:tabs>
        <w:spacing w:line="240" w:lineRule="auto"/>
        <w:ind w:left="567" w:hanging="567"/>
        <w:rPr>
          <w:bCs/>
          <w:color w:val="000000"/>
          <w:szCs w:val="22"/>
        </w:rPr>
      </w:pPr>
      <w:r w:rsidRPr="00051880">
        <w:rPr>
          <w:color w:val="000000"/>
          <w:szCs w:val="22"/>
        </w:rPr>
        <w:t>Syndróm chorého sínusu</w:t>
      </w:r>
    </w:p>
    <w:p w:rsidR="00BA558B" w:rsidRPr="00051880" w:rsidRDefault="00BA558B" w:rsidP="00DF1CD8">
      <w:pPr>
        <w:widowControl w:val="0"/>
        <w:numPr>
          <w:ilvl w:val="0"/>
          <w:numId w:val="38"/>
        </w:numPr>
        <w:tabs>
          <w:tab w:val="clear" w:pos="567"/>
        </w:tabs>
        <w:spacing w:line="240" w:lineRule="auto"/>
        <w:ind w:left="567" w:hanging="567"/>
        <w:rPr>
          <w:bCs/>
          <w:color w:val="000000"/>
          <w:szCs w:val="22"/>
        </w:rPr>
      </w:pPr>
      <w:r w:rsidRPr="00051880">
        <w:rPr>
          <w:color w:val="000000"/>
          <w:szCs w:val="22"/>
        </w:rPr>
        <w:t>Závažné poruchy vodivosti atrioventrikulárneho (AV) uzla (bez kardiostimulátora): AV blokáda 2. alebo 3. stupňa</w:t>
      </w:r>
    </w:p>
    <w:p w:rsidR="00BA558B" w:rsidRPr="00051880" w:rsidRDefault="00BA558B" w:rsidP="00DF1CD8">
      <w:pPr>
        <w:widowControl w:val="0"/>
        <w:numPr>
          <w:ilvl w:val="0"/>
          <w:numId w:val="38"/>
        </w:numPr>
        <w:tabs>
          <w:tab w:val="clear" w:pos="567"/>
        </w:tabs>
        <w:spacing w:line="240" w:lineRule="auto"/>
        <w:ind w:left="567" w:hanging="567"/>
        <w:rPr>
          <w:bCs/>
          <w:color w:val="000000"/>
          <w:szCs w:val="22"/>
        </w:rPr>
      </w:pPr>
      <w:r w:rsidRPr="00051880">
        <w:rPr>
          <w:color w:val="000000"/>
          <w:szCs w:val="22"/>
        </w:rPr>
        <w:t>Kardiogénny šok</w:t>
      </w:r>
    </w:p>
    <w:p w:rsidR="00BA558B" w:rsidRPr="00051880" w:rsidRDefault="00BA558B" w:rsidP="00DF1CD8">
      <w:pPr>
        <w:numPr>
          <w:ilvl w:val="0"/>
          <w:numId w:val="38"/>
        </w:numPr>
        <w:spacing w:line="240" w:lineRule="auto"/>
        <w:ind w:left="567" w:hanging="567"/>
        <w:rPr>
          <w:bCs/>
          <w:color w:val="000000"/>
          <w:szCs w:val="22"/>
        </w:rPr>
      </w:pPr>
      <w:r w:rsidRPr="00051880">
        <w:rPr>
          <w:color w:val="000000"/>
          <w:szCs w:val="22"/>
        </w:rPr>
        <w:t>Závažná hypotenzia</w:t>
      </w:r>
    </w:p>
    <w:p w:rsidR="00BA558B" w:rsidRPr="00051880" w:rsidRDefault="00BA558B" w:rsidP="00DF1CD8">
      <w:pPr>
        <w:numPr>
          <w:ilvl w:val="0"/>
          <w:numId w:val="38"/>
        </w:numPr>
        <w:spacing w:line="240" w:lineRule="auto"/>
        <w:ind w:left="567" w:hanging="567"/>
        <w:rPr>
          <w:bCs/>
          <w:color w:val="000000"/>
          <w:szCs w:val="22"/>
        </w:rPr>
      </w:pPr>
      <w:r w:rsidRPr="00051880">
        <w:rPr>
          <w:color w:val="000000"/>
          <w:szCs w:val="22"/>
        </w:rPr>
        <w:t>Dekompenzované srdcové zlyhávanie</w:t>
      </w:r>
      <w:r w:rsidR="00E8142A" w:rsidRPr="00051880">
        <w:rPr>
          <w:color w:val="000000"/>
          <w:szCs w:val="22"/>
        </w:rPr>
        <w:t xml:space="preserve"> keď je považované za nesúvisiace s arytmiou </w:t>
      </w:r>
    </w:p>
    <w:p w:rsidR="00BA558B" w:rsidRPr="00051880" w:rsidRDefault="00BA558B" w:rsidP="00DF1CD8">
      <w:pPr>
        <w:numPr>
          <w:ilvl w:val="0"/>
          <w:numId w:val="38"/>
        </w:numPr>
        <w:spacing w:line="240" w:lineRule="auto"/>
        <w:ind w:left="567" w:hanging="567"/>
        <w:rPr>
          <w:bCs/>
          <w:color w:val="000000"/>
          <w:szCs w:val="22"/>
        </w:rPr>
      </w:pPr>
      <w:r w:rsidRPr="00051880">
        <w:rPr>
          <w:color w:val="000000"/>
          <w:szCs w:val="22"/>
        </w:rPr>
        <w:t>Pľúcna hypertenzia</w:t>
      </w:r>
    </w:p>
    <w:p w:rsidR="00BA558B" w:rsidRPr="00051880" w:rsidRDefault="00BA558B" w:rsidP="00DF1CD8">
      <w:pPr>
        <w:widowControl w:val="0"/>
        <w:numPr>
          <w:ilvl w:val="0"/>
          <w:numId w:val="38"/>
        </w:numPr>
        <w:tabs>
          <w:tab w:val="clear" w:pos="567"/>
        </w:tabs>
        <w:spacing w:line="240" w:lineRule="auto"/>
        <w:ind w:left="567" w:hanging="567"/>
        <w:rPr>
          <w:bCs/>
          <w:color w:val="000000"/>
          <w:szCs w:val="22"/>
        </w:rPr>
      </w:pPr>
      <w:r w:rsidRPr="00051880">
        <w:rPr>
          <w:color w:val="000000"/>
          <w:szCs w:val="22"/>
        </w:rPr>
        <w:t>Neliečený feochromocytóm</w:t>
      </w:r>
    </w:p>
    <w:p w:rsidR="00BA558B" w:rsidRPr="00051880" w:rsidRDefault="00BA558B" w:rsidP="00DF1CD8">
      <w:pPr>
        <w:widowControl w:val="0"/>
        <w:numPr>
          <w:ilvl w:val="0"/>
          <w:numId w:val="38"/>
        </w:numPr>
        <w:tabs>
          <w:tab w:val="clear" w:pos="567"/>
        </w:tabs>
        <w:spacing w:line="240" w:lineRule="auto"/>
        <w:ind w:left="567" w:hanging="567"/>
        <w:rPr>
          <w:bCs/>
          <w:color w:val="000000"/>
          <w:szCs w:val="22"/>
        </w:rPr>
      </w:pPr>
      <w:r w:rsidRPr="00051880">
        <w:rPr>
          <w:color w:val="000000"/>
          <w:szCs w:val="22"/>
        </w:rPr>
        <w:t>Akútny astmatický záchvat</w:t>
      </w:r>
    </w:p>
    <w:p w:rsidR="00BA558B" w:rsidRPr="00051880" w:rsidRDefault="00BA558B" w:rsidP="00DF1CD8">
      <w:pPr>
        <w:widowControl w:val="0"/>
        <w:numPr>
          <w:ilvl w:val="0"/>
          <w:numId w:val="38"/>
        </w:numPr>
        <w:spacing w:line="240" w:lineRule="auto"/>
        <w:ind w:left="567" w:hanging="567"/>
        <w:rPr>
          <w:bCs/>
          <w:color w:val="000000"/>
          <w:szCs w:val="22"/>
        </w:rPr>
      </w:pPr>
      <w:r w:rsidRPr="00051880">
        <w:rPr>
          <w:color w:val="000000"/>
          <w:szCs w:val="22"/>
        </w:rPr>
        <w:t>Závažná, neupraviteľná metabolická acidóza</w:t>
      </w:r>
    </w:p>
    <w:p w:rsidR="00BA558B" w:rsidRPr="00051880" w:rsidRDefault="00BA558B" w:rsidP="00DF1CD8">
      <w:pPr>
        <w:spacing w:line="240" w:lineRule="auto"/>
        <w:rPr>
          <w:bCs/>
          <w:strike/>
          <w:color w:val="000000"/>
          <w:szCs w:val="22"/>
        </w:rPr>
      </w:pPr>
    </w:p>
    <w:p w:rsidR="00BA558B" w:rsidRPr="00051880" w:rsidRDefault="00BA558B" w:rsidP="00DF1CD8">
      <w:pPr>
        <w:pStyle w:val="Nadpis4"/>
        <w:spacing w:line="240" w:lineRule="auto"/>
        <w:jc w:val="left"/>
        <w:rPr>
          <w:color w:val="000000"/>
          <w:szCs w:val="22"/>
        </w:rPr>
      </w:pPr>
      <w:r w:rsidRPr="00051880">
        <w:rPr>
          <w:color w:val="000000"/>
          <w:szCs w:val="22"/>
        </w:rPr>
        <w:t>4.4</w:t>
      </w:r>
      <w:r w:rsidRPr="00051880">
        <w:rPr>
          <w:color w:val="000000"/>
          <w:szCs w:val="22"/>
        </w:rPr>
        <w:tab/>
        <w:t>Osobitné upozornenia a opatrenia pri používaní</w:t>
      </w:r>
    </w:p>
    <w:p w:rsidR="00BA558B" w:rsidRPr="00051880" w:rsidRDefault="00BA558B" w:rsidP="00DF1CD8">
      <w:pPr>
        <w:spacing w:line="240" w:lineRule="auto"/>
        <w:ind w:left="567" w:hanging="567"/>
        <w:rPr>
          <w:color w:val="000000"/>
          <w:szCs w:val="22"/>
        </w:rPr>
      </w:pPr>
    </w:p>
    <w:p w:rsidR="00BA558B" w:rsidRPr="00051880" w:rsidRDefault="00BA558B" w:rsidP="00DF1CD8">
      <w:pPr>
        <w:spacing w:line="240" w:lineRule="auto"/>
        <w:rPr>
          <w:color w:val="000000"/>
          <w:szCs w:val="22"/>
        </w:rPr>
      </w:pPr>
      <w:r w:rsidRPr="00051880">
        <w:rPr>
          <w:szCs w:val="22"/>
        </w:rPr>
        <w:t>Rapibloc sa musí pred podaním rekonštituovať a použiť ihneď po otvorení</w:t>
      </w:r>
      <w:r w:rsidRPr="00051880">
        <w:rPr>
          <w:caps/>
          <w:color w:val="000000"/>
          <w:szCs w:val="22"/>
        </w:rPr>
        <w:t xml:space="preserve"> </w:t>
      </w:r>
      <w:r w:rsidRPr="00051880">
        <w:rPr>
          <w:szCs w:val="22"/>
        </w:rPr>
        <w:t>(pozri časť 6).</w:t>
      </w:r>
      <w:r w:rsidRPr="00051880">
        <w:rPr>
          <w:color w:val="000000"/>
          <w:szCs w:val="22"/>
        </w:rPr>
        <w:t xml:space="preserve"> </w:t>
      </w:r>
    </w:p>
    <w:p w:rsidR="00BA558B" w:rsidRPr="00051880" w:rsidRDefault="00BA558B" w:rsidP="00DF1CD8">
      <w:pPr>
        <w:pStyle w:val="Odsekzoznamu"/>
        <w:spacing w:line="240" w:lineRule="auto"/>
        <w:ind w:left="0"/>
        <w:rPr>
          <w:color w:val="000000"/>
          <w:szCs w:val="22"/>
        </w:rPr>
      </w:pPr>
    </w:p>
    <w:p w:rsidR="00BA558B" w:rsidRPr="00051880" w:rsidRDefault="00BA558B" w:rsidP="00DF1CD8">
      <w:pPr>
        <w:spacing w:line="240" w:lineRule="auto"/>
        <w:rPr>
          <w:color w:val="000000"/>
          <w:szCs w:val="22"/>
        </w:rPr>
      </w:pPr>
      <w:r w:rsidRPr="00051880">
        <w:rPr>
          <w:color w:val="000000"/>
          <w:szCs w:val="22"/>
        </w:rPr>
        <w:t xml:space="preserve">Landiolol </w:t>
      </w:r>
      <w:r w:rsidR="009A0E97" w:rsidRPr="00051880">
        <w:rPr>
          <w:color w:val="000000"/>
          <w:szCs w:val="22"/>
        </w:rPr>
        <w:t>sa má používať</w:t>
      </w:r>
      <w:r w:rsidRPr="00051880">
        <w:rPr>
          <w:color w:val="000000"/>
          <w:szCs w:val="22"/>
        </w:rPr>
        <w:t xml:space="preserve"> s opatrnosťou u diabetikov alebo v prípade hypoglykémie. Hypoglykémia je závažnejši</w:t>
      </w:r>
      <w:r w:rsidR="009A0E97" w:rsidRPr="00051880">
        <w:rPr>
          <w:color w:val="000000"/>
          <w:szCs w:val="22"/>
        </w:rPr>
        <w:t>a</w:t>
      </w:r>
      <w:r w:rsidRPr="00051880">
        <w:rPr>
          <w:color w:val="000000"/>
          <w:szCs w:val="22"/>
        </w:rPr>
        <w:t xml:space="preserve"> s menej kardioselektívnymi betablokátormi. Betablokátory môžu maskovať prodromálne príznaky hypoglykémie, ako je tachykardia. Závraty a potenie však nemusia byť ovplyvnené.</w:t>
      </w:r>
    </w:p>
    <w:p w:rsidR="00BA558B" w:rsidRPr="00051880" w:rsidRDefault="00BA558B" w:rsidP="00DF1CD8">
      <w:pPr>
        <w:spacing w:line="240" w:lineRule="auto"/>
        <w:rPr>
          <w:color w:val="000000"/>
          <w:szCs w:val="22"/>
        </w:rPr>
      </w:pPr>
    </w:p>
    <w:p w:rsidR="00BA558B" w:rsidRPr="00051880" w:rsidRDefault="00BA558B" w:rsidP="00DF1CD8">
      <w:pPr>
        <w:spacing w:line="240" w:lineRule="auto"/>
        <w:rPr>
          <w:color w:val="000000"/>
          <w:szCs w:val="22"/>
        </w:rPr>
      </w:pPr>
      <w:r w:rsidRPr="00051880">
        <w:rPr>
          <w:color w:val="000000"/>
          <w:szCs w:val="22"/>
        </w:rPr>
        <w:t>Najčastejšie pozorovaným nežiaducim účinkom je hypotenzia, ktorá je rýchlo reverzibilná znížením dávky alebo prerušením podávania lieku.</w:t>
      </w:r>
    </w:p>
    <w:p w:rsidR="00BA558B" w:rsidRPr="00051880" w:rsidRDefault="00BA558B" w:rsidP="00DF1CD8">
      <w:pPr>
        <w:spacing w:line="240" w:lineRule="auto"/>
        <w:rPr>
          <w:color w:val="000000"/>
          <w:szCs w:val="22"/>
        </w:rPr>
      </w:pPr>
    </w:p>
    <w:p w:rsidR="00BA558B" w:rsidRPr="00051880" w:rsidRDefault="00BA558B" w:rsidP="00DF1CD8">
      <w:pPr>
        <w:spacing w:line="240" w:lineRule="auto"/>
        <w:rPr>
          <w:color w:val="000000"/>
          <w:szCs w:val="22"/>
        </w:rPr>
      </w:pPr>
      <w:r w:rsidRPr="00051880">
        <w:rPr>
          <w:color w:val="000000"/>
          <w:szCs w:val="22"/>
        </w:rPr>
        <w:t>Odporúča sa priebežne monitorovať krvný tlak a EKG u všetkých pacientov liečených landiololom.</w:t>
      </w:r>
    </w:p>
    <w:p w:rsidR="00BA558B" w:rsidRPr="00051880" w:rsidRDefault="00BA558B" w:rsidP="00DF1CD8">
      <w:pPr>
        <w:spacing w:line="240" w:lineRule="auto"/>
        <w:rPr>
          <w:color w:val="000000"/>
          <w:szCs w:val="22"/>
        </w:rPr>
      </w:pPr>
    </w:p>
    <w:p w:rsidR="00BA558B" w:rsidRPr="00051880" w:rsidRDefault="00BA558B" w:rsidP="00DF1CD8">
      <w:pPr>
        <w:spacing w:line="240" w:lineRule="auto"/>
        <w:rPr>
          <w:color w:val="000000"/>
          <w:szCs w:val="22"/>
        </w:rPr>
      </w:pPr>
      <w:r w:rsidRPr="00051880">
        <w:rPr>
          <w:color w:val="000000"/>
          <w:szCs w:val="22"/>
        </w:rPr>
        <w:t>Betablokátorom je potrebné sa vyhnúť u pacientov so syndrómom preexcitácie v kombinácii s fibriláciou predsiení. U týchto pacientov môže betablokáda atrioventrikulárneho uzla zvýšiť vedenie cez akcesórnu dráhu a môž</w:t>
      </w:r>
      <w:r w:rsidR="009A0E97" w:rsidRPr="00051880">
        <w:rPr>
          <w:color w:val="000000"/>
          <w:szCs w:val="22"/>
        </w:rPr>
        <w:t>e</w:t>
      </w:r>
      <w:r w:rsidRPr="00051880">
        <w:rPr>
          <w:color w:val="000000"/>
          <w:szCs w:val="22"/>
        </w:rPr>
        <w:t xml:space="preserve"> vyvolať komorovú fibriláciu.</w:t>
      </w:r>
    </w:p>
    <w:p w:rsidR="00BA558B" w:rsidRPr="00051880" w:rsidRDefault="00BA558B" w:rsidP="00DF1CD8">
      <w:pPr>
        <w:spacing w:line="240" w:lineRule="auto"/>
        <w:rPr>
          <w:color w:val="000000"/>
          <w:szCs w:val="22"/>
        </w:rPr>
      </w:pPr>
    </w:p>
    <w:p w:rsidR="00BA558B" w:rsidRPr="00051880" w:rsidRDefault="00BA558B" w:rsidP="00DF1CD8">
      <w:pPr>
        <w:spacing w:line="240" w:lineRule="auto"/>
        <w:rPr>
          <w:color w:val="000000"/>
          <w:szCs w:val="22"/>
        </w:rPr>
      </w:pPr>
      <w:r w:rsidRPr="00051880">
        <w:rPr>
          <w:color w:val="000000"/>
          <w:szCs w:val="22"/>
        </w:rPr>
        <w:t xml:space="preserve">Vzhľadom na negatívny účinok na čas vedenia je potrebné pacientom so srdcovou blokádou prvého stupňa podávať betablokátory len so zvýšenou opatrnosťou (pozri </w:t>
      </w:r>
      <w:r w:rsidR="009A0E97" w:rsidRPr="00051880">
        <w:rPr>
          <w:color w:val="000000"/>
          <w:szCs w:val="22"/>
        </w:rPr>
        <w:t>tiež</w:t>
      </w:r>
      <w:r w:rsidRPr="00051880">
        <w:rPr>
          <w:color w:val="000000"/>
          <w:szCs w:val="22"/>
        </w:rPr>
        <w:t xml:space="preserve"> časť 4.3).</w:t>
      </w:r>
    </w:p>
    <w:p w:rsidR="00BA558B" w:rsidRPr="00051880" w:rsidRDefault="00BA558B" w:rsidP="00DF1CD8">
      <w:pPr>
        <w:tabs>
          <w:tab w:val="clear" w:pos="567"/>
        </w:tabs>
        <w:spacing w:line="240" w:lineRule="auto"/>
        <w:rPr>
          <w:color w:val="000000"/>
          <w:szCs w:val="22"/>
        </w:rPr>
      </w:pPr>
    </w:p>
    <w:p w:rsidR="00BA558B" w:rsidRPr="00051880" w:rsidRDefault="00BA558B" w:rsidP="00DF1CD8">
      <w:pPr>
        <w:tabs>
          <w:tab w:val="clear" w:pos="567"/>
        </w:tabs>
        <w:spacing w:line="240" w:lineRule="auto"/>
        <w:rPr>
          <w:color w:val="000000"/>
          <w:szCs w:val="22"/>
        </w:rPr>
      </w:pPr>
      <w:r w:rsidRPr="00051880">
        <w:rPr>
          <w:color w:val="000000"/>
          <w:szCs w:val="22"/>
        </w:rPr>
        <w:t xml:space="preserve">Súčasné podávanie landiololu s verapamilom alebo diltiazemom u pacientov s abnormalitami atrioventrikulárneho vedenia sa neodporúča (pozri </w:t>
      </w:r>
      <w:r w:rsidR="009A0E97" w:rsidRPr="00051880">
        <w:rPr>
          <w:color w:val="000000"/>
          <w:szCs w:val="22"/>
        </w:rPr>
        <w:t xml:space="preserve">tiež </w:t>
      </w:r>
      <w:r w:rsidRPr="00051880">
        <w:rPr>
          <w:color w:val="000000"/>
          <w:szCs w:val="22"/>
        </w:rPr>
        <w:t>časť 4.5).</w:t>
      </w:r>
    </w:p>
    <w:p w:rsidR="00BA558B" w:rsidRPr="00051880" w:rsidRDefault="00BA558B" w:rsidP="00DF1CD8">
      <w:pPr>
        <w:tabs>
          <w:tab w:val="clear" w:pos="567"/>
        </w:tabs>
        <w:spacing w:line="240" w:lineRule="auto"/>
        <w:rPr>
          <w:color w:val="000000"/>
          <w:szCs w:val="22"/>
        </w:rPr>
      </w:pPr>
    </w:p>
    <w:p w:rsidR="00BA558B" w:rsidRPr="00051880" w:rsidRDefault="00BA558B" w:rsidP="00DF1CD8">
      <w:pPr>
        <w:tabs>
          <w:tab w:val="clear" w:pos="567"/>
        </w:tabs>
        <w:spacing w:line="240" w:lineRule="auto"/>
        <w:rPr>
          <w:color w:val="000000"/>
          <w:szCs w:val="22"/>
        </w:rPr>
      </w:pPr>
      <w:r w:rsidRPr="00051880">
        <w:rPr>
          <w:color w:val="000000"/>
          <w:szCs w:val="22"/>
        </w:rPr>
        <w:t>Betablokátory môžu zvýšiť počet a trvanie anginóznych záchvatov u pacientov s Prinzmetalovou angínou v dôsledku neoponovanej vazokonstrikcie koronárnych tepien sprostredkovanej alfa-receptormi. Neselektívne betablokátory by sa nemali používať u týchto pacientov a selektívne beta-1 blokátory by sa mali používať iba s najvyššou opatrnosťou.</w:t>
      </w:r>
    </w:p>
    <w:p w:rsidR="00BA558B" w:rsidRPr="00051880" w:rsidRDefault="00BA558B" w:rsidP="00DF1CD8">
      <w:pPr>
        <w:spacing w:line="240" w:lineRule="auto"/>
        <w:rPr>
          <w:color w:val="000000"/>
          <w:szCs w:val="22"/>
        </w:rPr>
      </w:pPr>
    </w:p>
    <w:p w:rsidR="00E8142A" w:rsidRPr="00051880" w:rsidRDefault="00E8142A" w:rsidP="00DF1CD8">
      <w:pPr>
        <w:spacing w:line="240" w:lineRule="auto"/>
        <w:rPr>
          <w:color w:val="000000"/>
          <w:szCs w:val="22"/>
        </w:rPr>
      </w:pPr>
      <w:r w:rsidRPr="00051880">
        <w:rPr>
          <w:szCs w:val="22"/>
        </w:rPr>
        <w:t xml:space="preserve">Použitie landiololu na kontrolu </w:t>
      </w:r>
      <w:r w:rsidRPr="00051880">
        <w:rPr>
          <w:color w:val="000000"/>
          <w:szCs w:val="22"/>
        </w:rPr>
        <w:t>ventrikulárnej odpovede u pacientov so supraventrikulárnymi arytmiami sa má vykonávať s</w:t>
      </w:r>
      <w:r w:rsidR="002E72BD" w:rsidRPr="00051880">
        <w:rPr>
          <w:color w:val="000000"/>
          <w:szCs w:val="22"/>
        </w:rPr>
        <w:t> </w:t>
      </w:r>
      <w:r w:rsidRPr="00051880">
        <w:rPr>
          <w:color w:val="000000"/>
          <w:szCs w:val="22"/>
        </w:rPr>
        <w:t>opatrnosťou</w:t>
      </w:r>
      <w:r w:rsidR="002E72BD" w:rsidRPr="00051880">
        <w:rPr>
          <w:color w:val="000000"/>
          <w:szCs w:val="22"/>
        </w:rPr>
        <w:t xml:space="preserve"> u pacientov s (už existujúcim) zlyhaním </w:t>
      </w:r>
      <w:r w:rsidR="008F4FEE" w:rsidRPr="00051880">
        <w:rPr>
          <w:color w:val="000000"/>
          <w:szCs w:val="22"/>
        </w:rPr>
        <w:t xml:space="preserve">srdca </w:t>
      </w:r>
      <w:r w:rsidR="002E72BD" w:rsidRPr="00051880">
        <w:rPr>
          <w:color w:val="000000"/>
          <w:szCs w:val="22"/>
        </w:rPr>
        <w:t>alebo</w:t>
      </w:r>
      <w:r w:rsidRPr="00051880">
        <w:rPr>
          <w:color w:val="000000"/>
          <w:szCs w:val="22"/>
        </w:rPr>
        <w:t xml:space="preserve"> ak je pacient hemodynamicky oslabený alebo užíva iné lieky, ktoré znižujú niektorý alebo všetky z nasledovných stavov: periférna rezistencia, plnenie srdcových komôr, kontraktilita srdcového svalu alebo šírenie elektrického impulzu v srdcovom svale.</w:t>
      </w:r>
      <w:r w:rsidR="002E72BD" w:rsidRPr="00051880">
        <w:rPr>
          <w:color w:val="000000"/>
          <w:szCs w:val="22"/>
        </w:rPr>
        <w:t xml:space="preserve"> Prínosy potenciálnej kontroly tepu sa musia zvážiť </w:t>
      </w:r>
      <w:r w:rsidR="0013424F" w:rsidRPr="00051880">
        <w:rPr>
          <w:color w:val="000000"/>
          <w:szCs w:val="22"/>
        </w:rPr>
        <w:t xml:space="preserve">oproti riziku ďalšieho potlačenia srdcovej kontraktility. Pri prvom </w:t>
      </w:r>
      <w:r w:rsidR="00051880" w:rsidRPr="00051880">
        <w:rPr>
          <w:color w:val="000000"/>
          <w:szCs w:val="22"/>
        </w:rPr>
        <w:t>prejave</w:t>
      </w:r>
      <w:r w:rsidR="0013424F" w:rsidRPr="00051880">
        <w:rPr>
          <w:color w:val="000000"/>
          <w:szCs w:val="22"/>
        </w:rPr>
        <w:t xml:space="preserve"> alebo príznaku ďalšieho zhoršenia sa dávka nemá zvyšovať a, ak sa považuje za potrebné, </w:t>
      </w:r>
      <w:r w:rsidR="008F4FEE" w:rsidRPr="00051880">
        <w:rPr>
          <w:color w:val="000000"/>
          <w:szCs w:val="22"/>
        </w:rPr>
        <w:t xml:space="preserve">liečba landiololom sa má prerušiť </w:t>
      </w:r>
      <w:r w:rsidR="008F4FEE" w:rsidRPr="00051880">
        <w:rPr>
          <w:szCs w:val="22"/>
        </w:rPr>
        <w:t>a</w:t>
      </w:r>
      <w:r w:rsidR="00FD4A2C" w:rsidRPr="00051880">
        <w:rPr>
          <w:szCs w:val="22"/>
        </w:rPr>
        <w:t> </w:t>
      </w:r>
      <w:r w:rsidR="008F4FEE" w:rsidRPr="00051880">
        <w:rPr>
          <w:szCs w:val="22"/>
        </w:rPr>
        <w:t>pacient</w:t>
      </w:r>
      <w:r w:rsidR="00FD4A2C" w:rsidRPr="00051880">
        <w:rPr>
          <w:szCs w:val="22"/>
        </w:rPr>
        <w:t>om sa má poskytnúť príslušná</w:t>
      </w:r>
      <w:r w:rsidR="008F4FEE" w:rsidRPr="00051880">
        <w:rPr>
          <w:szCs w:val="22"/>
        </w:rPr>
        <w:t xml:space="preserve"> lekársk</w:t>
      </w:r>
      <w:r w:rsidR="00FD4A2C" w:rsidRPr="00051880">
        <w:rPr>
          <w:szCs w:val="22"/>
        </w:rPr>
        <w:t>a</w:t>
      </w:r>
      <w:r w:rsidR="008F4FEE" w:rsidRPr="00051880">
        <w:rPr>
          <w:szCs w:val="22"/>
        </w:rPr>
        <w:t xml:space="preserve"> starostlivosť.</w:t>
      </w:r>
    </w:p>
    <w:p w:rsidR="00BA558B" w:rsidRPr="00051880" w:rsidRDefault="00BA558B" w:rsidP="00DF1CD8">
      <w:pPr>
        <w:spacing w:line="240" w:lineRule="auto"/>
        <w:rPr>
          <w:color w:val="000000"/>
          <w:szCs w:val="22"/>
        </w:rPr>
      </w:pPr>
    </w:p>
    <w:p w:rsidR="00BA558B" w:rsidRPr="00051880" w:rsidRDefault="00BA558B" w:rsidP="00DF1CD8">
      <w:pPr>
        <w:spacing w:line="240" w:lineRule="auto"/>
        <w:rPr>
          <w:color w:val="000000"/>
          <w:szCs w:val="22"/>
        </w:rPr>
      </w:pPr>
      <w:r w:rsidRPr="00051880">
        <w:rPr>
          <w:color w:val="000000"/>
          <w:szCs w:val="22"/>
        </w:rPr>
        <w:t xml:space="preserve">Použitie landiololu na kontrolu ventrikulárnej odpovede u pacientov so supraventrikulárnymi arytmiami sa má vykonávať s opatrnosťou, ak je pacient hemodynamicky oslabený alebo užíva iné lieky, ktoré znižujú niektorý alebo všetky z nasledovných stavov: periférna rezistencia, plnenie srdcových komôr, kontraktilita srdcového svalu alebo šírenie elektrického impulzu v srdcovom svale.  </w:t>
      </w:r>
    </w:p>
    <w:p w:rsidR="00BA558B" w:rsidRPr="00051880" w:rsidRDefault="00BA558B" w:rsidP="00DF1CD8">
      <w:pPr>
        <w:spacing w:line="240" w:lineRule="auto"/>
        <w:rPr>
          <w:color w:val="000000"/>
          <w:szCs w:val="22"/>
        </w:rPr>
      </w:pPr>
    </w:p>
    <w:p w:rsidR="00BA558B" w:rsidRPr="00051880" w:rsidRDefault="00BA558B" w:rsidP="00DF1CD8">
      <w:pPr>
        <w:spacing w:line="240" w:lineRule="auto"/>
        <w:rPr>
          <w:color w:val="000000"/>
          <w:szCs w:val="22"/>
        </w:rPr>
      </w:pPr>
      <w:r w:rsidRPr="00051880">
        <w:rPr>
          <w:color w:val="000000"/>
          <w:szCs w:val="22"/>
        </w:rPr>
        <w:t>Hlavný metabolit landiololu (M1) sa vylučuje obličkami a je pravdepodobné, že sa u pacientov s poruchou funkcie obličiek hromadí. Hoci tento metabolit nepôsobí ako betablokátor dokonca ani v dávkach 200-krát vyšších ako materské liečivo, landiolol sa m</w:t>
      </w:r>
      <w:r w:rsidR="009A0E97" w:rsidRPr="00051880">
        <w:rPr>
          <w:color w:val="000000"/>
          <w:szCs w:val="22"/>
        </w:rPr>
        <w:t>á</w:t>
      </w:r>
      <w:r w:rsidRPr="00051880">
        <w:rPr>
          <w:color w:val="000000"/>
          <w:szCs w:val="22"/>
        </w:rPr>
        <w:t xml:space="preserve"> používať opatrne u pacientov s nedostatočnou funkciou obličiek.</w:t>
      </w:r>
    </w:p>
    <w:p w:rsidR="00BA558B" w:rsidRPr="00051880" w:rsidRDefault="00BA558B" w:rsidP="00DF1CD8">
      <w:pPr>
        <w:spacing w:line="240" w:lineRule="auto"/>
        <w:rPr>
          <w:color w:val="000000"/>
          <w:szCs w:val="22"/>
        </w:rPr>
      </w:pPr>
    </w:p>
    <w:p w:rsidR="00BA558B" w:rsidRPr="00051880" w:rsidRDefault="00BA558B" w:rsidP="00DF1CD8">
      <w:pPr>
        <w:tabs>
          <w:tab w:val="clear" w:pos="567"/>
        </w:tabs>
        <w:autoSpaceDE w:val="0"/>
        <w:autoSpaceDN w:val="0"/>
        <w:adjustRightInd w:val="0"/>
        <w:spacing w:line="240" w:lineRule="auto"/>
        <w:rPr>
          <w:color w:val="000000"/>
          <w:szCs w:val="22"/>
        </w:rPr>
      </w:pPr>
      <w:r w:rsidRPr="00051880">
        <w:rPr>
          <w:color w:val="000000"/>
          <w:szCs w:val="22"/>
        </w:rPr>
        <w:t xml:space="preserve">U pacientov s feochromocytómom sa landiolol </w:t>
      </w:r>
      <w:r w:rsidR="009A0E97" w:rsidRPr="00051880">
        <w:rPr>
          <w:color w:val="000000"/>
          <w:szCs w:val="22"/>
        </w:rPr>
        <w:t xml:space="preserve">má </w:t>
      </w:r>
      <w:r w:rsidRPr="00051880">
        <w:rPr>
          <w:color w:val="000000"/>
          <w:szCs w:val="22"/>
        </w:rPr>
        <w:t xml:space="preserve">používať s opatrnosťou a iba po predchádzajúcej liečbe blokátormi alfa-receptorov (pozri časť 4.3). </w:t>
      </w:r>
    </w:p>
    <w:p w:rsidR="00BA558B" w:rsidRPr="00051880" w:rsidRDefault="00BA558B" w:rsidP="00DF1CD8">
      <w:pPr>
        <w:spacing w:line="240" w:lineRule="auto"/>
        <w:rPr>
          <w:color w:val="000000"/>
          <w:szCs w:val="22"/>
        </w:rPr>
      </w:pPr>
    </w:p>
    <w:p w:rsidR="00BA558B" w:rsidRPr="00051880" w:rsidRDefault="00BA558B" w:rsidP="00DF1CD8">
      <w:pPr>
        <w:spacing w:line="240" w:lineRule="auto"/>
        <w:rPr>
          <w:color w:val="000000"/>
          <w:szCs w:val="22"/>
        </w:rPr>
      </w:pPr>
      <w:r w:rsidRPr="00051880">
        <w:rPr>
          <w:color w:val="000000"/>
          <w:szCs w:val="22"/>
        </w:rPr>
        <w:t xml:space="preserve">Pacienti s bronchospastickým ochorením by spravidla nemali dostávať betablokátory.  </w:t>
      </w:r>
      <w:r w:rsidRPr="00051880">
        <w:rPr>
          <w:szCs w:val="22"/>
        </w:rPr>
        <w:t xml:space="preserve">Vzhľadom na vysokú relatívnu beta-1 selektivitu a </w:t>
      </w:r>
      <w:r w:rsidR="009A0E97" w:rsidRPr="00051880">
        <w:rPr>
          <w:szCs w:val="22"/>
        </w:rPr>
        <w:t>titrovateľnosť</w:t>
      </w:r>
      <w:r w:rsidRPr="00051880">
        <w:rPr>
          <w:szCs w:val="22"/>
        </w:rPr>
        <w:t xml:space="preserve"> sa landiolol môže s opatrnosťou u týchto pacientov používať.</w:t>
      </w:r>
      <w:r w:rsidRPr="00051880">
        <w:rPr>
          <w:color w:val="000000"/>
          <w:szCs w:val="22"/>
        </w:rPr>
        <w:t xml:space="preserve"> Landiolol by sa mal opatrne titrovať na dosiahnutie čo najnižšej účinnej dávky. V prípade bronchospazmu musí byť infúzia okamžite ukončená, a pokiaľ je to nutné, je potrebné podať beta-2 agonistu. Ak pacient už užíva liečivo stimulujúce beta-2 receptory, môže byť potrebné prehodnotiť dávku tohto liečiva.</w:t>
      </w:r>
    </w:p>
    <w:p w:rsidR="00BA558B" w:rsidRPr="00051880" w:rsidRDefault="00BA558B" w:rsidP="00DF1CD8">
      <w:pPr>
        <w:spacing w:line="240" w:lineRule="auto"/>
        <w:rPr>
          <w:color w:val="000000"/>
          <w:szCs w:val="22"/>
        </w:rPr>
      </w:pPr>
    </w:p>
    <w:p w:rsidR="00BA558B" w:rsidRPr="00051880" w:rsidRDefault="00BA558B" w:rsidP="00DF1CD8">
      <w:pPr>
        <w:spacing w:line="240" w:lineRule="auto"/>
        <w:rPr>
          <w:color w:val="000000"/>
          <w:szCs w:val="22"/>
        </w:rPr>
      </w:pPr>
      <w:r w:rsidRPr="00051880">
        <w:rPr>
          <w:color w:val="000000"/>
          <w:szCs w:val="22"/>
        </w:rPr>
        <w:t>U pacientov s poruchami periférneho obehu (Raynaudova choroba alebo syndróm, intermitentná klaudikácia) sa betablokátory majú používať s veľkou opatrnosťou, pretože môže nastať zhoršenie týchto porúch.</w:t>
      </w:r>
    </w:p>
    <w:p w:rsidR="00BA558B" w:rsidRPr="00051880" w:rsidRDefault="00BA558B" w:rsidP="00DF1CD8">
      <w:pPr>
        <w:spacing w:line="240" w:lineRule="auto"/>
        <w:rPr>
          <w:color w:val="000000"/>
          <w:szCs w:val="22"/>
        </w:rPr>
      </w:pPr>
    </w:p>
    <w:p w:rsidR="00BA558B" w:rsidRPr="00051880" w:rsidRDefault="00BA558B" w:rsidP="00DF1CD8">
      <w:pPr>
        <w:spacing w:line="240" w:lineRule="auto"/>
        <w:rPr>
          <w:color w:val="000000"/>
          <w:szCs w:val="22"/>
        </w:rPr>
      </w:pPr>
      <w:r w:rsidRPr="00051880">
        <w:rPr>
          <w:color w:val="000000"/>
          <w:szCs w:val="22"/>
        </w:rPr>
        <w:t xml:space="preserve">Betablokátory môžu zvyšovať citlivosť na alergény </w:t>
      </w:r>
      <w:r w:rsidR="00A747D9" w:rsidRPr="00051880">
        <w:rPr>
          <w:color w:val="000000"/>
          <w:szCs w:val="22"/>
        </w:rPr>
        <w:t>a</w:t>
      </w:r>
      <w:r w:rsidRPr="00051880">
        <w:rPr>
          <w:color w:val="000000"/>
          <w:szCs w:val="22"/>
        </w:rPr>
        <w:t xml:space="preserve"> závažnosť anafylaktických reakcií. Pacienti užívajúci betablokátory nemusia reagovať na zvyčajné dávky adrenalínu použité na liečbu anafylaktickej reakcie (pozri časť 4.5).</w:t>
      </w:r>
    </w:p>
    <w:p w:rsidR="00BA558B" w:rsidRPr="00051880" w:rsidRDefault="00BA558B" w:rsidP="00DF1CD8">
      <w:pPr>
        <w:spacing w:line="240" w:lineRule="auto"/>
        <w:rPr>
          <w:color w:val="000000"/>
          <w:szCs w:val="22"/>
        </w:rPr>
      </w:pPr>
    </w:p>
    <w:p w:rsidR="00BA558B" w:rsidRPr="00051880" w:rsidRDefault="00BA558B" w:rsidP="00DF1CD8">
      <w:pPr>
        <w:pStyle w:val="Nadpis4"/>
        <w:spacing w:line="240" w:lineRule="auto"/>
        <w:jc w:val="left"/>
        <w:rPr>
          <w:szCs w:val="22"/>
        </w:rPr>
      </w:pPr>
      <w:r w:rsidRPr="00051880">
        <w:rPr>
          <w:szCs w:val="22"/>
        </w:rPr>
        <w:t>4.5</w:t>
      </w:r>
      <w:r w:rsidRPr="00051880">
        <w:rPr>
          <w:szCs w:val="22"/>
        </w:rPr>
        <w:tab/>
        <w:t>Liekové a iné interakcie</w:t>
      </w:r>
    </w:p>
    <w:p w:rsidR="00BA558B" w:rsidRPr="00051880" w:rsidRDefault="00BA558B" w:rsidP="00DF1CD8">
      <w:pPr>
        <w:spacing w:line="240" w:lineRule="auto"/>
        <w:rPr>
          <w:strike/>
          <w:szCs w:val="22"/>
        </w:rPr>
      </w:pPr>
    </w:p>
    <w:p w:rsidR="00BA558B" w:rsidRPr="00051880" w:rsidRDefault="00BA558B" w:rsidP="00DF1CD8">
      <w:pPr>
        <w:tabs>
          <w:tab w:val="clear" w:pos="567"/>
        </w:tabs>
        <w:spacing w:line="240" w:lineRule="auto"/>
        <w:rPr>
          <w:color w:val="000000"/>
          <w:szCs w:val="22"/>
        </w:rPr>
      </w:pPr>
      <w:r w:rsidRPr="00051880">
        <w:rPr>
          <w:color w:val="000000"/>
          <w:szCs w:val="22"/>
        </w:rPr>
        <w:t xml:space="preserve">Antagonisty vápnika, ako sú deriváty dihydropyridínu (napríklad nifedipín), môžu zvýšiť riziko hypotenzie. U pacientov so srdcovou nedostatočnosťou môže viesť súčasná liečba betablokátormi k srdcovému zlyhávaniu. Odporúča sa </w:t>
      </w:r>
      <w:r w:rsidR="009A0E97" w:rsidRPr="00051880">
        <w:rPr>
          <w:color w:val="000000"/>
          <w:szCs w:val="22"/>
        </w:rPr>
        <w:t>starostlivá úprava dávky</w:t>
      </w:r>
      <w:r w:rsidRPr="00051880">
        <w:rPr>
          <w:color w:val="000000"/>
          <w:szCs w:val="22"/>
        </w:rPr>
        <w:t xml:space="preserve"> landiololu a vhodné hemodynamické monitorovanie.</w:t>
      </w:r>
    </w:p>
    <w:p w:rsidR="00BA558B" w:rsidRPr="00051880" w:rsidRDefault="00BA558B" w:rsidP="00DF1CD8">
      <w:pPr>
        <w:tabs>
          <w:tab w:val="clear" w:pos="567"/>
        </w:tabs>
        <w:spacing w:line="240" w:lineRule="auto"/>
        <w:rPr>
          <w:color w:val="000000"/>
          <w:szCs w:val="22"/>
        </w:rPr>
      </w:pPr>
    </w:p>
    <w:p w:rsidR="00BA558B" w:rsidRPr="00051880" w:rsidRDefault="00BA558B" w:rsidP="00DF1CD8">
      <w:pPr>
        <w:tabs>
          <w:tab w:val="clear" w:pos="567"/>
        </w:tabs>
        <w:spacing w:line="240" w:lineRule="auto"/>
        <w:rPr>
          <w:color w:val="000000"/>
          <w:szCs w:val="22"/>
        </w:rPr>
      </w:pPr>
      <w:r w:rsidRPr="00051880">
        <w:rPr>
          <w:color w:val="000000"/>
          <w:szCs w:val="22"/>
        </w:rPr>
        <w:t xml:space="preserve">Podávanie landiololu je potrebné opatrne titrovať, pokiaľ sa podáva súčasne s verapamilom, diltiazemom, antiarytmikami prvej triedy, amiodarónom alebo prípravkami na báze náprstníka, </w:t>
      </w:r>
      <w:r w:rsidRPr="00051880">
        <w:rPr>
          <w:color w:val="000000"/>
          <w:szCs w:val="22"/>
        </w:rPr>
        <w:lastRenderedPageBreak/>
        <w:t>pretože súčasné podávanie môže mať za následok nadmerné potlačenie srdcovej funkcie a/alebo abnormality atrioventrikulárneho vedenia.</w:t>
      </w:r>
    </w:p>
    <w:p w:rsidR="00BA558B" w:rsidRPr="00051880" w:rsidRDefault="00BA558B" w:rsidP="00DF1CD8">
      <w:pPr>
        <w:tabs>
          <w:tab w:val="clear" w:pos="567"/>
        </w:tabs>
        <w:spacing w:line="240" w:lineRule="auto"/>
        <w:rPr>
          <w:color w:val="000000"/>
          <w:szCs w:val="22"/>
        </w:rPr>
      </w:pPr>
    </w:p>
    <w:p w:rsidR="00BA558B" w:rsidRPr="00051880" w:rsidRDefault="00BA558B" w:rsidP="00DF1CD8">
      <w:pPr>
        <w:tabs>
          <w:tab w:val="clear" w:pos="567"/>
        </w:tabs>
        <w:spacing w:line="240" w:lineRule="auto"/>
        <w:rPr>
          <w:color w:val="000000"/>
          <w:szCs w:val="22"/>
        </w:rPr>
      </w:pPr>
      <w:r w:rsidRPr="00051880">
        <w:rPr>
          <w:color w:val="000000"/>
          <w:szCs w:val="22"/>
        </w:rPr>
        <w:t xml:space="preserve">Landiolol by sa nemal používať súčasne s verapamilom alebo diltiazemom u pacientov s abnormalitami atrioventrikulárneho vedenia (pozri časť 4.4). </w:t>
      </w:r>
    </w:p>
    <w:p w:rsidR="00BA558B" w:rsidRPr="00051880" w:rsidRDefault="00BA558B" w:rsidP="00DF1CD8">
      <w:pPr>
        <w:tabs>
          <w:tab w:val="clear" w:pos="567"/>
        </w:tabs>
        <w:spacing w:line="240" w:lineRule="auto"/>
        <w:rPr>
          <w:color w:val="000000"/>
          <w:szCs w:val="22"/>
        </w:rPr>
      </w:pPr>
    </w:p>
    <w:p w:rsidR="00BA558B" w:rsidRPr="00051880" w:rsidRDefault="00BA558B" w:rsidP="00DF1CD8">
      <w:pPr>
        <w:tabs>
          <w:tab w:val="clear" w:pos="567"/>
        </w:tabs>
        <w:spacing w:line="240" w:lineRule="auto"/>
        <w:rPr>
          <w:color w:val="000000"/>
          <w:szCs w:val="22"/>
        </w:rPr>
      </w:pPr>
      <w:r w:rsidRPr="00051880">
        <w:rPr>
          <w:color w:val="000000"/>
          <w:szCs w:val="22"/>
        </w:rPr>
        <w:t xml:space="preserve">Súčasné užívanie landiololu a inzulínu alebo perorálnych antidiabetických </w:t>
      </w:r>
      <w:r w:rsidR="009A0E97" w:rsidRPr="00051880">
        <w:rPr>
          <w:color w:val="000000"/>
          <w:szCs w:val="22"/>
        </w:rPr>
        <w:t>liekov</w:t>
      </w:r>
      <w:r w:rsidRPr="00051880">
        <w:rPr>
          <w:color w:val="000000"/>
          <w:szCs w:val="22"/>
        </w:rPr>
        <w:t xml:space="preserve"> môže mať vplyv na účinok znižovania hladiny cukru v krvi. Hladine cukru v krvi by sa mala venovať pozornosť aj vtedy, keď sa tieto lieky podávajú súčasne, lebo betaadrenergná blokáda môže maskovať </w:t>
      </w:r>
      <w:r w:rsidR="001A3FF2" w:rsidRPr="00051880">
        <w:rPr>
          <w:color w:val="000000"/>
          <w:szCs w:val="22"/>
        </w:rPr>
        <w:t>prejavy</w:t>
      </w:r>
      <w:r w:rsidRPr="00051880">
        <w:rPr>
          <w:color w:val="000000"/>
          <w:szCs w:val="22"/>
        </w:rPr>
        <w:t xml:space="preserve"> hypoglykémie, ako je tachykardia.</w:t>
      </w:r>
    </w:p>
    <w:p w:rsidR="00BA558B" w:rsidRPr="00051880" w:rsidRDefault="00BA558B" w:rsidP="00DF1CD8">
      <w:pPr>
        <w:tabs>
          <w:tab w:val="clear" w:pos="567"/>
        </w:tabs>
        <w:spacing w:line="240" w:lineRule="auto"/>
        <w:rPr>
          <w:color w:val="000000"/>
          <w:szCs w:val="22"/>
        </w:rPr>
      </w:pPr>
    </w:p>
    <w:p w:rsidR="00BA558B" w:rsidRPr="00051880" w:rsidRDefault="00BA558B" w:rsidP="00DF1CD8">
      <w:pPr>
        <w:tabs>
          <w:tab w:val="clear" w:pos="567"/>
        </w:tabs>
        <w:spacing w:line="240" w:lineRule="auto"/>
        <w:rPr>
          <w:i/>
          <w:szCs w:val="22"/>
        </w:rPr>
      </w:pPr>
      <w:r w:rsidRPr="00051880">
        <w:rPr>
          <w:i/>
          <w:szCs w:val="22"/>
        </w:rPr>
        <w:t xml:space="preserve">Lieky používané počas anestézie </w:t>
      </w:r>
    </w:p>
    <w:p w:rsidR="00BA558B" w:rsidRPr="00051880" w:rsidRDefault="00BA558B" w:rsidP="00DF1CD8">
      <w:pPr>
        <w:spacing w:line="240" w:lineRule="auto"/>
        <w:rPr>
          <w:szCs w:val="22"/>
        </w:rPr>
      </w:pPr>
    </w:p>
    <w:p w:rsidR="00BA558B" w:rsidRPr="00051880" w:rsidRDefault="00BA558B" w:rsidP="00DF1CD8">
      <w:pPr>
        <w:spacing w:line="240" w:lineRule="auto"/>
        <w:rPr>
          <w:color w:val="000000"/>
          <w:szCs w:val="22"/>
        </w:rPr>
      </w:pPr>
      <w:r w:rsidRPr="00051880">
        <w:rPr>
          <w:color w:val="000000"/>
          <w:szCs w:val="22"/>
        </w:rPr>
        <w:t xml:space="preserve">Pokračovanie v používaní betablokátorov pri indukcii narkózy, intubácie a pri ukončení narkózy znižuje riziko arytmie. </w:t>
      </w:r>
    </w:p>
    <w:p w:rsidR="00BA558B" w:rsidRPr="00051880" w:rsidRDefault="00BA558B" w:rsidP="00DF1CD8">
      <w:pPr>
        <w:spacing w:line="240" w:lineRule="auto"/>
        <w:rPr>
          <w:color w:val="000000"/>
          <w:szCs w:val="22"/>
        </w:rPr>
      </w:pPr>
      <w:r w:rsidRPr="00051880">
        <w:rPr>
          <w:szCs w:val="22"/>
        </w:rPr>
        <w:t>V prípade, že intravaskulárny objemový stav pacienta je neistý alebo sa súčasne s landiololom podávajú antihypertenzíva, môže nastať oslabenie reflexnej tachykardie a riziko hypotenzie sa môže zvýšiť.</w:t>
      </w:r>
      <w:r w:rsidRPr="00051880">
        <w:rPr>
          <w:color w:val="000000"/>
          <w:szCs w:val="22"/>
        </w:rPr>
        <w:t xml:space="preserve"> </w:t>
      </w:r>
    </w:p>
    <w:p w:rsidR="00BA558B" w:rsidRPr="00051880" w:rsidRDefault="00BA558B" w:rsidP="00DF1CD8">
      <w:pPr>
        <w:spacing w:line="240" w:lineRule="auto"/>
        <w:rPr>
          <w:color w:val="000000"/>
          <w:szCs w:val="22"/>
        </w:rPr>
      </w:pPr>
      <w:r w:rsidRPr="00051880">
        <w:rPr>
          <w:color w:val="000000"/>
          <w:szCs w:val="22"/>
        </w:rPr>
        <w:t>Anestéziológ by mal byť informovaný, že pacient dostáva okrem landiololu aj betablokátory.</w:t>
      </w:r>
    </w:p>
    <w:p w:rsidR="00BA558B" w:rsidRPr="00051880" w:rsidRDefault="00BA558B" w:rsidP="00DF1CD8">
      <w:pPr>
        <w:tabs>
          <w:tab w:val="clear" w:pos="567"/>
        </w:tabs>
        <w:spacing w:line="240" w:lineRule="auto"/>
        <w:rPr>
          <w:color w:val="000000"/>
          <w:szCs w:val="22"/>
        </w:rPr>
      </w:pPr>
    </w:p>
    <w:p w:rsidR="00BA558B" w:rsidRPr="00051880" w:rsidRDefault="00BA558B" w:rsidP="00DF1CD8">
      <w:pPr>
        <w:tabs>
          <w:tab w:val="clear" w:pos="567"/>
        </w:tabs>
        <w:spacing w:line="240" w:lineRule="auto"/>
        <w:rPr>
          <w:color w:val="000000"/>
          <w:szCs w:val="22"/>
        </w:rPr>
      </w:pPr>
      <w:r w:rsidRPr="00051880">
        <w:rPr>
          <w:color w:val="000000"/>
          <w:szCs w:val="22"/>
        </w:rPr>
        <w:t>Hypotenzný účinok inhalačných anestetík môže byť v prítomnosti landiololu zvýšený. Dávkovanie ktoréhokoľvek z liekov môže byť upravené podľa potreby, aby sa udržala požadovaná hemodynamika.</w:t>
      </w:r>
    </w:p>
    <w:p w:rsidR="00BA558B" w:rsidRPr="00051880" w:rsidRDefault="00BA558B" w:rsidP="00DF1CD8">
      <w:pPr>
        <w:spacing w:line="240" w:lineRule="auto"/>
        <w:rPr>
          <w:strike/>
          <w:color w:val="000000"/>
          <w:szCs w:val="22"/>
        </w:rPr>
      </w:pPr>
    </w:p>
    <w:p w:rsidR="00BA558B" w:rsidRPr="00051880" w:rsidRDefault="00BA558B" w:rsidP="00DF1CD8">
      <w:pPr>
        <w:tabs>
          <w:tab w:val="clear" w:pos="567"/>
        </w:tabs>
        <w:spacing w:line="240" w:lineRule="auto"/>
        <w:rPr>
          <w:color w:val="000000"/>
          <w:szCs w:val="22"/>
        </w:rPr>
      </w:pPr>
      <w:r w:rsidRPr="00051880">
        <w:rPr>
          <w:color w:val="000000"/>
          <w:szCs w:val="22"/>
        </w:rPr>
        <w:t>Podávanie landiololu je potrebné titrovať s opatrnosťou pri súčasnom podávaní s anestetikami, ktoré majú bradykardický účinok, s esterázovými substrátmi (napr. suxametóniumchlorid) alebo s inhibítormi cholínesterázy (napr. neostigmín), pretože súčasné podávanie môže zosilniť bradykar</w:t>
      </w:r>
      <w:r w:rsidR="001A3FF2" w:rsidRPr="00051880">
        <w:rPr>
          <w:color w:val="000000"/>
          <w:szCs w:val="22"/>
        </w:rPr>
        <w:t>d</w:t>
      </w:r>
      <w:r w:rsidRPr="00051880">
        <w:rPr>
          <w:color w:val="000000"/>
          <w:szCs w:val="22"/>
        </w:rPr>
        <w:t>ický účinok alebo predĺžiť čas trvania účinku landiololu.</w:t>
      </w:r>
    </w:p>
    <w:p w:rsidR="00BA558B" w:rsidRPr="00051880" w:rsidRDefault="00BA558B" w:rsidP="00DF1CD8">
      <w:pPr>
        <w:spacing w:line="240" w:lineRule="auto"/>
        <w:rPr>
          <w:color w:val="000000"/>
          <w:szCs w:val="22"/>
        </w:rPr>
      </w:pPr>
      <w:r w:rsidRPr="00051880">
        <w:rPr>
          <w:szCs w:val="22"/>
        </w:rPr>
        <w:t xml:space="preserve">Štúdia </w:t>
      </w:r>
      <w:r w:rsidRPr="00051880">
        <w:rPr>
          <w:i/>
          <w:szCs w:val="22"/>
        </w:rPr>
        <w:t>in vitro</w:t>
      </w:r>
      <w:r w:rsidRPr="00051880">
        <w:rPr>
          <w:szCs w:val="22"/>
        </w:rPr>
        <w:t xml:space="preserve"> s použitím ľudskej plazmy odhalila, že súčasné podávanie suxametónia by mohlo zvýšiť maximálnu koncentráciu landiolol</w:t>
      </w:r>
      <w:r w:rsidR="001A3FF2" w:rsidRPr="00051880">
        <w:rPr>
          <w:szCs w:val="22"/>
        </w:rPr>
        <w:t>ium</w:t>
      </w:r>
      <w:r w:rsidRPr="00051880">
        <w:rPr>
          <w:szCs w:val="22"/>
        </w:rPr>
        <w:t>chloridu v krvi asi o 20 %.</w:t>
      </w:r>
      <w:r w:rsidRPr="00051880">
        <w:rPr>
          <w:color w:val="000000"/>
          <w:szCs w:val="22"/>
        </w:rPr>
        <w:t xml:space="preserve">  Antagonistická inhibícia môže spôsobiť aj predĺženie doby trvania neuromuskulárnej blokády indukovanej suxametóniumchloridom.   </w:t>
      </w:r>
    </w:p>
    <w:p w:rsidR="00BA558B" w:rsidRPr="00051880" w:rsidRDefault="00BA558B" w:rsidP="00DF1CD8">
      <w:pPr>
        <w:spacing w:line="240" w:lineRule="auto"/>
        <w:rPr>
          <w:color w:val="000000"/>
          <w:szCs w:val="22"/>
        </w:rPr>
      </w:pPr>
    </w:p>
    <w:p w:rsidR="00BA558B" w:rsidRPr="00051880" w:rsidRDefault="00BA558B" w:rsidP="00DF1CD8">
      <w:pPr>
        <w:spacing w:line="240" w:lineRule="auto"/>
        <w:rPr>
          <w:i/>
          <w:color w:val="000000"/>
          <w:szCs w:val="22"/>
        </w:rPr>
      </w:pPr>
      <w:r w:rsidRPr="00051880">
        <w:rPr>
          <w:i/>
          <w:color w:val="000000"/>
          <w:szCs w:val="22"/>
        </w:rPr>
        <w:t>Interakcie s inými liekmi</w:t>
      </w:r>
    </w:p>
    <w:p w:rsidR="00BA558B" w:rsidRPr="00051880" w:rsidRDefault="00BA558B" w:rsidP="00DF1CD8">
      <w:pPr>
        <w:spacing w:line="240" w:lineRule="auto"/>
        <w:rPr>
          <w:color w:val="000000"/>
          <w:szCs w:val="22"/>
        </w:rPr>
      </w:pPr>
    </w:p>
    <w:p w:rsidR="00BA558B" w:rsidRPr="00051880" w:rsidRDefault="00BA558B" w:rsidP="00DF1CD8">
      <w:pPr>
        <w:spacing w:line="240" w:lineRule="auto"/>
        <w:rPr>
          <w:color w:val="000000"/>
          <w:szCs w:val="22"/>
        </w:rPr>
      </w:pPr>
      <w:r w:rsidRPr="00051880">
        <w:rPr>
          <w:color w:val="000000"/>
          <w:szCs w:val="22"/>
        </w:rPr>
        <w:t>Kombinácia landiololu s gangliovými blokátormi môže zvyšovať hypotenzný účinok.</w:t>
      </w:r>
    </w:p>
    <w:p w:rsidR="00BA558B" w:rsidRPr="00051880" w:rsidRDefault="00BA558B" w:rsidP="00DF1CD8">
      <w:pPr>
        <w:spacing w:line="240" w:lineRule="auto"/>
        <w:rPr>
          <w:color w:val="000000"/>
          <w:szCs w:val="22"/>
        </w:rPr>
      </w:pPr>
    </w:p>
    <w:p w:rsidR="00BA558B" w:rsidRPr="00051880" w:rsidRDefault="00BA558B" w:rsidP="00DF1CD8">
      <w:pPr>
        <w:spacing w:line="240" w:lineRule="auto"/>
        <w:rPr>
          <w:color w:val="000000"/>
          <w:szCs w:val="22"/>
        </w:rPr>
      </w:pPr>
      <w:r w:rsidRPr="00051880">
        <w:rPr>
          <w:color w:val="000000"/>
          <w:szCs w:val="22"/>
        </w:rPr>
        <w:t>NSAID môžu znížiť hypotenzné účinky betablokátorov.</w:t>
      </w:r>
    </w:p>
    <w:p w:rsidR="00BA558B" w:rsidRPr="00051880" w:rsidRDefault="00BA558B" w:rsidP="00DF1CD8">
      <w:pPr>
        <w:spacing w:line="240" w:lineRule="auto"/>
        <w:rPr>
          <w:color w:val="000000"/>
          <w:szCs w:val="22"/>
        </w:rPr>
      </w:pPr>
    </w:p>
    <w:p w:rsidR="00BA558B" w:rsidRPr="00051880" w:rsidRDefault="00BA558B" w:rsidP="00DF1CD8">
      <w:pPr>
        <w:spacing w:line="240" w:lineRule="auto"/>
        <w:rPr>
          <w:color w:val="000000"/>
          <w:szCs w:val="22"/>
        </w:rPr>
      </w:pPr>
      <w:r w:rsidRPr="00051880">
        <w:rPr>
          <w:color w:val="000000"/>
          <w:szCs w:val="22"/>
        </w:rPr>
        <w:t xml:space="preserve">Osobitná opatrnosť je potrebná pri súčasnom používaní floktafenínu alebo amisulpridu s betablokátormi.  </w:t>
      </w:r>
    </w:p>
    <w:p w:rsidR="00BA558B" w:rsidRPr="00051880" w:rsidRDefault="00BA558B" w:rsidP="00DF1CD8">
      <w:pPr>
        <w:spacing w:line="240" w:lineRule="auto"/>
        <w:rPr>
          <w:color w:val="000000"/>
          <w:szCs w:val="22"/>
        </w:rPr>
      </w:pPr>
    </w:p>
    <w:p w:rsidR="00BA558B" w:rsidRPr="00051880" w:rsidRDefault="00BA558B" w:rsidP="00DF1CD8">
      <w:pPr>
        <w:spacing w:line="240" w:lineRule="auto"/>
        <w:rPr>
          <w:color w:val="000000"/>
          <w:szCs w:val="22"/>
        </w:rPr>
      </w:pPr>
      <w:r w:rsidRPr="00051880">
        <w:rPr>
          <w:color w:val="000000"/>
          <w:szCs w:val="22"/>
        </w:rPr>
        <w:t>Súčasné podávanie landiololu s tricyklickými antidepresívami, barbiturátmi a fenotiazínmi, ako aj inými liekmi proti vysokému krvnému tlaku môže zvyšovať účinok na znižovanie krvného tlaku. Podávanie landiololu by malo byť opatrne upravené, aby nedošlo k neočakávanej hypotenzii.</w:t>
      </w:r>
    </w:p>
    <w:p w:rsidR="00BA558B" w:rsidRPr="00051880" w:rsidRDefault="00BA558B" w:rsidP="00DF1CD8">
      <w:pPr>
        <w:spacing w:line="240" w:lineRule="auto"/>
        <w:rPr>
          <w:color w:val="000000"/>
          <w:szCs w:val="22"/>
        </w:rPr>
      </w:pPr>
    </w:p>
    <w:p w:rsidR="00BA558B" w:rsidRPr="00051880" w:rsidRDefault="00BA558B" w:rsidP="00DF1CD8">
      <w:pPr>
        <w:tabs>
          <w:tab w:val="clear" w:pos="567"/>
        </w:tabs>
        <w:autoSpaceDE w:val="0"/>
        <w:autoSpaceDN w:val="0"/>
        <w:adjustRightInd w:val="0"/>
        <w:spacing w:line="240" w:lineRule="auto"/>
        <w:rPr>
          <w:color w:val="000000"/>
          <w:szCs w:val="22"/>
        </w:rPr>
      </w:pPr>
      <w:r w:rsidRPr="00051880">
        <w:rPr>
          <w:color w:val="000000"/>
          <w:szCs w:val="22"/>
        </w:rPr>
        <w:t xml:space="preserve">Keď sa sympatomimetiká, ktoré pôsobia ako agonisty betaadrenergných receptorov, podávajú súčasne s landiololom, môžu pôsobiť proti jeho účinkom. Dávkovanie ktoréhokoľvek z týchto liekov môže byť nutné upraviť na základe odpovede pacienta alebo môže byť zvážené použitie alternatívnych terapeutických </w:t>
      </w:r>
      <w:r w:rsidR="001A3FF2" w:rsidRPr="00051880">
        <w:rPr>
          <w:color w:val="000000"/>
          <w:szCs w:val="22"/>
        </w:rPr>
        <w:t>látok</w:t>
      </w:r>
      <w:r w:rsidRPr="00051880">
        <w:rPr>
          <w:color w:val="000000"/>
          <w:szCs w:val="22"/>
        </w:rPr>
        <w:t xml:space="preserve">. </w:t>
      </w:r>
    </w:p>
    <w:p w:rsidR="00BA558B" w:rsidRPr="00051880" w:rsidRDefault="00BA558B" w:rsidP="00DF1CD8">
      <w:pPr>
        <w:spacing w:line="240" w:lineRule="auto"/>
        <w:rPr>
          <w:color w:val="000000"/>
          <w:szCs w:val="22"/>
          <w:highlight w:val="yellow"/>
        </w:rPr>
      </w:pPr>
    </w:p>
    <w:p w:rsidR="00BA558B" w:rsidRPr="00051880" w:rsidRDefault="001A3FF2" w:rsidP="00DF1CD8">
      <w:pPr>
        <w:spacing w:line="240" w:lineRule="auto"/>
        <w:rPr>
          <w:color w:val="000000"/>
          <w:szCs w:val="22"/>
        </w:rPr>
      </w:pPr>
      <w:r w:rsidRPr="00051880">
        <w:rPr>
          <w:color w:val="000000"/>
          <w:szCs w:val="22"/>
        </w:rPr>
        <w:t>Liečivá</w:t>
      </w:r>
      <w:r w:rsidR="00BA558B" w:rsidRPr="00051880">
        <w:rPr>
          <w:color w:val="000000"/>
          <w:szCs w:val="22"/>
        </w:rPr>
        <w:t xml:space="preserve"> spôsobujúce zníženie hladiny katecholamínu (napr. rezerpín, klonidín, dexmedetomidín) môžu mať pri súčasnom podávaní s betablokátormi zosilňujúci účinok. Pacienti súbežne liečení týmito </w:t>
      </w:r>
      <w:r w:rsidRPr="00051880">
        <w:rPr>
          <w:color w:val="000000"/>
          <w:szCs w:val="22"/>
        </w:rPr>
        <w:t xml:space="preserve">liečivami </w:t>
      </w:r>
      <w:r w:rsidR="00BA558B" w:rsidRPr="00051880">
        <w:rPr>
          <w:color w:val="000000"/>
          <w:szCs w:val="22"/>
        </w:rPr>
        <w:t xml:space="preserve">by mali byť dôkladne pozorovaní na </w:t>
      </w:r>
      <w:r w:rsidR="00A747D9" w:rsidRPr="00051880">
        <w:rPr>
          <w:color w:val="000000"/>
          <w:szCs w:val="22"/>
        </w:rPr>
        <w:t>prejavy</w:t>
      </w:r>
      <w:r w:rsidR="00BA558B" w:rsidRPr="00051880">
        <w:rPr>
          <w:color w:val="000000"/>
          <w:szCs w:val="22"/>
        </w:rPr>
        <w:t xml:space="preserve"> hypotenzie alebo výraznej bradykardie.</w:t>
      </w:r>
    </w:p>
    <w:p w:rsidR="00BA558B" w:rsidRPr="00051880" w:rsidRDefault="00BA558B" w:rsidP="00DF1CD8">
      <w:pPr>
        <w:spacing w:line="240" w:lineRule="auto"/>
        <w:rPr>
          <w:color w:val="000000"/>
          <w:szCs w:val="22"/>
        </w:rPr>
      </w:pPr>
    </w:p>
    <w:p w:rsidR="00BA558B" w:rsidRPr="00051880" w:rsidRDefault="00BA558B" w:rsidP="00DF1CD8">
      <w:pPr>
        <w:spacing w:line="240" w:lineRule="auto"/>
        <w:rPr>
          <w:color w:val="000000"/>
          <w:szCs w:val="22"/>
        </w:rPr>
      </w:pPr>
      <w:r w:rsidRPr="00051880">
        <w:rPr>
          <w:color w:val="000000"/>
          <w:szCs w:val="22"/>
        </w:rPr>
        <w:lastRenderedPageBreak/>
        <w:t xml:space="preserve">Súbežné používanie klonidínu a betablokátorov zvyšuje riziko „rebound“ hypertenzie.  Aj keď účinok vyvolávajúci „rebound“ hypertenziu nebol pozorovaný po podávaní landiololu po dobu 24 hodín, takýto účinok nemožno vylúčiť, ak sa landiolol používa v kombinácii s klonidínom.    </w:t>
      </w:r>
    </w:p>
    <w:p w:rsidR="00BA558B" w:rsidRPr="00051880" w:rsidRDefault="00BA558B" w:rsidP="00DF1CD8">
      <w:pPr>
        <w:spacing w:line="240" w:lineRule="auto"/>
        <w:rPr>
          <w:color w:val="000000"/>
          <w:szCs w:val="22"/>
        </w:rPr>
      </w:pPr>
    </w:p>
    <w:p w:rsidR="00BA558B" w:rsidRPr="00051880" w:rsidRDefault="00BA558B" w:rsidP="00DF1CD8">
      <w:pPr>
        <w:spacing w:line="240" w:lineRule="auto"/>
        <w:rPr>
          <w:color w:val="000000"/>
          <w:szCs w:val="22"/>
        </w:rPr>
      </w:pPr>
      <w:r w:rsidRPr="00051880">
        <w:rPr>
          <w:color w:val="000000"/>
          <w:szCs w:val="22"/>
        </w:rPr>
        <w:t>Anafylaktické reakcie spôsobené inými liekmi môžu byť vážnejšie u pacientov užívajúcich betablokátory. Títo pacienti môžu byť rezistentní na liečbu adrenalínom v normálnej dávk</w:t>
      </w:r>
      <w:r w:rsidR="00A747D9" w:rsidRPr="00051880">
        <w:rPr>
          <w:color w:val="000000"/>
          <w:szCs w:val="22"/>
        </w:rPr>
        <w:t>e</w:t>
      </w:r>
      <w:r w:rsidRPr="00051880">
        <w:rPr>
          <w:color w:val="000000"/>
          <w:szCs w:val="22"/>
        </w:rPr>
        <w:t xml:space="preserve">, ale intravenózna injekcia glukagónu je účinná (pozri </w:t>
      </w:r>
      <w:r w:rsidR="001A3FF2" w:rsidRPr="00051880">
        <w:rPr>
          <w:color w:val="000000"/>
          <w:szCs w:val="22"/>
        </w:rPr>
        <w:t>tiež</w:t>
      </w:r>
      <w:r w:rsidRPr="00051880">
        <w:rPr>
          <w:color w:val="000000"/>
          <w:szCs w:val="22"/>
        </w:rPr>
        <w:t xml:space="preserve"> časť 4.4).</w:t>
      </w:r>
    </w:p>
    <w:p w:rsidR="00BA558B" w:rsidRPr="00051880" w:rsidRDefault="00BA558B" w:rsidP="00DF1CD8">
      <w:pPr>
        <w:spacing w:line="240" w:lineRule="auto"/>
        <w:rPr>
          <w:color w:val="000000"/>
          <w:szCs w:val="22"/>
        </w:rPr>
      </w:pPr>
    </w:p>
    <w:p w:rsidR="00BA558B" w:rsidRPr="00051880" w:rsidRDefault="00BA558B" w:rsidP="00DF1CD8">
      <w:pPr>
        <w:spacing w:line="240" w:lineRule="auto"/>
        <w:rPr>
          <w:color w:val="000000"/>
          <w:szCs w:val="22"/>
        </w:rPr>
      </w:pPr>
      <w:r w:rsidRPr="00051880">
        <w:rPr>
          <w:color w:val="000000"/>
          <w:szCs w:val="22"/>
        </w:rPr>
        <w:t>Keď bol v priebehu infúzie landiololu podávaný intravenózne heparín u pacientov podstupujúcich kardiovaskulárnu operáciu, došlo k 50-percentnému poklesu hladiny landiololu v plazme v súvislosti s poklesom krvného tlaku vyvolaného heparínom a k zvýšeniu času cirkulácie landiololu. Hodnoty srdcovej frekvencie sa v tejto situácii nezmenili.</w:t>
      </w:r>
    </w:p>
    <w:p w:rsidR="00BA558B" w:rsidRPr="00051880" w:rsidRDefault="00BA558B" w:rsidP="00DF1CD8">
      <w:pPr>
        <w:spacing w:line="240" w:lineRule="auto"/>
        <w:rPr>
          <w:color w:val="000000"/>
          <w:szCs w:val="22"/>
        </w:rPr>
      </w:pPr>
    </w:p>
    <w:p w:rsidR="00BA558B" w:rsidRPr="00051880" w:rsidRDefault="00BA558B" w:rsidP="00DF1CD8">
      <w:pPr>
        <w:spacing w:line="240" w:lineRule="auto"/>
        <w:rPr>
          <w:color w:val="000000"/>
          <w:szCs w:val="22"/>
        </w:rPr>
      </w:pPr>
      <w:r w:rsidRPr="00051880">
        <w:rPr>
          <w:color w:val="000000"/>
          <w:szCs w:val="22"/>
        </w:rPr>
        <w:t>Interakčný potenciál metabolitov landiololu M1 a M2 pri súčasnom používaní iných liekov nie je známy. Farmakodynamické účinky týchto metabolitov nie sú považované za klinicky významné (pozri časť 5.2).</w:t>
      </w:r>
    </w:p>
    <w:p w:rsidR="00BA558B" w:rsidRPr="00051880" w:rsidRDefault="00BA558B" w:rsidP="00DF1CD8">
      <w:pPr>
        <w:spacing w:line="240" w:lineRule="auto"/>
        <w:rPr>
          <w:color w:val="000000"/>
          <w:szCs w:val="22"/>
        </w:rPr>
      </w:pPr>
    </w:p>
    <w:p w:rsidR="00BA558B" w:rsidRPr="00051880" w:rsidRDefault="00DF1CD8" w:rsidP="00DF1CD8">
      <w:pPr>
        <w:tabs>
          <w:tab w:val="clear" w:pos="567"/>
        </w:tabs>
        <w:spacing w:line="240" w:lineRule="auto"/>
        <w:rPr>
          <w:color w:val="000000"/>
          <w:szCs w:val="22"/>
          <w:u w:val="single"/>
        </w:rPr>
      </w:pPr>
      <w:r w:rsidRPr="00051880">
        <w:rPr>
          <w:color w:val="000000"/>
          <w:szCs w:val="22"/>
          <w:u w:val="single"/>
        </w:rPr>
        <w:t>Pediatrická populácia</w:t>
      </w:r>
    </w:p>
    <w:p w:rsidR="00BA558B" w:rsidRPr="00051880" w:rsidRDefault="00BA558B" w:rsidP="00DF1CD8">
      <w:pPr>
        <w:spacing w:line="240" w:lineRule="auto"/>
        <w:rPr>
          <w:color w:val="000000"/>
          <w:szCs w:val="22"/>
        </w:rPr>
      </w:pPr>
      <w:r w:rsidRPr="00051880">
        <w:rPr>
          <w:color w:val="000000"/>
          <w:szCs w:val="22"/>
        </w:rPr>
        <w:t>Interakčné štúdie sa uskutočnili len u dospelých.</w:t>
      </w:r>
    </w:p>
    <w:p w:rsidR="00BA558B" w:rsidRPr="00051880" w:rsidRDefault="00BA558B" w:rsidP="00DF1CD8">
      <w:pPr>
        <w:spacing w:line="240" w:lineRule="auto"/>
        <w:rPr>
          <w:color w:val="000000"/>
          <w:szCs w:val="22"/>
        </w:rPr>
      </w:pPr>
    </w:p>
    <w:p w:rsidR="00BA558B" w:rsidRPr="00051880" w:rsidRDefault="00BA558B" w:rsidP="00DF1CD8">
      <w:pPr>
        <w:spacing w:line="240" w:lineRule="auto"/>
        <w:rPr>
          <w:color w:val="000000"/>
          <w:szCs w:val="22"/>
        </w:rPr>
      </w:pPr>
      <w:r w:rsidRPr="00051880">
        <w:rPr>
          <w:color w:val="000000"/>
          <w:szCs w:val="22"/>
        </w:rPr>
        <w:t xml:space="preserve">Nie je známe, či je rozsah farmakokinetických alebo farmakodynamických liekových interakcií u detských pacientov podobný ako u dospelých. </w:t>
      </w:r>
    </w:p>
    <w:p w:rsidR="00BA558B" w:rsidRPr="00051880" w:rsidRDefault="00BA558B" w:rsidP="00DF1CD8">
      <w:pPr>
        <w:spacing w:line="240" w:lineRule="auto"/>
        <w:rPr>
          <w:color w:val="000000"/>
          <w:szCs w:val="22"/>
        </w:rPr>
      </w:pPr>
    </w:p>
    <w:p w:rsidR="00BA558B" w:rsidRPr="00051880" w:rsidRDefault="00BA558B" w:rsidP="00DF1CD8">
      <w:pPr>
        <w:pStyle w:val="Nadpis4"/>
        <w:spacing w:line="240" w:lineRule="auto"/>
        <w:jc w:val="left"/>
        <w:rPr>
          <w:color w:val="000000"/>
          <w:szCs w:val="22"/>
        </w:rPr>
      </w:pPr>
      <w:r w:rsidRPr="00051880">
        <w:rPr>
          <w:color w:val="000000"/>
          <w:szCs w:val="22"/>
        </w:rPr>
        <w:t>4.6</w:t>
      </w:r>
      <w:r w:rsidRPr="00051880">
        <w:rPr>
          <w:color w:val="000000"/>
          <w:szCs w:val="22"/>
        </w:rPr>
        <w:tab/>
        <w:t>Fertilita, gravidita a laktácia</w:t>
      </w:r>
    </w:p>
    <w:p w:rsidR="00BA558B" w:rsidRPr="00051880" w:rsidRDefault="00BA558B" w:rsidP="00DF1CD8">
      <w:pPr>
        <w:tabs>
          <w:tab w:val="clear" w:pos="567"/>
        </w:tabs>
        <w:spacing w:line="240" w:lineRule="auto"/>
        <w:rPr>
          <w:color w:val="000000"/>
          <w:szCs w:val="22"/>
          <w:u w:val="single"/>
        </w:rPr>
      </w:pPr>
    </w:p>
    <w:p w:rsidR="00BA558B" w:rsidRPr="00051880" w:rsidRDefault="00BA558B" w:rsidP="00DF1CD8">
      <w:pPr>
        <w:tabs>
          <w:tab w:val="clear" w:pos="567"/>
        </w:tabs>
        <w:spacing w:line="240" w:lineRule="auto"/>
        <w:rPr>
          <w:b/>
          <w:bCs/>
          <w:color w:val="000000"/>
          <w:szCs w:val="22"/>
        </w:rPr>
      </w:pPr>
      <w:r w:rsidRPr="00051880">
        <w:rPr>
          <w:color w:val="000000"/>
          <w:szCs w:val="22"/>
          <w:u w:val="single"/>
        </w:rPr>
        <w:t>Gravidita</w:t>
      </w:r>
    </w:p>
    <w:p w:rsidR="00BA558B" w:rsidRPr="00051880" w:rsidRDefault="00BA558B" w:rsidP="00DF1CD8">
      <w:pPr>
        <w:widowControl w:val="0"/>
        <w:tabs>
          <w:tab w:val="clear" w:pos="567"/>
        </w:tabs>
        <w:spacing w:line="240" w:lineRule="auto"/>
        <w:rPr>
          <w:color w:val="000000"/>
          <w:szCs w:val="22"/>
        </w:rPr>
      </w:pPr>
      <w:r w:rsidRPr="00051880">
        <w:rPr>
          <w:color w:val="000000"/>
          <w:szCs w:val="22"/>
        </w:rPr>
        <w:t xml:space="preserve">K dispozícii nie sú žiadne údaje o použití Rapiblocu u tehotných žien. Štúdie na zvieratách nepreukázali klinicky významné účinky s ohľadom na reprodukčnú toxicitu (pozri časť 5.3). Ako preventívne opatrenie je vhodné vyhnúť sa používaniu landiololu počas tehotenstva. </w:t>
      </w:r>
    </w:p>
    <w:p w:rsidR="00BA558B" w:rsidRPr="00051880" w:rsidRDefault="00BA558B" w:rsidP="00DF1CD8">
      <w:pPr>
        <w:widowControl w:val="0"/>
        <w:tabs>
          <w:tab w:val="clear" w:pos="567"/>
        </w:tabs>
        <w:spacing w:line="240" w:lineRule="auto"/>
        <w:rPr>
          <w:color w:val="000000"/>
          <w:szCs w:val="22"/>
        </w:rPr>
      </w:pPr>
    </w:p>
    <w:p w:rsidR="00BA558B" w:rsidRPr="00051880" w:rsidRDefault="00BA558B" w:rsidP="00DF1CD8">
      <w:pPr>
        <w:widowControl w:val="0"/>
        <w:tabs>
          <w:tab w:val="clear" w:pos="567"/>
        </w:tabs>
        <w:spacing w:line="240" w:lineRule="auto"/>
        <w:rPr>
          <w:color w:val="000000"/>
          <w:szCs w:val="22"/>
        </w:rPr>
      </w:pPr>
      <w:r w:rsidRPr="00051880">
        <w:rPr>
          <w:color w:val="000000"/>
          <w:szCs w:val="22"/>
        </w:rPr>
        <w:t>Vzhľadom na farmakologický účinok betablokátorov by mali byť v neskoršom období tehotenstva vzaté do úvahy ich nežiaduce účinky na plod a novorodenca (predovšetkým hypoglykémia, hypotenzia a bradykardia).</w:t>
      </w:r>
    </w:p>
    <w:p w:rsidR="00BA558B" w:rsidRPr="00051880" w:rsidRDefault="00BA558B" w:rsidP="00DF1CD8">
      <w:pPr>
        <w:widowControl w:val="0"/>
        <w:tabs>
          <w:tab w:val="clear" w:pos="567"/>
        </w:tabs>
        <w:spacing w:line="240" w:lineRule="auto"/>
        <w:rPr>
          <w:color w:val="000000"/>
          <w:szCs w:val="22"/>
        </w:rPr>
      </w:pPr>
      <w:r w:rsidRPr="00051880">
        <w:rPr>
          <w:color w:val="000000"/>
          <w:szCs w:val="22"/>
        </w:rPr>
        <w:t>Ak sa považuje liečba landiololom za nevyhnutnú, je potrebné monitorovať uteroplacentálny prietok krvi a rast plodu. Novorodenec musí byť starostlivo monitorovaný.</w:t>
      </w:r>
    </w:p>
    <w:p w:rsidR="00BA558B" w:rsidRPr="00051880" w:rsidRDefault="00BA558B" w:rsidP="00DF1CD8">
      <w:pPr>
        <w:tabs>
          <w:tab w:val="clear" w:pos="567"/>
        </w:tabs>
        <w:spacing w:line="240" w:lineRule="auto"/>
        <w:rPr>
          <w:color w:val="000000"/>
          <w:szCs w:val="22"/>
          <w:u w:val="single"/>
        </w:rPr>
      </w:pPr>
    </w:p>
    <w:p w:rsidR="00BA558B" w:rsidRPr="00051880" w:rsidRDefault="001A3FF2" w:rsidP="00DF1CD8">
      <w:pPr>
        <w:tabs>
          <w:tab w:val="clear" w:pos="567"/>
        </w:tabs>
        <w:spacing w:line="240" w:lineRule="auto"/>
        <w:rPr>
          <w:color w:val="000000"/>
          <w:szCs w:val="22"/>
          <w:u w:val="single"/>
        </w:rPr>
      </w:pPr>
      <w:r w:rsidRPr="00051880">
        <w:rPr>
          <w:color w:val="000000"/>
          <w:szCs w:val="22"/>
          <w:u w:val="single"/>
        </w:rPr>
        <w:t>Dojčenie</w:t>
      </w:r>
    </w:p>
    <w:p w:rsidR="00BA558B" w:rsidRPr="00051880" w:rsidRDefault="00BA558B" w:rsidP="00DF1CD8">
      <w:pPr>
        <w:tabs>
          <w:tab w:val="clear" w:pos="567"/>
        </w:tabs>
        <w:spacing w:line="240" w:lineRule="auto"/>
        <w:rPr>
          <w:color w:val="000000"/>
          <w:szCs w:val="22"/>
        </w:rPr>
      </w:pPr>
      <w:r w:rsidRPr="00051880">
        <w:rPr>
          <w:color w:val="000000"/>
          <w:szCs w:val="22"/>
        </w:rPr>
        <w:t>Nie je známe, či sa landiolol alebo jeho metabolity vylučujú do ľudského mlieka. Dostupné farmakokinetické údaje u zvierat preukázali vylučovanie landiololu do mlieka. Riziko pre dojčatá nemôže byť vylúčené. Musí byť urobené rozhodnutie, či ukončiť dojčenie, alebo ukončiť liečbu landiololom</w:t>
      </w:r>
      <w:r w:rsidR="00941D55" w:rsidRPr="00051880">
        <w:rPr>
          <w:color w:val="000000"/>
          <w:szCs w:val="22"/>
        </w:rPr>
        <w:t>, prípadne ju nezačať</w:t>
      </w:r>
      <w:r w:rsidRPr="00051880">
        <w:rPr>
          <w:color w:val="000000"/>
          <w:szCs w:val="22"/>
        </w:rPr>
        <w:t>, a to po zvážení prínosu dojčenia pre dieťa a prínosu liečby pre ženu.</w:t>
      </w:r>
    </w:p>
    <w:p w:rsidR="00BA558B" w:rsidRPr="00051880" w:rsidRDefault="00BA558B" w:rsidP="00DF1CD8">
      <w:pPr>
        <w:tabs>
          <w:tab w:val="clear" w:pos="567"/>
        </w:tabs>
        <w:spacing w:line="240" w:lineRule="auto"/>
        <w:rPr>
          <w:color w:val="000000"/>
          <w:szCs w:val="22"/>
          <w:u w:val="single"/>
        </w:rPr>
      </w:pPr>
    </w:p>
    <w:p w:rsidR="00BA558B" w:rsidRPr="00051880" w:rsidRDefault="00BA558B" w:rsidP="00DF1CD8">
      <w:pPr>
        <w:tabs>
          <w:tab w:val="clear" w:pos="567"/>
        </w:tabs>
        <w:spacing w:line="240" w:lineRule="auto"/>
        <w:rPr>
          <w:color w:val="000000"/>
          <w:szCs w:val="22"/>
          <w:u w:val="single"/>
        </w:rPr>
      </w:pPr>
      <w:r w:rsidRPr="00051880">
        <w:rPr>
          <w:color w:val="000000"/>
          <w:szCs w:val="22"/>
          <w:u w:val="single"/>
        </w:rPr>
        <w:t>Fertilita</w:t>
      </w:r>
    </w:p>
    <w:p w:rsidR="00BA558B" w:rsidRPr="00051880" w:rsidRDefault="00BA558B" w:rsidP="00DF1CD8">
      <w:pPr>
        <w:tabs>
          <w:tab w:val="clear" w:pos="567"/>
        </w:tabs>
        <w:spacing w:line="240" w:lineRule="auto"/>
        <w:rPr>
          <w:color w:val="000000"/>
          <w:szCs w:val="22"/>
          <w:u w:val="single"/>
        </w:rPr>
      </w:pPr>
      <w:r w:rsidRPr="00051880">
        <w:rPr>
          <w:color w:val="000000"/>
          <w:szCs w:val="22"/>
        </w:rPr>
        <w:t>V štúdiách na zvieratách nebolo preukázané, že by mal landiolol vplyv na plodnosť (pozri časť 5.3).</w:t>
      </w:r>
    </w:p>
    <w:p w:rsidR="00BA558B" w:rsidRPr="00051880" w:rsidRDefault="00BA558B" w:rsidP="00DF1CD8">
      <w:pPr>
        <w:spacing w:line="240" w:lineRule="auto"/>
        <w:ind w:left="567" w:hanging="567"/>
        <w:rPr>
          <w:b/>
          <w:color w:val="000000"/>
          <w:szCs w:val="22"/>
        </w:rPr>
      </w:pPr>
    </w:p>
    <w:p w:rsidR="00BA558B" w:rsidRPr="00051880" w:rsidRDefault="00BA558B" w:rsidP="00DF1CD8">
      <w:pPr>
        <w:pStyle w:val="Nadpis4"/>
        <w:spacing w:line="240" w:lineRule="auto"/>
        <w:jc w:val="left"/>
        <w:rPr>
          <w:color w:val="000000"/>
          <w:szCs w:val="22"/>
        </w:rPr>
      </w:pPr>
      <w:r w:rsidRPr="00051880">
        <w:rPr>
          <w:color w:val="000000"/>
          <w:szCs w:val="22"/>
        </w:rPr>
        <w:t>4.7</w:t>
      </w:r>
      <w:r w:rsidRPr="00051880">
        <w:rPr>
          <w:color w:val="000000"/>
          <w:szCs w:val="22"/>
        </w:rPr>
        <w:tab/>
        <w:t>Ovplyvnenie schopnosti viesť vozidlá a obsluhovať stroje</w:t>
      </w:r>
    </w:p>
    <w:p w:rsidR="00BA558B" w:rsidRPr="00051880" w:rsidRDefault="00BA558B" w:rsidP="00DF1CD8">
      <w:pPr>
        <w:spacing w:line="240" w:lineRule="auto"/>
        <w:rPr>
          <w:color w:val="000000"/>
          <w:szCs w:val="22"/>
        </w:rPr>
      </w:pPr>
    </w:p>
    <w:p w:rsidR="00BA558B" w:rsidRPr="00051880" w:rsidRDefault="00BA558B" w:rsidP="00DF1CD8">
      <w:pPr>
        <w:spacing w:line="240" w:lineRule="auto"/>
        <w:rPr>
          <w:color w:val="000000"/>
          <w:szCs w:val="22"/>
        </w:rPr>
      </w:pPr>
      <w:r w:rsidRPr="00051880">
        <w:rPr>
          <w:color w:val="000000"/>
          <w:szCs w:val="22"/>
        </w:rPr>
        <w:t>Nie je relevantné.</w:t>
      </w:r>
    </w:p>
    <w:p w:rsidR="00BA558B" w:rsidRPr="00051880" w:rsidRDefault="00BA558B" w:rsidP="00DF1CD8">
      <w:pPr>
        <w:spacing w:line="240" w:lineRule="auto"/>
        <w:rPr>
          <w:color w:val="000000"/>
          <w:szCs w:val="22"/>
        </w:rPr>
      </w:pPr>
    </w:p>
    <w:p w:rsidR="00BA558B" w:rsidRPr="00051880" w:rsidRDefault="00BA558B" w:rsidP="00DF1CD8">
      <w:pPr>
        <w:pStyle w:val="Nadpis4"/>
        <w:spacing w:line="240" w:lineRule="auto"/>
        <w:jc w:val="left"/>
        <w:rPr>
          <w:color w:val="000000"/>
          <w:szCs w:val="22"/>
        </w:rPr>
      </w:pPr>
      <w:r w:rsidRPr="00051880">
        <w:rPr>
          <w:color w:val="000000"/>
          <w:szCs w:val="22"/>
        </w:rPr>
        <w:t>4.8</w:t>
      </w:r>
      <w:r w:rsidRPr="00051880">
        <w:rPr>
          <w:color w:val="000000"/>
          <w:szCs w:val="22"/>
        </w:rPr>
        <w:tab/>
        <w:t>Nežiaduce účinky</w:t>
      </w:r>
    </w:p>
    <w:p w:rsidR="00BA558B" w:rsidRPr="00051880" w:rsidRDefault="00BA558B" w:rsidP="00DF1CD8">
      <w:pPr>
        <w:spacing w:line="240" w:lineRule="auto"/>
        <w:rPr>
          <w:color w:val="000000"/>
          <w:szCs w:val="22"/>
          <w:u w:val="single"/>
        </w:rPr>
      </w:pPr>
    </w:p>
    <w:p w:rsidR="00BA558B" w:rsidRPr="00051880" w:rsidRDefault="00BA558B" w:rsidP="00DF1CD8">
      <w:pPr>
        <w:numPr>
          <w:ilvl w:val="0"/>
          <w:numId w:val="40"/>
        </w:numPr>
        <w:spacing w:line="240" w:lineRule="auto"/>
        <w:rPr>
          <w:i/>
          <w:color w:val="000000"/>
          <w:szCs w:val="22"/>
        </w:rPr>
      </w:pPr>
      <w:r w:rsidRPr="00051880">
        <w:rPr>
          <w:i/>
          <w:color w:val="000000"/>
          <w:szCs w:val="22"/>
        </w:rPr>
        <w:t>Súhrn bezpečnostného profilu</w:t>
      </w:r>
    </w:p>
    <w:p w:rsidR="00BA558B" w:rsidRPr="00051880" w:rsidRDefault="00BA558B" w:rsidP="00DF1CD8">
      <w:pPr>
        <w:spacing w:line="240" w:lineRule="auto"/>
        <w:rPr>
          <w:color w:val="000000"/>
          <w:szCs w:val="22"/>
          <w:u w:val="single"/>
        </w:rPr>
      </w:pPr>
    </w:p>
    <w:p w:rsidR="00BA558B" w:rsidRPr="00051880" w:rsidRDefault="00BA558B" w:rsidP="00DF1CD8">
      <w:pPr>
        <w:spacing w:line="240" w:lineRule="auto"/>
        <w:rPr>
          <w:color w:val="000000"/>
          <w:szCs w:val="22"/>
        </w:rPr>
      </w:pPr>
      <w:r w:rsidRPr="00051880">
        <w:rPr>
          <w:color w:val="000000"/>
          <w:szCs w:val="22"/>
        </w:rPr>
        <w:t>Najčastejšie pozorovanou nežiaducou liekovou reakciou (</w:t>
      </w:r>
      <w:r w:rsidR="001A3FF2" w:rsidRPr="00051880">
        <w:rPr>
          <w:color w:val="000000"/>
          <w:szCs w:val="22"/>
        </w:rPr>
        <w:t xml:space="preserve">adverse drug reaction, </w:t>
      </w:r>
      <w:r w:rsidRPr="00051880">
        <w:rPr>
          <w:color w:val="000000"/>
          <w:szCs w:val="22"/>
        </w:rPr>
        <w:t xml:space="preserve">ADR) hlásenou v klinických štúdiách (1 569 pacientov) a v štúdiách zameraných na liečebný výsledok po uvedení lieku </w:t>
      </w:r>
      <w:r w:rsidR="001A3FF2" w:rsidRPr="00051880">
        <w:rPr>
          <w:color w:val="000000"/>
          <w:szCs w:val="22"/>
        </w:rPr>
        <w:lastRenderedPageBreak/>
        <w:t>na trh</w:t>
      </w:r>
      <w:r w:rsidRPr="00051880">
        <w:rPr>
          <w:color w:val="000000"/>
          <w:szCs w:val="22"/>
        </w:rPr>
        <w:t xml:space="preserve">/v prieskumoch zameraných na použitie (1 257 pacientov) pri podávaní landiololu bola hypotenzia a bradykardia (≥1 až &lt;10%). </w:t>
      </w:r>
    </w:p>
    <w:p w:rsidR="00BA558B" w:rsidRPr="00051880" w:rsidRDefault="00BA558B" w:rsidP="00DF1CD8">
      <w:pPr>
        <w:spacing w:line="240" w:lineRule="auto"/>
        <w:rPr>
          <w:color w:val="000000"/>
          <w:szCs w:val="22"/>
          <w:u w:val="single"/>
        </w:rPr>
      </w:pPr>
    </w:p>
    <w:p w:rsidR="00BA558B" w:rsidRPr="00051880" w:rsidRDefault="00BA558B" w:rsidP="00DF1CD8">
      <w:pPr>
        <w:spacing w:line="240" w:lineRule="auto"/>
        <w:rPr>
          <w:color w:val="000000"/>
          <w:szCs w:val="22"/>
        </w:rPr>
      </w:pPr>
      <w:r w:rsidRPr="00051880">
        <w:rPr>
          <w:color w:val="000000"/>
          <w:szCs w:val="22"/>
        </w:rPr>
        <w:t xml:space="preserve">Nežiaduce liekové reakcie sú uvedené v nasledujúcej tabuľke podľa orgánových systémov a frekvencie výskytu; veľmi časté (≥ 1/10), časté (≥ 1/100 až &lt;1/10), menej časté (≥ 1/1000 až &lt;1/100), zriedkavé (≥ 1/10 000 až &lt;1/1 000), veľmi zriedkavé (&lt;1/10 000) a neznáme (z dostupných údajov). </w:t>
      </w:r>
    </w:p>
    <w:p w:rsidR="00BA558B" w:rsidRPr="00051880" w:rsidRDefault="00BA558B" w:rsidP="00DF1CD8">
      <w:pPr>
        <w:spacing w:line="240" w:lineRule="auto"/>
        <w:rPr>
          <w:color w:val="000000"/>
          <w:szCs w:val="22"/>
          <w:u w:val="single"/>
        </w:rPr>
      </w:pPr>
    </w:p>
    <w:p w:rsidR="00BA558B" w:rsidRPr="00051880" w:rsidRDefault="00BA558B" w:rsidP="00DF1CD8">
      <w:pPr>
        <w:numPr>
          <w:ilvl w:val="0"/>
          <w:numId w:val="40"/>
        </w:numPr>
        <w:spacing w:line="240" w:lineRule="auto"/>
        <w:rPr>
          <w:color w:val="000000"/>
          <w:szCs w:val="22"/>
          <w:u w:val="single"/>
        </w:rPr>
      </w:pPr>
      <w:r w:rsidRPr="00051880">
        <w:rPr>
          <w:i/>
          <w:color w:val="000000"/>
          <w:szCs w:val="22"/>
        </w:rPr>
        <w:t>Tabuľkový súhrn nežiaducich reakcií</w:t>
      </w:r>
    </w:p>
    <w:p w:rsidR="00BA558B" w:rsidRPr="00051880" w:rsidRDefault="00BA558B" w:rsidP="00DF1CD8">
      <w:pPr>
        <w:spacing w:line="240" w:lineRule="auto"/>
        <w:rPr>
          <w:color w:val="000000"/>
          <w:szCs w:val="22"/>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7"/>
        <w:gridCol w:w="7059"/>
      </w:tblGrid>
      <w:tr w:rsidR="00BA558B" w:rsidRPr="00051880" w:rsidTr="00BA558B">
        <w:tc>
          <w:tcPr>
            <w:tcW w:w="2547" w:type="dxa"/>
            <w:shd w:val="clear" w:color="auto" w:fill="auto"/>
          </w:tcPr>
          <w:p w:rsidR="00BA558B" w:rsidRPr="00051880" w:rsidRDefault="00BA558B" w:rsidP="00DF1CD8">
            <w:pPr>
              <w:spacing w:line="240" w:lineRule="auto"/>
              <w:rPr>
                <w:color w:val="000000"/>
                <w:szCs w:val="22"/>
                <w:u w:val="single"/>
              </w:rPr>
            </w:pPr>
            <w:r w:rsidRPr="00051880">
              <w:rPr>
                <w:color w:val="000000"/>
                <w:szCs w:val="22"/>
              </w:rPr>
              <w:t>Infekcie a nákazy</w:t>
            </w:r>
          </w:p>
        </w:tc>
        <w:tc>
          <w:tcPr>
            <w:tcW w:w="7059" w:type="dxa"/>
            <w:shd w:val="clear" w:color="auto" w:fill="auto"/>
          </w:tcPr>
          <w:p w:rsidR="00BA558B" w:rsidRPr="00051880" w:rsidRDefault="00BA558B" w:rsidP="00DF1CD8">
            <w:pPr>
              <w:spacing w:line="240" w:lineRule="auto"/>
              <w:rPr>
                <w:color w:val="000000"/>
                <w:szCs w:val="22"/>
              </w:rPr>
            </w:pPr>
            <w:r w:rsidRPr="00051880">
              <w:rPr>
                <w:i/>
                <w:szCs w:val="22"/>
              </w:rPr>
              <w:t>menej časté</w:t>
            </w:r>
            <w:r w:rsidRPr="00051880">
              <w:rPr>
                <w:szCs w:val="22"/>
              </w:rPr>
              <w:t>:</w:t>
            </w:r>
            <w:r w:rsidRPr="00051880">
              <w:rPr>
                <w:color w:val="000000"/>
                <w:szCs w:val="22"/>
              </w:rPr>
              <w:t xml:space="preserve"> Zápal pľúc</w:t>
            </w:r>
          </w:p>
          <w:p w:rsidR="00BA558B" w:rsidRPr="00051880" w:rsidRDefault="00BA558B" w:rsidP="00DF1CD8">
            <w:pPr>
              <w:spacing w:line="240" w:lineRule="auto"/>
              <w:rPr>
                <w:color w:val="000000"/>
                <w:szCs w:val="22"/>
                <w:u w:val="single"/>
              </w:rPr>
            </w:pPr>
            <w:r w:rsidRPr="00051880">
              <w:rPr>
                <w:i/>
                <w:szCs w:val="22"/>
              </w:rPr>
              <w:t>zriedkavé</w:t>
            </w:r>
            <w:r w:rsidRPr="00051880">
              <w:rPr>
                <w:szCs w:val="22"/>
              </w:rPr>
              <w:t>:</w:t>
            </w:r>
            <w:r w:rsidRPr="00051880">
              <w:rPr>
                <w:color w:val="000000"/>
                <w:szCs w:val="22"/>
              </w:rPr>
              <w:t xml:space="preserve"> Mediastinitída</w:t>
            </w:r>
          </w:p>
        </w:tc>
      </w:tr>
      <w:tr w:rsidR="00BA558B" w:rsidRPr="00051880" w:rsidTr="00BA558B">
        <w:tc>
          <w:tcPr>
            <w:tcW w:w="2547" w:type="dxa"/>
            <w:shd w:val="clear" w:color="auto" w:fill="auto"/>
          </w:tcPr>
          <w:p w:rsidR="00BA558B" w:rsidRPr="00051880" w:rsidRDefault="00BA558B" w:rsidP="00DF1CD8">
            <w:pPr>
              <w:spacing w:line="240" w:lineRule="auto"/>
              <w:rPr>
                <w:color w:val="000000"/>
                <w:szCs w:val="22"/>
                <w:u w:val="single"/>
              </w:rPr>
            </w:pPr>
            <w:r w:rsidRPr="00051880">
              <w:rPr>
                <w:color w:val="000000"/>
                <w:szCs w:val="22"/>
              </w:rPr>
              <w:t>Poruchy krvi a lymfatického systému</w:t>
            </w:r>
          </w:p>
        </w:tc>
        <w:tc>
          <w:tcPr>
            <w:tcW w:w="7059" w:type="dxa"/>
            <w:shd w:val="clear" w:color="auto" w:fill="auto"/>
          </w:tcPr>
          <w:p w:rsidR="00BA558B" w:rsidRPr="00051880" w:rsidRDefault="00BA558B" w:rsidP="00DF1CD8">
            <w:pPr>
              <w:spacing w:line="240" w:lineRule="auto"/>
              <w:rPr>
                <w:color w:val="000000"/>
                <w:szCs w:val="22"/>
                <w:u w:val="single"/>
              </w:rPr>
            </w:pPr>
            <w:r w:rsidRPr="00051880">
              <w:rPr>
                <w:i/>
                <w:szCs w:val="22"/>
              </w:rPr>
              <w:t>zriedkavé</w:t>
            </w:r>
            <w:r w:rsidRPr="00051880">
              <w:rPr>
                <w:szCs w:val="22"/>
              </w:rPr>
              <w:t>:</w:t>
            </w:r>
            <w:r w:rsidRPr="00051880">
              <w:rPr>
                <w:color w:val="000000"/>
                <w:szCs w:val="22"/>
              </w:rPr>
              <w:t xml:space="preserve"> Trombocytopénia, porucha krvných doštičiek</w:t>
            </w:r>
          </w:p>
        </w:tc>
      </w:tr>
      <w:tr w:rsidR="00BA558B" w:rsidRPr="00051880" w:rsidTr="00BA558B">
        <w:tc>
          <w:tcPr>
            <w:tcW w:w="2547" w:type="dxa"/>
            <w:shd w:val="clear" w:color="auto" w:fill="auto"/>
          </w:tcPr>
          <w:p w:rsidR="00BA558B" w:rsidRPr="00051880" w:rsidRDefault="00BA558B" w:rsidP="00DF1CD8">
            <w:pPr>
              <w:spacing w:line="240" w:lineRule="auto"/>
              <w:rPr>
                <w:color w:val="000000"/>
                <w:szCs w:val="22"/>
                <w:u w:val="single"/>
              </w:rPr>
            </w:pPr>
            <w:r w:rsidRPr="00051880">
              <w:rPr>
                <w:color w:val="000000"/>
                <w:szCs w:val="22"/>
              </w:rPr>
              <w:t>Poruchy metabolizmu a výživy</w:t>
            </w:r>
          </w:p>
        </w:tc>
        <w:tc>
          <w:tcPr>
            <w:tcW w:w="7059" w:type="dxa"/>
            <w:shd w:val="clear" w:color="auto" w:fill="auto"/>
          </w:tcPr>
          <w:p w:rsidR="00BA558B" w:rsidRPr="00051880" w:rsidRDefault="00BA558B" w:rsidP="00DF1CD8">
            <w:pPr>
              <w:spacing w:line="240" w:lineRule="auto"/>
              <w:rPr>
                <w:color w:val="000000"/>
                <w:szCs w:val="22"/>
              </w:rPr>
            </w:pPr>
            <w:r w:rsidRPr="00051880">
              <w:rPr>
                <w:i/>
                <w:szCs w:val="22"/>
              </w:rPr>
              <w:t>menej časté</w:t>
            </w:r>
            <w:r w:rsidRPr="00051880">
              <w:rPr>
                <w:szCs w:val="22"/>
              </w:rPr>
              <w:t>:</w:t>
            </w:r>
            <w:r w:rsidRPr="00051880">
              <w:rPr>
                <w:color w:val="000000"/>
                <w:szCs w:val="22"/>
              </w:rPr>
              <w:t xml:space="preserve"> Hyponatrémia</w:t>
            </w:r>
          </w:p>
          <w:p w:rsidR="00BA558B" w:rsidRPr="00051880" w:rsidRDefault="00BA558B" w:rsidP="00DF1CD8">
            <w:pPr>
              <w:spacing w:line="240" w:lineRule="auto"/>
              <w:rPr>
                <w:color w:val="000000"/>
                <w:szCs w:val="22"/>
                <w:u w:val="single"/>
              </w:rPr>
            </w:pPr>
            <w:r w:rsidRPr="00051880">
              <w:rPr>
                <w:i/>
                <w:szCs w:val="22"/>
              </w:rPr>
              <w:t>zriedkavé</w:t>
            </w:r>
            <w:r w:rsidRPr="00051880">
              <w:rPr>
                <w:szCs w:val="22"/>
              </w:rPr>
              <w:t>:</w:t>
            </w:r>
            <w:r w:rsidRPr="00051880">
              <w:rPr>
                <w:color w:val="000000"/>
                <w:szCs w:val="22"/>
              </w:rPr>
              <w:t xml:space="preserve"> Hyperglykémia </w:t>
            </w:r>
          </w:p>
        </w:tc>
      </w:tr>
      <w:tr w:rsidR="00BA558B" w:rsidRPr="00051880" w:rsidTr="00BA558B">
        <w:tc>
          <w:tcPr>
            <w:tcW w:w="2547" w:type="dxa"/>
            <w:shd w:val="clear" w:color="auto" w:fill="auto"/>
          </w:tcPr>
          <w:p w:rsidR="00BA558B" w:rsidRPr="00051880" w:rsidRDefault="00BA558B" w:rsidP="00DF1CD8">
            <w:pPr>
              <w:spacing w:line="240" w:lineRule="auto"/>
              <w:rPr>
                <w:color w:val="000000"/>
                <w:szCs w:val="22"/>
                <w:u w:val="single"/>
              </w:rPr>
            </w:pPr>
            <w:r w:rsidRPr="00051880">
              <w:rPr>
                <w:color w:val="000000"/>
                <w:szCs w:val="22"/>
              </w:rPr>
              <w:t>Poruchy nervového systému</w:t>
            </w:r>
          </w:p>
        </w:tc>
        <w:tc>
          <w:tcPr>
            <w:tcW w:w="7059" w:type="dxa"/>
            <w:shd w:val="clear" w:color="auto" w:fill="auto"/>
          </w:tcPr>
          <w:p w:rsidR="00BA558B" w:rsidRPr="00051880" w:rsidRDefault="00BA558B" w:rsidP="00DF1CD8">
            <w:pPr>
              <w:spacing w:line="240" w:lineRule="auto"/>
              <w:rPr>
                <w:color w:val="000000"/>
                <w:szCs w:val="22"/>
              </w:rPr>
            </w:pPr>
            <w:r w:rsidRPr="00051880">
              <w:rPr>
                <w:i/>
                <w:szCs w:val="22"/>
              </w:rPr>
              <w:t>menej časté</w:t>
            </w:r>
            <w:r w:rsidRPr="00051880">
              <w:rPr>
                <w:szCs w:val="22"/>
              </w:rPr>
              <w:t>:</w:t>
            </w:r>
            <w:r w:rsidRPr="00051880">
              <w:rPr>
                <w:color w:val="000000"/>
                <w:szCs w:val="22"/>
              </w:rPr>
              <w:t xml:space="preserve"> Mozgová ischémi</w:t>
            </w:r>
            <w:r w:rsidR="00941D55" w:rsidRPr="00051880">
              <w:rPr>
                <w:color w:val="000000"/>
                <w:szCs w:val="22"/>
              </w:rPr>
              <w:t>a</w:t>
            </w:r>
            <w:r w:rsidRPr="00051880">
              <w:rPr>
                <w:color w:val="000000"/>
                <w:szCs w:val="22"/>
              </w:rPr>
              <w:t>, bolesti hlavy</w:t>
            </w:r>
          </w:p>
          <w:p w:rsidR="00BA558B" w:rsidRPr="00051880" w:rsidRDefault="00BA558B" w:rsidP="00DF1CD8">
            <w:pPr>
              <w:spacing w:line="240" w:lineRule="auto"/>
              <w:rPr>
                <w:color w:val="000000"/>
                <w:szCs w:val="22"/>
                <w:u w:val="single"/>
              </w:rPr>
            </w:pPr>
            <w:r w:rsidRPr="00051880">
              <w:rPr>
                <w:i/>
                <w:szCs w:val="22"/>
              </w:rPr>
              <w:t>zriedkavé</w:t>
            </w:r>
            <w:r w:rsidRPr="00051880">
              <w:rPr>
                <w:szCs w:val="22"/>
              </w:rPr>
              <w:t>:</w:t>
            </w:r>
            <w:r w:rsidRPr="00051880">
              <w:rPr>
                <w:color w:val="000000"/>
                <w:szCs w:val="22"/>
              </w:rPr>
              <w:t xml:space="preserve">  Mozgový infarkt, cievna mozgová príhoda, záchvaty </w:t>
            </w:r>
          </w:p>
        </w:tc>
      </w:tr>
      <w:tr w:rsidR="00BA558B" w:rsidRPr="00051880" w:rsidTr="00BA558B">
        <w:tc>
          <w:tcPr>
            <w:tcW w:w="2547" w:type="dxa"/>
            <w:shd w:val="clear" w:color="auto" w:fill="auto"/>
          </w:tcPr>
          <w:p w:rsidR="00BA558B" w:rsidRPr="00051880" w:rsidRDefault="00BA558B" w:rsidP="00DF1CD8">
            <w:pPr>
              <w:spacing w:line="240" w:lineRule="auto"/>
              <w:rPr>
                <w:color w:val="000000"/>
                <w:szCs w:val="22"/>
                <w:u w:val="single"/>
              </w:rPr>
            </w:pPr>
            <w:r w:rsidRPr="00051880">
              <w:rPr>
                <w:color w:val="000000"/>
                <w:szCs w:val="22"/>
              </w:rPr>
              <w:t>Poruchy srdca</w:t>
            </w:r>
            <w:r w:rsidR="001A3FF2" w:rsidRPr="00051880">
              <w:rPr>
                <w:color w:val="000000"/>
                <w:szCs w:val="22"/>
              </w:rPr>
              <w:t xml:space="preserve"> a srdcovej činnosti</w:t>
            </w:r>
          </w:p>
        </w:tc>
        <w:tc>
          <w:tcPr>
            <w:tcW w:w="7059" w:type="dxa"/>
            <w:shd w:val="clear" w:color="auto" w:fill="auto"/>
          </w:tcPr>
          <w:p w:rsidR="00BA558B" w:rsidRPr="00051880" w:rsidRDefault="00BA558B" w:rsidP="00DF1CD8">
            <w:pPr>
              <w:spacing w:line="240" w:lineRule="auto"/>
              <w:rPr>
                <w:color w:val="000000"/>
                <w:szCs w:val="22"/>
              </w:rPr>
            </w:pPr>
            <w:r w:rsidRPr="00051880">
              <w:rPr>
                <w:i/>
                <w:color w:val="000000"/>
                <w:szCs w:val="22"/>
              </w:rPr>
              <w:t xml:space="preserve">časté: </w:t>
            </w:r>
            <w:r w:rsidRPr="00051880">
              <w:rPr>
                <w:color w:val="000000"/>
                <w:szCs w:val="22"/>
              </w:rPr>
              <w:t>Bradykardia</w:t>
            </w:r>
          </w:p>
          <w:p w:rsidR="00BA558B" w:rsidRPr="00051880" w:rsidRDefault="00BA558B" w:rsidP="00DF1CD8">
            <w:pPr>
              <w:spacing w:line="240" w:lineRule="auto"/>
              <w:rPr>
                <w:color w:val="000000"/>
                <w:szCs w:val="22"/>
              </w:rPr>
            </w:pPr>
            <w:r w:rsidRPr="00051880">
              <w:rPr>
                <w:i/>
                <w:szCs w:val="22"/>
              </w:rPr>
              <w:t>menej časté</w:t>
            </w:r>
            <w:r w:rsidRPr="00051880">
              <w:rPr>
                <w:szCs w:val="22"/>
              </w:rPr>
              <w:t>:</w:t>
            </w:r>
            <w:r w:rsidRPr="00051880">
              <w:rPr>
                <w:color w:val="000000"/>
                <w:szCs w:val="22"/>
              </w:rPr>
              <w:t xml:space="preserve">  Zastavenie srdca, sínusové zastavenie, tachykardia</w:t>
            </w:r>
          </w:p>
          <w:p w:rsidR="00BA558B" w:rsidRPr="00051880" w:rsidRDefault="00BA558B" w:rsidP="00DF1CD8">
            <w:pPr>
              <w:spacing w:line="240" w:lineRule="auto"/>
              <w:rPr>
                <w:color w:val="000000"/>
                <w:szCs w:val="22"/>
                <w:u w:val="single"/>
              </w:rPr>
            </w:pPr>
            <w:r w:rsidRPr="00051880">
              <w:rPr>
                <w:i/>
                <w:szCs w:val="22"/>
              </w:rPr>
              <w:t>zriedkavé</w:t>
            </w:r>
            <w:r w:rsidRPr="00051880">
              <w:rPr>
                <w:szCs w:val="22"/>
              </w:rPr>
              <w:t>:</w:t>
            </w:r>
            <w:r w:rsidRPr="00051880">
              <w:rPr>
                <w:color w:val="000000"/>
                <w:szCs w:val="22"/>
              </w:rPr>
              <w:t xml:space="preserve">  Infarkt myokardu, komorová tachykardia, fibrilácia predsiení, syndróm nízkeho srdcového výdaja, atrioventrikulárny blok, blok pravého ramienka, supraventrikulárna extrasystola, ventrikulárna extrasystola</w:t>
            </w:r>
          </w:p>
        </w:tc>
      </w:tr>
      <w:tr w:rsidR="00BA558B" w:rsidRPr="00051880" w:rsidTr="00BA558B">
        <w:tc>
          <w:tcPr>
            <w:tcW w:w="2547" w:type="dxa"/>
            <w:shd w:val="clear" w:color="auto" w:fill="auto"/>
          </w:tcPr>
          <w:p w:rsidR="00BA558B" w:rsidRPr="00051880" w:rsidRDefault="00BA558B" w:rsidP="00DF1CD8">
            <w:pPr>
              <w:spacing w:line="240" w:lineRule="auto"/>
              <w:rPr>
                <w:color w:val="000000"/>
                <w:szCs w:val="22"/>
              </w:rPr>
            </w:pPr>
            <w:r w:rsidRPr="00051880">
              <w:rPr>
                <w:color w:val="000000"/>
                <w:szCs w:val="22"/>
              </w:rPr>
              <w:t>Poruchy ciev</w:t>
            </w:r>
          </w:p>
          <w:p w:rsidR="00BA558B" w:rsidRPr="00051880" w:rsidRDefault="00BA558B" w:rsidP="00DF1CD8">
            <w:pPr>
              <w:spacing w:line="240" w:lineRule="auto"/>
              <w:rPr>
                <w:color w:val="000000"/>
                <w:szCs w:val="22"/>
                <w:u w:val="single"/>
              </w:rPr>
            </w:pPr>
          </w:p>
        </w:tc>
        <w:tc>
          <w:tcPr>
            <w:tcW w:w="7059" w:type="dxa"/>
            <w:shd w:val="clear" w:color="auto" w:fill="auto"/>
          </w:tcPr>
          <w:p w:rsidR="00BA558B" w:rsidRPr="00051880" w:rsidRDefault="00BA558B" w:rsidP="00DF1CD8">
            <w:pPr>
              <w:spacing w:line="240" w:lineRule="auto"/>
              <w:rPr>
                <w:color w:val="000000"/>
                <w:szCs w:val="22"/>
              </w:rPr>
            </w:pPr>
            <w:r w:rsidRPr="00051880">
              <w:rPr>
                <w:i/>
                <w:color w:val="000000"/>
                <w:szCs w:val="22"/>
              </w:rPr>
              <w:t>časté:</w:t>
            </w:r>
            <w:r w:rsidRPr="00051880">
              <w:rPr>
                <w:color w:val="000000"/>
                <w:szCs w:val="22"/>
              </w:rPr>
              <w:t xml:space="preserve"> Hypotenzia</w:t>
            </w:r>
          </w:p>
          <w:p w:rsidR="00BA558B" w:rsidRPr="00051880" w:rsidRDefault="00BA558B" w:rsidP="00DF1CD8">
            <w:pPr>
              <w:spacing w:line="240" w:lineRule="auto"/>
              <w:rPr>
                <w:color w:val="000000"/>
                <w:szCs w:val="22"/>
              </w:rPr>
            </w:pPr>
            <w:r w:rsidRPr="00051880">
              <w:rPr>
                <w:i/>
                <w:szCs w:val="22"/>
              </w:rPr>
              <w:t>menej časté</w:t>
            </w:r>
            <w:r w:rsidRPr="00051880">
              <w:rPr>
                <w:szCs w:val="22"/>
              </w:rPr>
              <w:t>:</w:t>
            </w:r>
            <w:r w:rsidRPr="00051880">
              <w:rPr>
                <w:color w:val="000000"/>
                <w:szCs w:val="22"/>
              </w:rPr>
              <w:t xml:space="preserve"> Vysoký krvný tlak</w:t>
            </w:r>
          </w:p>
          <w:p w:rsidR="00BA558B" w:rsidRPr="00051880" w:rsidRDefault="00BA558B" w:rsidP="00DF1CD8">
            <w:pPr>
              <w:spacing w:line="240" w:lineRule="auto"/>
              <w:rPr>
                <w:color w:val="000000"/>
                <w:szCs w:val="22"/>
                <w:u w:val="single"/>
              </w:rPr>
            </w:pPr>
            <w:r w:rsidRPr="00051880">
              <w:rPr>
                <w:i/>
                <w:szCs w:val="22"/>
              </w:rPr>
              <w:t>zriedkavé</w:t>
            </w:r>
            <w:r w:rsidRPr="00051880">
              <w:rPr>
                <w:szCs w:val="22"/>
              </w:rPr>
              <w:t>:</w:t>
            </w:r>
            <w:r w:rsidRPr="00051880">
              <w:rPr>
                <w:color w:val="000000"/>
                <w:szCs w:val="22"/>
              </w:rPr>
              <w:t xml:space="preserve">  Šok, návaly horúčavy</w:t>
            </w:r>
          </w:p>
        </w:tc>
      </w:tr>
      <w:tr w:rsidR="00BA558B" w:rsidRPr="00051880" w:rsidTr="00BA558B">
        <w:tc>
          <w:tcPr>
            <w:tcW w:w="2547" w:type="dxa"/>
            <w:shd w:val="clear" w:color="auto" w:fill="auto"/>
          </w:tcPr>
          <w:p w:rsidR="00BA558B" w:rsidRPr="00051880" w:rsidRDefault="00BA558B" w:rsidP="00DF1CD8">
            <w:pPr>
              <w:spacing w:line="240" w:lineRule="auto"/>
              <w:rPr>
                <w:color w:val="000000"/>
                <w:szCs w:val="22"/>
                <w:u w:val="single"/>
              </w:rPr>
            </w:pPr>
            <w:r w:rsidRPr="00051880">
              <w:rPr>
                <w:color w:val="000000"/>
                <w:szCs w:val="22"/>
              </w:rPr>
              <w:t>Poruchy dýchacej sústavy, hrudníka a mediastína</w:t>
            </w:r>
          </w:p>
        </w:tc>
        <w:tc>
          <w:tcPr>
            <w:tcW w:w="7059" w:type="dxa"/>
            <w:shd w:val="clear" w:color="auto" w:fill="auto"/>
          </w:tcPr>
          <w:p w:rsidR="00BA558B" w:rsidRPr="00051880" w:rsidRDefault="00BA558B" w:rsidP="00DF1CD8">
            <w:pPr>
              <w:spacing w:line="240" w:lineRule="auto"/>
              <w:rPr>
                <w:color w:val="000000"/>
                <w:szCs w:val="22"/>
              </w:rPr>
            </w:pPr>
            <w:r w:rsidRPr="00051880">
              <w:rPr>
                <w:i/>
                <w:szCs w:val="22"/>
              </w:rPr>
              <w:t>menej časté</w:t>
            </w:r>
            <w:r w:rsidRPr="00051880">
              <w:rPr>
                <w:szCs w:val="22"/>
              </w:rPr>
              <w:t>:</w:t>
            </w:r>
            <w:r w:rsidRPr="00051880">
              <w:rPr>
                <w:color w:val="000000"/>
                <w:szCs w:val="22"/>
              </w:rPr>
              <w:t xml:space="preserve"> Pľúcny edém</w:t>
            </w:r>
          </w:p>
          <w:p w:rsidR="00BA558B" w:rsidRPr="00051880" w:rsidRDefault="00BA558B" w:rsidP="00DF1CD8">
            <w:pPr>
              <w:spacing w:line="240" w:lineRule="auto"/>
              <w:rPr>
                <w:color w:val="000000"/>
                <w:szCs w:val="22"/>
                <w:u w:val="single"/>
              </w:rPr>
            </w:pPr>
            <w:r w:rsidRPr="00051880">
              <w:rPr>
                <w:i/>
                <w:szCs w:val="22"/>
              </w:rPr>
              <w:t>zriedkavé</w:t>
            </w:r>
            <w:r w:rsidRPr="00051880">
              <w:rPr>
                <w:szCs w:val="22"/>
              </w:rPr>
              <w:t>:</w:t>
            </w:r>
            <w:r w:rsidRPr="00051880">
              <w:rPr>
                <w:color w:val="000000"/>
                <w:szCs w:val="22"/>
              </w:rPr>
              <w:t xml:space="preserve"> Astma, syndróm respiračnej tiesne, poruchy dýchania, bronchospazmus, dýchavičnosť, hypoxia </w:t>
            </w:r>
          </w:p>
        </w:tc>
      </w:tr>
      <w:tr w:rsidR="00BA558B" w:rsidRPr="00051880" w:rsidTr="00BA558B">
        <w:tc>
          <w:tcPr>
            <w:tcW w:w="2547" w:type="dxa"/>
            <w:shd w:val="clear" w:color="auto" w:fill="auto"/>
          </w:tcPr>
          <w:p w:rsidR="00BA558B" w:rsidRPr="00051880" w:rsidRDefault="00BA558B" w:rsidP="00DF1CD8">
            <w:pPr>
              <w:spacing w:line="240" w:lineRule="auto"/>
              <w:rPr>
                <w:color w:val="000000"/>
                <w:szCs w:val="22"/>
                <w:u w:val="single"/>
              </w:rPr>
            </w:pPr>
            <w:r w:rsidRPr="00051880">
              <w:rPr>
                <w:color w:val="000000"/>
                <w:szCs w:val="22"/>
              </w:rPr>
              <w:t>Poruchy gastrointestinálneho traktu</w:t>
            </w:r>
          </w:p>
        </w:tc>
        <w:tc>
          <w:tcPr>
            <w:tcW w:w="7059" w:type="dxa"/>
            <w:shd w:val="clear" w:color="auto" w:fill="auto"/>
          </w:tcPr>
          <w:p w:rsidR="00BA558B" w:rsidRPr="00051880" w:rsidRDefault="00BA558B" w:rsidP="00DF1CD8">
            <w:pPr>
              <w:spacing w:line="240" w:lineRule="auto"/>
              <w:rPr>
                <w:color w:val="000000"/>
                <w:szCs w:val="22"/>
              </w:rPr>
            </w:pPr>
            <w:r w:rsidRPr="00051880">
              <w:rPr>
                <w:i/>
                <w:szCs w:val="22"/>
              </w:rPr>
              <w:t>menej časté</w:t>
            </w:r>
            <w:r w:rsidRPr="00051880">
              <w:rPr>
                <w:szCs w:val="22"/>
              </w:rPr>
              <w:t>:</w:t>
            </w:r>
            <w:r w:rsidRPr="00051880">
              <w:rPr>
                <w:color w:val="000000"/>
                <w:szCs w:val="22"/>
              </w:rPr>
              <w:t xml:space="preserve"> </w:t>
            </w:r>
            <w:r w:rsidR="001A3FF2" w:rsidRPr="00051880">
              <w:rPr>
                <w:color w:val="000000"/>
                <w:szCs w:val="22"/>
              </w:rPr>
              <w:t>V</w:t>
            </w:r>
            <w:r w:rsidRPr="00051880">
              <w:rPr>
                <w:color w:val="000000"/>
                <w:szCs w:val="22"/>
              </w:rPr>
              <w:t>racanie, nevoľnosť</w:t>
            </w:r>
          </w:p>
          <w:p w:rsidR="00BA558B" w:rsidRPr="00051880" w:rsidRDefault="00BA558B" w:rsidP="001A3FF2">
            <w:pPr>
              <w:spacing w:line="240" w:lineRule="auto"/>
              <w:rPr>
                <w:color w:val="000000"/>
                <w:szCs w:val="22"/>
                <w:u w:val="single"/>
              </w:rPr>
            </w:pPr>
            <w:r w:rsidRPr="00051880">
              <w:rPr>
                <w:i/>
                <w:szCs w:val="22"/>
              </w:rPr>
              <w:t>zriedkavé</w:t>
            </w:r>
            <w:r w:rsidRPr="00051880">
              <w:rPr>
                <w:szCs w:val="22"/>
              </w:rPr>
              <w:t>:</w:t>
            </w:r>
            <w:r w:rsidRPr="00051880">
              <w:rPr>
                <w:color w:val="000000"/>
                <w:szCs w:val="22"/>
              </w:rPr>
              <w:t xml:space="preserve"> </w:t>
            </w:r>
            <w:r w:rsidR="001A3FF2" w:rsidRPr="00051880">
              <w:rPr>
                <w:color w:val="000000"/>
                <w:szCs w:val="22"/>
              </w:rPr>
              <w:t>Tráviace</w:t>
            </w:r>
            <w:r w:rsidRPr="00051880">
              <w:rPr>
                <w:color w:val="000000"/>
                <w:szCs w:val="22"/>
              </w:rPr>
              <w:t xml:space="preserve"> ťažkosti, výtok z úst, zápach z úst</w:t>
            </w:r>
          </w:p>
        </w:tc>
      </w:tr>
      <w:tr w:rsidR="00BA558B" w:rsidRPr="00051880" w:rsidTr="00BA558B">
        <w:tc>
          <w:tcPr>
            <w:tcW w:w="2547" w:type="dxa"/>
            <w:shd w:val="clear" w:color="auto" w:fill="auto"/>
          </w:tcPr>
          <w:p w:rsidR="00BA558B" w:rsidRPr="00051880" w:rsidRDefault="00BA558B" w:rsidP="00DF1CD8">
            <w:pPr>
              <w:spacing w:line="240" w:lineRule="auto"/>
              <w:rPr>
                <w:color w:val="000000"/>
                <w:szCs w:val="22"/>
              </w:rPr>
            </w:pPr>
            <w:r w:rsidRPr="00051880">
              <w:rPr>
                <w:color w:val="000000"/>
                <w:szCs w:val="22"/>
              </w:rPr>
              <w:t>Poruchy pečene a žlčových ciest</w:t>
            </w:r>
          </w:p>
        </w:tc>
        <w:tc>
          <w:tcPr>
            <w:tcW w:w="7059" w:type="dxa"/>
            <w:shd w:val="clear" w:color="auto" w:fill="auto"/>
          </w:tcPr>
          <w:p w:rsidR="00BA558B" w:rsidRPr="00051880" w:rsidRDefault="00BA558B" w:rsidP="00DF1CD8">
            <w:pPr>
              <w:spacing w:line="240" w:lineRule="auto"/>
              <w:rPr>
                <w:color w:val="000000"/>
                <w:szCs w:val="22"/>
              </w:rPr>
            </w:pPr>
            <w:r w:rsidRPr="00051880">
              <w:rPr>
                <w:i/>
                <w:szCs w:val="22"/>
              </w:rPr>
              <w:t>menej časté</w:t>
            </w:r>
            <w:r w:rsidRPr="00051880">
              <w:rPr>
                <w:szCs w:val="22"/>
              </w:rPr>
              <w:t>:</w:t>
            </w:r>
            <w:r w:rsidRPr="00051880">
              <w:rPr>
                <w:color w:val="000000"/>
                <w:szCs w:val="22"/>
              </w:rPr>
              <w:t xml:space="preserve"> Porucha pečene</w:t>
            </w:r>
          </w:p>
          <w:p w:rsidR="00BA558B" w:rsidRPr="00051880" w:rsidRDefault="00BA558B" w:rsidP="00DF1CD8">
            <w:pPr>
              <w:spacing w:line="240" w:lineRule="auto"/>
              <w:rPr>
                <w:i/>
                <w:color w:val="000000"/>
                <w:szCs w:val="22"/>
              </w:rPr>
            </w:pPr>
            <w:r w:rsidRPr="00051880">
              <w:rPr>
                <w:i/>
                <w:szCs w:val="22"/>
              </w:rPr>
              <w:t>zriedkavé</w:t>
            </w:r>
            <w:r w:rsidRPr="00051880">
              <w:rPr>
                <w:szCs w:val="22"/>
              </w:rPr>
              <w:t>:</w:t>
            </w:r>
            <w:r w:rsidRPr="00051880">
              <w:rPr>
                <w:color w:val="000000"/>
                <w:szCs w:val="22"/>
              </w:rPr>
              <w:t xml:space="preserve"> Hyperbilirubinémia </w:t>
            </w:r>
          </w:p>
        </w:tc>
      </w:tr>
      <w:tr w:rsidR="00BA558B" w:rsidRPr="00051880" w:rsidTr="00BA558B">
        <w:tc>
          <w:tcPr>
            <w:tcW w:w="2547" w:type="dxa"/>
            <w:shd w:val="clear" w:color="auto" w:fill="auto"/>
          </w:tcPr>
          <w:p w:rsidR="00BA558B" w:rsidRPr="00051880" w:rsidRDefault="00BA558B" w:rsidP="00DF1CD8">
            <w:pPr>
              <w:spacing w:line="240" w:lineRule="auto"/>
              <w:rPr>
                <w:color w:val="000000"/>
                <w:szCs w:val="22"/>
              </w:rPr>
            </w:pPr>
            <w:r w:rsidRPr="00051880">
              <w:rPr>
                <w:color w:val="000000"/>
                <w:szCs w:val="22"/>
              </w:rPr>
              <w:t>Poruchy kože a podkožného tkaniva</w:t>
            </w:r>
          </w:p>
        </w:tc>
        <w:tc>
          <w:tcPr>
            <w:tcW w:w="7059" w:type="dxa"/>
            <w:shd w:val="clear" w:color="auto" w:fill="auto"/>
          </w:tcPr>
          <w:p w:rsidR="00BA558B" w:rsidRPr="00051880" w:rsidRDefault="00BA558B" w:rsidP="00DF1CD8">
            <w:pPr>
              <w:tabs>
                <w:tab w:val="clear" w:pos="567"/>
              </w:tabs>
              <w:spacing w:line="240" w:lineRule="auto"/>
              <w:rPr>
                <w:i/>
                <w:color w:val="000000"/>
                <w:szCs w:val="22"/>
              </w:rPr>
            </w:pPr>
            <w:r w:rsidRPr="00051880">
              <w:rPr>
                <w:i/>
                <w:szCs w:val="22"/>
              </w:rPr>
              <w:t>zriedkavé</w:t>
            </w:r>
            <w:r w:rsidRPr="00051880">
              <w:rPr>
                <w:szCs w:val="22"/>
              </w:rPr>
              <w:t>:</w:t>
            </w:r>
            <w:r w:rsidRPr="00051880">
              <w:rPr>
                <w:color w:val="000000"/>
                <w:szCs w:val="22"/>
              </w:rPr>
              <w:t xml:space="preserve"> Erytém, studený pot</w:t>
            </w:r>
          </w:p>
        </w:tc>
      </w:tr>
      <w:tr w:rsidR="00BA558B" w:rsidRPr="00051880" w:rsidTr="00BA558B">
        <w:tc>
          <w:tcPr>
            <w:tcW w:w="2547" w:type="dxa"/>
            <w:shd w:val="clear" w:color="auto" w:fill="auto"/>
          </w:tcPr>
          <w:p w:rsidR="00BA558B" w:rsidRPr="00051880" w:rsidRDefault="00BA558B" w:rsidP="001A3FF2">
            <w:pPr>
              <w:spacing w:line="240" w:lineRule="auto"/>
              <w:rPr>
                <w:color w:val="000000"/>
                <w:szCs w:val="22"/>
              </w:rPr>
            </w:pPr>
            <w:r w:rsidRPr="00051880">
              <w:rPr>
                <w:color w:val="000000"/>
                <w:szCs w:val="22"/>
              </w:rPr>
              <w:t>Poruchy kostrov</w:t>
            </w:r>
            <w:r w:rsidR="001A3FF2" w:rsidRPr="00051880">
              <w:rPr>
                <w:color w:val="000000"/>
                <w:szCs w:val="22"/>
              </w:rPr>
              <w:t>ej a svalovej sústavy a spojivového tkaniva</w:t>
            </w:r>
          </w:p>
        </w:tc>
        <w:tc>
          <w:tcPr>
            <w:tcW w:w="7059" w:type="dxa"/>
            <w:shd w:val="clear" w:color="auto" w:fill="auto"/>
          </w:tcPr>
          <w:p w:rsidR="00BA558B" w:rsidRPr="00051880" w:rsidRDefault="00BA558B" w:rsidP="00DF1CD8">
            <w:pPr>
              <w:spacing w:line="240" w:lineRule="auto"/>
              <w:rPr>
                <w:color w:val="000000"/>
                <w:szCs w:val="22"/>
              </w:rPr>
            </w:pPr>
            <w:r w:rsidRPr="00051880">
              <w:rPr>
                <w:i/>
                <w:color w:val="000000"/>
                <w:szCs w:val="22"/>
              </w:rPr>
              <w:t>zriedkavé:</w:t>
            </w:r>
            <w:r w:rsidRPr="00051880">
              <w:rPr>
                <w:color w:val="000000"/>
                <w:szCs w:val="22"/>
              </w:rPr>
              <w:t xml:space="preserve"> Svalové kŕče</w:t>
            </w:r>
          </w:p>
        </w:tc>
      </w:tr>
      <w:tr w:rsidR="00BA558B" w:rsidRPr="00051880" w:rsidTr="00BA558B">
        <w:tc>
          <w:tcPr>
            <w:tcW w:w="2547" w:type="dxa"/>
            <w:shd w:val="clear" w:color="auto" w:fill="auto"/>
          </w:tcPr>
          <w:p w:rsidR="00BA558B" w:rsidRPr="00051880" w:rsidRDefault="00BA558B" w:rsidP="00DF1CD8">
            <w:pPr>
              <w:spacing w:line="240" w:lineRule="auto"/>
              <w:rPr>
                <w:color w:val="000000"/>
                <w:szCs w:val="22"/>
              </w:rPr>
            </w:pPr>
            <w:r w:rsidRPr="00051880">
              <w:rPr>
                <w:color w:val="000000"/>
                <w:szCs w:val="22"/>
              </w:rPr>
              <w:t>Poruchy obličiek a močových ciest</w:t>
            </w:r>
          </w:p>
        </w:tc>
        <w:tc>
          <w:tcPr>
            <w:tcW w:w="7059" w:type="dxa"/>
            <w:shd w:val="clear" w:color="auto" w:fill="auto"/>
          </w:tcPr>
          <w:p w:rsidR="00BA558B" w:rsidRPr="00051880" w:rsidRDefault="00BA558B" w:rsidP="00DF1CD8">
            <w:pPr>
              <w:spacing w:line="240" w:lineRule="auto"/>
              <w:rPr>
                <w:i/>
                <w:color w:val="000000"/>
                <w:szCs w:val="22"/>
              </w:rPr>
            </w:pPr>
            <w:r w:rsidRPr="00051880">
              <w:rPr>
                <w:i/>
                <w:color w:val="000000"/>
                <w:szCs w:val="22"/>
              </w:rPr>
              <w:t xml:space="preserve">zriedkavé: </w:t>
            </w:r>
            <w:r w:rsidRPr="00051880">
              <w:rPr>
                <w:color w:val="000000"/>
                <w:szCs w:val="22"/>
              </w:rPr>
              <w:t>Zlyhanie obličiek, akútne zlyhanie obličiek, oligúria</w:t>
            </w:r>
          </w:p>
        </w:tc>
      </w:tr>
      <w:tr w:rsidR="00BA558B" w:rsidRPr="00051880" w:rsidTr="00BA558B">
        <w:tc>
          <w:tcPr>
            <w:tcW w:w="2547" w:type="dxa"/>
            <w:shd w:val="clear" w:color="auto" w:fill="auto"/>
          </w:tcPr>
          <w:p w:rsidR="00BA558B" w:rsidRPr="00051880" w:rsidRDefault="00BA558B" w:rsidP="00DF1CD8">
            <w:pPr>
              <w:spacing w:line="240" w:lineRule="auto"/>
              <w:rPr>
                <w:color w:val="000000"/>
                <w:szCs w:val="22"/>
              </w:rPr>
            </w:pPr>
            <w:r w:rsidRPr="00051880">
              <w:rPr>
                <w:color w:val="000000"/>
                <w:szCs w:val="22"/>
              </w:rPr>
              <w:t>Celkové poruchy a reakcie v mieste podania</w:t>
            </w:r>
          </w:p>
        </w:tc>
        <w:tc>
          <w:tcPr>
            <w:tcW w:w="7059" w:type="dxa"/>
            <w:shd w:val="clear" w:color="auto" w:fill="auto"/>
          </w:tcPr>
          <w:p w:rsidR="00BA558B" w:rsidRPr="00051880" w:rsidRDefault="00BA558B" w:rsidP="00DF1CD8">
            <w:pPr>
              <w:spacing w:line="240" w:lineRule="auto"/>
              <w:rPr>
                <w:color w:val="000000"/>
                <w:szCs w:val="22"/>
              </w:rPr>
            </w:pPr>
            <w:r w:rsidRPr="00051880">
              <w:rPr>
                <w:i/>
                <w:szCs w:val="22"/>
              </w:rPr>
              <w:t>zriedkavé</w:t>
            </w:r>
            <w:r w:rsidRPr="00051880">
              <w:rPr>
                <w:szCs w:val="22"/>
              </w:rPr>
              <w:t>:</w:t>
            </w:r>
            <w:r w:rsidRPr="00051880">
              <w:rPr>
                <w:color w:val="000000"/>
                <w:szCs w:val="22"/>
              </w:rPr>
              <w:t xml:space="preserve">  Horúčka, zimnica, nepríjemný pocit na hrudi, bolesť v mieste podania</w:t>
            </w:r>
          </w:p>
          <w:p w:rsidR="00BA558B" w:rsidRPr="00051880" w:rsidRDefault="00BA558B" w:rsidP="00DF1CD8">
            <w:pPr>
              <w:spacing w:line="240" w:lineRule="auto"/>
              <w:rPr>
                <w:i/>
                <w:color w:val="000000"/>
                <w:szCs w:val="22"/>
              </w:rPr>
            </w:pPr>
            <w:r w:rsidRPr="00051880">
              <w:rPr>
                <w:i/>
                <w:szCs w:val="22"/>
              </w:rPr>
              <w:t>neznáme</w:t>
            </w:r>
            <w:r w:rsidRPr="00051880">
              <w:rPr>
                <w:szCs w:val="22"/>
              </w:rPr>
              <w:t>:</w:t>
            </w:r>
            <w:r w:rsidRPr="00051880">
              <w:rPr>
                <w:color w:val="000000"/>
                <w:szCs w:val="22"/>
              </w:rPr>
              <w:t xml:space="preserve"> Bolesť v mieste aplikácie, reakcia v mieste vpichu, pocit tlaku</w:t>
            </w:r>
          </w:p>
        </w:tc>
      </w:tr>
      <w:tr w:rsidR="00BA558B" w:rsidRPr="00051880" w:rsidTr="00BA558B">
        <w:tc>
          <w:tcPr>
            <w:tcW w:w="2547" w:type="dxa"/>
            <w:shd w:val="clear" w:color="auto" w:fill="auto"/>
          </w:tcPr>
          <w:p w:rsidR="00BA558B" w:rsidRPr="00051880" w:rsidRDefault="001A3FF2" w:rsidP="00DF1CD8">
            <w:pPr>
              <w:spacing w:line="240" w:lineRule="auto"/>
              <w:rPr>
                <w:color w:val="000000"/>
                <w:szCs w:val="22"/>
              </w:rPr>
            </w:pPr>
            <w:r w:rsidRPr="00051880">
              <w:rPr>
                <w:color w:val="000000"/>
                <w:szCs w:val="22"/>
              </w:rPr>
              <w:t>Laboratórne a funkčné v</w:t>
            </w:r>
            <w:r w:rsidR="00BA558B" w:rsidRPr="00051880">
              <w:rPr>
                <w:color w:val="000000"/>
                <w:szCs w:val="22"/>
              </w:rPr>
              <w:t>yšetrenia</w:t>
            </w:r>
          </w:p>
        </w:tc>
        <w:tc>
          <w:tcPr>
            <w:tcW w:w="7059" w:type="dxa"/>
            <w:shd w:val="clear" w:color="auto" w:fill="auto"/>
          </w:tcPr>
          <w:p w:rsidR="00BA558B" w:rsidRPr="00051880" w:rsidRDefault="00BA558B" w:rsidP="00DF1CD8">
            <w:pPr>
              <w:spacing w:line="240" w:lineRule="auto"/>
              <w:rPr>
                <w:color w:val="000000"/>
                <w:szCs w:val="22"/>
              </w:rPr>
            </w:pPr>
            <w:r w:rsidRPr="00051880">
              <w:rPr>
                <w:i/>
                <w:szCs w:val="22"/>
              </w:rPr>
              <w:t>časté</w:t>
            </w:r>
            <w:r w:rsidRPr="00051880">
              <w:rPr>
                <w:szCs w:val="22"/>
              </w:rPr>
              <w:t>:</w:t>
            </w:r>
            <w:r w:rsidRPr="00051880">
              <w:rPr>
                <w:color w:val="000000"/>
                <w:szCs w:val="22"/>
              </w:rPr>
              <w:t xml:space="preserve"> Pokles krvného tlaku</w:t>
            </w:r>
          </w:p>
          <w:p w:rsidR="00BA558B" w:rsidRPr="00051880" w:rsidRDefault="00BA558B" w:rsidP="00DF1CD8">
            <w:pPr>
              <w:spacing w:line="240" w:lineRule="auto"/>
              <w:rPr>
                <w:color w:val="000000"/>
                <w:szCs w:val="22"/>
              </w:rPr>
            </w:pPr>
            <w:r w:rsidRPr="00051880">
              <w:rPr>
                <w:i/>
                <w:color w:val="000000"/>
                <w:szCs w:val="22"/>
              </w:rPr>
              <w:t>menej časté:</w:t>
            </w:r>
            <w:r w:rsidRPr="00051880">
              <w:rPr>
                <w:color w:val="000000"/>
                <w:szCs w:val="22"/>
              </w:rPr>
              <w:t xml:space="preserve">  Depresie segmentu ST na elektrokardiograme, abnormálne hodnoty srdcového indexu, abnormálne hodnoty alanínaminotransferázy (ALT/GPT), abnormálne hodnoty aspartátaminotransferázy (AST/GOT), abnormálne hodnoty bilirubínu v krvi, abnormálny počet bielych krviniek, abnormálny počet červených krviniek, abnormálne hodnoty hemoglobínu, abnormálne hodnoty hematokritu, abnormálny počet krvných doštičiek, abnormálne hodnoty laktátdehydrogenázy v krvi, abnormálne hodnoty močoviny v krvi, zvýšená hladina kreatinínu v krvi, abnormálne hodnoty kreatínfosfokinázy v krvi, abnormálne hodnoty celkového proteínu, abnormálne hodnoty albumínu v krvi, abnormálne hodnoty sodíka v krvi, abnormálne hodnoty draslíka v krvi, abnormálne hodnoty cholesterolu v krvi, abnormálne hodnoty triglyceridov v krvi, prítomnosť bielkoviny v moči</w:t>
            </w:r>
          </w:p>
          <w:p w:rsidR="00BA558B" w:rsidRPr="00051880" w:rsidRDefault="00BA558B" w:rsidP="001A3FF2">
            <w:pPr>
              <w:spacing w:line="240" w:lineRule="auto"/>
              <w:rPr>
                <w:color w:val="000000"/>
                <w:szCs w:val="22"/>
              </w:rPr>
            </w:pPr>
            <w:r w:rsidRPr="00051880">
              <w:rPr>
                <w:i/>
                <w:color w:val="000000"/>
                <w:szCs w:val="22"/>
              </w:rPr>
              <w:lastRenderedPageBreak/>
              <w:t>zriedkavé:</w:t>
            </w:r>
            <w:r w:rsidRPr="00051880">
              <w:rPr>
                <w:color w:val="000000"/>
                <w:szCs w:val="22"/>
              </w:rPr>
              <w:t xml:space="preserve"> Zvýšenie krvného tlaku, inverzia T vlny na elektrokardiograme, elektrokardiogram: predĺžený QRS komplex, zníženie srdcovej frekvencie, zvýšený pľúcny arteriálny tlak, znížená hodnota pO</w:t>
            </w:r>
            <w:r w:rsidRPr="00051880">
              <w:rPr>
                <w:color w:val="000000"/>
                <w:szCs w:val="22"/>
                <w:vertAlign w:val="subscript"/>
              </w:rPr>
              <w:t>2</w:t>
            </w:r>
            <w:r w:rsidRPr="00051880">
              <w:rPr>
                <w:color w:val="000000"/>
                <w:szCs w:val="22"/>
              </w:rPr>
              <w:t xml:space="preserve">, abnormálny počet neutrofilov, abnormálne hodnoty alkalickej fosfatázy v krvi, alkalická fosfatáza </w:t>
            </w:r>
            <w:r w:rsidR="001A3FF2" w:rsidRPr="00051880">
              <w:rPr>
                <w:color w:val="000000"/>
                <w:szCs w:val="22"/>
              </w:rPr>
              <w:t xml:space="preserve">v </w:t>
            </w:r>
            <w:r w:rsidRPr="00051880">
              <w:rPr>
                <w:color w:val="000000"/>
                <w:szCs w:val="22"/>
              </w:rPr>
              <w:t>leukocyto</w:t>
            </w:r>
            <w:r w:rsidR="001A3FF2" w:rsidRPr="00051880">
              <w:rPr>
                <w:color w:val="000000"/>
                <w:szCs w:val="22"/>
              </w:rPr>
              <w:t>ch</w:t>
            </w:r>
            <w:r w:rsidRPr="00051880">
              <w:rPr>
                <w:color w:val="000000"/>
                <w:szCs w:val="22"/>
              </w:rPr>
              <w:t>, abnormálne hodnoty voľných mastných kyselín, abnormálne hodnoty chloridu v krvi, glukóza v moči</w:t>
            </w:r>
          </w:p>
        </w:tc>
      </w:tr>
    </w:tbl>
    <w:p w:rsidR="00BA558B" w:rsidRPr="00051880" w:rsidRDefault="00BA558B" w:rsidP="00DF1CD8">
      <w:pPr>
        <w:tabs>
          <w:tab w:val="clear" w:pos="567"/>
        </w:tabs>
        <w:spacing w:line="240" w:lineRule="auto"/>
        <w:rPr>
          <w:bCs/>
          <w:color w:val="000000"/>
          <w:szCs w:val="22"/>
          <w:u w:val="single"/>
        </w:rPr>
      </w:pPr>
    </w:p>
    <w:p w:rsidR="00BA558B" w:rsidRPr="00051880" w:rsidRDefault="00BA558B" w:rsidP="00DF1CD8">
      <w:pPr>
        <w:numPr>
          <w:ilvl w:val="0"/>
          <w:numId w:val="40"/>
        </w:numPr>
        <w:spacing w:line="240" w:lineRule="auto"/>
        <w:rPr>
          <w:i/>
          <w:color w:val="000000"/>
          <w:szCs w:val="22"/>
          <w:u w:val="single"/>
        </w:rPr>
      </w:pPr>
      <w:r w:rsidRPr="00051880">
        <w:rPr>
          <w:i/>
          <w:color w:val="000000"/>
          <w:szCs w:val="22"/>
        </w:rPr>
        <w:t>Opis vybraných nežiaducich reakcií</w:t>
      </w:r>
    </w:p>
    <w:p w:rsidR="00BA558B" w:rsidRPr="00051880" w:rsidRDefault="00BA558B" w:rsidP="00DF1CD8">
      <w:pPr>
        <w:spacing w:line="240" w:lineRule="auto"/>
        <w:rPr>
          <w:color w:val="000000"/>
          <w:szCs w:val="22"/>
          <w:u w:val="single"/>
        </w:rPr>
      </w:pPr>
    </w:p>
    <w:p w:rsidR="00BA558B" w:rsidRPr="00051880" w:rsidRDefault="00BA558B" w:rsidP="00DF1CD8">
      <w:pPr>
        <w:tabs>
          <w:tab w:val="clear" w:pos="567"/>
        </w:tabs>
        <w:autoSpaceDE w:val="0"/>
        <w:autoSpaceDN w:val="0"/>
        <w:adjustRightInd w:val="0"/>
        <w:spacing w:line="240" w:lineRule="auto"/>
        <w:rPr>
          <w:szCs w:val="22"/>
        </w:rPr>
      </w:pPr>
      <w:r w:rsidRPr="00051880">
        <w:rPr>
          <w:szCs w:val="22"/>
        </w:rPr>
        <w:t xml:space="preserve">Hypotenzia a bradykardia (pozri </w:t>
      </w:r>
      <w:r w:rsidR="001A3FF2" w:rsidRPr="00051880">
        <w:rPr>
          <w:szCs w:val="22"/>
        </w:rPr>
        <w:t>tiež</w:t>
      </w:r>
      <w:r w:rsidRPr="00051880">
        <w:rPr>
          <w:szCs w:val="22"/>
        </w:rPr>
        <w:t xml:space="preserve"> časť 4.2) boli najčastejšími nežiaducimi účinkami, ktoré boli pozorované u pacientov liečených landiololom. Hypotenzia bola pozorovaná u 8,5 % z 948 pacientov liečených landiololom v kontrolovaných klinických štúdiách (v porovnaní s 2,1 % liečených placebom, 8,5 % liečených komparátormi a 5,7 % bez liečby) a u 8,6</w:t>
      </w:r>
      <w:r w:rsidR="00A747D9" w:rsidRPr="00051880">
        <w:rPr>
          <w:szCs w:val="22"/>
        </w:rPr>
        <w:t xml:space="preserve"> </w:t>
      </w:r>
      <w:r w:rsidRPr="00051880">
        <w:rPr>
          <w:szCs w:val="22"/>
        </w:rPr>
        <w:t>% z 581 pacientov v nekontrolovaných štúdiách. Bradykardia bola pozorovaná u 2,1</w:t>
      </w:r>
      <w:r w:rsidR="00A747D9" w:rsidRPr="00051880">
        <w:rPr>
          <w:szCs w:val="22"/>
        </w:rPr>
        <w:t xml:space="preserve"> </w:t>
      </w:r>
      <w:r w:rsidRPr="00051880">
        <w:rPr>
          <w:szCs w:val="22"/>
        </w:rPr>
        <w:t>% z 948 pacientov liečených landiololom v kontrolovaných klinických štúdiách (v porovnaní s</w:t>
      </w:r>
      <w:r w:rsidR="00A747D9" w:rsidRPr="00051880">
        <w:rPr>
          <w:szCs w:val="22"/>
        </w:rPr>
        <w:t> </w:t>
      </w:r>
      <w:r w:rsidRPr="00051880">
        <w:rPr>
          <w:szCs w:val="22"/>
        </w:rPr>
        <w:t>0</w:t>
      </w:r>
      <w:r w:rsidR="00A747D9" w:rsidRPr="00051880">
        <w:rPr>
          <w:szCs w:val="22"/>
        </w:rPr>
        <w:t xml:space="preserve"> </w:t>
      </w:r>
      <w:r w:rsidRPr="00051880">
        <w:rPr>
          <w:szCs w:val="22"/>
        </w:rPr>
        <w:t>% liečených placebom, 2,5</w:t>
      </w:r>
      <w:r w:rsidR="00A747D9" w:rsidRPr="00051880">
        <w:rPr>
          <w:szCs w:val="22"/>
        </w:rPr>
        <w:t xml:space="preserve"> </w:t>
      </w:r>
      <w:r w:rsidRPr="00051880">
        <w:rPr>
          <w:szCs w:val="22"/>
        </w:rPr>
        <w:t>% liečených komparátormi a 2,4</w:t>
      </w:r>
      <w:r w:rsidR="00A747D9" w:rsidRPr="00051880">
        <w:rPr>
          <w:szCs w:val="22"/>
        </w:rPr>
        <w:t xml:space="preserve"> </w:t>
      </w:r>
      <w:r w:rsidRPr="00051880">
        <w:rPr>
          <w:szCs w:val="22"/>
        </w:rPr>
        <w:t>% bez liečby) a u 0,5</w:t>
      </w:r>
      <w:r w:rsidR="00A747D9" w:rsidRPr="00051880">
        <w:rPr>
          <w:szCs w:val="22"/>
        </w:rPr>
        <w:t xml:space="preserve"> </w:t>
      </w:r>
      <w:r w:rsidRPr="00051880">
        <w:rPr>
          <w:szCs w:val="22"/>
        </w:rPr>
        <w:t xml:space="preserve">% z 581 pacientov v nekontrolovaných štúdiách. V štúdiách zameraných na liečebný výsledok po uvedení lieku </w:t>
      </w:r>
      <w:r w:rsidR="001A3FF2" w:rsidRPr="00051880">
        <w:rPr>
          <w:szCs w:val="22"/>
        </w:rPr>
        <w:t>na trh</w:t>
      </w:r>
      <w:r w:rsidRPr="00051880">
        <w:rPr>
          <w:szCs w:val="22"/>
        </w:rPr>
        <w:t xml:space="preserve">/v prieskumoch zameraných na použitie landiololu bola frekvencia hypotenzie </w:t>
      </w:r>
      <w:r w:rsidR="001A3FF2" w:rsidRPr="00051880">
        <w:rPr>
          <w:szCs w:val="22"/>
        </w:rPr>
        <w:t>a</w:t>
      </w:r>
      <w:r w:rsidRPr="00051880">
        <w:rPr>
          <w:szCs w:val="22"/>
        </w:rPr>
        <w:t xml:space="preserve"> bradykardie 0,8 % </w:t>
      </w:r>
      <w:r w:rsidR="001A3FF2" w:rsidRPr="00051880">
        <w:rPr>
          <w:szCs w:val="22"/>
        </w:rPr>
        <w:t>a</w:t>
      </w:r>
      <w:r w:rsidRPr="00051880">
        <w:rPr>
          <w:szCs w:val="22"/>
        </w:rPr>
        <w:t xml:space="preserve"> 0,7 %</w:t>
      </w:r>
      <w:r w:rsidR="001A3FF2" w:rsidRPr="00051880">
        <w:rPr>
          <w:szCs w:val="22"/>
        </w:rPr>
        <w:t xml:space="preserve"> v uvedenom poradí</w:t>
      </w:r>
      <w:r w:rsidRPr="00051880">
        <w:rPr>
          <w:szCs w:val="22"/>
        </w:rPr>
        <w:t xml:space="preserve"> (z </w:t>
      </w:r>
      <w:r w:rsidR="00A747D9" w:rsidRPr="00051880">
        <w:rPr>
          <w:szCs w:val="22"/>
        </w:rPr>
        <w:t xml:space="preserve">     </w:t>
      </w:r>
      <w:r w:rsidRPr="00051880">
        <w:rPr>
          <w:szCs w:val="22"/>
        </w:rPr>
        <w:t>1 257 pacientov). Všetky prípady hypotenzie a bradykardie súvisiace s liečbou landiololom v popísaných štúdiách boli vyriešené alebo sa zlepšili bez podniknutia akýchkoľvek opatrení alebo v priebehu niekoľkých minút po prerušení podávania landiololu a/alebo ďalšej liečby.</w:t>
      </w:r>
    </w:p>
    <w:p w:rsidR="00BA558B" w:rsidRPr="00051880" w:rsidRDefault="00BA558B" w:rsidP="00DF1CD8">
      <w:pPr>
        <w:spacing w:line="240" w:lineRule="auto"/>
        <w:rPr>
          <w:color w:val="000000"/>
          <w:szCs w:val="22"/>
          <w:highlight w:val="cyan"/>
        </w:rPr>
      </w:pPr>
    </w:p>
    <w:p w:rsidR="00BA558B" w:rsidRPr="00051880" w:rsidRDefault="00BA558B" w:rsidP="00DF1CD8">
      <w:pPr>
        <w:spacing w:line="240" w:lineRule="auto"/>
        <w:rPr>
          <w:strike/>
          <w:color w:val="000000"/>
          <w:szCs w:val="22"/>
        </w:rPr>
      </w:pPr>
      <w:r w:rsidRPr="00051880">
        <w:rPr>
          <w:color w:val="000000"/>
          <w:szCs w:val="22"/>
          <w:u w:val="single"/>
        </w:rPr>
        <w:t xml:space="preserve">Závažné nežiaduce účinky na základe klinických štúdií/prieskumov o </w:t>
      </w:r>
      <w:r w:rsidR="00941D55" w:rsidRPr="00051880">
        <w:rPr>
          <w:color w:val="000000"/>
          <w:szCs w:val="22"/>
          <w:u w:val="single"/>
        </w:rPr>
        <w:t>po</w:t>
      </w:r>
      <w:r w:rsidRPr="00051880">
        <w:rPr>
          <w:color w:val="000000"/>
          <w:szCs w:val="22"/>
          <w:u w:val="single"/>
        </w:rPr>
        <w:t xml:space="preserve">užívaní po uvedení </w:t>
      </w:r>
      <w:r w:rsidR="001A3FF2" w:rsidRPr="00051880">
        <w:rPr>
          <w:color w:val="000000"/>
          <w:szCs w:val="22"/>
          <w:u w:val="single"/>
        </w:rPr>
        <w:t>lieku na trh</w:t>
      </w:r>
      <w:r w:rsidRPr="00051880">
        <w:rPr>
          <w:color w:val="000000"/>
          <w:szCs w:val="22"/>
          <w:u w:val="single"/>
        </w:rPr>
        <w:t>:</w:t>
      </w:r>
      <w:r w:rsidRPr="00051880">
        <w:rPr>
          <w:color w:val="000000"/>
          <w:szCs w:val="22"/>
        </w:rPr>
        <w:t xml:space="preserve"> </w:t>
      </w:r>
      <w:r w:rsidR="001A3FF2" w:rsidRPr="00051880">
        <w:rPr>
          <w:color w:val="000000"/>
          <w:szCs w:val="22"/>
        </w:rPr>
        <w:t xml:space="preserve">  </w:t>
      </w:r>
      <w:r w:rsidRPr="00051880">
        <w:rPr>
          <w:color w:val="000000"/>
          <w:szCs w:val="22"/>
        </w:rPr>
        <w:t xml:space="preserve">Šok v dôsledku nadmernej hypotenzie bol hlásený u jedného pacienta pred operáciou </w:t>
      </w:r>
      <w:r w:rsidR="001A3FF2" w:rsidRPr="00051880">
        <w:rPr>
          <w:color w:val="000000"/>
          <w:szCs w:val="22"/>
        </w:rPr>
        <w:t>zahrnutého</w:t>
      </w:r>
      <w:r w:rsidRPr="00051880">
        <w:rPr>
          <w:color w:val="000000"/>
          <w:szCs w:val="22"/>
        </w:rPr>
        <w:t xml:space="preserve"> do klinickej štúdie s ťažkým krvácaním (situácia bola vyriešená 10 minút po tom, ako bol vysadený landiolol, prostaglandín a izoflur</w:t>
      </w:r>
      <w:r w:rsidR="001A3FF2" w:rsidRPr="00051880">
        <w:rPr>
          <w:color w:val="000000"/>
          <w:szCs w:val="22"/>
        </w:rPr>
        <w:t>á</w:t>
      </w:r>
      <w:r w:rsidRPr="00051880">
        <w:rPr>
          <w:color w:val="000000"/>
          <w:szCs w:val="22"/>
        </w:rPr>
        <w:t xml:space="preserve">n). Zastavenie srdca, úplná atrioventrikulárna blokáda, sínusové zastavenie a závažná bradykardia, ktoré boli hlásené z klinických štúdií </w:t>
      </w:r>
      <w:r w:rsidR="00C57E85" w:rsidRPr="00051880">
        <w:rPr>
          <w:color w:val="000000"/>
          <w:szCs w:val="22"/>
        </w:rPr>
        <w:t xml:space="preserve">a prieskumov zameraných na použitie landiololu </w:t>
      </w:r>
      <w:r w:rsidRPr="00051880">
        <w:rPr>
          <w:color w:val="000000"/>
          <w:szCs w:val="22"/>
        </w:rPr>
        <w:t xml:space="preserve">po uvedení </w:t>
      </w:r>
      <w:r w:rsidR="00C57E85" w:rsidRPr="00051880">
        <w:rPr>
          <w:color w:val="000000"/>
          <w:szCs w:val="22"/>
        </w:rPr>
        <w:t>na trh</w:t>
      </w:r>
      <w:r w:rsidRPr="00051880">
        <w:rPr>
          <w:color w:val="000000"/>
          <w:szCs w:val="22"/>
        </w:rPr>
        <w:t xml:space="preserve">, sa pri liečbe landiololom vyskytli predovšetkým u starších pacientov alebo u pacientov s hypertenziou alebo srdcovými ochoreniami ako komplikácie. </w:t>
      </w:r>
    </w:p>
    <w:p w:rsidR="00BA558B" w:rsidRPr="00051880" w:rsidRDefault="00BA558B" w:rsidP="00DF1CD8">
      <w:pPr>
        <w:spacing w:line="240" w:lineRule="auto"/>
        <w:rPr>
          <w:color w:val="000000"/>
          <w:szCs w:val="22"/>
        </w:rPr>
      </w:pPr>
    </w:p>
    <w:p w:rsidR="00BA558B" w:rsidRPr="00051880" w:rsidRDefault="00BA558B" w:rsidP="00DF1CD8">
      <w:pPr>
        <w:spacing w:line="240" w:lineRule="auto"/>
        <w:rPr>
          <w:color w:val="000000"/>
          <w:szCs w:val="22"/>
        </w:rPr>
      </w:pPr>
      <w:r w:rsidRPr="00051880">
        <w:rPr>
          <w:color w:val="000000"/>
          <w:szCs w:val="22"/>
        </w:rPr>
        <w:t xml:space="preserve">Opatrenia, ktoré sa majú podniknúť, keď sa vyskytnú tieto špecifické nežiaduce účinky, sú opísané v časti 4.2. </w:t>
      </w:r>
    </w:p>
    <w:p w:rsidR="00BA558B" w:rsidRPr="00051880" w:rsidRDefault="00BA558B" w:rsidP="00DF1CD8">
      <w:pPr>
        <w:spacing w:line="240" w:lineRule="auto"/>
        <w:rPr>
          <w:color w:val="000000"/>
          <w:szCs w:val="22"/>
          <w:u w:val="single"/>
        </w:rPr>
      </w:pPr>
    </w:p>
    <w:p w:rsidR="00BA558B" w:rsidRPr="00051880" w:rsidRDefault="00BA558B" w:rsidP="00DF1CD8">
      <w:pPr>
        <w:autoSpaceDE w:val="0"/>
        <w:autoSpaceDN w:val="0"/>
        <w:adjustRightInd w:val="0"/>
        <w:spacing w:line="240" w:lineRule="auto"/>
        <w:rPr>
          <w:color w:val="000000"/>
          <w:szCs w:val="22"/>
          <w:u w:val="single"/>
        </w:rPr>
      </w:pPr>
      <w:r w:rsidRPr="00051880">
        <w:rPr>
          <w:szCs w:val="22"/>
          <w:u w:val="single"/>
        </w:rPr>
        <w:t>Laboratórne parametre</w:t>
      </w:r>
      <w:r w:rsidRPr="00051880">
        <w:rPr>
          <w:szCs w:val="22"/>
        </w:rPr>
        <w:t>:</w:t>
      </w:r>
      <w:r w:rsidRPr="00051880">
        <w:rPr>
          <w:color w:val="000000"/>
          <w:szCs w:val="22"/>
        </w:rPr>
        <w:t xml:space="preserve"> </w:t>
      </w:r>
      <w:r w:rsidRPr="00051880">
        <w:rPr>
          <w:snapToGrid w:val="0"/>
          <w:szCs w:val="22"/>
        </w:rPr>
        <w:t>Abnormálne zmeny laboratórnych hodnôt boli hlásené v súvislosti s nežiaducimi účinkami, ale boli hlásené aj samostatne. V kontrolovaných štúdiách abnormálne zmeny ALT, AST alebo bilirubínu boli hlásené u 5 % pacientov liečených landiololom (n = 241) a u 7 % v kontrolnej skupine (n = 243). Celková frekvencia zmien laboratórnych parametrov v týchto štúdiách bola 8,7 % u pacientov liečených landiololom a u 13,6 % v kontrolnej skupine. Zmeny laboratórnych hodnôt boli vyriešené alebo sa zmiernili a neboli považované za klinicky relevantné.</w:t>
      </w:r>
    </w:p>
    <w:p w:rsidR="00BA558B" w:rsidRPr="00051880" w:rsidRDefault="00BA558B" w:rsidP="00DF1CD8">
      <w:pPr>
        <w:autoSpaceDE w:val="0"/>
        <w:autoSpaceDN w:val="0"/>
        <w:adjustRightInd w:val="0"/>
        <w:spacing w:line="240" w:lineRule="auto"/>
        <w:rPr>
          <w:snapToGrid w:val="0"/>
          <w:szCs w:val="22"/>
        </w:rPr>
      </w:pPr>
    </w:p>
    <w:p w:rsidR="00BA558B" w:rsidRPr="00051880" w:rsidRDefault="00BA558B" w:rsidP="00DF1CD8">
      <w:pPr>
        <w:autoSpaceDE w:val="0"/>
        <w:autoSpaceDN w:val="0"/>
        <w:adjustRightInd w:val="0"/>
        <w:spacing w:line="240" w:lineRule="auto"/>
        <w:rPr>
          <w:color w:val="000000"/>
          <w:szCs w:val="22"/>
          <w:u w:val="single"/>
        </w:rPr>
      </w:pPr>
      <w:r w:rsidRPr="00051880">
        <w:rPr>
          <w:snapToGrid w:val="0"/>
          <w:szCs w:val="22"/>
        </w:rPr>
        <w:t>K dispozícii sú len obmedzené údaje o bezpečnosti pr</w:t>
      </w:r>
      <w:r w:rsidR="001A3FF2" w:rsidRPr="00051880">
        <w:rPr>
          <w:snapToGrid w:val="0"/>
          <w:szCs w:val="22"/>
        </w:rPr>
        <w:t>i</w:t>
      </w:r>
      <w:r w:rsidRPr="00051880">
        <w:rPr>
          <w:snapToGrid w:val="0"/>
          <w:szCs w:val="22"/>
        </w:rPr>
        <w:t xml:space="preserve"> používan</w:t>
      </w:r>
      <w:r w:rsidR="001A3FF2" w:rsidRPr="00051880">
        <w:rPr>
          <w:snapToGrid w:val="0"/>
          <w:szCs w:val="22"/>
        </w:rPr>
        <w:t>í</w:t>
      </w:r>
      <w:r w:rsidRPr="00051880">
        <w:rPr>
          <w:snapToGrid w:val="0"/>
          <w:szCs w:val="22"/>
        </w:rPr>
        <w:t xml:space="preserve"> landiololu u starších osôb. Nejasnosti týkajúce sa bezpečnostného profilu landiololu je potrebné zvážiť, keďže </w:t>
      </w:r>
      <w:r w:rsidR="001A3FF2" w:rsidRPr="00051880">
        <w:rPr>
          <w:snapToGrid w:val="0"/>
          <w:szCs w:val="22"/>
        </w:rPr>
        <w:t>nežiaduce</w:t>
      </w:r>
      <w:r w:rsidRPr="00051880">
        <w:rPr>
          <w:snapToGrid w:val="0"/>
          <w:szCs w:val="22"/>
        </w:rPr>
        <w:t xml:space="preserve"> účinky by mohli vyplývať aj z použitia súčasne podávaných liekov alebo z </w:t>
      </w:r>
      <w:r w:rsidR="001A3FF2" w:rsidRPr="00051880">
        <w:rPr>
          <w:snapToGrid w:val="0"/>
          <w:szCs w:val="22"/>
        </w:rPr>
        <w:t>anestézie</w:t>
      </w:r>
      <w:r w:rsidRPr="00051880">
        <w:rPr>
          <w:snapToGrid w:val="0"/>
          <w:szCs w:val="22"/>
        </w:rPr>
        <w:t xml:space="preserve">.  </w:t>
      </w:r>
    </w:p>
    <w:p w:rsidR="00BA558B" w:rsidRPr="00051880" w:rsidRDefault="00BA558B" w:rsidP="00DF1CD8">
      <w:pPr>
        <w:autoSpaceDE w:val="0"/>
        <w:autoSpaceDN w:val="0"/>
        <w:adjustRightInd w:val="0"/>
        <w:spacing w:line="240" w:lineRule="auto"/>
        <w:rPr>
          <w:color w:val="000000"/>
          <w:szCs w:val="22"/>
          <w:u w:val="single"/>
        </w:rPr>
      </w:pPr>
    </w:p>
    <w:p w:rsidR="00344115" w:rsidRPr="00051880" w:rsidRDefault="00344115" w:rsidP="00344115">
      <w:pPr>
        <w:keepNext/>
        <w:autoSpaceDE w:val="0"/>
        <w:autoSpaceDN w:val="0"/>
        <w:adjustRightInd w:val="0"/>
        <w:rPr>
          <w:szCs w:val="22"/>
          <w:u w:val="single"/>
        </w:rPr>
      </w:pPr>
      <w:r w:rsidRPr="00051880">
        <w:rPr>
          <w:szCs w:val="22"/>
          <w:u w:val="single"/>
        </w:rPr>
        <w:t>Hlásenie podozrení na nežiaduce reakcie</w:t>
      </w:r>
    </w:p>
    <w:p w:rsidR="00344115" w:rsidRPr="00051880" w:rsidRDefault="00344115" w:rsidP="00344115">
      <w:pPr>
        <w:suppressLineNumbers/>
        <w:autoSpaceDE w:val="0"/>
        <w:autoSpaceDN w:val="0"/>
        <w:adjustRightInd w:val="0"/>
        <w:rPr>
          <w:rStyle w:val="Hypertextovprepojenie"/>
          <w:szCs w:val="22"/>
        </w:rPr>
      </w:pPr>
      <w:r w:rsidRPr="00051880">
        <w:rPr>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051880">
        <w:rPr>
          <w:szCs w:val="22"/>
          <w:highlight w:val="lightGray"/>
        </w:rPr>
        <w:t>národné centrum hlásenia uvedené v </w:t>
      </w:r>
      <w:hyperlink r:id="rId9">
        <w:r w:rsidRPr="00051880">
          <w:rPr>
            <w:rStyle w:val="Hypertextovprepojenie"/>
            <w:szCs w:val="22"/>
            <w:highlight w:val="lightGray"/>
          </w:rPr>
          <w:t>Prílohe V</w:t>
        </w:r>
      </w:hyperlink>
      <w:r w:rsidRPr="00051880">
        <w:rPr>
          <w:rStyle w:val="Hypertextovprepojenie"/>
          <w:szCs w:val="22"/>
        </w:rPr>
        <w:t>.</w:t>
      </w:r>
    </w:p>
    <w:p w:rsidR="00BA558B" w:rsidRPr="00051880" w:rsidRDefault="00BA558B" w:rsidP="00DF1CD8">
      <w:pPr>
        <w:spacing w:line="240" w:lineRule="auto"/>
        <w:rPr>
          <w:b/>
          <w:color w:val="000000"/>
          <w:szCs w:val="22"/>
        </w:rPr>
      </w:pPr>
    </w:p>
    <w:p w:rsidR="00BA558B" w:rsidRPr="00051880" w:rsidRDefault="00BA558B" w:rsidP="00DF1CD8">
      <w:pPr>
        <w:pStyle w:val="Nadpis4"/>
        <w:spacing w:line="240" w:lineRule="auto"/>
        <w:jc w:val="left"/>
        <w:rPr>
          <w:color w:val="000000"/>
          <w:szCs w:val="22"/>
        </w:rPr>
      </w:pPr>
      <w:r w:rsidRPr="00051880">
        <w:rPr>
          <w:color w:val="000000"/>
          <w:szCs w:val="22"/>
        </w:rPr>
        <w:t>4.9</w:t>
      </w:r>
      <w:r w:rsidRPr="00051880">
        <w:rPr>
          <w:color w:val="000000"/>
          <w:szCs w:val="22"/>
        </w:rPr>
        <w:tab/>
        <w:t>Predávkovanie</w:t>
      </w:r>
    </w:p>
    <w:p w:rsidR="00BA558B" w:rsidRPr="00051880" w:rsidRDefault="00BA558B" w:rsidP="00DF1CD8">
      <w:pPr>
        <w:spacing w:line="240" w:lineRule="auto"/>
        <w:rPr>
          <w:i/>
          <w:color w:val="000000"/>
          <w:szCs w:val="22"/>
        </w:rPr>
      </w:pPr>
    </w:p>
    <w:p w:rsidR="00BA558B" w:rsidRPr="00051880" w:rsidRDefault="00BA558B" w:rsidP="00DF1CD8">
      <w:pPr>
        <w:spacing w:line="240" w:lineRule="auto"/>
        <w:rPr>
          <w:color w:val="000000"/>
          <w:szCs w:val="22"/>
        </w:rPr>
      </w:pPr>
      <w:r w:rsidRPr="00051880">
        <w:rPr>
          <w:color w:val="000000"/>
          <w:szCs w:val="22"/>
        </w:rPr>
        <w:t>V prípade predávkovania sa môžu vyskytnúť nasledovné príznaky: Závažná hypotenzia, závažná bradykardia, atrioventrikulárna blokáda, srdcová nedostatočnosť, kardiogénny šok, zastavenie srdca, bronchospazmus, respiračná nedostatočnosť, strata vedomia až kóma, kŕče, nevoľnosť, vracanie, hypoglykémia, hyperkaliémia.</w:t>
      </w:r>
    </w:p>
    <w:p w:rsidR="00BA558B" w:rsidRPr="00051880" w:rsidRDefault="00BA558B" w:rsidP="00DF1CD8">
      <w:pPr>
        <w:spacing w:line="240" w:lineRule="auto"/>
        <w:rPr>
          <w:i/>
          <w:color w:val="000000"/>
          <w:szCs w:val="22"/>
        </w:rPr>
      </w:pPr>
    </w:p>
    <w:p w:rsidR="00BA558B" w:rsidRPr="00051880" w:rsidRDefault="00BA558B" w:rsidP="00DF1CD8">
      <w:pPr>
        <w:spacing w:line="240" w:lineRule="auto"/>
        <w:rPr>
          <w:color w:val="000000"/>
          <w:szCs w:val="22"/>
        </w:rPr>
      </w:pPr>
      <w:r w:rsidRPr="00051880">
        <w:rPr>
          <w:color w:val="000000"/>
          <w:szCs w:val="22"/>
        </w:rPr>
        <w:lastRenderedPageBreak/>
        <w:t>V prípade predávkovania je nutné podávanie landiololu okamžite prerušiť.</w:t>
      </w:r>
    </w:p>
    <w:p w:rsidR="00BA558B" w:rsidRPr="00051880" w:rsidRDefault="00BA558B" w:rsidP="00DF1CD8">
      <w:pPr>
        <w:spacing w:line="240" w:lineRule="auto"/>
        <w:rPr>
          <w:color w:val="000000"/>
          <w:szCs w:val="22"/>
        </w:rPr>
      </w:pPr>
    </w:p>
    <w:p w:rsidR="00BA558B" w:rsidRPr="00051880" w:rsidRDefault="00BA558B" w:rsidP="00DF1CD8">
      <w:pPr>
        <w:tabs>
          <w:tab w:val="clear" w:pos="567"/>
        </w:tabs>
        <w:spacing w:line="240" w:lineRule="auto"/>
        <w:rPr>
          <w:color w:val="000000"/>
          <w:szCs w:val="22"/>
        </w:rPr>
      </w:pPr>
      <w:r w:rsidRPr="00051880">
        <w:rPr>
          <w:color w:val="000000"/>
          <w:szCs w:val="22"/>
        </w:rPr>
        <w:t>Čas potrebný na vymiznutie príznakov po predávkovaní závisí od množstva podaného landiololu. Aj keď účinok landiololu na zníženie srdcovej frekvencie po ukončení podávania rýchlo klesá, môže to trvať aj dlhšie ako 30 minút, ako je to zrejmé z prerušenia jeho podávania na úrovni terapeutických dávok.</w:t>
      </w:r>
    </w:p>
    <w:p w:rsidR="00BA558B" w:rsidRPr="00051880" w:rsidRDefault="00BA558B" w:rsidP="00DF1CD8">
      <w:pPr>
        <w:spacing w:line="240" w:lineRule="auto"/>
        <w:rPr>
          <w:color w:val="000000"/>
          <w:szCs w:val="22"/>
        </w:rPr>
      </w:pPr>
      <w:r w:rsidRPr="00051880">
        <w:rPr>
          <w:color w:val="000000"/>
          <w:szCs w:val="22"/>
        </w:rPr>
        <w:t>Môže byť potrebn</w:t>
      </w:r>
      <w:r w:rsidR="00A747D9" w:rsidRPr="00051880">
        <w:rPr>
          <w:color w:val="000000"/>
          <w:szCs w:val="22"/>
        </w:rPr>
        <w:t>á</w:t>
      </w:r>
      <w:r w:rsidRPr="00051880">
        <w:rPr>
          <w:color w:val="000000"/>
          <w:szCs w:val="22"/>
        </w:rPr>
        <w:t xml:space="preserve"> umel</w:t>
      </w:r>
      <w:r w:rsidR="00C57E85" w:rsidRPr="00051880">
        <w:rPr>
          <w:color w:val="000000"/>
          <w:szCs w:val="22"/>
        </w:rPr>
        <w:t>á ventilácia pľúc</w:t>
      </w:r>
      <w:r w:rsidRPr="00051880">
        <w:rPr>
          <w:color w:val="000000"/>
          <w:szCs w:val="22"/>
        </w:rPr>
        <w:t>. Na základe pozorovaných klinických účinkov by mali byť zvážené nasledujúce všeobecné opatrenia:</w:t>
      </w:r>
    </w:p>
    <w:p w:rsidR="00BA558B" w:rsidRPr="00051880" w:rsidRDefault="00BA558B" w:rsidP="00DF1CD8">
      <w:pPr>
        <w:numPr>
          <w:ilvl w:val="0"/>
          <w:numId w:val="39"/>
        </w:numPr>
        <w:spacing w:line="240" w:lineRule="auto"/>
        <w:rPr>
          <w:color w:val="000000"/>
          <w:szCs w:val="22"/>
        </w:rPr>
      </w:pPr>
      <w:r w:rsidRPr="00051880">
        <w:rPr>
          <w:i/>
          <w:color w:val="000000"/>
          <w:szCs w:val="22"/>
        </w:rPr>
        <w:t>Bradykardia</w:t>
      </w:r>
      <w:r w:rsidRPr="00051880">
        <w:rPr>
          <w:color w:val="000000"/>
          <w:szCs w:val="22"/>
        </w:rPr>
        <w:t>: intravenózne by mal byť podávaný atropín alebo iný anticholinergný liek a potom by mal byť podaný stimulátor beta-1 (dobutamín, a pod.). Ak bradykardiu nemožno dostatočne liečiť, môže byť nevyhnutné použiť kardiostimulátor.</w:t>
      </w:r>
    </w:p>
    <w:p w:rsidR="00BA558B" w:rsidRPr="00051880" w:rsidRDefault="00BA558B" w:rsidP="00DF1CD8">
      <w:pPr>
        <w:numPr>
          <w:ilvl w:val="0"/>
          <w:numId w:val="39"/>
        </w:numPr>
        <w:spacing w:line="240" w:lineRule="auto"/>
        <w:rPr>
          <w:color w:val="000000"/>
          <w:szCs w:val="22"/>
        </w:rPr>
      </w:pPr>
      <w:r w:rsidRPr="00051880">
        <w:rPr>
          <w:i/>
          <w:color w:val="000000"/>
          <w:szCs w:val="22"/>
        </w:rPr>
        <w:t>Bronchospazmus</w:t>
      </w:r>
      <w:r w:rsidRPr="00051880">
        <w:rPr>
          <w:color w:val="000000"/>
          <w:szCs w:val="22"/>
        </w:rPr>
        <w:t>: je potrebné podať nebulizované beta-2 sympatomimetiká. Ak táto liečba nie je dostatočná, môže byť zvážené intravenózne podanie beta-2 sympatomimetík alebo aminofylínu.</w:t>
      </w:r>
    </w:p>
    <w:p w:rsidR="00BA558B" w:rsidRPr="00051880" w:rsidRDefault="00BA558B" w:rsidP="00DF1CD8">
      <w:pPr>
        <w:numPr>
          <w:ilvl w:val="0"/>
          <w:numId w:val="39"/>
        </w:numPr>
        <w:spacing w:line="240" w:lineRule="auto"/>
        <w:rPr>
          <w:color w:val="000000"/>
          <w:szCs w:val="22"/>
        </w:rPr>
      </w:pPr>
      <w:r w:rsidRPr="00051880">
        <w:rPr>
          <w:i/>
          <w:szCs w:val="22"/>
        </w:rPr>
        <w:t>Symptomatická hypotenzia</w:t>
      </w:r>
      <w:r w:rsidRPr="00051880">
        <w:rPr>
          <w:szCs w:val="22"/>
        </w:rPr>
        <w:t xml:space="preserve">: intravenózne by mali byť podané tekutiny a/alebo presorické látky. </w:t>
      </w:r>
    </w:p>
    <w:p w:rsidR="00BA558B" w:rsidRPr="00051880" w:rsidRDefault="00BA558B" w:rsidP="00DF1CD8">
      <w:pPr>
        <w:numPr>
          <w:ilvl w:val="0"/>
          <w:numId w:val="39"/>
        </w:numPr>
        <w:spacing w:line="240" w:lineRule="auto"/>
        <w:rPr>
          <w:color w:val="000000"/>
          <w:szCs w:val="22"/>
        </w:rPr>
      </w:pPr>
      <w:r w:rsidRPr="00051880">
        <w:rPr>
          <w:i/>
          <w:szCs w:val="22"/>
        </w:rPr>
        <w:t>Kardiovaskulárn</w:t>
      </w:r>
      <w:r w:rsidR="00941D55" w:rsidRPr="00051880">
        <w:rPr>
          <w:i/>
          <w:szCs w:val="22"/>
        </w:rPr>
        <w:t>a</w:t>
      </w:r>
      <w:r w:rsidRPr="00051880">
        <w:rPr>
          <w:i/>
          <w:szCs w:val="22"/>
        </w:rPr>
        <w:t xml:space="preserve"> depresia alebo srdcový šok</w:t>
      </w:r>
      <w:r w:rsidRPr="00051880">
        <w:rPr>
          <w:szCs w:val="22"/>
        </w:rPr>
        <w:t>: môžu byť podávané diuretiká (v prípade opuchu pľúc) alebo sympatomimetiká.</w:t>
      </w:r>
      <w:r w:rsidRPr="00051880">
        <w:rPr>
          <w:color w:val="000000"/>
          <w:szCs w:val="22"/>
        </w:rPr>
        <w:t xml:space="preserve"> Dávka sympatomimetík (v závislosti od príznakov, napríklad dobutamín, dopamín, noradrenalín, adrenalín, atď.) závisí od terapeutického účinku. V prípade, že je nutná ďalšia liečba, intravenózne môžu byť podan</w:t>
      </w:r>
      <w:r w:rsidR="001A3FF2" w:rsidRPr="00051880">
        <w:rPr>
          <w:color w:val="000000"/>
          <w:szCs w:val="22"/>
        </w:rPr>
        <w:t>é</w:t>
      </w:r>
      <w:r w:rsidRPr="00051880">
        <w:rPr>
          <w:color w:val="000000"/>
          <w:szCs w:val="22"/>
        </w:rPr>
        <w:t xml:space="preserve"> nasledujúce </w:t>
      </w:r>
      <w:r w:rsidR="001A3FF2" w:rsidRPr="00051880">
        <w:rPr>
          <w:color w:val="000000"/>
          <w:szCs w:val="22"/>
        </w:rPr>
        <w:t>liečivá</w:t>
      </w:r>
      <w:r w:rsidRPr="00051880">
        <w:rPr>
          <w:color w:val="000000"/>
          <w:szCs w:val="22"/>
        </w:rPr>
        <w:t xml:space="preserve">: atropín, inotropné </w:t>
      </w:r>
      <w:r w:rsidR="001A3FF2" w:rsidRPr="00051880">
        <w:rPr>
          <w:color w:val="000000"/>
          <w:szCs w:val="22"/>
        </w:rPr>
        <w:t>látky</w:t>
      </w:r>
      <w:r w:rsidRPr="00051880">
        <w:rPr>
          <w:color w:val="000000"/>
          <w:szCs w:val="22"/>
        </w:rPr>
        <w:t>, vápenaté ióny.</w:t>
      </w:r>
    </w:p>
    <w:p w:rsidR="00BA558B" w:rsidRPr="00051880" w:rsidRDefault="00BA558B" w:rsidP="00DF1CD8">
      <w:pPr>
        <w:spacing w:line="240" w:lineRule="auto"/>
        <w:ind w:left="360"/>
        <w:rPr>
          <w:color w:val="000000"/>
          <w:szCs w:val="22"/>
        </w:rPr>
      </w:pPr>
    </w:p>
    <w:p w:rsidR="00C57E85" w:rsidRPr="00051880" w:rsidRDefault="00C57E85" w:rsidP="00DF1CD8">
      <w:pPr>
        <w:spacing w:line="240" w:lineRule="auto"/>
        <w:ind w:left="360"/>
        <w:rPr>
          <w:color w:val="000000"/>
          <w:szCs w:val="22"/>
        </w:rPr>
      </w:pPr>
    </w:p>
    <w:p w:rsidR="00BA558B" w:rsidRPr="00051880" w:rsidRDefault="00BA558B" w:rsidP="00DF1CD8">
      <w:pPr>
        <w:pStyle w:val="Nadpis3"/>
        <w:spacing w:before="0" w:after="0" w:line="240" w:lineRule="auto"/>
        <w:rPr>
          <w:color w:val="000000"/>
          <w:sz w:val="22"/>
          <w:szCs w:val="22"/>
        </w:rPr>
      </w:pPr>
      <w:r w:rsidRPr="00051880">
        <w:rPr>
          <w:color w:val="000000"/>
          <w:sz w:val="22"/>
          <w:szCs w:val="22"/>
        </w:rPr>
        <w:t>5.</w:t>
      </w:r>
      <w:r w:rsidRPr="00051880">
        <w:rPr>
          <w:color w:val="000000"/>
          <w:sz w:val="22"/>
          <w:szCs w:val="22"/>
        </w:rPr>
        <w:tab/>
        <w:t>FARMAKOLOGICKÉ VLASTNOSTI</w:t>
      </w:r>
    </w:p>
    <w:p w:rsidR="00BA558B" w:rsidRPr="00051880" w:rsidRDefault="00BA558B" w:rsidP="00DF1CD8">
      <w:pPr>
        <w:spacing w:line="240" w:lineRule="auto"/>
        <w:rPr>
          <w:b/>
          <w:color w:val="000000"/>
          <w:szCs w:val="22"/>
        </w:rPr>
      </w:pPr>
    </w:p>
    <w:p w:rsidR="00BA558B" w:rsidRPr="00051880" w:rsidRDefault="00BA558B" w:rsidP="00DF1CD8">
      <w:pPr>
        <w:pStyle w:val="Nadpis4"/>
        <w:spacing w:line="240" w:lineRule="auto"/>
        <w:jc w:val="left"/>
        <w:rPr>
          <w:color w:val="000000"/>
          <w:szCs w:val="22"/>
        </w:rPr>
      </w:pPr>
      <w:r w:rsidRPr="00051880">
        <w:rPr>
          <w:color w:val="000000"/>
          <w:szCs w:val="22"/>
        </w:rPr>
        <w:t xml:space="preserve">5.1 </w:t>
      </w:r>
      <w:r w:rsidRPr="00051880">
        <w:rPr>
          <w:color w:val="000000"/>
          <w:szCs w:val="22"/>
        </w:rPr>
        <w:tab/>
        <w:t>Farmakodynamické vlastnosti</w:t>
      </w:r>
    </w:p>
    <w:p w:rsidR="00BA558B" w:rsidRPr="00051880" w:rsidRDefault="00BA558B" w:rsidP="00DF1CD8">
      <w:pPr>
        <w:spacing w:line="240" w:lineRule="auto"/>
        <w:rPr>
          <w:color w:val="000000"/>
          <w:szCs w:val="22"/>
        </w:rPr>
      </w:pPr>
    </w:p>
    <w:p w:rsidR="00BA558B" w:rsidRPr="00051880" w:rsidRDefault="00BA558B" w:rsidP="00DF1CD8">
      <w:pPr>
        <w:spacing w:line="240" w:lineRule="auto"/>
        <w:rPr>
          <w:szCs w:val="22"/>
        </w:rPr>
      </w:pPr>
      <w:r w:rsidRPr="00051880">
        <w:rPr>
          <w:szCs w:val="22"/>
        </w:rPr>
        <w:t xml:space="preserve">Farmakoterapeutická skupina: </w:t>
      </w:r>
      <w:r w:rsidR="00DF1CD8" w:rsidRPr="00051880">
        <w:rPr>
          <w:szCs w:val="22"/>
        </w:rPr>
        <w:t>Betablokátory, s</w:t>
      </w:r>
      <w:r w:rsidRPr="00051880">
        <w:rPr>
          <w:szCs w:val="22"/>
        </w:rPr>
        <w:t>elektívne betablokátory</w:t>
      </w:r>
      <w:r w:rsidR="00DF1CD8" w:rsidRPr="00051880">
        <w:rPr>
          <w:szCs w:val="22"/>
        </w:rPr>
        <w:t xml:space="preserve">, </w:t>
      </w:r>
      <w:r w:rsidRPr="00051880">
        <w:rPr>
          <w:szCs w:val="22"/>
        </w:rPr>
        <w:t>ATC kód: C07AB14</w:t>
      </w:r>
    </w:p>
    <w:p w:rsidR="00BA558B" w:rsidRPr="00051880" w:rsidRDefault="00BA558B" w:rsidP="00DF1CD8">
      <w:pPr>
        <w:tabs>
          <w:tab w:val="clear" w:pos="567"/>
          <w:tab w:val="left" w:pos="708"/>
        </w:tabs>
        <w:spacing w:line="240" w:lineRule="auto"/>
        <w:rPr>
          <w:i/>
          <w:szCs w:val="22"/>
        </w:rPr>
      </w:pPr>
    </w:p>
    <w:p w:rsidR="00BA558B" w:rsidRPr="00051880" w:rsidRDefault="00BA558B" w:rsidP="00DF1CD8">
      <w:pPr>
        <w:tabs>
          <w:tab w:val="clear" w:pos="567"/>
          <w:tab w:val="left" w:pos="708"/>
        </w:tabs>
        <w:autoSpaceDE w:val="0"/>
        <w:autoSpaceDN w:val="0"/>
        <w:adjustRightInd w:val="0"/>
        <w:spacing w:line="240" w:lineRule="auto"/>
        <w:rPr>
          <w:szCs w:val="22"/>
          <w:u w:val="single"/>
        </w:rPr>
      </w:pPr>
      <w:r w:rsidRPr="00051880">
        <w:rPr>
          <w:szCs w:val="22"/>
          <w:u w:val="single"/>
        </w:rPr>
        <w:t>Mechanizmus účinku/farmakodynamické účinky</w:t>
      </w:r>
    </w:p>
    <w:p w:rsidR="00BA558B" w:rsidRPr="00051880" w:rsidRDefault="00BA558B" w:rsidP="00DF1CD8">
      <w:pPr>
        <w:spacing w:line="240" w:lineRule="auto"/>
        <w:rPr>
          <w:strike/>
          <w:szCs w:val="22"/>
        </w:rPr>
      </w:pPr>
      <w:r w:rsidRPr="00051880">
        <w:rPr>
          <w:szCs w:val="22"/>
        </w:rPr>
        <w:t xml:space="preserve">Landiolol je vysoko selektívny antagonista beta-1 adrenoreceptorov (selektivita na blokádu beta-1 receptorov je 255-krát vyššia než na blokádu beta-2 receptorov), ktorý inhibuje pozitívny chronotropný účinok katecholamínov adrenalínu a noradrenalínu na srdce, kde sa prevažne nachádzajú beta-1 receptory. Predpokladá sa, že landiolol tak ako iné betablokátory znižuje sympatický účinok, čo vedie k zníženiu srdcovej frekvencie, zníženiu spontánneho vysielania vzruchov z ektopického fokusu, spomaľuje vedenie a zvyšuje refraktérnu periódu atrioventrikulárneho uzla. Landiolol nevykazuje žiadnu aktivitu stabilizácie membrány alebo vnútornú sympatomimetickú aktivitu </w:t>
      </w:r>
      <w:r w:rsidRPr="00051880">
        <w:rPr>
          <w:i/>
          <w:szCs w:val="22"/>
        </w:rPr>
        <w:t>in vitro</w:t>
      </w:r>
      <w:r w:rsidRPr="00051880">
        <w:rPr>
          <w:szCs w:val="22"/>
        </w:rPr>
        <w:t xml:space="preserve">. V predklinických a klinických štúdiách landiolol kontroloval tachykardiu ultra krátkodobo pôsobiacim účinkom s rýchlym nástupom a odznením účinku a ďalej preukazoval antiischemické a kardioprotektívne účinky. </w:t>
      </w:r>
    </w:p>
    <w:p w:rsidR="00BA558B" w:rsidRPr="00051880" w:rsidRDefault="00BA558B" w:rsidP="00DF1CD8">
      <w:pPr>
        <w:tabs>
          <w:tab w:val="clear" w:pos="567"/>
          <w:tab w:val="left" w:pos="708"/>
        </w:tabs>
        <w:autoSpaceDE w:val="0"/>
        <w:autoSpaceDN w:val="0"/>
        <w:adjustRightInd w:val="0"/>
        <w:spacing w:line="240" w:lineRule="auto"/>
        <w:rPr>
          <w:szCs w:val="22"/>
        </w:rPr>
      </w:pPr>
    </w:p>
    <w:p w:rsidR="00BA558B" w:rsidRPr="00051880" w:rsidRDefault="00BA558B" w:rsidP="00DF1CD8">
      <w:pPr>
        <w:tabs>
          <w:tab w:val="clear" w:pos="567"/>
          <w:tab w:val="left" w:pos="708"/>
        </w:tabs>
        <w:autoSpaceDE w:val="0"/>
        <w:autoSpaceDN w:val="0"/>
        <w:adjustRightInd w:val="0"/>
        <w:spacing w:line="240" w:lineRule="auto"/>
        <w:rPr>
          <w:szCs w:val="22"/>
          <w:u w:val="single"/>
        </w:rPr>
      </w:pPr>
      <w:r w:rsidRPr="00051880">
        <w:rPr>
          <w:szCs w:val="22"/>
          <w:u w:val="single"/>
        </w:rPr>
        <w:t>Klinická účinnosť a bezpečnosť</w:t>
      </w:r>
    </w:p>
    <w:p w:rsidR="00BA558B" w:rsidRPr="00051880" w:rsidRDefault="00BA558B" w:rsidP="00DF1CD8">
      <w:pPr>
        <w:tabs>
          <w:tab w:val="clear" w:pos="567"/>
          <w:tab w:val="left" w:pos="708"/>
        </w:tabs>
        <w:autoSpaceDE w:val="0"/>
        <w:autoSpaceDN w:val="0"/>
        <w:adjustRightInd w:val="0"/>
        <w:spacing w:line="240" w:lineRule="auto"/>
        <w:rPr>
          <w:szCs w:val="22"/>
          <w:u w:val="single"/>
        </w:rPr>
      </w:pPr>
      <w:r w:rsidRPr="00051880">
        <w:rPr>
          <w:szCs w:val="22"/>
        </w:rPr>
        <w:t xml:space="preserve">Na základe dát v publikovaných klinických štúdiách bolo liečených landiololom 991 pacientov s perioperačnou alebo paroxyzmálnou supraventrikulárnou tachyarytmiou (SVT). Cieľovým parametrom účinnosti bolo zníženie srdcovej frekvencie a/alebo konverzia na sínusový rytmus na liečenie sínusovej tachykardie alebo SVT. Za účelom prevencie perioperačnej fibrilácie predsiení a za účelom liečby alebo prevencie nežiaducich hemodynamických a ďalších odpovedí na špecifické podnety spojené s invazívnymi postupmi bolo landiololom liečených 3 039 pacientov. Hlavným parametrom účinnosti v týchto štúdiách bola kontrola srdcovej frekvencie a krvného tlaku. U pacientov liečených landiololom bolo pozorované významné zníženie srdcovej frekvencie alebo prevencia prudkého nárastu srdcovej frekvencie. Z klinických štúdií sú k dispozícii údaje o bezpečnosti týkajúce sa 1569 </w:t>
      </w:r>
      <w:r w:rsidR="001A3FF2" w:rsidRPr="00051880">
        <w:rPr>
          <w:szCs w:val="22"/>
        </w:rPr>
        <w:t>osôb</w:t>
      </w:r>
      <w:r w:rsidRPr="00051880">
        <w:rPr>
          <w:szCs w:val="22"/>
        </w:rPr>
        <w:t xml:space="preserve"> (pozri časť 4.8). V kontrolovaných štúdiách boli nežiaduce účinky pozorované u 12 % pacientov liečených landiololom (oproti 5,8 % pacientov liečených placebom, 20,5 % pacientov liečených aktívnym komparátorom a 6,1 % bez liečby). V nekontrolovaných štúdiách bol výskyt nežiaducich účinkov u pacientov liečených landiololom 16 %. V prieskumoch zameraných na liečebný výsledok po uvedení lieku </w:t>
      </w:r>
      <w:r w:rsidR="001A3FF2" w:rsidRPr="00051880">
        <w:rPr>
          <w:szCs w:val="22"/>
        </w:rPr>
        <w:t>na trh</w:t>
      </w:r>
      <w:r w:rsidRPr="00051880">
        <w:rPr>
          <w:szCs w:val="22"/>
        </w:rPr>
        <w:t>/na používateľov bolo landiololom lie</w:t>
      </w:r>
      <w:r w:rsidR="001A3FF2" w:rsidRPr="00051880">
        <w:rPr>
          <w:szCs w:val="22"/>
        </w:rPr>
        <w:t>čených 1</w:t>
      </w:r>
      <w:r w:rsidRPr="00051880">
        <w:rPr>
          <w:szCs w:val="22"/>
        </w:rPr>
        <w:t xml:space="preserve">257 pacientov </w:t>
      </w:r>
      <w:r w:rsidRPr="00051880">
        <w:rPr>
          <w:szCs w:val="22"/>
        </w:rPr>
        <w:lastRenderedPageBreak/>
        <w:t xml:space="preserve">s perioperačnou/pooperačnou supraventrikulárnou tachyarytmiou (vrátane predsieňového flutteru). Výskyt nežiaducich účinkov bol 8,0 %. </w:t>
      </w:r>
    </w:p>
    <w:p w:rsidR="00BA558B" w:rsidRPr="00051880" w:rsidRDefault="00BA558B" w:rsidP="00DF1CD8">
      <w:pPr>
        <w:spacing w:line="240" w:lineRule="auto"/>
        <w:rPr>
          <w:bCs/>
          <w:iCs/>
          <w:szCs w:val="22"/>
          <w:u w:val="single"/>
        </w:rPr>
      </w:pPr>
    </w:p>
    <w:p w:rsidR="00BA558B" w:rsidRPr="00051880" w:rsidRDefault="00DF1CD8" w:rsidP="00DF1CD8">
      <w:pPr>
        <w:spacing w:line="240" w:lineRule="auto"/>
        <w:rPr>
          <w:bCs/>
          <w:iCs/>
          <w:szCs w:val="22"/>
          <w:u w:val="single"/>
        </w:rPr>
      </w:pPr>
      <w:r w:rsidRPr="00051880">
        <w:rPr>
          <w:szCs w:val="22"/>
          <w:u w:val="single"/>
        </w:rPr>
        <w:t>Pediatrická populácia</w:t>
      </w:r>
    </w:p>
    <w:p w:rsidR="00BA558B" w:rsidRPr="00051880" w:rsidRDefault="00BA558B" w:rsidP="00DF1CD8">
      <w:pPr>
        <w:spacing w:line="240" w:lineRule="auto"/>
        <w:rPr>
          <w:rFonts w:eastAsia="SimSun"/>
          <w:szCs w:val="22"/>
        </w:rPr>
      </w:pPr>
      <w:r w:rsidRPr="00051880">
        <w:rPr>
          <w:szCs w:val="22"/>
        </w:rPr>
        <w:t>Európska lieková agentúra udelila odklad z povinnosti predložiť výsledky štúdií pre Rapibloc v jednej alebo viacerých podskupinách detí a dospievajúcich v liečbe alebo prevencii supraventrikulárnych arytmií. Pozri časť 4.2 pre informácie o použití u detí a dospievajúcich.</w:t>
      </w:r>
    </w:p>
    <w:p w:rsidR="00BA558B" w:rsidRPr="00051880" w:rsidRDefault="00BA558B" w:rsidP="00DF1CD8">
      <w:pPr>
        <w:spacing w:line="240" w:lineRule="auto"/>
        <w:rPr>
          <w:szCs w:val="22"/>
        </w:rPr>
      </w:pPr>
    </w:p>
    <w:p w:rsidR="00BA558B" w:rsidRPr="00051880" w:rsidRDefault="00BA558B" w:rsidP="00DF1CD8">
      <w:pPr>
        <w:spacing w:line="240" w:lineRule="auto"/>
        <w:rPr>
          <w:szCs w:val="22"/>
        </w:rPr>
      </w:pPr>
      <w:r w:rsidRPr="00051880">
        <w:rPr>
          <w:szCs w:val="22"/>
        </w:rPr>
        <w:t>Údaje o liečbe supraventrikulárnych tachyarytmií landiololom u detí sú obmedzen</w:t>
      </w:r>
      <w:r w:rsidR="001A3FF2" w:rsidRPr="00051880">
        <w:rPr>
          <w:szCs w:val="22"/>
        </w:rPr>
        <w:t>é</w:t>
      </w:r>
      <w:r w:rsidRPr="00051880">
        <w:rPr>
          <w:szCs w:val="22"/>
        </w:rPr>
        <w:t xml:space="preserve"> a sú založené na publikovanej literatúre. Kontinuálna infúzia v objeme 4 mikrogramy/kg telesnej hmotnosti/min landiololu znížila srdcovú frekvenciu a vrátila normálny sínusový rytmus u 3-mesačného dojčaťa s pooperačnou junkčnou ektopickou tachykardiou (JET). </w:t>
      </w:r>
    </w:p>
    <w:p w:rsidR="00BA558B" w:rsidRPr="00051880" w:rsidRDefault="00BA558B" w:rsidP="00DF1CD8">
      <w:pPr>
        <w:spacing w:line="240" w:lineRule="auto"/>
        <w:rPr>
          <w:szCs w:val="22"/>
        </w:rPr>
      </w:pPr>
      <w:r w:rsidRPr="00051880">
        <w:rPr>
          <w:szCs w:val="22"/>
        </w:rPr>
        <w:t xml:space="preserve">Štyria pacienti vo veku od 14 dní do 2 rokov, u ktorých sa vyvinula perioperačná JET, boli liečení landiololom. U všetkých pacientov viedlo podanie landiololu v dávke v rozmedzí od 1,0 do 10,0 mikrogramov/kg telesnej hmotnosti/min k úspešnej kontrole srdcovej frekvencie. Neboli zaznamenané žiadne nežiaduce účinky, ako je bradykardia, hypotenzia alebo hypoglykémia. </w:t>
      </w:r>
    </w:p>
    <w:p w:rsidR="00BA558B" w:rsidRPr="00051880" w:rsidRDefault="00BA558B" w:rsidP="00DF1CD8">
      <w:pPr>
        <w:spacing w:line="240" w:lineRule="auto"/>
        <w:rPr>
          <w:szCs w:val="22"/>
        </w:rPr>
      </w:pPr>
      <w:r w:rsidRPr="00051880">
        <w:rPr>
          <w:szCs w:val="22"/>
        </w:rPr>
        <w:t>V retrospektívnej analýze bolo 12 pacientov vo veku od 4 dní do 5 rokov s diagnózou pooperačných tachyarytmií liečených landiololom (priemerná udržiavacia dávka bola 6,8 ± 0,9 mikrogramov/kg telesnej hmotnosti/min) na zníženie srdcovej frekvencie alebo prechod na sínusový rytmus. Tachyarytmie boli prevedené na sínusový rytmus v 70,0 % prípadov a priemerný čas na dosiahnutie zníženia srdcovej frekvencie bol 2,3 ± 0,5 hodiny. Bradykardia bola pozorovaná u jedného pacienta liečeného landiololom v dávke 10 mikrogramov/kg telesnej hmotnosti/min.</w:t>
      </w:r>
    </w:p>
    <w:p w:rsidR="00BA558B" w:rsidRPr="00051880" w:rsidRDefault="00BA558B" w:rsidP="00DF1CD8">
      <w:pPr>
        <w:spacing w:line="240" w:lineRule="auto"/>
        <w:rPr>
          <w:bCs/>
          <w:iCs/>
          <w:szCs w:val="22"/>
        </w:rPr>
      </w:pPr>
    </w:p>
    <w:p w:rsidR="00BA558B" w:rsidRPr="00051880" w:rsidRDefault="00BA558B" w:rsidP="00DF1CD8">
      <w:pPr>
        <w:pStyle w:val="Nadpis4"/>
        <w:spacing w:line="240" w:lineRule="auto"/>
        <w:jc w:val="left"/>
        <w:rPr>
          <w:szCs w:val="22"/>
        </w:rPr>
      </w:pPr>
      <w:r w:rsidRPr="00051880">
        <w:rPr>
          <w:szCs w:val="22"/>
        </w:rPr>
        <w:t>5.2</w:t>
      </w:r>
      <w:r w:rsidRPr="00051880">
        <w:rPr>
          <w:szCs w:val="22"/>
        </w:rPr>
        <w:tab/>
        <w:t>Farmakokinetické vlastnosti</w:t>
      </w:r>
    </w:p>
    <w:p w:rsidR="00BA558B" w:rsidRPr="00051880" w:rsidRDefault="00BA558B" w:rsidP="00DF1CD8">
      <w:pPr>
        <w:spacing w:line="240" w:lineRule="auto"/>
        <w:ind w:left="567" w:hanging="567"/>
        <w:rPr>
          <w:szCs w:val="22"/>
        </w:rPr>
      </w:pPr>
    </w:p>
    <w:p w:rsidR="00BA558B" w:rsidRPr="00051880" w:rsidRDefault="00BA558B" w:rsidP="00DF1CD8">
      <w:pPr>
        <w:numPr>
          <w:ilvl w:val="12"/>
          <w:numId w:val="0"/>
        </w:numPr>
        <w:spacing w:line="240" w:lineRule="auto"/>
        <w:ind w:right="-2"/>
        <w:rPr>
          <w:iCs/>
          <w:szCs w:val="22"/>
        </w:rPr>
      </w:pPr>
      <w:r w:rsidRPr="00051880">
        <w:rPr>
          <w:szCs w:val="22"/>
        </w:rPr>
        <w:t xml:space="preserve">Keď sa landiolol podáva kontinuálnou intravenóznou infúziou, koncentrácia landiololu v krvi dosiahne hodnoty </w:t>
      </w:r>
      <w:r w:rsidR="00C57E85" w:rsidRPr="00051880">
        <w:rPr>
          <w:szCs w:val="22"/>
        </w:rPr>
        <w:t xml:space="preserve">rovnovážneho </w:t>
      </w:r>
      <w:r w:rsidRPr="00051880">
        <w:rPr>
          <w:szCs w:val="22"/>
        </w:rPr>
        <w:t xml:space="preserve">stavu asi 15 minút po začatí podávania. </w:t>
      </w:r>
      <w:r w:rsidR="00C57E85" w:rsidRPr="00051880">
        <w:rPr>
          <w:szCs w:val="22"/>
        </w:rPr>
        <w:t xml:space="preserve">Rovnovážny </w:t>
      </w:r>
      <w:r w:rsidRPr="00051880">
        <w:rPr>
          <w:szCs w:val="22"/>
        </w:rPr>
        <w:t>stav môže byť dosiahnutý aj rýchlejšie (už do 2 až 5 minút) s režimami, ktoré používajú vyšši</w:t>
      </w:r>
      <w:r w:rsidR="00DD307E" w:rsidRPr="00051880">
        <w:rPr>
          <w:szCs w:val="22"/>
        </w:rPr>
        <w:t>u nasycovaciu</w:t>
      </w:r>
      <w:r w:rsidRPr="00051880">
        <w:rPr>
          <w:szCs w:val="22"/>
        </w:rPr>
        <w:t xml:space="preserve"> dávku infúzie po dobu 1 minúty s následnou kontinuálnou infúziou s nižšom dávkou.</w:t>
      </w:r>
    </w:p>
    <w:p w:rsidR="00BA558B" w:rsidRPr="00051880" w:rsidRDefault="00BA558B" w:rsidP="00DF1CD8">
      <w:pPr>
        <w:numPr>
          <w:ilvl w:val="12"/>
          <w:numId w:val="0"/>
        </w:numPr>
        <w:spacing w:line="240" w:lineRule="auto"/>
        <w:ind w:right="-2"/>
        <w:rPr>
          <w:iCs/>
          <w:szCs w:val="22"/>
          <w:u w:val="single"/>
        </w:rPr>
      </w:pPr>
    </w:p>
    <w:p w:rsidR="00BA558B" w:rsidRPr="00051880" w:rsidRDefault="00BA558B" w:rsidP="00DF1CD8">
      <w:pPr>
        <w:numPr>
          <w:ilvl w:val="12"/>
          <w:numId w:val="0"/>
        </w:numPr>
        <w:spacing w:line="240" w:lineRule="auto"/>
        <w:ind w:right="-2"/>
        <w:rPr>
          <w:iCs/>
          <w:szCs w:val="22"/>
          <w:u w:val="single"/>
        </w:rPr>
      </w:pPr>
      <w:r w:rsidRPr="00051880">
        <w:rPr>
          <w:szCs w:val="22"/>
          <w:u w:val="single"/>
        </w:rPr>
        <w:t>Absorpcia</w:t>
      </w:r>
    </w:p>
    <w:p w:rsidR="00BA558B" w:rsidRPr="00051880" w:rsidRDefault="00BA558B" w:rsidP="00DF1CD8">
      <w:pPr>
        <w:numPr>
          <w:ilvl w:val="12"/>
          <w:numId w:val="0"/>
        </w:numPr>
        <w:spacing w:line="240" w:lineRule="auto"/>
        <w:ind w:right="-2"/>
        <w:rPr>
          <w:iCs/>
          <w:szCs w:val="22"/>
        </w:rPr>
      </w:pPr>
      <w:r w:rsidRPr="00051880">
        <w:rPr>
          <w:szCs w:val="22"/>
        </w:rPr>
        <w:t xml:space="preserve">U zdravých dobrovoľníkov bola priemerná maximálna plazmatická koncentrácia landiololu 0,294 mikrogramov/ml po podaní jednorazovej dávky landiololu v množstve 100 mikrogramov/kg. Príslušné </w:t>
      </w:r>
      <w:r w:rsidR="00DD307E" w:rsidRPr="00051880">
        <w:rPr>
          <w:szCs w:val="22"/>
        </w:rPr>
        <w:t xml:space="preserve">rovnovážne </w:t>
      </w:r>
      <w:r w:rsidRPr="00051880">
        <w:rPr>
          <w:szCs w:val="22"/>
        </w:rPr>
        <w:t xml:space="preserve">hladiny v plazme po 2 hodinách infúzie 10, 20 a 40 mikrogramov/kg/min boli 0,2, 0,4 a 0,8 mikrogramov/ml v uvedenom poradí.  </w:t>
      </w:r>
    </w:p>
    <w:p w:rsidR="00BA558B" w:rsidRPr="00051880" w:rsidRDefault="00BA558B" w:rsidP="00DF1CD8">
      <w:pPr>
        <w:spacing w:line="240" w:lineRule="auto"/>
        <w:rPr>
          <w:szCs w:val="22"/>
        </w:rPr>
      </w:pPr>
    </w:p>
    <w:p w:rsidR="00BA558B" w:rsidRPr="00051880" w:rsidRDefault="00BA558B" w:rsidP="00DF1CD8">
      <w:pPr>
        <w:numPr>
          <w:ilvl w:val="12"/>
          <w:numId w:val="0"/>
        </w:numPr>
        <w:spacing w:line="240" w:lineRule="auto"/>
        <w:ind w:right="-2"/>
        <w:rPr>
          <w:szCs w:val="22"/>
        </w:rPr>
      </w:pPr>
      <w:r w:rsidRPr="00051880">
        <w:rPr>
          <w:szCs w:val="22"/>
        </w:rPr>
        <w:t xml:space="preserve">Vzhľadom na molekulárnu charakteristiku landiololu (nízka molekulová hmotnosť približne 0,5 kDa a nízka schopnosť väzby na proteíny) sa neočakáva významná reabsorpcia aktívnym transportom cez transportéry renálneho vychytávania OAT1, OAT3 alebo OCT2. </w:t>
      </w:r>
    </w:p>
    <w:p w:rsidR="00BA558B" w:rsidRPr="00051880" w:rsidRDefault="00BA558B" w:rsidP="00DF1CD8">
      <w:pPr>
        <w:numPr>
          <w:ilvl w:val="12"/>
          <w:numId w:val="0"/>
        </w:numPr>
        <w:spacing w:line="240" w:lineRule="auto"/>
        <w:ind w:right="-2"/>
        <w:rPr>
          <w:iCs/>
          <w:szCs w:val="22"/>
          <w:u w:val="single"/>
        </w:rPr>
      </w:pPr>
    </w:p>
    <w:p w:rsidR="00BA558B" w:rsidRPr="00051880" w:rsidRDefault="00BA558B" w:rsidP="00DF1CD8">
      <w:pPr>
        <w:numPr>
          <w:ilvl w:val="12"/>
          <w:numId w:val="0"/>
        </w:numPr>
        <w:spacing w:line="240" w:lineRule="auto"/>
        <w:ind w:right="-2"/>
        <w:rPr>
          <w:iCs/>
          <w:szCs w:val="22"/>
          <w:u w:val="single"/>
        </w:rPr>
      </w:pPr>
      <w:r w:rsidRPr="00051880">
        <w:rPr>
          <w:szCs w:val="22"/>
          <w:u w:val="single"/>
        </w:rPr>
        <w:t>Distribúcia</w:t>
      </w:r>
    </w:p>
    <w:p w:rsidR="00BA558B" w:rsidRPr="00051880" w:rsidRDefault="00BA558B" w:rsidP="00DF1CD8">
      <w:pPr>
        <w:tabs>
          <w:tab w:val="clear" w:pos="567"/>
          <w:tab w:val="left" w:pos="708"/>
        </w:tabs>
        <w:autoSpaceDE w:val="0"/>
        <w:autoSpaceDN w:val="0"/>
        <w:adjustRightInd w:val="0"/>
        <w:spacing w:line="240" w:lineRule="auto"/>
        <w:rPr>
          <w:iCs/>
          <w:szCs w:val="22"/>
        </w:rPr>
      </w:pPr>
      <w:r w:rsidRPr="00051880">
        <w:rPr>
          <w:szCs w:val="22"/>
        </w:rPr>
        <w:t xml:space="preserve">Objem distribúcie landiololu bol 0,3 l/kg – 0,4 l/kg po jednorazovom podaní bolusovej dávky 100 – 300 mikrogramov/kg alebo v </w:t>
      </w:r>
      <w:r w:rsidR="00287035" w:rsidRPr="00051880">
        <w:rPr>
          <w:szCs w:val="22"/>
        </w:rPr>
        <w:t>rovnovážnom</w:t>
      </w:r>
      <w:r w:rsidRPr="00051880">
        <w:rPr>
          <w:szCs w:val="22"/>
        </w:rPr>
        <w:t xml:space="preserve"> stave počas infúzie landiololu 20 – 80 mikrogramov/kg/min. </w:t>
      </w:r>
    </w:p>
    <w:p w:rsidR="00BA558B" w:rsidRPr="00051880" w:rsidRDefault="00BA558B" w:rsidP="00DF1CD8">
      <w:pPr>
        <w:tabs>
          <w:tab w:val="clear" w:pos="567"/>
          <w:tab w:val="left" w:pos="708"/>
        </w:tabs>
        <w:autoSpaceDE w:val="0"/>
        <w:autoSpaceDN w:val="0"/>
        <w:adjustRightInd w:val="0"/>
        <w:spacing w:line="240" w:lineRule="auto"/>
        <w:rPr>
          <w:iCs/>
          <w:szCs w:val="22"/>
        </w:rPr>
      </w:pPr>
      <w:r w:rsidRPr="00051880">
        <w:rPr>
          <w:szCs w:val="22"/>
        </w:rPr>
        <w:t xml:space="preserve">Landiolol má nízku väzbu na proteíny (&lt;10 %), ktorá je závislá od dávky. </w:t>
      </w:r>
    </w:p>
    <w:p w:rsidR="00BA558B" w:rsidRPr="00051880" w:rsidRDefault="00BA558B" w:rsidP="00DF1CD8">
      <w:pPr>
        <w:tabs>
          <w:tab w:val="clear" w:pos="567"/>
          <w:tab w:val="left" w:pos="708"/>
        </w:tabs>
        <w:autoSpaceDE w:val="0"/>
        <w:autoSpaceDN w:val="0"/>
        <w:adjustRightInd w:val="0"/>
        <w:spacing w:line="240" w:lineRule="auto"/>
        <w:rPr>
          <w:szCs w:val="22"/>
        </w:rPr>
      </w:pPr>
    </w:p>
    <w:p w:rsidR="00BA558B" w:rsidRPr="00051880" w:rsidRDefault="00BA558B" w:rsidP="00DF1CD8">
      <w:pPr>
        <w:numPr>
          <w:ilvl w:val="12"/>
          <w:numId w:val="0"/>
        </w:numPr>
        <w:spacing w:line="240" w:lineRule="auto"/>
        <w:ind w:right="-2"/>
        <w:rPr>
          <w:iCs/>
          <w:szCs w:val="22"/>
          <w:u w:val="single"/>
        </w:rPr>
      </w:pPr>
      <w:r w:rsidRPr="00051880">
        <w:rPr>
          <w:szCs w:val="22"/>
          <w:u w:val="single"/>
        </w:rPr>
        <w:t>Biotransformácia</w:t>
      </w:r>
    </w:p>
    <w:p w:rsidR="00BA558B" w:rsidRPr="00051880" w:rsidRDefault="00BA558B" w:rsidP="00DF1CD8">
      <w:pPr>
        <w:tabs>
          <w:tab w:val="clear" w:pos="567"/>
          <w:tab w:val="left" w:pos="708"/>
        </w:tabs>
        <w:spacing w:line="240" w:lineRule="auto"/>
        <w:rPr>
          <w:color w:val="000000"/>
          <w:szCs w:val="22"/>
        </w:rPr>
      </w:pPr>
      <w:r w:rsidRPr="00051880">
        <w:rPr>
          <w:szCs w:val="22"/>
        </w:rPr>
        <w:t xml:space="preserve">Landiolol sa metabolizuje hydrolýzou esterovej zložky.  </w:t>
      </w:r>
      <w:r w:rsidRPr="00051880">
        <w:rPr>
          <w:i/>
          <w:szCs w:val="22"/>
        </w:rPr>
        <w:t>In vitro</w:t>
      </w:r>
      <w:r w:rsidRPr="00051880">
        <w:rPr>
          <w:szCs w:val="22"/>
        </w:rPr>
        <w:t xml:space="preserve"> a </w:t>
      </w:r>
      <w:r w:rsidRPr="00051880">
        <w:rPr>
          <w:i/>
          <w:szCs w:val="22"/>
        </w:rPr>
        <w:t>in vivo</w:t>
      </w:r>
      <w:r w:rsidRPr="00051880">
        <w:rPr>
          <w:szCs w:val="22"/>
        </w:rPr>
        <w:t xml:space="preserve"> údaje nasvedčujú tomu, že landiolol sa metabolizuje predovšetkým v plazme pseudocholinesterázou a karboxylesterázou.</w:t>
      </w:r>
      <w:r w:rsidRPr="00051880">
        <w:rPr>
          <w:color w:val="000000"/>
          <w:szCs w:val="22"/>
        </w:rPr>
        <w:t xml:space="preserve"> </w:t>
      </w:r>
      <w:r w:rsidRPr="00051880">
        <w:rPr>
          <w:szCs w:val="22"/>
        </w:rPr>
        <w:t xml:space="preserve">Hydrolýza uvoľňuje ketál (alkoholická zložka), ktorý sa ďalej štiepi, čím vzniká glycerol a acetón, a komponent karboxylovej kyseliny (metabolit M1), ktorý následne prechádza beta-oxidáciou za vzniku metabolitu M2 (substituovanej kyseliny benzoovej). Účinok metabolitov landiololu M1 a M2 na blokovanie beta-1 adrenoreceptorov je 1/200 alebo menej z východiskovej zlúčeniny, čo znamená zanedbateľný vplyv na farmakodynamiku, keď sa berie do úvahy maximálna odporúčaná dávka landiololu a trvanie infúzie. </w:t>
      </w:r>
    </w:p>
    <w:p w:rsidR="00BA558B" w:rsidRPr="00051880" w:rsidRDefault="00BA558B" w:rsidP="00DF1CD8">
      <w:pPr>
        <w:tabs>
          <w:tab w:val="clear" w:pos="567"/>
          <w:tab w:val="left" w:pos="708"/>
        </w:tabs>
        <w:spacing w:line="240" w:lineRule="auto"/>
        <w:rPr>
          <w:color w:val="000000"/>
          <w:szCs w:val="22"/>
        </w:rPr>
      </w:pPr>
      <w:r w:rsidRPr="00051880">
        <w:rPr>
          <w:szCs w:val="22"/>
        </w:rPr>
        <w:lastRenderedPageBreak/>
        <w:t xml:space="preserve">Ani landiolol ani metabolity M1 a M2 nevykazovali inhibičné účinky na metabolickú aktivitu rôznych molekulárnych druhov cytochrómu P450 (CYP1A2, 2C9, 2C19, 2D6 a 3A4) </w:t>
      </w:r>
      <w:r w:rsidRPr="00051880">
        <w:rPr>
          <w:i/>
          <w:szCs w:val="22"/>
        </w:rPr>
        <w:t>in vitro</w:t>
      </w:r>
      <w:r w:rsidRPr="00051880">
        <w:rPr>
          <w:szCs w:val="22"/>
        </w:rPr>
        <w:t>. Obsah cytochrómu P450 nebol u potkanov po opakovanom intravenóznom podaní landiolol</w:t>
      </w:r>
      <w:r w:rsidR="00287035" w:rsidRPr="00051880">
        <w:rPr>
          <w:szCs w:val="22"/>
        </w:rPr>
        <w:t>u</w:t>
      </w:r>
      <w:r w:rsidRPr="00051880">
        <w:rPr>
          <w:szCs w:val="22"/>
        </w:rPr>
        <w:t xml:space="preserve"> ovplyvnený. Nie sú k dispozícii žiadne údaje o potenciálnom vplyve landiololu alebo jeho metabolitov na indukciu CYP P450 alebo časovo závislú inhibíciu.    </w:t>
      </w:r>
    </w:p>
    <w:p w:rsidR="00BA558B" w:rsidRPr="00051880" w:rsidRDefault="00BA558B" w:rsidP="00DF1CD8">
      <w:pPr>
        <w:numPr>
          <w:ilvl w:val="12"/>
          <w:numId w:val="0"/>
        </w:numPr>
        <w:spacing w:line="240" w:lineRule="auto"/>
        <w:ind w:right="-2"/>
        <w:rPr>
          <w:iCs/>
          <w:szCs w:val="22"/>
          <w:u w:val="single"/>
        </w:rPr>
      </w:pPr>
    </w:p>
    <w:p w:rsidR="00BA558B" w:rsidRPr="00051880" w:rsidRDefault="00BA558B" w:rsidP="00DF1CD8">
      <w:pPr>
        <w:numPr>
          <w:ilvl w:val="12"/>
          <w:numId w:val="0"/>
        </w:numPr>
        <w:spacing w:line="240" w:lineRule="auto"/>
        <w:ind w:right="-2"/>
        <w:rPr>
          <w:iCs/>
          <w:szCs w:val="22"/>
          <w:u w:val="single"/>
        </w:rPr>
      </w:pPr>
      <w:r w:rsidRPr="00051880">
        <w:rPr>
          <w:szCs w:val="22"/>
          <w:u w:val="single"/>
        </w:rPr>
        <w:t>Eliminácia</w:t>
      </w:r>
    </w:p>
    <w:p w:rsidR="00BA558B" w:rsidRPr="00051880" w:rsidRDefault="00BA558B" w:rsidP="00DF1CD8">
      <w:pPr>
        <w:numPr>
          <w:ilvl w:val="12"/>
          <w:numId w:val="0"/>
        </w:numPr>
        <w:spacing w:line="240" w:lineRule="auto"/>
        <w:ind w:right="-2"/>
        <w:rPr>
          <w:szCs w:val="22"/>
        </w:rPr>
      </w:pPr>
      <w:r w:rsidRPr="00051880">
        <w:rPr>
          <w:szCs w:val="22"/>
        </w:rPr>
        <w:t>U ľudí je hlavnou cestou vylučovania landiololu moč. Po intravenóznom podaní sa asi 75 % podanej dávky (54,4 % ako metabolit M1 a 11,5 % ako metabolit M2) vylúči v priebehu 4 hodín. Primárnou cestou vylučovania/eliminácie landiololu je vylučovanie/eliminácia močom s mierou vylúčenia landiololu a jeho hlavných metabolitov M1 a M2 močom &gt; 99 % v priebehu 24 hodín.</w:t>
      </w:r>
    </w:p>
    <w:p w:rsidR="00BA558B" w:rsidRPr="00051880" w:rsidRDefault="00BA558B" w:rsidP="00DF1CD8">
      <w:pPr>
        <w:tabs>
          <w:tab w:val="clear" w:pos="567"/>
          <w:tab w:val="left" w:pos="708"/>
        </w:tabs>
        <w:autoSpaceDE w:val="0"/>
        <w:autoSpaceDN w:val="0"/>
        <w:adjustRightInd w:val="0"/>
        <w:spacing w:line="240" w:lineRule="auto"/>
        <w:rPr>
          <w:iCs/>
          <w:szCs w:val="22"/>
        </w:rPr>
      </w:pPr>
      <w:r w:rsidRPr="00051880">
        <w:rPr>
          <w:szCs w:val="22"/>
        </w:rPr>
        <w:t xml:space="preserve">Celkový telesný klírens landiololu bol 66,1 ml/kg/min po jednorazovom podaní landiololu v bolusovej dávke 100 mikrogramov/kg a 57 ml/kg/min v </w:t>
      </w:r>
      <w:r w:rsidR="00DD307E" w:rsidRPr="00051880">
        <w:rPr>
          <w:szCs w:val="22"/>
        </w:rPr>
        <w:t>rovnovážnom</w:t>
      </w:r>
      <w:r w:rsidRPr="00051880">
        <w:rPr>
          <w:szCs w:val="22"/>
        </w:rPr>
        <w:t xml:space="preserve"> stave po 20</w:t>
      </w:r>
      <w:r w:rsidR="00DD307E" w:rsidRPr="00051880">
        <w:rPr>
          <w:szCs w:val="22"/>
        </w:rPr>
        <w:t>-</w:t>
      </w:r>
      <w:r w:rsidRPr="00051880">
        <w:rPr>
          <w:szCs w:val="22"/>
        </w:rPr>
        <w:t xml:space="preserve">hodinovej kontinuálnej infúzii landiololu v dávke 40 mikrogramov/kg/min. </w:t>
      </w:r>
    </w:p>
    <w:p w:rsidR="00BA558B" w:rsidRPr="00051880" w:rsidRDefault="00BA558B" w:rsidP="00DF1CD8">
      <w:pPr>
        <w:tabs>
          <w:tab w:val="clear" w:pos="567"/>
          <w:tab w:val="left" w:pos="708"/>
        </w:tabs>
        <w:autoSpaceDE w:val="0"/>
        <w:autoSpaceDN w:val="0"/>
        <w:adjustRightInd w:val="0"/>
        <w:spacing w:line="240" w:lineRule="auto"/>
        <w:rPr>
          <w:szCs w:val="22"/>
        </w:rPr>
      </w:pPr>
      <w:r w:rsidRPr="00051880">
        <w:rPr>
          <w:szCs w:val="22"/>
        </w:rPr>
        <w:t>Polčas eliminácie landiololu bol 3,2 minúty po jednorazovom podaní landiololu v bolusovej dávke 100 mikrogramov/kg a 4,52 minút po 20</w:t>
      </w:r>
      <w:r w:rsidR="00DD307E" w:rsidRPr="00051880">
        <w:rPr>
          <w:szCs w:val="22"/>
        </w:rPr>
        <w:t>-</w:t>
      </w:r>
      <w:r w:rsidRPr="00051880">
        <w:rPr>
          <w:szCs w:val="22"/>
        </w:rPr>
        <w:t>hodinovej kontinuálnej infúzii landiololu v dávke 40 mikrogramov/kg/min.</w:t>
      </w:r>
    </w:p>
    <w:p w:rsidR="00BA558B" w:rsidRPr="00051880" w:rsidRDefault="00BA558B" w:rsidP="00DF1CD8">
      <w:pPr>
        <w:numPr>
          <w:ilvl w:val="12"/>
          <w:numId w:val="0"/>
        </w:numPr>
        <w:spacing w:line="240" w:lineRule="auto"/>
        <w:ind w:right="-2"/>
        <w:rPr>
          <w:iCs/>
          <w:szCs w:val="22"/>
          <w:u w:val="single"/>
        </w:rPr>
      </w:pPr>
    </w:p>
    <w:p w:rsidR="00BA558B" w:rsidRPr="00051880" w:rsidRDefault="00BA558B" w:rsidP="00DF1CD8">
      <w:pPr>
        <w:numPr>
          <w:ilvl w:val="12"/>
          <w:numId w:val="0"/>
        </w:numPr>
        <w:spacing w:line="240" w:lineRule="auto"/>
        <w:ind w:right="-2"/>
        <w:rPr>
          <w:iCs/>
          <w:szCs w:val="22"/>
          <w:u w:val="single"/>
        </w:rPr>
      </w:pPr>
      <w:r w:rsidRPr="00051880">
        <w:rPr>
          <w:szCs w:val="22"/>
          <w:u w:val="single"/>
        </w:rPr>
        <w:t>Lineárnosť/nelineárnosť</w:t>
      </w:r>
    </w:p>
    <w:p w:rsidR="00BA558B" w:rsidRPr="00051880" w:rsidRDefault="00BA558B" w:rsidP="00DF1CD8">
      <w:pPr>
        <w:numPr>
          <w:ilvl w:val="12"/>
          <w:numId w:val="0"/>
        </w:numPr>
        <w:spacing w:line="240" w:lineRule="auto"/>
        <w:ind w:right="-2"/>
        <w:rPr>
          <w:iCs/>
          <w:szCs w:val="22"/>
        </w:rPr>
      </w:pPr>
      <w:r w:rsidRPr="00051880">
        <w:rPr>
          <w:szCs w:val="22"/>
        </w:rPr>
        <w:t>Landiolol preukázal lineárny farmakokinetický – farmakodynamický (koncentrácia-účinok) vzťah v celom rozsahu odporúčaných dávok.</w:t>
      </w:r>
    </w:p>
    <w:p w:rsidR="00BA558B" w:rsidRPr="00051880" w:rsidRDefault="00BA558B" w:rsidP="00DF1CD8">
      <w:pPr>
        <w:numPr>
          <w:ilvl w:val="12"/>
          <w:numId w:val="0"/>
        </w:numPr>
        <w:spacing w:line="240" w:lineRule="auto"/>
        <w:ind w:right="-2"/>
        <w:rPr>
          <w:iCs/>
          <w:szCs w:val="22"/>
        </w:rPr>
      </w:pPr>
    </w:p>
    <w:p w:rsidR="00BA558B" w:rsidRPr="00051880" w:rsidRDefault="00287035" w:rsidP="00DF1CD8">
      <w:pPr>
        <w:spacing w:line="240" w:lineRule="auto"/>
        <w:rPr>
          <w:iCs/>
          <w:szCs w:val="22"/>
          <w:u w:val="single"/>
        </w:rPr>
      </w:pPr>
      <w:r w:rsidRPr="00051880">
        <w:rPr>
          <w:szCs w:val="22"/>
          <w:u w:val="single"/>
        </w:rPr>
        <w:t>Osobitné</w:t>
      </w:r>
      <w:r w:rsidR="00BA558B" w:rsidRPr="00051880">
        <w:rPr>
          <w:szCs w:val="22"/>
          <w:u w:val="single"/>
        </w:rPr>
        <w:t xml:space="preserve"> skupiny pacientov</w:t>
      </w:r>
    </w:p>
    <w:p w:rsidR="00BA558B" w:rsidRPr="00051880" w:rsidRDefault="00BA558B" w:rsidP="00DF1CD8">
      <w:pPr>
        <w:spacing w:line="240" w:lineRule="auto"/>
        <w:rPr>
          <w:iCs/>
          <w:szCs w:val="22"/>
          <w:u w:val="single"/>
        </w:rPr>
      </w:pPr>
      <w:r w:rsidRPr="00051880">
        <w:rPr>
          <w:i/>
          <w:szCs w:val="22"/>
        </w:rPr>
        <w:t>Porucha funkcie pečene</w:t>
      </w:r>
    </w:p>
    <w:p w:rsidR="00BA558B" w:rsidRPr="00051880" w:rsidRDefault="00BA558B" w:rsidP="00DF1CD8">
      <w:pPr>
        <w:tabs>
          <w:tab w:val="clear" w:pos="567"/>
          <w:tab w:val="left" w:pos="708"/>
        </w:tabs>
        <w:spacing w:line="240" w:lineRule="auto"/>
        <w:rPr>
          <w:szCs w:val="22"/>
        </w:rPr>
      </w:pPr>
      <w:r w:rsidRPr="00051880">
        <w:rPr>
          <w:szCs w:val="22"/>
        </w:rPr>
        <w:t>Vplyv funkcie pečene na farmakokinetické vlastnosti landiololu bol skúmaný u šiestich pacientov s miernou až stredne ťažkou poruchou funkcie pečene (5 pacientov trieda A podľa Childa-Pugha, jeden pacient trieda B podľa Childa-Pugha</w:t>
      </w:r>
      <w:r w:rsidR="00287035" w:rsidRPr="00051880">
        <w:rPr>
          <w:szCs w:val="22"/>
        </w:rPr>
        <w:t xml:space="preserve"> s priemernou</w:t>
      </w:r>
      <w:r w:rsidRPr="00051880">
        <w:rPr>
          <w:szCs w:val="22"/>
        </w:rPr>
        <w:t xml:space="preserve"> hladinou cholínesterázy v plazme -62 %) a u šiestich zdravých dobrovoľníkov. Pacienti s poruchou funkcie pečene sa vyznačujú znížením objemu distribúcie landiololu a zvýšením hladín landiololu v plazme o 40 %. Eliminačný polčas a eliminácia liečiva sa nelíši od zdravých dospelých osôb.</w:t>
      </w:r>
    </w:p>
    <w:p w:rsidR="00BA558B" w:rsidRPr="00051880" w:rsidRDefault="00BA558B" w:rsidP="00DF1CD8">
      <w:pPr>
        <w:tabs>
          <w:tab w:val="clear" w:pos="567"/>
          <w:tab w:val="left" w:pos="708"/>
        </w:tabs>
        <w:spacing w:line="240" w:lineRule="auto"/>
        <w:rPr>
          <w:szCs w:val="22"/>
        </w:rPr>
      </w:pPr>
    </w:p>
    <w:p w:rsidR="00BA558B" w:rsidRPr="00051880" w:rsidRDefault="00BA558B" w:rsidP="00DF1CD8">
      <w:pPr>
        <w:spacing w:line="240" w:lineRule="auto"/>
        <w:rPr>
          <w:i/>
          <w:iCs/>
          <w:szCs w:val="22"/>
        </w:rPr>
      </w:pPr>
      <w:r w:rsidRPr="00051880">
        <w:rPr>
          <w:i/>
          <w:szCs w:val="22"/>
        </w:rPr>
        <w:t>Porucha funkcie obličiek</w:t>
      </w:r>
    </w:p>
    <w:p w:rsidR="00BA558B" w:rsidRPr="00051880" w:rsidRDefault="00BA558B" w:rsidP="00DF1CD8">
      <w:pPr>
        <w:tabs>
          <w:tab w:val="clear" w:pos="567"/>
          <w:tab w:val="left" w:pos="708"/>
        </w:tabs>
        <w:spacing w:line="240" w:lineRule="auto"/>
        <w:rPr>
          <w:i/>
          <w:szCs w:val="22"/>
        </w:rPr>
      </w:pPr>
      <w:r w:rsidRPr="00051880">
        <w:rPr>
          <w:szCs w:val="22"/>
        </w:rPr>
        <w:t>Farmakokinetické vlastnosti u pacientov s poruchou funkcie obličiek neboli hodnotené.</w:t>
      </w:r>
    </w:p>
    <w:p w:rsidR="00BA558B" w:rsidRPr="00051880" w:rsidRDefault="00BA558B" w:rsidP="00DF1CD8">
      <w:pPr>
        <w:tabs>
          <w:tab w:val="clear" w:pos="567"/>
          <w:tab w:val="left" w:pos="708"/>
        </w:tabs>
        <w:spacing w:line="240" w:lineRule="auto"/>
        <w:rPr>
          <w:szCs w:val="22"/>
        </w:rPr>
      </w:pPr>
    </w:p>
    <w:p w:rsidR="00BA558B" w:rsidRPr="00051880" w:rsidRDefault="00BA558B" w:rsidP="00DF1CD8">
      <w:pPr>
        <w:tabs>
          <w:tab w:val="clear" w:pos="567"/>
          <w:tab w:val="left" w:pos="708"/>
        </w:tabs>
        <w:spacing w:line="240" w:lineRule="auto"/>
        <w:rPr>
          <w:szCs w:val="22"/>
          <w:u w:val="single"/>
        </w:rPr>
      </w:pPr>
      <w:r w:rsidRPr="00051880">
        <w:rPr>
          <w:szCs w:val="22"/>
          <w:u w:val="single"/>
        </w:rPr>
        <w:t>Belošská a</w:t>
      </w:r>
      <w:r w:rsidR="00287035" w:rsidRPr="00051880">
        <w:rPr>
          <w:szCs w:val="22"/>
          <w:u w:val="single"/>
        </w:rPr>
        <w:t> ázijská populácia</w:t>
      </w:r>
    </w:p>
    <w:p w:rsidR="00BA558B" w:rsidRPr="00051880" w:rsidRDefault="00BA558B" w:rsidP="00DF1CD8">
      <w:pPr>
        <w:tabs>
          <w:tab w:val="clear" w:pos="567"/>
          <w:tab w:val="left" w:pos="708"/>
        </w:tabs>
        <w:spacing w:line="240" w:lineRule="auto"/>
        <w:rPr>
          <w:color w:val="000000"/>
          <w:szCs w:val="22"/>
        </w:rPr>
      </w:pPr>
    </w:p>
    <w:p w:rsidR="00BA558B" w:rsidRPr="00051880" w:rsidRDefault="00BA558B" w:rsidP="00DF1CD8">
      <w:pPr>
        <w:spacing w:line="240" w:lineRule="auto"/>
        <w:rPr>
          <w:color w:val="000000"/>
          <w:szCs w:val="22"/>
        </w:rPr>
      </w:pPr>
      <w:r w:rsidRPr="00051880">
        <w:rPr>
          <w:color w:val="000000"/>
          <w:szCs w:val="22"/>
        </w:rPr>
        <w:t>Neboli pozorované žiadne významné rozdiely vo farmakokinetických vlastnostiach landiololu medzi belošskou a japonskou populáciou.</w:t>
      </w:r>
    </w:p>
    <w:p w:rsidR="00BA558B" w:rsidRPr="00051880" w:rsidRDefault="00BA558B" w:rsidP="00DF1CD8">
      <w:pPr>
        <w:spacing w:line="240" w:lineRule="auto"/>
        <w:rPr>
          <w:b/>
          <w:color w:val="000000"/>
          <w:szCs w:val="22"/>
        </w:rPr>
      </w:pPr>
    </w:p>
    <w:p w:rsidR="00BA558B" w:rsidRPr="00051880" w:rsidRDefault="00BA558B" w:rsidP="00DF1CD8">
      <w:pPr>
        <w:pStyle w:val="Nadpis4"/>
        <w:spacing w:line="240" w:lineRule="auto"/>
        <w:jc w:val="left"/>
        <w:rPr>
          <w:color w:val="000000"/>
          <w:szCs w:val="22"/>
        </w:rPr>
      </w:pPr>
      <w:r w:rsidRPr="00051880">
        <w:rPr>
          <w:color w:val="000000"/>
          <w:szCs w:val="22"/>
        </w:rPr>
        <w:t>5.3</w:t>
      </w:r>
      <w:r w:rsidRPr="00051880">
        <w:rPr>
          <w:color w:val="000000"/>
          <w:szCs w:val="22"/>
        </w:rPr>
        <w:tab/>
        <w:t>Predklinické údaje o bezpečnosti</w:t>
      </w:r>
    </w:p>
    <w:p w:rsidR="00BA558B" w:rsidRPr="00051880" w:rsidRDefault="00BA558B" w:rsidP="00DF1CD8">
      <w:pPr>
        <w:spacing w:line="240" w:lineRule="auto"/>
        <w:rPr>
          <w:color w:val="000000"/>
          <w:szCs w:val="22"/>
        </w:rPr>
      </w:pPr>
    </w:p>
    <w:p w:rsidR="00BA558B" w:rsidRPr="00051880" w:rsidRDefault="00BA558B" w:rsidP="00DF1CD8">
      <w:pPr>
        <w:spacing w:line="240" w:lineRule="auto"/>
        <w:rPr>
          <w:color w:val="000000"/>
          <w:szCs w:val="22"/>
        </w:rPr>
      </w:pPr>
      <w:r w:rsidRPr="00051880">
        <w:rPr>
          <w:color w:val="000000"/>
          <w:szCs w:val="22"/>
        </w:rPr>
        <w:t xml:space="preserve">Predklinické údaje </w:t>
      </w:r>
      <w:r w:rsidR="00287035" w:rsidRPr="00051880">
        <w:rPr>
          <w:color w:val="000000"/>
          <w:szCs w:val="22"/>
        </w:rPr>
        <w:t xml:space="preserve">získané </w:t>
      </w:r>
      <w:r w:rsidRPr="00051880">
        <w:rPr>
          <w:color w:val="000000"/>
          <w:szCs w:val="22"/>
        </w:rPr>
        <w:t>na základe obvyklých farmakologických štúdií bezpečnosti, toxicity po jednorazovom a opakovanom pod</w:t>
      </w:r>
      <w:r w:rsidR="00287035" w:rsidRPr="00051880">
        <w:rPr>
          <w:color w:val="000000"/>
          <w:szCs w:val="22"/>
        </w:rPr>
        <w:t>áv</w:t>
      </w:r>
      <w:r w:rsidRPr="00051880">
        <w:rPr>
          <w:color w:val="000000"/>
          <w:szCs w:val="22"/>
        </w:rPr>
        <w:t>aní, genotoxicity, reprodukčnej toxicity a</w:t>
      </w:r>
      <w:r w:rsidR="00287035" w:rsidRPr="00051880">
        <w:rPr>
          <w:color w:val="000000"/>
          <w:szCs w:val="22"/>
        </w:rPr>
        <w:t> </w:t>
      </w:r>
      <w:r w:rsidRPr="00051880">
        <w:rPr>
          <w:color w:val="000000"/>
          <w:szCs w:val="22"/>
        </w:rPr>
        <w:t>výv</w:t>
      </w:r>
      <w:r w:rsidR="00287035" w:rsidRPr="00051880">
        <w:rPr>
          <w:color w:val="000000"/>
          <w:szCs w:val="22"/>
        </w:rPr>
        <w:t>inu neodhalili žiadne osobitné riziko pre ľudí</w:t>
      </w:r>
      <w:r w:rsidRPr="00051880">
        <w:rPr>
          <w:color w:val="000000"/>
          <w:szCs w:val="22"/>
        </w:rPr>
        <w:t>. V štúdiách zameraných na reprodukčnú a vývojovú toxicitu landiolol nenarušoval plodnosť u potkanov a nemal nepriaznivý vplyv na vývoj embrya a plodu až po dávky toxické pre matku. V štúdii zameranej na perinatálny a postnatálny vývoj u potkanov bol u mláďat generácie F1 pri podávaní vysokých dávok, ktoré boli pre matku toxické, pozorovaný znížený prírastok telesnej hmotnosti a znížená miera prežitia po 4 dňoch po pôrode. Tento efekt pravdepodobne nie je klinicky relevantný, pretože k nemu došlo po opakovanom pod</w:t>
      </w:r>
      <w:r w:rsidR="00287035" w:rsidRPr="00051880">
        <w:rPr>
          <w:color w:val="000000"/>
          <w:szCs w:val="22"/>
        </w:rPr>
        <w:t>áv</w:t>
      </w:r>
      <w:r w:rsidRPr="00051880">
        <w:rPr>
          <w:color w:val="000000"/>
          <w:szCs w:val="22"/>
        </w:rPr>
        <w:t xml:space="preserve">aní. </w:t>
      </w:r>
    </w:p>
    <w:p w:rsidR="00BA558B" w:rsidRPr="00051880" w:rsidRDefault="00BA558B" w:rsidP="00DF1CD8">
      <w:pPr>
        <w:spacing w:line="240" w:lineRule="auto"/>
        <w:rPr>
          <w:color w:val="000000"/>
          <w:szCs w:val="22"/>
        </w:rPr>
      </w:pPr>
    </w:p>
    <w:p w:rsidR="00BA558B" w:rsidRPr="00051880" w:rsidRDefault="00BA558B" w:rsidP="00DF1CD8">
      <w:pPr>
        <w:spacing w:line="240" w:lineRule="auto"/>
        <w:rPr>
          <w:b/>
          <w:color w:val="000000"/>
          <w:szCs w:val="22"/>
        </w:rPr>
      </w:pPr>
    </w:p>
    <w:p w:rsidR="00BA558B" w:rsidRPr="00051880" w:rsidRDefault="00BA558B" w:rsidP="00DF1CD8">
      <w:pPr>
        <w:pStyle w:val="Nadpis3"/>
        <w:spacing w:before="0" w:after="0" w:line="240" w:lineRule="auto"/>
        <w:rPr>
          <w:color w:val="000000"/>
          <w:sz w:val="22"/>
          <w:szCs w:val="22"/>
        </w:rPr>
      </w:pPr>
      <w:r w:rsidRPr="00051880">
        <w:rPr>
          <w:color w:val="000000"/>
          <w:sz w:val="22"/>
          <w:szCs w:val="22"/>
        </w:rPr>
        <w:t>6.</w:t>
      </w:r>
      <w:r w:rsidRPr="00051880">
        <w:rPr>
          <w:color w:val="000000"/>
          <w:sz w:val="22"/>
          <w:szCs w:val="22"/>
        </w:rPr>
        <w:tab/>
        <w:t>FARMACEUTICKÉ INFORMÁCIE</w:t>
      </w:r>
    </w:p>
    <w:p w:rsidR="00BA558B" w:rsidRPr="00051880" w:rsidRDefault="00BA558B" w:rsidP="00DF1CD8">
      <w:pPr>
        <w:spacing w:line="240" w:lineRule="auto"/>
        <w:rPr>
          <w:b/>
          <w:color w:val="000000"/>
          <w:szCs w:val="22"/>
        </w:rPr>
      </w:pPr>
    </w:p>
    <w:p w:rsidR="00BA558B" w:rsidRPr="00051880" w:rsidRDefault="00BA558B" w:rsidP="00DF1CD8">
      <w:pPr>
        <w:pStyle w:val="Nadpis4"/>
        <w:spacing w:line="240" w:lineRule="auto"/>
        <w:jc w:val="left"/>
        <w:rPr>
          <w:color w:val="000000"/>
          <w:szCs w:val="22"/>
        </w:rPr>
      </w:pPr>
      <w:r w:rsidRPr="00051880">
        <w:rPr>
          <w:color w:val="000000"/>
          <w:szCs w:val="22"/>
        </w:rPr>
        <w:t>6.1</w:t>
      </w:r>
      <w:r w:rsidRPr="00051880">
        <w:rPr>
          <w:color w:val="000000"/>
          <w:szCs w:val="22"/>
        </w:rPr>
        <w:tab/>
        <w:t>Zoznam pomocných látok</w:t>
      </w:r>
    </w:p>
    <w:p w:rsidR="00BA558B" w:rsidRPr="00051880" w:rsidRDefault="00BA558B" w:rsidP="00DF1CD8">
      <w:pPr>
        <w:spacing w:line="240" w:lineRule="auto"/>
        <w:rPr>
          <w:color w:val="000000"/>
          <w:szCs w:val="22"/>
        </w:rPr>
      </w:pPr>
    </w:p>
    <w:p w:rsidR="00BA558B" w:rsidRPr="00051880" w:rsidRDefault="00BA558B" w:rsidP="00DF1CD8">
      <w:pPr>
        <w:spacing w:line="240" w:lineRule="auto"/>
        <w:rPr>
          <w:color w:val="000000"/>
          <w:szCs w:val="22"/>
        </w:rPr>
      </w:pPr>
      <w:r w:rsidRPr="00051880">
        <w:rPr>
          <w:color w:val="000000"/>
          <w:szCs w:val="22"/>
        </w:rPr>
        <w:t>Manitol E421</w:t>
      </w:r>
    </w:p>
    <w:p w:rsidR="00BA558B" w:rsidRPr="00051880" w:rsidRDefault="00BA558B" w:rsidP="00DF1CD8">
      <w:pPr>
        <w:spacing w:line="240" w:lineRule="auto"/>
        <w:rPr>
          <w:iCs/>
          <w:color w:val="000000"/>
          <w:szCs w:val="22"/>
        </w:rPr>
      </w:pPr>
      <w:r w:rsidRPr="00051880">
        <w:rPr>
          <w:color w:val="000000"/>
          <w:szCs w:val="22"/>
        </w:rPr>
        <w:lastRenderedPageBreak/>
        <w:t>Hydroxid sodný (na úpravu pH)</w:t>
      </w:r>
    </w:p>
    <w:p w:rsidR="00BA558B" w:rsidRPr="00051880" w:rsidRDefault="00BA558B" w:rsidP="00DF1CD8">
      <w:pPr>
        <w:spacing w:line="240" w:lineRule="auto"/>
        <w:rPr>
          <w:color w:val="000000"/>
          <w:szCs w:val="22"/>
        </w:rPr>
      </w:pPr>
    </w:p>
    <w:p w:rsidR="00BA558B" w:rsidRPr="00051880" w:rsidRDefault="00BA558B" w:rsidP="00DF1CD8">
      <w:pPr>
        <w:pStyle w:val="Nadpis4"/>
        <w:spacing w:line="240" w:lineRule="auto"/>
        <w:jc w:val="left"/>
        <w:rPr>
          <w:color w:val="000000"/>
          <w:szCs w:val="22"/>
        </w:rPr>
      </w:pPr>
      <w:r w:rsidRPr="00051880">
        <w:rPr>
          <w:color w:val="000000"/>
          <w:szCs w:val="22"/>
        </w:rPr>
        <w:t>6.2</w:t>
      </w:r>
      <w:r w:rsidRPr="00051880">
        <w:rPr>
          <w:color w:val="000000"/>
          <w:szCs w:val="22"/>
        </w:rPr>
        <w:tab/>
        <w:t>Inkompatibility</w:t>
      </w:r>
    </w:p>
    <w:p w:rsidR="00BA558B" w:rsidRPr="00051880" w:rsidRDefault="00BA558B" w:rsidP="00DF1CD8">
      <w:pPr>
        <w:spacing w:line="240" w:lineRule="auto"/>
        <w:rPr>
          <w:color w:val="000000"/>
          <w:szCs w:val="22"/>
        </w:rPr>
      </w:pPr>
    </w:p>
    <w:p w:rsidR="00BA558B" w:rsidRPr="00051880" w:rsidRDefault="00BA558B" w:rsidP="00DF1CD8">
      <w:pPr>
        <w:spacing w:line="240" w:lineRule="auto"/>
        <w:rPr>
          <w:color w:val="000000"/>
          <w:szCs w:val="22"/>
        </w:rPr>
      </w:pPr>
      <w:r w:rsidRPr="00051880">
        <w:rPr>
          <w:color w:val="000000"/>
          <w:szCs w:val="22"/>
        </w:rPr>
        <w:t>Tento liek sa nesmie zmiešavať s inými produktmi okrem tých, ktoré sú uvedené v časti 6.6.</w:t>
      </w:r>
    </w:p>
    <w:p w:rsidR="00BA558B" w:rsidRPr="00051880" w:rsidRDefault="00BA558B" w:rsidP="00DF1CD8">
      <w:pPr>
        <w:spacing w:line="240" w:lineRule="auto"/>
        <w:rPr>
          <w:color w:val="000000"/>
          <w:szCs w:val="22"/>
        </w:rPr>
      </w:pPr>
    </w:p>
    <w:p w:rsidR="00BA558B" w:rsidRPr="00051880" w:rsidRDefault="00BA558B" w:rsidP="00DF1CD8">
      <w:pPr>
        <w:pStyle w:val="Nadpis4"/>
        <w:spacing w:line="240" w:lineRule="auto"/>
        <w:jc w:val="left"/>
        <w:rPr>
          <w:color w:val="000000"/>
          <w:szCs w:val="22"/>
        </w:rPr>
      </w:pPr>
      <w:r w:rsidRPr="00051880">
        <w:rPr>
          <w:color w:val="000000"/>
          <w:szCs w:val="22"/>
        </w:rPr>
        <w:t>6.3</w:t>
      </w:r>
      <w:r w:rsidRPr="00051880">
        <w:rPr>
          <w:color w:val="000000"/>
          <w:szCs w:val="22"/>
        </w:rPr>
        <w:tab/>
        <w:t>Čas použiteľnosti</w:t>
      </w:r>
    </w:p>
    <w:p w:rsidR="00BA558B" w:rsidRPr="00051880" w:rsidRDefault="00BA558B" w:rsidP="00DF1CD8">
      <w:pPr>
        <w:spacing w:line="240" w:lineRule="auto"/>
        <w:rPr>
          <w:color w:val="000000"/>
          <w:szCs w:val="22"/>
        </w:rPr>
      </w:pPr>
    </w:p>
    <w:p w:rsidR="00BA558B" w:rsidRPr="00051880" w:rsidRDefault="00BA558B" w:rsidP="00DF1CD8">
      <w:pPr>
        <w:spacing w:line="240" w:lineRule="auto"/>
        <w:rPr>
          <w:color w:val="000000"/>
          <w:szCs w:val="22"/>
        </w:rPr>
      </w:pPr>
      <w:r w:rsidRPr="00051880">
        <w:rPr>
          <w:color w:val="000000"/>
          <w:szCs w:val="22"/>
        </w:rPr>
        <w:t>3 roky</w:t>
      </w:r>
    </w:p>
    <w:p w:rsidR="00BA558B" w:rsidRPr="00051880" w:rsidRDefault="00BA558B" w:rsidP="00DF1CD8">
      <w:pPr>
        <w:spacing w:line="240" w:lineRule="auto"/>
        <w:rPr>
          <w:color w:val="000000"/>
          <w:szCs w:val="22"/>
        </w:rPr>
      </w:pPr>
    </w:p>
    <w:p w:rsidR="00BA558B" w:rsidRPr="00051880" w:rsidRDefault="00BA558B" w:rsidP="00DF1CD8">
      <w:pPr>
        <w:spacing w:line="240" w:lineRule="auto"/>
        <w:rPr>
          <w:color w:val="000000"/>
          <w:szCs w:val="22"/>
        </w:rPr>
      </w:pPr>
      <w:r w:rsidRPr="00051880">
        <w:rPr>
          <w:color w:val="000000"/>
          <w:szCs w:val="22"/>
        </w:rPr>
        <w:t>Chemická a fyzikálna stabilita na použitie po rekonštitúcii bola preukázaná počas 24 hodín pri teplote 25 °C. Z mikrobiologického hľadiska sa má liek použiť okamžite. Ak nie je liek použitý okamžite, za dobu uchovávania otvoreného lieku a stav pred použitím zodpovedá používateľ. Chráňte pred mrazom.</w:t>
      </w:r>
    </w:p>
    <w:p w:rsidR="00BA558B" w:rsidRPr="00051880" w:rsidRDefault="00BA558B" w:rsidP="00DF1CD8">
      <w:pPr>
        <w:spacing w:line="240" w:lineRule="auto"/>
        <w:rPr>
          <w:b/>
          <w:color w:val="000000"/>
          <w:szCs w:val="22"/>
        </w:rPr>
      </w:pPr>
      <w:r w:rsidRPr="00051880">
        <w:rPr>
          <w:color w:val="000000"/>
          <w:szCs w:val="22"/>
        </w:rPr>
        <w:t xml:space="preserve"> </w:t>
      </w:r>
    </w:p>
    <w:p w:rsidR="00BA558B" w:rsidRPr="00051880" w:rsidRDefault="00BA558B" w:rsidP="00DF1CD8">
      <w:pPr>
        <w:pStyle w:val="Nadpis4"/>
        <w:spacing w:line="240" w:lineRule="auto"/>
        <w:jc w:val="left"/>
        <w:rPr>
          <w:color w:val="000000"/>
          <w:szCs w:val="22"/>
        </w:rPr>
      </w:pPr>
      <w:r w:rsidRPr="00051880">
        <w:rPr>
          <w:color w:val="000000"/>
          <w:szCs w:val="22"/>
        </w:rPr>
        <w:t>6.4</w:t>
      </w:r>
      <w:r w:rsidRPr="00051880">
        <w:rPr>
          <w:color w:val="000000"/>
          <w:szCs w:val="22"/>
        </w:rPr>
        <w:tab/>
        <w:t>Špeciálne upozornenia na uchovávanie</w:t>
      </w:r>
    </w:p>
    <w:p w:rsidR="00BA558B" w:rsidRPr="00051880" w:rsidRDefault="00BA558B" w:rsidP="00DF1CD8">
      <w:pPr>
        <w:spacing w:line="240" w:lineRule="auto"/>
        <w:rPr>
          <w:i/>
          <w:iCs/>
          <w:color w:val="000000"/>
          <w:szCs w:val="22"/>
        </w:rPr>
      </w:pPr>
    </w:p>
    <w:p w:rsidR="00BA558B" w:rsidRPr="00051880" w:rsidRDefault="00BA558B" w:rsidP="00DF1CD8">
      <w:pPr>
        <w:spacing w:line="240" w:lineRule="auto"/>
        <w:rPr>
          <w:color w:val="000000"/>
          <w:szCs w:val="22"/>
        </w:rPr>
      </w:pPr>
      <w:r w:rsidRPr="00051880">
        <w:rPr>
          <w:color w:val="000000"/>
          <w:szCs w:val="22"/>
        </w:rPr>
        <w:t xml:space="preserve">Tento liek nevyžaduje žiadne zvláštne podmienky na uchovávanie. </w:t>
      </w:r>
    </w:p>
    <w:p w:rsidR="00BA558B" w:rsidRPr="00051880" w:rsidRDefault="00BA558B" w:rsidP="00DF1CD8">
      <w:pPr>
        <w:spacing w:line="240" w:lineRule="auto"/>
        <w:rPr>
          <w:color w:val="000000"/>
          <w:szCs w:val="22"/>
        </w:rPr>
      </w:pPr>
    </w:p>
    <w:p w:rsidR="00BA558B" w:rsidRPr="00051880" w:rsidRDefault="00BA558B" w:rsidP="00DF1CD8">
      <w:pPr>
        <w:spacing w:line="240" w:lineRule="auto"/>
        <w:rPr>
          <w:color w:val="000000"/>
          <w:szCs w:val="22"/>
        </w:rPr>
      </w:pPr>
      <w:r w:rsidRPr="00051880">
        <w:rPr>
          <w:color w:val="000000"/>
          <w:szCs w:val="22"/>
        </w:rPr>
        <w:t>Podmienky na uchovávanie po rekonštitúcii lieku sú uvedené v časti 6.3.</w:t>
      </w:r>
    </w:p>
    <w:p w:rsidR="00BA558B" w:rsidRPr="00051880" w:rsidRDefault="00BA558B" w:rsidP="00DF1CD8">
      <w:pPr>
        <w:spacing w:line="240" w:lineRule="auto"/>
        <w:rPr>
          <w:color w:val="000000"/>
          <w:szCs w:val="22"/>
        </w:rPr>
      </w:pPr>
    </w:p>
    <w:p w:rsidR="00BA558B" w:rsidRPr="00051880" w:rsidRDefault="00BA558B" w:rsidP="00DF1CD8">
      <w:pPr>
        <w:pStyle w:val="Nadpis4"/>
        <w:spacing w:line="240" w:lineRule="auto"/>
        <w:jc w:val="left"/>
        <w:rPr>
          <w:color w:val="000000"/>
          <w:szCs w:val="22"/>
        </w:rPr>
      </w:pPr>
      <w:r w:rsidRPr="00051880">
        <w:rPr>
          <w:color w:val="000000"/>
          <w:szCs w:val="22"/>
        </w:rPr>
        <w:t>6.5</w:t>
      </w:r>
      <w:r w:rsidRPr="00051880">
        <w:rPr>
          <w:color w:val="000000"/>
          <w:szCs w:val="22"/>
        </w:rPr>
        <w:tab/>
        <w:t>Druh obalu a obsah balenia</w:t>
      </w:r>
    </w:p>
    <w:p w:rsidR="00BA558B" w:rsidRPr="00051880" w:rsidRDefault="00BA558B" w:rsidP="00DF1CD8">
      <w:pPr>
        <w:spacing w:line="240" w:lineRule="auto"/>
        <w:rPr>
          <w:color w:val="000000"/>
          <w:szCs w:val="22"/>
        </w:rPr>
      </w:pPr>
    </w:p>
    <w:p w:rsidR="00BA558B" w:rsidRPr="00051880" w:rsidRDefault="00DD307E" w:rsidP="00DF1CD8">
      <w:pPr>
        <w:spacing w:line="240" w:lineRule="auto"/>
        <w:rPr>
          <w:color w:val="000000"/>
          <w:szCs w:val="22"/>
        </w:rPr>
      </w:pPr>
      <w:r w:rsidRPr="00051880">
        <w:rPr>
          <w:color w:val="000000"/>
          <w:szCs w:val="22"/>
        </w:rPr>
        <w:t>50 ml i</w:t>
      </w:r>
      <w:r w:rsidR="00FE5E15" w:rsidRPr="00051880">
        <w:rPr>
          <w:color w:val="000000"/>
          <w:szCs w:val="22"/>
        </w:rPr>
        <w:t>njekčná liekovka</w:t>
      </w:r>
      <w:r w:rsidR="00BA558B" w:rsidRPr="00051880">
        <w:rPr>
          <w:color w:val="000000"/>
          <w:szCs w:val="22"/>
        </w:rPr>
        <w:t xml:space="preserve"> z číreho skla (typ 1) s bromobutylkaučukovou zátkou a hliníkovou odnímateľnou plombou. </w:t>
      </w:r>
    </w:p>
    <w:p w:rsidR="00BA558B" w:rsidRPr="00051880" w:rsidRDefault="00BA558B" w:rsidP="00DF1CD8">
      <w:pPr>
        <w:spacing w:line="240" w:lineRule="auto"/>
        <w:rPr>
          <w:color w:val="000000"/>
          <w:szCs w:val="22"/>
        </w:rPr>
      </w:pPr>
    </w:p>
    <w:p w:rsidR="00BA558B" w:rsidRPr="00051880" w:rsidRDefault="00BA558B" w:rsidP="00DF1CD8">
      <w:pPr>
        <w:spacing w:line="240" w:lineRule="auto"/>
        <w:rPr>
          <w:color w:val="000000"/>
          <w:szCs w:val="22"/>
        </w:rPr>
      </w:pPr>
      <w:r w:rsidRPr="00051880">
        <w:rPr>
          <w:color w:val="000000"/>
          <w:szCs w:val="22"/>
        </w:rPr>
        <w:t xml:space="preserve">Veľkosť balenia: 1 </w:t>
      </w:r>
      <w:r w:rsidR="00FE5E15" w:rsidRPr="00051880">
        <w:rPr>
          <w:color w:val="000000"/>
          <w:szCs w:val="22"/>
        </w:rPr>
        <w:t>injekčná liekovka</w:t>
      </w:r>
      <w:r w:rsidRPr="00051880">
        <w:rPr>
          <w:color w:val="000000"/>
          <w:szCs w:val="22"/>
        </w:rPr>
        <w:t xml:space="preserve"> obsahuje 300 mg (farebný kód odnímateľnej plomby je žltá farba) alebo 600 mg (farebný kód odnímateľnej plomby je červená farba) prášku na infúzny roztok.</w:t>
      </w:r>
    </w:p>
    <w:p w:rsidR="00BA558B" w:rsidRPr="00051880" w:rsidRDefault="00BA558B" w:rsidP="00DF1CD8">
      <w:pPr>
        <w:spacing w:line="240" w:lineRule="auto"/>
        <w:rPr>
          <w:color w:val="000000"/>
          <w:szCs w:val="22"/>
        </w:rPr>
      </w:pPr>
    </w:p>
    <w:p w:rsidR="00BA558B" w:rsidRPr="00051880" w:rsidRDefault="00BA558B" w:rsidP="00DF1CD8">
      <w:pPr>
        <w:spacing w:line="240" w:lineRule="auto"/>
        <w:rPr>
          <w:color w:val="000000"/>
          <w:szCs w:val="22"/>
        </w:rPr>
      </w:pPr>
      <w:r w:rsidRPr="00051880">
        <w:rPr>
          <w:color w:val="000000"/>
          <w:szCs w:val="22"/>
        </w:rPr>
        <w:t>Na trh nemusia byť uvedené všetky veľkosti balenia.</w:t>
      </w:r>
    </w:p>
    <w:p w:rsidR="00BA558B" w:rsidRPr="00051880" w:rsidRDefault="00BA558B" w:rsidP="00DF1CD8">
      <w:pPr>
        <w:spacing w:line="240" w:lineRule="auto"/>
        <w:rPr>
          <w:color w:val="000000"/>
          <w:szCs w:val="22"/>
        </w:rPr>
      </w:pPr>
    </w:p>
    <w:p w:rsidR="00BA558B" w:rsidRPr="00051880" w:rsidRDefault="00BA558B" w:rsidP="00DF1CD8">
      <w:pPr>
        <w:pStyle w:val="Nadpis4"/>
        <w:spacing w:line="240" w:lineRule="auto"/>
        <w:jc w:val="left"/>
        <w:rPr>
          <w:color w:val="000000"/>
          <w:szCs w:val="22"/>
        </w:rPr>
      </w:pPr>
      <w:r w:rsidRPr="00051880">
        <w:rPr>
          <w:color w:val="000000"/>
          <w:szCs w:val="22"/>
        </w:rPr>
        <w:t>6.6</w:t>
      </w:r>
      <w:r w:rsidRPr="00051880">
        <w:rPr>
          <w:color w:val="000000"/>
          <w:szCs w:val="22"/>
        </w:rPr>
        <w:tab/>
        <w:t>Špeciálne opatrenia na likvidáciu a iné zaobchádzanie s liekom</w:t>
      </w:r>
    </w:p>
    <w:p w:rsidR="00BA558B" w:rsidRPr="00051880" w:rsidRDefault="00BA558B" w:rsidP="00DF1CD8">
      <w:pPr>
        <w:spacing w:line="240" w:lineRule="auto"/>
        <w:rPr>
          <w:color w:val="000000"/>
          <w:szCs w:val="22"/>
        </w:rPr>
      </w:pPr>
    </w:p>
    <w:p w:rsidR="00BA558B" w:rsidRPr="00051880" w:rsidRDefault="00BA558B" w:rsidP="00DF1CD8">
      <w:pPr>
        <w:spacing w:line="240" w:lineRule="auto"/>
        <w:rPr>
          <w:color w:val="000000"/>
          <w:szCs w:val="22"/>
        </w:rPr>
      </w:pPr>
      <w:r w:rsidRPr="00051880">
        <w:rPr>
          <w:color w:val="000000"/>
          <w:szCs w:val="22"/>
        </w:rPr>
        <w:t>Rapibloc sa nesmie podávať bez rekonštitúcie.</w:t>
      </w:r>
    </w:p>
    <w:p w:rsidR="00BA558B" w:rsidRPr="00051880" w:rsidRDefault="00BA558B" w:rsidP="00DF1CD8">
      <w:pPr>
        <w:spacing w:line="240" w:lineRule="auto"/>
        <w:rPr>
          <w:color w:val="000000"/>
          <w:szCs w:val="22"/>
        </w:rPr>
      </w:pPr>
    </w:p>
    <w:p w:rsidR="00BA558B" w:rsidRPr="00051880" w:rsidRDefault="00BA558B" w:rsidP="00DF1CD8">
      <w:pPr>
        <w:spacing w:line="240" w:lineRule="auto"/>
        <w:rPr>
          <w:i/>
          <w:color w:val="000000"/>
          <w:szCs w:val="22"/>
        </w:rPr>
      </w:pPr>
      <w:r w:rsidRPr="00051880">
        <w:rPr>
          <w:i/>
          <w:color w:val="000000"/>
          <w:szCs w:val="22"/>
        </w:rPr>
        <w:t>Pokyny na použitie</w:t>
      </w:r>
    </w:p>
    <w:p w:rsidR="00BA558B" w:rsidRPr="00051880" w:rsidRDefault="00BA558B" w:rsidP="00DF1CD8">
      <w:pPr>
        <w:spacing w:line="240" w:lineRule="auto"/>
        <w:rPr>
          <w:color w:val="000000"/>
          <w:szCs w:val="22"/>
        </w:rPr>
      </w:pPr>
    </w:p>
    <w:p w:rsidR="00BA558B" w:rsidRPr="00051880" w:rsidRDefault="00BA558B" w:rsidP="00DF1CD8">
      <w:pPr>
        <w:spacing w:line="240" w:lineRule="auto"/>
        <w:rPr>
          <w:color w:val="000000"/>
          <w:szCs w:val="22"/>
        </w:rPr>
      </w:pPr>
      <w:r w:rsidRPr="00051880">
        <w:rPr>
          <w:color w:val="000000"/>
          <w:szCs w:val="22"/>
        </w:rPr>
        <w:t xml:space="preserve">Rekonštituujte 1 </w:t>
      </w:r>
      <w:r w:rsidR="00FE5E15" w:rsidRPr="00051880">
        <w:rPr>
          <w:color w:val="000000"/>
          <w:szCs w:val="22"/>
        </w:rPr>
        <w:t>injekčnú liekovku</w:t>
      </w:r>
      <w:r w:rsidRPr="00051880">
        <w:rPr>
          <w:color w:val="000000"/>
          <w:szCs w:val="22"/>
        </w:rPr>
        <w:t xml:space="preserve"> v 50 ml jedného z nasled</w:t>
      </w:r>
      <w:r w:rsidR="00FE5E15" w:rsidRPr="00051880">
        <w:rPr>
          <w:color w:val="000000"/>
          <w:szCs w:val="22"/>
        </w:rPr>
        <w:t>ovných</w:t>
      </w:r>
      <w:r w:rsidRPr="00051880">
        <w:rPr>
          <w:color w:val="000000"/>
          <w:szCs w:val="22"/>
        </w:rPr>
        <w:t xml:space="preserve"> roztokov:</w:t>
      </w:r>
    </w:p>
    <w:p w:rsidR="00BA558B" w:rsidRPr="00051880" w:rsidRDefault="00BA558B" w:rsidP="00DF1CD8">
      <w:pPr>
        <w:numPr>
          <w:ilvl w:val="0"/>
          <w:numId w:val="43"/>
        </w:numPr>
        <w:spacing w:line="240" w:lineRule="auto"/>
        <w:rPr>
          <w:color w:val="000000"/>
          <w:szCs w:val="22"/>
        </w:rPr>
      </w:pPr>
      <w:r w:rsidRPr="00051880">
        <w:rPr>
          <w:color w:val="000000"/>
          <w:szCs w:val="22"/>
        </w:rPr>
        <w:t>Roztok NaCl 9 mg/ml (0,9 %)</w:t>
      </w:r>
    </w:p>
    <w:p w:rsidR="00BA558B" w:rsidRPr="00051880" w:rsidRDefault="00BA558B" w:rsidP="00DF1CD8">
      <w:pPr>
        <w:numPr>
          <w:ilvl w:val="0"/>
          <w:numId w:val="43"/>
        </w:numPr>
        <w:spacing w:line="240" w:lineRule="auto"/>
        <w:rPr>
          <w:color w:val="000000"/>
          <w:szCs w:val="22"/>
        </w:rPr>
      </w:pPr>
      <w:r w:rsidRPr="00051880">
        <w:rPr>
          <w:color w:val="000000"/>
          <w:szCs w:val="22"/>
        </w:rPr>
        <w:t>Roztok glukózy 50 mg/ml (5%)</w:t>
      </w:r>
    </w:p>
    <w:p w:rsidR="00BA558B" w:rsidRPr="00051880" w:rsidRDefault="00BA558B" w:rsidP="00DF1CD8">
      <w:pPr>
        <w:numPr>
          <w:ilvl w:val="0"/>
          <w:numId w:val="43"/>
        </w:numPr>
        <w:spacing w:line="240" w:lineRule="auto"/>
        <w:rPr>
          <w:color w:val="000000"/>
          <w:szCs w:val="22"/>
        </w:rPr>
      </w:pPr>
      <w:r w:rsidRPr="00051880">
        <w:rPr>
          <w:color w:val="000000"/>
          <w:szCs w:val="22"/>
        </w:rPr>
        <w:t>Ringerov roztok</w:t>
      </w:r>
    </w:p>
    <w:p w:rsidR="00BA558B" w:rsidRPr="00051880" w:rsidRDefault="00BA558B" w:rsidP="00DF1CD8">
      <w:pPr>
        <w:numPr>
          <w:ilvl w:val="0"/>
          <w:numId w:val="43"/>
        </w:numPr>
        <w:spacing w:line="240" w:lineRule="auto"/>
        <w:rPr>
          <w:color w:val="000000"/>
          <w:szCs w:val="22"/>
        </w:rPr>
      </w:pPr>
      <w:r w:rsidRPr="00051880">
        <w:rPr>
          <w:color w:val="000000"/>
          <w:szCs w:val="22"/>
        </w:rPr>
        <w:t>Ringerov laktátový roztok</w:t>
      </w:r>
    </w:p>
    <w:p w:rsidR="00BA558B" w:rsidRPr="00051880" w:rsidRDefault="00BA558B" w:rsidP="00DF1CD8">
      <w:pPr>
        <w:spacing w:line="240" w:lineRule="auto"/>
        <w:rPr>
          <w:color w:val="000000"/>
          <w:szCs w:val="22"/>
        </w:rPr>
      </w:pPr>
    </w:p>
    <w:p w:rsidR="00BA558B" w:rsidRPr="00051880" w:rsidRDefault="00BA558B" w:rsidP="00DF1CD8">
      <w:pPr>
        <w:spacing w:line="240" w:lineRule="auto"/>
        <w:rPr>
          <w:color w:val="000000"/>
          <w:szCs w:val="22"/>
        </w:rPr>
      </w:pPr>
      <w:r w:rsidRPr="00051880">
        <w:rPr>
          <w:color w:val="000000"/>
          <w:szCs w:val="22"/>
        </w:rPr>
        <w:t>Údaje o pH a osmolalite roztoku landiololu pripraveného na podanie:</w:t>
      </w:r>
    </w:p>
    <w:p w:rsidR="00BA558B" w:rsidRPr="00051880" w:rsidRDefault="00BA558B" w:rsidP="00DF1CD8">
      <w:pPr>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2"/>
        <w:gridCol w:w="1956"/>
        <w:gridCol w:w="2410"/>
      </w:tblGrid>
      <w:tr w:rsidR="00BA558B" w:rsidRPr="00051880" w:rsidTr="00BA558B">
        <w:tc>
          <w:tcPr>
            <w:tcW w:w="2972" w:type="dxa"/>
            <w:vMerge w:val="restart"/>
            <w:shd w:val="clear" w:color="auto" w:fill="auto"/>
          </w:tcPr>
          <w:p w:rsidR="00BA558B" w:rsidRPr="00051880" w:rsidRDefault="00287035" w:rsidP="00287035">
            <w:pPr>
              <w:spacing w:line="240" w:lineRule="auto"/>
              <w:rPr>
                <w:b/>
                <w:color w:val="000000"/>
                <w:szCs w:val="22"/>
              </w:rPr>
            </w:pPr>
            <w:r w:rsidRPr="00051880">
              <w:rPr>
                <w:b/>
                <w:color w:val="000000"/>
                <w:szCs w:val="22"/>
              </w:rPr>
              <w:t>Landiololiumchlorid</w:t>
            </w:r>
            <w:r w:rsidR="00BA558B" w:rsidRPr="00051880">
              <w:rPr>
                <w:b/>
                <w:color w:val="000000"/>
                <w:szCs w:val="22"/>
              </w:rPr>
              <w:t xml:space="preserve"> 300 mg / 600 mg </w:t>
            </w:r>
            <w:r w:rsidRPr="00051880">
              <w:rPr>
                <w:b/>
                <w:color w:val="000000"/>
                <w:szCs w:val="22"/>
              </w:rPr>
              <w:t>zriedený roztokom</w:t>
            </w:r>
          </w:p>
        </w:tc>
        <w:tc>
          <w:tcPr>
            <w:tcW w:w="1956" w:type="dxa"/>
            <w:shd w:val="clear" w:color="auto" w:fill="auto"/>
          </w:tcPr>
          <w:p w:rsidR="00BA558B" w:rsidRPr="00051880" w:rsidRDefault="00BA558B" w:rsidP="00DF1CD8">
            <w:pPr>
              <w:spacing w:line="240" w:lineRule="auto"/>
              <w:rPr>
                <w:b/>
                <w:color w:val="000000"/>
                <w:szCs w:val="22"/>
              </w:rPr>
            </w:pPr>
            <w:r w:rsidRPr="00051880">
              <w:rPr>
                <w:b/>
                <w:color w:val="000000"/>
                <w:szCs w:val="22"/>
              </w:rPr>
              <w:t xml:space="preserve">pH </w:t>
            </w:r>
          </w:p>
        </w:tc>
        <w:tc>
          <w:tcPr>
            <w:tcW w:w="2410" w:type="dxa"/>
            <w:shd w:val="clear" w:color="auto" w:fill="auto"/>
          </w:tcPr>
          <w:p w:rsidR="00BA558B" w:rsidRPr="00051880" w:rsidRDefault="00BA558B" w:rsidP="00DF1CD8">
            <w:pPr>
              <w:spacing w:line="240" w:lineRule="auto"/>
              <w:rPr>
                <w:b/>
                <w:color w:val="000000"/>
                <w:szCs w:val="22"/>
              </w:rPr>
            </w:pPr>
            <w:r w:rsidRPr="00051880">
              <w:rPr>
                <w:b/>
                <w:color w:val="000000"/>
                <w:szCs w:val="22"/>
              </w:rPr>
              <w:t>Osmolalita [Osm/kg]</w:t>
            </w:r>
          </w:p>
        </w:tc>
      </w:tr>
      <w:tr w:rsidR="00BA558B" w:rsidRPr="00051880" w:rsidTr="00BA558B">
        <w:tc>
          <w:tcPr>
            <w:tcW w:w="2972" w:type="dxa"/>
            <w:vMerge/>
            <w:shd w:val="clear" w:color="auto" w:fill="auto"/>
          </w:tcPr>
          <w:p w:rsidR="00BA558B" w:rsidRPr="00051880" w:rsidRDefault="00BA558B" w:rsidP="00DF1CD8">
            <w:pPr>
              <w:spacing w:line="240" w:lineRule="auto"/>
              <w:rPr>
                <w:color w:val="000000"/>
                <w:szCs w:val="22"/>
              </w:rPr>
            </w:pPr>
          </w:p>
        </w:tc>
        <w:tc>
          <w:tcPr>
            <w:tcW w:w="4366" w:type="dxa"/>
            <w:gridSpan w:val="2"/>
            <w:shd w:val="clear" w:color="auto" w:fill="auto"/>
            <w:vAlign w:val="center"/>
          </w:tcPr>
          <w:p w:rsidR="00BA558B" w:rsidRPr="00051880" w:rsidRDefault="00287035" w:rsidP="00DF1CD8">
            <w:pPr>
              <w:spacing w:line="240" w:lineRule="auto"/>
              <w:rPr>
                <w:color w:val="000000"/>
                <w:szCs w:val="22"/>
              </w:rPr>
            </w:pPr>
            <w:r w:rsidRPr="00051880">
              <w:rPr>
                <w:color w:val="000000"/>
                <w:szCs w:val="22"/>
              </w:rPr>
              <w:t>Zriedený</w:t>
            </w:r>
            <w:r w:rsidR="00BA558B" w:rsidRPr="00051880">
              <w:rPr>
                <w:color w:val="000000"/>
                <w:szCs w:val="22"/>
              </w:rPr>
              <w:t xml:space="preserve"> roztok (bez viditeľných častíc)</w:t>
            </w:r>
          </w:p>
        </w:tc>
      </w:tr>
      <w:tr w:rsidR="00BA558B" w:rsidRPr="00051880" w:rsidTr="00BA558B">
        <w:tc>
          <w:tcPr>
            <w:tcW w:w="2972" w:type="dxa"/>
            <w:shd w:val="clear" w:color="auto" w:fill="auto"/>
          </w:tcPr>
          <w:p w:rsidR="00BA558B" w:rsidRPr="00051880" w:rsidRDefault="00BA558B" w:rsidP="00DF1CD8">
            <w:pPr>
              <w:spacing w:line="240" w:lineRule="auto"/>
              <w:rPr>
                <w:color w:val="000000"/>
                <w:szCs w:val="22"/>
              </w:rPr>
            </w:pPr>
            <w:r w:rsidRPr="00051880">
              <w:rPr>
                <w:color w:val="000000"/>
                <w:szCs w:val="22"/>
              </w:rPr>
              <w:t>Roztok NaCl 9 mg/ml (0,9 %)</w:t>
            </w:r>
          </w:p>
        </w:tc>
        <w:tc>
          <w:tcPr>
            <w:tcW w:w="1956" w:type="dxa"/>
            <w:shd w:val="clear" w:color="auto" w:fill="auto"/>
            <w:vAlign w:val="center"/>
          </w:tcPr>
          <w:p w:rsidR="00BA558B" w:rsidRPr="00051880" w:rsidRDefault="00BA558B" w:rsidP="00DF1CD8">
            <w:pPr>
              <w:spacing w:line="240" w:lineRule="auto"/>
              <w:rPr>
                <w:color w:val="000000"/>
                <w:szCs w:val="22"/>
              </w:rPr>
            </w:pPr>
            <w:r w:rsidRPr="00051880">
              <w:rPr>
                <w:color w:val="000000"/>
                <w:szCs w:val="22"/>
              </w:rPr>
              <w:t>6,5/6,5</w:t>
            </w:r>
          </w:p>
        </w:tc>
        <w:tc>
          <w:tcPr>
            <w:tcW w:w="2410" w:type="dxa"/>
            <w:shd w:val="clear" w:color="auto" w:fill="auto"/>
          </w:tcPr>
          <w:p w:rsidR="00BA558B" w:rsidRPr="00051880" w:rsidRDefault="00BA558B" w:rsidP="00DF1CD8">
            <w:pPr>
              <w:spacing w:line="240" w:lineRule="auto"/>
              <w:rPr>
                <w:color w:val="000000"/>
                <w:szCs w:val="22"/>
              </w:rPr>
            </w:pPr>
            <w:r w:rsidRPr="00051880">
              <w:rPr>
                <w:color w:val="000000"/>
                <w:szCs w:val="22"/>
              </w:rPr>
              <w:t>0,341/0,401</w:t>
            </w:r>
          </w:p>
        </w:tc>
      </w:tr>
      <w:tr w:rsidR="00BA558B" w:rsidRPr="00051880" w:rsidTr="00BA558B">
        <w:tc>
          <w:tcPr>
            <w:tcW w:w="2972" w:type="dxa"/>
            <w:shd w:val="clear" w:color="auto" w:fill="auto"/>
          </w:tcPr>
          <w:p w:rsidR="00BA558B" w:rsidRPr="00051880" w:rsidRDefault="00BA558B" w:rsidP="00DF1CD8">
            <w:pPr>
              <w:spacing w:line="240" w:lineRule="auto"/>
              <w:rPr>
                <w:color w:val="000000"/>
                <w:szCs w:val="22"/>
              </w:rPr>
            </w:pPr>
            <w:r w:rsidRPr="00051880">
              <w:rPr>
                <w:color w:val="000000"/>
                <w:szCs w:val="22"/>
              </w:rPr>
              <w:t>Roztok glukózy 50 mg/ml (5%)</w:t>
            </w:r>
          </w:p>
        </w:tc>
        <w:tc>
          <w:tcPr>
            <w:tcW w:w="1956" w:type="dxa"/>
            <w:shd w:val="clear" w:color="auto" w:fill="auto"/>
            <w:vAlign w:val="center"/>
          </w:tcPr>
          <w:p w:rsidR="00BA558B" w:rsidRPr="00051880" w:rsidRDefault="00BA558B" w:rsidP="00DF1CD8">
            <w:pPr>
              <w:spacing w:line="240" w:lineRule="auto"/>
              <w:rPr>
                <w:color w:val="000000"/>
                <w:szCs w:val="22"/>
              </w:rPr>
            </w:pPr>
            <w:r w:rsidRPr="00051880">
              <w:rPr>
                <w:color w:val="000000"/>
                <w:szCs w:val="22"/>
              </w:rPr>
              <w:t>6,6/6,1</w:t>
            </w:r>
          </w:p>
        </w:tc>
        <w:tc>
          <w:tcPr>
            <w:tcW w:w="2410" w:type="dxa"/>
            <w:shd w:val="clear" w:color="auto" w:fill="auto"/>
            <w:vAlign w:val="center"/>
          </w:tcPr>
          <w:p w:rsidR="00BA558B" w:rsidRPr="00051880" w:rsidRDefault="00BA558B" w:rsidP="00DF1CD8">
            <w:pPr>
              <w:spacing w:line="240" w:lineRule="auto"/>
              <w:rPr>
                <w:color w:val="000000"/>
                <w:szCs w:val="22"/>
              </w:rPr>
            </w:pPr>
            <w:r w:rsidRPr="00051880">
              <w:rPr>
                <w:color w:val="000000"/>
                <w:szCs w:val="22"/>
              </w:rPr>
              <w:t>0,358/0,412</w:t>
            </w:r>
          </w:p>
        </w:tc>
      </w:tr>
      <w:tr w:rsidR="00BA558B" w:rsidRPr="00051880" w:rsidTr="00BA558B">
        <w:tc>
          <w:tcPr>
            <w:tcW w:w="2972" w:type="dxa"/>
            <w:shd w:val="clear" w:color="auto" w:fill="auto"/>
          </w:tcPr>
          <w:p w:rsidR="00BA558B" w:rsidRPr="00051880" w:rsidRDefault="00BA558B" w:rsidP="00DF1CD8">
            <w:pPr>
              <w:spacing w:line="240" w:lineRule="auto"/>
              <w:rPr>
                <w:color w:val="000000"/>
                <w:szCs w:val="22"/>
              </w:rPr>
            </w:pPr>
            <w:r w:rsidRPr="00051880">
              <w:rPr>
                <w:color w:val="000000"/>
                <w:szCs w:val="22"/>
              </w:rPr>
              <w:t>Ringerov roztok</w:t>
            </w:r>
          </w:p>
        </w:tc>
        <w:tc>
          <w:tcPr>
            <w:tcW w:w="1956" w:type="dxa"/>
            <w:shd w:val="clear" w:color="auto" w:fill="auto"/>
            <w:vAlign w:val="center"/>
          </w:tcPr>
          <w:p w:rsidR="00BA558B" w:rsidRPr="00051880" w:rsidRDefault="00BA558B" w:rsidP="00DF1CD8">
            <w:pPr>
              <w:spacing w:line="240" w:lineRule="auto"/>
              <w:rPr>
                <w:color w:val="000000"/>
                <w:szCs w:val="22"/>
              </w:rPr>
            </w:pPr>
            <w:r w:rsidRPr="00051880">
              <w:rPr>
                <w:color w:val="000000"/>
                <w:szCs w:val="22"/>
              </w:rPr>
              <w:t>6,4/6,0</w:t>
            </w:r>
          </w:p>
        </w:tc>
        <w:tc>
          <w:tcPr>
            <w:tcW w:w="2410" w:type="dxa"/>
            <w:shd w:val="clear" w:color="auto" w:fill="auto"/>
            <w:vAlign w:val="center"/>
          </w:tcPr>
          <w:p w:rsidR="00BA558B" w:rsidRPr="00051880" w:rsidRDefault="00BA558B" w:rsidP="00DF1CD8">
            <w:pPr>
              <w:spacing w:line="240" w:lineRule="auto"/>
              <w:rPr>
                <w:color w:val="000000"/>
                <w:szCs w:val="22"/>
              </w:rPr>
            </w:pPr>
            <w:r w:rsidRPr="00051880">
              <w:rPr>
                <w:color w:val="000000"/>
                <w:szCs w:val="22"/>
              </w:rPr>
              <w:t>0,342/0,391</w:t>
            </w:r>
          </w:p>
        </w:tc>
      </w:tr>
      <w:tr w:rsidR="00BA558B" w:rsidRPr="00051880" w:rsidTr="00BA558B">
        <w:tc>
          <w:tcPr>
            <w:tcW w:w="2972" w:type="dxa"/>
            <w:shd w:val="clear" w:color="auto" w:fill="auto"/>
          </w:tcPr>
          <w:p w:rsidR="00BA558B" w:rsidRPr="00051880" w:rsidRDefault="00BA558B" w:rsidP="00DF1CD8">
            <w:pPr>
              <w:spacing w:line="240" w:lineRule="auto"/>
              <w:rPr>
                <w:color w:val="000000"/>
                <w:szCs w:val="22"/>
              </w:rPr>
            </w:pPr>
            <w:r w:rsidRPr="00051880">
              <w:rPr>
                <w:color w:val="000000"/>
                <w:szCs w:val="22"/>
              </w:rPr>
              <w:t>Ringerov laktátový roztok</w:t>
            </w:r>
          </w:p>
        </w:tc>
        <w:tc>
          <w:tcPr>
            <w:tcW w:w="1956" w:type="dxa"/>
            <w:shd w:val="clear" w:color="auto" w:fill="auto"/>
            <w:vAlign w:val="center"/>
          </w:tcPr>
          <w:p w:rsidR="00BA558B" w:rsidRPr="00051880" w:rsidRDefault="00BA558B" w:rsidP="00DF1CD8">
            <w:pPr>
              <w:spacing w:line="240" w:lineRule="auto"/>
              <w:rPr>
                <w:color w:val="000000"/>
                <w:szCs w:val="22"/>
              </w:rPr>
            </w:pPr>
            <w:r w:rsidRPr="00051880">
              <w:rPr>
                <w:color w:val="000000"/>
                <w:szCs w:val="22"/>
              </w:rPr>
              <w:t>6,5/6,2</w:t>
            </w:r>
          </w:p>
        </w:tc>
        <w:tc>
          <w:tcPr>
            <w:tcW w:w="2410" w:type="dxa"/>
            <w:shd w:val="clear" w:color="auto" w:fill="auto"/>
            <w:vAlign w:val="center"/>
          </w:tcPr>
          <w:p w:rsidR="00BA558B" w:rsidRPr="00051880" w:rsidRDefault="00BA558B" w:rsidP="00DF1CD8">
            <w:pPr>
              <w:spacing w:line="240" w:lineRule="auto"/>
              <w:rPr>
                <w:color w:val="000000"/>
                <w:szCs w:val="22"/>
              </w:rPr>
            </w:pPr>
            <w:r w:rsidRPr="00051880">
              <w:rPr>
                <w:color w:val="000000"/>
                <w:szCs w:val="22"/>
              </w:rPr>
              <w:t>0,313/0,360</w:t>
            </w:r>
          </w:p>
        </w:tc>
      </w:tr>
    </w:tbl>
    <w:p w:rsidR="00BA558B" w:rsidRPr="00051880" w:rsidRDefault="00BA558B" w:rsidP="00DF1CD8">
      <w:pPr>
        <w:spacing w:line="240" w:lineRule="auto"/>
        <w:rPr>
          <w:color w:val="000000"/>
          <w:szCs w:val="22"/>
        </w:rPr>
      </w:pPr>
    </w:p>
    <w:p w:rsidR="00BA558B" w:rsidRPr="00051880" w:rsidRDefault="00BA558B" w:rsidP="00DF1CD8">
      <w:pPr>
        <w:spacing w:line="240" w:lineRule="auto"/>
        <w:rPr>
          <w:color w:val="000000"/>
          <w:szCs w:val="22"/>
        </w:rPr>
      </w:pPr>
      <w:r w:rsidRPr="00051880">
        <w:rPr>
          <w:color w:val="000000"/>
          <w:szCs w:val="22"/>
        </w:rPr>
        <w:t xml:space="preserve">Biely až takmer biely prášok sa úplne rozpustí po rekonštitúcii. Jemne premiešavajte, až kým nezískate číry roztok. Rekonštituovaný roztoky je potrebné vizuálne preskúmať na prítomnosť viditeľných častíc a zmenu zafarbenia. Použité by mali byť len číre a bezfarebné roztoky. </w:t>
      </w:r>
    </w:p>
    <w:p w:rsidR="00BA558B" w:rsidRPr="00051880" w:rsidRDefault="00BA558B" w:rsidP="00DF1CD8">
      <w:pPr>
        <w:spacing w:line="240" w:lineRule="auto"/>
        <w:rPr>
          <w:color w:val="000000"/>
          <w:szCs w:val="22"/>
        </w:rPr>
      </w:pPr>
    </w:p>
    <w:p w:rsidR="00BA558B" w:rsidRPr="00051880" w:rsidRDefault="00DF1CD8" w:rsidP="00DF1CD8">
      <w:pPr>
        <w:spacing w:line="240" w:lineRule="auto"/>
        <w:rPr>
          <w:color w:val="000000"/>
          <w:szCs w:val="22"/>
        </w:rPr>
      </w:pPr>
      <w:r w:rsidRPr="00051880">
        <w:rPr>
          <w:color w:val="000000"/>
          <w:szCs w:val="22"/>
        </w:rPr>
        <w:t>Všetok n</w:t>
      </w:r>
      <w:r w:rsidR="00BA558B" w:rsidRPr="00051880">
        <w:rPr>
          <w:color w:val="000000"/>
          <w:szCs w:val="22"/>
        </w:rPr>
        <w:t xml:space="preserve">epoužitý liek alebo odpad vzniknutý z lieku </w:t>
      </w:r>
      <w:r w:rsidRPr="00051880">
        <w:rPr>
          <w:color w:val="000000"/>
          <w:szCs w:val="22"/>
        </w:rPr>
        <w:t>sa má</w:t>
      </w:r>
      <w:r w:rsidR="00BA558B" w:rsidRPr="00051880">
        <w:rPr>
          <w:color w:val="000000"/>
          <w:szCs w:val="22"/>
        </w:rPr>
        <w:t xml:space="preserve"> zlikvidovať v súlade s </w:t>
      </w:r>
      <w:r w:rsidRPr="00051880">
        <w:rPr>
          <w:color w:val="000000"/>
          <w:szCs w:val="22"/>
        </w:rPr>
        <w:t>národnými</w:t>
      </w:r>
      <w:r w:rsidR="00BA558B" w:rsidRPr="00051880">
        <w:rPr>
          <w:color w:val="000000"/>
          <w:szCs w:val="22"/>
        </w:rPr>
        <w:t xml:space="preserve"> požiadavkami.</w:t>
      </w:r>
    </w:p>
    <w:p w:rsidR="00BA558B" w:rsidRPr="00051880" w:rsidRDefault="00BA558B" w:rsidP="00DF1CD8">
      <w:pPr>
        <w:spacing w:line="240" w:lineRule="auto"/>
        <w:rPr>
          <w:color w:val="000000"/>
          <w:szCs w:val="22"/>
        </w:rPr>
      </w:pPr>
    </w:p>
    <w:p w:rsidR="00033036" w:rsidRPr="00051880" w:rsidRDefault="00033036" w:rsidP="00DF1CD8">
      <w:pPr>
        <w:spacing w:line="240" w:lineRule="auto"/>
        <w:rPr>
          <w:color w:val="000000"/>
          <w:szCs w:val="22"/>
        </w:rPr>
      </w:pPr>
    </w:p>
    <w:p w:rsidR="00BA558B" w:rsidRPr="00051880" w:rsidRDefault="00BA558B" w:rsidP="00DF1CD8">
      <w:pPr>
        <w:pStyle w:val="Nadpis3"/>
        <w:spacing w:before="0" w:after="0" w:line="240" w:lineRule="auto"/>
        <w:rPr>
          <w:color w:val="000000"/>
          <w:sz w:val="22"/>
          <w:szCs w:val="22"/>
        </w:rPr>
      </w:pPr>
      <w:r w:rsidRPr="00051880">
        <w:rPr>
          <w:color w:val="000000"/>
          <w:sz w:val="22"/>
          <w:szCs w:val="22"/>
        </w:rPr>
        <w:t>7.</w:t>
      </w:r>
      <w:r w:rsidRPr="00051880">
        <w:rPr>
          <w:color w:val="000000"/>
          <w:sz w:val="22"/>
          <w:szCs w:val="22"/>
        </w:rPr>
        <w:tab/>
        <w:t>DRŽITEĽ ROZHODNUTIA O REGISTRÁCII</w:t>
      </w:r>
    </w:p>
    <w:p w:rsidR="00BA558B" w:rsidRPr="00051880" w:rsidRDefault="00BA558B" w:rsidP="00DF1CD8">
      <w:pPr>
        <w:spacing w:line="240" w:lineRule="auto"/>
        <w:rPr>
          <w:color w:val="000000"/>
          <w:szCs w:val="22"/>
        </w:rPr>
      </w:pPr>
    </w:p>
    <w:p w:rsidR="00344115" w:rsidRPr="00051880" w:rsidRDefault="00344115" w:rsidP="00DF1CD8">
      <w:pPr>
        <w:tabs>
          <w:tab w:val="clear" w:pos="567"/>
        </w:tabs>
        <w:spacing w:line="240" w:lineRule="auto"/>
        <w:rPr>
          <w:color w:val="000000"/>
          <w:szCs w:val="22"/>
        </w:rPr>
      </w:pPr>
      <w:r w:rsidRPr="00051880">
        <w:rPr>
          <w:color w:val="000000"/>
          <w:szCs w:val="22"/>
        </w:rPr>
        <w:t xml:space="preserve">Amomed Pharma GmbH </w:t>
      </w:r>
    </w:p>
    <w:p w:rsidR="00344115" w:rsidRPr="00051880" w:rsidRDefault="00344115" w:rsidP="00DF1CD8">
      <w:pPr>
        <w:tabs>
          <w:tab w:val="clear" w:pos="567"/>
        </w:tabs>
        <w:spacing w:line="240" w:lineRule="auto"/>
        <w:rPr>
          <w:color w:val="000000"/>
          <w:szCs w:val="22"/>
        </w:rPr>
      </w:pPr>
      <w:r w:rsidRPr="00051880">
        <w:rPr>
          <w:color w:val="000000"/>
          <w:szCs w:val="22"/>
        </w:rPr>
        <w:t>Storchengasse 1</w:t>
      </w:r>
    </w:p>
    <w:p w:rsidR="00344115" w:rsidRPr="00051880" w:rsidRDefault="00344115" w:rsidP="00DF1CD8">
      <w:pPr>
        <w:tabs>
          <w:tab w:val="clear" w:pos="567"/>
        </w:tabs>
        <w:spacing w:line="240" w:lineRule="auto"/>
        <w:rPr>
          <w:color w:val="000000"/>
          <w:szCs w:val="22"/>
        </w:rPr>
      </w:pPr>
      <w:r w:rsidRPr="00051880">
        <w:rPr>
          <w:color w:val="000000"/>
          <w:szCs w:val="22"/>
        </w:rPr>
        <w:t>1150 Viedeň</w:t>
      </w:r>
    </w:p>
    <w:p w:rsidR="00293332" w:rsidRPr="00051880" w:rsidRDefault="00DF1CD8" w:rsidP="00DF1CD8">
      <w:pPr>
        <w:tabs>
          <w:tab w:val="clear" w:pos="567"/>
        </w:tabs>
        <w:spacing w:line="240" w:lineRule="auto"/>
        <w:rPr>
          <w:szCs w:val="22"/>
        </w:rPr>
      </w:pPr>
      <w:r w:rsidRPr="00051880">
        <w:rPr>
          <w:color w:val="000000"/>
          <w:szCs w:val="22"/>
        </w:rPr>
        <w:t>Rakúsko</w:t>
      </w:r>
    </w:p>
    <w:p w:rsidR="00BA558B" w:rsidRPr="00051880" w:rsidRDefault="00BA558B" w:rsidP="00DF1CD8">
      <w:pPr>
        <w:spacing w:line="240" w:lineRule="auto"/>
        <w:rPr>
          <w:color w:val="000000"/>
          <w:szCs w:val="22"/>
        </w:rPr>
      </w:pPr>
    </w:p>
    <w:p w:rsidR="00DF1CD8" w:rsidRPr="00051880" w:rsidRDefault="00DF1CD8" w:rsidP="00DF1CD8">
      <w:pPr>
        <w:spacing w:line="240" w:lineRule="auto"/>
        <w:rPr>
          <w:color w:val="000000"/>
          <w:szCs w:val="22"/>
        </w:rPr>
      </w:pPr>
    </w:p>
    <w:p w:rsidR="00BA558B" w:rsidRPr="00051880" w:rsidRDefault="00BA558B" w:rsidP="00DF1CD8">
      <w:pPr>
        <w:pStyle w:val="Nadpis3"/>
        <w:spacing w:before="0" w:after="0" w:line="240" w:lineRule="auto"/>
        <w:rPr>
          <w:color w:val="000000"/>
          <w:sz w:val="22"/>
          <w:szCs w:val="22"/>
        </w:rPr>
      </w:pPr>
      <w:r w:rsidRPr="00051880">
        <w:rPr>
          <w:color w:val="000000"/>
          <w:sz w:val="22"/>
          <w:szCs w:val="22"/>
        </w:rPr>
        <w:t>8.</w:t>
      </w:r>
      <w:r w:rsidRPr="00051880">
        <w:rPr>
          <w:color w:val="000000"/>
          <w:sz w:val="22"/>
          <w:szCs w:val="22"/>
        </w:rPr>
        <w:tab/>
        <w:t xml:space="preserve">REGISTRAČNÉ ČÍSLO </w:t>
      </w:r>
    </w:p>
    <w:p w:rsidR="00BA558B" w:rsidRPr="00051880" w:rsidRDefault="00BA558B" w:rsidP="00DF1CD8">
      <w:pPr>
        <w:spacing w:line="240" w:lineRule="auto"/>
        <w:rPr>
          <w:i/>
          <w:color w:val="000000"/>
          <w:szCs w:val="22"/>
        </w:rPr>
      </w:pPr>
    </w:p>
    <w:p w:rsidR="00DF1CD8" w:rsidRPr="00051880" w:rsidRDefault="0042189F" w:rsidP="00DF1CD8">
      <w:pPr>
        <w:spacing w:line="240" w:lineRule="auto"/>
        <w:rPr>
          <w:color w:val="000000"/>
          <w:szCs w:val="22"/>
        </w:rPr>
      </w:pPr>
      <w:r w:rsidRPr="00051880">
        <w:rPr>
          <w:color w:val="000000"/>
          <w:szCs w:val="22"/>
        </w:rPr>
        <w:t>Rapibloc 300 mg prášok na infúzny roztok: 13/0443/16-S</w:t>
      </w:r>
    </w:p>
    <w:p w:rsidR="0042189F" w:rsidRPr="00051880" w:rsidRDefault="0042189F" w:rsidP="00DF1CD8">
      <w:pPr>
        <w:spacing w:line="240" w:lineRule="auto"/>
        <w:rPr>
          <w:color w:val="000000"/>
          <w:szCs w:val="22"/>
        </w:rPr>
      </w:pPr>
      <w:r w:rsidRPr="00051880">
        <w:rPr>
          <w:color w:val="000000"/>
          <w:szCs w:val="22"/>
        </w:rPr>
        <w:t>Rapibloc 600 mg prášok na infúzny roztok: 13/0444/16-S</w:t>
      </w:r>
    </w:p>
    <w:p w:rsidR="0042189F" w:rsidRPr="00051880" w:rsidRDefault="0042189F" w:rsidP="00DF1CD8">
      <w:pPr>
        <w:spacing w:line="240" w:lineRule="auto"/>
        <w:rPr>
          <w:color w:val="000000"/>
          <w:szCs w:val="22"/>
        </w:rPr>
      </w:pPr>
    </w:p>
    <w:p w:rsidR="0042189F" w:rsidRPr="00051880" w:rsidRDefault="0042189F" w:rsidP="00DF1CD8">
      <w:pPr>
        <w:spacing w:line="240" w:lineRule="auto"/>
        <w:rPr>
          <w:color w:val="000000"/>
          <w:szCs w:val="22"/>
        </w:rPr>
      </w:pPr>
    </w:p>
    <w:p w:rsidR="00BA558B" w:rsidRPr="00051880" w:rsidRDefault="00BA558B" w:rsidP="00DF1CD8">
      <w:pPr>
        <w:pStyle w:val="Nadpis3"/>
        <w:spacing w:before="0" w:after="0" w:line="240" w:lineRule="auto"/>
        <w:rPr>
          <w:color w:val="000000"/>
          <w:sz w:val="22"/>
          <w:szCs w:val="22"/>
        </w:rPr>
      </w:pPr>
      <w:r w:rsidRPr="00051880">
        <w:rPr>
          <w:color w:val="000000"/>
          <w:sz w:val="22"/>
          <w:szCs w:val="22"/>
        </w:rPr>
        <w:t>9.</w:t>
      </w:r>
      <w:r w:rsidRPr="00051880">
        <w:rPr>
          <w:color w:val="000000"/>
          <w:sz w:val="22"/>
          <w:szCs w:val="22"/>
        </w:rPr>
        <w:tab/>
        <w:t>DÁTUM PRVEJ REGISTRÁCIE/PREDĹŽENIA REGISTRÁCIE</w:t>
      </w:r>
    </w:p>
    <w:p w:rsidR="00BA558B" w:rsidRPr="00051880" w:rsidRDefault="00BA558B" w:rsidP="00DF1CD8">
      <w:pPr>
        <w:spacing w:line="240" w:lineRule="auto"/>
        <w:rPr>
          <w:i/>
          <w:color w:val="000000"/>
          <w:szCs w:val="22"/>
        </w:rPr>
      </w:pPr>
    </w:p>
    <w:p w:rsidR="00BA558B" w:rsidRPr="00051880" w:rsidRDefault="00BA558B" w:rsidP="00DF1CD8">
      <w:pPr>
        <w:spacing w:line="240" w:lineRule="auto"/>
        <w:rPr>
          <w:color w:val="000000"/>
          <w:szCs w:val="22"/>
        </w:rPr>
      </w:pPr>
      <w:r w:rsidRPr="00051880">
        <w:rPr>
          <w:color w:val="000000"/>
          <w:szCs w:val="22"/>
        </w:rPr>
        <w:t xml:space="preserve">Dátum prvej registrácie: </w:t>
      </w:r>
      <w:r w:rsidR="00BB77CF" w:rsidRPr="00051880">
        <w:rPr>
          <w:color w:val="000000"/>
          <w:szCs w:val="22"/>
        </w:rPr>
        <w:t>29. septembra 2016</w:t>
      </w:r>
    </w:p>
    <w:p w:rsidR="00BA558B" w:rsidRPr="00051880" w:rsidRDefault="00BA558B" w:rsidP="00DF1CD8">
      <w:pPr>
        <w:spacing w:line="240" w:lineRule="auto"/>
        <w:rPr>
          <w:color w:val="000000"/>
          <w:szCs w:val="22"/>
        </w:rPr>
      </w:pPr>
    </w:p>
    <w:p w:rsidR="00BA558B" w:rsidRPr="00051880" w:rsidRDefault="00BA558B" w:rsidP="00DF1CD8">
      <w:pPr>
        <w:spacing w:line="240" w:lineRule="auto"/>
        <w:rPr>
          <w:color w:val="000000"/>
          <w:szCs w:val="22"/>
        </w:rPr>
      </w:pPr>
    </w:p>
    <w:p w:rsidR="00BA558B" w:rsidRPr="00051880" w:rsidRDefault="00BA558B" w:rsidP="00DF1CD8">
      <w:pPr>
        <w:pStyle w:val="Nadpis3"/>
        <w:spacing w:before="0" w:after="0" w:line="240" w:lineRule="auto"/>
        <w:rPr>
          <w:sz w:val="22"/>
          <w:szCs w:val="22"/>
        </w:rPr>
      </w:pPr>
      <w:r w:rsidRPr="00051880">
        <w:rPr>
          <w:sz w:val="22"/>
          <w:szCs w:val="22"/>
        </w:rPr>
        <w:t>10.</w:t>
      </w:r>
      <w:r w:rsidRPr="00051880">
        <w:rPr>
          <w:sz w:val="22"/>
          <w:szCs w:val="22"/>
        </w:rPr>
        <w:tab/>
        <w:t>DÁTUM REVÍZIE TEXTU</w:t>
      </w:r>
    </w:p>
    <w:p w:rsidR="00BA558B" w:rsidRPr="00051880" w:rsidRDefault="00BA558B" w:rsidP="00DF1CD8">
      <w:pPr>
        <w:spacing w:line="240" w:lineRule="auto"/>
        <w:rPr>
          <w:szCs w:val="22"/>
        </w:rPr>
      </w:pPr>
    </w:p>
    <w:p w:rsidR="00BA558B" w:rsidRPr="00051880" w:rsidRDefault="00051880" w:rsidP="00DF1CD8">
      <w:pPr>
        <w:spacing w:line="240" w:lineRule="auto"/>
        <w:rPr>
          <w:szCs w:val="22"/>
        </w:rPr>
      </w:pPr>
      <w:bookmarkStart w:id="0" w:name="_GoBack"/>
      <w:bookmarkEnd w:id="0"/>
      <w:r w:rsidRPr="00051880">
        <w:rPr>
          <w:szCs w:val="22"/>
        </w:rPr>
        <w:t>03/2018</w:t>
      </w:r>
    </w:p>
    <w:sectPr w:rsidR="00BA558B" w:rsidRPr="00051880" w:rsidSect="00D80CB9">
      <w:headerReference w:type="default" r:id="rId10"/>
      <w:footerReference w:type="default" r:id="rId11"/>
      <w:headerReference w:type="first" r:id="rId12"/>
      <w:footerReference w:type="first" r:id="rId13"/>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880" w:rsidRDefault="00051880">
      <w:r>
        <w:separator/>
      </w:r>
    </w:p>
  </w:endnote>
  <w:endnote w:type="continuationSeparator" w:id="0">
    <w:p w:rsidR="00051880" w:rsidRDefault="000518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Helvetica">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altName w:val="Segoe UI"/>
    <w:charset w:val="EE"/>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880" w:rsidRPr="000C1913" w:rsidRDefault="003E6CAA">
    <w:pPr>
      <w:pStyle w:val="Pta"/>
      <w:tabs>
        <w:tab w:val="clear" w:pos="8930"/>
        <w:tab w:val="right" w:pos="8931"/>
      </w:tabs>
      <w:ind w:right="96"/>
      <w:jc w:val="center"/>
      <w:rPr>
        <w:rFonts w:ascii="Arial" w:hAnsi="Arial" w:cs="Arial"/>
      </w:rPr>
    </w:pPr>
    <w:r>
      <w:rPr>
        <w:rFonts w:ascii="Arial" w:hAnsi="Arial"/>
      </w:rPr>
      <w:fldChar w:fldCharType="begin"/>
    </w:r>
    <w:r w:rsidR="00051880">
      <w:rPr>
        <w:rFonts w:ascii="Arial" w:hAnsi="Arial"/>
      </w:rPr>
      <w:instrText xml:space="preserve"> EQ </w:instrText>
    </w:r>
    <w:r>
      <w:rPr>
        <w:rFonts w:ascii="Arial" w:hAnsi="Arial"/>
      </w:rPr>
      <w:fldChar w:fldCharType="end"/>
    </w:r>
    <w:r w:rsidRPr="00287035">
      <w:rPr>
        <w:rStyle w:val="slostrany"/>
        <w:rFonts w:ascii="Times New Roman" w:hAnsi="Times New Roman"/>
        <w:sz w:val="18"/>
        <w:szCs w:val="18"/>
      </w:rPr>
      <w:fldChar w:fldCharType="begin"/>
    </w:r>
    <w:r w:rsidR="00051880" w:rsidRPr="00287035">
      <w:rPr>
        <w:rStyle w:val="slostrany"/>
        <w:rFonts w:ascii="Times New Roman" w:hAnsi="Times New Roman"/>
        <w:sz w:val="18"/>
        <w:szCs w:val="18"/>
      </w:rPr>
      <w:instrText xml:space="preserve">PAGE  </w:instrText>
    </w:r>
    <w:r w:rsidRPr="00287035">
      <w:rPr>
        <w:rStyle w:val="slostrany"/>
        <w:rFonts w:ascii="Times New Roman" w:hAnsi="Times New Roman"/>
        <w:sz w:val="18"/>
        <w:szCs w:val="18"/>
      </w:rPr>
      <w:fldChar w:fldCharType="separate"/>
    </w:r>
    <w:r w:rsidR="00414583">
      <w:rPr>
        <w:rStyle w:val="slostrany"/>
        <w:rFonts w:ascii="Times New Roman" w:hAnsi="Times New Roman"/>
        <w:noProof/>
        <w:sz w:val="18"/>
        <w:szCs w:val="18"/>
      </w:rPr>
      <w:t>14</w:t>
    </w:r>
    <w:r w:rsidRPr="00287035">
      <w:rPr>
        <w:rStyle w:val="slostrany"/>
        <w:rFonts w:ascii="Times New Roman" w:hAnsi="Times New Roman"/>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880" w:rsidRPr="000C1913" w:rsidRDefault="003E6CAA">
    <w:pPr>
      <w:pStyle w:val="Pta"/>
      <w:tabs>
        <w:tab w:val="clear" w:pos="8930"/>
        <w:tab w:val="right" w:pos="8931"/>
      </w:tabs>
      <w:ind w:right="96"/>
      <w:jc w:val="center"/>
      <w:rPr>
        <w:rFonts w:ascii="Arial" w:hAnsi="Arial" w:cs="Arial"/>
      </w:rPr>
    </w:pPr>
    <w:r>
      <w:rPr>
        <w:rFonts w:ascii="Arial" w:hAnsi="Arial"/>
      </w:rPr>
      <w:fldChar w:fldCharType="begin"/>
    </w:r>
    <w:r w:rsidR="00051880">
      <w:rPr>
        <w:rFonts w:ascii="Arial" w:hAnsi="Arial"/>
      </w:rPr>
      <w:instrText xml:space="preserve"> EQ </w:instrText>
    </w:r>
    <w:r>
      <w:rPr>
        <w:rFonts w:ascii="Arial" w:hAnsi="Arial"/>
      </w:rPr>
      <w:fldChar w:fldCharType="end"/>
    </w:r>
    <w:r w:rsidRPr="00052BE2">
      <w:rPr>
        <w:rStyle w:val="slostrany"/>
        <w:rFonts w:ascii="Times New Roman" w:hAnsi="Times New Roman"/>
        <w:sz w:val="18"/>
        <w:szCs w:val="18"/>
      </w:rPr>
      <w:fldChar w:fldCharType="begin"/>
    </w:r>
    <w:r w:rsidR="00051880" w:rsidRPr="00052BE2">
      <w:rPr>
        <w:rStyle w:val="slostrany"/>
        <w:rFonts w:ascii="Times New Roman" w:hAnsi="Times New Roman"/>
        <w:sz w:val="18"/>
        <w:szCs w:val="18"/>
      </w:rPr>
      <w:instrText xml:space="preserve">PAGE  </w:instrText>
    </w:r>
    <w:r w:rsidRPr="00052BE2">
      <w:rPr>
        <w:rStyle w:val="slostrany"/>
        <w:rFonts w:ascii="Times New Roman" w:hAnsi="Times New Roman"/>
        <w:sz w:val="18"/>
        <w:szCs w:val="18"/>
      </w:rPr>
      <w:fldChar w:fldCharType="separate"/>
    </w:r>
    <w:r w:rsidR="00051880">
      <w:rPr>
        <w:rStyle w:val="slostrany"/>
        <w:rFonts w:ascii="Times New Roman" w:hAnsi="Times New Roman"/>
        <w:noProof/>
        <w:sz w:val="18"/>
        <w:szCs w:val="18"/>
      </w:rPr>
      <w:t>1</w:t>
    </w:r>
    <w:r w:rsidRPr="00052BE2">
      <w:rPr>
        <w:rStyle w:val="slostrany"/>
        <w:rFonts w:ascii="Times New Roman" w:hAnsi="Times New Roman"/>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880" w:rsidRDefault="00051880">
      <w:r>
        <w:separator/>
      </w:r>
    </w:p>
  </w:footnote>
  <w:footnote w:type="continuationSeparator" w:id="0">
    <w:p w:rsidR="00051880" w:rsidRDefault="000518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880" w:rsidRDefault="00051880" w:rsidP="000A695C">
    <w:pPr>
      <w:pStyle w:val="Hlavika"/>
      <w:rPr>
        <w:rFonts w:ascii="Times New Roman" w:hAnsi="Times New Roman"/>
        <w:sz w:val="18"/>
        <w:szCs w:val="18"/>
      </w:rPr>
    </w:pPr>
    <w:r>
      <w:rPr>
        <w:rFonts w:ascii="Times New Roman" w:hAnsi="Times New Roman"/>
        <w:sz w:val="18"/>
        <w:szCs w:val="18"/>
      </w:rPr>
      <w:t>Schválený text k rozhodnutiu o zmene, ev. č.: 2017/04246-ZME</w:t>
    </w:r>
  </w:p>
  <w:p w:rsidR="00051880" w:rsidRPr="00DF1CD8" w:rsidRDefault="00051880" w:rsidP="000A695C">
    <w:pPr>
      <w:pStyle w:val="Hlavika"/>
      <w:rPr>
        <w:rFonts w:ascii="Times New Roman" w:hAnsi="Times New Roman"/>
        <w:sz w:val="18"/>
        <w:szCs w:val="18"/>
      </w:rPr>
    </w:pPr>
  </w:p>
  <w:p w:rsidR="00051880" w:rsidRDefault="00051880">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880" w:rsidRPr="00DF1CD8" w:rsidRDefault="00051880" w:rsidP="000A695C">
    <w:pPr>
      <w:pStyle w:val="Hlavika"/>
      <w:rPr>
        <w:rFonts w:ascii="Times New Roman" w:hAnsi="Times New Roman"/>
        <w:sz w:val="18"/>
        <w:szCs w:val="18"/>
      </w:rPr>
    </w:pPr>
    <w:r>
      <w:rPr>
        <w:rFonts w:ascii="Times New Roman" w:hAnsi="Times New Roman"/>
        <w:sz w:val="18"/>
        <w:szCs w:val="18"/>
      </w:rPr>
      <w:t>Schválený text k rozhodnutiu o zmene, ev. č.: 2017/04246-ZME</w:t>
    </w:r>
  </w:p>
  <w:p w:rsidR="00051880" w:rsidRDefault="00051880">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A94E47"/>
    <w:multiLevelType w:val="hybridMultilevel"/>
    <w:tmpl w:val="9EEAFA22"/>
    <w:lvl w:ilvl="0" w:tplc="B84AA4B0">
      <w:start w:val="1"/>
      <w:numFmt w:val="bullet"/>
      <w:lvlText w:val=""/>
      <w:lvlJc w:val="left"/>
      <w:pPr>
        <w:ind w:left="927" w:hanging="360"/>
      </w:pPr>
      <w:rPr>
        <w:rFonts w:ascii="Symbol" w:hAnsi="Symbol" w:hint="default"/>
      </w:rPr>
    </w:lvl>
    <w:lvl w:ilvl="1" w:tplc="96EAF870" w:tentative="1">
      <w:start w:val="1"/>
      <w:numFmt w:val="lowerLetter"/>
      <w:lvlText w:val="%2."/>
      <w:lvlJc w:val="left"/>
      <w:pPr>
        <w:ind w:left="1647" w:hanging="360"/>
      </w:pPr>
    </w:lvl>
    <w:lvl w:ilvl="2" w:tplc="9C12F0B8" w:tentative="1">
      <w:start w:val="1"/>
      <w:numFmt w:val="lowerRoman"/>
      <w:lvlText w:val="%3."/>
      <w:lvlJc w:val="right"/>
      <w:pPr>
        <w:ind w:left="2367" w:hanging="180"/>
      </w:pPr>
    </w:lvl>
    <w:lvl w:ilvl="3" w:tplc="70BEC5B2" w:tentative="1">
      <w:start w:val="1"/>
      <w:numFmt w:val="decimal"/>
      <w:lvlText w:val="%4."/>
      <w:lvlJc w:val="left"/>
      <w:pPr>
        <w:ind w:left="3087" w:hanging="360"/>
      </w:pPr>
    </w:lvl>
    <w:lvl w:ilvl="4" w:tplc="E8468D3E" w:tentative="1">
      <w:start w:val="1"/>
      <w:numFmt w:val="lowerLetter"/>
      <w:lvlText w:val="%5."/>
      <w:lvlJc w:val="left"/>
      <w:pPr>
        <w:ind w:left="3807" w:hanging="360"/>
      </w:pPr>
    </w:lvl>
    <w:lvl w:ilvl="5" w:tplc="EEB2AF80" w:tentative="1">
      <w:start w:val="1"/>
      <w:numFmt w:val="lowerRoman"/>
      <w:lvlText w:val="%6."/>
      <w:lvlJc w:val="right"/>
      <w:pPr>
        <w:ind w:left="4527" w:hanging="180"/>
      </w:pPr>
    </w:lvl>
    <w:lvl w:ilvl="6" w:tplc="2F426586" w:tentative="1">
      <w:start w:val="1"/>
      <w:numFmt w:val="decimal"/>
      <w:lvlText w:val="%7."/>
      <w:lvlJc w:val="left"/>
      <w:pPr>
        <w:ind w:left="5247" w:hanging="360"/>
      </w:pPr>
    </w:lvl>
    <w:lvl w:ilvl="7" w:tplc="3D2C4004" w:tentative="1">
      <w:start w:val="1"/>
      <w:numFmt w:val="lowerLetter"/>
      <w:lvlText w:val="%8."/>
      <w:lvlJc w:val="left"/>
      <w:pPr>
        <w:ind w:left="5967" w:hanging="360"/>
      </w:pPr>
    </w:lvl>
    <w:lvl w:ilvl="8" w:tplc="40C2E5C2" w:tentative="1">
      <w:start w:val="1"/>
      <w:numFmt w:val="lowerRoman"/>
      <w:lvlText w:val="%9."/>
      <w:lvlJc w:val="right"/>
      <w:pPr>
        <w:ind w:left="6687" w:hanging="180"/>
      </w:pPr>
    </w:lvl>
  </w:abstractNum>
  <w:abstractNum w:abstractNumId="2">
    <w:nsid w:val="02006F37"/>
    <w:multiLevelType w:val="hybridMultilevel"/>
    <w:tmpl w:val="AE14AB84"/>
    <w:lvl w:ilvl="0" w:tplc="E64A517A">
      <w:start w:val="1"/>
      <w:numFmt w:val="decimal"/>
      <w:lvlText w:val="%1."/>
      <w:lvlJc w:val="left"/>
      <w:pPr>
        <w:tabs>
          <w:tab w:val="num" w:pos="720"/>
        </w:tabs>
        <w:ind w:left="720" w:hanging="360"/>
      </w:pPr>
    </w:lvl>
    <w:lvl w:ilvl="1" w:tplc="34063E56">
      <w:start w:val="1"/>
      <w:numFmt w:val="lowerLetter"/>
      <w:lvlText w:val="%2."/>
      <w:lvlJc w:val="left"/>
      <w:pPr>
        <w:tabs>
          <w:tab w:val="num" w:pos="1440"/>
        </w:tabs>
        <w:ind w:left="1440" w:hanging="360"/>
      </w:pPr>
    </w:lvl>
    <w:lvl w:ilvl="2" w:tplc="EF4E21A2" w:tentative="1">
      <w:start w:val="1"/>
      <w:numFmt w:val="lowerRoman"/>
      <w:lvlText w:val="%3."/>
      <w:lvlJc w:val="right"/>
      <w:pPr>
        <w:tabs>
          <w:tab w:val="num" w:pos="2160"/>
        </w:tabs>
        <w:ind w:left="2160" w:hanging="180"/>
      </w:pPr>
    </w:lvl>
    <w:lvl w:ilvl="3" w:tplc="C35AE8B2" w:tentative="1">
      <w:start w:val="1"/>
      <w:numFmt w:val="decimal"/>
      <w:lvlText w:val="%4."/>
      <w:lvlJc w:val="left"/>
      <w:pPr>
        <w:tabs>
          <w:tab w:val="num" w:pos="2880"/>
        </w:tabs>
        <w:ind w:left="2880" w:hanging="360"/>
      </w:pPr>
    </w:lvl>
    <w:lvl w:ilvl="4" w:tplc="B12A4538" w:tentative="1">
      <w:start w:val="1"/>
      <w:numFmt w:val="lowerLetter"/>
      <w:lvlText w:val="%5."/>
      <w:lvlJc w:val="left"/>
      <w:pPr>
        <w:tabs>
          <w:tab w:val="num" w:pos="3600"/>
        </w:tabs>
        <w:ind w:left="3600" w:hanging="360"/>
      </w:pPr>
    </w:lvl>
    <w:lvl w:ilvl="5" w:tplc="C982FAE4" w:tentative="1">
      <w:start w:val="1"/>
      <w:numFmt w:val="lowerRoman"/>
      <w:lvlText w:val="%6."/>
      <w:lvlJc w:val="right"/>
      <w:pPr>
        <w:tabs>
          <w:tab w:val="num" w:pos="4320"/>
        </w:tabs>
        <w:ind w:left="4320" w:hanging="180"/>
      </w:pPr>
    </w:lvl>
    <w:lvl w:ilvl="6" w:tplc="97D8BCE2" w:tentative="1">
      <w:start w:val="1"/>
      <w:numFmt w:val="decimal"/>
      <w:lvlText w:val="%7."/>
      <w:lvlJc w:val="left"/>
      <w:pPr>
        <w:tabs>
          <w:tab w:val="num" w:pos="5040"/>
        </w:tabs>
        <w:ind w:left="5040" w:hanging="360"/>
      </w:pPr>
    </w:lvl>
    <w:lvl w:ilvl="7" w:tplc="9EEEA69C" w:tentative="1">
      <w:start w:val="1"/>
      <w:numFmt w:val="lowerLetter"/>
      <w:lvlText w:val="%8."/>
      <w:lvlJc w:val="left"/>
      <w:pPr>
        <w:tabs>
          <w:tab w:val="num" w:pos="5760"/>
        </w:tabs>
        <w:ind w:left="5760" w:hanging="360"/>
      </w:pPr>
    </w:lvl>
    <w:lvl w:ilvl="8" w:tplc="5C825964" w:tentative="1">
      <w:start w:val="1"/>
      <w:numFmt w:val="lowerRoman"/>
      <w:lvlText w:val="%9."/>
      <w:lvlJc w:val="right"/>
      <w:pPr>
        <w:tabs>
          <w:tab w:val="num" w:pos="6480"/>
        </w:tabs>
        <w:ind w:left="6480" w:hanging="180"/>
      </w:pPr>
    </w:lvl>
  </w:abstractNum>
  <w:abstractNum w:abstractNumId="3">
    <w:nsid w:val="04590322"/>
    <w:multiLevelType w:val="singleLevel"/>
    <w:tmpl w:val="A8F43FF2"/>
    <w:lvl w:ilvl="0">
      <w:start w:val="1"/>
      <w:numFmt w:val="decimal"/>
      <w:lvlText w:val="Figure: %1. "/>
      <w:lvlJc w:val="left"/>
      <w:pPr>
        <w:tabs>
          <w:tab w:val="num" w:pos="1080"/>
        </w:tabs>
        <w:ind w:left="360" w:hanging="360"/>
      </w:pPr>
    </w:lvl>
  </w:abstractNum>
  <w:abstractNum w:abstractNumId="4">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
    <w:nsid w:val="08E447ED"/>
    <w:multiLevelType w:val="hybridMultilevel"/>
    <w:tmpl w:val="26D62E56"/>
    <w:lvl w:ilvl="0" w:tplc="8896425C">
      <w:start w:val="1"/>
      <w:numFmt w:val="bullet"/>
      <w:lvlText w:val=""/>
      <w:lvlJc w:val="left"/>
      <w:pPr>
        <w:ind w:left="720" w:hanging="360"/>
      </w:pPr>
      <w:rPr>
        <w:rFonts w:ascii="Symbol" w:hAnsi="Symbol" w:hint="default"/>
      </w:rPr>
    </w:lvl>
    <w:lvl w:ilvl="1" w:tplc="21007A5A" w:tentative="1">
      <w:start w:val="1"/>
      <w:numFmt w:val="bullet"/>
      <w:lvlText w:val="o"/>
      <w:lvlJc w:val="left"/>
      <w:pPr>
        <w:ind w:left="1440" w:hanging="360"/>
      </w:pPr>
      <w:rPr>
        <w:rFonts w:ascii="Courier New" w:hAnsi="Courier New" w:cs="Courier New" w:hint="default"/>
      </w:rPr>
    </w:lvl>
    <w:lvl w:ilvl="2" w:tplc="55C8501A" w:tentative="1">
      <w:start w:val="1"/>
      <w:numFmt w:val="bullet"/>
      <w:lvlText w:val=""/>
      <w:lvlJc w:val="left"/>
      <w:pPr>
        <w:ind w:left="2160" w:hanging="360"/>
      </w:pPr>
      <w:rPr>
        <w:rFonts w:ascii="Wingdings" w:hAnsi="Wingdings" w:hint="default"/>
      </w:rPr>
    </w:lvl>
    <w:lvl w:ilvl="3" w:tplc="64EC2CDC" w:tentative="1">
      <w:start w:val="1"/>
      <w:numFmt w:val="bullet"/>
      <w:lvlText w:val=""/>
      <w:lvlJc w:val="left"/>
      <w:pPr>
        <w:ind w:left="2880" w:hanging="360"/>
      </w:pPr>
      <w:rPr>
        <w:rFonts w:ascii="Symbol" w:hAnsi="Symbol" w:hint="default"/>
      </w:rPr>
    </w:lvl>
    <w:lvl w:ilvl="4" w:tplc="44EA1EBA" w:tentative="1">
      <w:start w:val="1"/>
      <w:numFmt w:val="bullet"/>
      <w:lvlText w:val="o"/>
      <w:lvlJc w:val="left"/>
      <w:pPr>
        <w:ind w:left="3600" w:hanging="360"/>
      </w:pPr>
      <w:rPr>
        <w:rFonts w:ascii="Courier New" w:hAnsi="Courier New" w:cs="Courier New" w:hint="default"/>
      </w:rPr>
    </w:lvl>
    <w:lvl w:ilvl="5" w:tplc="30466F9E" w:tentative="1">
      <w:start w:val="1"/>
      <w:numFmt w:val="bullet"/>
      <w:lvlText w:val=""/>
      <w:lvlJc w:val="left"/>
      <w:pPr>
        <w:ind w:left="4320" w:hanging="360"/>
      </w:pPr>
      <w:rPr>
        <w:rFonts w:ascii="Wingdings" w:hAnsi="Wingdings" w:hint="default"/>
      </w:rPr>
    </w:lvl>
    <w:lvl w:ilvl="6" w:tplc="984AD708" w:tentative="1">
      <w:start w:val="1"/>
      <w:numFmt w:val="bullet"/>
      <w:lvlText w:val=""/>
      <w:lvlJc w:val="left"/>
      <w:pPr>
        <w:ind w:left="5040" w:hanging="360"/>
      </w:pPr>
      <w:rPr>
        <w:rFonts w:ascii="Symbol" w:hAnsi="Symbol" w:hint="default"/>
      </w:rPr>
    </w:lvl>
    <w:lvl w:ilvl="7" w:tplc="09041BB0" w:tentative="1">
      <w:start w:val="1"/>
      <w:numFmt w:val="bullet"/>
      <w:lvlText w:val="o"/>
      <w:lvlJc w:val="left"/>
      <w:pPr>
        <w:ind w:left="5760" w:hanging="360"/>
      </w:pPr>
      <w:rPr>
        <w:rFonts w:ascii="Courier New" w:hAnsi="Courier New" w:cs="Courier New" w:hint="default"/>
      </w:rPr>
    </w:lvl>
    <w:lvl w:ilvl="8" w:tplc="8260027A" w:tentative="1">
      <w:start w:val="1"/>
      <w:numFmt w:val="bullet"/>
      <w:lvlText w:val=""/>
      <w:lvlJc w:val="left"/>
      <w:pPr>
        <w:ind w:left="6480" w:hanging="360"/>
      </w:pPr>
      <w:rPr>
        <w:rFonts w:ascii="Wingdings" w:hAnsi="Wingdings" w:hint="default"/>
      </w:rPr>
    </w:lvl>
  </w:abstractNum>
  <w:abstractNum w:abstractNumId="7">
    <w:nsid w:val="0A964CE9"/>
    <w:multiLevelType w:val="hybridMultilevel"/>
    <w:tmpl w:val="B72A5794"/>
    <w:lvl w:ilvl="0" w:tplc="D4EE3A46">
      <w:numFmt w:val="bullet"/>
      <w:lvlText w:val="-"/>
      <w:lvlJc w:val="left"/>
      <w:pPr>
        <w:ind w:left="720" w:hanging="360"/>
      </w:pPr>
      <w:rPr>
        <w:rFonts w:ascii="Calibri" w:eastAsia="Calibri" w:hAnsi="Calibri" w:cs="Calibri" w:hint="default"/>
      </w:rPr>
    </w:lvl>
    <w:lvl w:ilvl="1" w:tplc="E2BE374A" w:tentative="1">
      <w:start w:val="1"/>
      <w:numFmt w:val="bullet"/>
      <w:lvlText w:val="o"/>
      <w:lvlJc w:val="left"/>
      <w:pPr>
        <w:ind w:left="1440" w:hanging="360"/>
      </w:pPr>
      <w:rPr>
        <w:rFonts w:ascii="Courier New" w:hAnsi="Courier New" w:cs="Courier New" w:hint="default"/>
      </w:rPr>
    </w:lvl>
    <w:lvl w:ilvl="2" w:tplc="9F4A842A" w:tentative="1">
      <w:start w:val="1"/>
      <w:numFmt w:val="bullet"/>
      <w:lvlText w:val=""/>
      <w:lvlJc w:val="left"/>
      <w:pPr>
        <w:ind w:left="2160" w:hanging="360"/>
      </w:pPr>
      <w:rPr>
        <w:rFonts w:ascii="Wingdings" w:hAnsi="Wingdings" w:hint="default"/>
      </w:rPr>
    </w:lvl>
    <w:lvl w:ilvl="3" w:tplc="C2328CDA" w:tentative="1">
      <w:start w:val="1"/>
      <w:numFmt w:val="bullet"/>
      <w:lvlText w:val=""/>
      <w:lvlJc w:val="left"/>
      <w:pPr>
        <w:ind w:left="2880" w:hanging="360"/>
      </w:pPr>
      <w:rPr>
        <w:rFonts w:ascii="Symbol" w:hAnsi="Symbol" w:hint="default"/>
      </w:rPr>
    </w:lvl>
    <w:lvl w:ilvl="4" w:tplc="0F78CC20" w:tentative="1">
      <w:start w:val="1"/>
      <w:numFmt w:val="bullet"/>
      <w:lvlText w:val="o"/>
      <w:lvlJc w:val="left"/>
      <w:pPr>
        <w:ind w:left="3600" w:hanging="360"/>
      </w:pPr>
      <w:rPr>
        <w:rFonts w:ascii="Courier New" w:hAnsi="Courier New" w:cs="Courier New" w:hint="default"/>
      </w:rPr>
    </w:lvl>
    <w:lvl w:ilvl="5" w:tplc="7A54494C" w:tentative="1">
      <w:start w:val="1"/>
      <w:numFmt w:val="bullet"/>
      <w:lvlText w:val=""/>
      <w:lvlJc w:val="left"/>
      <w:pPr>
        <w:ind w:left="4320" w:hanging="360"/>
      </w:pPr>
      <w:rPr>
        <w:rFonts w:ascii="Wingdings" w:hAnsi="Wingdings" w:hint="default"/>
      </w:rPr>
    </w:lvl>
    <w:lvl w:ilvl="6" w:tplc="52E4871C" w:tentative="1">
      <w:start w:val="1"/>
      <w:numFmt w:val="bullet"/>
      <w:lvlText w:val=""/>
      <w:lvlJc w:val="left"/>
      <w:pPr>
        <w:ind w:left="5040" w:hanging="360"/>
      </w:pPr>
      <w:rPr>
        <w:rFonts w:ascii="Symbol" w:hAnsi="Symbol" w:hint="default"/>
      </w:rPr>
    </w:lvl>
    <w:lvl w:ilvl="7" w:tplc="A290FD08" w:tentative="1">
      <w:start w:val="1"/>
      <w:numFmt w:val="bullet"/>
      <w:lvlText w:val="o"/>
      <w:lvlJc w:val="left"/>
      <w:pPr>
        <w:ind w:left="5760" w:hanging="360"/>
      </w:pPr>
      <w:rPr>
        <w:rFonts w:ascii="Courier New" w:hAnsi="Courier New" w:cs="Courier New" w:hint="default"/>
      </w:rPr>
    </w:lvl>
    <w:lvl w:ilvl="8" w:tplc="E5441B02" w:tentative="1">
      <w:start w:val="1"/>
      <w:numFmt w:val="bullet"/>
      <w:lvlText w:val=""/>
      <w:lvlJc w:val="left"/>
      <w:pPr>
        <w:ind w:left="6480" w:hanging="360"/>
      </w:pPr>
      <w:rPr>
        <w:rFonts w:ascii="Wingdings" w:hAnsi="Wingdings" w:hint="default"/>
      </w:rPr>
    </w:lvl>
  </w:abstractNum>
  <w:abstractNum w:abstractNumId="8">
    <w:nsid w:val="0FCE159E"/>
    <w:multiLevelType w:val="hybridMultilevel"/>
    <w:tmpl w:val="0EB210E4"/>
    <w:lvl w:ilvl="0" w:tplc="F446CEFC">
      <w:start w:val="1"/>
      <w:numFmt w:val="bullet"/>
      <w:lvlText w:val=""/>
      <w:lvlJc w:val="left"/>
      <w:pPr>
        <w:ind w:left="720" w:hanging="360"/>
      </w:pPr>
      <w:rPr>
        <w:rFonts w:ascii="Symbol" w:hAnsi="Symbol" w:hint="default"/>
      </w:rPr>
    </w:lvl>
    <w:lvl w:ilvl="1" w:tplc="4B406B66" w:tentative="1">
      <w:start w:val="1"/>
      <w:numFmt w:val="bullet"/>
      <w:lvlText w:val="o"/>
      <w:lvlJc w:val="left"/>
      <w:pPr>
        <w:ind w:left="1440" w:hanging="360"/>
      </w:pPr>
      <w:rPr>
        <w:rFonts w:ascii="Courier New" w:hAnsi="Courier New" w:cs="Courier New" w:hint="default"/>
      </w:rPr>
    </w:lvl>
    <w:lvl w:ilvl="2" w:tplc="84BA4F92" w:tentative="1">
      <w:start w:val="1"/>
      <w:numFmt w:val="bullet"/>
      <w:lvlText w:val=""/>
      <w:lvlJc w:val="left"/>
      <w:pPr>
        <w:ind w:left="2160" w:hanging="360"/>
      </w:pPr>
      <w:rPr>
        <w:rFonts w:ascii="Wingdings" w:hAnsi="Wingdings" w:hint="default"/>
      </w:rPr>
    </w:lvl>
    <w:lvl w:ilvl="3" w:tplc="F47266E2" w:tentative="1">
      <w:start w:val="1"/>
      <w:numFmt w:val="bullet"/>
      <w:lvlText w:val=""/>
      <w:lvlJc w:val="left"/>
      <w:pPr>
        <w:ind w:left="2880" w:hanging="360"/>
      </w:pPr>
      <w:rPr>
        <w:rFonts w:ascii="Symbol" w:hAnsi="Symbol" w:hint="default"/>
      </w:rPr>
    </w:lvl>
    <w:lvl w:ilvl="4" w:tplc="7B6A2770" w:tentative="1">
      <w:start w:val="1"/>
      <w:numFmt w:val="bullet"/>
      <w:lvlText w:val="o"/>
      <w:lvlJc w:val="left"/>
      <w:pPr>
        <w:ind w:left="3600" w:hanging="360"/>
      </w:pPr>
      <w:rPr>
        <w:rFonts w:ascii="Courier New" w:hAnsi="Courier New" w:cs="Courier New" w:hint="default"/>
      </w:rPr>
    </w:lvl>
    <w:lvl w:ilvl="5" w:tplc="42145FEA" w:tentative="1">
      <w:start w:val="1"/>
      <w:numFmt w:val="bullet"/>
      <w:lvlText w:val=""/>
      <w:lvlJc w:val="left"/>
      <w:pPr>
        <w:ind w:left="4320" w:hanging="360"/>
      </w:pPr>
      <w:rPr>
        <w:rFonts w:ascii="Wingdings" w:hAnsi="Wingdings" w:hint="default"/>
      </w:rPr>
    </w:lvl>
    <w:lvl w:ilvl="6" w:tplc="226E3F2A" w:tentative="1">
      <w:start w:val="1"/>
      <w:numFmt w:val="bullet"/>
      <w:lvlText w:val=""/>
      <w:lvlJc w:val="left"/>
      <w:pPr>
        <w:ind w:left="5040" w:hanging="360"/>
      </w:pPr>
      <w:rPr>
        <w:rFonts w:ascii="Symbol" w:hAnsi="Symbol" w:hint="default"/>
      </w:rPr>
    </w:lvl>
    <w:lvl w:ilvl="7" w:tplc="9154C5A0" w:tentative="1">
      <w:start w:val="1"/>
      <w:numFmt w:val="bullet"/>
      <w:lvlText w:val="o"/>
      <w:lvlJc w:val="left"/>
      <w:pPr>
        <w:ind w:left="5760" w:hanging="360"/>
      </w:pPr>
      <w:rPr>
        <w:rFonts w:ascii="Courier New" w:hAnsi="Courier New" w:cs="Courier New" w:hint="default"/>
      </w:rPr>
    </w:lvl>
    <w:lvl w:ilvl="8" w:tplc="26CA95CA" w:tentative="1">
      <w:start w:val="1"/>
      <w:numFmt w:val="bullet"/>
      <w:lvlText w:val=""/>
      <w:lvlJc w:val="left"/>
      <w:pPr>
        <w:ind w:left="6480" w:hanging="360"/>
      </w:pPr>
      <w:rPr>
        <w:rFonts w:ascii="Wingdings" w:hAnsi="Wingdings" w:hint="default"/>
      </w:rPr>
    </w:lvl>
  </w:abstractNum>
  <w:abstractNum w:abstractNumId="9">
    <w:nsid w:val="14A3528D"/>
    <w:multiLevelType w:val="hybridMultilevel"/>
    <w:tmpl w:val="574092FE"/>
    <w:lvl w:ilvl="0" w:tplc="6324F284">
      <w:numFmt w:val="bullet"/>
      <w:lvlText w:val="-"/>
      <w:lvlJc w:val="left"/>
      <w:pPr>
        <w:ind w:left="720" w:hanging="360"/>
      </w:pPr>
      <w:rPr>
        <w:rFonts w:ascii="Calibri" w:eastAsia="Calibri" w:hAnsi="Calibri" w:cs="Calibri" w:hint="default"/>
      </w:rPr>
    </w:lvl>
    <w:lvl w:ilvl="1" w:tplc="3ECC7780" w:tentative="1">
      <w:start w:val="1"/>
      <w:numFmt w:val="bullet"/>
      <w:lvlText w:val="o"/>
      <w:lvlJc w:val="left"/>
      <w:pPr>
        <w:ind w:left="1440" w:hanging="360"/>
      </w:pPr>
      <w:rPr>
        <w:rFonts w:ascii="Courier New" w:hAnsi="Courier New" w:cs="Courier New" w:hint="default"/>
      </w:rPr>
    </w:lvl>
    <w:lvl w:ilvl="2" w:tplc="FC4A43D0" w:tentative="1">
      <w:start w:val="1"/>
      <w:numFmt w:val="bullet"/>
      <w:lvlText w:val=""/>
      <w:lvlJc w:val="left"/>
      <w:pPr>
        <w:ind w:left="2160" w:hanging="360"/>
      </w:pPr>
      <w:rPr>
        <w:rFonts w:ascii="Wingdings" w:hAnsi="Wingdings" w:hint="default"/>
      </w:rPr>
    </w:lvl>
    <w:lvl w:ilvl="3" w:tplc="D5860824" w:tentative="1">
      <w:start w:val="1"/>
      <w:numFmt w:val="bullet"/>
      <w:lvlText w:val=""/>
      <w:lvlJc w:val="left"/>
      <w:pPr>
        <w:ind w:left="2880" w:hanging="360"/>
      </w:pPr>
      <w:rPr>
        <w:rFonts w:ascii="Symbol" w:hAnsi="Symbol" w:hint="default"/>
      </w:rPr>
    </w:lvl>
    <w:lvl w:ilvl="4" w:tplc="B986E368" w:tentative="1">
      <w:start w:val="1"/>
      <w:numFmt w:val="bullet"/>
      <w:lvlText w:val="o"/>
      <w:lvlJc w:val="left"/>
      <w:pPr>
        <w:ind w:left="3600" w:hanging="360"/>
      </w:pPr>
      <w:rPr>
        <w:rFonts w:ascii="Courier New" w:hAnsi="Courier New" w:cs="Courier New" w:hint="default"/>
      </w:rPr>
    </w:lvl>
    <w:lvl w:ilvl="5" w:tplc="97228588" w:tentative="1">
      <w:start w:val="1"/>
      <w:numFmt w:val="bullet"/>
      <w:lvlText w:val=""/>
      <w:lvlJc w:val="left"/>
      <w:pPr>
        <w:ind w:left="4320" w:hanging="360"/>
      </w:pPr>
      <w:rPr>
        <w:rFonts w:ascii="Wingdings" w:hAnsi="Wingdings" w:hint="default"/>
      </w:rPr>
    </w:lvl>
    <w:lvl w:ilvl="6" w:tplc="2E30412E" w:tentative="1">
      <w:start w:val="1"/>
      <w:numFmt w:val="bullet"/>
      <w:lvlText w:val=""/>
      <w:lvlJc w:val="left"/>
      <w:pPr>
        <w:ind w:left="5040" w:hanging="360"/>
      </w:pPr>
      <w:rPr>
        <w:rFonts w:ascii="Symbol" w:hAnsi="Symbol" w:hint="default"/>
      </w:rPr>
    </w:lvl>
    <w:lvl w:ilvl="7" w:tplc="CD966D48" w:tentative="1">
      <w:start w:val="1"/>
      <w:numFmt w:val="bullet"/>
      <w:lvlText w:val="o"/>
      <w:lvlJc w:val="left"/>
      <w:pPr>
        <w:ind w:left="5760" w:hanging="360"/>
      </w:pPr>
      <w:rPr>
        <w:rFonts w:ascii="Courier New" w:hAnsi="Courier New" w:cs="Courier New" w:hint="default"/>
      </w:rPr>
    </w:lvl>
    <w:lvl w:ilvl="8" w:tplc="EEE2E36E" w:tentative="1">
      <w:start w:val="1"/>
      <w:numFmt w:val="bullet"/>
      <w:lvlText w:val=""/>
      <w:lvlJc w:val="left"/>
      <w:pPr>
        <w:ind w:left="6480" w:hanging="360"/>
      </w:pPr>
      <w:rPr>
        <w:rFonts w:ascii="Wingdings" w:hAnsi="Wingdings" w:hint="default"/>
      </w:rPr>
    </w:lvl>
  </w:abstractNum>
  <w:abstractNum w:abstractNumId="10">
    <w:nsid w:val="16B978CD"/>
    <w:multiLevelType w:val="singleLevel"/>
    <w:tmpl w:val="31304CA6"/>
    <w:lvl w:ilvl="0">
      <w:start w:val="1"/>
      <w:numFmt w:val="decimal"/>
      <w:lvlText w:val="%1."/>
      <w:legacy w:legacy="1" w:legacySpace="0" w:legacyIndent="360"/>
      <w:lvlJc w:val="left"/>
      <w:pPr>
        <w:ind w:left="360" w:hanging="360"/>
      </w:pPr>
    </w:lvl>
  </w:abstractNum>
  <w:abstractNum w:abstractNumId="11">
    <w:nsid w:val="1EA37FC5"/>
    <w:multiLevelType w:val="singleLevel"/>
    <w:tmpl w:val="FFFFFFFF"/>
    <w:lvl w:ilvl="0">
      <w:start w:val="1"/>
      <w:numFmt w:val="bullet"/>
      <w:lvlText w:val="-"/>
      <w:legacy w:legacy="1" w:legacySpace="0" w:legacyIndent="360"/>
      <w:lvlJc w:val="left"/>
      <w:pPr>
        <w:ind w:left="1800" w:hanging="360"/>
      </w:pPr>
    </w:lvl>
  </w:abstractNum>
  <w:abstractNum w:abstractNumId="12">
    <w:nsid w:val="1FBF0E2B"/>
    <w:multiLevelType w:val="hybridMultilevel"/>
    <w:tmpl w:val="8E0A8F32"/>
    <w:lvl w:ilvl="0" w:tplc="6D0E2688">
      <w:start w:val="1"/>
      <w:numFmt w:val="decimal"/>
      <w:lvlText w:val="%1."/>
      <w:lvlJc w:val="left"/>
      <w:pPr>
        <w:tabs>
          <w:tab w:val="num" w:pos="720"/>
        </w:tabs>
        <w:ind w:left="720" w:hanging="360"/>
      </w:pPr>
    </w:lvl>
    <w:lvl w:ilvl="1" w:tplc="9EA00080">
      <w:start w:val="1"/>
      <w:numFmt w:val="lowerLetter"/>
      <w:lvlText w:val="%2."/>
      <w:lvlJc w:val="left"/>
      <w:pPr>
        <w:tabs>
          <w:tab w:val="num" w:pos="1440"/>
        </w:tabs>
        <w:ind w:left="1440" w:hanging="360"/>
      </w:pPr>
    </w:lvl>
    <w:lvl w:ilvl="2" w:tplc="9246138A" w:tentative="1">
      <w:start w:val="1"/>
      <w:numFmt w:val="lowerRoman"/>
      <w:lvlText w:val="%3."/>
      <w:lvlJc w:val="right"/>
      <w:pPr>
        <w:tabs>
          <w:tab w:val="num" w:pos="2160"/>
        </w:tabs>
        <w:ind w:left="2160" w:hanging="180"/>
      </w:pPr>
    </w:lvl>
    <w:lvl w:ilvl="3" w:tplc="E8B885CE" w:tentative="1">
      <w:start w:val="1"/>
      <w:numFmt w:val="decimal"/>
      <w:lvlText w:val="%4."/>
      <w:lvlJc w:val="left"/>
      <w:pPr>
        <w:tabs>
          <w:tab w:val="num" w:pos="2880"/>
        </w:tabs>
        <w:ind w:left="2880" w:hanging="360"/>
      </w:pPr>
    </w:lvl>
    <w:lvl w:ilvl="4" w:tplc="9BD81A3C" w:tentative="1">
      <w:start w:val="1"/>
      <w:numFmt w:val="lowerLetter"/>
      <w:lvlText w:val="%5."/>
      <w:lvlJc w:val="left"/>
      <w:pPr>
        <w:tabs>
          <w:tab w:val="num" w:pos="3600"/>
        </w:tabs>
        <w:ind w:left="3600" w:hanging="360"/>
      </w:pPr>
    </w:lvl>
    <w:lvl w:ilvl="5" w:tplc="BA420B40" w:tentative="1">
      <w:start w:val="1"/>
      <w:numFmt w:val="lowerRoman"/>
      <w:lvlText w:val="%6."/>
      <w:lvlJc w:val="right"/>
      <w:pPr>
        <w:tabs>
          <w:tab w:val="num" w:pos="4320"/>
        </w:tabs>
        <w:ind w:left="4320" w:hanging="180"/>
      </w:pPr>
    </w:lvl>
    <w:lvl w:ilvl="6" w:tplc="F4DC320A" w:tentative="1">
      <w:start w:val="1"/>
      <w:numFmt w:val="decimal"/>
      <w:lvlText w:val="%7."/>
      <w:lvlJc w:val="left"/>
      <w:pPr>
        <w:tabs>
          <w:tab w:val="num" w:pos="5040"/>
        </w:tabs>
        <w:ind w:left="5040" w:hanging="360"/>
      </w:pPr>
    </w:lvl>
    <w:lvl w:ilvl="7" w:tplc="2618E398" w:tentative="1">
      <w:start w:val="1"/>
      <w:numFmt w:val="lowerLetter"/>
      <w:lvlText w:val="%8."/>
      <w:lvlJc w:val="left"/>
      <w:pPr>
        <w:tabs>
          <w:tab w:val="num" w:pos="5760"/>
        </w:tabs>
        <w:ind w:left="5760" w:hanging="360"/>
      </w:pPr>
    </w:lvl>
    <w:lvl w:ilvl="8" w:tplc="D0E8CC9E" w:tentative="1">
      <w:start w:val="1"/>
      <w:numFmt w:val="lowerRoman"/>
      <w:lvlText w:val="%9."/>
      <w:lvlJc w:val="right"/>
      <w:pPr>
        <w:tabs>
          <w:tab w:val="num" w:pos="6480"/>
        </w:tabs>
        <w:ind w:left="6480" w:hanging="180"/>
      </w:pPr>
    </w:lvl>
  </w:abstractNum>
  <w:abstractNum w:abstractNumId="13">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4">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2E541609"/>
    <w:multiLevelType w:val="hybridMultilevel"/>
    <w:tmpl w:val="1E5AABE8"/>
    <w:lvl w:ilvl="0" w:tplc="D22C8A44">
      <w:start w:val="1"/>
      <w:numFmt w:val="decimal"/>
      <w:lvlText w:val="%1."/>
      <w:lvlJc w:val="left"/>
      <w:pPr>
        <w:tabs>
          <w:tab w:val="num" w:pos="570"/>
        </w:tabs>
        <w:ind w:left="570" w:hanging="570"/>
      </w:pPr>
      <w:rPr>
        <w:rFonts w:hint="default"/>
      </w:rPr>
    </w:lvl>
    <w:lvl w:ilvl="1" w:tplc="B3368D48" w:tentative="1">
      <w:start w:val="1"/>
      <w:numFmt w:val="lowerLetter"/>
      <w:lvlText w:val="%2."/>
      <w:lvlJc w:val="left"/>
      <w:pPr>
        <w:tabs>
          <w:tab w:val="num" w:pos="1080"/>
        </w:tabs>
        <w:ind w:left="1080" w:hanging="360"/>
      </w:pPr>
    </w:lvl>
    <w:lvl w:ilvl="2" w:tplc="73C60FDC" w:tentative="1">
      <w:start w:val="1"/>
      <w:numFmt w:val="lowerRoman"/>
      <w:lvlText w:val="%3."/>
      <w:lvlJc w:val="right"/>
      <w:pPr>
        <w:tabs>
          <w:tab w:val="num" w:pos="1800"/>
        </w:tabs>
        <w:ind w:left="1800" w:hanging="180"/>
      </w:pPr>
    </w:lvl>
    <w:lvl w:ilvl="3" w:tplc="C50E403A" w:tentative="1">
      <w:start w:val="1"/>
      <w:numFmt w:val="decimal"/>
      <w:lvlText w:val="%4."/>
      <w:lvlJc w:val="left"/>
      <w:pPr>
        <w:tabs>
          <w:tab w:val="num" w:pos="2520"/>
        </w:tabs>
        <w:ind w:left="2520" w:hanging="360"/>
      </w:pPr>
    </w:lvl>
    <w:lvl w:ilvl="4" w:tplc="638A425E" w:tentative="1">
      <w:start w:val="1"/>
      <w:numFmt w:val="lowerLetter"/>
      <w:lvlText w:val="%5."/>
      <w:lvlJc w:val="left"/>
      <w:pPr>
        <w:tabs>
          <w:tab w:val="num" w:pos="3240"/>
        </w:tabs>
        <w:ind w:left="3240" w:hanging="360"/>
      </w:pPr>
    </w:lvl>
    <w:lvl w:ilvl="5" w:tplc="8B72FF9A" w:tentative="1">
      <w:start w:val="1"/>
      <w:numFmt w:val="lowerRoman"/>
      <w:lvlText w:val="%6."/>
      <w:lvlJc w:val="right"/>
      <w:pPr>
        <w:tabs>
          <w:tab w:val="num" w:pos="3960"/>
        </w:tabs>
        <w:ind w:left="3960" w:hanging="180"/>
      </w:pPr>
    </w:lvl>
    <w:lvl w:ilvl="6" w:tplc="58AEA54C" w:tentative="1">
      <w:start w:val="1"/>
      <w:numFmt w:val="decimal"/>
      <w:lvlText w:val="%7."/>
      <w:lvlJc w:val="left"/>
      <w:pPr>
        <w:tabs>
          <w:tab w:val="num" w:pos="4680"/>
        </w:tabs>
        <w:ind w:left="4680" w:hanging="360"/>
      </w:pPr>
    </w:lvl>
    <w:lvl w:ilvl="7" w:tplc="E6DACF56" w:tentative="1">
      <w:start w:val="1"/>
      <w:numFmt w:val="lowerLetter"/>
      <w:lvlText w:val="%8."/>
      <w:lvlJc w:val="left"/>
      <w:pPr>
        <w:tabs>
          <w:tab w:val="num" w:pos="5400"/>
        </w:tabs>
        <w:ind w:left="5400" w:hanging="360"/>
      </w:pPr>
    </w:lvl>
    <w:lvl w:ilvl="8" w:tplc="CDE0C9B2" w:tentative="1">
      <w:start w:val="1"/>
      <w:numFmt w:val="lowerRoman"/>
      <w:lvlText w:val="%9."/>
      <w:lvlJc w:val="right"/>
      <w:pPr>
        <w:tabs>
          <w:tab w:val="num" w:pos="6120"/>
        </w:tabs>
        <w:ind w:left="6120" w:hanging="180"/>
      </w:pPr>
    </w:lvl>
  </w:abstractNum>
  <w:abstractNum w:abstractNumId="17">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8">
    <w:nsid w:val="3268032B"/>
    <w:multiLevelType w:val="hybridMultilevel"/>
    <w:tmpl w:val="8B4E9208"/>
    <w:lvl w:ilvl="0" w:tplc="6782416C">
      <w:numFmt w:val="bullet"/>
      <w:lvlText w:val="-"/>
      <w:lvlJc w:val="left"/>
      <w:pPr>
        <w:tabs>
          <w:tab w:val="num" w:pos="720"/>
        </w:tabs>
        <w:ind w:left="720" w:hanging="360"/>
      </w:pPr>
      <w:rPr>
        <w:rFonts w:ascii="Times New Roman" w:eastAsia="Times New Roman" w:hAnsi="Times New Roman" w:cs="Times New Roman" w:hint="default"/>
      </w:rPr>
    </w:lvl>
    <w:lvl w:ilvl="1" w:tplc="58309B6E" w:tentative="1">
      <w:start w:val="1"/>
      <w:numFmt w:val="bullet"/>
      <w:lvlText w:val="o"/>
      <w:lvlJc w:val="left"/>
      <w:pPr>
        <w:tabs>
          <w:tab w:val="num" w:pos="1440"/>
        </w:tabs>
        <w:ind w:left="1440" w:hanging="360"/>
      </w:pPr>
      <w:rPr>
        <w:rFonts w:ascii="Courier New" w:hAnsi="Courier New" w:hint="default"/>
      </w:rPr>
    </w:lvl>
    <w:lvl w:ilvl="2" w:tplc="7832B21E" w:tentative="1">
      <w:start w:val="1"/>
      <w:numFmt w:val="bullet"/>
      <w:lvlText w:val=""/>
      <w:lvlJc w:val="left"/>
      <w:pPr>
        <w:tabs>
          <w:tab w:val="num" w:pos="2160"/>
        </w:tabs>
        <w:ind w:left="2160" w:hanging="360"/>
      </w:pPr>
      <w:rPr>
        <w:rFonts w:ascii="Wingdings" w:hAnsi="Wingdings" w:hint="default"/>
      </w:rPr>
    </w:lvl>
    <w:lvl w:ilvl="3" w:tplc="DB32C14E" w:tentative="1">
      <w:start w:val="1"/>
      <w:numFmt w:val="bullet"/>
      <w:lvlText w:val=""/>
      <w:lvlJc w:val="left"/>
      <w:pPr>
        <w:tabs>
          <w:tab w:val="num" w:pos="2880"/>
        </w:tabs>
        <w:ind w:left="2880" w:hanging="360"/>
      </w:pPr>
      <w:rPr>
        <w:rFonts w:ascii="Symbol" w:hAnsi="Symbol" w:hint="default"/>
      </w:rPr>
    </w:lvl>
    <w:lvl w:ilvl="4" w:tplc="6D4C88F0" w:tentative="1">
      <w:start w:val="1"/>
      <w:numFmt w:val="bullet"/>
      <w:lvlText w:val="o"/>
      <w:lvlJc w:val="left"/>
      <w:pPr>
        <w:tabs>
          <w:tab w:val="num" w:pos="3600"/>
        </w:tabs>
        <w:ind w:left="3600" w:hanging="360"/>
      </w:pPr>
      <w:rPr>
        <w:rFonts w:ascii="Courier New" w:hAnsi="Courier New" w:hint="default"/>
      </w:rPr>
    </w:lvl>
    <w:lvl w:ilvl="5" w:tplc="DD22FC0C" w:tentative="1">
      <w:start w:val="1"/>
      <w:numFmt w:val="bullet"/>
      <w:lvlText w:val=""/>
      <w:lvlJc w:val="left"/>
      <w:pPr>
        <w:tabs>
          <w:tab w:val="num" w:pos="4320"/>
        </w:tabs>
        <w:ind w:left="4320" w:hanging="360"/>
      </w:pPr>
      <w:rPr>
        <w:rFonts w:ascii="Wingdings" w:hAnsi="Wingdings" w:hint="default"/>
      </w:rPr>
    </w:lvl>
    <w:lvl w:ilvl="6" w:tplc="F5CADC32" w:tentative="1">
      <w:start w:val="1"/>
      <w:numFmt w:val="bullet"/>
      <w:lvlText w:val=""/>
      <w:lvlJc w:val="left"/>
      <w:pPr>
        <w:tabs>
          <w:tab w:val="num" w:pos="5040"/>
        </w:tabs>
        <w:ind w:left="5040" w:hanging="360"/>
      </w:pPr>
      <w:rPr>
        <w:rFonts w:ascii="Symbol" w:hAnsi="Symbol" w:hint="default"/>
      </w:rPr>
    </w:lvl>
    <w:lvl w:ilvl="7" w:tplc="0F3249B8" w:tentative="1">
      <w:start w:val="1"/>
      <w:numFmt w:val="bullet"/>
      <w:lvlText w:val="o"/>
      <w:lvlJc w:val="left"/>
      <w:pPr>
        <w:tabs>
          <w:tab w:val="num" w:pos="5760"/>
        </w:tabs>
        <w:ind w:left="5760" w:hanging="360"/>
      </w:pPr>
      <w:rPr>
        <w:rFonts w:ascii="Courier New" w:hAnsi="Courier New" w:hint="default"/>
      </w:rPr>
    </w:lvl>
    <w:lvl w:ilvl="8" w:tplc="6EFADAF4" w:tentative="1">
      <w:start w:val="1"/>
      <w:numFmt w:val="bullet"/>
      <w:lvlText w:val=""/>
      <w:lvlJc w:val="left"/>
      <w:pPr>
        <w:tabs>
          <w:tab w:val="num" w:pos="6480"/>
        </w:tabs>
        <w:ind w:left="6480" w:hanging="360"/>
      </w:pPr>
      <w:rPr>
        <w:rFonts w:ascii="Wingdings" w:hAnsi="Wingdings" w:hint="default"/>
      </w:rPr>
    </w:lvl>
  </w:abstractNum>
  <w:abstractNum w:abstractNumId="19">
    <w:nsid w:val="33CE21DC"/>
    <w:multiLevelType w:val="hybridMultilevel"/>
    <w:tmpl w:val="791EF534"/>
    <w:lvl w:ilvl="0" w:tplc="CE66B852">
      <w:start w:val="1"/>
      <w:numFmt w:val="bullet"/>
      <w:lvlText w:val=""/>
      <w:lvlJc w:val="left"/>
      <w:pPr>
        <w:tabs>
          <w:tab w:val="num" w:pos="284"/>
        </w:tabs>
        <w:ind w:left="284" w:hanging="284"/>
      </w:pPr>
      <w:rPr>
        <w:rFonts w:ascii="Symbol" w:hAnsi="Symbol" w:hint="default"/>
      </w:rPr>
    </w:lvl>
    <w:lvl w:ilvl="1" w:tplc="A16047EE" w:tentative="1">
      <w:start w:val="1"/>
      <w:numFmt w:val="bullet"/>
      <w:lvlText w:val="o"/>
      <w:lvlJc w:val="left"/>
      <w:pPr>
        <w:tabs>
          <w:tab w:val="num" w:pos="1440"/>
        </w:tabs>
        <w:ind w:left="1440" w:hanging="360"/>
      </w:pPr>
      <w:rPr>
        <w:rFonts w:ascii="Courier New" w:hAnsi="Courier New" w:cs="Courier New" w:hint="default"/>
      </w:rPr>
    </w:lvl>
    <w:lvl w:ilvl="2" w:tplc="03F4E634" w:tentative="1">
      <w:start w:val="1"/>
      <w:numFmt w:val="bullet"/>
      <w:lvlText w:val=""/>
      <w:lvlJc w:val="left"/>
      <w:pPr>
        <w:tabs>
          <w:tab w:val="num" w:pos="2160"/>
        </w:tabs>
        <w:ind w:left="2160" w:hanging="360"/>
      </w:pPr>
      <w:rPr>
        <w:rFonts w:ascii="Wingdings" w:hAnsi="Wingdings" w:hint="default"/>
      </w:rPr>
    </w:lvl>
    <w:lvl w:ilvl="3" w:tplc="0C882FCC" w:tentative="1">
      <w:start w:val="1"/>
      <w:numFmt w:val="bullet"/>
      <w:lvlText w:val=""/>
      <w:lvlJc w:val="left"/>
      <w:pPr>
        <w:tabs>
          <w:tab w:val="num" w:pos="2880"/>
        </w:tabs>
        <w:ind w:left="2880" w:hanging="360"/>
      </w:pPr>
      <w:rPr>
        <w:rFonts w:ascii="Symbol" w:hAnsi="Symbol" w:hint="default"/>
      </w:rPr>
    </w:lvl>
    <w:lvl w:ilvl="4" w:tplc="EAC8912A" w:tentative="1">
      <w:start w:val="1"/>
      <w:numFmt w:val="bullet"/>
      <w:lvlText w:val="o"/>
      <w:lvlJc w:val="left"/>
      <w:pPr>
        <w:tabs>
          <w:tab w:val="num" w:pos="3600"/>
        </w:tabs>
        <w:ind w:left="3600" w:hanging="360"/>
      </w:pPr>
      <w:rPr>
        <w:rFonts w:ascii="Courier New" w:hAnsi="Courier New" w:cs="Courier New" w:hint="default"/>
      </w:rPr>
    </w:lvl>
    <w:lvl w:ilvl="5" w:tplc="6106A17C" w:tentative="1">
      <w:start w:val="1"/>
      <w:numFmt w:val="bullet"/>
      <w:lvlText w:val=""/>
      <w:lvlJc w:val="left"/>
      <w:pPr>
        <w:tabs>
          <w:tab w:val="num" w:pos="4320"/>
        </w:tabs>
        <w:ind w:left="4320" w:hanging="360"/>
      </w:pPr>
      <w:rPr>
        <w:rFonts w:ascii="Wingdings" w:hAnsi="Wingdings" w:hint="default"/>
      </w:rPr>
    </w:lvl>
    <w:lvl w:ilvl="6" w:tplc="7AB290FA" w:tentative="1">
      <w:start w:val="1"/>
      <w:numFmt w:val="bullet"/>
      <w:lvlText w:val=""/>
      <w:lvlJc w:val="left"/>
      <w:pPr>
        <w:tabs>
          <w:tab w:val="num" w:pos="5040"/>
        </w:tabs>
        <w:ind w:left="5040" w:hanging="360"/>
      </w:pPr>
      <w:rPr>
        <w:rFonts w:ascii="Symbol" w:hAnsi="Symbol" w:hint="default"/>
      </w:rPr>
    </w:lvl>
    <w:lvl w:ilvl="7" w:tplc="3E0A569A" w:tentative="1">
      <w:start w:val="1"/>
      <w:numFmt w:val="bullet"/>
      <w:lvlText w:val="o"/>
      <w:lvlJc w:val="left"/>
      <w:pPr>
        <w:tabs>
          <w:tab w:val="num" w:pos="5760"/>
        </w:tabs>
        <w:ind w:left="5760" w:hanging="360"/>
      </w:pPr>
      <w:rPr>
        <w:rFonts w:ascii="Courier New" w:hAnsi="Courier New" w:cs="Courier New" w:hint="default"/>
      </w:rPr>
    </w:lvl>
    <w:lvl w:ilvl="8" w:tplc="DB7806C2" w:tentative="1">
      <w:start w:val="1"/>
      <w:numFmt w:val="bullet"/>
      <w:lvlText w:val=""/>
      <w:lvlJc w:val="left"/>
      <w:pPr>
        <w:tabs>
          <w:tab w:val="num" w:pos="6480"/>
        </w:tabs>
        <w:ind w:left="6480" w:hanging="360"/>
      </w:pPr>
      <w:rPr>
        <w:rFonts w:ascii="Wingdings" w:hAnsi="Wingdings" w:hint="default"/>
      </w:rPr>
    </w:lvl>
  </w:abstractNum>
  <w:abstractNum w:abstractNumId="20">
    <w:nsid w:val="342827D0"/>
    <w:multiLevelType w:val="hybridMultilevel"/>
    <w:tmpl w:val="CEDAFDC0"/>
    <w:lvl w:ilvl="0" w:tplc="35A0C672">
      <w:start w:val="2"/>
      <w:numFmt w:val="bullet"/>
      <w:lvlText w:val=""/>
      <w:lvlJc w:val="left"/>
      <w:pPr>
        <w:ind w:left="720" w:hanging="360"/>
      </w:pPr>
      <w:rPr>
        <w:rFonts w:ascii="Symbol" w:eastAsia="Times New Roman" w:hAnsi="Symbol" w:cs="Times New Roman" w:hint="default"/>
      </w:rPr>
    </w:lvl>
    <w:lvl w:ilvl="1" w:tplc="8B96A17C" w:tentative="1">
      <w:start w:val="1"/>
      <w:numFmt w:val="bullet"/>
      <w:lvlText w:val="o"/>
      <w:lvlJc w:val="left"/>
      <w:pPr>
        <w:ind w:left="1440" w:hanging="360"/>
      </w:pPr>
      <w:rPr>
        <w:rFonts w:ascii="Courier New" w:hAnsi="Courier New" w:cs="Courier New" w:hint="default"/>
      </w:rPr>
    </w:lvl>
    <w:lvl w:ilvl="2" w:tplc="B8EA76AA" w:tentative="1">
      <w:start w:val="1"/>
      <w:numFmt w:val="bullet"/>
      <w:lvlText w:val=""/>
      <w:lvlJc w:val="left"/>
      <w:pPr>
        <w:ind w:left="2160" w:hanging="360"/>
      </w:pPr>
      <w:rPr>
        <w:rFonts w:ascii="Wingdings" w:hAnsi="Wingdings" w:hint="default"/>
      </w:rPr>
    </w:lvl>
    <w:lvl w:ilvl="3" w:tplc="F77AA378" w:tentative="1">
      <w:start w:val="1"/>
      <w:numFmt w:val="bullet"/>
      <w:lvlText w:val=""/>
      <w:lvlJc w:val="left"/>
      <w:pPr>
        <w:ind w:left="2880" w:hanging="360"/>
      </w:pPr>
      <w:rPr>
        <w:rFonts w:ascii="Symbol" w:hAnsi="Symbol" w:hint="default"/>
      </w:rPr>
    </w:lvl>
    <w:lvl w:ilvl="4" w:tplc="B524C460" w:tentative="1">
      <w:start w:val="1"/>
      <w:numFmt w:val="bullet"/>
      <w:lvlText w:val="o"/>
      <w:lvlJc w:val="left"/>
      <w:pPr>
        <w:ind w:left="3600" w:hanging="360"/>
      </w:pPr>
      <w:rPr>
        <w:rFonts w:ascii="Courier New" w:hAnsi="Courier New" w:cs="Courier New" w:hint="default"/>
      </w:rPr>
    </w:lvl>
    <w:lvl w:ilvl="5" w:tplc="38BC178C" w:tentative="1">
      <w:start w:val="1"/>
      <w:numFmt w:val="bullet"/>
      <w:lvlText w:val=""/>
      <w:lvlJc w:val="left"/>
      <w:pPr>
        <w:ind w:left="4320" w:hanging="360"/>
      </w:pPr>
      <w:rPr>
        <w:rFonts w:ascii="Wingdings" w:hAnsi="Wingdings" w:hint="default"/>
      </w:rPr>
    </w:lvl>
    <w:lvl w:ilvl="6" w:tplc="BB10CEE2" w:tentative="1">
      <w:start w:val="1"/>
      <w:numFmt w:val="bullet"/>
      <w:lvlText w:val=""/>
      <w:lvlJc w:val="left"/>
      <w:pPr>
        <w:ind w:left="5040" w:hanging="360"/>
      </w:pPr>
      <w:rPr>
        <w:rFonts w:ascii="Symbol" w:hAnsi="Symbol" w:hint="default"/>
      </w:rPr>
    </w:lvl>
    <w:lvl w:ilvl="7" w:tplc="61BA96EE" w:tentative="1">
      <w:start w:val="1"/>
      <w:numFmt w:val="bullet"/>
      <w:lvlText w:val="o"/>
      <w:lvlJc w:val="left"/>
      <w:pPr>
        <w:ind w:left="5760" w:hanging="360"/>
      </w:pPr>
      <w:rPr>
        <w:rFonts w:ascii="Courier New" w:hAnsi="Courier New" w:cs="Courier New" w:hint="default"/>
      </w:rPr>
    </w:lvl>
    <w:lvl w:ilvl="8" w:tplc="C4348F88" w:tentative="1">
      <w:start w:val="1"/>
      <w:numFmt w:val="bullet"/>
      <w:lvlText w:val=""/>
      <w:lvlJc w:val="left"/>
      <w:pPr>
        <w:ind w:left="6480" w:hanging="360"/>
      </w:pPr>
      <w:rPr>
        <w:rFonts w:ascii="Wingdings" w:hAnsi="Wingdings" w:hint="default"/>
      </w:rPr>
    </w:lvl>
  </w:abstractNum>
  <w:abstractNum w:abstractNumId="21">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36D96073"/>
    <w:multiLevelType w:val="hybridMultilevel"/>
    <w:tmpl w:val="CA663CC0"/>
    <w:lvl w:ilvl="0" w:tplc="25C42F54">
      <w:start w:val="1"/>
      <w:numFmt w:val="decimal"/>
      <w:lvlText w:val="%1."/>
      <w:lvlJc w:val="left"/>
      <w:pPr>
        <w:tabs>
          <w:tab w:val="num" w:pos="1080"/>
        </w:tabs>
        <w:ind w:left="1080" w:hanging="360"/>
      </w:pPr>
    </w:lvl>
    <w:lvl w:ilvl="1" w:tplc="27E85808" w:tentative="1">
      <w:start w:val="1"/>
      <w:numFmt w:val="lowerLetter"/>
      <w:lvlText w:val="%2."/>
      <w:lvlJc w:val="left"/>
      <w:pPr>
        <w:tabs>
          <w:tab w:val="num" w:pos="1800"/>
        </w:tabs>
        <w:ind w:left="1800" w:hanging="360"/>
      </w:pPr>
    </w:lvl>
    <w:lvl w:ilvl="2" w:tplc="A15A88FE" w:tentative="1">
      <w:start w:val="1"/>
      <w:numFmt w:val="lowerRoman"/>
      <w:lvlText w:val="%3."/>
      <w:lvlJc w:val="right"/>
      <w:pPr>
        <w:tabs>
          <w:tab w:val="num" w:pos="2520"/>
        </w:tabs>
        <w:ind w:left="2520" w:hanging="180"/>
      </w:pPr>
    </w:lvl>
    <w:lvl w:ilvl="3" w:tplc="FF9A5DFA" w:tentative="1">
      <w:start w:val="1"/>
      <w:numFmt w:val="decimal"/>
      <w:lvlText w:val="%4."/>
      <w:lvlJc w:val="left"/>
      <w:pPr>
        <w:tabs>
          <w:tab w:val="num" w:pos="3240"/>
        </w:tabs>
        <w:ind w:left="3240" w:hanging="360"/>
      </w:pPr>
    </w:lvl>
    <w:lvl w:ilvl="4" w:tplc="948AE4A2" w:tentative="1">
      <w:start w:val="1"/>
      <w:numFmt w:val="lowerLetter"/>
      <w:lvlText w:val="%5."/>
      <w:lvlJc w:val="left"/>
      <w:pPr>
        <w:tabs>
          <w:tab w:val="num" w:pos="3960"/>
        </w:tabs>
        <w:ind w:left="3960" w:hanging="360"/>
      </w:pPr>
    </w:lvl>
    <w:lvl w:ilvl="5" w:tplc="A3B00344" w:tentative="1">
      <w:start w:val="1"/>
      <w:numFmt w:val="lowerRoman"/>
      <w:lvlText w:val="%6."/>
      <w:lvlJc w:val="right"/>
      <w:pPr>
        <w:tabs>
          <w:tab w:val="num" w:pos="4680"/>
        </w:tabs>
        <w:ind w:left="4680" w:hanging="180"/>
      </w:pPr>
    </w:lvl>
    <w:lvl w:ilvl="6" w:tplc="BF3AAAA6" w:tentative="1">
      <w:start w:val="1"/>
      <w:numFmt w:val="decimal"/>
      <w:lvlText w:val="%7."/>
      <w:lvlJc w:val="left"/>
      <w:pPr>
        <w:tabs>
          <w:tab w:val="num" w:pos="5400"/>
        </w:tabs>
        <w:ind w:left="5400" w:hanging="360"/>
      </w:pPr>
    </w:lvl>
    <w:lvl w:ilvl="7" w:tplc="184A4A5C" w:tentative="1">
      <w:start w:val="1"/>
      <w:numFmt w:val="lowerLetter"/>
      <w:lvlText w:val="%8."/>
      <w:lvlJc w:val="left"/>
      <w:pPr>
        <w:tabs>
          <w:tab w:val="num" w:pos="6120"/>
        </w:tabs>
        <w:ind w:left="6120" w:hanging="360"/>
      </w:pPr>
    </w:lvl>
    <w:lvl w:ilvl="8" w:tplc="3506AB9A" w:tentative="1">
      <w:start w:val="1"/>
      <w:numFmt w:val="lowerRoman"/>
      <w:lvlText w:val="%9."/>
      <w:lvlJc w:val="right"/>
      <w:pPr>
        <w:tabs>
          <w:tab w:val="num" w:pos="6840"/>
        </w:tabs>
        <w:ind w:left="6840" w:hanging="180"/>
      </w:pPr>
    </w:lvl>
  </w:abstractNum>
  <w:abstractNum w:abstractNumId="23">
    <w:nsid w:val="467373A9"/>
    <w:multiLevelType w:val="hybridMultilevel"/>
    <w:tmpl w:val="E3BA04EE"/>
    <w:lvl w:ilvl="0" w:tplc="E99A4D0A">
      <w:start w:val="1"/>
      <w:numFmt w:val="decimal"/>
      <w:lvlText w:val="%1."/>
      <w:lvlJc w:val="left"/>
      <w:pPr>
        <w:tabs>
          <w:tab w:val="num" w:pos="930"/>
        </w:tabs>
        <w:ind w:left="930" w:hanging="570"/>
      </w:pPr>
      <w:rPr>
        <w:rFonts w:hint="default"/>
      </w:rPr>
    </w:lvl>
    <w:lvl w:ilvl="1" w:tplc="E98AD354">
      <w:start w:val="5"/>
      <w:numFmt w:val="decimal"/>
      <w:lvlText w:val="%2"/>
      <w:lvlJc w:val="left"/>
      <w:pPr>
        <w:tabs>
          <w:tab w:val="num" w:pos="1650"/>
        </w:tabs>
        <w:ind w:left="1650" w:hanging="570"/>
      </w:pPr>
      <w:rPr>
        <w:rFonts w:hint="default"/>
      </w:rPr>
    </w:lvl>
    <w:lvl w:ilvl="2" w:tplc="DD6C22D8" w:tentative="1">
      <w:start w:val="1"/>
      <w:numFmt w:val="lowerRoman"/>
      <w:lvlText w:val="%3."/>
      <w:lvlJc w:val="right"/>
      <w:pPr>
        <w:tabs>
          <w:tab w:val="num" w:pos="2160"/>
        </w:tabs>
        <w:ind w:left="2160" w:hanging="180"/>
      </w:pPr>
    </w:lvl>
    <w:lvl w:ilvl="3" w:tplc="08749E02" w:tentative="1">
      <w:start w:val="1"/>
      <w:numFmt w:val="decimal"/>
      <w:lvlText w:val="%4."/>
      <w:lvlJc w:val="left"/>
      <w:pPr>
        <w:tabs>
          <w:tab w:val="num" w:pos="2880"/>
        </w:tabs>
        <w:ind w:left="2880" w:hanging="360"/>
      </w:pPr>
    </w:lvl>
    <w:lvl w:ilvl="4" w:tplc="201E9E06" w:tentative="1">
      <w:start w:val="1"/>
      <w:numFmt w:val="lowerLetter"/>
      <w:lvlText w:val="%5."/>
      <w:lvlJc w:val="left"/>
      <w:pPr>
        <w:tabs>
          <w:tab w:val="num" w:pos="3600"/>
        </w:tabs>
        <w:ind w:left="3600" w:hanging="360"/>
      </w:pPr>
    </w:lvl>
    <w:lvl w:ilvl="5" w:tplc="C394B8BA" w:tentative="1">
      <w:start w:val="1"/>
      <w:numFmt w:val="lowerRoman"/>
      <w:lvlText w:val="%6."/>
      <w:lvlJc w:val="right"/>
      <w:pPr>
        <w:tabs>
          <w:tab w:val="num" w:pos="4320"/>
        </w:tabs>
        <w:ind w:left="4320" w:hanging="180"/>
      </w:pPr>
    </w:lvl>
    <w:lvl w:ilvl="6" w:tplc="5A0CDBFE" w:tentative="1">
      <w:start w:val="1"/>
      <w:numFmt w:val="decimal"/>
      <w:lvlText w:val="%7."/>
      <w:lvlJc w:val="left"/>
      <w:pPr>
        <w:tabs>
          <w:tab w:val="num" w:pos="5040"/>
        </w:tabs>
        <w:ind w:left="5040" w:hanging="360"/>
      </w:pPr>
    </w:lvl>
    <w:lvl w:ilvl="7" w:tplc="1F86A388" w:tentative="1">
      <w:start w:val="1"/>
      <w:numFmt w:val="lowerLetter"/>
      <w:lvlText w:val="%8."/>
      <w:lvlJc w:val="left"/>
      <w:pPr>
        <w:tabs>
          <w:tab w:val="num" w:pos="5760"/>
        </w:tabs>
        <w:ind w:left="5760" w:hanging="360"/>
      </w:pPr>
    </w:lvl>
    <w:lvl w:ilvl="8" w:tplc="046291B2" w:tentative="1">
      <w:start w:val="1"/>
      <w:numFmt w:val="lowerRoman"/>
      <w:lvlText w:val="%9."/>
      <w:lvlJc w:val="right"/>
      <w:pPr>
        <w:tabs>
          <w:tab w:val="num" w:pos="6480"/>
        </w:tabs>
        <w:ind w:left="6480" w:hanging="180"/>
      </w:pPr>
    </w:lvl>
  </w:abstractNum>
  <w:abstractNum w:abstractNumId="24">
    <w:nsid w:val="48EA040E"/>
    <w:multiLevelType w:val="hybridMultilevel"/>
    <w:tmpl w:val="1726832C"/>
    <w:lvl w:ilvl="0" w:tplc="7AC44F46">
      <w:start w:val="1"/>
      <w:numFmt w:val="bullet"/>
      <w:lvlText w:val="-"/>
      <w:lvlJc w:val="left"/>
      <w:pPr>
        <w:tabs>
          <w:tab w:val="num" w:pos="720"/>
        </w:tabs>
        <w:ind w:left="720" w:hanging="360"/>
      </w:pPr>
      <w:rPr>
        <w:rFonts w:ascii="Times New Roman" w:eastAsia="Times New Roman" w:hAnsi="Times New Roman" w:cs="Times New Roman" w:hint="default"/>
      </w:rPr>
    </w:lvl>
    <w:lvl w:ilvl="1" w:tplc="86981C28" w:tentative="1">
      <w:start w:val="1"/>
      <w:numFmt w:val="bullet"/>
      <w:lvlText w:val="o"/>
      <w:lvlJc w:val="left"/>
      <w:pPr>
        <w:tabs>
          <w:tab w:val="num" w:pos="1440"/>
        </w:tabs>
        <w:ind w:left="1440" w:hanging="360"/>
      </w:pPr>
      <w:rPr>
        <w:rFonts w:ascii="Courier New" w:hAnsi="Courier New" w:hint="default"/>
      </w:rPr>
    </w:lvl>
    <w:lvl w:ilvl="2" w:tplc="A10CF1A4" w:tentative="1">
      <w:start w:val="1"/>
      <w:numFmt w:val="bullet"/>
      <w:lvlText w:val=""/>
      <w:lvlJc w:val="left"/>
      <w:pPr>
        <w:tabs>
          <w:tab w:val="num" w:pos="2160"/>
        </w:tabs>
        <w:ind w:left="2160" w:hanging="360"/>
      </w:pPr>
      <w:rPr>
        <w:rFonts w:ascii="Wingdings" w:hAnsi="Wingdings" w:hint="default"/>
      </w:rPr>
    </w:lvl>
    <w:lvl w:ilvl="3" w:tplc="B3BA5426" w:tentative="1">
      <w:start w:val="1"/>
      <w:numFmt w:val="bullet"/>
      <w:lvlText w:val=""/>
      <w:lvlJc w:val="left"/>
      <w:pPr>
        <w:tabs>
          <w:tab w:val="num" w:pos="2880"/>
        </w:tabs>
        <w:ind w:left="2880" w:hanging="360"/>
      </w:pPr>
      <w:rPr>
        <w:rFonts w:ascii="Symbol" w:hAnsi="Symbol" w:hint="default"/>
      </w:rPr>
    </w:lvl>
    <w:lvl w:ilvl="4" w:tplc="931AB75A" w:tentative="1">
      <w:start w:val="1"/>
      <w:numFmt w:val="bullet"/>
      <w:lvlText w:val="o"/>
      <w:lvlJc w:val="left"/>
      <w:pPr>
        <w:tabs>
          <w:tab w:val="num" w:pos="3600"/>
        </w:tabs>
        <w:ind w:left="3600" w:hanging="360"/>
      </w:pPr>
      <w:rPr>
        <w:rFonts w:ascii="Courier New" w:hAnsi="Courier New" w:hint="default"/>
      </w:rPr>
    </w:lvl>
    <w:lvl w:ilvl="5" w:tplc="7916BD6C" w:tentative="1">
      <w:start w:val="1"/>
      <w:numFmt w:val="bullet"/>
      <w:lvlText w:val=""/>
      <w:lvlJc w:val="left"/>
      <w:pPr>
        <w:tabs>
          <w:tab w:val="num" w:pos="4320"/>
        </w:tabs>
        <w:ind w:left="4320" w:hanging="360"/>
      </w:pPr>
      <w:rPr>
        <w:rFonts w:ascii="Wingdings" w:hAnsi="Wingdings" w:hint="default"/>
      </w:rPr>
    </w:lvl>
    <w:lvl w:ilvl="6" w:tplc="6D607080" w:tentative="1">
      <w:start w:val="1"/>
      <w:numFmt w:val="bullet"/>
      <w:lvlText w:val=""/>
      <w:lvlJc w:val="left"/>
      <w:pPr>
        <w:tabs>
          <w:tab w:val="num" w:pos="5040"/>
        </w:tabs>
        <w:ind w:left="5040" w:hanging="360"/>
      </w:pPr>
      <w:rPr>
        <w:rFonts w:ascii="Symbol" w:hAnsi="Symbol" w:hint="default"/>
      </w:rPr>
    </w:lvl>
    <w:lvl w:ilvl="7" w:tplc="55AE5150" w:tentative="1">
      <w:start w:val="1"/>
      <w:numFmt w:val="bullet"/>
      <w:lvlText w:val="o"/>
      <w:lvlJc w:val="left"/>
      <w:pPr>
        <w:tabs>
          <w:tab w:val="num" w:pos="5760"/>
        </w:tabs>
        <w:ind w:left="5760" w:hanging="360"/>
      </w:pPr>
      <w:rPr>
        <w:rFonts w:ascii="Courier New" w:hAnsi="Courier New" w:hint="default"/>
      </w:rPr>
    </w:lvl>
    <w:lvl w:ilvl="8" w:tplc="B8AC2C42" w:tentative="1">
      <w:start w:val="1"/>
      <w:numFmt w:val="bullet"/>
      <w:lvlText w:val=""/>
      <w:lvlJc w:val="left"/>
      <w:pPr>
        <w:tabs>
          <w:tab w:val="num" w:pos="6480"/>
        </w:tabs>
        <w:ind w:left="6480" w:hanging="360"/>
      </w:pPr>
      <w:rPr>
        <w:rFonts w:ascii="Wingdings" w:hAnsi="Wingdings" w:hint="default"/>
      </w:rPr>
    </w:lvl>
  </w:abstractNum>
  <w:abstractNum w:abstractNumId="25">
    <w:nsid w:val="4A810019"/>
    <w:multiLevelType w:val="singleLevel"/>
    <w:tmpl w:val="FFFFFFFF"/>
    <w:lvl w:ilvl="0">
      <w:start w:val="1"/>
      <w:numFmt w:val="bullet"/>
      <w:lvlText w:val="-"/>
      <w:legacy w:legacy="1" w:legacySpace="0" w:legacyIndent="360"/>
      <w:lvlJc w:val="left"/>
      <w:pPr>
        <w:ind w:left="1800" w:hanging="360"/>
      </w:pPr>
    </w:lvl>
  </w:abstractNum>
  <w:abstractNum w:abstractNumId="26">
    <w:nsid w:val="54045D5B"/>
    <w:multiLevelType w:val="hybridMultilevel"/>
    <w:tmpl w:val="5F0E212A"/>
    <w:lvl w:ilvl="0" w:tplc="6F36EE9A">
      <w:start w:val="1"/>
      <w:numFmt w:val="lowerLetter"/>
      <w:lvlText w:val="%1."/>
      <w:lvlJc w:val="left"/>
      <w:pPr>
        <w:ind w:left="720" w:hanging="360"/>
      </w:pPr>
      <w:rPr>
        <w:rFonts w:hint="default"/>
      </w:rPr>
    </w:lvl>
    <w:lvl w:ilvl="1" w:tplc="2B3AA348" w:tentative="1">
      <w:start w:val="1"/>
      <w:numFmt w:val="lowerLetter"/>
      <w:lvlText w:val="%2."/>
      <w:lvlJc w:val="left"/>
      <w:pPr>
        <w:ind w:left="1440" w:hanging="360"/>
      </w:pPr>
    </w:lvl>
    <w:lvl w:ilvl="2" w:tplc="72FC86FC" w:tentative="1">
      <w:start w:val="1"/>
      <w:numFmt w:val="lowerRoman"/>
      <w:lvlText w:val="%3."/>
      <w:lvlJc w:val="right"/>
      <w:pPr>
        <w:ind w:left="2160" w:hanging="180"/>
      </w:pPr>
    </w:lvl>
    <w:lvl w:ilvl="3" w:tplc="178EF8CC" w:tentative="1">
      <w:start w:val="1"/>
      <w:numFmt w:val="decimal"/>
      <w:lvlText w:val="%4."/>
      <w:lvlJc w:val="left"/>
      <w:pPr>
        <w:ind w:left="2880" w:hanging="360"/>
      </w:pPr>
    </w:lvl>
    <w:lvl w:ilvl="4" w:tplc="486E3466" w:tentative="1">
      <w:start w:val="1"/>
      <w:numFmt w:val="lowerLetter"/>
      <w:lvlText w:val="%5."/>
      <w:lvlJc w:val="left"/>
      <w:pPr>
        <w:ind w:left="3600" w:hanging="360"/>
      </w:pPr>
    </w:lvl>
    <w:lvl w:ilvl="5" w:tplc="BD88AB98" w:tentative="1">
      <w:start w:val="1"/>
      <w:numFmt w:val="lowerRoman"/>
      <w:lvlText w:val="%6."/>
      <w:lvlJc w:val="right"/>
      <w:pPr>
        <w:ind w:left="4320" w:hanging="180"/>
      </w:pPr>
    </w:lvl>
    <w:lvl w:ilvl="6" w:tplc="6A302E12" w:tentative="1">
      <w:start w:val="1"/>
      <w:numFmt w:val="decimal"/>
      <w:lvlText w:val="%7."/>
      <w:lvlJc w:val="left"/>
      <w:pPr>
        <w:ind w:left="5040" w:hanging="360"/>
      </w:pPr>
    </w:lvl>
    <w:lvl w:ilvl="7" w:tplc="E794C516" w:tentative="1">
      <w:start w:val="1"/>
      <w:numFmt w:val="lowerLetter"/>
      <w:lvlText w:val="%8."/>
      <w:lvlJc w:val="left"/>
      <w:pPr>
        <w:ind w:left="5760" w:hanging="360"/>
      </w:pPr>
    </w:lvl>
    <w:lvl w:ilvl="8" w:tplc="9472449E" w:tentative="1">
      <w:start w:val="1"/>
      <w:numFmt w:val="lowerRoman"/>
      <w:lvlText w:val="%9."/>
      <w:lvlJc w:val="right"/>
      <w:pPr>
        <w:ind w:left="6480" w:hanging="180"/>
      </w:pPr>
    </w:lvl>
  </w:abstractNum>
  <w:abstractNum w:abstractNumId="27">
    <w:nsid w:val="560C4365"/>
    <w:multiLevelType w:val="singleLevel"/>
    <w:tmpl w:val="FFFFFFFF"/>
    <w:lvl w:ilvl="0">
      <w:start w:val="1"/>
      <w:numFmt w:val="bullet"/>
      <w:lvlText w:val="-"/>
      <w:legacy w:legacy="1" w:legacySpace="0" w:legacyIndent="360"/>
      <w:lvlJc w:val="left"/>
      <w:pPr>
        <w:ind w:left="1800" w:hanging="360"/>
      </w:pPr>
    </w:lvl>
  </w:abstractNum>
  <w:abstractNum w:abstractNumId="28">
    <w:nsid w:val="56664B30"/>
    <w:multiLevelType w:val="hybridMultilevel"/>
    <w:tmpl w:val="C820F4AE"/>
    <w:lvl w:ilvl="0" w:tplc="9DBA5CE6">
      <w:numFmt w:val="bullet"/>
      <w:lvlText w:val="-"/>
      <w:lvlJc w:val="left"/>
      <w:pPr>
        <w:tabs>
          <w:tab w:val="num" w:pos="720"/>
        </w:tabs>
        <w:ind w:left="720" w:hanging="360"/>
      </w:pPr>
      <w:rPr>
        <w:rFonts w:ascii="Times New Roman" w:eastAsia="Times New Roman" w:hAnsi="Times New Roman" w:cs="Times New Roman" w:hint="default"/>
      </w:rPr>
    </w:lvl>
    <w:lvl w:ilvl="1" w:tplc="7054DB62" w:tentative="1">
      <w:start w:val="1"/>
      <w:numFmt w:val="bullet"/>
      <w:lvlText w:val="o"/>
      <w:lvlJc w:val="left"/>
      <w:pPr>
        <w:tabs>
          <w:tab w:val="num" w:pos="1440"/>
        </w:tabs>
        <w:ind w:left="1440" w:hanging="360"/>
      </w:pPr>
      <w:rPr>
        <w:rFonts w:ascii="Courier New" w:hAnsi="Courier New" w:hint="default"/>
      </w:rPr>
    </w:lvl>
    <w:lvl w:ilvl="2" w:tplc="EAC2BE54" w:tentative="1">
      <w:start w:val="1"/>
      <w:numFmt w:val="bullet"/>
      <w:lvlText w:val=""/>
      <w:lvlJc w:val="left"/>
      <w:pPr>
        <w:tabs>
          <w:tab w:val="num" w:pos="2160"/>
        </w:tabs>
        <w:ind w:left="2160" w:hanging="360"/>
      </w:pPr>
      <w:rPr>
        <w:rFonts w:ascii="Wingdings" w:hAnsi="Wingdings" w:hint="default"/>
      </w:rPr>
    </w:lvl>
    <w:lvl w:ilvl="3" w:tplc="453A5354" w:tentative="1">
      <w:start w:val="1"/>
      <w:numFmt w:val="bullet"/>
      <w:lvlText w:val=""/>
      <w:lvlJc w:val="left"/>
      <w:pPr>
        <w:tabs>
          <w:tab w:val="num" w:pos="2880"/>
        </w:tabs>
        <w:ind w:left="2880" w:hanging="360"/>
      </w:pPr>
      <w:rPr>
        <w:rFonts w:ascii="Symbol" w:hAnsi="Symbol" w:hint="default"/>
      </w:rPr>
    </w:lvl>
    <w:lvl w:ilvl="4" w:tplc="50822010" w:tentative="1">
      <w:start w:val="1"/>
      <w:numFmt w:val="bullet"/>
      <w:lvlText w:val="o"/>
      <w:lvlJc w:val="left"/>
      <w:pPr>
        <w:tabs>
          <w:tab w:val="num" w:pos="3600"/>
        </w:tabs>
        <w:ind w:left="3600" w:hanging="360"/>
      </w:pPr>
      <w:rPr>
        <w:rFonts w:ascii="Courier New" w:hAnsi="Courier New" w:hint="default"/>
      </w:rPr>
    </w:lvl>
    <w:lvl w:ilvl="5" w:tplc="473ACA44" w:tentative="1">
      <w:start w:val="1"/>
      <w:numFmt w:val="bullet"/>
      <w:lvlText w:val=""/>
      <w:lvlJc w:val="left"/>
      <w:pPr>
        <w:tabs>
          <w:tab w:val="num" w:pos="4320"/>
        </w:tabs>
        <w:ind w:left="4320" w:hanging="360"/>
      </w:pPr>
      <w:rPr>
        <w:rFonts w:ascii="Wingdings" w:hAnsi="Wingdings" w:hint="default"/>
      </w:rPr>
    </w:lvl>
    <w:lvl w:ilvl="6" w:tplc="2ECEEF46" w:tentative="1">
      <w:start w:val="1"/>
      <w:numFmt w:val="bullet"/>
      <w:lvlText w:val=""/>
      <w:lvlJc w:val="left"/>
      <w:pPr>
        <w:tabs>
          <w:tab w:val="num" w:pos="5040"/>
        </w:tabs>
        <w:ind w:left="5040" w:hanging="360"/>
      </w:pPr>
      <w:rPr>
        <w:rFonts w:ascii="Symbol" w:hAnsi="Symbol" w:hint="default"/>
      </w:rPr>
    </w:lvl>
    <w:lvl w:ilvl="7" w:tplc="F5CE7FD6" w:tentative="1">
      <w:start w:val="1"/>
      <w:numFmt w:val="bullet"/>
      <w:lvlText w:val="o"/>
      <w:lvlJc w:val="left"/>
      <w:pPr>
        <w:tabs>
          <w:tab w:val="num" w:pos="5760"/>
        </w:tabs>
        <w:ind w:left="5760" w:hanging="360"/>
      </w:pPr>
      <w:rPr>
        <w:rFonts w:ascii="Courier New" w:hAnsi="Courier New" w:hint="default"/>
      </w:rPr>
    </w:lvl>
    <w:lvl w:ilvl="8" w:tplc="AE52EDCA" w:tentative="1">
      <w:start w:val="1"/>
      <w:numFmt w:val="bullet"/>
      <w:lvlText w:val=""/>
      <w:lvlJc w:val="left"/>
      <w:pPr>
        <w:tabs>
          <w:tab w:val="num" w:pos="6480"/>
        </w:tabs>
        <w:ind w:left="6480" w:hanging="360"/>
      </w:pPr>
      <w:rPr>
        <w:rFonts w:ascii="Wingdings" w:hAnsi="Wingdings" w:hint="default"/>
      </w:rPr>
    </w:lvl>
  </w:abstractNum>
  <w:abstractNum w:abstractNumId="29">
    <w:nsid w:val="58B56C73"/>
    <w:multiLevelType w:val="hybridMultilevel"/>
    <w:tmpl w:val="5BA42128"/>
    <w:lvl w:ilvl="0" w:tplc="3EC8E512">
      <w:start w:val="2"/>
      <w:numFmt w:val="decimal"/>
      <w:lvlText w:val="%1."/>
      <w:lvlJc w:val="left"/>
      <w:pPr>
        <w:tabs>
          <w:tab w:val="num" w:pos="570"/>
        </w:tabs>
        <w:ind w:left="570" w:hanging="570"/>
      </w:pPr>
      <w:rPr>
        <w:rFonts w:hint="default"/>
      </w:rPr>
    </w:lvl>
    <w:lvl w:ilvl="1" w:tplc="60C84508" w:tentative="1">
      <w:start w:val="1"/>
      <w:numFmt w:val="lowerLetter"/>
      <w:lvlText w:val="%2."/>
      <w:lvlJc w:val="left"/>
      <w:pPr>
        <w:tabs>
          <w:tab w:val="num" w:pos="1080"/>
        </w:tabs>
        <w:ind w:left="1080" w:hanging="360"/>
      </w:pPr>
    </w:lvl>
    <w:lvl w:ilvl="2" w:tplc="952096D2" w:tentative="1">
      <w:start w:val="1"/>
      <w:numFmt w:val="lowerRoman"/>
      <w:lvlText w:val="%3."/>
      <w:lvlJc w:val="right"/>
      <w:pPr>
        <w:tabs>
          <w:tab w:val="num" w:pos="1800"/>
        </w:tabs>
        <w:ind w:left="1800" w:hanging="180"/>
      </w:pPr>
    </w:lvl>
    <w:lvl w:ilvl="3" w:tplc="61D22E2C" w:tentative="1">
      <w:start w:val="1"/>
      <w:numFmt w:val="decimal"/>
      <w:lvlText w:val="%4."/>
      <w:lvlJc w:val="left"/>
      <w:pPr>
        <w:tabs>
          <w:tab w:val="num" w:pos="2520"/>
        </w:tabs>
        <w:ind w:left="2520" w:hanging="360"/>
      </w:pPr>
    </w:lvl>
    <w:lvl w:ilvl="4" w:tplc="A30A6822" w:tentative="1">
      <w:start w:val="1"/>
      <w:numFmt w:val="lowerLetter"/>
      <w:lvlText w:val="%5."/>
      <w:lvlJc w:val="left"/>
      <w:pPr>
        <w:tabs>
          <w:tab w:val="num" w:pos="3240"/>
        </w:tabs>
        <w:ind w:left="3240" w:hanging="360"/>
      </w:pPr>
    </w:lvl>
    <w:lvl w:ilvl="5" w:tplc="4210D230" w:tentative="1">
      <w:start w:val="1"/>
      <w:numFmt w:val="lowerRoman"/>
      <w:lvlText w:val="%6."/>
      <w:lvlJc w:val="right"/>
      <w:pPr>
        <w:tabs>
          <w:tab w:val="num" w:pos="3960"/>
        </w:tabs>
        <w:ind w:left="3960" w:hanging="180"/>
      </w:pPr>
    </w:lvl>
    <w:lvl w:ilvl="6" w:tplc="2E48F002" w:tentative="1">
      <w:start w:val="1"/>
      <w:numFmt w:val="decimal"/>
      <w:lvlText w:val="%7."/>
      <w:lvlJc w:val="left"/>
      <w:pPr>
        <w:tabs>
          <w:tab w:val="num" w:pos="4680"/>
        </w:tabs>
        <w:ind w:left="4680" w:hanging="360"/>
      </w:pPr>
    </w:lvl>
    <w:lvl w:ilvl="7" w:tplc="FD5AF266" w:tentative="1">
      <w:start w:val="1"/>
      <w:numFmt w:val="lowerLetter"/>
      <w:lvlText w:val="%8."/>
      <w:lvlJc w:val="left"/>
      <w:pPr>
        <w:tabs>
          <w:tab w:val="num" w:pos="5400"/>
        </w:tabs>
        <w:ind w:left="5400" w:hanging="360"/>
      </w:pPr>
    </w:lvl>
    <w:lvl w:ilvl="8" w:tplc="F0F6AEDE" w:tentative="1">
      <w:start w:val="1"/>
      <w:numFmt w:val="lowerRoman"/>
      <w:lvlText w:val="%9."/>
      <w:lvlJc w:val="right"/>
      <w:pPr>
        <w:tabs>
          <w:tab w:val="num" w:pos="6120"/>
        </w:tabs>
        <w:ind w:left="6120" w:hanging="180"/>
      </w:pPr>
    </w:lvl>
  </w:abstractNum>
  <w:abstractNum w:abstractNumId="3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31">
    <w:nsid w:val="612225B2"/>
    <w:multiLevelType w:val="hybridMultilevel"/>
    <w:tmpl w:val="946A1BA6"/>
    <w:lvl w:ilvl="0" w:tplc="17742062">
      <w:start w:val="1"/>
      <w:numFmt w:val="bullet"/>
      <w:lvlText w:val=""/>
      <w:lvlJc w:val="left"/>
      <w:pPr>
        <w:tabs>
          <w:tab w:val="num" w:pos="284"/>
        </w:tabs>
        <w:ind w:left="284" w:hanging="284"/>
      </w:pPr>
      <w:rPr>
        <w:rFonts w:ascii="Symbol" w:hAnsi="Symbol" w:hint="default"/>
      </w:rPr>
    </w:lvl>
    <w:lvl w:ilvl="1" w:tplc="8FB0BFAE" w:tentative="1">
      <w:start w:val="1"/>
      <w:numFmt w:val="bullet"/>
      <w:lvlText w:val="o"/>
      <w:lvlJc w:val="left"/>
      <w:pPr>
        <w:tabs>
          <w:tab w:val="num" w:pos="1440"/>
        </w:tabs>
        <w:ind w:left="1440" w:hanging="360"/>
      </w:pPr>
      <w:rPr>
        <w:rFonts w:ascii="Courier New" w:hAnsi="Courier New" w:cs="Courier New" w:hint="default"/>
      </w:rPr>
    </w:lvl>
    <w:lvl w:ilvl="2" w:tplc="EA928A60" w:tentative="1">
      <w:start w:val="1"/>
      <w:numFmt w:val="bullet"/>
      <w:lvlText w:val=""/>
      <w:lvlJc w:val="left"/>
      <w:pPr>
        <w:tabs>
          <w:tab w:val="num" w:pos="2160"/>
        </w:tabs>
        <w:ind w:left="2160" w:hanging="360"/>
      </w:pPr>
      <w:rPr>
        <w:rFonts w:ascii="Wingdings" w:hAnsi="Wingdings" w:hint="default"/>
      </w:rPr>
    </w:lvl>
    <w:lvl w:ilvl="3" w:tplc="E9AE69F2" w:tentative="1">
      <w:start w:val="1"/>
      <w:numFmt w:val="bullet"/>
      <w:lvlText w:val=""/>
      <w:lvlJc w:val="left"/>
      <w:pPr>
        <w:tabs>
          <w:tab w:val="num" w:pos="2880"/>
        </w:tabs>
        <w:ind w:left="2880" w:hanging="360"/>
      </w:pPr>
      <w:rPr>
        <w:rFonts w:ascii="Symbol" w:hAnsi="Symbol" w:hint="default"/>
      </w:rPr>
    </w:lvl>
    <w:lvl w:ilvl="4" w:tplc="052CCA62" w:tentative="1">
      <w:start w:val="1"/>
      <w:numFmt w:val="bullet"/>
      <w:lvlText w:val="o"/>
      <w:lvlJc w:val="left"/>
      <w:pPr>
        <w:tabs>
          <w:tab w:val="num" w:pos="3600"/>
        </w:tabs>
        <w:ind w:left="3600" w:hanging="360"/>
      </w:pPr>
      <w:rPr>
        <w:rFonts w:ascii="Courier New" w:hAnsi="Courier New" w:cs="Courier New" w:hint="default"/>
      </w:rPr>
    </w:lvl>
    <w:lvl w:ilvl="5" w:tplc="BC9E8716" w:tentative="1">
      <w:start w:val="1"/>
      <w:numFmt w:val="bullet"/>
      <w:lvlText w:val=""/>
      <w:lvlJc w:val="left"/>
      <w:pPr>
        <w:tabs>
          <w:tab w:val="num" w:pos="4320"/>
        </w:tabs>
        <w:ind w:left="4320" w:hanging="360"/>
      </w:pPr>
      <w:rPr>
        <w:rFonts w:ascii="Wingdings" w:hAnsi="Wingdings" w:hint="default"/>
      </w:rPr>
    </w:lvl>
    <w:lvl w:ilvl="6" w:tplc="D6ECDD56" w:tentative="1">
      <w:start w:val="1"/>
      <w:numFmt w:val="bullet"/>
      <w:lvlText w:val=""/>
      <w:lvlJc w:val="left"/>
      <w:pPr>
        <w:tabs>
          <w:tab w:val="num" w:pos="5040"/>
        </w:tabs>
        <w:ind w:left="5040" w:hanging="360"/>
      </w:pPr>
      <w:rPr>
        <w:rFonts w:ascii="Symbol" w:hAnsi="Symbol" w:hint="default"/>
      </w:rPr>
    </w:lvl>
    <w:lvl w:ilvl="7" w:tplc="D11CC844" w:tentative="1">
      <w:start w:val="1"/>
      <w:numFmt w:val="bullet"/>
      <w:lvlText w:val="o"/>
      <w:lvlJc w:val="left"/>
      <w:pPr>
        <w:tabs>
          <w:tab w:val="num" w:pos="5760"/>
        </w:tabs>
        <w:ind w:left="5760" w:hanging="360"/>
      </w:pPr>
      <w:rPr>
        <w:rFonts w:ascii="Courier New" w:hAnsi="Courier New" w:cs="Courier New" w:hint="default"/>
      </w:rPr>
    </w:lvl>
    <w:lvl w:ilvl="8" w:tplc="6452FB52" w:tentative="1">
      <w:start w:val="1"/>
      <w:numFmt w:val="bullet"/>
      <w:lvlText w:val=""/>
      <w:lvlJc w:val="left"/>
      <w:pPr>
        <w:tabs>
          <w:tab w:val="num" w:pos="6480"/>
        </w:tabs>
        <w:ind w:left="6480" w:hanging="360"/>
      </w:pPr>
      <w:rPr>
        <w:rFonts w:ascii="Wingdings" w:hAnsi="Wingdings" w:hint="default"/>
      </w:rPr>
    </w:lvl>
  </w:abstractNum>
  <w:abstractNum w:abstractNumId="32">
    <w:nsid w:val="61901BD3"/>
    <w:multiLevelType w:val="hybridMultilevel"/>
    <w:tmpl w:val="4E5C8746"/>
    <w:lvl w:ilvl="0" w:tplc="6C6041A0">
      <w:start w:val="1"/>
      <w:numFmt w:val="lowerLetter"/>
      <w:lvlText w:val="%1)"/>
      <w:lvlJc w:val="left"/>
      <w:pPr>
        <w:tabs>
          <w:tab w:val="num" w:pos="1800"/>
        </w:tabs>
        <w:ind w:left="1800" w:hanging="360"/>
      </w:pPr>
    </w:lvl>
    <w:lvl w:ilvl="1" w:tplc="FFB0C3F2">
      <w:start w:val="1"/>
      <w:numFmt w:val="lowerRoman"/>
      <w:lvlText w:val="%2."/>
      <w:lvlJc w:val="right"/>
      <w:pPr>
        <w:tabs>
          <w:tab w:val="num" w:pos="2520"/>
        </w:tabs>
        <w:ind w:left="2520" w:hanging="360"/>
      </w:pPr>
    </w:lvl>
    <w:lvl w:ilvl="2" w:tplc="D04EC736">
      <w:start w:val="1"/>
      <w:numFmt w:val="lowerRoman"/>
      <w:lvlText w:val="%3."/>
      <w:lvlJc w:val="right"/>
      <w:pPr>
        <w:tabs>
          <w:tab w:val="num" w:pos="3240"/>
        </w:tabs>
        <w:ind w:left="3240" w:hanging="180"/>
      </w:pPr>
    </w:lvl>
    <w:lvl w:ilvl="3" w:tplc="F140B4EC" w:tentative="1">
      <w:start w:val="1"/>
      <w:numFmt w:val="decimal"/>
      <w:lvlText w:val="%4."/>
      <w:lvlJc w:val="left"/>
      <w:pPr>
        <w:tabs>
          <w:tab w:val="num" w:pos="3960"/>
        </w:tabs>
        <w:ind w:left="3960" w:hanging="360"/>
      </w:pPr>
    </w:lvl>
    <w:lvl w:ilvl="4" w:tplc="5F20E0D2" w:tentative="1">
      <w:start w:val="1"/>
      <w:numFmt w:val="lowerLetter"/>
      <w:lvlText w:val="%5."/>
      <w:lvlJc w:val="left"/>
      <w:pPr>
        <w:tabs>
          <w:tab w:val="num" w:pos="4680"/>
        </w:tabs>
        <w:ind w:left="4680" w:hanging="360"/>
      </w:pPr>
    </w:lvl>
    <w:lvl w:ilvl="5" w:tplc="8D822B30" w:tentative="1">
      <w:start w:val="1"/>
      <w:numFmt w:val="lowerRoman"/>
      <w:lvlText w:val="%6."/>
      <w:lvlJc w:val="right"/>
      <w:pPr>
        <w:tabs>
          <w:tab w:val="num" w:pos="5400"/>
        </w:tabs>
        <w:ind w:left="5400" w:hanging="180"/>
      </w:pPr>
    </w:lvl>
    <w:lvl w:ilvl="6" w:tplc="3EDE4474" w:tentative="1">
      <w:start w:val="1"/>
      <w:numFmt w:val="decimal"/>
      <w:lvlText w:val="%7."/>
      <w:lvlJc w:val="left"/>
      <w:pPr>
        <w:tabs>
          <w:tab w:val="num" w:pos="6120"/>
        </w:tabs>
        <w:ind w:left="6120" w:hanging="360"/>
      </w:pPr>
    </w:lvl>
    <w:lvl w:ilvl="7" w:tplc="9BEAD6F0" w:tentative="1">
      <w:start w:val="1"/>
      <w:numFmt w:val="lowerLetter"/>
      <w:lvlText w:val="%8."/>
      <w:lvlJc w:val="left"/>
      <w:pPr>
        <w:tabs>
          <w:tab w:val="num" w:pos="6840"/>
        </w:tabs>
        <w:ind w:left="6840" w:hanging="360"/>
      </w:pPr>
    </w:lvl>
    <w:lvl w:ilvl="8" w:tplc="64709256" w:tentative="1">
      <w:start w:val="1"/>
      <w:numFmt w:val="lowerRoman"/>
      <w:lvlText w:val="%9."/>
      <w:lvlJc w:val="right"/>
      <w:pPr>
        <w:tabs>
          <w:tab w:val="num" w:pos="7560"/>
        </w:tabs>
        <w:ind w:left="7560" w:hanging="180"/>
      </w:pPr>
    </w:lvl>
  </w:abstractNum>
  <w:abstractNum w:abstractNumId="33">
    <w:nsid w:val="638649FD"/>
    <w:multiLevelType w:val="hybridMultilevel"/>
    <w:tmpl w:val="4A945CDA"/>
    <w:lvl w:ilvl="0" w:tplc="E8441D48">
      <w:start w:val="1"/>
      <w:numFmt w:val="decimal"/>
      <w:lvlText w:val="%1."/>
      <w:lvlJc w:val="left"/>
      <w:pPr>
        <w:tabs>
          <w:tab w:val="num" w:pos="1353"/>
        </w:tabs>
        <w:ind w:left="1353" w:hanging="360"/>
      </w:pPr>
    </w:lvl>
    <w:lvl w:ilvl="1" w:tplc="B30C4C74" w:tentative="1">
      <w:start w:val="1"/>
      <w:numFmt w:val="lowerLetter"/>
      <w:lvlText w:val="%2."/>
      <w:lvlJc w:val="left"/>
      <w:pPr>
        <w:tabs>
          <w:tab w:val="num" w:pos="2073"/>
        </w:tabs>
        <w:ind w:left="2073" w:hanging="360"/>
      </w:pPr>
    </w:lvl>
    <w:lvl w:ilvl="2" w:tplc="6E4E0478" w:tentative="1">
      <w:start w:val="1"/>
      <w:numFmt w:val="lowerRoman"/>
      <w:lvlText w:val="%3."/>
      <w:lvlJc w:val="right"/>
      <w:pPr>
        <w:tabs>
          <w:tab w:val="num" w:pos="2793"/>
        </w:tabs>
        <w:ind w:left="2793" w:hanging="180"/>
      </w:pPr>
    </w:lvl>
    <w:lvl w:ilvl="3" w:tplc="E80E09E0" w:tentative="1">
      <w:start w:val="1"/>
      <w:numFmt w:val="decimal"/>
      <w:lvlText w:val="%4."/>
      <w:lvlJc w:val="left"/>
      <w:pPr>
        <w:tabs>
          <w:tab w:val="num" w:pos="3513"/>
        </w:tabs>
        <w:ind w:left="3513" w:hanging="360"/>
      </w:pPr>
    </w:lvl>
    <w:lvl w:ilvl="4" w:tplc="53B81F0E" w:tentative="1">
      <w:start w:val="1"/>
      <w:numFmt w:val="lowerLetter"/>
      <w:lvlText w:val="%5."/>
      <w:lvlJc w:val="left"/>
      <w:pPr>
        <w:tabs>
          <w:tab w:val="num" w:pos="4233"/>
        </w:tabs>
        <w:ind w:left="4233" w:hanging="360"/>
      </w:pPr>
    </w:lvl>
    <w:lvl w:ilvl="5" w:tplc="DB32BD86" w:tentative="1">
      <w:start w:val="1"/>
      <w:numFmt w:val="lowerRoman"/>
      <w:lvlText w:val="%6."/>
      <w:lvlJc w:val="right"/>
      <w:pPr>
        <w:tabs>
          <w:tab w:val="num" w:pos="4953"/>
        </w:tabs>
        <w:ind w:left="4953" w:hanging="180"/>
      </w:pPr>
    </w:lvl>
    <w:lvl w:ilvl="6" w:tplc="3B9C542A" w:tentative="1">
      <w:start w:val="1"/>
      <w:numFmt w:val="decimal"/>
      <w:lvlText w:val="%7."/>
      <w:lvlJc w:val="left"/>
      <w:pPr>
        <w:tabs>
          <w:tab w:val="num" w:pos="5673"/>
        </w:tabs>
        <w:ind w:left="5673" w:hanging="360"/>
      </w:pPr>
    </w:lvl>
    <w:lvl w:ilvl="7" w:tplc="55CA9934" w:tentative="1">
      <w:start w:val="1"/>
      <w:numFmt w:val="lowerLetter"/>
      <w:lvlText w:val="%8."/>
      <w:lvlJc w:val="left"/>
      <w:pPr>
        <w:tabs>
          <w:tab w:val="num" w:pos="6393"/>
        </w:tabs>
        <w:ind w:left="6393" w:hanging="360"/>
      </w:pPr>
    </w:lvl>
    <w:lvl w:ilvl="8" w:tplc="D92026AA" w:tentative="1">
      <w:start w:val="1"/>
      <w:numFmt w:val="lowerRoman"/>
      <w:lvlText w:val="%9."/>
      <w:lvlJc w:val="right"/>
      <w:pPr>
        <w:tabs>
          <w:tab w:val="num" w:pos="7113"/>
        </w:tabs>
        <w:ind w:left="7113" w:hanging="180"/>
      </w:pPr>
    </w:lvl>
  </w:abstractNum>
  <w:abstractNum w:abstractNumId="34">
    <w:nsid w:val="6518235F"/>
    <w:multiLevelType w:val="hybridMultilevel"/>
    <w:tmpl w:val="42E4AA10"/>
    <w:lvl w:ilvl="0" w:tplc="47DE618C">
      <w:start w:val="10"/>
      <w:numFmt w:val="decimal"/>
      <w:lvlText w:val="%1."/>
      <w:lvlJc w:val="left"/>
      <w:pPr>
        <w:tabs>
          <w:tab w:val="num" w:pos="930"/>
        </w:tabs>
        <w:ind w:left="930" w:hanging="570"/>
      </w:pPr>
      <w:rPr>
        <w:rFonts w:hint="default"/>
      </w:rPr>
    </w:lvl>
    <w:lvl w:ilvl="1" w:tplc="A1B04B42" w:tentative="1">
      <w:start w:val="1"/>
      <w:numFmt w:val="lowerLetter"/>
      <w:lvlText w:val="%2."/>
      <w:lvlJc w:val="left"/>
      <w:pPr>
        <w:tabs>
          <w:tab w:val="num" w:pos="1440"/>
        </w:tabs>
        <w:ind w:left="1440" w:hanging="360"/>
      </w:pPr>
    </w:lvl>
    <w:lvl w:ilvl="2" w:tplc="A856567A" w:tentative="1">
      <w:start w:val="1"/>
      <w:numFmt w:val="lowerRoman"/>
      <w:lvlText w:val="%3."/>
      <w:lvlJc w:val="right"/>
      <w:pPr>
        <w:tabs>
          <w:tab w:val="num" w:pos="2160"/>
        </w:tabs>
        <w:ind w:left="2160" w:hanging="180"/>
      </w:pPr>
    </w:lvl>
    <w:lvl w:ilvl="3" w:tplc="DE90CE70" w:tentative="1">
      <w:start w:val="1"/>
      <w:numFmt w:val="decimal"/>
      <w:lvlText w:val="%4."/>
      <w:lvlJc w:val="left"/>
      <w:pPr>
        <w:tabs>
          <w:tab w:val="num" w:pos="2880"/>
        </w:tabs>
        <w:ind w:left="2880" w:hanging="360"/>
      </w:pPr>
    </w:lvl>
    <w:lvl w:ilvl="4" w:tplc="19B21172" w:tentative="1">
      <w:start w:val="1"/>
      <w:numFmt w:val="lowerLetter"/>
      <w:lvlText w:val="%5."/>
      <w:lvlJc w:val="left"/>
      <w:pPr>
        <w:tabs>
          <w:tab w:val="num" w:pos="3600"/>
        </w:tabs>
        <w:ind w:left="3600" w:hanging="360"/>
      </w:pPr>
    </w:lvl>
    <w:lvl w:ilvl="5" w:tplc="8C308C50" w:tentative="1">
      <w:start w:val="1"/>
      <w:numFmt w:val="lowerRoman"/>
      <w:lvlText w:val="%6."/>
      <w:lvlJc w:val="right"/>
      <w:pPr>
        <w:tabs>
          <w:tab w:val="num" w:pos="4320"/>
        </w:tabs>
        <w:ind w:left="4320" w:hanging="180"/>
      </w:pPr>
    </w:lvl>
    <w:lvl w:ilvl="6" w:tplc="68E21B5A" w:tentative="1">
      <w:start w:val="1"/>
      <w:numFmt w:val="decimal"/>
      <w:lvlText w:val="%7."/>
      <w:lvlJc w:val="left"/>
      <w:pPr>
        <w:tabs>
          <w:tab w:val="num" w:pos="5040"/>
        </w:tabs>
        <w:ind w:left="5040" w:hanging="360"/>
      </w:pPr>
    </w:lvl>
    <w:lvl w:ilvl="7" w:tplc="C3ECE038" w:tentative="1">
      <w:start w:val="1"/>
      <w:numFmt w:val="lowerLetter"/>
      <w:lvlText w:val="%8."/>
      <w:lvlJc w:val="left"/>
      <w:pPr>
        <w:tabs>
          <w:tab w:val="num" w:pos="5760"/>
        </w:tabs>
        <w:ind w:left="5760" w:hanging="360"/>
      </w:pPr>
    </w:lvl>
    <w:lvl w:ilvl="8" w:tplc="3F54CB20" w:tentative="1">
      <w:start w:val="1"/>
      <w:numFmt w:val="lowerRoman"/>
      <w:lvlText w:val="%9."/>
      <w:lvlJc w:val="right"/>
      <w:pPr>
        <w:tabs>
          <w:tab w:val="num" w:pos="6480"/>
        </w:tabs>
        <w:ind w:left="6480" w:hanging="180"/>
      </w:pPr>
    </w:lvl>
  </w:abstractNum>
  <w:abstractNum w:abstractNumId="35">
    <w:nsid w:val="658C02A1"/>
    <w:multiLevelType w:val="singleLevel"/>
    <w:tmpl w:val="E7D22186"/>
    <w:lvl w:ilvl="0">
      <w:start w:val="1"/>
      <w:numFmt w:val="upperRoman"/>
      <w:lvlText w:val="%1."/>
      <w:lvlJc w:val="left"/>
      <w:pPr>
        <w:tabs>
          <w:tab w:val="num" w:pos="720"/>
        </w:tabs>
        <w:ind w:left="360" w:hanging="360"/>
      </w:pPr>
    </w:lvl>
  </w:abstractNum>
  <w:abstractNum w:abstractNumId="36">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7">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9">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0">
    <w:nsid w:val="71FB76EB"/>
    <w:multiLevelType w:val="hybridMultilevel"/>
    <w:tmpl w:val="CC66055E"/>
    <w:lvl w:ilvl="0" w:tplc="0C50CD68">
      <w:start w:val="1"/>
      <w:numFmt w:val="decimal"/>
      <w:lvlText w:val="%1."/>
      <w:lvlJc w:val="left"/>
      <w:pPr>
        <w:tabs>
          <w:tab w:val="num" w:pos="720"/>
        </w:tabs>
        <w:ind w:left="720" w:hanging="360"/>
      </w:pPr>
    </w:lvl>
    <w:lvl w:ilvl="1" w:tplc="AD68EF6A" w:tentative="1">
      <w:start w:val="1"/>
      <w:numFmt w:val="lowerLetter"/>
      <w:lvlText w:val="%2."/>
      <w:lvlJc w:val="left"/>
      <w:pPr>
        <w:tabs>
          <w:tab w:val="num" w:pos="1440"/>
        </w:tabs>
        <w:ind w:left="1440" w:hanging="360"/>
      </w:pPr>
    </w:lvl>
    <w:lvl w:ilvl="2" w:tplc="7A523DD6" w:tentative="1">
      <w:start w:val="1"/>
      <w:numFmt w:val="lowerRoman"/>
      <w:lvlText w:val="%3."/>
      <w:lvlJc w:val="right"/>
      <w:pPr>
        <w:tabs>
          <w:tab w:val="num" w:pos="2160"/>
        </w:tabs>
        <w:ind w:left="2160" w:hanging="180"/>
      </w:pPr>
    </w:lvl>
    <w:lvl w:ilvl="3" w:tplc="C1AC76F8" w:tentative="1">
      <w:start w:val="1"/>
      <w:numFmt w:val="decimal"/>
      <w:lvlText w:val="%4."/>
      <w:lvlJc w:val="left"/>
      <w:pPr>
        <w:tabs>
          <w:tab w:val="num" w:pos="2880"/>
        </w:tabs>
        <w:ind w:left="2880" w:hanging="360"/>
      </w:pPr>
    </w:lvl>
    <w:lvl w:ilvl="4" w:tplc="63C04E9A" w:tentative="1">
      <w:start w:val="1"/>
      <w:numFmt w:val="lowerLetter"/>
      <w:lvlText w:val="%5."/>
      <w:lvlJc w:val="left"/>
      <w:pPr>
        <w:tabs>
          <w:tab w:val="num" w:pos="3600"/>
        </w:tabs>
        <w:ind w:left="3600" w:hanging="360"/>
      </w:pPr>
    </w:lvl>
    <w:lvl w:ilvl="5" w:tplc="CB564F40" w:tentative="1">
      <w:start w:val="1"/>
      <w:numFmt w:val="lowerRoman"/>
      <w:lvlText w:val="%6."/>
      <w:lvlJc w:val="right"/>
      <w:pPr>
        <w:tabs>
          <w:tab w:val="num" w:pos="4320"/>
        </w:tabs>
        <w:ind w:left="4320" w:hanging="180"/>
      </w:pPr>
    </w:lvl>
    <w:lvl w:ilvl="6" w:tplc="BF7A44B2" w:tentative="1">
      <w:start w:val="1"/>
      <w:numFmt w:val="decimal"/>
      <w:lvlText w:val="%7."/>
      <w:lvlJc w:val="left"/>
      <w:pPr>
        <w:tabs>
          <w:tab w:val="num" w:pos="5040"/>
        </w:tabs>
        <w:ind w:left="5040" w:hanging="360"/>
      </w:pPr>
    </w:lvl>
    <w:lvl w:ilvl="7" w:tplc="CD6A1108" w:tentative="1">
      <w:start w:val="1"/>
      <w:numFmt w:val="lowerLetter"/>
      <w:lvlText w:val="%8."/>
      <w:lvlJc w:val="left"/>
      <w:pPr>
        <w:tabs>
          <w:tab w:val="num" w:pos="5760"/>
        </w:tabs>
        <w:ind w:left="5760" w:hanging="360"/>
      </w:pPr>
    </w:lvl>
    <w:lvl w:ilvl="8" w:tplc="BEFC4918" w:tentative="1">
      <w:start w:val="1"/>
      <w:numFmt w:val="lowerRoman"/>
      <w:lvlText w:val="%9."/>
      <w:lvlJc w:val="right"/>
      <w:pPr>
        <w:tabs>
          <w:tab w:val="num" w:pos="6480"/>
        </w:tabs>
        <w:ind w:left="6480" w:hanging="180"/>
      </w:pPr>
    </w:lvl>
  </w:abstractNum>
  <w:abstractNum w:abstractNumId="41">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abstractNum w:abstractNumId="42">
    <w:nsid w:val="7A9C0782"/>
    <w:multiLevelType w:val="hybridMultilevel"/>
    <w:tmpl w:val="6D4C92D2"/>
    <w:lvl w:ilvl="0" w:tplc="73A4E224">
      <w:start w:val="1"/>
      <w:numFmt w:val="bullet"/>
      <w:lvlText w:val=""/>
      <w:lvlJc w:val="left"/>
      <w:pPr>
        <w:ind w:left="720" w:hanging="360"/>
      </w:pPr>
      <w:rPr>
        <w:rFonts w:ascii="Symbol" w:hAnsi="Symbol" w:hint="default"/>
      </w:rPr>
    </w:lvl>
    <w:lvl w:ilvl="1" w:tplc="2C668CA0" w:tentative="1">
      <w:start w:val="1"/>
      <w:numFmt w:val="bullet"/>
      <w:lvlText w:val="o"/>
      <w:lvlJc w:val="left"/>
      <w:pPr>
        <w:ind w:left="1440" w:hanging="360"/>
      </w:pPr>
      <w:rPr>
        <w:rFonts w:ascii="Courier New" w:hAnsi="Courier New" w:cs="Courier New" w:hint="default"/>
      </w:rPr>
    </w:lvl>
    <w:lvl w:ilvl="2" w:tplc="781C4248" w:tentative="1">
      <w:start w:val="1"/>
      <w:numFmt w:val="bullet"/>
      <w:lvlText w:val=""/>
      <w:lvlJc w:val="left"/>
      <w:pPr>
        <w:ind w:left="2160" w:hanging="360"/>
      </w:pPr>
      <w:rPr>
        <w:rFonts w:ascii="Wingdings" w:hAnsi="Wingdings" w:hint="default"/>
      </w:rPr>
    </w:lvl>
    <w:lvl w:ilvl="3" w:tplc="1F5C7012" w:tentative="1">
      <w:start w:val="1"/>
      <w:numFmt w:val="bullet"/>
      <w:lvlText w:val=""/>
      <w:lvlJc w:val="left"/>
      <w:pPr>
        <w:ind w:left="2880" w:hanging="360"/>
      </w:pPr>
      <w:rPr>
        <w:rFonts w:ascii="Symbol" w:hAnsi="Symbol" w:hint="default"/>
      </w:rPr>
    </w:lvl>
    <w:lvl w:ilvl="4" w:tplc="F59288E0" w:tentative="1">
      <w:start w:val="1"/>
      <w:numFmt w:val="bullet"/>
      <w:lvlText w:val="o"/>
      <w:lvlJc w:val="left"/>
      <w:pPr>
        <w:ind w:left="3600" w:hanging="360"/>
      </w:pPr>
      <w:rPr>
        <w:rFonts w:ascii="Courier New" w:hAnsi="Courier New" w:cs="Courier New" w:hint="default"/>
      </w:rPr>
    </w:lvl>
    <w:lvl w:ilvl="5" w:tplc="A1968866" w:tentative="1">
      <w:start w:val="1"/>
      <w:numFmt w:val="bullet"/>
      <w:lvlText w:val=""/>
      <w:lvlJc w:val="left"/>
      <w:pPr>
        <w:ind w:left="4320" w:hanging="360"/>
      </w:pPr>
      <w:rPr>
        <w:rFonts w:ascii="Wingdings" w:hAnsi="Wingdings" w:hint="default"/>
      </w:rPr>
    </w:lvl>
    <w:lvl w:ilvl="6" w:tplc="550C450E" w:tentative="1">
      <w:start w:val="1"/>
      <w:numFmt w:val="bullet"/>
      <w:lvlText w:val=""/>
      <w:lvlJc w:val="left"/>
      <w:pPr>
        <w:ind w:left="5040" w:hanging="360"/>
      </w:pPr>
      <w:rPr>
        <w:rFonts w:ascii="Symbol" w:hAnsi="Symbol" w:hint="default"/>
      </w:rPr>
    </w:lvl>
    <w:lvl w:ilvl="7" w:tplc="B2108068" w:tentative="1">
      <w:start w:val="1"/>
      <w:numFmt w:val="bullet"/>
      <w:lvlText w:val="o"/>
      <w:lvlJc w:val="left"/>
      <w:pPr>
        <w:ind w:left="5760" w:hanging="360"/>
      </w:pPr>
      <w:rPr>
        <w:rFonts w:ascii="Courier New" w:hAnsi="Courier New" w:cs="Courier New" w:hint="default"/>
      </w:rPr>
    </w:lvl>
    <w:lvl w:ilvl="8" w:tplc="A18030FE" w:tentative="1">
      <w:start w:val="1"/>
      <w:numFmt w:val="bullet"/>
      <w:lvlText w:val=""/>
      <w:lvlJc w:val="left"/>
      <w:pPr>
        <w:ind w:left="6480" w:hanging="360"/>
      </w:pPr>
      <w:rPr>
        <w:rFonts w:ascii="Wingdings" w:hAnsi="Wingdings" w:hint="default"/>
      </w:rPr>
    </w:lvl>
  </w:abstractNum>
  <w:abstractNum w:abstractNumId="43">
    <w:nsid w:val="7C6759E3"/>
    <w:multiLevelType w:val="hybridMultilevel"/>
    <w:tmpl w:val="388EF226"/>
    <w:lvl w:ilvl="0" w:tplc="79089E00">
      <w:numFmt w:val="bullet"/>
      <w:lvlText w:val="-"/>
      <w:lvlJc w:val="left"/>
      <w:pPr>
        <w:ind w:left="720" w:hanging="360"/>
      </w:pPr>
      <w:rPr>
        <w:rFonts w:ascii="Calibri" w:eastAsia="Calibri" w:hAnsi="Calibri" w:cs="Calibri" w:hint="default"/>
      </w:rPr>
    </w:lvl>
    <w:lvl w:ilvl="1" w:tplc="EC562FE4" w:tentative="1">
      <w:start w:val="1"/>
      <w:numFmt w:val="bullet"/>
      <w:lvlText w:val="o"/>
      <w:lvlJc w:val="left"/>
      <w:pPr>
        <w:ind w:left="1440" w:hanging="360"/>
      </w:pPr>
      <w:rPr>
        <w:rFonts w:ascii="Courier New" w:hAnsi="Courier New" w:cs="Courier New" w:hint="default"/>
      </w:rPr>
    </w:lvl>
    <w:lvl w:ilvl="2" w:tplc="8580E9EE" w:tentative="1">
      <w:start w:val="1"/>
      <w:numFmt w:val="bullet"/>
      <w:lvlText w:val=""/>
      <w:lvlJc w:val="left"/>
      <w:pPr>
        <w:ind w:left="2160" w:hanging="360"/>
      </w:pPr>
      <w:rPr>
        <w:rFonts w:ascii="Wingdings" w:hAnsi="Wingdings" w:hint="default"/>
      </w:rPr>
    </w:lvl>
    <w:lvl w:ilvl="3" w:tplc="CC4E5CF2" w:tentative="1">
      <w:start w:val="1"/>
      <w:numFmt w:val="bullet"/>
      <w:lvlText w:val=""/>
      <w:lvlJc w:val="left"/>
      <w:pPr>
        <w:ind w:left="2880" w:hanging="360"/>
      </w:pPr>
      <w:rPr>
        <w:rFonts w:ascii="Symbol" w:hAnsi="Symbol" w:hint="default"/>
      </w:rPr>
    </w:lvl>
    <w:lvl w:ilvl="4" w:tplc="1AEACD98" w:tentative="1">
      <w:start w:val="1"/>
      <w:numFmt w:val="bullet"/>
      <w:lvlText w:val="o"/>
      <w:lvlJc w:val="left"/>
      <w:pPr>
        <w:ind w:left="3600" w:hanging="360"/>
      </w:pPr>
      <w:rPr>
        <w:rFonts w:ascii="Courier New" w:hAnsi="Courier New" w:cs="Courier New" w:hint="default"/>
      </w:rPr>
    </w:lvl>
    <w:lvl w:ilvl="5" w:tplc="EE32A580" w:tentative="1">
      <w:start w:val="1"/>
      <w:numFmt w:val="bullet"/>
      <w:lvlText w:val=""/>
      <w:lvlJc w:val="left"/>
      <w:pPr>
        <w:ind w:left="4320" w:hanging="360"/>
      </w:pPr>
      <w:rPr>
        <w:rFonts w:ascii="Wingdings" w:hAnsi="Wingdings" w:hint="default"/>
      </w:rPr>
    </w:lvl>
    <w:lvl w:ilvl="6" w:tplc="A5A6513A" w:tentative="1">
      <w:start w:val="1"/>
      <w:numFmt w:val="bullet"/>
      <w:lvlText w:val=""/>
      <w:lvlJc w:val="left"/>
      <w:pPr>
        <w:ind w:left="5040" w:hanging="360"/>
      </w:pPr>
      <w:rPr>
        <w:rFonts w:ascii="Symbol" w:hAnsi="Symbol" w:hint="default"/>
      </w:rPr>
    </w:lvl>
    <w:lvl w:ilvl="7" w:tplc="99888C3A" w:tentative="1">
      <w:start w:val="1"/>
      <w:numFmt w:val="bullet"/>
      <w:lvlText w:val="o"/>
      <w:lvlJc w:val="left"/>
      <w:pPr>
        <w:ind w:left="5760" w:hanging="360"/>
      </w:pPr>
      <w:rPr>
        <w:rFonts w:ascii="Courier New" w:hAnsi="Courier New" w:cs="Courier New" w:hint="default"/>
      </w:rPr>
    </w:lvl>
    <w:lvl w:ilvl="8" w:tplc="28AEE912"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9"/>
  </w:num>
  <w:num w:numId="4">
    <w:abstractNumId w:val="38"/>
  </w:num>
  <w:num w:numId="5">
    <w:abstractNumId w:val="15"/>
  </w:num>
  <w:num w:numId="6">
    <w:abstractNumId w:val="27"/>
  </w:num>
  <w:num w:numId="7">
    <w:abstractNumId w:val="25"/>
  </w:num>
  <w:num w:numId="8">
    <w:abstractNumId w:val="11"/>
  </w:num>
  <w:num w:numId="9">
    <w:abstractNumId w:val="36"/>
  </w:num>
  <w:num w:numId="10">
    <w:abstractNumId w:val="37"/>
  </w:num>
  <w:num w:numId="11">
    <w:abstractNumId w:val="21"/>
  </w:num>
  <w:num w:numId="12">
    <w:abstractNumId w:val="17"/>
  </w:num>
  <w:num w:numId="13">
    <w:abstractNumId w:val="3"/>
  </w:num>
  <w:num w:numId="14">
    <w:abstractNumId w:val="35"/>
  </w:num>
  <w:num w:numId="15">
    <w:abstractNumId w:val="23"/>
  </w:num>
  <w:num w:numId="16">
    <w:abstractNumId w:val="40"/>
  </w:num>
  <w:num w:numId="17">
    <w:abstractNumId w:val="12"/>
  </w:num>
  <w:num w:numId="18">
    <w:abstractNumId w:val="2"/>
  </w:num>
  <w:num w:numId="19">
    <w:abstractNumId w:val="22"/>
  </w:num>
  <w:num w:numId="20">
    <w:abstractNumId w:val="4"/>
  </w:num>
  <w:num w:numId="21">
    <w:abstractNumId w:val="10"/>
  </w:num>
  <w:num w:numId="22">
    <w:abstractNumId w:val="30"/>
  </w:num>
  <w:num w:numId="23">
    <w:abstractNumId w:val="34"/>
  </w:num>
  <w:num w:numId="24">
    <w:abstractNumId w:val="29"/>
  </w:num>
  <w:num w:numId="25">
    <w:abstractNumId w:val="16"/>
  </w:num>
  <w:num w:numId="26">
    <w:abstractNumId w:val="14"/>
  </w:num>
  <w:num w:numId="27">
    <w:abstractNumId w:val="24"/>
  </w:num>
  <w:num w:numId="28">
    <w:abstractNumId w:val="28"/>
  </w:num>
  <w:num w:numId="29">
    <w:abstractNumId w:val="18"/>
  </w:num>
  <w:num w:numId="30">
    <w:abstractNumId w:val="13"/>
  </w:num>
  <w:num w:numId="31">
    <w:abstractNumId w:val="32"/>
  </w:num>
  <w:num w:numId="32">
    <w:abstractNumId w:val="33"/>
  </w:num>
  <w:num w:numId="33">
    <w:abstractNumId w:val="31"/>
  </w:num>
  <w:num w:numId="34">
    <w:abstractNumId w:val="19"/>
  </w:num>
  <w:num w:numId="35">
    <w:abstractNumId w:val="5"/>
  </w:num>
  <w:num w:numId="36">
    <w:abstractNumId w:val="41"/>
  </w:num>
  <w:num w:numId="37">
    <w:abstractNumId w:val="0"/>
    <w:lvlOverride w:ilvl="0">
      <w:lvl w:ilvl="0">
        <w:start w:val="1"/>
        <w:numFmt w:val="bullet"/>
        <w:lvlText w:val="-"/>
        <w:legacy w:legacy="1" w:legacySpace="0" w:legacyIndent="360"/>
        <w:lvlJc w:val="left"/>
        <w:pPr>
          <w:ind w:left="360" w:hanging="360"/>
        </w:pPr>
      </w:lvl>
    </w:lvlOverride>
  </w:num>
  <w:num w:numId="38">
    <w:abstractNumId w:val="9"/>
  </w:num>
  <w:num w:numId="39">
    <w:abstractNumId w:val="43"/>
  </w:num>
  <w:num w:numId="40">
    <w:abstractNumId w:val="26"/>
  </w:num>
  <w:num w:numId="41">
    <w:abstractNumId w:val="7"/>
  </w:num>
  <w:num w:numId="42">
    <w:abstractNumId w:val="1"/>
  </w:num>
  <w:num w:numId="43">
    <w:abstractNumId w:val="42"/>
  </w:num>
  <w:num w:numId="44">
    <w:abstractNumId w:val="20"/>
  </w:num>
  <w:num w:numId="45">
    <w:abstractNumId w:val="6"/>
  </w:num>
  <w:num w:numId="4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
    <w15:presenceInfo w15:providerId="None" w15:userId="AM"/>
  </w15:person>
  <w15:person w15:author="JURIK Andreas">
    <w15:presenceInfo w15:providerId="AD" w15:userId="S-1-5-21-3340155049-3569717045-4108240018-366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proofState w:spelling="clean" w:grammar="clean"/>
  <w:stylePaneFormatFilter w:val="3F01"/>
  <w:trackRevisions/>
  <w:doNotTrackMoves/>
  <w:doNotTrackFormatting/>
  <w:defaultTabStop w:val="567"/>
  <w:hyphenationZone w:val="425"/>
  <w:doNotHyphenateCaps/>
  <w:drawingGridHorizontalSpacing w:val="11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doNotUseHTMLParagraphAutoSpacing/>
  </w:compat>
  <w:docVars>
    <w:docVar w:name="Registered" w:val="-1"/>
    <w:docVar w:name="Version" w:val="0"/>
  </w:docVars>
  <w:rsids>
    <w:rsidRoot w:val="00C53ACC"/>
    <w:rsid w:val="000316E5"/>
    <w:rsid w:val="00033036"/>
    <w:rsid w:val="00051880"/>
    <w:rsid w:val="00052BE2"/>
    <w:rsid w:val="000A695C"/>
    <w:rsid w:val="000E7C8B"/>
    <w:rsid w:val="0013424F"/>
    <w:rsid w:val="001912E3"/>
    <w:rsid w:val="001A0F46"/>
    <w:rsid w:val="001A3FF2"/>
    <w:rsid w:val="00247E70"/>
    <w:rsid w:val="00287035"/>
    <w:rsid w:val="00293332"/>
    <w:rsid w:val="002E72BD"/>
    <w:rsid w:val="00335DE4"/>
    <w:rsid w:val="00344115"/>
    <w:rsid w:val="0038664C"/>
    <w:rsid w:val="003E6CAA"/>
    <w:rsid w:val="00414583"/>
    <w:rsid w:val="0042189F"/>
    <w:rsid w:val="0048417F"/>
    <w:rsid w:val="004C1B92"/>
    <w:rsid w:val="004E3984"/>
    <w:rsid w:val="00534F10"/>
    <w:rsid w:val="005826F6"/>
    <w:rsid w:val="005A3B8A"/>
    <w:rsid w:val="005B66A1"/>
    <w:rsid w:val="00600009"/>
    <w:rsid w:val="00602E9F"/>
    <w:rsid w:val="00643DDB"/>
    <w:rsid w:val="00790CD2"/>
    <w:rsid w:val="00810CF7"/>
    <w:rsid w:val="008A2DFF"/>
    <w:rsid w:val="008F4FEE"/>
    <w:rsid w:val="00941D55"/>
    <w:rsid w:val="009A0E97"/>
    <w:rsid w:val="009B2135"/>
    <w:rsid w:val="00A747D9"/>
    <w:rsid w:val="00AC0AD8"/>
    <w:rsid w:val="00B74D70"/>
    <w:rsid w:val="00BA558B"/>
    <w:rsid w:val="00BB77CF"/>
    <w:rsid w:val="00BC0204"/>
    <w:rsid w:val="00C53ACC"/>
    <w:rsid w:val="00C57E85"/>
    <w:rsid w:val="00C62025"/>
    <w:rsid w:val="00C63EB2"/>
    <w:rsid w:val="00CD2E9B"/>
    <w:rsid w:val="00D80CB9"/>
    <w:rsid w:val="00DC689A"/>
    <w:rsid w:val="00DD307E"/>
    <w:rsid w:val="00DD6705"/>
    <w:rsid w:val="00DF1CD8"/>
    <w:rsid w:val="00E8142A"/>
    <w:rsid w:val="00E903BB"/>
    <w:rsid w:val="00E97314"/>
    <w:rsid w:val="00F071E8"/>
    <w:rsid w:val="00FD4A2C"/>
    <w:rsid w:val="00FE5E15"/>
    <w:rsid w:val="00FF7303"/>
  </w:rsids>
  <m:mathPr>
    <m:mathFont m:val="Cambria Math"/>
    <m:brkBin m:val="before"/>
    <m:brkBinSub m:val="--"/>
    <m:smallFrac m:val="off"/>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8417F"/>
    <w:pPr>
      <w:tabs>
        <w:tab w:val="left" w:pos="567"/>
      </w:tabs>
      <w:spacing w:line="260" w:lineRule="exact"/>
    </w:pPr>
    <w:rPr>
      <w:sz w:val="22"/>
      <w:lang w:val="sk-SK" w:eastAsia="en-US"/>
    </w:rPr>
  </w:style>
  <w:style w:type="paragraph" w:styleId="Nadpis1">
    <w:name w:val="heading 1"/>
    <w:basedOn w:val="Normlny"/>
    <w:next w:val="Normlny"/>
    <w:qFormat/>
    <w:rsid w:val="0048417F"/>
    <w:pPr>
      <w:spacing w:before="240" w:after="120"/>
      <w:ind w:left="357" w:hanging="357"/>
      <w:outlineLvl w:val="0"/>
    </w:pPr>
    <w:rPr>
      <w:b/>
      <w:caps/>
      <w:sz w:val="26"/>
    </w:rPr>
  </w:style>
  <w:style w:type="paragraph" w:styleId="Nadpis2">
    <w:name w:val="heading 2"/>
    <w:basedOn w:val="Normlny"/>
    <w:next w:val="Normlny"/>
    <w:qFormat/>
    <w:rsid w:val="0048417F"/>
    <w:pPr>
      <w:keepNext/>
      <w:spacing w:before="240" w:after="60"/>
      <w:outlineLvl w:val="1"/>
    </w:pPr>
    <w:rPr>
      <w:rFonts w:ascii="Helvetica" w:hAnsi="Helvetica"/>
      <w:b/>
      <w:i/>
      <w:sz w:val="24"/>
    </w:rPr>
  </w:style>
  <w:style w:type="paragraph" w:styleId="Nadpis3">
    <w:name w:val="heading 3"/>
    <w:basedOn w:val="Normlny"/>
    <w:next w:val="Normlny"/>
    <w:qFormat/>
    <w:rsid w:val="0048417F"/>
    <w:pPr>
      <w:keepNext/>
      <w:keepLines/>
      <w:spacing w:before="120" w:after="80"/>
      <w:outlineLvl w:val="2"/>
    </w:pPr>
    <w:rPr>
      <w:b/>
      <w:kern w:val="28"/>
      <w:sz w:val="24"/>
    </w:rPr>
  </w:style>
  <w:style w:type="paragraph" w:styleId="Nadpis4">
    <w:name w:val="heading 4"/>
    <w:basedOn w:val="Normlny"/>
    <w:next w:val="Normlny"/>
    <w:qFormat/>
    <w:rsid w:val="0048417F"/>
    <w:pPr>
      <w:keepNext/>
      <w:jc w:val="both"/>
      <w:outlineLvl w:val="3"/>
    </w:pPr>
    <w:rPr>
      <w:b/>
      <w:noProof/>
    </w:rPr>
  </w:style>
  <w:style w:type="paragraph" w:styleId="Nadpis5">
    <w:name w:val="heading 5"/>
    <w:basedOn w:val="Normlny"/>
    <w:next w:val="Normlny"/>
    <w:qFormat/>
    <w:rsid w:val="0048417F"/>
    <w:pPr>
      <w:keepNext/>
      <w:jc w:val="both"/>
      <w:outlineLvl w:val="4"/>
    </w:pPr>
    <w:rPr>
      <w:noProof/>
    </w:rPr>
  </w:style>
  <w:style w:type="paragraph" w:styleId="Nadpis6">
    <w:name w:val="heading 6"/>
    <w:basedOn w:val="Normlny"/>
    <w:next w:val="Normlny"/>
    <w:qFormat/>
    <w:rsid w:val="0048417F"/>
    <w:pPr>
      <w:keepNext/>
      <w:tabs>
        <w:tab w:val="left" w:pos="-720"/>
        <w:tab w:val="left" w:pos="4536"/>
      </w:tabs>
      <w:suppressAutoHyphens/>
      <w:outlineLvl w:val="5"/>
    </w:pPr>
    <w:rPr>
      <w:i/>
    </w:rPr>
  </w:style>
  <w:style w:type="paragraph" w:styleId="Nadpis7">
    <w:name w:val="heading 7"/>
    <w:basedOn w:val="Normlny"/>
    <w:next w:val="Normlny"/>
    <w:qFormat/>
    <w:rsid w:val="0048417F"/>
    <w:pPr>
      <w:keepNext/>
      <w:tabs>
        <w:tab w:val="left" w:pos="-720"/>
        <w:tab w:val="left" w:pos="4536"/>
      </w:tabs>
      <w:suppressAutoHyphens/>
      <w:jc w:val="both"/>
      <w:outlineLvl w:val="6"/>
    </w:pPr>
    <w:rPr>
      <w:i/>
    </w:rPr>
  </w:style>
  <w:style w:type="paragraph" w:styleId="Nadpis8">
    <w:name w:val="heading 8"/>
    <w:basedOn w:val="Normlny"/>
    <w:next w:val="Normlny"/>
    <w:qFormat/>
    <w:rsid w:val="0048417F"/>
    <w:pPr>
      <w:keepNext/>
      <w:ind w:left="567" w:hanging="567"/>
      <w:jc w:val="both"/>
      <w:outlineLvl w:val="7"/>
    </w:pPr>
    <w:rPr>
      <w:b/>
      <w:i/>
    </w:rPr>
  </w:style>
  <w:style w:type="paragraph" w:styleId="Nadpis9">
    <w:name w:val="heading 9"/>
    <w:basedOn w:val="Normlny"/>
    <w:next w:val="Normlny"/>
    <w:qFormat/>
    <w:rsid w:val="0048417F"/>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48417F"/>
    <w:pPr>
      <w:tabs>
        <w:tab w:val="center" w:pos="4153"/>
        <w:tab w:val="right" w:pos="8306"/>
      </w:tabs>
      <w:spacing w:line="240" w:lineRule="auto"/>
    </w:pPr>
    <w:rPr>
      <w:rFonts w:ascii="Helvetica" w:hAnsi="Helvetica"/>
      <w:sz w:val="20"/>
    </w:rPr>
  </w:style>
  <w:style w:type="paragraph" w:styleId="Pta">
    <w:name w:val="footer"/>
    <w:basedOn w:val="Normlny"/>
    <w:rsid w:val="0048417F"/>
    <w:pPr>
      <w:tabs>
        <w:tab w:val="center" w:pos="4536"/>
        <w:tab w:val="center" w:pos="8930"/>
      </w:tabs>
      <w:spacing w:line="240" w:lineRule="auto"/>
    </w:pPr>
    <w:rPr>
      <w:rFonts w:ascii="Helvetica" w:hAnsi="Helvetica"/>
      <w:sz w:val="16"/>
    </w:rPr>
  </w:style>
  <w:style w:type="character" w:styleId="slostrany">
    <w:name w:val="page number"/>
    <w:basedOn w:val="Predvolenpsmoodseku"/>
    <w:rsid w:val="0048417F"/>
  </w:style>
  <w:style w:type="paragraph" w:styleId="Zarkazkladnhotextu">
    <w:name w:val="Body Text Indent"/>
    <w:basedOn w:val="Normlny"/>
    <w:rsid w:val="0048417F"/>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rsid w:val="0048417F"/>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rsid w:val="0048417F"/>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rsid w:val="0048417F"/>
    <w:pPr>
      <w:tabs>
        <w:tab w:val="clear" w:pos="567"/>
      </w:tabs>
      <w:spacing w:line="240" w:lineRule="auto"/>
    </w:pPr>
    <w:rPr>
      <w:i/>
      <w:color w:val="008000"/>
    </w:rPr>
  </w:style>
  <w:style w:type="paragraph" w:styleId="Zkladntext2">
    <w:name w:val="Body Text 2"/>
    <w:basedOn w:val="Normlny"/>
    <w:rsid w:val="0048417F"/>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sid w:val="0048417F"/>
    <w:rPr>
      <w:sz w:val="16"/>
      <w:szCs w:val="16"/>
      <w:lang w:val="sk-SK"/>
    </w:rPr>
  </w:style>
  <w:style w:type="paragraph" w:styleId="Textkomentra">
    <w:name w:val="annotation text"/>
    <w:aliases w:val="Char"/>
    <w:basedOn w:val="Normlny"/>
    <w:link w:val="TextkomentraChar"/>
    <w:semiHidden/>
    <w:rsid w:val="0048417F"/>
    <w:rPr>
      <w:sz w:val="20"/>
    </w:rPr>
  </w:style>
  <w:style w:type="paragraph" w:customStyle="1" w:styleId="EMEAEnBodyText">
    <w:name w:val="EMEA En Body Text"/>
    <w:basedOn w:val="Normlny"/>
    <w:rsid w:val="0048417F"/>
    <w:pPr>
      <w:tabs>
        <w:tab w:val="clear" w:pos="567"/>
      </w:tabs>
      <w:spacing w:before="120" w:after="120" w:line="240" w:lineRule="auto"/>
      <w:jc w:val="both"/>
    </w:pPr>
  </w:style>
  <w:style w:type="paragraph" w:styleId="truktradokumentu">
    <w:name w:val="Document Map"/>
    <w:basedOn w:val="Normlny"/>
    <w:semiHidden/>
    <w:rsid w:val="0048417F"/>
    <w:pPr>
      <w:shd w:val="clear" w:color="auto" w:fill="000080"/>
    </w:pPr>
    <w:rPr>
      <w:rFonts w:ascii="Tahoma" w:hAnsi="Tahoma" w:cs="Tahoma"/>
    </w:rPr>
  </w:style>
  <w:style w:type="character" w:styleId="Hypertextovprepojenie">
    <w:name w:val="Hyperlink"/>
    <w:rsid w:val="0048417F"/>
    <w:rPr>
      <w:color w:val="0000FF"/>
      <w:u w:val="single"/>
      <w:lang w:val="sk-SK"/>
    </w:rPr>
  </w:style>
  <w:style w:type="paragraph" w:customStyle="1" w:styleId="AHeader1">
    <w:name w:val="AHeader 1"/>
    <w:basedOn w:val="Normlny"/>
    <w:rsid w:val="0048417F"/>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rsid w:val="0048417F"/>
    <w:pPr>
      <w:numPr>
        <w:ilvl w:val="1"/>
      </w:numPr>
      <w:tabs>
        <w:tab w:val="clear" w:pos="709"/>
        <w:tab w:val="num" w:pos="360"/>
      </w:tabs>
    </w:pPr>
    <w:rPr>
      <w:sz w:val="22"/>
    </w:rPr>
  </w:style>
  <w:style w:type="paragraph" w:customStyle="1" w:styleId="AHeader3">
    <w:name w:val="AHeader 3"/>
    <w:basedOn w:val="AHeader2"/>
    <w:rsid w:val="0048417F"/>
    <w:pPr>
      <w:numPr>
        <w:ilvl w:val="2"/>
      </w:numPr>
      <w:tabs>
        <w:tab w:val="clear" w:pos="1276"/>
        <w:tab w:val="num" w:pos="360"/>
      </w:tabs>
    </w:pPr>
  </w:style>
  <w:style w:type="paragraph" w:customStyle="1" w:styleId="AHeader2abc">
    <w:name w:val="AHeader 2 abc"/>
    <w:basedOn w:val="AHeader3"/>
    <w:rsid w:val="0048417F"/>
    <w:pPr>
      <w:numPr>
        <w:ilvl w:val="3"/>
      </w:numPr>
      <w:tabs>
        <w:tab w:val="clear" w:pos="1276"/>
        <w:tab w:val="num" w:pos="360"/>
      </w:tabs>
      <w:jc w:val="both"/>
    </w:pPr>
    <w:rPr>
      <w:b w:val="0"/>
      <w:bCs w:val="0"/>
    </w:rPr>
  </w:style>
  <w:style w:type="paragraph" w:customStyle="1" w:styleId="AHeader3abc">
    <w:name w:val="AHeader 3 abc"/>
    <w:basedOn w:val="AHeader2abc"/>
    <w:rsid w:val="0048417F"/>
    <w:pPr>
      <w:numPr>
        <w:ilvl w:val="4"/>
      </w:numPr>
      <w:tabs>
        <w:tab w:val="clear" w:pos="1701"/>
        <w:tab w:val="num" w:pos="360"/>
      </w:tabs>
    </w:pPr>
  </w:style>
  <w:style w:type="paragraph" w:styleId="Zarkazkladnhotextu3">
    <w:name w:val="Body Text Indent 3"/>
    <w:basedOn w:val="Normlny"/>
    <w:rsid w:val="0048417F"/>
    <w:pPr>
      <w:tabs>
        <w:tab w:val="left" w:pos="1134"/>
      </w:tabs>
      <w:autoSpaceDE w:val="0"/>
      <w:autoSpaceDN w:val="0"/>
      <w:adjustRightInd w:val="0"/>
      <w:ind w:left="633"/>
      <w:jc w:val="both"/>
    </w:pPr>
    <w:rPr>
      <w:szCs w:val="21"/>
    </w:rPr>
  </w:style>
  <w:style w:type="character" w:styleId="PouitHypertextovPrepojenie">
    <w:name w:val="FollowedHyperlink"/>
    <w:rsid w:val="0048417F"/>
    <w:rPr>
      <w:color w:val="800080"/>
      <w:u w:val="single"/>
      <w:lang w:val="sk-SK"/>
    </w:rPr>
  </w:style>
  <w:style w:type="paragraph" w:customStyle="1" w:styleId="Default">
    <w:name w:val="Default"/>
    <w:rsid w:val="0048417F"/>
    <w:pPr>
      <w:autoSpaceDE w:val="0"/>
      <w:autoSpaceDN w:val="0"/>
      <w:adjustRightInd w:val="0"/>
    </w:pPr>
    <w:rPr>
      <w:lang w:val="sk-SK" w:eastAsia="en-US"/>
    </w:rPr>
  </w:style>
  <w:style w:type="paragraph" w:styleId="Textbubliny">
    <w:name w:val="Balloon Text"/>
    <w:basedOn w:val="Normlny"/>
    <w:semiHidden/>
    <w:rsid w:val="0048417F"/>
    <w:rPr>
      <w:rFonts w:ascii="Tahoma" w:hAnsi="Tahoma" w:cs="Tahoma"/>
      <w:sz w:val="16"/>
      <w:szCs w:val="16"/>
    </w:rPr>
  </w:style>
  <w:style w:type="paragraph" w:styleId="Predmetkomentra">
    <w:name w:val="annotation subject"/>
    <w:basedOn w:val="Textkomentra"/>
    <w:next w:val="Textkomentra"/>
    <w:semiHidden/>
    <w:rsid w:val="00C53ACC"/>
    <w:rPr>
      <w:b/>
      <w:bCs/>
    </w:rPr>
  </w:style>
  <w:style w:type="paragraph" w:customStyle="1" w:styleId="BodytextAgency">
    <w:name w:val="Body text (Agency)"/>
    <w:basedOn w:val="Normlny"/>
    <w:link w:val="BodytextAgencyChar"/>
    <w:rsid w:val="00F00876"/>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F00876"/>
    <w:rPr>
      <w:rFonts w:ascii="Verdana" w:eastAsia="Verdana" w:hAnsi="Verdana" w:cs="Verdana"/>
      <w:sz w:val="18"/>
      <w:szCs w:val="18"/>
      <w:lang w:val="sk-SK"/>
    </w:rPr>
  </w:style>
  <w:style w:type="paragraph" w:styleId="Odsekzoznamu">
    <w:name w:val="List Paragraph"/>
    <w:basedOn w:val="Normlny"/>
    <w:uiPriority w:val="34"/>
    <w:qFormat/>
    <w:rsid w:val="00FB22B4"/>
    <w:pPr>
      <w:ind w:left="708"/>
    </w:pPr>
  </w:style>
  <w:style w:type="character" w:customStyle="1" w:styleId="TextkomentraChar">
    <w:name w:val="Text komentára Char"/>
    <w:aliases w:val="Char Char"/>
    <w:link w:val="Textkomentra"/>
    <w:semiHidden/>
    <w:locked/>
    <w:rsid w:val="006C2A6B"/>
    <w:rPr>
      <w:lang w:val="sk-SK" w:eastAsia="en-US"/>
    </w:rPr>
  </w:style>
  <w:style w:type="table" w:styleId="Mriekatabuky">
    <w:name w:val="Table Grid"/>
    <w:basedOn w:val="Normlnatabuka"/>
    <w:rsid w:val="002F3D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avikaChar">
    <w:name w:val="Hlavička Char"/>
    <w:link w:val="Hlavika"/>
    <w:uiPriority w:val="99"/>
    <w:rsid w:val="00DF1CD8"/>
    <w:rPr>
      <w:rFonts w:ascii="Helvetica" w:hAnsi="Helvetica"/>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tabs>
        <w:tab w:val="left" w:pos="567"/>
      </w:tabs>
      <w:spacing w:line="260" w:lineRule="exact"/>
    </w:pPr>
    <w:rPr>
      <w:sz w:val="22"/>
      <w:lang w:val="sk-SK" w:eastAsia="en-US"/>
    </w:rPr>
  </w:style>
  <w:style w:type="paragraph" w:styleId="Nadpis1">
    <w:name w:val="heading 1"/>
    <w:basedOn w:val="Normlny"/>
    <w:next w:val="Normlny"/>
    <w:qFormat/>
    <w:pPr>
      <w:spacing w:before="240" w:after="120"/>
      <w:ind w:left="357" w:hanging="357"/>
      <w:outlineLvl w:val="0"/>
    </w:pPr>
    <w:rPr>
      <w:b/>
      <w:caps/>
      <w:sz w:val="26"/>
    </w:rPr>
  </w:style>
  <w:style w:type="paragraph" w:styleId="Nadpis2">
    <w:name w:val="heading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rPr>
  </w:style>
  <w:style w:type="paragraph" w:styleId="Nadpis4">
    <w:name w:val="heading 4"/>
    <w:basedOn w:val="Normlny"/>
    <w:next w:val="Normlny"/>
    <w:qFormat/>
    <w:pPr>
      <w:keepNext/>
      <w:jc w:val="both"/>
      <w:outlineLvl w:val="3"/>
    </w:pPr>
    <w:rPr>
      <w:b/>
      <w:noProof/>
    </w:rPr>
  </w:style>
  <w:style w:type="paragraph" w:styleId="Nadpis5">
    <w:name w:val="heading 5"/>
    <w:basedOn w:val="Normlny"/>
    <w:next w:val="Normlny"/>
    <w:qFormat/>
    <w:pPr>
      <w:keepNext/>
      <w:jc w:val="both"/>
      <w:outlineLvl w:val="4"/>
    </w:pPr>
    <w:rPr>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ind w:left="567" w:hanging="567"/>
      <w:jc w:val="both"/>
      <w:outlineLvl w:val="7"/>
    </w:pPr>
    <w:rPr>
      <w:b/>
      <w:i/>
    </w:rPr>
  </w:style>
  <w:style w:type="paragraph" w:styleId="Nadpis9">
    <w:name w:val="heading 9"/>
    <w:basedOn w:val="Normlny"/>
    <w:next w:val="Normlny"/>
    <w:qFormat/>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pPr>
      <w:tabs>
        <w:tab w:val="center" w:pos="4153"/>
        <w:tab w:val="right" w:pos="8306"/>
      </w:tabs>
      <w:spacing w:line="240" w:lineRule="auto"/>
    </w:pPr>
    <w:rPr>
      <w:rFonts w:ascii="Helvetica" w:hAnsi="Helvetica"/>
      <w:sz w:val="20"/>
    </w:rPr>
  </w:style>
  <w:style w:type="paragraph" w:styleId="Pta">
    <w:name w:val="footer"/>
    <w:basedOn w:val="Normlny"/>
    <w:pPr>
      <w:tabs>
        <w:tab w:val="center" w:pos="4536"/>
        <w:tab w:val="center" w:pos="8930"/>
      </w:tabs>
      <w:spacing w:line="240" w:lineRule="auto"/>
    </w:pPr>
    <w:rPr>
      <w:rFonts w:ascii="Helvetica" w:hAnsi="Helvetica"/>
      <w:sz w:val="16"/>
    </w:rPr>
  </w:style>
  <w:style w:type="character" w:styleId="slostrany">
    <w:name w:val="page number"/>
    <w:basedOn w:val="Predvolenpsmoodseku"/>
  </w:style>
  <w:style w:type="paragraph" w:styleId="Zarkazkladnhotextu">
    <w:name w:val="Body Text Indent"/>
    <w:basedOn w:val="Normlny"/>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pPr>
      <w:tabs>
        <w:tab w:val="clear" w:pos="567"/>
      </w:tabs>
      <w:spacing w:line="240" w:lineRule="auto"/>
    </w:pPr>
    <w:rPr>
      <w:i/>
      <w:color w:val="008000"/>
    </w:rPr>
  </w:style>
  <w:style w:type="paragraph" w:styleId="Zkladntext2">
    <w:name w:val="Body Text 2"/>
    <w:basedOn w:val="Normlny"/>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Pr>
      <w:sz w:val="16"/>
      <w:szCs w:val="16"/>
      <w:lang w:val="sk-SK"/>
    </w:rPr>
  </w:style>
  <w:style w:type="paragraph" w:styleId="Textkomentra">
    <w:name w:val="annotation text"/>
    <w:aliases w:val="Char"/>
    <w:basedOn w:val="Normlny"/>
    <w:link w:val="TextkomentraChar"/>
    <w:semiHidden/>
    <w:rPr>
      <w:sz w:val="20"/>
    </w:rPr>
  </w:style>
  <w:style w:type="paragraph" w:customStyle="1" w:styleId="EMEAEnBodyText">
    <w:name w:val="EMEA En Body Text"/>
    <w:basedOn w:val="Normlny"/>
    <w:pPr>
      <w:tabs>
        <w:tab w:val="clear" w:pos="567"/>
      </w:tabs>
      <w:spacing w:before="120" w:after="120" w:line="240" w:lineRule="auto"/>
      <w:jc w:val="both"/>
    </w:pPr>
  </w:style>
  <w:style w:type="paragraph" w:styleId="truktradokumentu">
    <w:name w:val="Document Map"/>
    <w:basedOn w:val="Normlny"/>
    <w:semiHidden/>
    <w:pPr>
      <w:shd w:val="clear" w:color="auto" w:fill="000080"/>
    </w:pPr>
    <w:rPr>
      <w:rFonts w:ascii="Tahoma" w:hAnsi="Tahoma" w:cs="Tahoma"/>
    </w:rPr>
  </w:style>
  <w:style w:type="character" w:styleId="Hypertextovprepojenie">
    <w:name w:val="Hyperlink"/>
    <w:rPr>
      <w:color w:val="0000FF"/>
      <w:u w:val="single"/>
      <w:lang w:val="sk-SK"/>
    </w:rPr>
  </w:style>
  <w:style w:type="paragraph" w:customStyle="1" w:styleId="AHeader1">
    <w:name w:val="AHeader 1"/>
    <w:basedOn w:val="Normlny"/>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Zarkazkladnhotextu3">
    <w:name w:val="Body Text Indent 3"/>
    <w:basedOn w:val="Normlny"/>
    <w:pPr>
      <w:tabs>
        <w:tab w:val="left" w:pos="1134"/>
      </w:tabs>
      <w:autoSpaceDE w:val="0"/>
      <w:autoSpaceDN w:val="0"/>
      <w:adjustRightInd w:val="0"/>
      <w:ind w:left="633"/>
      <w:jc w:val="both"/>
    </w:pPr>
    <w:rPr>
      <w:szCs w:val="21"/>
    </w:rPr>
  </w:style>
  <w:style w:type="character" w:styleId="PouitHypertextovPrepojenie">
    <w:name w:val="FollowedHyperlink"/>
    <w:rPr>
      <w:color w:val="800080"/>
      <w:u w:val="single"/>
      <w:lang w:val="sk-SK"/>
    </w:rPr>
  </w:style>
  <w:style w:type="paragraph" w:customStyle="1" w:styleId="Default">
    <w:name w:val="Default"/>
    <w:pPr>
      <w:autoSpaceDE w:val="0"/>
      <w:autoSpaceDN w:val="0"/>
      <w:adjustRightInd w:val="0"/>
    </w:pPr>
    <w:rPr>
      <w:lang w:val="sk-SK" w:eastAsia="en-US"/>
    </w:rPr>
  </w:style>
  <w:style w:type="paragraph" w:styleId="Textbubliny">
    <w:name w:val="Balloon Text"/>
    <w:basedOn w:val="Normlny"/>
    <w:semiHidden/>
    <w:rPr>
      <w:rFonts w:ascii="Tahoma" w:hAnsi="Tahoma" w:cs="Tahoma"/>
      <w:sz w:val="16"/>
      <w:szCs w:val="16"/>
    </w:rPr>
  </w:style>
  <w:style w:type="paragraph" w:styleId="Predmetkomentra">
    <w:name w:val="annotation subject"/>
    <w:basedOn w:val="Textkomentra"/>
    <w:next w:val="Textkomentra"/>
    <w:semiHidden/>
    <w:rsid w:val="00C53ACC"/>
    <w:rPr>
      <w:b/>
      <w:bCs/>
    </w:rPr>
  </w:style>
  <w:style w:type="paragraph" w:customStyle="1" w:styleId="BodytextAgency">
    <w:name w:val="Body text (Agency)"/>
    <w:basedOn w:val="Normlny"/>
    <w:link w:val="BodytextAgencyChar"/>
    <w:rsid w:val="00F00876"/>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F00876"/>
    <w:rPr>
      <w:rFonts w:ascii="Verdana" w:eastAsia="Verdana" w:hAnsi="Verdana" w:cs="Verdana"/>
      <w:sz w:val="18"/>
      <w:szCs w:val="18"/>
      <w:lang w:val="sk-SK"/>
    </w:rPr>
  </w:style>
  <w:style w:type="paragraph" w:styleId="Odsekzoznamu">
    <w:name w:val="List Paragraph"/>
    <w:basedOn w:val="Normlny"/>
    <w:uiPriority w:val="34"/>
    <w:qFormat/>
    <w:rsid w:val="00FB22B4"/>
    <w:pPr>
      <w:ind w:left="708"/>
    </w:pPr>
  </w:style>
  <w:style w:type="character" w:customStyle="1" w:styleId="TextkomentraChar">
    <w:name w:val="Text komentára Char"/>
    <w:aliases w:val="Char Char"/>
    <w:link w:val="Textkomentra"/>
    <w:semiHidden/>
    <w:locked/>
    <w:rsid w:val="006C2A6B"/>
    <w:rPr>
      <w:lang w:val="sk-SK" w:eastAsia="en-US"/>
    </w:rPr>
  </w:style>
  <w:style w:type="table" w:styleId="Mriekatabuky">
    <w:name w:val="Table Grid"/>
    <w:basedOn w:val="Normlnatabuka"/>
    <w:rsid w:val="002F3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ikaChar">
    <w:name w:val="Hlavička Char"/>
    <w:link w:val="Hlavika"/>
    <w:uiPriority w:val="99"/>
    <w:rsid w:val="00DF1CD8"/>
    <w:rPr>
      <w:rFonts w:ascii="Helvetica" w:hAnsi="Helvetica"/>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440C5-279F-49AA-8A20-3E2C35CFF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14</Pages>
  <Words>5094</Words>
  <Characters>32723</Characters>
  <Application>Microsoft Office Word</Application>
  <DocSecurity>0</DocSecurity>
  <Lines>272</Lines>
  <Paragraphs>75</Paragraphs>
  <ScaleCrop>false</ScaleCrop>
  <HeadingPairs>
    <vt:vector size="6" baseType="variant">
      <vt:variant>
        <vt:lpstr>Názov</vt:lpstr>
      </vt:variant>
      <vt:variant>
        <vt:i4>1</vt:i4>
      </vt:variant>
      <vt:variant>
        <vt:lpstr>Title</vt:lpstr>
      </vt:variant>
      <vt:variant>
        <vt:i4>1</vt:i4>
      </vt:variant>
      <vt:variant>
        <vt:lpstr>Titel</vt:lpstr>
      </vt:variant>
      <vt:variant>
        <vt:i4>1</vt:i4>
      </vt:variant>
    </vt:vector>
  </HeadingPairs>
  <TitlesOfParts>
    <vt:vector size="3" baseType="lpstr">
      <vt:lpstr>Z33918</vt:lpstr>
      <vt:lpstr>Z33918</vt:lpstr>
      <vt:lpstr>Hreferralspccleanen</vt:lpstr>
    </vt:vector>
  </TitlesOfParts>
  <Manager>M049</Manager>
  <Company>Zebra Translations Limited</Company>
  <LinksUpToDate>false</LinksUpToDate>
  <CharactersWithSpaces>37742</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Z33918</dc:title>
  <dc:subject>Updates SK</dc:subject>
  <dc:creator>P042</dc:creator>
  <cp:lastModifiedBy>Andrea Krajčí</cp:lastModifiedBy>
  <cp:revision>9</cp:revision>
  <cp:lastPrinted>2017-12-11T15:34:00Z</cp:lastPrinted>
  <dcterms:created xsi:type="dcterms:W3CDTF">2017-12-11T15:46:00Z</dcterms:created>
  <dcterms:modified xsi:type="dcterms:W3CDTF">2018-03-01T13:04:00Z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Version">
    <vt:lpwstr>CURRENT,1.2</vt:lpwstr>
  </property>
  <property fmtid="{D5CDD505-2E9C-101B-9397-08002B2CF9AE}" pid="30" name="DM_Subject">
    <vt:lpwstr>General-EMA/53548/2010</vt:lpwstr>
  </property>
  <property fmtid="{D5CDD505-2E9C-101B-9397-08002B2CF9AE}" pid="31" name="DM_Name">
    <vt:lpwstr>Hreferralspccleanen</vt:lpwstr>
  </property>
  <property fmtid="{D5CDD505-2E9C-101B-9397-08002B2CF9AE}" pid="32" name="DM_Creation_Date">
    <vt:lpwstr>04/04/2013 15:13:06</vt:lpwstr>
  </property>
  <property fmtid="{D5CDD505-2E9C-101B-9397-08002B2CF9AE}" pid="33" name="DM_Modify_Date">
    <vt:lpwstr>04/04/2013 15:13:06</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EMA/199345/2013</vt:lpwstr>
  </property>
  <property fmtid="{D5CDD505-2E9C-101B-9397-08002B2CF9AE}" pid="38" name="DM_Category">
    <vt:lpwstr>General</vt:lpwstr>
  </property>
  <property fmtid="{D5CDD505-2E9C-101B-9397-08002B2CF9AE}" pid="39" name="DM_Path">
    <vt:lpwstr>/Old EDMS Structure/Meetings/Scientific Meetings/Q R D - P I Q/14 QRD Templates &amp; Ref. doc on web/00 QRD Ext. website &amp; File new/03 QRD H-Referral templates/03 H Referral template v 2.0/v.2 clean</vt:lpwstr>
  </property>
  <property fmtid="{D5CDD505-2E9C-101B-9397-08002B2CF9AE}" pid="40" name="DM_emea_doc_ref_id">
    <vt:lpwstr>EMA/199345/2013</vt:lpwstr>
  </property>
  <property fmtid="{D5CDD505-2E9C-101B-9397-08002B2CF9AE}" pid="41" name="DM_Modifer_Name">
    <vt:lpwstr>Horemans Karina</vt:lpwstr>
  </property>
  <property fmtid="{D5CDD505-2E9C-101B-9397-08002B2CF9AE}" pid="42" name="DM_Modified_Date">
    <vt:lpwstr>04/04/2013 15:13:06</vt:lpwstr>
  </property>
</Properties>
</file>