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C7D06" w14:textId="77777777" w:rsidR="00467218" w:rsidRPr="00F844F7" w:rsidRDefault="00E8736E" w:rsidP="00230813">
      <w:pPr>
        <w:pStyle w:val="Nadpis1"/>
        <w:jc w:val="center"/>
        <w:rPr>
          <w:sz w:val="22"/>
          <w:szCs w:val="22"/>
        </w:rPr>
      </w:pPr>
      <w:r w:rsidRPr="00AA245A">
        <w:rPr>
          <w:sz w:val="22"/>
          <w:szCs w:val="22"/>
        </w:rPr>
        <w:t>S</w:t>
      </w:r>
      <w:r w:rsidR="00AA7FAA" w:rsidRPr="00AA245A">
        <w:rPr>
          <w:sz w:val="22"/>
          <w:szCs w:val="22"/>
        </w:rPr>
        <w:t>ÚHRN CHARAKTERISTICKÝCH VLASTNOSTÍ LIEKU</w:t>
      </w:r>
    </w:p>
    <w:p w14:paraId="48E50281" w14:textId="77777777" w:rsidR="00467218" w:rsidRPr="0029684D" w:rsidRDefault="00467218" w:rsidP="00BA5546">
      <w:pPr>
        <w:spacing w:after="0"/>
        <w:jc w:val="left"/>
        <w:rPr>
          <w:sz w:val="22"/>
          <w:szCs w:val="22"/>
          <w:lang w:val="sk-SK"/>
        </w:rPr>
      </w:pPr>
    </w:p>
    <w:p w14:paraId="149DF8F7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0B64D701" w14:textId="77777777" w:rsidR="00E8736E" w:rsidRPr="00AA245A" w:rsidRDefault="00E8736E" w:rsidP="00300F58">
      <w:pPr>
        <w:pStyle w:val="Nadpis2"/>
      </w:pPr>
      <w:r w:rsidRPr="003A721A">
        <w:t>NÁZ</w:t>
      </w:r>
      <w:r w:rsidR="00AA7FAA" w:rsidRPr="003A721A">
        <w:t>OV</w:t>
      </w:r>
      <w:r w:rsidRPr="003A721A">
        <w:t xml:space="preserve"> </w:t>
      </w:r>
      <w:r w:rsidR="00AA7FAA" w:rsidRPr="00AA245A">
        <w:t>LIEKU</w:t>
      </w:r>
    </w:p>
    <w:p w14:paraId="3698E87A" w14:textId="77777777" w:rsidR="00637BF2" w:rsidRPr="0029684D" w:rsidRDefault="00637BF2" w:rsidP="00300F58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043F3A0A" w14:textId="07DD2270" w:rsidR="00FC0FDD" w:rsidRDefault="00987E9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Ibalgin Junior</w:t>
      </w:r>
      <w:r w:rsidR="00E8736E" w:rsidRPr="0029684D">
        <w:rPr>
          <w:sz w:val="22"/>
          <w:szCs w:val="22"/>
          <w:lang w:val="sk-SK"/>
        </w:rPr>
        <w:t xml:space="preserve"> 200 mg </w:t>
      </w:r>
      <w:r w:rsidR="00FC0FDD" w:rsidRPr="0029684D">
        <w:rPr>
          <w:sz w:val="22"/>
          <w:szCs w:val="22"/>
          <w:lang w:val="sk-SK"/>
        </w:rPr>
        <w:t>perorálna suspenzia vo vrecku</w:t>
      </w:r>
    </w:p>
    <w:p w14:paraId="312D6226" w14:textId="4D4B2474" w:rsidR="00FC0FDD" w:rsidRPr="0029684D" w:rsidRDefault="00FC0FDD" w:rsidP="00542FCE">
      <w:pPr>
        <w:spacing w:after="0"/>
        <w:jc w:val="left"/>
        <w:rPr>
          <w:sz w:val="22"/>
          <w:szCs w:val="22"/>
          <w:lang w:val="sk-SK"/>
        </w:rPr>
      </w:pPr>
    </w:p>
    <w:p w14:paraId="27774A58" w14:textId="77777777" w:rsidR="0017514C" w:rsidRPr="0029684D" w:rsidRDefault="0017514C" w:rsidP="008E420F">
      <w:pPr>
        <w:spacing w:after="0"/>
        <w:jc w:val="left"/>
        <w:rPr>
          <w:sz w:val="22"/>
          <w:szCs w:val="22"/>
          <w:lang w:val="sk-SK"/>
        </w:rPr>
      </w:pPr>
    </w:p>
    <w:p w14:paraId="266BE36B" w14:textId="77777777" w:rsidR="00E8736E" w:rsidRPr="003A721A" w:rsidRDefault="00E8736E" w:rsidP="00D22436">
      <w:pPr>
        <w:pStyle w:val="Nadpis2"/>
      </w:pPr>
      <w:r w:rsidRPr="003A721A">
        <w:t>KVALITAT</w:t>
      </w:r>
      <w:r w:rsidR="00AA7FAA" w:rsidRPr="003A721A">
        <w:t>Í</w:t>
      </w:r>
      <w:r w:rsidRPr="003A721A">
        <w:t>VN</w:t>
      </w:r>
      <w:r w:rsidR="00AA7FAA" w:rsidRPr="00AA245A">
        <w:t>E</w:t>
      </w:r>
      <w:r w:rsidRPr="00AA245A">
        <w:t xml:space="preserve"> A KVANTITAT</w:t>
      </w:r>
      <w:r w:rsidR="00AA7FAA" w:rsidRPr="00F844F7">
        <w:t>Í</w:t>
      </w:r>
      <w:r w:rsidRPr="003A721A">
        <w:t>VN</w:t>
      </w:r>
      <w:r w:rsidR="00AA7FAA" w:rsidRPr="003A721A">
        <w:t>E</w:t>
      </w:r>
      <w:r w:rsidRPr="003A721A">
        <w:t xml:space="preserve"> </w:t>
      </w:r>
      <w:r w:rsidR="00AA7FAA" w:rsidRPr="003A721A">
        <w:t>Z</w:t>
      </w:r>
      <w:r w:rsidRPr="003A721A">
        <w:t>LOŽEN</w:t>
      </w:r>
      <w:r w:rsidR="00AA7FAA" w:rsidRPr="003A721A">
        <w:t>IE</w:t>
      </w:r>
    </w:p>
    <w:p w14:paraId="1400445C" w14:textId="77777777" w:rsidR="00467218" w:rsidRPr="0029684D" w:rsidRDefault="00467218" w:rsidP="00105CDD">
      <w:pPr>
        <w:spacing w:after="0"/>
        <w:jc w:val="left"/>
        <w:rPr>
          <w:sz w:val="22"/>
          <w:szCs w:val="22"/>
          <w:lang w:val="sk-SK"/>
        </w:rPr>
      </w:pPr>
    </w:p>
    <w:p w14:paraId="694B31A5" w14:textId="518DDD2E" w:rsidR="007A1B4A" w:rsidRPr="0029684D" w:rsidRDefault="00E8736E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Každ</w:t>
      </w:r>
      <w:r w:rsidR="00030439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A71E44">
        <w:rPr>
          <w:sz w:val="22"/>
          <w:szCs w:val="22"/>
          <w:lang w:val="sk-SK"/>
        </w:rPr>
        <w:t xml:space="preserve">jednodávkové </w:t>
      </w:r>
      <w:r w:rsidR="00030439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(10 ml peroráln</w:t>
      </w:r>
      <w:r w:rsidR="00030439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suspenz</w:t>
      </w:r>
      <w:r w:rsidR="00030439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e) obsahuje 200 mg ibuprof</w:t>
      </w:r>
      <w:r w:rsidR="00582D6E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nu.</w:t>
      </w:r>
    </w:p>
    <w:p w14:paraId="04BC77F0" w14:textId="77777777" w:rsidR="00DA6C2D" w:rsidRPr="0029684D" w:rsidRDefault="00DA6C2D" w:rsidP="008A7BF7">
      <w:pPr>
        <w:spacing w:after="0"/>
        <w:jc w:val="left"/>
        <w:rPr>
          <w:sz w:val="22"/>
          <w:szCs w:val="22"/>
          <w:lang w:val="sk-SK"/>
        </w:rPr>
      </w:pPr>
    </w:p>
    <w:p w14:paraId="4D51E25E" w14:textId="77777777" w:rsidR="00F454B2" w:rsidRPr="0029684D" w:rsidRDefault="00E8736E" w:rsidP="006436FD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Pomocné látky s</w:t>
      </w:r>
      <w:r w:rsidR="00AA7FAA" w:rsidRPr="0029684D">
        <w:rPr>
          <w:sz w:val="22"/>
          <w:szCs w:val="22"/>
          <w:u w:val="single"/>
          <w:lang w:val="sk-SK"/>
        </w:rPr>
        <w:t>o</w:t>
      </w:r>
      <w:r w:rsidRPr="0029684D">
        <w:rPr>
          <w:sz w:val="22"/>
          <w:szCs w:val="22"/>
          <w:u w:val="single"/>
          <w:lang w:val="sk-SK"/>
        </w:rPr>
        <w:t xml:space="preserve"> znám</w:t>
      </w:r>
      <w:r w:rsidR="00AA7FAA" w:rsidRPr="0029684D">
        <w:rPr>
          <w:sz w:val="22"/>
          <w:szCs w:val="22"/>
          <w:u w:val="single"/>
          <w:lang w:val="sk-SK"/>
        </w:rPr>
        <w:t>y</w:t>
      </w:r>
      <w:r w:rsidRPr="0029684D">
        <w:rPr>
          <w:sz w:val="22"/>
          <w:szCs w:val="22"/>
          <w:u w:val="single"/>
          <w:lang w:val="sk-SK"/>
        </w:rPr>
        <w:t>m účink</w:t>
      </w:r>
      <w:r w:rsidR="00AA7FAA" w:rsidRPr="0029684D">
        <w:rPr>
          <w:sz w:val="22"/>
          <w:szCs w:val="22"/>
          <w:u w:val="single"/>
          <w:lang w:val="sk-SK"/>
        </w:rPr>
        <w:t>o</w:t>
      </w:r>
      <w:r w:rsidRPr="0029684D">
        <w:rPr>
          <w:sz w:val="22"/>
          <w:szCs w:val="22"/>
          <w:u w:val="single"/>
          <w:lang w:val="sk-SK"/>
        </w:rPr>
        <w:t>m:</w:t>
      </w:r>
      <w:r w:rsidR="00F454B2" w:rsidRPr="0029684D">
        <w:rPr>
          <w:sz w:val="22"/>
          <w:szCs w:val="22"/>
          <w:u w:val="single"/>
          <w:lang w:val="sk-SK"/>
        </w:rPr>
        <w:t xml:space="preserve"> </w:t>
      </w:r>
    </w:p>
    <w:p w14:paraId="5966021E" w14:textId="52D420E5" w:rsidR="00F454B2" w:rsidRPr="0029684D" w:rsidRDefault="00A71E44" w:rsidP="00D14BB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roztok</w:t>
      </w:r>
      <w:r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maltitol</w:t>
      </w:r>
      <w:r>
        <w:rPr>
          <w:sz w:val="22"/>
          <w:szCs w:val="22"/>
          <w:lang w:val="sk-SK"/>
        </w:rPr>
        <w:t>u</w:t>
      </w:r>
      <w:r w:rsidR="00E8736E" w:rsidRPr="0029684D">
        <w:rPr>
          <w:sz w:val="22"/>
          <w:szCs w:val="22"/>
          <w:lang w:val="sk-SK"/>
        </w:rPr>
        <w:t xml:space="preserve"> (E965) 5 g/10 ml</w:t>
      </w:r>
      <w:r w:rsidR="00F454B2" w:rsidRPr="0029684D">
        <w:rPr>
          <w:sz w:val="22"/>
          <w:szCs w:val="22"/>
          <w:lang w:val="sk-SK"/>
        </w:rPr>
        <w:t xml:space="preserve"> </w:t>
      </w:r>
    </w:p>
    <w:p w14:paraId="396C2E29" w14:textId="77777777" w:rsidR="00F454B2" w:rsidRPr="0029684D" w:rsidRDefault="00521F93" w:rsidP="002F2F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>odík 35,84 mg/10 ml</w:t>
      </w:r>
    </w:p>
    <w:p w14:paraId="0633BF01" w14:textId="77777777" w:rsidR="00F454B2" w:rsidRPr="0029684D" w:rsidRDefault="00F454B2" w:rsidP="00043DF3">
      <w:pPr>
        <w:spacing w:after="0"/>
        <w:jc w:val="left"/>
        <w:rPr>
          <w:sz w:val="22"/>
          <w:szCs w:val="22"/>
          <w:lang w:val="sk-SK"/>
        </w:rPr>
      </w:pPr>
    </w:p>
    <w:p w14:paraId="0A333041" w14:textId="77777777" w:rsidR="00467218" w:rsidRPr="0029684D" w:rsidRDefault="00E8736E" w:rsidP="00E44A6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Úplný </w:t>
      </w:r>
      <w:r w:rsidR="00AA7FAA" w:rsidRPr="0029684D">
        <w:rPr>
          <w:sz w:val="22"/>
          <w:szCs w:val="22"/>
          <w:lang w:val="sk-SK"/>
        </w:rPr>
        <w:t>zoznam</w:t>
      </w:r>
      <w:r w:rsidRPr="0029684D">
        <w:rPr>
          <w:sz w:val="22"/>
          <w:szCs w:val="22"/>
          <w:lang w:val="sk-SK"/>
        </w:rPr>
        <w:t xml:space="preserve"> pomocných lát</w:t>
      </w:r>
      <w:r w:rsidR="00AA7FAA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k</w:t>
      </w:r>
      <w:r w:rsidR="00AA7FAA" w:rsidRPr="0029684D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</w:t>
      </w:r>
      <w:r w:rsidR="00AA7FAA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6.1.</w:t>
      </w:r>
    </w:p>
    <w:p w14:paraId="68CEEB8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52D8F0D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1FD5C1BD" w14:textId="77777777" w:rsidR="00E8736E" w:rsidRPr="00AA245A" w:rsidRDefault="00E8736E">
      <w:pPr>
        <w:pStyle w:val="Nadpis2"/>
      </w:pPr>
      <w:r w:rsidRPr="003A721A">
        <w:t>L</w:t>
      </w:r>
      <w:r w:rsidR="00AA7FAA" w:rsidRPr="003A721A">
        <w:t>IE</w:t>
      </w:r>
      <w:r w:rsidRPr="003A721A">
        <w:t xml:space="preserve">ková </w:t>
      </w:r>
      <w:r w:rsidRPr="00AA245A">
        <w:t>forma</w:t>
      </w:r>
    </w:p>
    <w:p w14:paraId="6676253B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5D7F43C4" w14:textId="77777777" w:rsidR="0068070B" w:rsidRPr="0029684D" w:rsidRDefault="00E8736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Peroráln</w:t>
      </w:r>
      <w:r w:rsidR="00030439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suspenz</w:t>
      </w:r>
      <w:r w:rsidR="00030439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 xml:space="preserve"> v</w:t>
      </w:r>
      <w:r w:rsidR="00030439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 </w:t>
      </w:r>
      <w:r w:rsidR="00030439" w:rsidRPr="0029684D">
        <w:rPr>
          <w:sz w:val="22"/>
          <w:szCs w:val="22"/>
          <w:lang w:val="sk-SK"/>
        </w:rPr>
        <w:t>vreck</w:t>
      </w:r>
      <w:r w:rsidRPr="0029684D">
        <w:rPr>
          <w:sz w:val="22"/>
          <w:szCs w:val="22"/>
          <w:lang w:val="sk-SK"/>
        </w:rPr>
        <w:t>u.</w:t>
      </w:r>
    </w:p>
    <w:p w14:paraId="76578F4A" w14:textId="77777777" w:rsidR="0068070B" w:rsidRPr="0029684D" w:rsidRDefault="0068070B">
      <w:pPr>
        <w:spacing w:after="0"/>
        <w:jc w:val="left"/>
        <w:rPr>
          <w:sz w:val="22"/>
          <w:szCs w:val="22"/>
          <w:lang w:val="sk-SK"/>
        </w:rPr>
      </w:pPr>
    </w:p>
    <w:p w14:paraId="182108F7" w14:textId="02776449" w:rsidR="00467218" w:rsidRPr="0029684D" w:rsidRDefault="00A71E44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030439" w:rsidRPr="0029684D">
        <w:rPr>
          <w:sz w:val="22"/>
          <w:szCs w:val="22"/>
          <w:lang w:val="sk-SK"/>
        </w:rPr>
        <w:t>iela alebo takmer biela</w:t>
      </w:r>
      <w:r>
        <w:rPr>
          <w:sz w:val="22"/>
          <w:szCs w:val="22"/>
          <w:lang w:val="sk-SK"/>
        </w:rPr>
        <w:t>,</w:t>
      </w:r>
      <w:r w:rsidR="00030439" w:rsidRPr="0029684D">
        <w:rPr>
          <w:sz w:val="22"/>
          <w:szCs w:val="22"/>
          <w:lang w:val="sk-SK"/>
        </w:rPr>
        <w:t xml:space="preserve"> viskózna suspenzia s charakteristickou jahodovou príchuťou</w:t>
      </w:r>
      <w:r w:rsidR="00E8736E" w:rsidRPr="0029684D">
        <w:rPr>
          <w:sz w:val="22"/>
          <w:szCs w:val="22"/>
          <w:lang w:val="sk-SK"/>
        </w:rPr>
        <w:t>.</w:t>
      </w:r>
    </w:p>
    <w:p w14:paraId="4661A19B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8181CA" w14:textId="77777777" w:rsidR="00637BF2" w:rsidRPr="0029684D" w:rsidRDefault="00637BF2">
      <w:pPr>
        <w:spacing w:after="0"/>
        <w:jc w:val="left"/>
        <w:rPr>
          <w:sz w:val="22"/>
          <w:szCs w:val="22"/>
          <w:lang w:val="sk-SK"/>
        </w:rPr>
      </w:pPr>
    </w:p>
    <w:p w14:paraId="455CEAFD" w14:textId="77777777" w:rsidR="00E8736E" w:rsidRPr="003A721A" w:rsidRDefault="00E8736E">
      <w:pPr>
        <w:pStyle w:val="Nadpis2"/>
      </w:pPr>
      <w:r w:rsidRPr="003A721A">
        <w:t>KLINICKÉ ÚDAJE</w:t>
      </w:r>
    </w:p>
    <w:p w14:paraId="18AFC62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5087C7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4.1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Terapeutické indik</w:t>
      </w:r>
      <w:r w:rsidR="00AA7FAA" w:rsidRPr="0029684D">
        <w:rPr>
          <w:b/>
          <w:sz w:val="22"/>
          <w:szCs w:val="22"/>
          <w:lang w:val="sk-SK"/>
        </w:rPr>
        <w:t>ácie</w:t>
      </w:r>
    </w:p>
    <w:p w14:paraId="6E75A213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31D7A95D" w14:textId="77E58310" w:rsidR="00CC4E45" w:rsidRPr="0029684D" w:rsidRDefault="00987E9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Ibalgin Junior</w:t>
      </w:r>
      <w:r w:rsidR="00223CE6" w:rsidRPr="0029684D">
        <w:rPr>
          <w:sz w:val="22"/>
          <w:szCs w:val="22"/>
          <w:lang w:val="sk-SK"/>
        </w:rPr>
        <w:t xml:space="preserve"> 200 mg </w:t>
      </w:r>
      <w:r w:rsidR="00030439" w:rsidRPr="0029684D">
        <w:rPr>
          <w:sz w:val="22"/>
          <w:szCs w:val="22"/>
          <w:lang w:val="sk-SK"/>
        </w:rPr>
        <w:t>je indikovaný na krátkodob</w:t>
      </w:r>
      <w:r w:rsidR="00223CE6" w:rsidRPr="0029684D">
        <w:rPr>
          <w:sz w:val="22"/>
          <w:szCs w:val="22"/>
          <w:lang w:val="sk-SK"/>
        </w:rPr>
        <w:t>ú</w:t>
      </w:r>
      <w:r w:rsidR="00030439" w:rsidRPr="0029684D">
        <w:rPr>
          <w:sz w:val="22"/>
          <w:szCs w:val="22"/>
          <w:lang w:val="sk-SK"/>
        </w:rPr>
        <w:t xml:space="preserve"> lieč</w:t>
      </w:r>
      <w:r w:rsidR="00223CE6" w:rsidRPr="0029684D">
        <w:rPr>
          <w:sz w:val="22"/>
          <w:szCs w:val="22"/>
          <w:lang w:val="sk-SK"/>
        </w:rPr>
        <w:t>bu</w:t>
      </w:r>
      <w:r w:rsidR="00030439" w:rsidRPr="0029684D">
        <w:rPr>
          <w:sz w:val="22"/>
          <w:szCs w:val="22"/>
          <w:lang w:val="sk-SK"/>
        </w:rPr>
        <w:t xml:space="preserve"> miernej až stredne </w:t>
      </w:r>
      <w:r w:rsidR="00223CE6" w:rsidRPr="0029684D">
        <w:rPr>
          <w:sz w:val="22"/>
          <w:szCs w:val="22"/>
          <w:lang w:val="sk-SK"/>
        </w:rPr>
        <w:t>silnej</w:t>
      </w:r>
      <w:r w:rsidR="00030439" w:rsidRPr="0029684D">
        <w:rPr>
          <w:sz w:val="22"/>
          <w:szCs w:val="22"/>
          <w:lang w:val="sk-SK"/>
        </w:rPr>
        <w:t xml:space="preserve"> bolesti</w:t>
      </w:r>
      <w:r w:rsidR="00223CE6" w:rsidRPr="0029684D">
        <w:rPr>
          <w:sz w:val="22"/>
          <w:szCs w:val="22"/>
          <w:lang w:val="sk-SK"/>
        </w:rPr>
        <w:t xml:space="preserve"> ako</w:t>
      </w:r>
      <w:r w:rsidR="0068070B" w:rsidRPr="0029684D">
        <w:rPr>
          <w:sz w:val="22"/>
          <w:szCs w:val="22"/>
          <w:lang w:val="sk-SK"/>
        </w:rPr>
        <w:t xml:space="preserve"> je</w:t>
      </w:r>
      <w:r w:rsidR="00223CE6" w:rsidRPr="0029684D">
        <w:rPr>
          <w:sz w:val="22"/>
          <w:szCs w:val="22"/>
          <w:lang w:val="sk-SK"/>
        </w:rPr>
        <w:t xml:space="preserve"> bolesť</w:t>
      </w:r>
      <w:r w:rsidR="00030439" w:rsidRPr="0029684D">
        <w:rPr>
          <w:sz w:val="22"/>
          <w:szCs w:val="22"/>
          <w:lang w:val="sk-SK"/>
        </w:rPr>
        <w:t xml:space="preserve"> hlavy, zubov, </w:t>
      </w:r>
      <w:r w:rsidR="0068070B" w:rsidRPr="0029684D">
        <w:rPr>
          <w:sz w:val="22"/>
          <w:szCs w:val="22"/>
          <w:lang w:val="sk-SK"/>
        </w:rPr>
        <w:t>pri bolestivej menštruácii</w:t>
      </w:r>
      <w:r w:rsidR="00223CE6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a po operácii</w:t>
      </w:r>
      <w:r w:rsidR="00E8736E" w:rsidRPr="0029684D">
        <w:rPr>
          <w:sz w:val="22"/>
          <w:szCs w:val="22"/>
          <w:lang w:val="sk-SK"/>
        </w:rPr>
        <w:t>.</w:t>
      </w:r>
    </w:p>
    <w:p w14:paraId="3989355E" w14:textId="77777777" w:rsidR="0068070B" w:rsidRPr="0029684D" w:rsidRDefault="00142208">
      <w:pPr>
        <w:tabs>
          <w:tab w:val="left" w:pos="1032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ab/>
      </w:r>
    </w:p>
    <w:p w14:paraId="5FD13628" w14:textId="497EDF3B" w:rsidR="00CC4E45" w:rsidRPr="0029684D" w:rsidRDefault="00987E9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Ibalgin Junior</w:t>
      </w:r>
      <w:r w:rsidR="00223CE6" w:rsidRPr="0029684D">
        <w:rPr>
          <w:sz w:val="22"/>
          <w:szCs w:val="22"/>
          <w:lang w:val="sk-SK"/>
        </w:rPr>
        <w:t xml:space="preserve"> 200 mg</w:t>
      </w:r>
      <w:r w:rsidR="00E8736E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 xml:space="preserve">zmierňuje </w:t>
      </w:r>
      <w:r w:rsidR="00556F74">
        <w:rPr>
          <w:sz w:val="22"/>
          <w:szCs w:val="22"/>
          <w:lang w:val="sk-SK"/>
        </w:rPr>
        <w:t>aj</w:t>
      </w:r>
      <w:r w:rsidR="00556F74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zápal</w:t>
      </w:r>
      <w:r w:rsidR="00556F74">
        <w:rPr>
          <w:sz w:val="22"/>
          <w:szCs w:val="22"/>
          <w:lang w:val="sk-SK"/>
        </w:rPr>
        <w:t>,</w:t>
      </w:r>
      <w:r w:rsidR="0050447A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horúčku a bolestivé stavy spojené s chrípkou a nachladnutím.</w:t>
      </w:r>
    </w:p>
    <w:p w14:paraId="781782A8" w14:textId="77777777" w:rsidR="00CB6AFA" w:rsidRPr="0029684D" w:rsidRDefault="00CB6AFA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38FC56FA" w14:textId="74F6E3AB" w:rsidR="00467218" w:rsidRPr="0029684D" w:rsidRDefault="00987E9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Ibalgin Junior </w:t>
      </w:r>
      <w:r w:rsidR="00E8736E" w:rsidRPr="0029684D">
        <w:rPr>
          <w:sz w:val="22"/>
          <w:szCs w:val="22"/>
          <w:lang w:val="sk-SK"/>
        </w:rPr>
        <w:t xml:space="preserve">200 mg je </w:t>
      </w:r>
      <w:r w:rsidR="0068070B" w:rsidRPr="0029684D">
        <w:rPr>
          <w:sz w:val="22"/>
          <w:szCs w:val="22"/>
          <w:lang w:val="sk-SK"/>
        </w:rPr>
        <w:t>indikovaný dospelým</w:t>
      </w:r>
      <w:r w:rsidR="00E8736E" w:rsidRPr="0029684D">
        <w:rPr>
          <w:sz w:val="22"/>
          <w:szCs w:val="22"/>
          <w:lang w:val="sk-SK"/>
        </w:rPr>
        <w:t>, dosp</w:t>
      </w:r>
      <w:r w:rsidR="00030439" w:rsidRPr="0029684D">
        <w:rPr>
          <w:sz w:val="22"/>
          <w:szCs w:val="22"/>
          <w:lang w:val="sk-SK"/>
        </w:rPr>
        <w:t>ie</w:t>
      </w:r>
      <w:r w:rsidR="00E8736E" w:rsidRPr="0029684D">
        <w:rPr>
          <w:sz w:val="22"/>
          <w:szCs w:val="22"/>
          <w:lang w:val="sk-SK"/>
        </w:rPr>
        <w:t>vaj</w:t>
      </w:r>
      <w:r w:rsidR="00030439" w:rsidRPr="0029684D">
        <w:rPr>
          <w:sz w:val="22"/>
          <w:szCs w:val="22"/>
          <w:lang w:val="sk-SK"/>
        </w:rPr>
        <w:t>úcich</w:t>
      </w:r>
      <w:r w:rsidR="00E8736E" w:rsidRPr="0029684D">
        <w:rPr>
          <w:sz w:val="22"/>
          <w:szCs w:val="22"/>
          <w:lang w:val="sk-SK"/>
        </w:rPr>
        <w:t xml:space="preserve"> a d</w:t>
      </w:r>
      <w:r w:rsidR="00030439" w:rsidRPr="0029684D">
        <w:rPr>
          <w:sz w:val="22"/>
          <w:szCs w:val="22"/>
          <w:lang w:val="sk-SK"/>
        </w:rPr>
        <w:t>e</w:t>
      </w:r>
      <w:r w:rsidR="0068070B" w:rsidRPr="0029684D">
        <w:rPr>
          <w:sz w:val="22"/>
          <w:szCs w:val="22"/>
          <w:lang w:val="sk-SK"/>
        </w:rPr>
        <w:t>ťom</w:t>
      </w:r>
      <w:r w:rsidR="00E8736E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 xml:space="preserve"> t</w:t>
      </w:r>
      <w:r w:rsidR="00030439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lesn</w:t>
      </w:r>
      <w:r w:rsidR="00030439" w:rsidRPr="0029684D">
        <w:rPr>
          <w:sz w:val="22"/>
          <w:szCs w:val="22"/>
          <w:lang w:val="sk-SK"/>
        </w:rPr>
        <w:t>ou</w:t>
      </w:r>
      <w:r w:rsidR="00E8736E" w:rsidRPr="0029684D">
        <w:rPr>
          <w:sz w:val="22"/>
          <w:szCs w:val="22"/>
          <w:lang w:val="sk-SK"/>
        </w:rPr>
        <w:t xml:space="preserve"> hmotnos</w:t>
      </w:r>
      <w:r w:rsidR="00030439" w:rsidRPr="0029684D">
        <w:rPr>
          <w:sz w:val="22"/>
          <w:szCs w:val="22"/>
          <w:lang w:val="sk-SK"/>
        </w:rPr>
        <w:t xml:space="preserve">ťou </w:t>
      </w:r>
      <w:r w:rsidR="0068070B" w:rsidRPr="0029684D">
        <w:rPr>
          <w:sz w:val="22"/>
          <w:szCs w:val="22"/>
          <w:lang w:val="sk-SK"/>
        </w:rPr>
        <w:t>od</w:t>
      </w:r>
      <w:r w:rsidR="00E8736E" w:rsidRPr="0029684D">
        <w:rPr>
          <w:sz w:val="22"/>
          <w:szCs w:val="22"/>
          <w:lang w:val="sk-SK"/>
        </w:rPr>
        <w:t xml:space="preserve"> 20 kg (</w:t>
      </w:r>
      <w:r w:rsidR="00030439" w:rsidRPr="0029684D">
        <w:rPr>
          <w:sz w:val="22"/>
          <w:szCs w:val="22"/>
          <w:lang w:val="sk-SK"/>
        </w:rPr>
        <w:t xml:space="preserve">od </w:t>
      </w:r>
      <w:r w:rsidR="00E8736E" w:rsidRPr="0029684D">
        <w:rPr>
          <w:sz w:val="22"/>
          <w:szCs w:val="22"/>
          <w:lang w:val="sk-SK"/>
        </w:rPr>
        <w:t xml:space="preserve">6 </w:t>
      </w:r>
      <w:r w:rsidR="00030439" w:rsidRPr="0029684D">
        <w:rPr>
          <w:sz w:val="22"/>
          <w:szCs w:val="22"/>
          <w:lang w:val="sk-SK"/>
        </w:rPr>
        <w:t>rokov</w:t>
      </w:r>
      <w:r w:rsidR="0068070B" w:rsidRPr="0029684D">
        <w:rPr>
          <w:sz w:val="22"/>
          <w:szCs w:val="22"/>
          <w:lang w:val="sk-SK"/>
        </w:rPr>
        <w:t xml:space="preserve"> a starší</w:t>
      </w:r>
      <w:r w:rsidR="00556F74">
        <w:rPr>
          <w:sz w:val="22"/>
          <w:szCs w:val="22"/>
          <w:lang w:val="sk-SK"/>
        </w:rPr>
        <w:t>m</w:t>
      </w:r>
      <w:r w:rsidR="00E8736E" w:rsidRPr="0029684D">
        <w:rPr>
          <w:sz w:val="22"/>
          <w:szCs w:val="22"/>
          <w:lang w:val="sk-SK"/>
        </w:rPr>
        <w:t>).</w:t>
      </w:r>
    </w:p>
    <w:p w14:paraId="43A176AF" w14:textId="77777777" w:rsidR="00984830" w:rsidRPr="0029684D" w:rsidRDefault="00984830">
      <w:pPr>
        <w:spacing w:after="0"/>
        <w:jc w:val="left"/>
        <w:rPr>
          <w:sz w:val="22"/>
          <w:szCs w:val="22"/>
          <w:lang w:val="sk-SK"/>
        </w:rPr>
      </w:pPr>
    </w:p>
    <w:p w14:paraId="2452E474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4.2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Dávkov</w:t>
      </w:r>
      <w:r w:rsidR="00AA7FAA" w:rsidRPr="0029684D">
        <w:rPr>
          <w:b/>
          <w:sz w:val="22"/>
          <w:szCs w:val="22"/>
          <w:lang w:val="sk-SK"/>
        </w:rPr>
        <w:t>a</w:t>
      </w:r>
      <w:r w:rsidR="00E8736E" w:rsidRPr="0029684D">
        <w:rPr>
          <w:b/>
          <w:sz w:val="22"/>
          <w:szCs w:val="22"/>
          <w:lang w:val="sk-SK"/>
        </w:rPr>
        <w:t>n</w:t>
      </w:r>
      <w:r w:rsidR="00AA7FAA" w:rsidRPr="0029684D">
        <w:rPr>
          <w:b/>
          <w:sz w:val="22"/>
          <w:szCs w:val="22"/>
          <w:lang w:val="sk-SK"/>
        </w:rPr>
        <w:t>ie</w:t>
      </w:r>
      <w:r w:rsidR="00E8736E" w:rsidRPr="0029684D">
        <w:rPr>
          <w:b/>
          <w:sz w:val="22"/>
          <w:szCs w:val="22"/>
          <w:lang w:val="sk-SK"/>
        </w:rPr>
        <w:t xml:space="preserve"> a </w:t>
      </w:r>
      <w:r w:rsidR="00AA7FAA" w:rsidRPr="0029684D">
        <w:rPr>
          <w:b/>
          <w:sz w:val="22"/>
          <w:szCs w:val="22"/>
          <w:lang w:val="sk-SK"/>
        </w:rPr>
        <w:t>s</w:t>
      </w:r>
      <w:r w:rsidR="00E8736E" w:rsidRPr="0029684D">
        <w:rPr>
          <w:b/>
          <w:sz w:val="22"/>
          <w:szCs w:val="22"/>
          <w:lang w:val="sk-SK"/>
        </w:rPr>
        <w:t>p</w:t>
      </w:r>
      <w:r w:rsidR="00AA7FAA" w:rsidRPr="0029684D">
        <w:rPr>
          <w:b/>
          <w:sz w:val="22"/>
          <w:szCs w:val="22"/>
          <w:lang w:val="sk-SK"/>
        </w:rPr>
        <w:t>ô</w:t>
      </w:r>
      <w:r w:rsidR="00E8736E" w:rsidRPr="0029684D">
        <w:rPr>
          <w:b/>
          <w:sz w:val="22"/>
          <w:szCs w:val="22"/>
          <w:lang w:val="sk-SK"/>
        </w:rPr>
        <w:t>sob pod</w:t>
      </w:r>
      <w:r w:rsidR="00AA7FAA" w:rsidRPr="0029684D">
        <w:rPr>
          <w:b/>
          <w:sz w:val="22"/>
          <w:szCs w:val="22"/>
          <w:lang w:val="sk-SK"/>
        </w:rPr>
        <w:t>ávania</w:t>
      </w:r>
    </w:p>
    <w:p w14:paraId="1B12F78E" w14:textId="77777777" w:rsidR="00592A9D" w:rsidRPr="0029684D" w:rsidRDefault="00592A9D">
      <w:pPr>
        <w:spacing w:after="0"/>
        <w:jc w:val="left"/>
        <w:rPr>
          <w:sz w:val="22"/>
          <w:szCs w:val="22"/>
          <w:lang w:val="sk-SK"/>
        </w:rPr>
      </w:pPr>
    </w:p>
    <w:p w14:paraId="41AFCC04" w14:textId="77777777" w:rsidR="007A1B4A" w:rsidRPr="0029684D" w:rsidRDefault="00E8736E">
      <w:pPr>
        <w:shd w:val="clear" w:color="auto" w:fill="FFFFFF"/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29684D">
        <w:rPr>
          <w:bCs/>
          <w:sz w:val="22"/>
          <w:szCs w:val="22"/>
          <w:u w:val="single"/>
          <w:lang w:val="sk-SK"/>
        </w:rPr>
        <w:t>Dávkov</w:t>
      </w:r>
      <w:r w:rsidR="00AA7FAA" w:rsidRPr="0029684D">
        <w:rPr>
          <w:bCs/>
          <w:sz w:val="22"/>
          <w:szCs w:val="22"/>
          <w:u w:val="single"/>
          <w:lang w:val="sk-SK"/>
        </w:rPr>
        <w:t>a</w:t>
      </w:r>
      <w:r w:rsidRPr="0029684D">
        <w:rPr>
          <w:bCs/>
          <w:sz w:val="22"/>
          <w:szCs w:val="22"/>
          <w:u w:val="single"/>
          <w:lang w:val="sk-SK"/>
        </w:rPr>
        <w:t>n</w:t>
      </w:r>
      <w:r w:rsidR="00AA7FAA" w:rsidRPr="0029684D">
        <w:rPr>
          <w:bCs/>
          <w:sz w:val="22"/>
          <w:szCs w:val="22"/>
          <w:u w:val="single"/>
          <w:lang w:val="sk-SK"/>
        </w:rPr>
        <w:t>ie</w:t>
      </w:r>
    </w:p>
    <w:p w14:paraId="10328F98" w14:textId="73743272" w:rsidR="007A1B4A" w:rsidRPr="0034134C" w:rsidRDefault="00AD6722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Na perorálne podanie a iba</w:t>
      </w:r>
      <w:r w:rsidR="00220047" w:rsidRPr="0034134C">
        <w:rPr>
          <w:sz w:val="22"/>
          <w:szCs w:val="22"/>
          <w:lang w:val="sk-SK"/>
        </w:rPr>
        <w:t xml:space="preserve"> krátkodobé po</w:t>
      </w:r>
      <w:r w:rsidR="0068070B" w:rsidRPr="0034134C">
        <w:rPr>
          <w:sz w:val="22"/>
          <w:szCs w:val="22"/>
          <w:lang w:val="sk-SK"/>
        </w:rPr>
        <w:t>užitie.</w:t>
      </w:r>
    </w:p>
    <w:p w14:paraId="531EE0F3" w14:textId="77777777" w:rsidR="0068070B" w:rsidRPr="0034134C" w:rsidRDefault="0068070B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62A8B559" w14:textId="49A7B394" w:rsidR="007A1B4A" w:rsidRPr="0034134C" w:rsidRDefault="00E8736E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34134C">
        <w:rPr>
          <w:sz w:val="22"/>
          <w:szCs w:val="22"/>
          <w:u w:val="single"/>
          <w:lang w:val="sk-SK"/>
        </w:rPr>
        <w:t>Dosp</w:t>
      </w:r>
      <w:r w:rsidR="00220047" w:rsidRPr="0034134C">
        <w:rPr>
          <w:sz w:val="22"/>
          <w:szCs w:val="22"/>
          <w:u w:val="single"/>
          <w:lang w:val="sk-SK"/>
        </w:rPr>
        <w:t>e</w:t>
      </w:r>
      <w:r w:rsidRPr="0034134C">
        <w:rPr>
          <w:sz w:val="22"/>
          <w:szCs w:val="22"/>
          <w:u w:val="single"/>
          <w:lang w:val="sk-SK"/>
        </w:rPr>
        <w:t>lí a dosp</w:t>
      </w:r>
      <w:r w:rsidR="00220047" w:rsidRPr="0034134C">
        <w:rPr>
          <w:sz w:val="22"/>
          <w:szCs w:val="22"/>
          <w:u w:val="single"/>
          <w:lang w:val="sk-SK"/>
        </w:rPr>
        <w:t>ie</w:t>
      </w:r>
      <w:r w:rsidRPr="0034134C">
        <w:rPr>
          <w:sz w:val="22"/>
          <w:szCs w:val="22"/>
          <w:u w:val="single"/>
          <w:lang w:val="sk-SK"/>
        </w:rPr>
        <w:t>vaj</w:t>
      </w:r>
      <w:r w:rsidR="00220047" w:rsidRPr="0034134C">
        <w:rPr>
          <w:sz w:val="22"/>
          <w:szCs w:val="22"/>
          <w:u w:val="single"/>
          <w:lang w:val="sk-SK"/>
        </w:rPr>
        <w:t>úci</w:t>
      </w:r>
      <w:r w:rsidRPr="0034134C">
        <w:rPr>
          <w:sz w:val="22"/>
          <w:szCs w:val="22"/>
          <w:u w:val="single"/>
          <w:lang w:val="sk-SK"/>
        </w:rPr>
        <w:t xml:space="preserve"> </w:t>
      </w:r>
      <w:r w:rsidR="00220047" w:rsidRPr="0034134C">
        <w:rPr>
          <w:sz w:val="22"/>
          <w:szCs w:val="22"/>
          <w:u w:val="single"/>
          <w:lang w:val="sk-SK"/>
        </w:rPr>
        <w:t>s</w:t>
      </w:r>
      <w:r w:rsidRPr="0034134C">
        <w:rPr>
          <w:sz w:val="22"/>
          <w:szCs w:val="22"/>
          <w:u w:val="single"/>
          <w:lang w:val="sk-SK"/>
        </w:rPr>
        <w:t xml:space="preserve"> t</w:t>
      </w:r>
      <w:r w:rsidR="00220047" w:rsidRPr="0034134C">
        <w:rPr>
          <w:sz w:val="22"/>
          <w:szCs w:val="22"/>
          <w:u w:val="single"/>
          <w:lang w:val="sk-SK"/>
        </w:rPr>
        <w:t>e</w:t>
      </w:r>
      <w:r w:rsidRPr="0034134C">
        <w:rPr>
          <w:sz w:val="22"/>
          <w:szCs w:val="22"/>
          <w:u w:val="single"/>
          <w:lang w:val="sk-SK"/>
        </w:rPr>
        <w:t>lesn</w:t>
      </w:r>
      <w:r w:rsidR="00220047" w:rsidRPr="0034134C">
        <w:rPr>
          <w:sz w:val="22"/>
          <w:szCs w:val="22"/>
          <w:u w:val="single"/>
          <w:lang w:val="sk-SK"/>
        </w:rPr>
        <w:t>ou</w:t>
      </w:r>
      <w:r w:rsidRPr="0034134C">
        <w:rPr>
          <w:sz w:val="22"/>
          <w:szCs w:val="22"/>
          <w:u w:val="single"/>
          <w:lang w:val="sk-SK"/>
        </w:rPr>
        <w:t xml:space="preserve"> hmotnos</w:t>
      </w:r>
      <w:r w:rsidR="00220047" w:rsidRPr="0034134C">
        <w:rPr>
          <w:sz w:val="22"/>
          <w:szCs w:val="22"/>
          <w:u w:val="single"/>
          <w:lang w:val="sk-SK"/>
        </w:rPr>
        <w:t xml:space="preserve">ťou </w:t>
      </w:r>
      <w:r w:rsidR="008A58FB" w:rsidRPr="0034134C">
        <w:rPr>
          <w:sz w:val="22"/>
          <w:szCs w:val="22"/>
          <w:u w:val="single"/>
          <w:lang w:val="sk-SK"/>
        </w:rPr>
        <w:t xml:space="preserve">od </w:t>
      </w:r>
      <w:r w:rsidRPr="0034134C">
        <w:rPr>
          <w:sz w:val="22"/>
          <w:szCs w:val="22"/>
          <w:u w:val="single"/>
          <w:lang w:val="sk-SK"/>
        </w:rPr>
        <w:t xml:space="preserve">40 kg (od 12 </w:t>
      </w:r>
      <w:r w:rsidR="00220047" w:rsidRPr="0034134C">
        <w:rPr>
          <w:sz w:val="22"/>
          <w:szCs w:val="22"/>
          <w:u w:val="single"/>
          <w:lang w:val="sk-SK"/>
        </w:rPr>
        <w:t>rokov</w:t>
      </w:r>
      <w:r w:rsidR="0068070B" w:rsidRPr="0034134C">
        <w:rPr>
          <w:sz w:val="22"/>
          <w:szCs w:val="22"/>
          <w:u w:val="single"/>
          <w:lang w:val="sk-SK"/>
        </w:rPr>
        <w:t xml:space="preserve"> a starší</w:t>
      </w:r>
      <w:r w:rsidRPr="0034134C">
        <w:rPr>
          <w:sz w:val="22"/>
          <w:szCs w:val="22"/>
          <w:u w:val="single"/>
          <w:lang w:val="sk-SK"/>
        </w:rPr>
        <w:t>)</w:t>
      </w:r>
    </w:p>
    <w:p w14:paraId="7D4206D2" w14:textId="77777777" w:rsidR="00EE7182" w:rsidRPr="0034134C" w:rsidRDefault="00EE7182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Ak sa príznaky zhoršia, alebo je použitie lieku vyžadované viac ako 3 dni v prípade horúčky alebo viac ako 4 dni v prípade bolesti je potrebné, aby dospelí vyhľadali lekára.</w:t>
      </w:r>
    </w:p>
    <w:p w14:paraId="690CB147" w14:textId="77777777" w:rsidR="00EE7182" w:rsidRPr="0034134C" w:rsidRDefault="00EE7182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U dospievajúcich (starších ako 12 rokov) je potrebné vyhľadať lekára, ak sa príznaky zhoršia, alebo ak je liek potrebné užívať viac ako 3 dni.</w:t>
      </w:r>
    </w:p>
    <w:p w14:paraId="26F9EEE6" w14:textId="77777777" w:rsidR="007A1B4A" w:rsidRPr="0034134C" w:rsidRDefault="007A1B4A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5FBFA1F1" w14:textId="77777777" w:rsidR="00D173F8" w:rsidRPr="0034134C" w:rsidRDefault="00EE7182" w:rsidP="00BA5546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</w:rPr>
      </w:pPr>
      <w:r w:rsidRPr="0034134C">
        <w:rPr>
          <w:sz w:val="22"/>
          <w:szCs w:val="22"/>
          <w:lang w:val="sk-SK"/>
        </w:rPr>
        <w:t xml:space="preserve">Začiatočná </w:t>
      </w:r>
      <w:r w:rsidR="00E8736E" w:rsidRPr="0034134C">
        <w:rPr>
          <w:sz w:val="22"/>
          <w:szCs w:val="22"/>
          <w:lang w:val="sk-SK"/>
        </w:rPr>
        <w:t xml:space="preserve">dávka je 1 </w:t>
      </w:r>
      <w:r w:rsidR="00620BA0" w:rsidRPr="0034134C">
        <w:rPr>
          <w:sz w:val="22"/>
          <w:szCs w:val="22"/>
          <w:lang w:val="sk-SK"/>
        </w:rPr>
        <w:t>al</w:t>
      </w:r>
      <w:r w:rsidR="00E8736E" w:rsidRPr="0034134C">
        <w:rPr>
          <w:sz w:val="22"/>
          <w:szCs w:val="22"/>
          <w:lang w:val="sk-SK"/>
        </w:rPr>
        <w:t xml:space="preserve">ebo 2 </w:t>
      </w:r>
      <w:r w:rsidR="00620BA0" w:rsidRPr="0034134C">
        <w:rPr>
          <w:sz w:val="22"/>
          <w:szCs w:val="22"/>
          <w:lang w:val="sk-SK"/>
        </w:rPr>
        <w:t>vrecká</w:t>
      </w:r>
      <w:r w:rsidR="00E8736E" w:rsidRPr="0034134C">
        <w:rPr>
          <w:sz w:val="22"/>
          <w:szCs w:val="22"/>
          <w:lang w:val="sk-SK"/>
        </w:rPr>
        <w:t xml:space="preserve"> </w:t>
      </w:r>
      <w:r w:rsidR="00987E9D" w:rsidRPr="0034134C">
        <w:rPr>
          <w:sz w:val="22"/>
          <w:szCs w:val="22"/>
          <w:lang w:val="sk-SK"/>
        </w:rPr>
        <w:t>Ibalgin</w:t>
      </w:r>
      <w:r w:rsidR="0033021F" w:rsidRPr="0034134C">
        <w:rPr>
          <w:sz w:val="22"/>
          <w:szCs w:val="22"/>
          <w:lang w:val="sk-SK"/>
        </w:rPr>
        <w:t>u</w:t>
      </w:r>
      <w:r w:rsidR="00987E9D" w:rsidRPr="0034134C">
        <w:rPr>
          <w:sz w:val="22"/>
          <w:szCs w:val="22"/>
          <w:lang w:val="sk-SK"/>
        </w:rPr>
        <w:t xml:space="preserve"> Junior</w:t>
      </w:r>
      <w:r w:rsidR="00E8736E" w:rsidRPr="0034134C">
        <w:rPr>
          <w:sz w:val="22"/>
          <w:szCs w:val="22"/>
          <w:lang w:val="sk-SK"/>
        </w:rPr>
        <w:t xml:space="preserve"> 200 mg</w:t>
      </w:r>
      <w:r w:rsidR="00AD6722" w:rsidRPr="0034134C">
        <w:rPr>
          <w:sz w:val="22"/>
          <w:szCs w:val="22"/>
          <w:lang w:val="sk-SK"/>
        </w:rPr>
        <w:t xml:space="preserve"> a následne, </w:t>
      </w:r>
      <w:r w:rsidR="00BA5546" w:rsidRPr="0034134C">
        <w:rPr>
          <w:sz w:val="22"/>
          <w:szCs w:val="22"/>
          <w:lang w:val="sk-SK"/>
        </w:rPr>
        <w:t xml:space="preserve">v </w:t>
      </w:r>
      <w:r w:rsidR="00E8736E" w:rsidRPr="0034134C">
        <w:rPr>
          <w:sz w:val="22"/>
          <w:szCs w:val="22"/>
          <w:lang w:val="sk-SK"/>
        </w:rPr>
        <w:t>p</w:t>
      </w:r>
      <w:r w:rsidR="00620BA0" w:rsidRPr="0034134C">
        <w:rPr>
          <w:sz w:val="22"/>
          <w:szCs w:val="22"/>
          <w:lang w:val="sk-SK"/>
        </w:rPr>
        <w:t>r</w:t>
      </w:r>
      <w:r w:rsidR="00E8736E" w:rsidRPr="0034134C">
        <w:rPr>
          <w:sz w:val="22"/>
          <w:szCs w:val="22"/>
          <w:lang w:val="sk-SK"/>
        </w:rPr>
        <w:t>ípad</w:t>
      </w:r>
      <w:r w:rsidR="00620BA0" w:rsidRPr="0034134C">
        <w:rPr>
          <w:sz w:val="22"/>
          <w:szCs w:val="22"/>
          <w:lang w:val="sk-SK"/>
        </w:rPr>
        <w:t>e</w:t>
      </w:r>
      <w:r w:rsidR="00E8736E" w:rsidRPr="0034134C">
        <w:rPr>
          <w:sz w:val="22"/>
          <w:szCs w:val="22"/>
          <w:lang w:val="sk-SK"/>
        </w:rPr>
        <w:t xml:space="preserve"> pot</w:t>
      </w:r>
      <w:r w:rsidR="00620BA0" w:rsidRPr="0034134C">
        <w:rPr>
          <w:sz w:val="22"/>
          <w:szCs w:val="22"/>
          <w:lang w:val="sk-SK"/>
        </w:rPr>
        <w:t>r</w:t>
      </w:r>
      <w:r w:rsidR="00E8736E" w:rsidRPr="0034134C">
        <w:rPr>
          <w:sz w:val="22"/>
          <w:szCs w:val="22"/>
          <w:lang w:val="sk-SK"/>
        </w:rPr>
        <w:t>eby</w:t>
      </w:r>
      <w:r w:rsidR="00D173F8" w:rsidRPr="0034134C">
        <w:rPr>
          <w:sz w:val="22"/>
          <w:szCs w:val="22"/>
          <w:lang w:val="sk-SK"/>
        </w:rPr>
        <w:t>,</w:t>
      </w:r>
      <w:r w:rsidR="00E8736E" w:rsidRPr="0034134C">
        <w:rPr>
          <w:sz w:val="22"/>
          <w:szCs w:val="22"/>
          <w:lang w:val="sk-SK"/>
        </w:rPr>
        <w:t xml:space="preserve"> 1 až 2 </w:t>
      </w:r>
      <w:r w:rsidR="00620BA0" w:rsidRPr="0034134C">
        <w:rPr>
          <w:sz w:val="22"/>
          <w:szCs w:val="22"/>
          <w:lang w:val="sk-SK"/>
        </w:rPr>
        <w:t>vrecká</w:t>
      </w:r>
      <w:r w:rsidR="00E8736E" w:rsidRPr="0034134C">
        <w:rPr>
          <w:sz w:val="22"/>
          <w:szCs w:val="22"/>
          <w:lang w:val="sk-SK"/>
        </w:rPr>
        <w:t xml:space="preserve"> </w:t>
      </w:r>
      <w:r w:rsidR="00987E9D" w:rsidRPr="0034134C">
        <w:rPr>
          <w:sz w:val="22"/>
          <w:szCs w:val="22"/>
          <w:lang w:val="sk-SK"/>
        </w:rPr>
        <w:t>Ibalgin</w:t>
      </w:r>
      <w:r w:rsidR="00AD6722" w:rsidRPr="0034134C">
        <w:rPr>
          <w:sz w:val="22"/>
          <w:szCs w:val="22"/>
          <w:lang w:val="sk-SK"/>
        </w:rPr>
        <w:t>u</w:t>
      </w:r>
      <w:r w:rsidR="00987E9D" w:rsidRPr="0034134C">
        <w:rPr>
          <w:sz w:val="22"/>
          <w:szCs w:val="22"/>
          <w:lang w:val="sk-SK"/>
        </w:rPr>
        <w:t xml:space="preserve"> Junior </w:t>
      </w:r>
      <w:r w:rsidR="00E8736E" w:rsidRPr="0034134C">
        <w:rPr>
          <w:sz w:val="22"/>
          <w:szCs w:val="22"/>
          <w:lang w:val="sk-SK"/>
        </w:rPr>
        <w:t>200 mg každých šes</w:t>
      </w:r>
      <w:r w:rsidR="00620BA0" w:rsidRPr="0034134C">
        <w:rPr>
          <w:sz w:val="22"/>
          <w:szCs w:val="22"/>
          <w:lang w:val="sk-SK"/>
        </w:rPr>
        <w:t>ť</w:t>
      </w:r>
      <w:r w:rsidR="00E8736E" w:rsidRPr="0034134C">
        <w:rPr>
          <w:sz w:val="22"/>
          <w:szCs w:val="22"/>
          <w:lang w:val="sk-SK"/>
        </w:rPr>
        <w:t xml:space="preserve"> hod</w:t>
      </w:r>
      <w:r w:rsidR="00620BA0" w:rsidRPr="0034134C">
        <w:rPr>
          <w:sz w:val="22"/>
          <w:szCs w:val="22"/>
          <w:lang w:val="sk-SK"/>
        </w:rPr>
        <w:t>í</w:t>
      </w:r>
      <w:r w:rsidR="00D173F8" w:rsidRPr="0034134C">
        <w:rPr>
          <w:sz w:val="22"/>
          <w:szCs w:val="22"/>
          <w:lang w:val="sk-SK"/>
        </w:rPr>
        <w:t>n, m</w:t>
      </w:r>
      <w:r w:rsidR="00E8736E" w:rsidRPr="0034134C">
        <w:rPr>
          <w:sz w:val="22"/>
          <w:szCs w:val="22"/>
          <w:lang w:val="sk-SK"/>
        </w:rPr>
        <w:t>aximáln</w:t>
      </w:r>
      <w:r w:rsidR="00D173F8" w:rsidRPr="0034134C">
        <w:rPr>
          <w:sz w:val="22"/>
          <w:szCs w:val="22"/>
          <w:lang w:val="sk-SK"/>
        </w:rPr>
        <w:t xml:space="preserve">e </w:t>
      </w:r>
      <w:r w:rsidR="00E8736E" w:rsidRPr="0034134C">
        <w:rPr>
          <w:sz w:val="22"/>
          <w:szCs w:val="22"/>
          <w:lang w:val="sk-SK"/>
        </w:rPr>
        <w:t>1</w:t>
      </w:r>
      <w:r w:rsidR="00AD6722" w:rsidRPr="0034134C">
        <w:rPr>
          <w:sz w:val="22"/>
          <w:szCs w:val="22"/>
          <w:lang w:val="sk-SK"/>
        </w:rPr>
        <w:t xml:space="preserve"> </w:t>
      </w:r>
      <w:r w:rsidR="00E8736E" w:rsidRPr="0034134C">
        <w:rPr>
          <w:sz w:val="22"/>
          <w:szCs w:val="22"/>
          <w:lang w:val="sk-SK"/>
        </w:rPr>
        <w:t xml:space="preserve">200 mg (6 </w:t>
      </w:r>
      <w:r w:rsidR="00620BA0" w:rsidRPr="0034134C">
        <w:rPr>
          <w:sz w:val="22"/>
          <w:szCs w:val="22"/>
          <w:lang w:val="sk-SK"/>
        </w:rPr>
        <w:t>vreciek</w:t>
      </w:r>
      <w:r w:rsidR="00E8736E" w:rsidRPr="0034134C">
        <w:rPr>
          <w:sz w:val="22"/>
          <w:szCs w:val="22"/>
          <w:lang w:val="sk-SK"/>
        </w:rPr>
        <w:t xml:space="preserve"> </w:t>
      </w:r>
      <w:r w:rsidR="00987E9D" w:rsidRPr="0034134C">
        <w:rPr>
          <w:sz w:val="22"/>
          <w:szCs w:val="22"/>
          <w:lang w:val="sk-SK"/>
        </w:rPr>
        <w:t>Ibalgin</w:t>
      </w:r>
      <w:r w:rsidR="00AD6722" w:rsidRPr="0034134C">
        <w:rPr>
          <w:sz w:val="22"/>
          <w:szCs w:val="22"/>
          <w:lang w:val="sk-SK"/>
        </w:rPr>
        <w:t>u</w:t>
      </w:r>
      <w:r w:rsidR="00987E9D" w:rsidRPr="0034134C">
        <w:rPr>
          <w:sz w:val="22"/>
          <w:szCs w:val="22"/>
          <w:lang w:val="sk-SK"/>
        </w:rPr>
        <w:t xml:space="preserve"> Junior </w:t>
      </w:r>
      <w:r w:rsidR="00E8736E" w:rsidRPr="0034134C">
        <w:rPr>
          <w:sz w:val="22"/>
          <w:szCs w:val="22"/>
          <w:lang w:val="sk-SK"/>
        </w:rPr>
        <w:t>200 mg)</w:t>
      </w:r>
      <w:r w:rsidR="00D173F8" w:rsidRPr="0034134C">
        <w:rPr>
          <w:sz w:val="22"/>
          <w:szCs w:val="22"/>
          <w:lang w:val="sk-SK"/>
        </w:rPr>
        <w:t xml:space="preserve"> za 24 hodín</w:t>
      </w:r>
      <w:r w:rsidR="00E8736E" w:rsidRPr="0034134C">
        <w:rPr>
          <w:sz w:val="22"/>
          <w:szCs w:val="22"/>
          <w:lang w:val="sk-SK"/>
        </w:rPr>
        <w:t>.</w:t>
      </w:r>
      <w:r w:rsidR="005779DD" w:rsidRPr="0034134C">
        <w:rPr>
          <w:sz w:val="22"/>
          <w:szCs w:val="22"/>
        </w:rPr>
        <w:t xml:space="preserve"> </w:t>
      </w:r>
    </w:p>
    <w:p w14:paraId="172A62E8" w14:textId="2CDB48B0" w:rsidR="007A1B4A" w:rsidRPr="0029684D" w:rsidRDefault="005779DD" w:rsidP="00BA5546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</w:rPr>
        <w:lastRenderedPageBreak/>
        <w:t xml:space="preserve">Časový odstup medzi </w:t>
      </w:r>
      <w:r w:rsidR="00D173F8" w:rsidRPr="0034134C">
        <w:rPr>
          <w:sz w:val="22"/>
          <w:szCs w:val="22"/>
        </w:rPr>
        <w:t xml:space="preserve">dvomi </w:t>
      </w:r>
      <w:r w:rsidRPr="0034134C">
        <w:rPr>
          <w:sz w:val="22"/>
          <w:szCs w:val="22"/>
        </w:rPr>
        <w:t xml:space="preserve">dávkami </w:t>
      </w:r>
      <w:r w:rsidR="00D173F8" w:rsidRPr="0034134C">
        <w:rPr>
          <w:sz w:val="22"/>
          <w:szCs w:val="22"/>
        </w:rPr>
        <w:t>má byť najmenej</w:t>
      </w:r>
      <w:r w:rsidRPr="0034134C">
        <w:rPr>
          <w:sz w:val="22"/>
          <w:szCs w:val="22"/>
        </w:rPr>
        <w:t xml:space="preserve"> 6 hodín.</w:t>
      </w:r>
    </w:p>
    <w:p w14:paraId="5021198D" w14:textId="77777777" w:rsidR="007A1B4A" w:rsidRPr="0029684D" w:rsidRDefault="007A1B4A" w:rsidP="00230813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0DE03B3" w14:textId="73804753" w:rsidR="007A1B4A" w:rsidRPr="0029684D" w:rsidRDefault="00E8736E" w:rsidP="00300F58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u w:val="single"/>
          <w:lang w:val="sk-SK"/>
        </w:rPr>
        <w:t>D</w:t>
      </w:r>
      <w:r w:rsidR="00620BA0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 xml:space="preserve">ti </w:t>
      </w:r>
      <w:r w:rsidR="00620BA0" w:rsidRPr="0029684D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 xml:space="preserve"> t</w:t>
      </w:r>
      <w:r w:rsidR="00620BA0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>lesn</w:t>
      </w:r>
      <w:r w:rsidR="00620BA0" w:rsidRPr="0029684D">
        <w:rPr>
          <w:sz w:val="22"/>
          <w:szCs w:val="22"/>
          <w:u w:val="single"/>
          <w:lang w:val="sk-SK"/>
        </w:rPr>
        <w:t>ou</w:t>
      </w:r>
      <w:r w:rsidRPr="0029684D">
        <w:rPr>
          <w:sz w:val="22"/>
          <w:szCs w:val="22"/>
          <w:u w:val="single"/>
          <w:lang w:val="sk-SK"/>
        </w:rPr>
        <w:t xml:space="preserve"> hmotnos</w:t>
      </w:r>
      <w:r w:rsidR="00620BA0" w:rsidRPr="0029684D">
        <w:rPr>
          <w:sz w:val="22"/>
          <w:szCs w:val="22"/>
          <w:u w:val="single"/>
          <w:lang w:val="sk-SK"/>
        </w:rPr>
        <w:t>ťou</w:t>
      </w:r>
      <w:r w:rsidR="005243C5">
        <w:rPr>
          <w:sz w:val="22"/>
          <w:szCs w:val="22"/>
          <w:u w:val="single"/>
          <w:lang w:val="sk-SK"/>
        </w:rPr>
        <w:t xml:space="preserve"> </w:t>
      </w:r>
      <w:r w:rsidR="0033021F">
        <w:rPr>
          <w:sz w:val="22"/>
          <w:szCs w:val="22"/>
          <w:u w:val="single"/>
          <w:lang w:val="sk-SK"/>
        </w:rPr>
        <w:t xml:space="preserve">do </w:t>
      </w:r>
      <w:r w:rsidRPr="0029684D">
        <w:rPr>
          <w:sz w:val="22"/>
          <w:szCs w:val="22"/>
          <w:u w:val="single"/>
          <w:lang w:val="sk-SK"/>
        </w:rPr>
        <w:t xml:space="preserve">39 kg (od 6 </w:t>
      </w:r>
      <w:r w:rsidR="00620BA0" w:rsidRPr="0029684D">
        <w:rPr>
          <w:sz w:val="22"/>
          <w:szCs w:val="22"/>
          <w:u w:val="single"/>
          <w:lang w:val="sk-SK"/>
        </w:rPr>
        <w:t>rokov</w:t>
      </w:r>
      <w:r w:rsidR="008A58FB" w:rsidRPr="0029684D">
        <w:rPr>
          <w:sz w:val="22"/>
          <w:szCs w:val="22"/>
          <w:u w:val="single"/>
          <w:lang w:val="sk-SK"/>
        </w:rPr>
        <w:t xml:space="preserve"> a staršie</w:t>
      </w:r>
      <w:r w:rsidRPr="0029684D">
        <w:rPr>
          <w:sz w:val="22"/>
          <w:szCs w:val="22"/>
          <w:u w:val="single"/>
          <w:lang w:val="sk-SK"/>
        </w:rPr>
        <w:t>)</w:t>
      </w:r>
    </w:p>
    <w:p w14:paraId="0040BCD4" w14:textId="798946A9" w:rsidR="007A1B4A" w:rsidRPr="0029684D" w:rsidRDefault="00987E9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Ibalgin Junior </w:t>
      </w:r>
      <w:r w:rsidR="00E8736E" w:rsidRPr="0029684D">
        <w:rPr>
          <w:sz w:val="22"/>
          <w:szCs w:val="22"/>
          <w:lang w:val="sk-SK"/>
        </w:rPr>
        <w:t xml:space="preserve">200 mg </w:t>
      </w:r>
      <w:r w:rsidR="00620BA0" w:rsidRPr="0029684D">
        <w:rPr>
          <w:sz w:val="22"/>
          <w:szCs w:val="22"/>
          <w:lang w:val="sk-SK"/>
        </w:rPr>
        <w:t xml:space="preserve">sa </w:t>
      </w:r>
      <w:r w:rsidR="00223CE6" w:rsidRPr="0029684D">
        <w:rPr>
          <w:sz w:val="22"/>
          <w:szCs w:val="22"/>
          <w:lang w:val="sk-SK"/>
        </w:rPr>
        <w:t>môže</w:t>
      </w:r>
      <w:r w:rsidR="00620BA0" w:rsidRPr="0029684D">
        <w:rPr>
          <w:sz w:val="22"/>
          <w:szCs w:val="22"/>
          <w:lang w:val="sk-SK"/>
        </w:rPr>
        <w:t xml:space="preserve"> používať len u detí s hmotnosťou najmenej 20 kg. Maximálna celková denná dávka ibuprof</w:t>
      </w:r>
      <w:r w:rsidR="00223CE6" w:rsidRPr="0029684D">
        <w:rPr>
          <w:sz w:val="22"/>
          <w:szCs w:val="22"/>
          <w:lang w:val="sk-SK"/>
        </w:rPr>
        <w:t>e</w:t>
      </w:r>
      <w:r w:rsidR="00620BA0" w:rsidRPr="0029684D">
        <w:rPr>
          <w:sz w:val="22"/>
          <w:szCs w:val="22"/>
          <w:lang w:val="sk-SK"/>
        </w:rPr>
        <w:t xml:space="preserve">nu je 20 až 30 mg na 1 kg telesnej hmotnosti, rozdelená na 3 až 4  jednorazové dávky s intervalom medzi dávkami 6 až 8 hodín. Maximálna odporúčaná denná dávka </w:t>
      </w:r>
      <w:r w:rsidR="00223CE6" w:rsidRPr="0029684D">
        <w:rPr>
          <w:sz w:val="22"/>
          <w:szCs w:val="22"/>
          <w:lang w:val="sk-SK"/>
        </w:rPr>
        <w:t xml:space="preserve">sa nesmie </w:t>
      </w:r>
      <w:r w:rsidR="00620BA0" w:rsidRPr="0029684D">
        <w:rPr>
          <w:sz w:val="22"/>
          <w:szCs w:val="22"/>
          <w:lang w:val="sk-SK"/>
        </w:rPr>
        <w:t>prekročiť</w:t>
      </w:r>
      <w:r w:rsidR="00E8736E" w:rsidRPr="0029684D">
        <w:rPr>
          <w:sz w:val="22"/>
          <w:szCs w:val="22"/>
          <w:lang w:val="sk-SK"/>
        </w:rPr>
        <w:t>.</w:t>
      </w:r>
      <w:r w:rsidR="007A1B4A" w:rsidRPr="0029684D">
        <w:rPr>
          <w:sz w:val="22"/>
          <w:szCs w:val="22"/>
          <w:lang w:val="sk-SK"/>
        </w:rPr>
        <w:t xml:space="preserve"> </w:t>
      </w:r>
      <w:r w:rsidR="00223CE6" w:rsidRPr="0029684D">
        <w:rPr>
          <w:sz w:val="22"/>
          <w:szCs w:val="22"/>
          <w:lang w:val="sk-SK"/>
        </w:rPr>
        <w:t xml:space="preserve">Nesmie sa prekročiť </w:t>
      </w:r>
      <w:r w:rsidR="00E8736E" w:rsidRPr="0029684D">
        <w:rPr>
          <w:sz w:val="22"/>
          <w:szCs w:val="22"/>
          <w:lang w:val="sk-SK"/>
        </w:rPr>
        <w:t>celková dávka 30 mg/kg ibuprof</w:t>
      </w:r>
      <w:r w:rsidR="00223CE6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nu za 24</w:t>
      </w:r>
      <w:r w:rsidR="008D2669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hod</w:t>
      </w:r>
      <w:r w:rsidR="00620BA0"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n.</w:t>
      </w:r>
      <w:r w:rsidR="007A1B4A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U d</w:t>
      </w:r>
      <w:r w:rsidR="00620BA0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tí pr</w:t>
      </w:r>
      <w:r w:rsidR="00620BA0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Ibalgin Junior </w:t>
      </w:r>
      <w:r w:rsidR="00E8736E" w:rsidRPr="0029684D">
        <w:rPr>
          <w:sz w:val="22"/>
          <w:szCs w:val="22"/>
          <w:lang w:val="sk-SK"/>
        </w:rPr>
        <w:t>200 mg plat</w:t>
      </w:r>
      <w:r w:rsidR="00620BA0" w:rsidRPr="0029684D">
        <w:rPr>
          <w:sz w:val="22"/>
          <w:szCs w:val="22"/>
          <w:lang w:val="sk-SK"/>
        </w:rPr>
        <w:t>ia</w:t>
      </w:r>
      <w:r w:rsidR="00E8736E" w:rsidRPr="0029684D">
        <w:rPr>
          <w:sz w:val="22"/>
          <w:szCs w:val="22"/>
          <w:lang w:val="sk-SK"/>
        </w:rPr>
        <w:t xml:space="preserve"> n</w:t>
      </w:r>
      <w:r w:rsidR="00620BA0" w:rsidRPr="0029684D">
        <w:rPr>
          <w:sz w:val="22"/>
          <w:szCs w:val="22"/>
          <w:lang w:val="sk-SK"/>
        </w:rPr>
        <w:t>a</w:t>
      </w:r>
      <w:r w:rsidR="00E8736E" w:rsidRPr="0029684D">
        <w:rPr>
          <w:sz w:val="22"/>
          <w:szCs w:val="22"/>
          <w:lang w:val="sk-SK"/>
        </w:rPr>
        <w:t>sled</w:t>
      </w:r>
      <w:r w:rsidR="00620BA0" w:rsidRPr="0029684D">
        <w:rPr>
          <w:sz w:val="22"/>
          <w:szCs w:val="22"/>
          <w:lang w:val="sk-SK"/>
        </w:rPr>
        <w:t>ovné</w:t>
      </w:r>
      <w:r w:rsidR="00E8736E" w:rsidRPr="0029684D">
        <w:rPr>
          <w:sz w:val="22"/>
          <w:szCs w:val="22"/>
          <w:lang w:val="sk-SK"/>
        </w:rPr>
        <w:t xml:space="preserve"> pokyny </w:t>
      </w:r>
      <w:r w:rsidR="00620BA0" w:rsidRPr="0029684D">
        <w:rPr>
          <w:sz w:val="22"/>
          <w:szCs w:val="22"/>
          <w:lang w:val="sk-SK"/>
        </w:rPr>
        <w:t>pre dávkovanie</w:t>
      </w:r>
      <w:r w:rsidR="00E8736E" w:rsidRPr="0029684D">
        <w:rPr>
          <w:sz w:val="22"/>
          <w:szCs w:val="22"/>
          <w:lang w:val="sk-SK"/>
        </w:rPr>
        <w:t>:</w:t>
      </w:r>
    </w:p>
    <w:p w14:paraId="4E98B97A" w14:textId="77777777" w:rsidR="00223CE6" w:rsidRPr="0029684D" w:rsidRDefault="00223CE6" w:rsidP="00300F58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4"/>
        <w:gridCol w:w="3890"/>
        <w:gridCol w:w="3290"/>
      </w:tblGrid>
      <w:tr w:rsidR="007A1B4A" w:rsidRPr="003A721A" w14:paraId="474F2B54" w14:textId="77777777" w:rsidTr="00E8736E">
        <w:trPr>
          <w:trHeight w:val="552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05A75" w14:textId="77777777" w:rsidR="007A1B4A" w:rsidRPr="0029684D" w:rsidRDefault="00E8736E" w:rsidP="00542FCE">
            <w:pPr>
              <w:spacing w:after="0"/>
              <w:ind w:left="72" w:right="496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lesná hmotnos</w:t>
            </w:r>
            <w:r w:rsidR="00620BA0" w:rsidRPr="0029684D">
              <w:rPr>
                <w:sz w:val="22"/>
                <w:szCs w:val="22"/>
                <w:lang w:val="sk-SK"/>
              </w:rPr>
              <w:t>ť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B1A44" w14:textId="77777777" w:rsidR="007A1B4A" w:rsidRPr="0029684D" w:rsidRDefault="00E8736E" w:rsidP="008E420F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Jedna dávka v počt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620BA0" w:rsidRPr="0029684D">
              <w:rPr>
                <w:sz w:val="22"/>
                <w:szCs w:val="22"/>
                <w:lang w:val="sk-SK"/>
              </w:rPr>
              <w:t>vreciek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B5B6D" w14:textId="77777777" w:rsidR="007A1B4A" w:rsidRPr="0029684D" w:rsidRDefault="00E8736E" w:rsidP="00D22436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Maximáln</w:t>
            </w:r>
            <w:r w:rsidR="00620BA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denn</w:t>
            </w:r>
            <w:r w:rsidR="00620BA0" w:rsidRPr="0029684D">
              <w:rPr>
                <w:sz w:val="22"/>
                <w:szCs w:val="22"/>
                <w:lang w:val="sk-SK"/>
              </w:rPr>
              <w:t>á</w:t>
            </w:r>
            <w:r w:rsidRPr="0029684D">
              <w:rPr>
                <w:sz w:val="22"/>
                <w:szCs w:val="22"/>
                <w:lang w:val="sk-SK"/>
              </w:rPr>
              <w:t xml:space="preserve"> dávka v počt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620BA0" w:rsidRPr="0029684D">
              <w:rPr>
                <w:sz w:val="22"/>
                <w:szCs w:val="22"/>
                <w:lang w:val="sk-SK"/>
              </w:rPr>
              <w:t>vreciek</w:t>
            </w:r>
          </w:p>
        </w:tc>
      </w:tr>
      <w:tr w:rsidR="007A1B4A" w:rsidRPr="003A721A" w14:paraId="25EED10B" w14:textId="77777777" w:rsidTr="00E8736E">
        <w:trPr>
          <w:trHeight w:val="629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E2156" w14:textId="77777777" w:rsidR="007A1B4A" w:rsidRPr="0029684D" w:rsidRDefault="00E8736E" w:rsidP="00230813">
            <w:pPr>
              <w:spacing w:after="0"/>
              <w:ind w:left="2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D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ti 20-29 kg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1C8B1" w14:textId="2D595AE4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1 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vrec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k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o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</w:t>
            </w:r>
            <w:r w:rsidR="00987E9D" w:rsidRPr="0029684D">
              <w:rPr>
                <w:sz w:val="22"/>
                <w:szCs w:val="22"/>
                <w:lang w:val="sk-SK"/>
              </w:rPr>
              <w:t>Ibalgin</w:t>
            </w:r>
            <w:r w:rsidR="00B04381">
              <w:rPr>
                <w:sz w:val="22"/>
                <w:szCs w:val="22"/>
                <w:lang w:val="sk-SK"/>
              </w:rPr>
              <w:t>u</w:t>
            </w:r>
            <w:r w:rsidR="00987E9D" w:rsidRPr="0029684D">
              <w:rPr>
                <w:sz w:val="22"/>
                <w:szCs w:val="22"/>
                <w:lang w:val="sk-SK"/>
              </w:rPr>
              <w:t xml:space="preserve"> Junior 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200 mg </w:t>
            </w:r>
            <w:r w:rsidRPr="0029684D">
              <w:rPr>
                <w:sz w:val="22"/>
                <w:szCs w:val="22"/>
                <w:lang w:val="sk-SK"/>
              </w:rPr>
              <w:t>(</w:t>
            </w:r>
            <w:r w:rsidR="00B04381">
              <w:rPr>
                <w:sz w:val="22"/>
                <w:szCs w:val="22"/>
                <w:lang w:val="sk-SK"/>
              </w:rPr>
              <w:t xml:space="preserve">200 mg </w:t>
            </w:r>
            <w:r w:rsidRPr="0029684D">
              <w:rPr>
                <w:sz w:val="22"/>
                <w:szCs w:val="22"/>
                <w:lang w:val="sk-SK"/>
              </w:rPr>
              <w:t>ibuprof</w:t>
            </w:r>
            <w:r w:rsidR="00987E9D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B04381">
              <w:rPr>
                <w:sz w:val="22"/>
                <w:szCs w:val="22"/>
                <w:lang w:val="sk-SK"/>
              </w:rPr>
              <w:t>u</w:t>
            </w:r>
            <w:r w:rsidRPr="0029684D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D1016" w14:textId="77777777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3</w:t>
            </w:r>
            <w:r w:rsidR="005243C5">
              <w:rPr>
                <w:sz w:val="22"/>
                <w:szCs w:val="22"/>
                <w:lang w:val="sk-SK"/>
              </w:rPr>
              <w:t xml:space="preserve"> vrecká</w:t>
            </w:r>
            <w:r w:rsidRPr="0029684D">
              <w:rPr>
                <w:sz w:val="22"/>
                <w:szCs w:val="22"/>
                <w:lang w:val="sk-SK"/>
              </w:rPr>
              <w:t xml:space="preserve"> (</w:t>
            </w:r>
            <w:r w:rsidR="00620BA0" w:rsidRPr="0029684D">
              <w:rPr>
                <w:sz w:val="22"/>
                <w:szCs w:val="22"/>
                <w:lang w:val="sk-SK"/>
              </w:rPr>
              <w:t>zodpovedá</w:t>
            </w:r>
            <w:r w:rsidRPr="0029684D">
              <w:rPr>
                <w:sz w:val="22"/>
                <w:szCs w:val="22"/>
                <w:lang w:val="sk-SK"/>
              </w:rPr>
              <w:t xml:space="preserve"> až 600 mg ibuprof</w:t>
            </w:r>
            <w:r w:rsidR="00223CE6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nu)</w:t>
            </w:r>
          </w:p>
        </w:tc>
      </w:tr>
      <w:tr w:rsidR="007A1B4A" w:rsidRPr="003A721A" w14:paraId="23F6A26B" w14:textId="77777777" w:rsidTr="00E8736E">
        <w:trPr>
          <w:trHeight w:val="629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65D8C" w14:textId="77777777" w:rsidR="007A1B4A" w:rsidRPr="0029684D" w:rsidRDefault="00E8736E" w:rsidP="00230813">
            <w:pPr>
              <w:spacing w:after="0"/>
              <w:ind w:left="2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D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ti 30-39 kg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FB9CD" w14:textId="0DF37585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1 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vrec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k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o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</w:t>
            </w:r>
            <w:r w:rsidR="00987E9D" w:rsidRPr="0029684D">
              <w:rPr>
                <w:sz w:val="22"/>
                <w:szCs w:val="22"/>
                <w:lang w:val="sk-SK"/>
              </w:rPr>
              <w:t>Ibalgin</w:t>
            </w:r>
            <w:r w:rsidR="00B04381">
              <w:rPr>
                <w:sz w:val="22"/>
                <w:szCs w:val="22"/>
                <w:lang w:val="sk-SK"/>
              </w:rPr>
              <w:t>u</w:t>
            </w:r>
            <w:r w:rsidR="00987E9D" w:rsidRPr="0029684D">
              <w:rPr>
                <w:sz w:val="22"/>
                <w:szCs w:val="22"/>
                <w:lang w:val="sk-SK"/>
              </w:rPr>
              <w:t xml:space="preserve"> Junior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200 mg (</w:t>
            </w:r>
            <w:r w:rsidR="00B04381">
              <w:rPr>
                <w:rFonts w:cstheme="minorHAnsi"/>
                <w:sz w:val="22"/>
                <w:szCs w:val="22"/>
                <w:lang w:val="sk-SK"/>
              </w:rPr>
              <w:t xml:space="preserve">200 mg 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ibuprof</w:t>
            </w:r>
            <w:r w:rsidR="00987E9D" w:rsidRPr="0029684D">
              <w:rPr>
                <w:rFonts w:cstheme="minorHAnsi"/>
                <w:sz w:val="22"/>
                <w:szCs w:val="22"/>
                <w:lang w:val="sk-SK"/>
              </w:rPr>
              <w:t>e</w:t>
            </w:r>
            <w:r w:rsidR="00B04381">
              <w:rPr>
                <w:rFonts w:cstheme="minorHAnsi"/>
                <w:sz w:val="22"/>
                <w:szCs w:val="22"/>
                <w:lang w:val="sk-SK"/>
              </w:rPr>
              <w:t>nu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)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9D35" w14:textId="4FF0281D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4</w:t>
            </w:r>
            <w:r w:rsidR="005243C5">
              <w:rPr>
                <w:sz w:val="22"/>
                <w:szCs w:val="22"/>
                <w:lang w:val="sk-SK"/>
              </w:rPr>
              <w:t xml:space="preserve"> vrecká </w:t>
            </w:r>
            <w:r w:rsidRPr="0029684D">
              <w:rPr>
                <w:sz w:val="22"/>
                <w:szCs w:val="22"/>
                <w:lang w:val="sk-SK"/>
              </w:rPr>
              <w:t>(</w:t>
            </w:r>
            <w:r w:rsidR="00620BA0" w:rsidRPr="0029684D">
              <w:rPr>
                <w:sz w:val="22"/>
                <w:szCs w:val="22"/>
                <w:lang w:val="sk-SK"/>
              </w:rPr>
              <w:t>zodpovedá</w:t>
            </w:r>
            <w:r w:rsidR="008D2669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až 800 mg ibuprof</w:t>
            </w:r>
            <w:r w:rsidR="00223CE6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nu)</w:t>
            </w:r>
          </w:p>
        </w:tc>
      </w:tr>
    </w:tbl>
    <w:p w14:paraId="47C1A422" w14:textId="77777777" w:rsidR="007A1B4A" w:rsidRPr="0029684D" w:rsidRDefault="007A1B4A" w:rsidP="00230813">
      <w:pPr>
        <w:shd w:val="clear" w:color="auto" w:fill="FFFFFF"/>
        <w:spacing w:after="0"/>
        <w:jc w:val="left"/>
        <w:rPr>
          <w:sz w:val="22"/>
          <w:szCs w:val="22"/>
          <w:highlight w:val="yellow"/>
          <w:lang w:val="sk-SK"/>
        </w:rPr>
      </w:pPr>
    </w:p>
    <w:p w14:paraId="6AC28E35" w14:textId="4B3FAE3C" w:rsidR="007A1B4A" w:rsidRPr="003A721A" w:rsidRDefault="005779DD" w:rsidP="00300F58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U detí </w:t>
      </w:r>
      <w:proofErr w:type="gramStart"/>
      <w:r w:rsidRPr="003A721A">
        <w:rPr>
          <w:sz w:val="22"/>
          <w:szCs w:val="22"/>
        </w:rPr>
        <w:t>od</w:t>
      </w:r>
      <w:proofErr w:type="gramEnd"/>
      <w:r w:rsidRPr="003A721A">
        <w:rPr>
          <w:sz w:val="22"/>
          <w:szCs w:val="22"/>
        </w:rPr>
        <w:t xml:space="preserve"> 6 rokov a dospievajúcich je potrebné vyhľadať lekára, ak sa príznaky zhoršia, alebo ak je liek potrebné užívať viac ako 3 dni.</w:t>
      </w:r>
    </w:p>
    <w:p w14:paraId="44D669A3" w14:textId="77777777" w:rsidR="005779DD" w:rsidRPr="0029684D" w:rsidRDefault="005779DD" w:rsidP="00300F58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09F58A5" w14:textId="3351C2F2" w:rsidR="007A1B4A" w:rsidRPr="0029684D" w:rsidRDefault="00E8736E" w:rsidP="00300F58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D</w:t>
      </w:r>
      <w:r w:rsidR="002E0F0B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 xml:space="preserve">ti </w:t>
      </w:r>
      <w:r w:rsidR="002E0F0B" w:rsidRPr="0029684D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 xml:space="preserve"> t</w:t>
      </w:r>
      <w:r w:rsidR="002E0F0B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>lesn</w:t>
      </w:r>
      <w:r w:rsidR="002E0F0B" w:rsidRPr="0029684D">
        <w:rPr>
          <w:sz w:val="22"/>
          <w:szCs w:val="22"/>
          <w:u w:val="single"/>
          <w:lang w:val="sk-SK"/>
        </w:rPr>
        <w:t>ou</w:t>
      </w:r>
      <w:r w:rsidRPr="0029684D">
        <w:rPr>
          <w:sz w:val="22"/>
          <w:szCs w:val="22"/>
          <w:u w:val="single"/>
          <w:lang w:val="sk-SK"/>
        </w:rPr>
        <w:t xml:space="preserve"> hmotnos</w:t>
      </w:r>
      <w:r w:rsidR="002E0F0B" w:rsidRPr="0029684D">
        <w:rPr>
          <w:sz w:val="22"/>
          <w:szCs w:val="22"/>
          <w:u w:val="single"/>
          <w:lang w:val="sk-SK"/>
        </w:rPr>
        <w:t>ťou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8A58FB" w:rsidRPr="0029684D">
        <w:rPr>
          <w:sz w:val="22"/>
          <w:szCs w:val="22"/>
          <w:u w:val="single"/>
          <w:lang w:val="sk-SK"/>
        </w:rPr>
        <w:t xml:space="preserve">do </w:t>
      </w:r>
      <w:r w:rsidRPr="0029684D">
        <w:rPr>
          <w:sz w:val="22"/>
          <w:szCs w:val="22"/>
          <w:u w:val="single"/>
          <w:lang w:val="sk-SK"/>
        </w:rPr>
        <w:t>20 kg</w:t>
      </w:r>
      <w:r w:rsidR="008A58FB" w:rsidRPr="0029684D">
        <w:rPr>
          <w:sz w:val="22"/>
          <w:szCs w:val="22"/>
          <w:u w:val="single"/>
          <w:lang w:val="sk-SK"/>
        </w:rPr>
        <w:t xml:space="preserve"> </w:t>
      </w:r>
      <w:r w:rsidR="00B04381">
        <w:rPr>
          <w:sz w:val="22"/>
          <w:szCs w:val="22"/>
          <w:u w:val="single"/>
          <w:lang w:val="sk-SK"/>
        </w:rPr>
        <w:t>(</w:t>
      </w:r>
      <w:r w:rsidR="008A58FB" w:rsidRPr="0029684D">
        <w:rPr>
          <w:sz w:val="22"/>
          <w:szCs w:val="22"/>
          <w:u w:val="single"/>
          <w:lang w:val="sk-SK"/>
        </w:rPr>
        <w:t>do</w:t>
      </w:r>
      <w:r w:rsidRPr="0029684D">
        <w:rPr>
          <w:sz w:val="22"/>
          <w:szCs w:val="22"/>
          <w:u w:val="single"/>
          <w:lang w:val="sk-SK"/>
        </w:rPr>
        <w:t xml:space="preserve"> 6 </w:t>
      </w:r>
      <w:r w:rsidR="002E0F0B" w:rsidRPr="0029684D">
        <w:rPr>
          <w:sz w:val="22"/>
          <w:szCs w:val="22"/>
          <w:u w:val="single"/>
          <w:lang w:val="sk-SK"/>
        </w:rPr>
        <w:t>rokov</w:t>
      </w:r>
      <w:r w:rsidR="00B04381">
        <w:rPr>
          <w:sz w:val="22"/>
          <w:szCs w:val="22"/>
          <w:u w:val="single"/>
          <w:lang w:val="sk-SK"/>
        </w:rPr>
        <w:t>)</w:t>
      </w:r>
    </w:p>
    <w:p w14:paraId="2C18A841" w14:textId="40C2A9BD" w:rsidR="007A1B4A" w:rsidRPr="0029684D" w:rsidRDefault="00987E9D" w:rsidP="00542FCE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Ibalgin Junior </w:t>
      </w:r>
      <w:r w:rsidR="00E8736E" w:rsidRPr="0029684D">
        <w:rPr>
          <w:sz w:val="22"/>
          <w:szCs w:val="22"/>
          <w:lang w:val="sk-SK"/>
        </w:rPr>
        <w:t>200 mg n</w:t>
      </w:r>
      <w:r w:rsidR="002E0F0B" w:rsidRPr="0029684D">
        <w:rPr>
          <w:sz w:val="22"/>
          <w:szCs w:val="22"/>
          <w:lang w:val="sk-SK"/>
        </w:rPr>
        <w:t>ie je</w:t>
      </w:r>
      <w:r w:rsidR="00E8736E" w:rsidRPr="0029684D">
        <w:rPr>
          <w:sz w:val="22"/>
          <w:szCs w:val="22"/>
          <w:lang w:val="sk-SK"/>
        </w:rPr>
        <w:t xml:space="preserve"> určen</w:t>
      </w:r>
      <w:r w:rsidR="002E0F0B" w:rsidRPr="0029684D">
        <w:rPr>
          <w:sz w:val="22"/>
          <w:szCs w:val="22"/>
          <w:lang w:val="sk-SK"/>
        </w:rPr>
        <w:t>ý</w:t>
      </w:r>
      <w:r w:rsidR="00E8736E" w:rsidRPr="0029684D">
        <w:rPr>
          <w:sz w:val="22"/>
          <w:szCs w:val="22"/>
          <w:lang w:val="sk-SK"/>
        </w:rPr>
        <w:t xml:space="preserve"> </w:t>
      </w:r>
      <w:r w:rsidR="008A58FB" w:rsidRPr="0029684D">
        <w:rPr>
          <w:sz w:val="22"/>
          <w:szCs w:val="22"/>
          <w:lang w:val="sk-SK"/>
        </w:rPr>
        <w:t>deťom</w:t>
      </w:r>
      <w:r w:rsidR="00E8736E" w:rsidRPr="0029684D">
        <w:rPr>
          <w:sz w:val="22"/>
          <w:szCs w:val="22"/>
          <w:lang w:val="sk-SK"/>
        </w:rPr>
        <w:t xml:space="preserve"> </w:t>
      </w:r>
      <w:r w:rsidR="002E0F0B"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 xml:space="preserve"> t</w:t>
      </w:r>
      <w:r w:rsidR="002E0F0B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lesn</w:t>
      </w:r>
      <w:r w:rsidR="002E0F0B" w:rsidRPr="0029684D">
        <w:rPr>
          <w:sz w:val="22"/>
          <w:szCs w:val="22"/>
          <w:lang w:val="sk-SK"/>
        </w:rPr>
        <w:t>ou</w:t>
      </w:r>
      <w:r w:rsidR="00E8736E" w:rsidRPr="0029684D">
        <w:rPr>
          <w:sz w:val="22"/>
          <w:szCs w:val="22"/>
          <w:lang w:val="sk-SK"/>
        </w:rPr>
        <w:t xml:space="preserve"> hmotnos</w:t>
      </w:r>
      <w:r w:rsidR="002E0F0B" w:rsidRPr="0029684D">
        <w:rPr>
          <w:sz w:val="22"/>
          <w:szCs w:val="22"/>
          <w:lang w:val="sk-SK"/>
        </w:rPr>
        <w:t>ťou</w:t>
      </w:r>
      <w:r w:rsidR="00E8736E" w:rsidRPr="0029684D">
        <w:rPr>
          <w:sz w:val="22"/>
          <w:szCs w:val="22"/>
          <w:lang w:val="sk-SK"/>
        </w:rPr>
        <w:t xml:space="preserve"> </w:t>
      </w:r>
      <w:r w:rsidR="008A58FB" w:rsidRPr="0029684D">
        <w:rPr>
          <w:sz w:val="22"/>
          <w:szCs w:val="22"/>
          <w:lang w:val="sk-SK"/>
        </w:rPr>
        <w:t>do</w:t>
      </w:r>
      <w:r w:rsidR="00E8736E" w:rsidRPr="0029684D">
        <w:rPr>
          <w:sz w:val="22"/>
          <w:szCs w:val="22"/>
          <w:lang w:val="sk-SK"/>
        </w:rPr>
        <w:t xml:space="preserve"> 20 kg </w:t>
      </w:r>
      <w:r w:rsidR="002E0F0B" w:rsidRPr="0029684D">
        <w:rPr>
          <w:sz w:val="22"/>
          <w:szCs w:val="22"/>
          <w:lang w:val="sk-SK"/>
        </w:rPr>
        <w:t xml:space="preserve">alebo </w:t>
      </w:r>
      <w:r w:rsidR="008A58FB" w:rsidRPr="0029684D">
        <w:rPr>
          <w:sz w:val="22"/>
          <w:szCs w:val="22"/>
          <w:lang w:val="sk-SK"/>
        </w:rPr>
        <w:t>do</w:t>
      </w:r>
      <w:r w:rsidR="00E8736E" w:rsidRPr="0029684D">
        <w:rPr>
          <w:sz w:val="22"/>
          <w:szCs w:val="22"/>
          <w:lang w:val="sk-SK"/>
        </w:rPr>
        <w:t xml:space="preserve"> 6 </w:t>
      </w:r>
      <w:r w:rsidR="002E0F0B" w:rsidRPr="0029684D">
        <w:rPr>
          <w:sz w:val="22"/>
          <w:szCs w:val="22"/>
          <w:lang w:val="sk-SK"/>
        </w:rPr>
        <w:t>rokov</w:t>
      </w:r>
      <w:r w:rsidR="00E8736E" w:rsidRPr="0029684D">
        <w:rPr>
          <w:sz w:val="22"/>
          <w:szCs w:val="22"/>
          <w:lang w:val="sk-SK"/>
        </w:rPr>
        <w:t>.</w:t>
      </w:r>
    </w:p>
    <w:p w14:paraId="48FB9842" w14:textId="77777777" w:rsidR="007A1B4A" w:rsidRPr="0029684D" w:rsidRDefault="007A1B4A" w:rsidP="008E420F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70D033A" w14:textId="77777777" w:rsidR="007A1B4A" w:rsidRPr="0029684D" w:rsidRDefault="00E8736E" w:rsidP="00D22436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Starší pacienti</w:t>
      </w:r>
    </w:p>
    <w:p w14:paraId="4941AD73" w14:textId="27D245CB" w:rsidR="007A1B4A" w:rsidRPr="0029684D" w:rsidRDefault="00E8736E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U starších pacient</w:t>
      </w:r>
      <w:r w:rsidR="002E0F0B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je dávkov</w:t>
      </w:r>
      <w:r w:rsidR="002E0F0B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2E0F0B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2E0F0B" w:rsidRPr="0029684D">
        <w:rPr>
          <w:sz w:val="22"/>
          <w:szCs w:val="22"/>
          <w:lang w:val="sk-SK"/>
        </w:rPr>
        <w:t>rovnaké ako</w:t>
      </w:r>
      <w:r w:rsidRPr="0029684D">
        <w:rPr>
          <w:sz w:val="22"/>
          <w:szCs w:val="22"/>
          <w:lang w:val="sk-SK"/>
        </w:rPr>
        <w:t xml:space="preserve"> u dosp</w:t>
      </w:r>
      <w:r w:rsidR="002E0F0B" w:rsidRPr="0029684D">
        <w:rPr>
          <w:sz w:val="22"/>
          <w:szCs w:val="22"/>
          <w:lang w:val="sk-SK"/>
        </w:rPr>
        <w:t>e</w:t>
      </w:r>
      <w:r w:rsidR="004A4FDD">
        <w:rPr>
          <w:sz w:val="22"/>
          <w:szCs w:val="22"/>
          <w:lang w:val="sk-SK"/>
        </w:rPr>
        <w:t>lých,</w:t>
      </w:r>
      <w:r w:rsidRPr="0029684D">
        <w:rPr>
          <w:sz w:val="22"/>
          <w:szCs w:val="22"/>
          <w:lang w:val="sk-SK"/>
        </w:rPr>
        <w:t xml:space="preserve"> je</w:t>
      </w:r>
      <w:r w:rsidR="005779DD" w:rsidRPr="0029684D">
        <w:rPr>
          <w:sz w:val="22"/>
          <w:szCs w:val="22"/>
          <w:lang w:val="sk-SK"/>
        </w:rPr>
        <w:t xml:space="preserve"> však </w:t>
      </w:r>
      <w:r w:rsidR="002E0F0B" w:rsidRPr="0029684D">
        <w:rPr>
          <w:sz w:val="22"/>
          <w:szCs w:val="22"/>
          <w:lang w:val="sk-SK"/>
        </w:rPr>
        <w:t>potrebná zvýšená</w:t>
      </w:r>
      <w:r w:rsidRPr="0029684D">
        <w:rPr>
          <w:sz w:val="22"/>
          <w:szCs w:val="22"/>
          <w:lang w:val="sk-SK"/>
        </w:rPr>
        <w:t xml:space="preserve"> opatrnos</w:t>
      </w:r>
      <w:r w:rsidR="002E0F0B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(</w:t>
      </w:r>
      <w:r w:rsidR="002E0F0B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4.4).</w:t>
      </w:r>
    </w:p>
    <w:p w14:paraId="77A7E579" w14:textId="77777777" w:rsidR="007A1B4A" w:rsidRPr="0029684D" w:rsidRDefault="007A1B4A" w:rsidP="00704696">
      <w:pPr>
        <w:spacing w:after="0"/>
        <w:jc w:val="left"/>
        <w:rPr>
          <w:sz w:val="22"/>
          <w:szCs w:val="22"/>
          <w:lang w:val="sk-SK"/>
        </w:rPr>
      </w:pPr>
    </w:p>
    <w:p w14:paraId="7F1B44D8" w14:textId="77777777" w:rsidR="007A1B4A" w:rsidRPr="0029684D" w:rsidRDefault="00E8736E" w:rsidP="008A7BF7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Pacienti s po</w:t>
      </w:r>
      <w:r w:rsidR="002E0F0B" w:rsidRPr="0029684D">
        <w:rPr>
          <w:sz w:val="22"/>
          <w:szCs w:val="22"/>
          <w:u w:val="single"/>
          <w:lang w:val="sk-SK"/>
        </w:rPr>
        <w:t>ruchou</w:t>
      </w:r>
      <w:r w:rsidRPr="0029684D">
        <w:rPr>
          <w:sz w:val="22"/>
          <w:szCs w:val="22"/>
          <w:u w:val="single"/>
          <w:lang w:val="sk-SK"/>
        </w:rPr>
        <w:t xml:space="preserve"> funkc</w:t>
      </w:r>
      <w:r w:rsidR="002E0F0B" w:rsidRPr="0029684D">
        <w:rPr>
          <w:sz w:val="22"/>
          <w:szCs w:val="22"/>
          <w:u w:val="single"/>
          <w:lang w:val="sk-SK"/>
        </w:rPr>
        <w:t>ie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2E0F0B" w:rsidRPr="0029684D">
        <w:rPr>
          <w:sz w:val="22"/>
          <w:szCs w:val="22"/>
          <w:u w:val="single"/>
          <w:lang w:val="sk-SK"/>
        </w:rPr>
        <w:t>pečene alebo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2E0F0B" w:rsidRPr="0029684D">
        <w:rPr>
          <w:sz w:val="22"/>
          <w:szCs w:val="22"/>
          <w:u w:val="single"/>
          <w:lang w:val="sk-SK"/>
        </w:rPr>
        <w:t>obličiek</w:t>
      </w:r>
    </w:p>
    <w:p w14:paraId="542D1644" w14:textId="32318938" w:rsidR="007A1B4A" w:rsidRPr="0029684D" w:rsidRDefault="002E0F0B" w:rsidP="006436F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Nevyžaduje sa zníženie dávky u pacientov s miern</w:t>
      </w:r>
      <w:r w:rsidR="00B04381">
        <w:rPr>
          <w:sz w:val="22"/>
          <w:szCs w:val="22"/>
          <w:lang w:val="sk-SK"/>
        </w:rPr>
        <w:t>ou</w:t>
      </w:r>
      <w:r w:rsidRPr="0029684D">
        <w:rPr>
          <w:sz w:val="22"/>
          <w:szCs w:val="22"/>
          <w:lang w:val="sk-SK"/>
        </w:rPr>
        <w:t xml:space="preserve"> až stredne </w:t>
      </w:r>
      <w:r w:rsidR="00B04381">
        <w:rPr>
          <w:sz w:val="22"/>
          <w:szCs w:val="22"/>
          <w:lang w:val="sk-SK"/>
        </w:rPr>
        <w:t>závažnou</w:t>
      </w:r>
      <w:r w:rsidRPr="0029684D">
        <w:rPr>
          <w:sz w:val="22"/>
          <w:szCs w:val="22"/>
          <w:lang w:val="sk-SK"/>
        </w:rPr>
        <w:t xml:space="preserve"> </w:t>
      </w:r>
      <w:r w:rsidR="00B04381">
        <w:rPr>
          <w:sz w:val="22"/>
          <w:szCs w:val="22"/>
          <w:lang w:val="sk-SK"/>
        </w:rPr>
        <w:t>poruchou</w:t>
      </w:r>
      <w:r w:rsidRPr="0029684D">
        <w:rPr>
          <w:sz w:val="22"/>
          <w:szCs w:val="22"/>
          <w:lang w:val="sk-SK"/>
        </w:rPr>
        <w:t xml:space="preserve"> funkcie obličiek alebo pečene, je však potrebná zvýšená opatrnosť </w:t>
      </w:r>
      <w:r w:rsidR="00E8736E" w:rsidRPr="0029684D">
        <w:rPr>
          <w:sz w:val="22"/>
          <w:szCs w:val="22"/>
          <w:lang w:val="sk-SK"/>
        </w:rPr>
        <w:t>(</w:t>
      </w:r>
      <w:r w:rsidRPr="0029684D">
        <w:rPr>
          <w:sz w:val="22"/>
          <w:szCs w:val="22"/>
          <w:lang w:val="sk-SK"/>
        </w:rPr>
        <w:t>pozri časť 4.4</w:t>
      </w:r>
      <w:r w:rsidR="00E8736E" w:rsidRPr="0029684D">
        <w:rPr>
          <w:sz w:val="22"/>
          <w:szCs w:val="22"/>
          <w:lang w:val="sk-SK"/>
        </w:rPr>
        <w:t>).</w:t>
      </w:r>
    </w:p>
    <w:p w14:paraId="60BC1C06" w14:textId="77777777" w:rsidR="007A1B4A" w:rsidRPr="0029684D" w:rsidRDefault="007A1B4A" w:rsidP="00D14BB2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B8BEC8B" w14:textId="6D17DCEF" w:rsidR="008A58FB" w:rsidRPr="0029684D" w:rsidDel="00D1685A" w:rsidRDefault="005779DD" w:rsidP="002F2FC3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A721A" w:rsidDel="00D1685A">
        <w:rPr>
          <w:sz w:val="22"/>
          <w:szCs w:val="22"/>
        </w:rPr>
        <w:t xml:space="preserve">Nežiaduce účinky </w:t>
      </w:r>
      <w:proofErr w:type="gramStart"/>
      <w:r w:rsidRPr="003A721A" w:rsidDel="00D1685A">
        <w:rPr>
          <w:sz w:val="22"/>
          <w:szCs w:val="22"/>
        </w:rPr>
        <w:t>sa</w:t>
      </w:r>
      <w:proofErr w:type="gramEnd"/>
      <w:r w:rsidRPr="003A721A" w:rsidDel="00D1685A">
        <w:rPr>
          <w:sz w:val="22"/>
          <w:szCs w:val="22"/>
        </w:rPr>
        <w:t xml:space="preserve"> môžu minimalizovať užitím najnižšej účinnej dávky</w:t>
      </w:r>
      <w:r w:rsidR="00B04381">
        <w:rPr>
          <w:sz w:val="22"/>
          <w:szCs w:val="22"/>
        </w:rPr>
        <w:t xml:space="preserve"> počas</w:t>
      </w:r>
      <w:r w:rsidRPr="003A721A" w:rsidDel="00D1685A">
        <w:rPr>
          <w:sz w:val="22"/>
          <w:szCs w:val="22"/>
        </w:rPr>
        <w:t xml:space="preserve"> čo najkratš</w:t>
      </w:r>
      <w:r w:rsidR="00B04381">
        <w:rPr>
          <w:sz w:val="22"/>
          <w:szCs w:val="22"/>
        </w:rPr>
        <w:t>ej</w:t>
      </w:r>
      <w:r w:rsidRPr="003A721A" w:rsidDel="00D1685A">
        <w:rPr>
          <w:sz w:val="22"/>
          <w:szCs w:val="22"/>
        </w:rPr>
        <w:t xml:space="preserve"> dob</w:t>
      </w:r>
      <w:r w:rsidR="00B04381">
        <w:rPr>
          <w:sz w:val="22"/>
          <w:szCs w:val="22"/>
        </w:rPr>
        <w:t>y</w:t>
      </w:r>
      <w:r w:rsidRPr="003A721A" w:rsidDel="00D1685A">
        <w:rPr>
          <w:sz w:val="22"/>
          <w:szCs w:val="22"/>
        </w:rPr>
        <w:t>, ktorá je potrebná na kontrolu príznakov (pozri časť 4.4).</w:t>
      </w:r>
    </w:p>
    <w:p w14:paraId="0898730A" w14:textId="77777777" w:rsidR="008A58FB" w:rsidRPr="0029684D" w:rsidRDefault="008A58FB" w:rsidP="00230813">
      <w:pPr>
        <w:spacing w:after="0"/>
        <w:jc w:val="left"/>
        <w:rPr>
          <w:sz w:val="22"/>
          <w:szCs w:val="22"/>
          <w:lang w:val="sk-SK"/>
        </w:rPr>
      </w:pPr>
    </w:p>
    <w:p w14:paraId="5B81F11E" w14:textId="77777777" w:rsidR="007A1B4A" w:rsidRPr="0029684D" w:rsidRDefault="00AA7FAA" w:rsidP="00300F58">
      <w:pPr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29684D">
        <w:rPr>
          <w:bCs/>
          <w:sz w:val="22"/>
          <w:szCs w:val="22"/>
          <w:u w:val="single"/>
          <w:lang w:val="sk-SK"/>
        </w:rPr>
        <w:t>Spôsob</w:t>
      </w:r>
      <w:r w:rsidR="00E8736E" w:rsidRPr="0029684D">
        <w:rPr>
          <w:bCs/>
          <w:sz w:val="22"/>
          <w:szCs w:val="22"/>
          <w:u w:val="single"/>
          <w:lang w:val="sk-SK"/>
        </w:rPr>
        <w:t xml:space="preserve"> pod</w:t>
      </w:r>
      <w:r w:rsidRPr="0029684D">
        <w:rPr>
          <w:bCs/>
          <w:sz w:val="22"/>
          <w:szCs w:val="22"/>
          <w:u w:val="single"/>
          <w:lang w:val="sk-SK"/>
        </w:rPr>
        <w:t>ávania</w:t>
      </w:r>
    </w:p>
    <w:p w14:paraId="1A6AF5FB" w14:textId="75F3CF0C" w:rsidR="00156D5E" w:rsidRPr="0029684D" w:rsidRDefault="002E0F0B" w:rsidP="00300F58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Pred otvorením vrecko niekoľkokrát postláčajte</w:t>
      </w:r>
      <w:r w:rsidR="00B04381">
        <w:rPr>
          <w:sz w:val="22"/>
          <w:szCs w:val="22"/>
          <w:lang w:val="sk-SK"/>
        </w:rPr>
        <w:t>.</w:t>
      </w:r>
    </w:p>
    <w:p w14:paraId="146B65D1" w14:textId="255B05B5" w:rsidR="00F15F3D" w:rsidRPr="0029684D" w:rsidRDefault="002E0F0B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Vrecko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možno</w:t>
      </w:r>
      <w:r w:rsidR="00E8736E" w:rsidRPr="0029684D">
        <w:rPr>
          <w:sz w:val="22"/>
          <w:szCs w:val="22"/>
          <w:lang w:val="sk-SK"/>
        </w:rPr>
        <w:t xml:space="preserve"> užíva</w:t>
      </w:r>
      <w:r w:rsidRPr="0029684D">
        <w:rPr>
          <w:sz w:val="22"/>
          <w:szCs w:val="22"/>
          <w:lang w:val="sk-SK"/>
        </w:rPr>
        <w:t>ť</w:t>
      </w:r>
      <w:r w:rsidR="00E8736E" w:rsidRPr="0029684D">
        <w:rPr>
          <w:sz w:val="22"/>
          <w:szCs w:val="22"/>
          <w:lang w:val="sk-SK"/>
        </w:rPr>
        <w:t xml:space="preserve"> s j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dl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>m i</w:t>
      </w:r>
      <w:r w:rsidRPr="0029684D">
        <w:rPr>
          <w:sz w:val="22"/>
          <w:szCs w:val="22"/>
          <w:lang w:val="sk-SK"/>
        </w:rPr>
        <w:t> </w:t>
      </w:r>
      <w:r w:rsidR="00E8736E" w:rsidRPr="0029684D">
        <w:rPr>
          <w:sz w:val="22"/>
          <w:szCs w:val="22"/>
          <w:lang w:val="sk-SK"/>
        </w:rPr>
        <w:t>bez</w:t>
      </w:r>
      <w:r w:rsidRPr="0029684D">
        <w:rPr>
          <w:sz w:val="22"/>
          <w:szCs w:val="22"/>
          <w:lang w:val="sk-SK"/>
        </w:rPr>
        <w:t xml:space="preserve"> jedla</w:t>
      </w:r>
      <w:r w:rsidR="00E8736E" w:rsidRPr="0029684D">
        <w:rPr>
          <w:sz w:val="22"/>
          <w:szCs w:val="22"/>
          <w:lang w:val="sk-SK"/>
        </w:rPr>
        <w:t>.</w:t>
      </w:r>
      <w:r w:rsidR="007A1B4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Ak sa užíva s jedlom alebo krátko po jedle, nástup účinku môže byť oneskorený.</w:t>
      </w:r>
      <w:r w:rsidR="007A1B4A" w:rsidRPr="0029684D">
        <w:rPr>
          <w:sz w:val="22"/>
          <w:szCs w:val="22"/>
          <w:lang w:val="sk-SK"/>
        </w:rPr>
        <w:t xml:space="preserve"> </w:t>
      </w:r>
      <w:r w:rsidR="005779DD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>žívanie</w:t>
      </w:r>
      <w:r w:rsidR="00E8736E" w:rsidRPr="0029684D">
        <w:rPr>
          <w:sz w:val="22"/>
          <w:szCs w:val="22"/>
          <w:lang w:val="sk-SK"/>
        </w:rPr>
        <w:t xml:space="preserve"> s j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dl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 xml:space="preserve">m </w:t>
      </w:r>
      <w:r w:rsidR="00B04381">
        <w:rPr>
          <w:sz w:val="22"/>
          <w:szCs w:val="22"/>
          <w:lang w:val="sk-SK"/>
        </w:rPr>
        <w:t xml:space="preserve">však </w:t>
      </w:r>
      <w:r w:rsidR="00E8736E" w:rsidRPr="0029684D">
        <w:rPr>
          <w:sz w:val="22"/>
          <w:szCs w:val="22"/>
          <w:lang w:val="sk-SK"/>
        </w:rPr>
        <w:t xml:space="preserve">zlepšuje </w:t>
      </w:r>
      <w:r w:rsidRPr="0029684D">
        <w:rPr>
          <w:sz w:val="22"/>
          <w:szCs w:val="22"/>
          <w:lang w:val="sk-SK"/>
        </w:rPr>
        <w:t>znášanlivosť lieku</w:t>
      </w:r>
      <w:r w:rsidR="00E8736E" w:rsidRPr="0029684D">
        <w:rPr>
          <w:sz w:val="22"/>
          <w:szCs w:val="22"/>
          <w:lang w:val="sk-SK"/>
        </w:rPr>
        <w:t xml:space="preserve"> a </w:t>
      </w:r>
      <w:r w:rsidRPr="0029684D">
        <w:rPr>
          <w:sz w:val="22"/>
          <w:szCs w:val="22"/>
          <w:lang w:val="sk-SK"/>
        </w:rPr>
        <w:t>z</w:t>
      </w:r>
      <w:r w:rsidR="00E8736E" w:rsidRPr="0029684D">
        <w:rPr>
          <w:sz w:val="22"/>
          <w:szCs w:val="22"/>
          <w:lang w:val="sk-SK"/>
        </w:rPr>
        <w:t>nižuje pravd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podobnos</w:t>
      </w:r>
      <w:r w:rsidRPr="0029684D">
        <w:rPr>
          <w:sz w:val="22"/>
          <w:szCs w:val="22"/>
          <w:lang w:val="sk-SK"/>
        </w:rPr>
        <w:t>ť</w:t>
      </w:r>
      <w:r w:rsidR="00E8736E" w:rsidRPr="0029684D">
        <w:rPr>
          <w:sz w:val="22"/>
          <w:szCs w:val="22"/>
          <w:lang w:val="sk-SK"/>
        </w:rPr>
        <w:t xml:space="preserve"> gastrointestináln</w:t>
      </w:r>
      <w:r w:rsidRPr="0029684D">
        <w:rPr>
          <w:sz w:val="22"/>
          <w:szCs w:val="22"/>
          <w:lang w:val="sk-SK"/>
        </w:rPr>
        <w:t>y</w:t>
      </w:r>
      <w:r w:rsidR="00E8736E" w:rsidRPr="0029684D">
        <w:rPr>
          <w:sz w:val="22"/>
          <w:szCs w:val="22"/>
          <w:lang w:val="sk-SK"/>
        </w:rPr>
        <w:t>ch problém</w:t>
      </w:r>
      <w:r w:rsidRPr="0029684D">
        <w:rPr>
          <w:sz w:val="22"/>
          <w:szCs w:val="22"/>
          <w:lang w:val="sk-SK"/>
        </w:rPr>
        <w:t>ov</w:t>
      </w:r>
      <w:r w:rsidR="00E8736E" w:rsidRPr="0029684D">
        <w:rPr>
          <w:sz w:val="22"/>
          <w:szCs w:val="22"/>
          <w:lang w:val="sk-SK"/>
        </w:rPr>
        <w:t>.</w:t>
      </w:r>
      <w:r w:rsidR="00987E9D" w:rsidRPr="0029684D">
        <w:rPr>
          <w:sz w:val="22"/>
          <w:szCs w:val="22"/>
          <w:lang w:val="sk-SK"/>
        </w:rPr>
        <w:t xml:space="preserve"> </w:t>
      </w:r>
      <w:r w:rsidR="008A58FB" w:rsidRPr="0029684D">
        <w:rPr>
          <w:sz w:val="22"/>
          <w:szCs w:val="22"/>
          <w:lang w:val="sk-SK"/>
        </w:rPr>
        <w:t xml:space="preserve">Ibalgin Junior 200 mg </w:t>
      </w:r>
      <w:r w:rsidR="005153FA" w:rsidRPr="0029684D">
        <w:rPr>
          <w:sz w:val="22"/>
          <w:szCs w:val="22"/>
          <w:lang w:val="sk-SK"/>
        </w:rPr>
        <w:t xml:space="preserve">sa </w:t>
      </w:r>
      <w:r w:rsidRPr="0029684D">
        <w:rPr>
          <w:sz w:val="22"/>
          <w:szCs w:val="22"/>
          <w:lang w:val="sk-SK"/>
        </w:rPr>
        <w:t>môže podáva</w:t>
      </w:r>
      <w:r w:rsidR="005153FA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priamo</w:t>
      </w:r>
      <w:r w:rsidR="00E8736E" w:rsidRPr="0029684D">
        <w:rPr>
          <w:sz w:val="22"/>
          <w:szCs w:val="22"/>
          <w:lang w:val="sk-SK"/>
        </w:rPr>
        <w:t xml:space="preserve"> bez vody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</w:t>
      </w:r>
      <w:r w:rsidRPr="0029684D">
        <w:rPr>
          <w:sz w:val="22"/>
          <w:szCs w:val="22"/>
          <w:lang w:val="sk-SK"/>
        </w:rPr>
        <w:t xml:space="preserve"> zriedený</w:t>
      </w:r>
      <w:r w:rsidR="00E8736E" w:rsidRPr="0029684D">
        <w:rPr>
          <w:sz w:val="22"/>
          <w:szCs w:val="22"/>
          <w:lang w:val="sk-SK"/>
        </w:rPr>
        <w:t xml:space="preserve"> </w:t>
      </w:r>
      <w:r w:rsidR="00B04381">
        <w:rPr>
          <w:sz w:val="22"/>
          <w:szCs w:val="22"/>
          <w:lang w:val="sk-SK"/>
        </w:rPr>
        <w:t xml:space="preserve">s </w:t>
      </w:r>
      <w:r w:rsidR="00E8736E" w:rsidRPr="0029684D">
        <w:rPr>
          <w:sz w:val="22"/>
          <w:szCs w:val="22"/>
          <w:lang w:val="sk-SK"/>
        </w:rPr>
        <w:t>vodou.</w:t>
      </w:r>
      <w:r w:rsidR="00F15F3D" w:rsidRPr="0029684D">
        <w:rPr>
          <w:sz w:val="22"/>
          <w:szCs w:val="22"/>
          <w:lang w:val="sk-SK"/>
        </w:rPr>
        <w:t xml:space="preserve"> </w:t>
      </w:r>
    </w:p>
    <w:p w14:paraId="772DCF46" w14:textId="77777777" w:rsidR="007A1B4A" w:rsidRPr="0029684D" w:rsidRDefault="007A1B4A" w:rsidP="00542FCE">
      <w:pPr>
        <w:spacing w:after="0"/>
        <w:jc w:val="left"/>
        <w:rPr>
          <w:sz w:val="22"/>
          <w:szCs w:val="22"/>
          <w:lang w:val="sk-SK"/>
        </w:rPr>
      </w:pPr>
    </w:p>
    <w:p w14:paraId="3375B428" w14:textId="77777777" w:rsidR="00467218" w:rsidRPr="0029684D" w:rsidRDefault="00467218" w:rsidP="008E420F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4.3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Kontraindik</w:t>
      </w:r>
      <w:r w:rsidR="00AA7FAA" w:rsidRPr="0029684D">
        <w:rPr>
          <w:b/>
          <w:sz w:val="22"/>
          <w:szCs w:val="22"/>
          <w:lang w:val="sk-SK"/>
        </w:rPr>
        <w:t>ácie</w:t>
      </w:r>
    </w:p>
    <w:p w14:paraId="458D2298" w14:textId="77777777" w:rsidR="00592A9D" w:rsidRPr="0029684D" w:rsidRDefault="00592A9D" w:rsidP="00D22436">
      <w:pPr>
        <w:spacing w:after="0"/>
        <w:jc w:val="left"/>
        <w:rPr>
          <w:sz w:val="22"/>
          <w:szCs w:val="22"/>
          <w:lang w:val="sk-SK"/>
        </w:rPr>
      </w:pPr>
    </w:p>
    <w:p w14:paraId="527506AC" w14:textId="0904D3EF" w:rsidR="00E8736E" w:rsidRPr="0029684D" w:rsidRDefault="00AA7FAA" w:rsidP="00105CDD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Precitlivenosť na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liečivo</w:t>
      </w:r>
      <w:r w:rsidR="00E8736E" w:rsidRPr="0029684D">
        <w:rPr>
          <w:sz w:val="22"/>
          <w:szCs w:val="22"/>
          <w:lang w:val="sk-SK"/>
        </w:rPr>
        <w:t xml:space="preserve"> </w:t>
      </w:r>
      <w:r w:rsidR="00C46732" w:rsidRPr="0029684D">
        <w:rPr>
          <w:sz w:val="22"/>
          <w:szCs w:val="22"/>
          <w:lang w:val="sk-SK"/>
        </w:rPr>
        <w:t>alebo</w:t>
      </w:r>
      <w:r w:rsidR="00E8736E" w:rsidRPr="0029684D">
        <w:rPr>
          <w:sz w:val="22"/>
          <w:szCs w:val="22"/>
          <w:lang w:val="sk-SK"/>
        </w:rPr>
        <w:t xml:space="preserve"> in</w:t>
      </w:r>
      <w:r w:rsidR="00C46732" w:rsidRPr="0029684D">
        <w:rPr>
          <w:sz w:val="22"/>
          <w:szCs w:val="22"/>
          <w:lang w:val="sk-SK"/>
        </w:rPr>
        <w:t>é</w:t>
      </w:r>
      <w:r w:rsidR="00E8736E" w:rsidRPr="0029684D">
        <w:rPr>
          <w:sz w:val="22"/>
          <w:szCs w:val="22"/>
          <w:lang w:val="sk-SK"/>
        </w:rPr>
        <w:t xml:space="preserve"> nesteroidn</w:t>
      </w:r>
      <w:r w:rsidR="00C46732" w:rsidRPr="0029684D">
        <w:rPr>
          <w:sz w:val="22"/>
          <w:szCs w:val="22"/>
          <w:lang w:val="sk-SK"/>
        </w:rPr>
        <w:t>é</w:t>
      </w:r>
      <w:r w:rsidR="00E8736E" w:rsidRPr="0029684D">
        <w:rPr>
          <w:sz w:val="22"/>
          <w:szCs w:val="22"/>
          <w:lang w:val="sk-SK"/>
        </w:rPr>
        <w:t xml:space="preserve"> </w:t>
      </w:r>
      <w:r w:rsidR="004A26BB">
        <w:rPr>
          <w:sz w:val="22"/>
          <w:szCs w:val="22"/>
          <w:lang w:val="sk-SK"/>
        </w:rPr>
        <w:t>protizápalové lieky</w:t>
      </w:r>
      <w:r w:rsidR="004A26BB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(NSA</w:t>
      </w:r>
      <w:r w:rsidR="00C46732" w:rsidRPr="0029684D">
        <w:rPr>
          <w:sz w:val="22"/>
          <w:szCs w:val="22"/>
          <w:lang w:val="sk-SK"/>
        </w:rPr>
        <w:t>ID</w:t>
      </w:r>
      <w:r w:rsidR="00E8736E" w:rsidRPr="0029684D">
        <w:rPr>
          <w:sz w:val="22"/>
          <w:szCs w:val="22"/>
          <w:lang w:val="sk-SK"/>
        </w:rPr>
        <w:t xml:space="preserve">)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 xml:space="preserve">ebo na </w:t>
      </w:r>
      <w:r w:rsidRPr="0029684D">
        <w:rPr>
          <w:sz w:val="22"/>
          <w:szCs w:val="22"/>
          <w:lang w:val="sk-SK"/>
        </w:rPr>
        <w:t>ktorúkoľvek z pomocných látok uvedených v časti</w:t>
      </w:r>
      <w:r w:rsidR="00E8736E" w:rsidRPr="0029684D">
        <w:rPr>
          <w:sz w:val="22"/>
          <w:szCs w:val="22"/>
          <w:lang w:val="sk-SK"/>
        </w:rPr>
        <w:t xml:space="preserve"> 6.1.</w:t>
      </w:r>
    </w:p>
    <w:p w14:paraId="6E8DCC13" w14:textId="418A9304" w:rsidR="00E8736E" w:rsidRPr="0029684D" w:rsidRDefault="00E8736E" w:rsidP="00704696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</w:t>
      </w:r>
      <w:r w:rsidR="008D2669" w:rsidRPr="0029684D">
        <w:rPr>
          <w:sz w:val="22"/>
          <w:szCs w:val="22"/>
          <w:lang w:val="sk-SK"/>
        </w:rPr>
        <w:t>acienti s hypersenzit</w:t>
      </w:r>
      <w:r w:rsidR="00453641" w:rsidRPr="0029684D">
        <w:rPr>
          <w:sz w:val="22"/>
          <w:szCs w:val="22"/>
          <w:lang w:val="sk-SK"/>
        </w:rPr>
        <w:t>í</w:t>
      </w:r>
      <w:r w:rsidR="008D2669"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ou</w:t>
      </w:r>
      <w:r w:rsidR="008D2669" w:rsidRPr="0029684D">
        <w:rPr>
          <w:sz w:val="22"/>
          <w:szCs w:val="22"/>
          <w:lang w:val="sk-SK"/>
        </w:rPr>
        <w:t xml:space="preserve"> reakc</w:t>
      </w:r>
      <w:r w:rsidR="00453641" w:rsidRPr="0029684D">
        <w:rPr>
          <w:sz w:val="22"/>
          <w:szCs w:val="22"/>
          <w:lang w:val="sk-SK"/>
        </w:rPr>
        <w:t>iou</w:t>
      </w:r>
      <w:r w:rsidRPr="0029684D">
        <w:rPr>
          <w:sz w:val="22"/>
          <w:szCs w:val="22"/>
          <w:lang w:val="sk-SK"/>
        </w:rPr>
        <w:t xml:space="preserve"> v anamnéze (nap</w:t>
      </w:r>
      <w:r w:rsidR="00453641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. bronchospa</w:t>
      </w:r>
      <w:r w:rsidR="00453641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mus, astma, r</w:t>
      </w:r>
      <w:r w:rsidR="00453641" w:rsidRPr="0029684D">
        <w:rPr>
          <w:sz w:val="22"/>
          <w:szCs w:val="22"/>
          <w:lang w:val="sk-SK"/>
        </w:rPr>
        <w:t>initída,</w:t>
      </w:r>
      <w:r w:rsidRPr="0029684D">
        <w:rPr>
          <w:sz w:val="22"/>
          <w:szCs w:val="22"/>
          <w:lang w:val="sk-SK"/>
        </w:rPr>
        <w:t xml:space="preserve"> angioedém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 xml:space="preserve">ebo </w:t>
      </w:r>
      <w:r w:rsidR="00453641" w:rsidRPr="0029684D">
        <w:rPr>
          <w:sz w:val="22"/>
          <w:szCs w:val="22"/>
          <w:lang w:val="sk-SK"/>
        </w:rPr>
        <w:t>žihľa</w:t>
      </w:r>
      <w:r w:rsidRPr="0029684D">
        <w:rPr>
          <w:sz w:val="22"/>
          <w:szCs w:val="22"/>
          <w:lang w:val="sk-SK"/>
        </w:rPr>
        <w:t>vka)</w:t>
      </w:r>
      <w:r w:rsidR="00453641" w:rsidRPr="0029684D">
        <w:rPr>
          <w:sz w:val="22"/>
          <w:szCs w:val="22"/>
          <w:lang w:val="sk-SK"/>
        </w:rPr>
        <w:t>, ak táto reakcia s</w:t>
      </w:r>
      <w:r w:rsidR="00A25CB4" w:rsidRPr="0029684D">
        <w:rPr>
          <w:sz w:val="22"/>
          <w:szCs w:val="22"/>
          <w:lang w:val="sk-SK"/>
        </w:rPr>
        <w:t>úvisela s</w:t>
      </w:r>
      <w:r w:rsidR="004A26BB">
        <w:rPr>
          <w:sz w:val="22"/>
          <w:szCs w:val="22"/>
          <w:lang w:val="sk-SK"/>
        </w:rPr>
        <w:t> </w:t>
      </w:r>
      <w:r w:rsidR="00A25CB4" w:rsidRPr="0029684D">
        <w:rPr>
          <w:sz w:val="22"/>
          <w:szCs w:val="22"/>
          <w:lang w:val="sk-SK"/>
        </w:rPr>
        <w:t>užitím</w:t>
      </w:r>
      <w:r w:rsidR="004A26BB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kyseliny acetylsalicylov</w:t>
      </w:r>
      <w:r w:rsidR="00453641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in</w:t>
      </w:r>
      <w:r w:rsidR="00453641" w:rsidRPr="0029684D">
        <w:rPr>
          <w:sz w:val="22"/>
          <w:szCs w:val="22"/>
          <w:lang w:val="sk-SK"/>
        </w:rPr>
        <w:t>ých</w:t>
      </w:r>
      <w:r w:rsidRPr="0029684D">
        <w:rPr>
          <w:sz w:val="22"/>
          <w:szCs w:val="22"/>
          <w:lang w:val="sk-SK"/>
        </w:rPr>
        <w:t xml:space="preserve"> nesteroidn</w:t>
      </w:r>
      <w:r w:rsidR="00453641" w:rsidRPr="0029684D">
        <w:rPr>
          <w:sz w:val="22"/>
          <w:szCs w:val="22"/>
          <w:lang w:val="sk-SK"/>
        </w:rPr>
        <w:t>ý</w:t>
      </w:r>
      <w:r w:rsidRPr="0029684D">
        <w:rPr>
          <w:sz w:val="22"/>
          <w:szCs w:val="22"/>
          <w:lang w:val="sk-SK"/>
        </w:rPr>
        <w:t xml:space="preserve">ch </w:t>
      </w:r>
      <w:r w:rsidR="00453641" w:rsidRPr="0029684D">
        <w:rPr>
          <w:sz w:val="22"/>
          <w:szCs w:val="22"/>
          <w:lang w:val="sk-SK"/>
        </w:rPr>
        <w:t>protizápalových liekov.</w:t>
      </w:r>
    </w:p>
    <w:p w14:paraId="50DADBB4" w14:textId="77777777" w:rsidR="00E8736E" w:rsidRPr="0029684D" w:rsidRDefault="00E8736E" w:rsidP="008A7BF7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Pacienti s</w:t>
      </w:r>
      <w:r w:rsidR="00453641" w:rsidRPr="0029684D">
        <w:rPr>
          <w:sz w:val="22"/>
          <w:szCs w:val="22"/>
          <w:lang w:val="sk-SK"/>
        </w:rPr>
        <w:t> anamnézou gastrointestinál</w:t>
      </w:r>
      <w:r w:rsidR="008A58FB" w:rsidRPr="0029684D">
        <w:rPr>
          <w:sz w:val="22"/>
          <w:szCs w:val="22"/>
          <w:lang w:val="sk-SK"/>
        </w:rPr>
        <w:t xml:space="preserve">neho krvácania alebo perforácie v súvislosti s </w:t>
      </w:r>
      <w:r w:rsidRPr="0029684D">
        <w:rPr>
          <w:sz w:val="22"/>
          <w:szCs w:val="22"/>
          <w:lang w:val="sk-SK"/>
        </w:rPr>
        <w:t>p</w:t>
      </w:r>
      <w:r w:rsidR="00453641" w:rsidRPr="0029684D">
        <w:rPr>
          <w:sz w:val="22"/>
          <w:szCs w:val="22"/>
          <w:lang w:val="sk-SK"/>
        </w:rPr>
        <w:t>re</w:t>
      </w:r>
      <w:r w:rsidR="008A58FB" w:rsidRPr="0029684D">
        <w:rPr>
          <w:sz w:val="22"/>
          <w:szCs w:val="22"/>
          <w:lang w:val="sk-SK"/>
        </w:rPr>
        <w:t>d</w:t>
      </w:r>
      <w:r w:rsidR="00453641" w:rsidRPr="0029684D">
        <w:rPr>
          <w:sz w:val="22"/>
          <w:szCs w:val="22"/>
          <w:lang w:val="sk-SK"/>
        </w:rPr>
        <w:t>chádzajúcou liečbou</w:t>
      </w:r>
      <w:r w:rsidRPr="0029684D">
        <w:rPr>
          <w:sz w:val="22"/>
          <w:szCs w:val="22"/>
          <w:lang w:val="sk-SK"/>
        </w:rPr>
        <w:t xml:space="preserve"> NSA</w:t>
      </w:r>
      <w:r w:rsidR="00453641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>.</w:t>
      </w:r>
    </w:p>
    <w:p w14:paraId="772B6A52" w14:textId="3F41E2A4" w:rsidR="00E8736E" w:rsidRPr="0029684D" w:rsidRDefault="00E8736E" w:rsidP="006436FD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Pacienti s akt</w:t>
      </w:r>
      <w:r w:rsidR="00453641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y</w:t>
      </w:r>
      <w:r w:rsidRPr="0029684D">
        <w:rPr>
          <w:sz w:val="22"/>
          <w:szCs w:val="22"/>
          <w:lang w:val="sk-SK"/>
        </w:rPr>
        <w:t xml:space="preserve">m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 xml:space="preserve">ebo </w:t>
      </w:r>
      <w:r w:rsidR="00A25CB4" w:rsidRPr="0029684D">
        <w:rPr>
          <w:sz w:val="22"/>
          <w:szCs w:val="22"/>
          <w:lang w:val="sk-SK"/>
        </w:rPr>
        <w:t xml:space="preserve">s anamnézou rekurentného </w:t>
      </w:r>
      <w:r w:rsidRPr="0029684D">
        <w:rPr>
          <w:sz w:val="22"/>
          <w:szCs w:val="22"/>
          <w:lang w:val="sk-SK"/>
        </w:rPr>
        <w:t>peptick</w:t>
      </w:r>
      <w:r w:rsidR="00A25CB4" w:rsidRPr="0029684D">
        <w:rPr>
          <w:sz w:val="22"/>
          <w:szCs w:val="22"/>
          <w:lang w:val="sk-SK"/>
        </w:rPr>
        <w:t>ého vredu</w:t>
      </w:r>
      <w:r w:rsidRPr="0029684D">
        <w:rPr>
          <w:sz w:val="22"/>
          <w:szCs w:val="22"/>
          <w:lang w:val="sk-SK"/>
        </w:rPr>
        <w:t xml:space="preserve">/pacienti </w:t>
      </w:r>
      <w:r w:rsidR="003479A7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> hemor</w:t>
      </w:r>
      <w:r w:rsidR="00453641" w:rsidRPr="0029684D">
        <w:rPr>
          <w:sz w:val="22"/>
          <w:szCs w:val="22"/>
          <w:lang w:val="sk-SK"/>
        </w:rPr>
        <w:t>ágiou</w:t>
      </w:r>
      <w:r w:rsidRPr="0029684D">
        <w:rPr>
          <w:sz w:val="22"/>
          <w:szCs w:val="22"/>
          <w:lang w:val="sk-SK"/>
        </w:rPr>
        <w:t xml:space="preserve"> (dv</w:t>
      </w:r>
      <w:r w:rsidR="0045364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</w:t>
      </w:r>
      <w:r w:rsidR="003479A7" w:rsidRPr="003479A7">
        <w:rPr>
          <w:sz w:val="22"/>
          <w:szCs w:val="22"/>
          <w:lang w:val="sk-SK"/>
        </w:rPr>
        <w:t>alebo vi</w:t>
      </w:r>
      <w:r w:rsidR="003479A7">
        <w:rPr>
          <w:sz w:val="22"/>
          <w:szCs w:val="22"/>
          <w:lang w:val="sk-SK"/>
        </w:rPr>
        <w:t>a</w:t>
      </w:r>
      <w:r w:rsidR="00A25CB4" w:rsidRPr="0029684D">
        <w:rPr>
          <w:sz w:val="22"/>
          <w:szCs w:val="22"/>
          <w:lang w:val="sk-SK"/>
        </w:rPr>
        <w:t>c prípadov</w:t>
      </w:r>
      <w:r w:rsidRPr="0029684D">
        <w:rPr>
          <w:sz w:val="22"/>
          <w:szCs w:val="22"/>
          <w:lang w:val="sk-SK"/>
        </w:rPr>
        <w:t xml:space="preserve"> </w:t>
      </w:r>
      <w:r w:rsidR="00A25CB4" w:rsidRPr="0029684D">
        <w:rPr>
          <w:sz w:val="22"/>
          <w:szCs w:val="22"/>
          <w:lang w:val="sk-SK"/>
        </w:rPr>
        <w:t xml:space="preserve">potvrdeného vredu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krvác</w:t>
      </w:r>
      <w:r w:rsidR="00453641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453641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>).</w:t>
      </w:r>
    </w:p>
    <w:p w14:paraId="579AB523" w14:textId="48CC3E75" w:rsidR="00E8736E" w:rsidRPr="0029684D" w:rsidRDefault="00D1685A" w:rsidP="00D14BB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Krvácanie do mozgu </w:t>
      </w:r>
      <w:r w:rsidR="00453641"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 iné akt</w:t>
      </w:r>
      <w:r w:rsidR="00453641"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 xml:space="preserve"> krvác</w:t>
      </w:r>
      <w:r w:rsidR="00453641" w:rsidRPr="0029684D">
        <w:rPr>
          <w:sz w:val="22"/>
          <w:szCs w:val="22"/>
          <w:lang w:val="sk-SK"/>
        </w:rPr>
        <w:t>a</w:t>
      </w:r>
      <w:r w:rsidR="00E8736E" w:rsidRPr="0029684D">
        <w:rPr>
          <w:sz w:val="22"/>
          <w:szCs w:val="22"/>
          <w:lang w:val="sk-SK"/>
        </w:rPr>
        <w:t>n</w:t>
      </w:r>
      <w:r w:rsidR="00453641" w:rsidRPr="0029684D">
        <w:rPr>
          <w:sz w:val="22"/>
          <w:szCs w:val="22"/>
          <w:lang w:val="sk-SK"/>
        </w:rPr>
        <w:t>ie</w:t>
      </w:r>
      <w:r w:rsidR="00E8736E" w:rsidRPr="0029684D">
        <w:rPr>
          <w:sz w:val="22"/>
          <w:szCs w:val="22"/>
          <w:lang w:val="sk-SK"/>
        </w:rPr>
        <w:t>.</w:t>
      </w:r>
    </w:p>
    <w:p w14:paraId="6523E88A" w14:textId="3FEF47CF" w:rsidR="00E8736E" w:rsidRPr="0029684D" w:rsidRDefault="00E8736E" w:rsidP="000A3637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Pacienti </w:t>
      </w:r>
      <w:r w:rsidR="00453641" w:rsidRPr="0029684D">
        <w:rPr>
          <w:sz w:val="22"/>
          <w:szCs w:val="22"/>
          <w:lang w:val="sk-SK"/>
        </w:rPr>
        <w:t>so závažným zlyh</w:t>
      </w:r>
      <w:r w:rsidR="005077C3" w:rsidRPr="0029684D">
        <w:rPr>
          <w:sz w:val="22"/>
          <w:szCs w:val="22"/>
          <w:lang w:val="sk-SK"/>
        </w:rPr>
        <w:t xml:space="preserve">ávaním </w:t>
      </w:r>
      <w:r w:rsidR="00453641" w:rsidRPr="0029684D">
        <w:rPr>
          <w:sz w:val="22"/>
          <w:szCs w:val="22"/>
          <w:lang w:val="sk-SK"/>
        </w:rPr>
        <w:t>pečene</w:t>
      </w:r>
      <w:r w:rsidRPr="0029684D">
        <w:rPr>
          <w:sz w:val="22"/>
          <w:szCs w:val="22"/>
          <w:lang w:val="sk-SK"/>
        </w:rPr>
        <w:t xml:space="preserve">, </w:t>
      </w:r>
      <w:r w:rsidR="005077C3" w:rsidRPr="0029684D">
        <w:rPr>
          <w:sz w:val="22"/>
          <w:szCs w:val="22"/>
          <w:lang w:val="sk-SK"/>
        </w:rPr>
        <w:t>závažným</w:t>
      </w:r>
      <w:r w:rsidR="00453641" w:rsidRPr="0029684D">
        <w:rPr>
          <w:sz w:val="22"/>
          <w:szCs w:val="22"/>
          <w:lang w:val="sk-SK"/>
        </w:rPr>
        <w:t xml:space="preserve"> </w:t>
      </w:r>
      <w:r w:rsidR="005077C3" w:rsidRPr="0029684D">
        <w:rPr>
          <w:sz w:val="22"/>
          <w:szCs w:val="22"/>
          <w:lang w:val="sk-SK"/>
        </w:rPr>
        <w:t>zlyhávaním</w:t>
      </w:r>
      <w:r w:rsidR="00453641" w:rsidRPr="0029684D">
        <w:rPr>
          <w:sz w:val="22"/>
          <w:szCs w:val="22"/>
          <w:lang w:val="sk-SK"/>
        </w:rPr>
        <w:t xml:space="preserve"> obličiek aleb</w:t>
      </w:r>
      <w:r w:rsidRPr="0029684D">
        <w:rPr>
          <w:sz w:val="22"/>
          <w:szCs w:val="22"/>
          <w:lang w:val="sk-SK"/>
        </w:rPr>
        <w:t xml:space="preserve">o </w:t>
      </w:r>
      <w:r w:rsidR="00453641" w:rsidRPr="0029684D">
        <w:rPr>
          <w:sz w:val="22"/>
          <w:szCs w:val="22"/>
          <w:lang w:val="sk-SK"/>
        </w:rPr>
        <w:t>závažným zlyh</w:t>
      </w:r>
      <w:r w:rsidR="00F108A2" w:rsidRPr="0029684D">
        <w:rPr>
          <w:sz w:val="22"/>
          <w:szCs w:val="22"/>
          <w:lang w:val="sk-SK"/>
        </w:rPr>
        <w:t>áva</w:t>
      </w:r>
      <w:r w:rsidR="00453641" w:rsidRPr="0029684D">
        <w:rPr>
          <w:sz w:val="22"/>
          <w:szCs w:val="22"/>
          <w:lang w:val="sk-SK"/>
        </w:rPr>
        <w:t>ním srdca</w:t>
      </w:r>
      <w:r w:rsidRPr="0029684D">
        <w:rPr>
          <w:sz w:val="22"/>
          <w:szCs w:val="22"/>
          <w:lang w:val="sk-SK"/>
        </w:rPr>
        <w:t xml:space="preserve"> (NYHA t</w:t>
      </w:r>
      <w:r w:rsidR="00453641" w:rsidRPr="0029684D">
        <w:rPr>
          <w:sz w:val="22"/>
          <w:szCs w:val="22"/>
          <w:lang w:val="sk-SK"/>
        </w:rPr>
        <w:t>rieda</w:t>
      </w:r>
      <w:r w:rsidRPr="0029684D">
        <w:rPr>
          <w:sz w:val="22"/>
          <w:szCs w:val="22"/>
          <w:lang w:val="sk-SK"/>
        </w:rPr>
        <w:t xml:space="preserve"> IV)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2D9CD465" w14:textId="4DD7DBC9" w:rsidR="00E8736E" w:rsidRPr="0029684D" w:rsidRDefault="00453641" w:rsidP="00043DF3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Závažná dehydratácia</w:t>
      </w:r>
      <w:r w:rsidR="00E8736E" w:rsidRPr="0029684D">
        <w:rPr>
          <w:sz w:val="22"/>
          <w:szCs w:val="22"/>
          <w:lang w:val="sk-SK"/>
        </w:rPr>
        <w:t xml:space="preserve"> (</w:t>
      </w:r>
      <w:r w:rsidR="005077C3" w:rsidRPr="0029684D">
        <w:rPr>
          <w:sz w:val="22"/>
          <w:szCs w:val="22"/>
          <w:lang w:val="sk-SK"/>
        </w:rPr>
        <w:t>v dôsledku vracania,</w:t>
      </w:r>
      <w:r w:rsidR="00E8736E" w:rsidRPr="0029684D">
        <w:rPr>
          <w:sz w:val="22"/>
          <w:szCs w:val="22"/>
          <w:lang w:val="sk-SK"/>
        </w:rPr>
        <w:t xml:space="preserve"> </w:t>
      </w:r>
      <w:r w:rsidR="005077C3" w:rsidRPr="0029684D">
        <w:rPr>
          <w:sz w:val="22"/>
          <w:szCs w:val="22"/>
          <w:lang w:val="sk-SK"/>
        </w:rPr>
        <w:t>hnačky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 nedostat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>čn</w:t>
      </w:r>
      <w:r w:rsidR="005077C3" w:rsidRPr="0029684D">
        <w:rPr>
          <w:sz w:val="22"/>
          <w:szCs w:val="22"/>
          <w:lang w:val="sk-SK"/>
        </w:rPr>
        <w:t xml:space="preserve">ého </w:t>
      </w:r>
      <w:r w:rsidR="00E8736E" w:rsidRPr="0029684D">
        <w:rPr>
          <w:sz w:val="22"/>
          <w:szCs w:val="22"/>
          <w:lang w:val="sk-SK"/>
        </w:rPr>
        <w:t>p</w:t>
      </w:r>
      <w:r w:rsidRPr="0029684D">
        <w:rPr>
          <w:sz w:val="22"/>
          <w:szCs w:val="22"/>
          <w:lang w:val="sk-SK"/>
        </w:rPr>
        <w:t>ríjm</w:t>
      </w:r>
      <w:r w:rsidR="005077C3" w:rsidRPr="0029684D">
        <w:rPr>
          <w:sz w:val="22"/>
          <w:szCs w:val="22"/>
          <w:lang w:val="sk-SK"/>
        </w:rPr>
        <w:t>u</w:t>
      </w:r>
      <w:r w:rsidR="00E8736E" w:rsidRPr="0029684D">
        <w:rPr>
          <w:sz w:val="22"/>
          <w:szCs w:val="22"/>
          <w:lang w:val="sk-SK"/>
        </w:rPr>
        <w:t xml:space="preserve"> tekut</w:t>
      </w:r>
      <w:r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n).</w:t>
      </w:r>
    </w:p>
    <w:p w14:paraId="748CED7F" w14:textId="77777777" w:rsidR="00E8736E" w:rsidRPr="0029684D" w:rsidRDefault="008A58FB" w:rsidP="00E44A68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Poruchy krvotvorby z neznámych príčin</w:t>
      </w:r>
      <w:r w:rsidR="00E8736E" w:rsidRPr="0029684D">
        <w:rPr>
          <w:sz w:val="22"/>
          <w:szCs w:val="22"/>
          <w:lang w:val="sk-SK"/>
        </w:rPr>
        <w:t xml:space="preserve">, </w:t>
      </w:r>
      <w:r w:rsidRPr="0029684D">
        <w:rPr>
          <w:sz w:val="22"/>
          <w:szCs w:val="22"/>
          <w:lang w:val="sk-SK"/>
        </w:rPr>
        <w:t>napr.</w:t>
      </w:r>
      <w:r w:rsidR="00E8736E" w:rsidRPr="0029684D">
        <w:rPr>
          <w:sz w:val="22"/>
          <w:szCs w:val="22"/>
          <w:lang w:val="sk-SK"/>
        </w:rPr>
        <w:t xml:space="preserve"> trombocytop</w:t>
      </w:r>
      <w:r w:rsidR="00453641" w:rsidRPr="0029684D">
        <w:rPr>
          <w:sz w:val="22"/>
          <w:szCs w:val="22"/>
          <w:lang w:val="sk-SK"/>
        </w:rPr>
        <w:t>é</w:t>
      </w:r>
      <w:r w:rsidR="00E8736E" w:rsidRPr="0029684D">
        <w:rPr>
          <w:sz w:val="22"/>
          <w:szCs w:val="22"/>
          <w:lang w:val="sk-SK"/>
        </w:rPr>
        <w:t>ni</w:t>
      </w:r>
      <w:r w:rsidR="00453641" w:rsidRPr="0029684D">
        <w:rPr>
          <w:sz w:val="22"/>
          <w:szCs w:val="22"/>
          <w:lang w:val="sk-SK"/>
        </w:rPr>
        <w:t>a</w:t>
      </w:r>
      <w:r w:rsidR="00E8736E" w:rsidRPr="0029684D">
        <w:rPr>
          <w:sz w:val="22"/>
          <w:szCs w:val="22"/>
          <w:lang w:val="sk-SK"/>
        </w:rPr>
        <w:t>.</w:t>
      </w:r>
    </w:p>
    <w:p w14:paraId="5D8013ED" w14:textId="77777777" w:rsidR="00E8736E" w:rsidRPr="0029684D" w:rsidRDefault="00E8736E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T</w:t>
      </w:r>
      <w:r w:rsidR="00453641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etí trimest</w:t>
      </w:r>
      <w:r w:rsidR="0045364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r </w:t>
      </w:r>
      <w:r w:rsidR="00453641" w:rsidRPr="0029684D">
        <w:rPr>
          <w:sz w:val="22"/>
          <w:szCs w:val="22"/>
          <w:lang w:val="sk-SK"/>
        </w:rPr>
        <w:t>gravidity</w:t>
      </w:r>
      <w:r w:rsidRPr="0029684D">
        <w:rPr>
          <w:sz w:val="22"/>
          <w:szCs w:val="22"/>
          <w:lang w:val="sk-SK"/>
        </w:rPr>
        <w:t xml:space="preserve"> (</w:t>
      </w:r>
      <w:r w:rsidR="00453641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4.6).</w:t>
      </w:r>
    </w:p>
    <w:p w14:paraId="15894F6E" w14:textId="77777777" w:rsidR="00C67164" w:rsidRPr="0029684D" w:rsidRDefault="00C67164">
      <w:pPr>
        <w:spacing w:after="0"/>
        <w:jc w:val="left"/>
        <w:rPr>
          <w:sz w:val="22"/>
          <w:szCs w:val="22"/>
          <w:lang w:val="sk-SK"/>
        </w:rPr>
      </w:pPr>
    </w:p>
    <w:p w14:paraId="4FB8EAC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4.4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Osobitné upozornenia a opatrenia pri používaní</w:t>
      </w:r>
    </w:p>
    <w:p w14:paraId="0412C602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7F1D9E17" w14:textId="10C17791" w:rsidR="000B73F3" w:rsidRPr="0029684D" w:rsidRDefault="00A25CB4" w:rsidP="00230813">
      <w:pPr>
        <w:spacing w:after="0"/>
        <w:jc w:val="left"/>
        <w:rPr>
          <w:sz w:val="22"/>
          <w:szCs w:val="22"/>
          <w:lang w:val="sk-SK"/>
        </w:rPr>
      </w:pPr>
      <w:r w:rsidRPr="003A721A">
        <w:rPr>
          <w:sz w:val="22"/>
          <w:szCs w:val="22"/>
        </w:rPr>
        <w:t xml:space="preserve"> Nežiaduce účinky </w:t>
      </w:r>
      <w:proofErr w:type="gramStart"/>
      <w:r w:rsidRPr="003A721A">
        <w:rPr>
          <w:sz w:val="22"/>
          <w:szCs w:val="22"/>
        </w:rPr>
        <w:t>sa</w:t>
      </w:r>
      <w:proofErr w:type="gramEnd"/>
      <w:r w:rsidRPr="003A721A">
        <w:rPr>
          <w:sz w:val="22"/>
          <w:szCs w:val="22"/>
        </w:rPr>
        <w:t xml:space="preserve"> môžu minimalizovať užitím najnižšej účinnej dávky </w:t>
      </w:r>
      <w:r w:rsidR="00810DB1">
        <w:rPr>
          <w:sz w:val="22"/>
          <w:szCs w:val="22"/>
        </w:rPr>
        <w:t xml:space="preserve">počas </w:t>
      </w:r>
      <w:r w:rsidRPr="003A721A">
        <w:rPr>
          <w:sz w:val="22"/>
          <w:szCs w:val="22"/>
        </w:rPr>
        <w:t>čo najkratš</w:t>
      </w:r>
      <w:r w:rsidR="00810DB1">
        <w:rPr>
          <w:sz w:val="22"/>
          <w:szCs w:val="22"/>
        </w:rPr>
        <w:t>ej</w:t>
      </w:r>
      <w:r w:rsidRPr="003A721A">
        <w:rPr>
          <w:sz w:val="22"/>
          <w:szCs w:val="22"/>
        </w:rPr>
        <w:t xml:space="preserve"> dob</w:t>
      </w:r>
      <w:r w:rsidR="00810DB1">
        <w:rPr>
          <w:sz w:val="22"/>
          <w:szCs w:val="22"/>
        </w:rPr>
        <w:t>y</w:t>
      </w:r>
      <w:r w:rsidRPr="003A721A">
        <w:rPr>
          <w:sz w:val="22"/>
          <w:szCs w:val="22"/>
        </w:rPr>
        <w:t>, ktorá je potrebná na kontrolu príznakov</w:t>
      </w:r>
      <w:r w:rsidR="00810DB1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(pozri časť 4.2 a</w:t>
      </w:r>
      <w:r w:rsidR="005153FA" w:rsidRPr="0029684D">
        <w:rPr>
          <w:sz w:val="22"/>
          <w:szCs w:val="22"/>
          <w:lang w:val="sk-SK"/>
        </w:rPr>
        <w:t> ga</w:t>
      </w:r>
      <w:r w:rsidR="00453641" w:rsidRPr="0029684D">
        <w:rPr>
          <w:sz w:val="22"/>
          <w:szCs w:val="22"/>
          <w:lang w:val="sk-SK"/>
        </w:rPr>
        <w:t>strointestinálne a kardiovaskulárne riziká</w:t>
      </w:r>
      <w:r w:rsidR="00810DB1">
        <w:rPr>
          <w:sz w:val="22"/>
          <w:szCs w:val="22"/>
          <w:lang w:val="sk-SK"/>
        </w:rPr>
        <w:t xml:space="preserve"> nižšie</w:t>
      </w:r>
      <w:r w:rsidR="00453641" w:rsidRPr="0029684D">
        <w:rPr>
          <w:sz w:val="22"/>
          <w:szCs w:val="22"/>
          <w:lang w:val="sk-SK"/>
        </w:rPr>
        <w:t>).</w:t>
      </w:r>
    </w:p>
    <w:p w14:paraId="57DDBA4F" w14:textId="6914B044" w:rsidR="00691A7A" w:rsidRPr="0029684D" w:rsidRDefault="00E8736E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 n</w:t>
      </w:r>
      <w:r w:rsidR="00497BB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sleduj</w:t>
      </w:r>
      <w:r w:rsidR="00497BBF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c</w:t>
      </w:r>
      <w:r w:rsidR="00497BBF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ch p</w:t>
      </w:r>
      <w:r w:rsidR="00497BB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ípad</w:t>
      </w:r>
      <w:r w:rsidR="00497BB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ch s</w:t>
      </w:r>
      <w:r w:rsidR="00497BB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</w:t>
      </w:r>
      <w:r w:rsidR="00987E9D" w:rsidRPr="0029684D">
        <w:rPr>
          <w:sz w:val="22"/>
          <w:szCs w:val="22"/>
          <w:lang w:val="sk-SK"/>
        </w:rPr>
        <w:t>Ibalgin Junior</w:t>
      </w:r>
      <w:r w:rsidR="00BF1283" w:rsidRPr="0029684D">
        <w:rPr>
          <w:sz w:val="22"/>
          <w:szCs w:val="22"/>
          <w:lang w:val="sk-SK"/>
        </w:rPr>
        <w:t xml:space="preserve"> 200 mg</w:t>
      </w:r>
      <w:r w:rsidR="00987E9D" w:rsidRPr="0029684D">
        <w:rPr>
          <w:sz w:val="22"/>
          <w:szCs w:val="22"/>
          <w:lang w:val="sk-SK"/>
        </w:rPr>
        <w:t xml:space="preserve">  </w:t>
      </w:r>
      <w:r w:rsidR="00A25CB4" w:rsidRPr="0029684D">
        <w:rPr>
          <w:sz w:val="22"/>
          <w:szCs w:val="22"/>
          <w:lang w:val="sk-SK"/>
        </w:rPr>
        <w:t xml:space="preserve">môže </w:t>
      </w:r>
      <w:r w:rsidRPr="0029684D">
        <w:rPr>
          <w:sz w:val="22"/>
          <w:szCs w:val="22"/>
          <w:lang w:val="sk-SK"/>
        </w:rPr>
        <w:t xml:space="preserve"> použ</w:t>
      </w:r>
      <w:r w:rsidR="00497BBF" w:rsidRPr="0029684D">
        <w:rPr>
          <w:sz w:val="22"/>
          <w:szCs w:val="22"/>
          <w:lang w:val="sk-SK"/>
        </w:rPr>
        <w:t>iť</w:t>
      </w:r>
      <w:r w:rsidRPr="0029684D">
        <w:rPr>
          <w:sz w:val="22"/>
          <w:szCs w:val="22"/>
          <w:lang w:val="sk-SK"/>
        </w:rPr>
        <w:t xml:space="preserve"> </w:t>
      </w:r>
      <w:r w:rsidR="00497BBF" w:rsidRPr="0029684D">
        <w:rPr>
          <w:sz w:val="22"/>
          <w:szCs w:val="22"/>
          <w:lang w:val="sk-SK"/>
        </w:rPr>
        <w:t>l</w:t>
      </w:r>
      <w:r w:rsidRPr="0029684D">
        <w:rPr>
          <w:sz w:val="22"/>
          <w:szCs w:val="22"/>
          <w:lang w:val="sk-SK"/>
        </w:rPr>
        <w:t>en po d</w:t>
      </w:r>
      <w:r w:rsidR="00497BBF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kladn</w:t>
      </w:r>
      <w:r w:rsidR="00497BB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pos</w:t>
      </w:r>
      <w:r w:rsidR="00497BBF" w:rsidRPr="0029684D">
        <w:rPr>
          <w:sz w:val="22"/>
          <w:szCs w:val="22"/>
          <w:lang w:val="sk-SK"/>
        </w:rPr>
        <w:t>údení</w:t>
      </w:r>
      <w:r w:rsidRPr="0029684D">
        <w:rPr>
          <w:sz w:val="22"/>
          <w:szCs w:val="22"/>
          <w:lang w:val="sk-SK"/>
        </w:rPr>
        <w:t xml:space="preserve"> pom</w:t>
      </w:r>
      <w:r w:rsidR="00497BBF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ru p</w:t>
      </w:r>
      <w:r w:rsidR="00497BB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ínosu a rizika:</w:t>
      </w:r>
    </w:p>
    <w:p w14:paraId="70415E56" w14:textId="77777777" w:rsidR="00E8736E" w:rsidRPr="0029684D" w:rsidRDefault="00497BBF" w:rsidP="008E420F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systémový lupus erythematosus (SLE) a zmiešané ochorenie spojivového tkaniva </w:t>
      </w:r>
      <w:r w:rsidR="00E8736E" w:rsidRPr="0029684D">
        <w:rPr>
          <w:sz w:val="22"/>
          <w:szCs w:val="22"/>
          <w:lang w:val="sk-SK"/>
        </w:rPr>
        <w:t>– zvýšené riziko aseptick</w:t>
      </w:r>
      <w:r w:rsidRPr="0029684D">
        <w:rPr>
          <w:sz w:val="22"/>
          <w:szCs w:val="22"/>
          <w:lang w:val="sk-SK"/>
        </w:rPr>
        <w:t>ej</w:t>
      </w:r>
      <w:r w:rsidR="00E8736E" w:rsidRPr="0029684D">
        <w:rPr>
          <w:sz w:val="22"/>
          <w:szCs w:val="22"/>
          <w:lang w:val="sk-SK"/>
        </w:rPr>
        <w:t xml:space="preserve"> meningit</w:t>
      </w:r>
      <w:r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dy (</w:t>
      </w:r>
      <w:r w:rsidRPr="0029684D">
        <w:rPr>
          <w:sz w:val="22"/>
          <w:szCs w:val="22"/>
          <w:lang w:val="sk-SK"/>
        </w:rPr>
        <w:t>pozri časť</w:t>
      </w:r>
      <w:r w:rsidR="00E8736E" w:rsidRPr="0029684D">
        <w:rPr>
          <w:sz w:val="22"/>
          <w:szCs w:val="22"/>
          <w:lang w:val="sk-SK"/>
        </w:rPr>
        <w:t xml:space="preserve"> 4.8)</w:t>
      </w:r>
      <w:r w:rsidR="008D2669" w:rsidRPr="0029684D">
        <w:rPr>
          <w:sz w:val="22"/>
          <w:szCs w:val="22"/>
          <w:lang w:val="sk-SK"/>
        </w:rPr>
        <w:t>;</w:t>
      </w:r>
    </w:p>
    <w:p w14:paraId="16CCE9D4" w14:textId="77777777" w:rsidR="00E8736E" w:rsidRPr="0029684D" w:rsidRDefault="00497BBF" w:rsidP="00D22436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dedičné poruchy metabolizmu porfyrínu (napríklad akútna intermitentná porfýria</w:t>
      </w:r>
      <w:r w:rsidR="00E8736E" w:rsidRPr="0029684D">
        <w:rPr>
          <w:sz w:val="22"/>
          <w:szCs w:val="22"/>
          <w:lang w:val="sk-SK"/>
        </w:rPr>
        <w:t>).</w:t>
      </w:r>
    </w:p>
    <w:p w14:paraId="4E3322BC" w14:textId="77777777" w:rsidR="00691A7A" w:rsidRPr="0029684D" w:rsidRDefault="00691A7A" w:rsidP="00105CDD">
      <w:pPr>
        <w:spacing w:after="0"/>
        <w:ind w:left="142"/>
        <w:jc w:val="left"/>
        <w:rPr>
          <w:sz w:val="22"/>
          <w:szCs w:val="22"/>
          <w:lang w:val="sk-SK"/>
        </w:rPr>
      </w:pPr>
    </w:p>
    <w:p w14:paraId="1AC87365" w14:textId="77777777" w:rsidR="00691A7A" w:rsidRPr="0029684D" w:rsidRDefault="00497BBF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</w:t>
      </w:r>
      <w:r w:rsidR="00BF1283" w:rsidRPr="0029684D">
        <w:rPr>
          <w:sz w:val="22"/>
          <w:szCs w:val="22"/>
          <w:lang w:val="sk-SK"/>
        </w:rPr>
        <w:t>výšená opatrnosť sa vyžaduje pri pacientoch</w:t>
      </w:r>
      <w:r w:rsidR="00E8736E" w:rsidRPr="0029684D">
        <w:rPr>
          <w:sz w:val="22"/>
          <w:szCs w:val="22"/>
          <w:lang w:val="sk-SK"/>
        </w:rPr>
        <w:t>:</w:t>
      </w:r>
    </w:p>
    <w:p w14:paraId="16FFAF27" w14:textId="77777777" w:rsidR="00BF1283" w:rsidRPr="0029684D" w:rsidRDefault="00BF1283" w:rsidP="008A7BF7">
      <w:pPr>
        <w:spacing w:after="0"/>
        <w:jc w:val="left"/>
        <w:rPr>
          <w:sz w:val="22"/>
          <w:szCs w:val="22"/>
          <w:lang w:val="sk-SK"/>
        </w:rPr>
      </w:pPr>
    </w:p>
    <w:p w14:paraId="69EF2D41" w14:textId="449D775B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 </w:t>
      </w:r>
      <w:r w:rsidR="00E8736E" w:rsidRPr="004A4FDD">
        <w:rPr>
          <w:sz w:val="22"/>
          <w:szCs w:val="22"/>
          <w:lang w:val="sk-SK"/>
        </w:rPr>
        <w:t>hypertenz</w:t>
      </w:r>
      <w:r w:rsidR="00497BBF" w:rsidRPr="004A4FDD">
        <w:rPr>
          <w:sz w:val="22"/>
          <w:szCs w:val="22"/>
          <w:lang w:val="sk-SK"/>
        </w:rPr>
        <w:t>i</w:t>
      </w:r>
      <w:r w:rsidRPr="004A4FDD">
        <w:rPr>
          <w:sz w:val="22"/>
          <w:szCs w:val="22"/>
          <w:lang w:val="sk-SK"/>
        </w:rPr>
        <w:t xml:space="preserve">ou  </w:t>
      </w:r>
      <w:r w:rsidR="00E8736E" w:rsidRPr="004A4FDD">
        <w:rPr>
          <w:sz w:val="22"/>
          <w:szCs w:val="22"/>
          <w:lang w:val="sk-SK"/>
        </w:rPr>
        <w:t>a/</w:t>
      </w:r>
      <w:r w:rsidR="00497BBF" w:rsidRPr="004A4FDD">
        <w:rPr>
          <w:sz w:val="22"/>
          <w:szCs w:val="22"/>
          <w:lang w:val="sk-SK"/>
        </w:rPr>
        <w:t>al</w:t>
      </w:r>
      <w:r w:rsidR="00E8736E" w:rsidRPr="004A4FDD">
        <w:rPr>
          <w:sz w:val="22"/>
          <w:szCs w:val="22"/>
          <w:lang w:val="sk-SK"/>
        </w:rPr>
        <w:t xml:space="preserve">ebo </w:t>
      </w:r>
      <w:r w:rsidRPr="004A4FDD">
        <w:rPr>
          <w:sz w:val="22"/>
          <w:szCs w:val="22"/>
          <w:lang w:val="sk-SK"/>
        </w:rPr>
        <w:t xml:space="preserve">zlyhávaním </w:t>
      </w:r>
      <w:r w:rsidR="005153FA" w:rsidRPr="004A4FDD">
        <w:rPr>
          <w:sz w:val="22"/>
          <w:szCs w:val="22"/>
          <w:lang w:val="sk-SK"/>
        </w:rPr>
        <w:t xml:space="preserve"> srdca</w:t>
      </w:r>
      <w:r w:rsidR="00E8736E" w:rsidRPr="004A4FDD">
        <w:rPr>
          <w:sz w:val="22"/>
          <w:szCs w:val="22"/>
          <w:lang w:val="sk-SK"/>
        </w:rPr>
        <w:t xml:space="preserve"> v anamnéze, </w:t>
      </w:r>
      <w:r w:rsidRPr="004A4FDD">
        <w:rPr>
          <w:sz w:val="22"/>
          <w:szCs w:val="22"/>
          <w:lang w:val="sk-SK"/>
        </w:rPr>
        <w:t xml:space="preserve">keďže </w:t>
      </w:r>
      <w:r w:rsidR="00E8736E" w:rsidRPr="004A4FDD">
        <w:rPr>
          <w:sz w:val="22"/>
          <w:szCs w:val="22"/>
          <w:lang w:val="sk-SK"/>
        </w:rPr>
        <w:t xml:space="preserve"> v s</w:t>
      </w:r>
      <w:r w:rsidR="00497BBF" w:rsidRPr="004A4FDD">
        <w:rPr>
          <w:sz w:val="22"/>
          <w:szCs w:val="22"/>
          <w:lang w:val="sk-SK"/>
        </w:rPr>
        <w:t>ú</w:t>
      </w:r>
      <w:r w:rsidR="00E8736E" w:rsidRPr="004A4FDD">
        <w:rPr>
          <w:sz w:val="22"/>
          <w:szCs w:val="22"/>
          <w:lang w:val="sk-SK"/>
        </w:rPr>
        <w:t>vislosti s l</w:t>
      </w:r>
      <w:r w:rsidR="00497BBF" w:rsidRPr="004A4FDD">
        <w:rPr>
          <w:sz w:val="22"/>
          <w:szCs w:val="22"/>
          <w:lang w:val="sk-SK"/>
        </w:rPr>
        <w:t>ie</w:t>
      </w:r>
      <w:r w:rsidR="00E8736E" w:rsidRPr="004A4FDD">
        <w:rPr>
          <w:sz w:val="22"/>
          <w:szCs w:val="22"/>
          <w:lang w:val="sk-SK"/>
        </w:rPr>
        <w:t>čbou NSA</w:t>
      </w:r>
      <w:r w:rsidR="00497BBF" w:rsidRPr="004A4FDD">
        <w:rPr>
          <w:sz w:val="22"/>
          <w:szCs w:val="22"/>
          <w:lang w:val="sk-SK"/>
        </w:rPr>
        <w:t>ID</w:t>
      </w:r>
      <w:r w:rsidR="00E8736E" w:rsidRPr="004A4FDD">
        <w:rPr>
          <w:sz w:val="22"/>
          <w:szCs w:val="22"/>
          <w:lang w:val="sk-SK"/>
        </w:rPr>
        <w:t xml:space="preserve"> </w:t>
      </w:r>
      <w:r w:rsidRPr="004A4FDD">
        <w:rPr>
          <w:sz w:val="22"/>
          <w:szCs w:val="22"/>
          <w:lang w:val="sk-SK"/>
        </w:rPr>
        <w:t xml:space="preserve">bolo hlásené zadržiavanie  </w:t>
      </w:r>
      <w:r w:rsidR="009D22DA" w:rsidRPr="004A4FDD">
        <w:rPr>
          <w:sz w:val="22"/>
          <w:szCs w:val="22"/>
          <w:lang w:val="sk-SK"/>
        </w:rPr>
        <w:t>tekutín</w:t>
      </w:r>
      <w:r w:rsidR="00591950" w:rsidRPr="004A4FDD">
        <w:rPr>
          <w:sz w:val="22"/>
          <w:szCs w:val="22"/>
          <w:lang w:val="sk-SK"/>
        </w:rPr>
        <w:t xml:space="preserve"> a </w:t>
      </w:r>
      <w:r w:rsidRPr="004A4FDD">
        <w:rPr>
          <w:sz w:val="22"/>
          <w:szCs w:val="22"/>
          <w:lang w:val="sk-SK"/>
        </w:rPr>
        <w:t xml:space="preserve">tvorba opuchov </w:t>
      </w:r>
      <w:r w:rsidR="00E8736E" w:rsidRPr="004A4FDD">
        <w:rPr>
          <w:sz w:val="22"/>
          <w:szCs w:val="22"/>
          <w:lang w:val="sk-SK"/>
        </w:rPr>
        <w:t xml:space="preserve"> 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 a 4.8);</w:t>
      </w:r>
    </w:p>
    <w:p w14:paraId="17A7F866" w14:textId="0E180E51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 poruchou </w:t>
      </w:r>
      <w:r w:rsidR="00497BBF" w:rsidRPr="004A4FDD">
        <w:rPr>
          <w:sz w:val="22"/>
          <w:szCs w:val="22"/>
          <w:lang w:val="sk-SK"/>
        </w:rPr>
        <w:t xml:space="preserve"> funkcie obličiek</w:t>
      </w:r>
      <w:r w:rsidR="00E8736E" w:rsidRPr="004A4FDD">
        <w:rPr>
          <w:sz w:val="22"/>
          <w:szCs w:val="22"/>
          <w:lang w:val="sk-SK"/>
        </w:rPr>
        <w:t xml:space="preserve">, </w:t>
      </w:r>
      <w:r w:rsidRPr="004A4FDD">
        <w:rPr>
          <w:sz w:val="22"/>
          <w:szCs w:val="22"/>
          <w:lang w:val="sk-SK"/>
        </w:rPr>
        <w:t xml:space="preserve">keďže </w:t>
      </w:r>
      <w:r w:rsidR="00591950" w:rsidRPr="004A4FDD">
        <w:rPr>
          <w:sz w:val="22"/>
          <w:szCs w:val="22"/>
          <w:lang w:val="sk-SK"/>
        </w:rPr>
        <w:t>môže dôjsť k ďalšiemu zhoršeniu</w:t>
      </w:r>
      <w:r w:rsidR="00E8736E" w:rsidRPr="004A4FDD">
        <w:rPr>
          <w:sz w:val="22"/>
          <w:szCs w:val="22"/>
          <w:lang w:val="sk-SK"/>
        </w:rPr>
        <w:t>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 a 4.8);</w:t>
      </w:r>
    </w:p>
    <w:p w14:paraId="21F1161B" w14:textId="0B99C1B5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 </w:t>
      </w:r>
      <w:r w:rsidR="00591950" w:rsidRPr="004A4FDD">
        <w:rPr>
          <w:sz w:val="22"/>
          <w:szCs w:val="22"/>
          <w:lang w:val="sk-SK"/>
        </w:rPr>
        <w:t xml:space="preserve">poruchou funkcie </w:t>
      </w:r>
      <w:r w:rsidR="00497BBF" w:rsidRPr="004A4FDD">
        <w:rPr>
          <w:sz w:val="22"/>
          <w:szCs w:val="22"/>
          <w:lang w:val="sk-SK"/>
        </w:rPr>
        <w:t>pečene</w:t>
      </w:r>
      <w:r w:rsidR="00E8736E" w:rsidRPr="004A4FDD">
        <w:rPr>
          <w:sz w:val="22"/>
          <w:szCs w:val="22"/>
          <w:lang w:val="sk-SK"/>
        </w:rPr>
        <w:t xml:space="preserve"> 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</w:t>
      </w:r>
      <w:r w:rsidR="005153FA" w:rsidRPr="004A4FDD">
        <w:rPr>
          <w:sz w:val="22"/>
          <w:szCs w:val="22"/>
          <w:lang w:val="sk-SK"/>
        </w:rPr>
        <w:t xml:space="preserve"> </w:t>
      </w:r>
      <w:r w:rsidR="00E8736E" w:rsidRPr="004A4FDD">
        <w:rPr>
          <w:sz w:val="22"/>
          <w:szCs w:val="22"/>
          <w:lang w:val="sk-SK"/>
        </w:rPr>
        <w:t>a 4.8);</w:t>
      </w:r>
    </w:p>
    <w:p w14:paraId="38E9D45D" w14:textId="499D1C48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>hneď po veľkých</w:t>
      </w:r>
      <w:r w:rsidR="00E8736E" w:rsidRPr="004A4FDD">
        <w:rPr>
          <w:sz w:val="22"/>
          <w:szCs w:val="22"/>
          <w:lang w:val="sk-SK"/>
        </w:rPr>
        <w:t xml:space="preserve"> chirurgick</w:t>
      </w:r>
      <w:r w:rsidRPr="004A4FDD">
        <w:rPr>
          <w:sz w:val="22"/>
          <w:szCs w:val="22"/>
          <w:lang w:val="sk-SK"/>
        </w:rPr>
        <w:t>ých zákrokoch</w:t>
      </w:r>
      <w:r w:rsidR="00E8736E" w:rsidRPr="004A4FDD">
        <w:rPr>
          <w:sz w:val="22"/>
          <w:szCs w:val="22"/>
          <w:lang w:val="sk-SK"/>
        </w:rPr>
        <w:t>;</w:t>
      </w:r>
    </w:p>
    <w:p w14:paraId="45DB35EE" w14:textId="77777777" w:rsidR="004A4FDD" w:rsidRPr="004A4FDD" w:rsidRDefault="00591950" w:rsidP="004A4FDD">
      <w:pPr>
        <w:pStyle w:val="Odsekzoznamu"/>
        <w:numPr>
          <w:ilvl w:val="0"/>
          <w:numId w:val="56"/>
        </w:numPr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so </w:t>
      </w:r>
      <w:r w:rsidR="00497BBF" w:rsidRPr="004A4FDD">
        <w:rPr>
          <w:sz w:val="22"/>
          <w:szCs w:val="22"/>
          <w:lang w:val="sk-SK"/>
        </w:rPr>
        <w:t xml:space="preserve">sennou </w:t>
      </w:r>
      <w:r w:rsidR="00586444" w:rsidRPr="004A4FDD">
        <w:rPr>
          <w:sz w:val="22"/>
          <w:szCs w:val="22"/>
          <w:lang w:val="sk-SK"/>
        </w:rPr>
        <w:t>nádchou</w:t>
      </w:r>
      <w:r w:rsidR="00497BBF" w:rsidRPr="004A4FDD">
        <w:rPr>
          <w:sz w:val="22"/>
          <w:szCs w:val="22"/>
          <w:lang w:val="sk-SK"/>
        </w:rPr>
        <w:t>, nosovými polyp</w:t>
      </w:r>
      <w:r w:rsidR="00586444" w:rsidRPr="004A4FDD">
        <w:rPr>
          <w:sz w:val="22"/>
          <w:szCs w:val="22"/>
          <w:lang w:val="sk-SK"/>
        </w:rPr>
        <w:t>mi</w:t>
      </w:r>
      <w:r w:rsidR="00497BBF" w:rsidRPr="004A4FDD">
        <w:rPr>
          <w:sz w:val="22"/>
          <w:szCs w:val="22"/>
          <w:lang w:val="sk-SK"/>
        </w:rPr>
        <w:t xml:space="preserve"> alebo chronick</w:t>
      </w:r>
      <w:r w:rsidRPr="004A4FDD">
        <w:rPr>
          <w:sz w:val="22"/>
          <w:szCs w:val="22"/>
          <w:lang w:val="sk-SK"/>
        </w:rPr>
        <w:t>ou</w:t>
      </w:r>
      <w:r w:rsidR="00497BBF" w:rsidRPr="004A4FDD">
        <w:rPr>
          <w:sz w:val="22"/>
          <w:szCs w:val="22"/>
          <w:lang w:val="sk-SK"/>
        </w:rPr>
        <w:t xml:space="preserve"> obštrukčn</w:t>
      </w:r>
      <w:r w:rsidRPr="004A4FDD">
        <w:rPr>
          <w:sz w:val="22"/>
          <w:szCs w:val="22"/>
          <w:lang w:val="sk-SK"/>
        </w:rPr>
        <w:t>ou</w:t>
      </w:r>
      <w:r w:rsidR="00497BBF" w:rsidRPr="004A4FDD">
        <w:rPr>
          <w:sz w:val="22"/>
          <w:szCs w:val="22"/>
          <w:lang w:val="sk-SK"/>
        </w:rPr>
        <w:t xml:space="preserve"> </w:t>
      </w:r>
      <w:r w:rsidRPr="004A4FDD">
        <w:rPr>
          <w:sz w:val="22"/>
          <w:szCs w:val="22"/>
          <w:lang w:val="sk-SK"/>
        </w:rPr>
        <w:t xml:space="preserve">chorobou </w:t>
      </w:r>
      <w:r w:rsidR="00497BBF" w:rsidRPr="004A4FDD">
        <w:rPr>
          <w:sz w:val="22"/>
          <w:szCs w:val="22"/>
          <w:lang w:val="sk-SK"/>
        </w:rPr>
        <w:t xml:space="preserve">pľúc, </w:t>
      </w:r>
      <w:r w:rsidR="00A25CB4" w:rsidRPr="004A4FDD">
        <w:rPr>
          <w:sz w:val="22"/>
          <w:szCs w:val="22"/>
          <w:lang w:val="sk-SK"/>
        </w:rPr>
        <w:t xml:space="preserve">keďže </w:t>
      </w:r>
      <w:r w:rsidR="00497BBF" w:rsidRPr="004A4FDD">
        <w:rPr>
          <w:sz w:val="22"/>
          <w:szCs w:val="22"/>
          <w:lang w:val="sk-SK"/>
        </w:rPr>
        <w:t>existuje zvýšené riziko alergických reakcií. Môžu sa vyskytnúť astmatické záchvaty (takzvaná analgetická astma), Quinckeho edém alebo žihľavka</w:t>
      </w:r>
      <w:r w:rsidR="00E8736E" w:rsidRPr="004A4FDD">
        <w:rPr>
          <w:sz w:val="22"/>
          <w:szCs w:val="22"/>
          <w:lang w:val="sk-SK"/>
        </w:rPr>
        <w:t>;</w:t>
      </w:r>
    </w:p>
    <w:p w14:paraId="69477683" w14:textId="48002850" w:rsidR="00E8736E" w:rsidRPr="004A4FDD" w:rsidRDefault="00497BBF" w:rsidP="004A4FDD">
      <w:pPr>
        <w:pStyle w:val="Odsekzoznamu"/>
        <w:numPr>
          <w:ilvl w:val="0"/>
          <w:numId w:val="56"/>
        </w:numPr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>s hypersenzitívnou reakciou na iné l</w:t>
      </w:r>
      <w:r w:rsidR="004A4FDD">
        <w:rPr>
          <w:sz w:val="22"/>
          <w:szCs w:val="22"/>
          <w:lang w:val="sk-SK"/>
        </w:rPr>
        <w:t>iečivá</w:t>
      </w:r>
      <w:r w:rsidRPr="004A4FDD">
        <w:rPr>
          <w:sz w:val="22"/>
          <w:szCs w:val="22"/>
          <w:lang w:val="sk-SK"/>
        </w:rPr>
        <w:t xml:space="preserve"> v anamnéze,</w:t>
      </w:r>
      <w:r w:rsidR="00A25CB4" w:rsidRPr="004A4FDD">
        <w:rPr>
          <w:sz w:val="22"/>
          <w:szCs w:val="22"/>
          <w:lang w:val="sk-SK"/>
        </w:rPr>
        <w:t xml:space="preserve"> keďže </w:t>
      </w:r>
      <w:r w:rsidRPr="004A4FDD">
        <w:rPr>
          <w:sz w:val="22"/>
          <w:szCs w:val="22"/>
          <w:lang w:val="sk-SK"/>
        </w:rPr>
        <w:t>hrozí zvýšené riziko hypersenzitívnych reakcií pri užívaní</w:t>
      </w:r>
      <w:r w:rsidR="00987E9D" w:rsidRPr="004A4FDD">
        <w:rPr>
          <w:sz w:val="22"/>
          <w:szCs w:val="22"/>
          <w:lang w:val="sk-SK"/>
        </w:rPr>
        <w:t xml:space="preserve"> Ibalgin</w:t>
      </w:r>
      <w:r w:rsidR="00591950" w:rsidRPr="004A4FDD">
        <w:rPr>
          <w:sz w:val="22"/>
          <w:szCs w:val="22"/>
          <w:lang w:val="sk-SK"/>
        </w:rPr>
        <w:t>u</w:t>
      </w:r>
      <w:r w:rsidR="00987E9D" w:rsidRPr="004A4FDD">
        <w:rPr>
          <w:sz w:val="22"/>
          <w:szCs w:val="22"/>
          <w:lang w:val="sk-SK"/>
        </w:rPr>
        <w:t xml:space="preserve"> Junior</w:t>
      </w:r>
      <w:r w:rsidR="00BF1283" w:rsidRPr="004A4FDD">
        <w:rPr>
          <w:sz w:val="22"/>
          <w:szCs w:val="22"/>
          <w:lang w:val="sk-SK"/>
        </w:rPr>
        <w:t xml:space="preserve"> 200 mg</w:t>
      </w:r>
      <w:r w:rsidR="00E8736E" w:rsidRPr="004A4FDD">
        <w:rPr>
          <w:sz w:val="22"/>
          <w:szCs w:val="22"/>
          <w:lang w:val="sk-SK"/>
        </w:rPr>
        <w:t xml:space="preserve">. </w:t>
      </w:r>
    </w:p>
    <w:p w14:paraId="759A748D" w14:textId="77777777" w:rsidR="00467218" w:rsidRPr="0029684D" w:rsidRDefault="00467218" w:rsidP="00300F58">
      <w:pPr>
        <w:spacing w:after="0"/>
        <w:jc w:val="left"/>
        <w:rPr>
          <w:sz w:val="22"/>
          <w:szCs w:val="22"/>
          <w:lang w:val="sk-SK"/>
        </w:rPr>
      </w:pPr>
    </w:p>
    <w:p w14:paraId="417633D1" w14:textId="77777777" w:rsidR="00467218" w:rsidRPr="0029684D" w:rsidRDefault="00E8736E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Gastrointestináln</w:t>
      </w:r>
      <w:r w:rsidR="00C46732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 xml:space="preserve"> bezpečnos</w:t>
      </w:r>
      <w:r w:rsidR="00C46732" w:rsidRPr="0029684D">
        <w:rPr>
          <w:sz w:val="22"/>
          <w:szCs w:val="22"/>
          <w:u w:val="single"/>
          <w:lang w:val="sk-SK"/>
        </w:rPr>
        <w:t xml:space="preserve">ť </w:t>
      </w:r>
    </w:p>
    <w:p w14:paraId="6EAEB6A9" w14:textId="77777777" w:rsidR="00467218" w:rsidRPr="0029684D" w:rsidRDefault="00497BBF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Gastrointestinálne krvácanie, ulcerácia alebo perforácia, ktoré môžu </w:t>
      </w:r>
      <w:r w:rsidR="00A25CB4" w:rsidRPr="0029684D">
        <w:rPr>
          <w:sz w:val="22"/>
          <w:szCs w:val="22"/>
          <w:lang w:val="sk-SK"/>
        </w:rPr>
        <w:t>mať smrteľné následky</w:t>
      </w:r>
      <w:r w:rsidRPr="0029684D">
        <w:rPr>
          <w:sz w:val="22"/>
          <w:szCs w:val="22"/>
          <w:lang w:val="sk-SK"/>
        </w:rPr>
        <w:t xml:space="preserve">, boli hlásené so všetkými NSAID </w:t>
      </w:r>
      <w:r w:rsidR="00A25CB4" w:rsidRPr="0029684D">
        <w:rPr>
          <w:sz w:val="22"/>
          <w:szCs w:val="22"/>
          <w:lang w:val="sk-SK"/>
        </w:rPr>
        <w:t>v rôznom čase počas</w:t>
      </w:r>
      <w:r w:rsidR="00137178" w:rsidRPr="0029684D">
        <w:rPr>
          <w:sz w:val="22"/>
          <w:szCs w:val="22"/>
          <w:lang w:val="sk-SK"/>
        </w:rPr>
        <w:t xml:space="preserve"> </w:t>
      </w:r>
      <w:r w:rsidR="00A25CB4" w:rsidRPr="0029684D">
        <w:rPr>
          <w:sz w:val="22"/>
          <w:szCs w:val="22"/>
          <w:lang w:val="sk-SK"/>
        </w:rPr>
        <w:t>liečby</w:t>
      </w:r>
      <w:r w:rsidRPr="0029684D">
        <w:rPr>
          <w:sz w:val="22"/>
          <w:szCs w:val="22"/>
          <w:lang w:val="sk-SK"/>
        </w:rPr>
        <w:t xml:space="preserve"> s</w:t>
      </w:r>
      <w:r w:rsidR="00A25CB4" w:rsidRPr="0029684D">
        <w:rPr>
          <w:sz w:val="22"/>
          <w:szCs w:val="22"/>
          <w:lang w:val="sk-SK"/>
        </w:rPr>
        <w:t xml:space="preserve"> alebo bez </w:t>
      </w:r>
      <w:r w:rsidRPr="0029684D">
        <w:rPr>
          <w:sz w:val="22"/>
          <w:szCs w:val="22"/>
          <w:lang w:val="sk-SK"/>
        </w:rPr>
        <w:t>varovný</w:t>
      </w:r>
      <w:r w:rsidR="00A25CB4" w:rsidRPr="0029684D">
        <w:rPr>
          <w:sz w:val="22"/>
          <w:szCs w:val="22"/>
          <w:lang w:val="sk-SK"/>
        </w:rPr>
        <w:t xml:space="preserve">ch </w:t>
      </w:r>
      <w:r w:rsidRPr="0029684D">
        <w:rPr>
          <w:sz w:val="22"/>
          <w:szCs w:val="22"/>
          <w:lang w:val="sk-SK"/>
        </w:rPr>
        <w:t xml:space="preserve"> </w:t>
      </w:r>
      <w:r w:rsidR="00137178" w:rsidRPr="0029684D">
        <w:rPr>
          <w:sz w:val="22"/>
          <w:szCs w:val="22"/>
          <w:lang w:val="sk-SK"/>
        </w:rPr>
        <w:t xml:space="preserve">príznakov </w:t>
      </w:r>
      <w:r w:rsidRPr="0029684D">
        <w:rPr>
          <w:sz w:val="22"/>
          <w:szCs w:val="22"/>
          <w:lang w:val="sk-SK"/>
        </w:rPr>
        <w:t xml:space="preserve">alebo </w:t>
      </w:r>
      <w:r w:rsidR="00137178" w:rsidRPr="0029684D">
        <w:rPr>
          <w:sz w:val="22"/>
          <w:szCs w:val="22"/>
          <w:lang w:val="sk-SK"/>
        </w:rPr>
        <w:t xml:space="preserve">  </w:t>
      </w:r>
      <w:r w:rsidRPr="0029684D">
        <w:rPr>
          <w:sz w:val="22"/>
          <w:szCs w:val="22"/>
          <w:lang w:val="sk-SK"/>
        </w:rPr>
        <w:t>predchádzajúc</w:t>
      </w:r>
      <w:r w:rsidR="00137178" w:rsidRPr="0029684D">
        <w:rPr>
          <w:sz w:val="22"/>
          <w:szCs w:val="22"/>
          <w:lang w:val="sk-SK"/>
        </w:rPr>
        <w:t xml:space="preserve">ej </w:t>
      </w:r>
      <w:r w:rsidRPr="0029684D">
        <w:rPr>
          <w:sz w:val="22"/>
          <w:szCs w:val="22"/>
          <w:lang w:val="sk-SK"/>
        </w:rPr>
        <w:t xml:space="preserve"> anamnéz</w:t>
      </w:r>
      <w:r w:rsidR="00137178" w:rsidRPr="0029684D">
        <w:rPr>
          <w:sz w:val="22"/>
          <w:szCs w:val="22"/>
          <w:lang w:val="sk-SK"/>
        </w:rPr>
        <w:t xml:space="preserve">y </w:t>
      </w:r>
      <w:r w:rsidRPr="0029684D">
        <w:rPr>
          <w:sz w:val="22"/>
          <w:szCs w:val="22"/>
          <w:lang w:val="sk-SK"/>
        </w:rPr>
        <w:t xml:space="preserve"> závažných gastrointestinálnych príhod</w:t>
      </w:r>
      <w:r w:rsidR="00E8736E" w:rsidRPr="0029684D">
        <w:rPr>
          <w:sz w:val="22"/>
          <w:szCs w:val="22"/>
          <w:lang w:val="sk-SK"/>
        </w:rPr>
        <w:t>.</w:t>
      </w:r>
    </w:p>
    <w:p w14:paraId="3FA25426" w14:textId="77777777" w:rsidR="00467218" w:rsidRPr="0029684D" w:rsidRDefault="00497BBF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Riziko gastrointestinálneho krvácania, ulcerácie alebo perforácie je vyššie so zvyšujúcimi sa dávkami NSAID a u pacientov s vredom v anamnéze, najmä ak je to komplikované hemorágiou alebo perforáciou (pozri časť 4.3) a u starších pacientov. Títo pacienti by mali začať liečbu s najnižšou </w:t>
      </w:r>
      <w:r w:rsidR="00137178" w:rsidRPr="0029684D">
        <w:rPr>
          <w:sz w:val="22"/>
          <w:szCs w:val="22"/>
          <w:lang w:val="sk-SK"/>
        </w:rPr>
        <w:t xml:space="preserve">možnou </w:t>
      </w:r>
      <w:r w:rsidRPr="0029684D">
        <w:rPr>
          <w:sz w:val="22"/>
          <w:szCs w:val="22"/>
          <w:lang w:val="sk-SK"/>
        </w:rPr>
        <w:t xml:space="preserve"> dávkou</w:t>
      </w:r>
      <w:r w:rsidR="00E8736E"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="00137178" w:rsidRPr="003A721A">
        <w:rPr>
          <w:sz w:val="22"/>
          <w:szCs w:val="22"/>
        </w:rPr>
        <w:t xml:space="preserve">Zároveň by </w:t>
      </w:r>
      <w:proofErr w:type="gramStart"/>
      <w:r w:rsidR="00137178" w:rsidRPr="003A721A">
        <w:rPr>
          <w:sz w:val="22"/>
          <w:szCs w:val="22"/>
        </w:rPr>
        <w:t>sa</w:t>
      </w:r>
      <w:proofErr w:type="gramEnd"/>
      <w:r w:rsidR="00137178" w:rsidRPr="003A721A">
        <w:rPr>
          <w:sz w:val="22"/>
          <w:szCs w:val="22"/>
        </w:rPr>
        <w:t xml:space="preserve"> pri nich, ako aj pri</w:t>
      </w:r>
      <w:r w:rsidR="00137178" w:rsidRPr="00AA245A">
        <w:rPr>
          <w:sz w:val="22"/>
          <w:szCs w:val="22"/>
        </w:rPr>
        <w:t xml:space="preserve"> pacientoch</w:t>
      </w:r>
      <w:r w:rsidR="00137178" w:rsidRPr="00F844F7">
        <w:rPr>
          <w:sz w:val="22"/>
          <w:szCs w:val="22"/>
        </w:rPr>
        <w:t xml:space="preserve"> užívajúcich súbežne nízke dávky kyseliny acetylsalicylovej alebo iné lieky zvy</w:t>
      </w:r>
      <w:r w:rsidR="00137178" w:rsidRPr="003A721A">
        <w:rPr>
          <w:sz w:val="22"/>
          <w:szCs w:val="22"/>
        </w:rPr>
        <w:t xml:space="preserve">šujúce gastrointestinálne riziko (pozri časť 4.5), mala zvážiť liečba v kombinácii s ochrannými liečivami (napr. misoprostolom alebo inhibítormi protónovej pumpy). Pacienti s anamnézou gastrointestinálnej toxicity, najmä starší pacienti, by </w:t>
      </w:r>
      <w:proofErr w:type="gramStart"/>
      <w:r w:rsidR="00137178" w:rsidRPr="003A721A">
        <w:rPr>
          <w:sz w:val="22"/>
          <w:szCs w:val="22"/>
        </w:rPr>
        <w:t>mali</w:t>
      </w:r>
      <w:proofErr w:type="gramEnd"/>
      <w:r w:rsidR="00137178" w:rsidRPr="003A721A">
        <w:rPr>
          <w:sz w:val="22"/>
          <w:szCs w:val="22"/>
        </w:rPr>
        <w:t xml:space="preserve"> hlásiť akékoľvek nezvyčajné brušné príznaky (najmä krvácanie z tráviaceho traktu) obzvlášť v začiatočnej fáze liečby</w:t>
      </w:r>
      <w:r w:rsidR="00137178" w:rsidRPr="0029684D">
        <w:rPr>
          <w:sz w:val="22"/>
          <w:szCs w:val="22"/>
          <w:lang w:val="sk-SK"/>
        </w:rPr>
        <w:t xml:space="preserve"> </w:t>
      </w:r>
    </w:p>
    <w:p w14:paraId="51831F3A" w14:textId="1F6F20B5" w:rsidR="00137178" w:rsidRPr="003A721A" w:rsidRDefault="00137178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Zvýšenú pozornosť treba </w:t>
      </w:r>
      <w:r w:rsidR="00FB42B2">
        <w:rPr>
          <w:sz w:val="22"/>
          <w:szCs w:val="22"/>
        </w:rPr>
        <w:t>venovať pacientom, ktorí súbežne</w:t>
      </w:r>
      <w:r w:rsidRPr="003A721A">
        <w:rPr>
          <w:sz w:val="22"/>
          <w:szCs w:val="22"/>
        </w:rPr>
        <w:t xml:space="preserve"> užívajú ďalšie lieky zvyšujúce riziko tvorby vredov alebo krvácania, napr. </w:t>
      </w:r>
      <w:proofErr w:type="gramStart"/>
      <w:r w:rsidRPr="003A721A">
        <w:rPr>
          <w:sz w:val="22"/>
          <w:szCs w:val="22"/>
        </w:rPr>
        <w:t>perorálne</w:t>
      </w:r>
      <w:proofErr w:type="gramEnd"/>
      <w:r w:rsidRPr="003A721A">
        <w:rPr>
          <w:sz w:val="22"/>
          <w:szCs w:val="22"/>
        </w:rPr>
        <w:t xml:space="preserve"> kortikosteroidy, antikoagulanciá ako je warfarín, selektívne inhibítory spätného vychytávania sérotonínu alebo antiagreganciá ako je kyselina acetylsalicylová (pozri časť 4.5).</w:t>
      </w:r>
    </w:p>
    <w:p w14:paraId="2E51E3B7" w14:textId="71A9CAA9" w:rsidR="00137178" w:rsidRPr="00F844F7" w:rsidRDefault="00137178" w:rsidP="00BA5546">
      <w:pPr>
        <w:spacing w:after="0"/>
        <w:jc w:val="left"/>
        <w:rPr>
          <w:sz w:val="22"/>
          <w:szCs w:val="22"/>
        </w:rPr>
      </w:pPr>
      <w:r w:rsidRPr="00AA245A">
        <w:rPr>
          <w:sz w:val="22"/>
          <w:szCs w:val="22"/>
        </w:rPr>
        <w:t xml:space="preserve">Ak </w:t>
      </w:r>
      <w:proofErr w:type="gramStart"/>
      <w:r w:rsidRPr="00AA245A">
        <w:rPr>
          <w:sz w:val="22"/>
          <w:szCs w:val="22"/>
        </w:rPr>
        <w:t>sa</w:t>
      </w:r>
      <w:proofErr w:type="gramEnd"/>
      <w:r w:rsidRPr="00AA245A">
        <w:rPr>
          <w:sz w:val="22"/>
          <w:szCs w:val="22"/>
        </w:rPr>
        <w:t xml:space="preserve"> u pacientov užívajúcich </w:t>
      </w:r>
      <w:r w:rsidR="00AC6333">
        <w:rPr>
          <w:sz w:val="22"/>
          <w:szCs w:val="22"/>
        </w:rPr>
        <w:t>ibuprofen</w:t>
      </w:r>
      <w:r w:rsidRPr="00F844F7">
        <w:rPr>
          <w:sz w:val="22"/>
          <w:szCs w:val="22"/>
        </w:rPr>
        <w:t xml:space="preserve"> objaví gastrointestinálne krvácanie alebo tvorba vredov, liečba musí byť ukončená (pozri časť 4.5).</w:t>
      </w:r>
    </w:p>
    <w:p w14:paraId="1699AFAF" w14:textId="77777777" w:rsidR="00137178" w:rsidRPr="003A721A" w:rsidRDefault="00137178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Pacientom s anamnézou gastrointestinálnych ochorení (ulcerózna kolitída, Crohnova choroba) </w:t>
      </w:r>
      <w:proofErr w:type="gramStart"/>
      <w:r w:rsidRPr="003A721A">
        <w:rPr>
          <w:sz w:val="22"/>
          <w:szCs w:val="22"/>
        </w:rPr>
        <w:t>sa</w:t>
      </w:r>
      <w:proofErr w:type="gramEnd"/>
      <w:r w:rsidRPr="003A721A">
        <w:rPr>
          <w:sz w:val="22"/>
          <w:szCs w:val="22"/>
        </w:rPr>
        <w:t xml:space="preserve"> musia NSAID podávať s opatrnosťou, keďže môže dôjsť k zhoršeniu týchto ochorení (pozri časť 4.8).</w:t>
      </w:r>
    </w:p>
    <w:p w14:paraId="096E7429" w14:textId="77777777" w:rsidR="00467218" w:rsidRPr="0029684D" w:rsidRDefault="00137178" w:rsidP="00BA5546">
      <w:pPr>
        <w:tabs>
          <w:tab w:val="left" w:pos="7526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lastRenderedPageBreak/>
        <w:tab/>
      </w:r>
    </w:p>
    <w:p w14:paraId="6D6AF94C" w14:textId="77777777" w:rsidR="00467218" w:rsidRPr="0029684D" w:rsidRDefault="005E5BCF" w:rsidP="0023081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u w:val="single"/>
          <w:lang w:val="sk-SK"/>
        </w:rPr>
        <w:t>Kožn</w:t>
      </w:r>
      <w:r w:rsidR="007347A5" w:rsidRPr="0029684D">
        <w:rPr>
          <w:sz w:val="22"/>
          <w:szCs w:val="22"/>
          <w:u w:val="single"/>
          <w:lang w:val="sk-SK"/>
        </w:rPr>
        <w:t>é</w:t>
      </w:r>
      <w:r w:rsidRPr="0029684D">
        <w:rPr>
          <w:sz w:val="22"/>
          <w:szCs w:val="22"/>
          <w:u w:val="single"/>
          <w:lang w:val="sk-SK"/>
        </w:rPr>
        <w:t xml:space="preserve"> reakc</w:t>
      </w:r>
      <w:r w:rsidR="007347A5" w:rsidRPr="0029684D">
        <w:rPr>
          <w:sz w:val="22"/>
          <w:szCs w:val="22"/>
          <w:u w:val="single"/>
          <w:lang w:val="sk-SK"/>
        </w:rPr>
        <w:t>i</w:t>
      </w:r>
      <w:r w:rsidRPr="0029684D">
        <w:rPr>
          <w:sz w:val="22"/>
          <w:szCs w:val="22"/>
          <w:u w:val="single"/>
          <w:lang w:val="sk-SK"/>
        </w:rPr>
        <w:t>e</w:t>
      </w:r>
    </w:p>
    <w:p w14:paraId="563EC1EC" w14:textId="59574034" w:rsidR="00704696" w:rsidRPr="00E6202C" w:rsidRDefault="00704696" w:rsidP="00704696">
      <w:pPr>
        <w:shd w:val="clear" w:color="auto" w:fill="FFFFFF"/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V súvislosti s užívaním NSAID boli zriedkavo hlásené závažné kožné reakcie, niektoré z nich so smrteľnými následkami vrátane exfoliatívnej dermatitídy, Stevensovho-Johnsonovho syndrómu a toxickej epidermálnej nekrolýzy (pozri časť 4.8). Predpokladá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, že pre pacientov je najvyššie riziko vzniku týchto reakcií na začiatku liečby, nástup reakcií sa vo väčšine prípadov môže objaviť počas prvého mesiaca liečby. Pri prvom objavení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kožných vyrážok, mukóznych lézií alebo akýchkoľvek ďalších prejavov precitlivenosti musí byť liečba Ibalginom</w:t>
      </w:r>
      <w:r>
        <w:rPr>
          <w:sz w:val="22"/>
          <w:szCs w:val="22"/>
        </w:rPr>
        <w:t xml:space="preserve"> Junior 200 mg</w:t>
      </w:r>
      <w:r w:rsidRPr="00E6202C">
        <w:rPr>
          <w:sz w:val="22"/>
          <w:szCs w:val="22"/>
        </w:rPr>
        <w:t xml:space="preserve"> ukončená.</w:t>
      </w:r>
    </w:p>
    <w:p w14:paraId="40A27013" w14:textId="77777777" w:rsidR="00704696" w:rsidRPr="00E6202C" w:rsidRDefault="00704696" w:rsidP="00704696">
      <w:pPr>
        <w:shd w:val="clear" w:color="auto" w:fill="FFFFFF"/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Ovčie kiahne môžu byť </w:t>
      </w:r>
      <w:proofErr w:type="gramStart"/>
      <w:r w:rsidRPr="00E6202C">
        <w:rPr>
          <w:sz w:val="22"/>
          <w:szCs w:val="22"/>
        </w:rPr>
        <w:t>vo</w:t>
      </w:r>
      <w:proofErr w:type="gramEnd"/>
      <w:r w:rsidRPr="00E6202C">
        <w:rPr>
          <w:sz w:val="22"/>
          <w:szCs w:val="22"/>
        </w:rPr>
        <w:t xml:space="preserve"> výnimočných prípadoch dôvodom závažných komplikácií infekcií kože a mäkkých tkanív. Doposiaľ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vplyv NSAID na zhoršenie týchto infekcií nepodarilo vylúčiť. Z toho dôvodu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neodporúča užívanie ibuprofenu pri ovčích kiahňach</w:t>
      </w:r>
      <w:r>
        <w:rPr>
          <w:sz w:val="22"/>
          <w:szCs w:val="22"/>
        </w:rPr>
        <w:t>.</w:t>
      </w:r>
    </w:p>
    <w:p w14:paraId="7D856902" w14:textId="77777777" w:rsidR="00EC6D5C" w:rsidRPr="00AA245A" w:rsidRDefault="00EC6D5C" w:rsidP="00BA5546">
      <w:pPr>
        <w:tabs>
          <w:tab w:val="left" w:pos="3552"/>
          <w:tab w:val="left" w:pos="3936"/>
        </w:tabs>
        <w:spacing w:after="0"/>
        <w:jc w:val="left"/>
        <w:rPr>
          <w:sz w:val="22"/>
          <w:szCs w:val="22"/>
        </w:rPr>
      </w:pPr>
      <w:r w:rsidRPr="00AA245A">
        <w:rPr>
          <w:sz w:val="22"/>
          <w:szCs w:val="22"/>
        </w:rPr>
        <w:tab/>
      </w:r>
      <w:r w:rsidRPr="00AA245A">
        <w:rPr>
          <w:sz w:val="22"/>
          <w:szCs w:val="22"/>
        </w:rPr>
        <w:tab/>
      </w:r>
    </w:p>
    <w:p w14:paraId="021A7D06" w14:textId="2E6C8FCB" w:rsidR="00467218" w:rsidRPr="0029684D" w:rsidRDefault="00142208" w:rsidP="00230813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Vplyv na k</w:t>
      </w:r>
      <w:r w:rsidR="005A6551" w:rsidRPr="0029684D">
        <w:rPr>
          <w:sz w:val="22"/>
          <w:szCs w:val="22"/>
          <w:u w:val="single"/>
          <w:lang w:val="sk-SK"/>
        </w:rPr>
        <w:t>ardiovaskulárn</w:t>
      </w:r>
      <w:r w:rsidRPr="0029684D">
        <w:rPr>
          <w:sz w:val="22"/>
          <w:szCs w:val="22"/>
          <w:u w:val="single"/>
          <w:lang w:val="sk-SK"/>
        </w:rPr>
        <w:t xml:space="preserve">y </w:t>
      </w:r>
      <w:r w:rsidR="005A6551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> </w:t>
      </w:r>
      <w:r w:rsidR="005A6551" w:rsidRPr="0029684D">
        <w:rPr>
          <w:sz w:val="22"/>
          <w:szCs w:val="22"/>
          <w:u w:val="single"/>
          <w:lang w:val="sk-SK"/>
        </w:rPr>
        <w:t>cerebrovaskulárn</w:t>
      </w:r>
      <w:r w:rsidRPr="0029684D">
        <w:rPr>
          <w:sz w:val="22"/>
          <w:szCs w:val="22"/>
          <w:u w:val="single"/>
          <w:lang w:val="sk-SK"/>
        </w:rPr>
        <w:t>y sy</w:t>
      </w:r>
      <w:r w:rsidR="005F2AE7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>tém</w:t>
      </w:r>
    </w:p>
    <w:p w14:paraId="7F097EB3" w14:textId="38195DB2" w:rsidR="00FB42B2" w:rsidRDefault="009534BB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Pred začiatkom liečby je potrebná opatrnosť (</w:t>
      </w:r>
      <w:r w:rsidR="00EC6D5C" w:rsidRPr="0029684D">
        <w:rPr>
          <w:sz w:val="22"/>
          <w:szCs w:val="22"/>
          <w:lang w:val="sk-SK"/>
        </w:rPr>
        <w:t>rozhovor</w:t>
      </w:r>
      <w:r w:rsidRPr="0029684D">
        <w:rPr>
          <w:sz w:val="22"/>
          <w:szCs w:val="22"/>
          <w:lang w:val="sk-SK"/>
        </w:rPr>
        <w:t xml:space="preserve"> s lekárom alebo lekárnikom) u pacientov s hypertenziou a/alebo zlyh</w:t>
      </w:r>
      <w:r w:rsidR="00EC6D5C" w:rsidRPr="0029684D">
        <w:rPr>
          <w:sz w:val="22"/>
          <w:szCs w:val="22"/>
          <w:lang w:val="sk-SK"/>
        </w:rPr>
        <w:t xml:space="preserve">ávaním </w:t>
      </w:r>
      <w:r w:rsidR="008B2DE6" w:rsidRPr="0029684D">
        <w:rPr>
          <w:sz w:val="22"/>
          <w:szCs w:val="22"/>
          <w:lang w:val="sk-SK"/>
        </w:rPr>
        <w:t xml:space="preserve">srdca </w:t>
      </w:r>
      <w:r w:rsidRPr="0029684D">
        <w:rPr>
          <w:sz w:val="22"/>
          <w:szCs w:val="22"/>
          <w:lang w:val="sk-SK"/>
        </w:rPr>
        <w:t xml:space="preserve">v anamnéze, </w:t>
      </w:r>
      <w:r w:rsidR="00EC6D5C" w:rsidRPr="0029684D">
        <w:rPr>
          <w:sz w:val="22"/>
          <w:szCs w:val="22"/>
          <w:lang w:val="sk-SK"/>
        </w:rPr>
        <w:t xml:space="preserve">keďže v súvislosti s liečbou NSAID bolo hlásené zadržiavanie </w:t>
      </w:r>
      <w:r w:rsidRPr="0029684D">
        <w:rPr>
          <w:sz w:val="22"/>
          <w:szCs w:val="22"/>
          <w:lang w:val="sk-SK"/>
        </w:rPr>
        <w:t xml:space="preserve"> tekutín, hypertenzia a</w:t>
      </w:r>
      <w:r w:rsidR="00EC6D5C" w:rsidRPr="0029684D">
        <w:rPr>
          <w:sz w:val="22"/>
          <w:szCs w:val="22"/>
          <w:lang w:val="sk-SK"/>
        </w:rPr>
        <w:t> edémy.</w:t>
      </w:r>
      <w:r w:rsidRPr="0029684D">
        <w:rPr>
          <w:sz w:val="22"/>
          <w:szCs w:val="22"/>
          <w:lang w:val="sk-SK"/>
        </w:rPr>
        <w:t xml:space="preserve"> </w:t>
      </w:r>
    </w:p>
    <w:p w14:paraId="24144149" w14:textId="77777777" w:rsidR="00FB42B2" w:rsidRDefault="00FB42B2" w:rsidP="00BA5546">
      <w:pPr>
        <w:spacing w:after="0"/>
        <w:jc w:val="left"/>
        <w:rPr>
          <w:sz w:val="22"/>
          <w:szCs w:val="22"/>
          <w:lang w:val="sk-SK"/>
        </w:rPr>
      </w:pPr>
    </w:p>
    <w:p w14:paraId="4D3AF611" w14:textId="2A4E976F" w:rsidR="00EC6D5C" w:rsidRDefault="00EC6D5C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Klinické štúdie naznačujú, že užívanie ibuprofenu, najmä </w:t>
      </w:r>
      <w:proofErr w:type="gramStart"/>
      <w:r w:rsidRPr="003A721A">
        <w:rPr>
          <w:sz w:val="22"/>
          <w:szCs w:val="22"/>
        </w:rPr>
        <w:t>vo</w:t>
      </w:r>
      <w:proofErr w:type="gramEnd"/>
      <w:r w:rsidRPr="003A721A">
        <w:rPr>
          <w:sz w:val="22"/>
          <w:szCs w:val="22"/>
        </w:rPr>
        <w:t xml:space="preserve"> vysokých dávkach (2 400 mg/deň), môže mať súvislosť s malým zvýšením rizika arteriálnych trombotických príhod (napr. infarkt myokardu alebo mozgová mŕtvica). Epidemiologické štúdie však </w:t>
      </w:r>
      <w:proofErr w:type="gramStart"/>
      <w:r w:rsidRPr="003A721A">
        <w:rPr>
          <w:sz w:val="22"/>
          <w:szCs w:val="22"/>
        </w:rPr>
        <w:t>vo</w:t>
      </w:r>
      <w:proofErr w:type="gramEnd"/>
      <w:r w:rsidRPr="003A721A">
        <w:rPr>
          <w:sz w:val="22"/>
          <w:szCs w:val="22"/>
        </w:rPr>
        <w:t xml:space="preserve"> všeobecnosti nenaznačujú, že nízka dávka </w:t>
      </w:r>
      <w:r w:rsidR="00AC6333">
        <w:rPr>
          <w:sz w:val="22"/>
          <w:szCs w:val="22"/>
        </w:rPr>
        <w:t>ibuprofen</w:t>
      </w:r>
      <w:r w:rsidRPr="003A721A">
        <w:rPr>
          <w:sz w:val="22"/>
          <w:szCs w:val="22"/>
        </w:rPr>
        <w:t>u (napr.  ≤ 1 200 mg/ deň) má súvislosť so zvýšením rizika arteriálnych trombotických príhod.</w:t>
      </w:r>
    </w:p>
    <w:p w14:paraId="05468FDB" w14:textId="77777777" w:rsidR="00FB42B2" w:rsidRPr="003A721A" w:rsidRDefault="00FB42B2" w:rsidP="00BA5546">
      <w:pPr>
        <w:spacing w:after="0"/>
        <w:jc w:val="left"/>
        <w:rPr>
          <w:sz w:val="22"/>
          <w:szCs w:val="22"/>
        </w:rPr>
      </w:pPr>
    </w:p>
    <w:p w14:paraId="69FECE6E" w14:textId="77777777" w:rsidR="00EC6D5C" w:rsidRPr="00AA245A" w:rsidRDefault="00EC6D5C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>Pacienti s nekontrolovanou hypertenziou, kongestívnym zlyhávaním srdca (NYHA II-III), ischemickou chorobou srdca, perifé</w:t>
      </w:r>
      <w:r w:rsidRPr="00AA245A">
        <w:rPr>
          <w:sz w:val="22"/>
          <w:szCs w:val="22"/>
        </w:rPr>
        <w:t xml:space="preserve">rnym artériovým ochorením a/alebo cerebrovaskulárnymi ochoreniami by </w:t>
      </w:r>
      <w:proofErr w:type="gramStart"/>
      <w:r w:rsidRPr="00AA245A">
        <w:rPr>
          <w:sz w:val="22"/>
          <w:szCs w:val="22"/>
        </w:rPr>
        <w:t>mali</w:t>
      </w:r>
      <w:proofErr w:type="gramEnd"/>
      <w:r w:rsidRPr="00AA245A">
        <w:rPr>
          <w:sz w:val="22"/>
          <w:szCs w:val="22"/>
        </w:rPr>
        <w:t xml:space="preserve"> užívať ibuprofen až po starostlivom zvážení a mali by sa vyhnúť užívaniu vysokých dávok (2 400 mg/deň).</w:t>
      </w:r>
    </w:p>
    <w:p w14:paraId="6F424426" w14:textId="77777777" w:rsidR="00EC6D5C" w:rsidRPr="00F844F7" w:rsidRDefault="00EC6D5C" w:rsidP="00BA5546">
      <w:pPr>
        <w:tabs>
          <w:tab w:val="left" w:pos="3192"/>
        </w:tabs>
        <w:spacing w:after="0"/>
        <w:jc w:val="left"/>
        <w:rPr>
          <w:sz w:val="22"/>
          <w:szCs w:val="22"/>
        </w:rPr>
      </w:pPr>
      <w:r w:rsidRPr="00F844F7">
        <w:rPr>
          <w:sz w:val="22"/>
          <w:szCs w:val="22"/>
        </w:rPr>
        <w:tab/>
      </w:r>
    </w:p>
    <w:p w14:paraId="5C3D5F1D" w14:textId="77777777" w:rsidR="00EC6D5C" w:rsidRPr="003A721A" w:rsidRDefault="00EC6D5C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Dlhodobá liečba pacientov s rizikovými faktormi vzniku kardiovaskulárnych príhod (napr. hypertenzia, hyperlipidémia, cukrovka, fajčenie) musí byť starostlivo zvážená, najmä </w:t>
      </w:r>
      <w:proofErr w:type="gramStart"/>
      <w:r w:rsidRPr="003A721A">
        <w:rPr>
          <w:sz w:val="22"/>
          <w:szCs w:val="22"/>
        </w:rPr>
        <w:t>ak</w:t>
      </w:r>
      <w:proofErr w:type="gramEnd"/>
      <w:r w:rsidRPr="003A721A">
        <w:rPr>
          <w:sz w:val="22"/>
          <w:szCs w:val="22"/>
        </w:rPr>
        <w:t xml:space="preserve"> je potrebná liečba vysokými dávkami ibuprofenu (2 400 mg/ deň).</w:t>
      </w:r>
    </w:p>
    <w:p w14:paraId="3976B85F" w14:textId="77777777" w:rsidR="00F021E3" w:rsidRPr="0029684D" w:rsidRDefault="00F021E3" w:rsidP="00230813">
      <w:pPr>
        <w:spacing w:after="0"/>
        <w:jc w:val="left"/>
        <w:rPr>
          <w:sz w:val="22"/>
          <w:szCs w:val="22"/>
          <w:lang w:val="sk-SK"/>
        </w:rPr>
      </w:pPr>
    </w:p>
    <w:p w14:paraId="1A8BF060" w14:textId="77777777" w:rsidR="00467218" w:rsidRPr="0029684D" w:rsidRDefault="00B16CCD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Ď</w:t>
      </w:r>
      <w:r w:rsidR="00881B08" w:rsidRPr="0029684D">
        <w:rPr>
          <w:sz w:val="22"/>
          <w:szCs w:val="22"/>
          <w:u w:val="single"/>
          <w:lang w:val="sk-SK"/>
        </w:rPr>
        <w:t>alš</w:t>
      </w:r>
      <w:r w:rsidRPr="0029684D">
        <w:rPr>
          <w:sz w:val="22"/>
          <w:szCs w:val="22"/>
          <w:u w:val="single"/>
          <w:lang w:val="sk-SK"/>
        </w:rPr>
        <w:t>ie</w:t>
      </w:r>
      <w:r w:rsidR="00881B08" w:rsidRPr="0029684D">
        <w:rPr>
          <w:sz w:val="22"/>
          <w:szCs w:val="22"/>
          <w:u w:val="single"/>
          <w:lang w:val="sk-SK"/>
        </w:rPr>
        <w:t xml:space="preserve"> </w:t>
      </w:r>
      <w:r w:rsidR="001A22A1" w:rsidRPr="0029684D">
        <w:rPr>
          <w:sz w:val="22"/>
          <w:szCs w:val="22"/>
          <w:u w:val="single"/>
          <w:lang w:val="sk-SK"/>
        </w:rPr>
        <w:t>upozornenia</w:t>
      </w:r>
    </w:p>
    <w:p w14:paraId="059160E1" w14:textId="77777777" w:rsidR="000B73F3" w:rsidRPr="0029684D" w:rsidRDefault="000B73F3" w:rsidP="00300F58">
      <w:pPr>
        <w:spacing w:after="0"/>
        <w:jc w:val="left"/>
        <w:rPr>
          <w:i/>
          <w:sz w:val="22"/>
          <w:szCs w:val="22"/>
          <w:lang w:val="sk-SK"/>
        </w:rPr>
      </w:pPr>
    </w:p>
    <w:p w14:paraId="353E4E96" w14:textId="6980D89F" w:rsidR="00663472" w:rsidRPr="00AA245A" w:rsidRDefault="00182C9A" w:rsidP="00BA5546">
      <w:pPr>
        <w:spacing w:after="0"/>
        <w:jc w:val="left"/>
        <w:rPr>
          <w:sz w:val="22"/>
          <w:szCs w:val="22"/>
        </w:rPr>
      </w:pPr>
      <w:r w:rsidRPr="0029684D">
        <w:rPr>
          <w:sz w:val="22"/>
          <w:szCs w:val="22"/>
          <w:lang w:val="sk-SK"/>
        </w:rPr>
        <w:t>Závažné akútne reakcie z precitlivenosti (napríklad anafylaktický šok) sa pozor</w:t>
      </w:r>
      <w:r w:rsidR="00704696">
        <w:rPr>
          <w:sz w:val="22"/>
          <w:szCs w:val="22"/>
          <w:lang w:val="sk-SK"/>
        </w:rPr>
        <w:t>ovali</w:t>
      </w:r>
      <w:r w:rsidRPr="0029684D">
        <w:rPr>
          <w:sz w:val="22"/>
          <w:szCs w:val="22"/>
          <w:lang w:val="sk-SK"/>
        </w:rPr>
        <w:t xml:space="preserve"> veľmi zriedkavo. Pri prvých príznakoch hypersenzitívnej reakcie </w:t>
      </w:r>
      <w:r w:rsidRPr="0034134C">
        <w:rPr>
          <w:sz w:val="22"/>
          <w:szCs w:val="22"/>
          <w:lang w:val="sk-SK"/>
        </w:rPr>
        <w:t xml:space="preserve">po užití/podaní </w:t>
      </w:r>
      <w:r w:rsidR="00987E9D" w:rsidRPr="0034134C">
        <w:rPr>
          <w:sz w:val="22"/>
          <w:szCs w:val="22"/>
          <w:lang w:val="sk-SK"/>
        </w:rPr>
        <w:t>Ibalgin</w:t>
      </w:r>
      <w:r w:rsidR="00704696" w:rsidRPr="0034134C">
        <w:rPr>
          <w:sz w:val="22"/>
          <w:szCs w:val="22"/>
          <w:lang w:val="sk-SK"/>
        </w:rPr>
        <w:t>u</w:t>
      </w:r>
      <w:r w:rsidR="00987E9D" w:rsidRPr="0034134C">
        <w:rPr>
          <w:sz w:val="22"/>
          <w:szCs w:val="22"/>
          <w:lang w:val="sk-SK"/>
        </w:rPr>
        <w:t xml:space="preserve"> Junior </w:t>
      </w:r>
      <w:r w:rsidR="00704696" w:rsidRPr="0034134C">
        <w:rPr>
          <w:sz w:val="22"/>
          <w:szCs w:val="22"/>
          <w:lang w:val="sk-SK"/>
        </w:rPr>
        <w:t>200 mg</w:t>
      </w:r>
      <w:r w:rsidR="00987E9D" w:rsidRPr="0034134C">
        <w:rPr>
          <w:sz w:val="22"/>
          <w:szCs w:val="22"/>
          <w:lang w:val="sk-SK"/>
        </w:rPr>
        <w:t xml:space="preserve"> </w:t>
      </w:r>
      <w:r w:rsidRPr="0034134C">
        <w:rPr>
          <w:sz w:val="22"/>
          <w:szCs w:val="22"/>
          <w:lang w:val="sk-SK"/>
        </w:rPr>
        <w:t xml:space="preserve">sa musí liečba </w:t>
      </w:r>
      <w:r w:rsidR="00704696" w:rsidRPr="0034134C">
        <w:rPr>
          <w:sz w:val="22"/>
          <w:szCs w:val="22"/>
          <w:lang w:val="sk-SK"/>
        </w:rPr>
        <w:t>ukončiť</w:t>
      </w:r>
      <w:r w:rsidR="00881B08" w:rsidRPr="0034134C">
        <w:rPr>
          <w:sz w:val="22"/>
          <w:szCs w:val="22"/>
          <w:lang w:val="sk-SK"/>
        </w:rPr>
        <w:t>.</w:t>
      </w:r>
      <w:r w:rsidR="00663472" w:rsidRPr="0034134C">
        <w:rPr>
          <w:sz w:val="22"/>
          <w:szCs w:val="22"/>
        </w:rPr>
        <w:t xml:space="preserve"> Na základe vzniknutých symptómo</w:t>
      </w:r>
      <w:r w:rsidR="00F27E09" w:rsidRPr="0034134C">
        <w:rPr>
          <w:sz w:val="22"/>
          <w:szCs w:val="22"/>
        </w:rPr>
        <w:t>v musia</w:t>
      </w:r>
      <w:r w:rsidR="00663472" w:rsidRPr="0034134C">
        <w:rPr>
          <w:sz w:val="22"/>
          <w:szCs w:val="22"/>
        </w:rPr>
        <w:t xml:space="preserve"> </w:t>
      </w:r>
      <w:r w:rsidR="00F27E09" w:rsidRPr="0034134C">
        <w:rPr>
          <w:sz w:val="22"/>
          <w:szCs w:val="22"/>
        </w:rPr>
        <w:t xml:space="preserve">zdravotnícki pracovníci </w:t>
      </w:r>
      <w:r w:rsidR="00663472" w:rsidRPr="0034134C">
        <w:rPr>
          <w:sz w:val="22"/>
          <w:szCs w:val="22"/>
        </w:rPr>
        <w:t>poskytnúť</w:t>
      </w:r>
      <w:r w:rsidR="00663472" w:rsidRPr="003A721A">
        <w:rPr>
          <w:sz w:val="22"/>
          <w:szCs w:val="22"/>
        </w:rPr>
        <w:t xml:space="preserve"> vhodné liečebné opatrenia.</w:t>
      </w:r>
    </w:p>
    <w:p w14:paraId="34AED323" w14:textId="77777777" w:rsidR="00D16C28" w:rsidRPr="0029684D" w:rsidRDefault="00D16C28" w:rsidP="00230813">
      <w:pPr>
        <w:spacing w:after="0"/>
        <w:jc w:val="left"/>
        <w:rPr>
          <w:i/>
          <w:sz w:val="22"/>
          <w:szCs w:val="22"/>
          <w:lang w:val="sk-SK"/>
        </w:rPr>
      </w:pPr>
    </w:p>
    <w:p w14:paraId="31E6C4CD" w14:textId="402C36C7" w:rsidR="00D16C28" w:rsidRPr="0029684D" w:rsidRDefault="00A9372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Pri dlhodobom podávaní</w:t>
      </w:r>
      <w:r w:rsidR="00E6195C" w:rsidRPr="0029684D">
        <w:rPr>
          <w:sz w:val="22"/>
          <w:szCs w:val="22"/>
          <w:lang w:val="sk-SK"/>
        </w:rPr>
        <w:t xml:space="preserve"> </w:t>
      </w:r>
      <w:r w:rsidR="00987E9D" w:rsidRPr="0029684D">
        <w:rPr>
          <w:sz w:val="22"/>
          <w:szCs w:val="22"/>
          <w:lang w:val="sk-SK"/>
        </w:rPr>
        <w:t>Ibalgin</w:t>
      </w:r>
      <w:r w:rsidR="00704696">
        <w:rPr>
          <w:sz w:val="22"/>
          <w:szCs w:val="22"/>
          <w:lang w:val="sk-SK"/>
        </w:rPr>
        <w:t>u</w:t>
      </w:r>
      <w:r w:rsidR="00E6195C" w:rsidRPr="0029684D">
        <w:rPr>
          <w:sz w:val="22"/>
          <w:szCs w:val="22"/>
          <w:lang w:val="sk-SK"/>
        </w:rPr>
        <w:t xml:space="preserve"> Junior </w:t>
      </w:r>
      <w:r w:rsidR="00704696">
        <w:rPr>
          <w:sz w:val="22"/>
          <w:szCs w:val="22"/>
          <w:lang w:val="sk-SK"/>
        </w:rPr>
        <w:t>200 mg</w:t>
      </w:r>
      <w:r w:rsidR="00881B08" w:rsidRPr="0029684D">
        <w:rPr>
          <w:sz w:val="22"/>
          <w:szCs w:val="22"/>
          <w:lang w:val="sk-SK"/>
        </w:rPr>
        <w:t xml:space="preserve"> s</w:t>
      </w:r>
      <w:r w:rsidRPr="0029684D">
        <w:rPr>
          <w:sz w:val="22"/>
          <w:szCs w:val="22"/>
          <w:lang w:val="sk-SK"/>
        </w:rPr>
        <w:t>a</w:t>
      </w:r>
      <w:r w:rsidR="00881B0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vyžaduje pravidelná kontrola </w:t>
      </w:r>
      <w:r w:rsidR="00881B08" w:rsidRPr="0029684D">
        <w:rPr>
          <w:sz w:val="22"/>
          <w:szCs w:val="22"/>
          <w:lang w:val="sk-SK"/>
        </w:rPr>
        <w:t>funkc</w:t>
      </w:r>
      <w:r w:rsidRPr="0029684D">
        <w:rPr>
          <w:sz w:val="22"/>
          <w:szCs w:val="22"/>
          <w:lang w:val="sk-SK"/>
        </w:rPr>
        <w:t>ie</w:t>
      </w:r>
      <w:r w:rsidR="00881B0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pečene a obličiek, ako aj </w:t>
      </w:r>
      <w:r w:rsidR="00881B08" w:rsidRPr="0029684D">
        <w:rPr>
          <w:sz w:val="22"/>
          <w:szCs w:val="22"/>
          <w:lang w:val="sk-SK"/>
        </w:rPr>
        <w:t>krvn</w:t>
      </w:r>
      <w:r w:rsidRPr="0029684D">
        <w:rPr>
          <w:sz w:val="22"/>
          <w:szCs w:val="22"/>
          <w:lang w:val="sk-SK"/>
        </w:rPr>
        <w:t>ý</w:t>
      </w:r>
      <w:r w:rsidR="00881B08" w:rsidRPr="0029684D">
        <w:rPr>
          <w:sz w:val="22"/>
          <w:szCs w:val="22"/>
          <w:lang w:val="sk-SK"/>
        </w:rPr>
        <w:t xml:space="preserve"> obraz.</w:t>
      </w:r>
    </w:p>
    <w:p w14:paraId="7D18B334" w14:textId="77777777" w:rsidR="00D16C28" w:rsidRPr="0029684D" w:rsidRDefault="00D16C28" w:rsidP="00300F58">
      <w:pPr>
        <w:spacing w:after="0"/>
        <w:jc w:val="left"/>
        <w:rPr>
          <w:i/>
          <w:sz w:val="22"/>
          <w:szCs w:val="22"/>
          <w:lang w:val="sk-SK"/>
        </w:rPr>
      </w:pPr>
    </w:p>
    <w:p w14:paraId="379FBDB7" w14:textId="77777777" w:rsidR="00AF4D16" w:rsidRPr="0029684D" w:rsidRDefault="00881B08" w:rsidP="00300F58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Starší pacienti</w:t>
      </w:r>
    </w:p>
    <w:p w14:paraId="063DD7A5" w14:textId="77777777" w:rsidR="000B73F3" w:rsidRPr="0029684D" w:rsidRDefault="00A9372C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Starší pacienti majú zvýšený výskyt nežiaducich reakcií na NSAID, najmä gastrointestinálneho krvácania a perforácie, ktoré môžu </w:t>
      </w:r>
      <w:r w:rsidR="00663472" w:rsidRPr="0029684D">
        <w:rPr>
          <w:sz w:val="22"/>
          <w:szCs w:val="22"/>
          <w:lang w:val="sk-SK"/>
        </w:rPr>
        <w:t>mať smrteľné následky</w:t>
      </w:r>
      <w:r w:rsidRPr="0029684D">
        <w:rPr>
          <w:sz w:val="22"/>
          <w:szCs w:val="22"/>
          <w:lang w:val="sk-SK"/>
        </w:rPr>
        <w:t xml:space="preserve"> </w:t>
      </w:r>
      <w:r w:rsidR="00881B08" w:rsidRPr="0029684D">
        <w:rPr>
          <w:sz w:val="22"/>
          <w:szCs w:val="22"/>
          <w:lang w:val="sk-SK"/>
        </w:rPr>
        <w:t>(</w:t>
      </w:r>
      <w:r w:rsidR="007347A5" w:rsidRPr="0029684D">
        <w:rPr>
          <w:sz w:val="22"/>
          <w:szCs w:val="22"/>
          <w:lang w:val="sk-SK"/>
        </w:rPr>
        <w:t xml:space="preserve">pozri časť </w:t>
      </w:r>
      <w:r w:rsidR="00881B08" w:rsidRPr="0029684D">
        <w:rPr>
          <w:sz w:val="22"/>
          <w:szCs w:val="22"/>
          <w:lang w:val="sk-SK"/>
        </w:rPr>
        <w:t>4.8).</w:t>
      </w:r>
    </w:p>
    <w:p w14:paraId="0D869755" w14:textId="77777777" w:rsidR="000B73F3" w:rsidRPr="0029684D" w:rsidRDefault="000B73F3" w:rsidP="008E420F">
      <w:pPr>
        <w:spacing w:after="0"/>
        <w:jc w:val="left"/>
        <w:rPr>
          <w:i/>
          <w:sz w:val="22"/>
          <w:szCs w:val="22"/>
          <w:lang w:val="sk-SK"/>
        </w:rPr>
      </w:pPr>
    </w:p>
    <w:p w14:paraId="7F6848CE" w14:textId="77777777" w:rsidR="000B73F3" w:rsidRPr="0029684D" w:rsidRDefault="00881B08" w:rsidP="00D22436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Respiračn</w:t>
      </w:r>
      <w:r w:rsidR="00B16CCD" w:rsidRPr="0029684D">
        <w:rPr>
          <w:i/>
          <w:sz w:val="22"/>
          <w:szCs w:val="22"/>
          <w:lang w:val="sk-SK"/>
        </w:rPr>
        <w:t>é</w:t>
      </w:r>
      <w:r w:rsidRPr="0029684D">
        <w:rPr>
          <w:i/>
          <w:sz w:val="22"/>
          <w:szCs w:val="22"/>
          <w:lang w:val="sk-SK"/>
        </w:rPr>
        <w:t xml:space="preserve"> poruchy</w:t>
      </w:r>
    </w:p>
    <w:p w14:paraId="5EBDF820" w14:textId="3FE1B8E6" w:rsidR="000B73F3" w:rsidRPr="0029684D" w:rsidRDefault="00881B08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U</w:t>
      </w:r>
      <w:r w:rsidR="00A9372C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pacient</w:t>
      </w:r>
      <w:r w:rsidR="00A9372C" w:rsidRPr="0029684D">
        <w:rPr>
          <w:sz w:val="22"/>
          <w:szCs w:val="22"/>
          <w:lang w:val="sk-SK"/>
        </w:rPr>
        <w:t>ov, ktorí</w:t>
      </w:r>
      <w:r w:rsidRPr="0029684D">
        <w:rPr>
          <w:sz w:val="22"/>
          <w:szCs w:val="22"/>
          <w:lang w:val="sk-SK"/>
        </w:rPr>
        <w:t xml:space="preserve"> </w:t>
      </w:r>
      <w:r w:rsidR="00704696">
        <w:rPr>
          <w:sz w:val="22"/>
          <w:szCs w:val="22"/>
          <w:lang w:val="sk-SK"/>
        </w:rPr>
        <w:t>majú alebo mali</w:t>
      </w:r>
      <w:r w:rsidR="0070469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bronchiáln</w:t>
      </w:r>
      <w:r w:rsidR="00A9372C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 xml:space="preserve"> astm</w:t>
      </w:r>
      <w:r w:rsidR="00A9372C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 xml:space="preserve"> </w:t>
      </w:r>
      <w:r w:rsidR="00A9372C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alergick</w:t>
      </w:r>
      <w:r w:rsidR="00704696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A9372C" w:rsidRPr="0029684D">
        <w:rPr>
          <w:sz w:val="22"/>
          <w:szCs w:val="22"/>
          <w:lang w:val="sk-SK"/>
        </w:rPr>
        <w:t>ochoren</w:t>
      </w:r>
      <w:r w:rsidR="00704696">
        <w:rPr>
          <w:sz w:val="22"/>
          <w:szCs w:val="22"/>
          <w:lang w:val="sk-SK"/>
        </w:rPr>
        <w:t>ie</w:t>
      </w:r>
      <w:r w:rsidR="00A9372C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</w:t>
      </w:r>
      <w:r w:rsidR="00A9372C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Pr="00185F24">
        <w:rPr>
          <w:sz w:val="22"/>
          <w:szCs w:val="22"/>
          <w:lang w:val="sk-SK"/>
        </w:rPr>
        <w:t>d</w:t>
      </w:r>
      <w:r w:rsidR="00A9372C" w:rsidRPr="006436FD">
        <w:rPr>
          <w:sz w:val="22"/>
          <w:szCs w:val="22"/>
          <w:lang w:val="sk-SK"/>
        </w:rPr>
        <w:t xml:space="preserve">ôjsť k </w:t>
      </w:r>
      <w:r w:rsidR="00A9372C" w:rsidRPr="00D14BB2">
        <w:rPr>
          <w:sz w:val="22"/>
          <w:szCs w:val="22"/>
          <w:lang w:val="sk-SK"/>
        </w:rPr>
        <w:t>urýchleniu</w:t>
      </w:r>
      <w:r w:rsidRPr="0029684D">
        <w:rPr>
          <w:sz w:val="22"/>
          <w:szCs w:val="22"/>
          <w:lang w:val="sk-SK"/>
        </w:rPr>
        <w:t xml:space="preserve"> bronchospa</w:t>
      </w:r>
      <w:r w:rsidR="00A9372C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mu.</w:t>
      </w:r>
    </w:p>
    <w:p w14:paraId="38E4D60B" w14:textId="77777777" w:rsidR="000B73F3" w:rsidRPr="0029684D" w:rsidRDefault="000B73F3" w:rsidP="00704696">
      <w:pPr>
        <w:spacing w:after="0"/>
        <w:jc w:val="left"/>
        <w:rPr>
          <w:sz w:val="22"/>
          <w:szCs w:val="22"/>
          <w:lang w:val="sk-SK"/>
        </w:rPr>
      </w:pPr>
    </w:p>
    <w:p w14:paraId="3DF4257C" w14:textId="77777777" w:rsidR="000B73F3" w:rsidRPr="0029684D" w:rsidRDefault="00881B08" w:rsidP="008A7BF7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Účin</w:t>
      </w:r>
      <w:r w:rsidR="00663472" w:rsidRPr="0029684D">
        <w:rPr>
          <w:i/>
          <w:sz w:val="22"/>
          <w:szCs w:val="22"/>
          <w:lang w:val="sk-SK"/>
        </w:rPr>
        <w:t>ok</w:t>
      </w:r>
      <w:r w:rsidRPr="0029684D">
        <w:rPr>
          <w:i/>
          <w:sz w:val="22"/>
          <w:szCs w:val="22"/>
          <w:lang w:val="sk-SK"/>
        </w:rPr>
        <w:t xml:space="preserve"> na </w:t>
      </w:r>
      <w:r w:rsidR="00B16CCD" w:rsidRPr="0029684D">
        <w:rPr>
          <w:i/>
          <w:sz w:val="22"/>
          <w:szCs w:val="22"/>
          <w:lang w:val="sk-SK"/>
        </w:rPr>
        <w:t>obličk</w:t>
      </w:r>
      <w:r w:rsidRPr="0029684D">
        <w:rPr>
          <w:i/>
          <w:sz w:val="22"/>
          <w:szCs w:val="22"/>
          <w:lang w:val="sk-SK"/>
        </w:rPr>
        <w:t>y</w:t>
      </w:r>
    </w:p>
    <w:p w14:paraId="5A4ED672" w14:textId="5D33775D" w:rsidR="000B73F3" w:rsidRPr="0029684D" w:rsidRDefault="003A721A" w:rsidP="006436FD">
      <w:pPr>
        <w:spacing w:after="0"/>
        <w:jc w:val="left"/>
        <w:rPr>
          <w:sz w:val="22"/>
          <w:szCs w:val="22"/>
          <w:lang w:val="sk-SK"/>
        </w:rPr>
      </w:pPr>
      <w:r w:rsidRPr="003A721A">
        <w:rPr>
          <w:sz w:val="22"/>
          <w:szCs w:val="22"/>
        </w:rPr>
        <w:t xml:space="preserve">Návykové užívanie liekov proti bolesti, najmä v kombinácii s ďalšími liečivami tlmiacimi bolesť, môže </w:t>
      </w:r>
      <w:proofErr w:type="gramStart"/>
      <w:r w:rsidRPr="003A721A">
        <w:rPr>
          <w:sz w:val="22"/>
          <w:szCs w:val="22"/>
        </w:rPr>
        <w:t>vo</w:t>
      </w:r>
      <w:proofErr w:type="gramEnd"/>
      <w:r w:rsidRPr="003A721A">
        <w:rPr>
          <w:sz w:val="22"/>
          <w:szCs w:val="22"/>
        </w:rPr>
        <w:t xml:space="preserve"> všeobecnosti viesť k trvalému poškodeniu obličiek s rizikom zlyhania obličiek (analgetická </w:t>
      </w:r>
      <w:r w:rsidRPr="003A721A">
        <w:rPr>
          <w:sz w:val="22"/>
          <w:szCs w:val="22"/>
        </w:rPr>
        <w:lastRenderedPageBreak/>
        <w:t xml:space="preserve">nefropatia). Toto riziko </w:t>
      </w:r>
      <w:proofErr w:type="gramStart"/>
      <w:r w:rsidRPr="003A721A">
        <w:rPr>
          <w:sz w:val="22"/>
          <w:szCs w:val="22"/>
        </w:rPr>
        <w:t>sa</w:t>
      </w:r>
      <w:proofErr w:type="gramEnd"/>
      <w:r w:rsidRPr="003A721A">
        <w:rPr>
          <w:sz w:val="22"/>
          <w:szCs w:val="22"/>
        </w:rPr>
        <w:t xml:space="preserve"> môže zvyšovať s telesnou záťažou súvisiacou so stratou soli a dehydratáciou, preto je nutné sa </w:t>
      </w:r>
      <w:r w:rsidR="00A3241F">
        <w:rPr>
          <w:sz w:val="22"/>
          <w:szCs w:val="22"/>
        </w:rPr>
        <w:t>týmto činnostiam</w:t>
      </w:r>
      <w:r w:rsidRPr="003A721A">
        <w:rPr>
          <w:sz w:val="22"/>
          <w:szCs w:val="22"/>
        </w:rPr>
        <w:t xml:space="preserve"> vy</w:t>
      </w:r>
      <w:r w:rsidR="00F46910">
        <w:rPr>
          <w:sz w:val="22"/>
          <w:szCs w:val="22"/>
        </w:rPr>
        <w:t>hnúť.</w:t>
      </w:r>
    </w:p>
    <w:p w14:paraId="2BC1CEE2" w14:textId="77777777" w:rsidR="000B73F3" w:rsidRPr="0029684D" w:rsidRDefault="000B73F3" w:rsidP="000A3637">
      <w:pPr>
        <w:spacing w:after="0"/>
        <w:jc w:val="left"/>
        <w:rPr>
          <w:sz w:val="22"/>
          <w:szCs w:val="22"/>
          <w:lang w:val="sk-SK"/>
        </w:rPr>
      </w:pPr>
    </w:p>
    <w:p w14:paraId="452A797C" w14:textId="65757AF4" w:rsidR="00F15F3D" w:rsidRPr="0029684D" w:rsidRDefault="00D976A7" w:rsidP="00043DF3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Hyperkal</w:t>
      </w:r>
      <w:r w:rsidR="009D22DA">
        <w:rPr>
          <w:i/>
          <w:sz w:val="22"/>
          <w:szCs w:val="22"/>
          <w:lang w:val="sk-SK"/>
        </w:rPr>
        <w:t>i</w:t>
      </w:r>
      <w:r w:rsidRPr="0029684D">
        <w:rPr>
          <w:i/>
          <w:sz w:val="22"/>
          <w:szCs w:val="22"/>
          <w:lang w:val="sk-SK"/>
        </w:rPr>
        <w:t>émi</w:t>
      </w:r>
      <w:r w:rsidR="00B16CCD" w:rsidRPr="0029684D">
        <w:rPr>
          <w:i/>
          <w:sz w:val="22"/>
          <w:szCs w:val="22"/>
          <w:lang w:val="sk-SK"/>
        </w:rPr>
        <w:t>a</w:t>
      </w:r>
    </w:p>
    <w:p w14:paraId="09836B88" w14:textId="1A771569" w:rsidR="00F15F3D" w:rsidRPr="0029684D" w:rsidRDefault="00A9372C" w:rsidP="00E44A6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Existuje zvýšené riziko hyperkaliémie u pacientov s cukrovkou a pri súbežnom užívaní </w:t>
      </w:r>
      <w:r w:rsidR="00E6195C" w:rsidRPr="0029684D">
        <w:rPr>
          <w:sz w:val="22"/>
          <w:szCs w:val="22"/>
          <w:lang w:val="sk-SK"/>
        </w:rPr>
        <w:t>Ibalgin</w:t>
      </w:r>
      <w:r w:rsidR="00A3241F">
        <w:rPr>
          <w:sz w:val="22"/>
          <w:szCs w:val="22"/>
          <w:lang w:val="sk-SK"/>
        </w:rPr>
        <w:t>u</w:t>
      </w:r>
      <w:r w:rsidR="00E6195C" w:rsidRPr="0029684D">
        <w:rPr>
          <w:sz w:val="22"/>
          <w:szCs w:val="22"/>
          <w:lang w:val="sk-SK"/>
        </w:rPr>
        <w:t xml:space="preserve"> Junior</w:t>
      </w:r>
      <w:r w:rsidR="00663472" w:rsidRPr="0029684D">
        <w:rPr>
          <w:sz w:val="22"/>
          <w:szCs w:val="22"/>
          <w:lang w:val="sk-SK"/>
        </w:rPr>
        <w:t xml:space="preserve"> 200 mg</w:t>
      </w:r>
      <w:r w:rsidRPr="0029684D">
        <w:rPr>
          <w:sz w:val="22"/>
          <w:szCs w:val="22"/>
          <w:lang w:val="sk-SK"/>
        </w:rPr>
        <w:t xml:space="preserve"> a diuretík šetriacich draslík.</w:t>
      </w:r>
    </w:p>
    <w:p w14:paraId="11C0FFF3" w14:textId="77777777" w:rsidR="00F15F3D" w:rsidRPr="0029684D" w:rsidRDefault="00F15F3D">
      <w:pPr>
        <w:spacing w:after="0"/>
        <w:jc w:val="left"/>
        <w:rPr>
          <w:sz w:val="22"/>
          <w:szCs w:val="22"/>
          <w:lang w:val="sk-SK"/>
        </w:rPr>
      </w:pPr>
    </w:p>
    <w:p w14:paraId="3427C1F4" w14:textId="77777777" w:rsidR="00D16C28" w:rsidRPr="0029684D" w:rsidRDefault="00D976A7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Hematologické účinky</w:t>
      </w:r>
    </w:p>
    <w:p w14:paraId="74487BB7" w14:textId="657D22D3" w:rsidR="00467218" w:rsidRPr="0029684D" w:rsidRDefault="00E6195C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Ibuprof</w:t>
      </w:r>
      <w:r w:rsidR="00582D6E">
        <w:rPr>
          <w:sz w:val="22"/>
          <w:szCs w:val="22"/>
          <w:lang w:val="sk-SK"/>
        </w:rPr>
        <w:t>e</w:t>
      </w:r>
      <w:r w:rsidR="00A9372C" w:rsidRPr="0029684D">
        <w:rPr>
          <w:sz w:val="22"/>
          <w:szCs w:val="22"/>
          <w:lang w:val="sk-SK"/>
        </w:rPr>
        <w:t xml:space="preserve">n, </w:t>
      </w:r>
      <w:r w:rsidR="00A3241F">
        <w:rPr>
          <w:sz w:val="22"/>
          <w:szCs w:val="22"/>
          <w:lang w:val="sk-SK"/>
        </w:rPr>
        <w:t>liečivo v</w:t>
      </w:r>
      <w:r w:rsidR="00A9372C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Ibalgin</w:t>
      </w:r>
      <w:r w:rsidR="00A3241F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Junior </w:t>
      </w:r>
      <w:r w:rsidR="00A3241F">
        <w:rPr>
          <w:sz w:val="22"/>
          <w:szCs w:val="22"/>
          <w:lang w:val="sk-SK"/>
        </w:rPr>
        <w:t>200 mg</w:t>
      </w:r>
      <w:r w:rsidR="00A9372C" w:rsidRPr="0029684D">
        <w:rPr>
          <w:sz w:val="22"/>
          <w:szCs w:val="22"/>
          <w:lang w:val="sk-SK"/>
        </w:rPr>
        <w:t>, môže dočasne inhibovať funkciu krvných doštičiek (agregácia trombocytov). Pacienti s poruchami koagulácie by preto mali byť starostlivo sledovaní</w:t>
      </w:r>
      <w:r w:rsidR="00D976A7" w:rsidRPr="0029684D">
        <w:rPr>
          <w:sz w:val="22"/>
          <w:szCs w:val="22"/>
          <w:lang w:val="sk-SK"/>
        </w:rPr>
        <w:t>.</w:t>
      </w:r>
    </w:p>
    <w:p w14:paraId="1BBEFFAA" w14:textId="77777777" w:rsidR="00663974" w:rsidRPr="0029684D" w:rsidRDefault="00663974">
      <w:pPr>
        <w:spacing w:after="0"/>
        <w:jc w:val="left"/>
        <w:rPr>
          <w:sz w:val="22"/>
          <w:szCs w:val="22"/>
          <w:lang w:val="sk-SK"/>
        </w:rPr>
      </w:pPr>
    </w:p>
    <w:p w14:paraId="0962CAB1" w14:textId="0CADF603" w:rsidR="003A721A" w:rsidRPr="003A721A" w:rsidRDefault="00D976A7" w:rsidP="00BA5546">
      <w:pPr>
        <w:spacing w:after="0"/>
        <w:jc w:val="left"/>
        <w:rPr>
          <w:sz w:val="22"/>
          <w:szCs w:val="22"/>
        </w:rPr>
      </w:pPr>
      <w:r w:rsidRPr="0029684D">
        <w:rPr>
          <w:sz w:val="22"/>
          <w:szCs w:val="22"/>
          <w:lang w:val="sk-SK"/>
        </w:rPr>
        <w:t>Dlhodobé užív</w:t>
      </w:r>
      <w:r w:rsidR="00B40DB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B40DB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B40DB5" w:rsidRPr="0029684D">
        <w:rPr>
          <w:sz w:val="22"/>
          <w:szCs w:val="22"/>
          <w:lang w:val="sk-SK"/>
        </w:rPr>
        <w:t>akýchkoľvek</w:t>
      </w:r>
      <w:r w:rsidRPr="0029684D">
        <w:rPr>
          <w:sz w:val="22"/>
          <w:szCs w:val="22"/>
          <w:lang w:val="sk-SK"/>
        </w:rPr>
        <w:t xml:space="preserve"> </w:t>
      </w:r>
      <w:r w:rsidR="00B40DB5" w:rsidRPr="0029684D">
        <w:rPr>
          <w:sz w:val="22"/>
          <w:szCs w:val="22"/>
          <w:lang w:val="sk-SK"/>
        </w:rPr>
        <w:t xml:space="preserve">liekov na zmiernenie bolesti </w:t>
      </w:r>
      <w:r w:rsidRPr="0029684D">
        <w:rPr>
          <w:sz w:val="22"/>
          <w:szCs w:val="22"/>
          <w:lang w:val="sk-SK"/>
        </w:rPr>
        <w:t>hlavy</w:t>
      </w:r>
      <w:r w:rsidR="009D22DA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m</w:t>
      </w:r>
      <w:r w:rsidR="00B40DB5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="003A721A" w:rsidRPr="0029684D">
        <w:rPr>
          <w:sz w:val="22"/>
          <w:szCs w:val="22"/>
          <w:lang w:val="sk-SK"/>
        </w:rPr>
        <w:t>bolesti</w:t>
      </w:r>
      <w:r w:rsidRPr="0029684D">
        <w:rPr>
          <w:sz w:val="22"/>
          <w:szCs w:val="22"/>
          <w:lang w:val="sk-SK"/>
        </w:rPr>
        <w:t xml:space="preserve"> zhorši</w:t>
      </w:r>
      <w:r w:rsidR="00B40DB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>.</w:t>
      </w:r>
      <w:r w:rsidR="00663974" w:rsidRPr="0029684D">
        <w:rPr>
          <w:sz w:val="22"/>
          <w:szCs w:val="22"/>
          <w:lang w:val="sk-SK"/>
        </w:rPr>
        <w:t xml:space="preserve"> </w:t>
      </w:r>
    </w:p>
    <w:p w14:paraId="2E06A90A" w14:textId="77777777" w:rsidR="003A721A" w:rsidRPr="00AA245A" w:rsidRDefault="003A721A" w:rsidP="00BA5546">
      <w:pPr>
        <w:spacing w:after="0"/>
        <w:jc w:val="left"/>
        <w:rPr>
          <w:sz w:val="22"/>
          <w:szCs w:val="22"/>
        </w:rPr>
      </w:pPr>
      <w:proofErr w:type="gramStart"/>
      <w:r w:rsidRPr="003A721A">
        <w:rPr>
          <w:sz w:val="22"/>
          <w:szCs w:val="22"/>
        </w:rPr>
        <w:t>Ak</w:t>
      </w:r>
      <w:proofErr w:type="gramEnd"/>
      <w:r w:rsidRPr="003A721A">
        <w:rPr>
          <w:sz w:val="22"/>
          <w:szCs w:val="22"/>
        </w:rPr>
        <w:t xml:space="preserve"> tento stav nastane, alebo sa predpokladá, liečba sa má ukončiť a je nutné poradiť sa s lekárom. Diagnóza bolesť hlavy spôsobená nadužívaním liekov </w:t>
      </w:r>
      <w:proofErr w:type="gramStart"/>
      <w:r w:rsidRPr="003A721A">
        <w:rPr>
          <w:sz w:val="22"/>
          <w:szCs w:val="22"/>
        </w:rPr>
        <w:t>sa</w:t>
      </w:r>
      <w:proofErr w:type="gramEnd"/>
      <w:r w:rsidRPr="003A721A">
        <w:rPr>
          <w:sz w:val="22"/>
          <w:szCs w:val="22"/>
        </w:rPr>
        <w:t xml:space="preserve"> má predpokladať u pacientov,</w:t>
      </w:r>
      <w:r w:rsidRPr="00AA245A">
        <w:rPr>
          <w:sz w:val="22"/>
          <w:szCs w:val="22"/>
        </w:rPr>
        <w:t xml:space="preserve"> ktorí majú časté alebo denné bolesti hlavy napriek (alebo kvôli) pravidelnému užívaniu liekov proti bolesti hlavy.</w:t>
      </w:r>
    </w:p>
    <w:p w14:paraId="508FBC13" w14:textId="77777777" w:rsidR="003A721A" w:rsidRPr="00AA245A" w:rsidRDefault="003A721A" w:rsidP="00BA5546">
      <w:pPr>
        <w:spacing w:after="0"/>
        <w:jc w:val="left"/>
        <w:rPr>
          <w:sz w:val="22"/>
          <w:szCs w:val="22"/>
        </w:rPr>
      </w:pPr>
    </w:p>
    <w:p w14:paraId="352EFDC5" w14:textId="77777777" w:rsidR="00CF32D6" w:rsidRPr="0029684D" w:rsidRDefault="00D976A7" w:rsidP="00230813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Ostatn</w:t>
      </w:r>
      <w:r w:rsidR="00B16CCD" w:rsidRPr="0029684D">
        <w:rPr>
          <w:i/>
          <w:sz w:val="22"/>
          <w:szCs w:val="22"/>
          <w:lang w:val="sk-SK"/>
        </w:rPr>
        <w:t>é</w:t>
      </w:r>
      <w:r w:rsidRPr="0029684D">
        <w:rPr>
          <w:i/>
          <w:sz w:val="22"/>
          <w:szCs w:val="22"/>
          <w:lang w:val="sk-SK"/>
        </w:rPr>
        <w:t xml:space="preserve"> NSA</w:t>
      </w:r>
      <w:r w:rsidR="00B16CCD" w:rsidRPr="0029684D">
        <w:rPr>
          <w:i/>
          <w:sz w:val="22"/>
          <w:szCs w:val="22"/>
          <w:lang w:val="sk-SK"/>
        </w:rPr>
        <w:t>ID</w:t>
      </w:r>
    </w:p>
    <w:p w14:paraId="66CA3260" w14:textId="1ECBB63E" w:rsidR="00CF32D6" w:rsidRPr="0029684D" w:rsidRDefault="00A16D1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Nesm</w:t>
      </w:r>
      <w:r w:rsidR="00B40DB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s</w:t>
      </w:r>
      <w:r w:rsidR="00B40DB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užíva</w:t>
      </w:r>
      <w:r w:rsidR="00B40DB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s</w:t>
      </w:r>
      <w:r w:rsidR="00FB42B2">
        <w:rPr>
          <w:sz w:val="22"/>
          <w:szCs w:val="22"/>
          <w:lang w:val="sk-SK"/>
        </w:rPr>
        <w:t>úbežne</w:t>
      </w:r>
      <w:r w:rsidRPr="0029684D">
        <w:rPr>
          <w:sz w:val="22"/>
          <w:szCs w:val="22"/>
          <w:lang w:val="sk-SK"/>
        </w:rPr>
        <w:t xml:space="preserve"> s NSA</w:t>
      </w:r>
      <w:r w:rsidR="00B40DB5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v</w:t>
      </w:r>
      <w:r w:rsidR="00B40DB5" w:rsidRPr="0029684D">
        <w:rPr>
          <w:sz w:val="22"/>
          <w:szCs w:val="22"/>
          <w:lang w:val="sk-SK"/>
        </w:rPr>
        <w:t>rátane</w:t>
      </w:r>
      <w:r w:rsidRPr="0029684D">
        <w:rPr>
          <w:sz w:val="22"/>
          <w:szCs w:val="22"/>
          <w:lang w:val="sk-SK"/>
        </w:rPr>
        <w:t xml:space="preserve"> selekt</w:t>
      </w:r>
      <w:r w:rsidR="00B40DB5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vn</w:t>
      </w:r>
      <w:r w:rsidR="00B40DB5" w:rsidRPr="0029684D">
        <w:rPr>
          <w:sz w:val="22"/>
          <w:szCs w:val="22"/>
          <w:lang w:val="sk-SK"/>
        </w:rPr>
        <w:t>y</w:t>
      </w:r>
      <w:r w:rsidRPr="0029684D">
        <w:rPr>
          <w:sz w:val="22"/>
          <w:szCs w:val="22"/>
          <w:lang w:val="sk-SK"/>
        </w:rPr>
        <w:t>ch inhib</w:t>
      </w:r>
      <w:r w:rsidR="00B40DB5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tor</w:t>
      </w:r>
      <w:r w:rsidR="00B40DB5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cyklooxygenázy-2.</w:t>
      </w:r>
    </w:p>
    <w:p w14:paraId="75FB7579" w14:textId="77777777" w:rsidR="00663974" w:rsidRPr="0029684D" w:rsidRDefault="00663974" w:rsidP="00300F58">
      <w:pPr>
        <w:spacing w:after="0"/>
        <w:jc w:val="left"/>
        <w:rPr>
          <w:sz w:val="22"/>
          <w:szCs w:val="22"/>
          <w:lang w:val="sk-SK"/>
        </w:rPr>
      </w:pPr>
    </w:p>
    <w:p w14:paraId="4AD692AD" w14:textId="632B482C" w:rsidR="00467218" w:rsidRPr="0029684D" w:rsidRDefault="00A16D1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586444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8347FF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maskova</w:t>
      </w:r>
      <w:r w:rsidR="008347FF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9D22DA">
        <w:rPr>
          <w:sz w:val="22"/>
          <w:szCs w:val="22"/>
          <w:lang w:val="sk-SK"/>
        </w:rPr>
        <w:t>príznaky</w:t>
      </w:r>
      <w:r w:rsidR="009D22D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infekc</w:t>
      </w:r>
      <w:r w:rsidR="008347FF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e a hor</w:t>
      </w:r>
      <w:r w:rsidR="008347FF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čky.</w:t>
      </w:r>
    </w:p>
    <w:p w14:paraId="24C5CA18" w14:textId="77777777" w:rsidR="00C04E0D" w:rsidRPr="0029684D" w:rsidRDefault="00C04E0D" w:rsidP="00542FCE">
      <w:pPr>
        <w:spacing w:after="0"/>
        <w:jc w:val="left"/>
        <w:rPr>
          <w:sz w:val="22"/>
          <w:szCs w:val="22"/>
          <w:lang w:val="sk-SK"/>
        </w:rPr>
      </w:pPr>
    </w:p>
    <w:p w14:paraId="52E6CCFD" w14:textId="77777777" w:rsidR="00642760" w:rsidRDefault="003A721A" w:rsidP="008E420F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 xml:space="preserve">Konzumácia alkoholu </w:t>
      </w:r>
      <w:proofErr w:type="gramStart"/>
      <w:r w:rsidRPr="003A721A">
        <w:rPr>
          <w:sz w:val="22"/>
          <w:szCs w:val="22"/>
        </w:rPr>
        <w:t>sa</w:t>
      </w:r>
      <w:proofErr w:type="gramEnd"/>
      <w:r w:rsidRPr="003A721A">
        <w:rPr>
          <w:sz w:val="22"/>
          <w:szCs w:val="22"/>
        </w:rPr>
        <w:t xml:space="preserve"> neodporúča, keďže môže dôjsť k zvýšenému výskytu vzniku nežiaducich účinkov NSAID, najmä s účinkom na tráviaci trakt a centrálny nervový systém.</w:t>
      </w:r>
    </w:p>
    <w:p w14:paraId="6DCB53A9" w14:textId="77777777" w:rsidR="009D22DA" w:rsidRPr="0029684D" w:rsidRDefault="009D22DA" w:rsidP="008E420F">
      <w:pPr>
        <w:spacing w:after="0"/>
        <w:jc w:val="left"/>
        <w:rPr>
          <w:sz w:val="22"/>
          <w:szCs w:val="22"/>
          <w:lang w:val="sk-SK"/>
        </w:rPr>
      </w:pPr>
    </w:p>
    <w:p w14:paraId="7B52F0AE" w14:textId="77777777" w:rsidR="00F15F3D" w:rsidRPr="0029684D" w:rsidRDefault="00A16D1D" w:rsidP="00D2243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Varov</w:t>
      </w:r>
      <w:r w:rsidR="008347F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8347FF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týkaj</w:t>
      </w:r>
      <w:r w:rsidR="008347FF" w:rsidRPr="0029684D">
        <w:rPr>
          <w:sz w:val="22"/>
          <w:szCs w:val="22"/>
          <w:lang w:val="sk-SK"/>
        </w:rPr>
        <w:t>úce</w:t>
      </w:r>
      <w:r w:rsidRPr="0029684D">
        <w:rPr>
          <w:sz w:val="22"/>
          <w:szCs w:val="22"/>
          <w:lang w:val="sk-SK"/>
        </w:rPr>
        <w:t xml:space="preserve"> s</w:t>
      </w:r>
      <w:r w:rsidR="008347F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pomocných lát</w:t>
      </w:r>
      <w:r w:rsidR="008347F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k</w:t>
      </w:r>
    </w:p>
    <w:p w14:paraId="37E83D32" w14:textId="4BB4BFC3" w:rsidR="00594057" w:rsidRPr="0029684D" w:rsidRDefault="008347FF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Tento liek obsahuje </w:t>
      </w:r>
      <w:r w:rsidR="000A3637">
        <w:rPr>
          <w:sz w:val="22"/>
          <w:szCs w:val="22"/>
          <w:lang w:val="sk-SK"/>
        </w:rPr>
        <w:t>roztok</w:t>
      </w:r>
      <w:r w:rsidR="000A3637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maltitol</w:t>
      </w:r>
      <w:r w:rsidR="000A3637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 xml:space="preserve">. Pacienti so zriedkavými dedičnými problémami intolerancie fruktózy </w:t>
      </w:r>
      <w:r w:rsidR="000A3637">
        <w:rPr>
          <w:sz w:val="22"/>
          <w:szCs w:val="22"/>
          <w:lang w:val="sk-SK"/>
        </w:rPr>
        <w:t>nesmú užívať tento liek.</w:t>
      </w:r>
    </w:p>
    <w:p w14:paraId="638075E9" w14:textId="77777777" w:rsidR="00594057" w:rsidRPr="0029684D" w:rsidRDefault="00594057" w:rsidP="00704696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5238682D" w14:textId="436CA827" w:rsidR="00F454B2" w:rsidRPr="0029684D" w:rsidRDefault="00987E9D" w:rsidP="008A7BF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Ibalgin Junior</w:t>
      </w:r>
      <w:r w:rsidR="00A16D1D" w:rsidRPr="0029684D">
        <w:rPr>
          <w:sz w:val="22"/>
          <w:szCs w:val="22"/>
          <w:lang w:val="sk-SK"/>
        </w:rPr>
        <w:t xml:space="preserve"> 200 mg obsahuje 35,84 mg sodík</w:t>
      </w:r>
      <w:r w:rsidR="008347FF" w:rsidRPr="0029684D">
        <w:rPr>
          <w:sz w:val="22"/>
          <w:szCs w:val="22"/>
          <w:lang w:val="sk-SK"/>
        </w:rPr>
        <w:t>a</w:t>
      </w:r>
      <w:r w:rsidR="00A16D1D" w:rsidRPr="0029684D">
        <w:rPr>
          <w:sz w:val="22"/>
          <w:szCs w:val="22"/>
          <w:lang w:val="sk-SK"/>
        </w:rPr>
        <w:t xml:space="preserve"> </w:t>
      </w:r>
      <w:r w:rsidR="000A3637">
        <w:rPr>
          <w:sz w:val="22"/>
          <w:szCs w:val="22"/>
          <w:lang w:val="sk-SK"/>
        </w:rPr>
        <w:t>v</w:t>
      </w:r>
      <w:r w:rsidR="00A16D1D" w:rsidRPr="0029684D">
        <w:rPr>
          <w:sz w:val="22"/>
          <w:szCs w:val="22"/>
          <w:lang w:val="sk-SK"/>
        </w:rPr>
        <w:t xml:space="preserve"> 10 ml.</w:t>
      </w:r>
      <w:r w:rsidR="00594057" w:rsidRPr="0029684D">
        <w:rPr>
          <w:sz w:val="22"/>
          <w:szCs w:val="22"/>
          <w:lang w:val="sk-SK"/>
        </w:rPr>
        <w:t xml:space="preserve"> </w:t>
      </w:r>
      <w:r w:rsidR="00A16D1D" w:rsidRPr="0029684D">
        <w:rPr>
          <w:sz w:val="22"/>
          <w:szCs w:val="22"/>
          <w:lang w:val="sk-SK"/>
        </w:rPr>
        <w:t xml:space="preserve">Je </w:t>
      </w:r>
      <w:r w:rsidR="00637248" w:rsidRPr="0029684D">
        <w:rPr>
          <w:sz w:val="22"/>
          <w:szCs w:val="22"/>
          <w:lang w:val="sk-SK"/>
        </w:rPr>
        <w:t xml:space="preserve">to </w:t>
      </w:r>
      <w:r w:rsidR="000A3637">
        <w:rPr>
          <w:sz w:val="22"/>
          <w:szCs w:val="22"/>
          <w:lang w:val="sk-SK"/>
        </w:rPr>
        <w:t>potrebné</w:t>
      </w:r>
      <w:r w:rsidR="00A16D1D" w:rsidRPr="0029684D">
        <w:rPr>
          <w:sz w:val="22"/>
          <w:szCs w:val="22"/>
          <w:lang w:val="sk-SK"/>
        </w:rPr>
        <w:t xml:space="preserve"> vz</w:t>
      </w:r>
      <w:r w:rsidR="00637248" w:rsidRPr="0029684D">
        <w:rPr>
          <w:sz w:val="22"/>
          <w:szCs w:val="22"/>
          <w:lang w:val="sk-SK"/>
        </w:rPr>
        <w:t>iať</w:t>
      </w:r>
      <w:r w:rsidR="00A16D1D" w:rsidRPr="0029684D">
        <w:rPr>
          <w:sz w:val="22"/>
          <w:szCs w:val="22"/>
          <w:lang w:val="sk-SK"/>
        </w:rPr>
        <w:t xml:space="preserve"> </w:t>
      </w:r>
      <w:r w:rsidR="00637248" w:rsidRPr="0029684D">
        <w:rPr>
          <w:sz w:val="22"/>
          <w:szCs w:val="22"/>
          <w:lang w:val="sk-SK"/>
        </w:rPr>
        <w:t>do</w:t>
      </w:r>
      <w:r w:rsidR="00A16D1D" w:rsidRPr="0029684D">
        <w:rPr>
          <w:sz w:val="22"/>
          <w:szCs w:val="22"/>
          <w:lang w:val="sk-SK"/>
        </w:rPr>
        <w:t> úvah</w:t>
      </w:r>
      <w:r w:rsidR="00637248" w:rsidRPr="0029684D">
        <w:rPr>
          <w:sz w:val="22"/>
          <w:szCs w:val="22"/>
          <w:lang w:val="sk-SK"/>
        </w:rPr>
        <w:t>y</w:t>
      </w:r>
      <w:r w:rsidR="00A16D1D" w:rsidRPr="0029684D">
        <w:rPr>
          <w:sz w:val="22"/>
          <w:szCs w:val="22"/>
          <w:lang w:val="sk-SK"/>
        </w:rPr>
        <w:t xml:space="preserve"> u</w:t>
      </w:r>
      <w:r w:rsidR="001B63B6" w:rsidRPr="0029684D">
        <w:rPr>
          <w:sz w:val="22"/>
          <w:szCs w:val="22"/>
          <w:lang w:val="sk-SK"/>
        </w:rPr>
        <w:t> </w:t>
      </w:r>
      <w:r w:rsidR="00A16D1D" w:rsidRPr="0029684D">
        <w:rPr>
          <w:sz w:val="22"/>
          <w:szCs w:val="22"/>
          <w:lang w:val="sk-SK"/>
        </w:rPr>
        <w:t>pacient</w:t>
      </w:r>
      <w:r w:rsidR="00637248" w:rsidRPr="0029684D">
        <w:rPr>
          <w:sz w:val="22"/>
          <w:szCs w:val="22"/>
          <w:lang w:val="sk-SK"/>
        </w:rPr>
        <w:t>ov</w:t>
      </w:r>
      <w:r w:rsidR="00A16D1D" w:rsidRPr="0029684D">
        <w:rPr>
          <w:sz w:val="22"/>
          <w:szCs w:val="22"/>
          <w:lang w:val="sk-SK"/>
        </w:rPr>
        <w:t xml:space="preserve"> </w:t>
      </w:r>
      <w:r w:rsidR="000A3637">
        <w:rPr>
          <w:sz w:val="22"/>
          <w:szCs w:val="22"/>
          <w:lang w:val="sk-SK"/>
        </w:rPr>
        <w:t>na</w:t>
      </w:r>
      <w:r w:rsidR="00A16D1D" w:rsidRPr="0029684D">
        <w:rPr>
          <w:sz w:val="22"/>
          <w:szCs w:val="22"/>
          <w:lang w:val="sk-SK"/>
        </w:rPr>
        <w:t> di</w:t>
      </w:r>
      <w:r w:rsidR="00637248" w:rsidRPr="0029684D">
        <w:rPr>
          <w:sz w:val="22"/>
          <w:szCs w:val="22"/>
          <w:lang w:val="sk-SK"/>
        </w:rPr>
        <w:t>é</w:t>
      </w:r>
      <w:r w:rsidR="00A16D1D" w:rsidRPr="0029684D">
        <w:rPr>
          <w:sz w:val="22"/>
          <w:szCs w:val="22"/>
          <w:lang w:val="sk-SK"/>
        </w:rPr>
        <w:t>t</w:t>
      </w:r>
      <w:r w:rsidR="000A3637">
        <w:rPr>
          <w:sz w:val="22"/>
          <w:szCs w:val="22"/>
          <w:lang w:val="sk-SK"/>
        </w:rPr>
        <w:t>e</w:t>
      </w:r>
      <w:r w:rsidR="00A16D1D" w:rsidRPr="0029684D">
        <w:rPr>
          <w:sz w:val="22"/>
          <w:szCs w:val="22"/>
          <w:lang w:val="sk-SK"/>
        </w:rPr>
        <w:t xml:space="preserve"> s kontrolovaným </w:t>
      </w:r>
      <w:r w:rsidR="000A3637">
        <w:rPr>
          <w:sz w:val="22"/>
          <w:szCs w:val="22"/>
          <w:lang w:val="sk-SK"/>
        </w:rPr>
        <w:t>obsahom</w:t>
      </w:r>
      <w:r w:rsidR="00A16D1D" w:rsidRPr="0029684D">
        <w:rPr>
          <w:sz w:val="22"/>
          <w:szCs w:val="22"/>
          <w:lang w:val="sk-SK"/>
        </w:rPr>
        <w:t xml:space="preserve"> sodík</w:t>
      </w:r>
      <w:r w:rsidR="00637248" w:rsidRPr="0029684D">
        <w:rPr>
          <w:sz w:val="22"/>
          <w:szCs w:val="22"/>
          <w:lang w:val="sk-SK"/>
        </w:rPr>
        <w:t>a</w:t>
      </w:r>
      <w:r w:rsidR="00A16D1D" w:rsidRPr="0029684D">
        <w:rPr>
          <w:sz w:val="22"/>
          <w:szCs w:val="22"/>
          <w:lang w:val="sk-SK"/>
        </w:rPr>
        <w:t>.</w:t>
      </w:r>
    </w:p>
    <w:p w14:paraId="59015BD7" w14:textId="77777777" w:rsidR="003A721A" w:rsidRPr="0029684D" w:rsidRDefault="003A721A" w:rsidP="006436FD">
      <w:pPr>
        <w:spacing w:after="0"/>
        <w:jc w:val="left"/>
        <w:rPr>
          <w:sz w:val="22"/>
          <w:szCs w:val="22"/>
          <w:lang w:val="sk-SK"/>
        </w:rPr>
      </w:pPr>
    </w:p>
    <w:p w14:paraId="242D2A9D" w14:textId="77777777" w:rsidR="003A721A" w:rsidRPr="003A721A" w:rsidRDefault="003A721A" w:rsidP="00BA5546">
      <w:pPr>
        <w:spacing w:after="0"/>
        <w:jc w:val="left"/>
        <w:rPr>
          <w:sz w:val="22"/>
          <w:szCs w:val="22"/>
          <w:u w:val="single"/>
        </w:rPr>
      </w:pPr>
      <w:r w:rsidRPr="003A721A">
        <w:rPr>
          <w:sz w:val="22"/>
          <w:szCs w:val="22"/>
          <w:u w:val="single"/>
        </w:rPr>
        <w:t>Pediatrická populácia</w:t>
      </w:r>
    </w:p>
    <w:p w14:paraId="73C884E6" w14:textId="77777777" w:rsidR="003A721A" w:rsidRPr="003A721A" w:rsidRDefault="003A721A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>Existuje riziko poškodenia obličiek u dehydrovaných detí a dospievajúcich.</w:t>
      </w:r>
    </w:p>
    <w:p w14:paraId="6E9F70C6" w14:textId="77777777" w:rsidR="00F454B2" w:rsidRPr="0029684D" w:rsidRDefault="00F454B2" w:rsidP="00230813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75B65AA1" w14:textId="77777777" w:rsidR="00467218" w:rsidRPr="0029684D" w:rsidRDefault="00467218" w:rsidP="00300F5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4.5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Liekové a iné interakcie</w:t>
      </w:r>
    </w:p>
    <w:p w14:paraId="2DE897B4" w14:textId="77777777" w:rsidR="003A721A" w:rsidRDefault="003A721A" w:rsidP="00BA5546">
      <w:pPr>
        <w:shd w:val="clear" w:color="auto" w:fill="FFFFFF"/>
        <w:spacing w:after="0"/>
        <w:jc w:val="left"/>
        <w:rPr>
          <w:sz w:val="22"/>
          <w:szCs w:val="22"/>
        </w:rPr>
      </w:pPr>
    </w:p>
    <w:p w14:paraId="4F109E0B" w14:textId="3A7BC506" w:rsidR="003A721A" w:rsidRDefault="003A721A" w:rsidP="00BA5546">
      <w:pPr>
        <w:shd w:val="clear" w:color="auto" w:fill="FFFFFF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 pacientov, ktorí užívajú </w:t>
      </w:r>
      <w:r w:rsidR="00AC6333">
        <w:rPr>
          <w:sz w:val="22"/>
          <w:szCs w:val="22"/>
        </w:rPr>
        <w:t>ibuprofen</w:t>
      </w:r>
      <w:r>
        <w:rPr>
          <w:sz w:val="22"/>
          <w:szCs w:val="22"/>
        </w:rPr>
        <w:t xml:space="preserve"> súbežne s nižšie uvedenými liekmi, </w:t>
      </w:r>
      <w:proofErr w:type="gramStart"/>
      <w:r>
        <w:rPr>
          <w:sz w:val="22"/>
          <w:szCs w:val="22"/>
        </w:rPr>
        <w:t>sa</w:t>
      </w:r>
      <w:proofErr w:type="gramEnd"/>
      <w:r>
        <w:rPr>
          <w:sz w:val="22"/>
          <w:szCs w:val="22"/>
        </w:rPr>
        <w:t xml:space="preserve"> má zvážiť sledovanie klinických a biologických parametrov.</w:t>
      </w:r>
    </w:p>
    <w:p w14:paraId="4B8BFB0A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542A8FD0" w14:textId="77777777" w:rsidR="00467218" w:rsidRDefault="003A721A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 Neodporúča sa súbežné užívanie s nasledovnými liekmi:</w:t>
      </w:r>
    </w:p>
    <w:p w14:paraId="7FDC0EF4" w14:textId="003C3CC7" w:rsidR="00467218" w:rsidRPr="00BA5546" w:rsidRDefault="00BF1283" w:rsidP="00BA5546">
      <w:pPr>
        <w:spacing w:after="0"/>
        <w:jc w:val="left"/>
        <w:rPr>
          <w:sz w:val="22"/>
          <w:szCs w:val="22"/>
          <w:lang w:val="sk-SK"/>
        </w:rPr>
      </w:pPr>
      <w:r w:rsidRPr="00BA5546">
        <w:rPr>
          <w:i/>
          <w:iCs/>
          <w:sz w:val="22"/>
          <w:szCs w:val="22"/>
          <w:lang w:val="sk-SK"/>
        </w:rPr>
        <w:t>Ďalšie</w:t>
      </w:r>
      <w:r w:rsidR="00A16D1D" w:rsidRPr="00BA5546">
        <w:rPr>
          <w:i/>
          <w:iCs/>
          <w:sz w:val="22"/>
          <w:szCs w:val="22"/>
          <w:lang w:val="sk-SK"/>
        </w:rPr>
        <w:t xml:space="preserve"> NS</w:t>
      </w:r>
      <w:r w:rsidR="00637248" w:rsidRPr="00BA5546">
        <w:rPr>
          <w:i/>
          <w:iCs/>
          <w:sz w:val="22"/>
          <w:szCs w:val="22"/>
          <w:lang w:val="sk-SK"/>
        </w:rPr>
        <w:t>AID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r w:rsidR="00637248" w:rsidRPr="00BA5546">
        <w:rPr>
          <w:i/>
          <w:iCs/>
          <w:sz w:val="22"/>
          <w:szCs w:val="22"/>
          <w:lang w:val="sk-SK"/>
        </w:rPr>
        <w:t>vrátane</w:t>
      </w:r>
      <w:r w:rsidR="00A16D1D" w:rsidRPr="00BA5546">
        <w:rPr>
          <w:i/>
          <w:iCs/>
          <w:sz w:val="22"/>
          <w:szCs w:val="22"/>
          <w:lang w:val="sk-SK"/>
        </w:rPr>
        <w:t xml:space="preserve"> salicylát</w:t>
      </w:r>
      <w:r w:rsidR="00637248" w:rsidRPr="00BA5546">
        <w:rPr>
          <w:i/>
          <w:iCs/>
          <w:sz w:val="22"/>
          <w:szCs w:val="22"/>
          <w:lang w:val="sk-SK"/>
        </w:rPr>
        <w:t>ov</w:t>
      </w:r>
      <w:r w:rsidR="00A16D1D" w:rsidRPr="00BA5546">
        <w:rPr>
          <w:i/>
          <w:iCs/>
          <w:sz w:val="22"/>
          <w:szCs w:val="22"/>
          <w:lang w:val="sk-SK"/>
        </w:rPr>
        <w:t xml:space="preserve"> a selekt</w:t>
      </w:r>
      <w:r w:rsidR="00637248" w:rsidRPr="00BA5546">
        <w:rPr>
          <w:i/>
          <w:iCs/>
          <w:sz w:val="22"/>
          <w:szCs w:val="22"/>
          <w:lang w:val="sk-SK"/>
        </w:rPr>
        <w:t>í</w:t>
      </w:r>
      <w:r w:rsidR="00A16D1D" w:rsidRPr="00BA5546">
        <w:rPr>
          <w:i/>
          <w:iCs/>
          <w:sz w:val="22"/>
          <w:szCs w:val="22"/>
          <w:lang w:val="sk-SK"/>
        </w:rPr>
        <w:t>vn</w:t>
      </w:r>
      <w:r w:rsidR="00637248" w:rsidRPr="00BA5546">
        <w:rPr>
          <w:i/>
          <w:iCs/>
          <w:sz w:val="22"/>
          <w:szCs w:val="22"/>
          <w:lang w:val="sk-SK"/>
        </w:rPr>
        <w:t>y</w:t>
      </w:r>
      <w:r w:rsidR="00A16D1D" w:rsidRPr="00BA5546">
        <w:rPr>
          <w:i/>
          <w:iCs/>
          <w:sz w:val="22"/>
          <w:szCs w:val="22"/>
          <w:lang w:val="sk-SK"/>
        </w:rPr>
        <w:t>ch inhib</w:t>
      </w:r>
      <w:r w:rsidR="00637248" w:rsidRPr="00BA5546">
        <w:rPr>
          <w:i/>
          <w:iCs/>
          <w:sz w:val="22"/>
          <w:szCs w:val="22"/>
          <w:lang w:val="sk-SK"/>
        </w:rPr>
        <w:t>í</w:t>
      </w:r>
      <w:r w:rsidR="00A16D1D" w:rsidRPr="00BA5546">
        <w:rPr>
          <w:i/>
          <w:iCs/>
          <w:sz w:val="22"/>
          <w:szCs w:val="22"/>
          <w:lang w:val="sk-SK"/>
        </w:rPr>
        <w:t>tor</w:t>
      </w:r>
      <w:r w:rsidR="00637248" w:rsidRPr="00BA5546">
        <w:rPr>
          <w:i/>
          <w:iCs/>
          <w:sz w:val="22"/>
          <w:szCs w:val="22"/>
          <w:lang w:val="sk-SK"/>
        </w:rPr>
        <w:t>ov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r w:rsidR="00AA245A" w:rsidRPr="00BA5546">
        <w:rPr>
          <w:i/>
          <w:iCs/>
          <w:sz w:val="22"/>
          <w:szCs w:val="22"/>
          <w:lang w:val="sk-SK"/>
        </w:rPr>
        <w:t>cyklooxygenázy 2</w:t>
      </w:r>
      <w:r w:rsidRPr="00BA5546">
        <w:rPr>
          <w:i/>
          <w:iCs/>
          <w:sz w:val="22"/>
          <w:szCs w:val="22"/>
          <w:lang w:val="sk-SK"/>
        </w:rPr>
        <w:t>: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r w:rsidR="00AA245A" w:rsidRPr="00BA5546">
        <w:rPr>
          <w:iCs/>
          <w:sz w:val="22"/>
          <w:szCs w:val="22"/>
          <w:lang w:val="sk-SK"/>
        </w:rPr>
        <w:t xml:space="preserve">Súbežné užívanie </w:t>
      </w:r>
      <w:r w:rsidR="00637248" w:rsidRPr="00BA5546">
        <w:rPr>
          <w:iCs/>
          <w:sz w:val="22"/>
          <w:szCs w:val="22"/>
          <w:lang w:val="sk-SK"/>
        </w:rPr>
        <w:t xml:space="preserve"> viacerých NSAID môže v dôsledku synergického účinku zvýšiť riziko </w:t>
      </w:r>
      <w:r w:rsidR="00AA245A" w:rsidRPr="00BA5546">
        <w:rPr>
          <w:iCs/>
          <w:sz w:val="22"/>
          <w:szCs w:val="22"/>
          <w:lang w:val="sk-SK"/>
        </w:rPr>
        <w:t xml:space="preserve">vzniku </w:t>
      </w:r>
      <w:r w:rsidR="00637248" w:rsidRPr="00BA5546">
        <w:rPr>
          <w:iCs/>
          <w:sz w:val="22"/>
          <w:szCs w:val="22"/>
          <w:lang w:val="sk-SK"/>
        </w:rPr>
        <w:t>gastrointestinálnych vredov a krvácania. Je</w:t>
      </w:r>
      <w:r w:rsidR="00DF7879">
        <w:rPr>
          <w:iCs/>
          <w:sz w:val="22"/>
          <w:szCs w:val="22"/>
          <w:lang w:val="sk-SK"/>
        </w:rPr>
        <w:t xml:space="preserve"> </w:t>
      </w:r>
      <w:r w:rsidR="005F357C">
        <w:rPr>
          <w:iCs/>
          <w:sz w:val="22"/>
          <w:szCs w:val="22"/>
          <w:lang w:val="sk-SK"/>
        </w:rPr>
        <w:t>potrebné</w:t>
      </w:r>
      <w:r w:rsidR="00DF7879">
        <w:rPr>
          <w:iCs/>
          <w:sz w:val="22"/>
          <w:szCs w:val="22"/>
          <w:lang w:val="sk-SK"/>
        </w:rPr>
        <w:t xml:space="preserve"> </w:t>
      </w:r>
      <w:r w:rsidR="00637248" w:rsidRPr="00BA5546">
        <w:rPr>
          <w:iCs/>
          <w:sz w:val="22"/>
          <w:szCs w:val="22"/>
          <w:lang w:val="sk-SK"/>
        </w:rPr>
        <w:t xml:space="preserve">vyvarovať </w:t>
      </w:r>
      <w:r w:rsidR="005F357C">
        <w:rPr>
          <w:iCs/>
          <w:sz w:val="22"/>
          <w:szCs w:val="22"/>
          <w:lang w:val="sk-SK"/>
        </w:rPr>
        <w:t xml:space="preserve">sa </w:t>
      </w:r>
      <w:r w:rsidR="00637248" w:rsidRPr="00BA5546">
        <w:rPr>
          <w:iCs/>
          <w:sz w:val="22"/>
          <w:szCs w:val="22"/>
          <w:lang w:val="sk-SK"/>
        </w:rPr>
        <w:t>sú</w:t>
      </w:r>
      <w:r w:rsidR="00AA245A" w:rsidRPr="00BA5546">
        <w:rPr>
          <w:iCs/>
          <w:sz w:val="22"/>
          <w:szCs w:val="22"/>
          <w:lang w:val="sk-SK"/>
        </w:rPr>
        <w:t>bežnému</w:t>
      </w:r>
      <w:r w:rsidR="00637248" w:rsidRPr="00BA5546">
        <w:rPr>
          <w:iCs/>
          <w:sz w:val="22"/>
          <w:szCs w:val="22"/>
          <w:lang w:val="sk-SK"/>
        </w:rPr>
        <w:t xml:space="preserve"> užívaniu </w:t>
      </w:r>
      <w:r w:rsidR="00AC6333" w:rsidRPr="00BA5546">
        <w:rPr>
          <w:iCs/>
          <w:sz w:val="22"/>
          <w:szCs w:val="22"/>
          <w:lang w:val="sk-SK"/>
        </w:rPr>
        <w:t>ibuprofen</w:t>
      </w:r>
      <w:r w:rsidR="00637248" w:rsidRPr="00BA5546">
        <w:rPr>
          <w:iCs/>
          <w:sz w:val="22"/>
          <w:szCs w:val="22"/>
          <w:lang w:val="sk-SK"/>
        </w:rPr>
        <w:t>u s inými nesteroid</w:t>
      </w:r>
      <w:r w:rsidR="00586444" w:rsidRPr="00BA5546">
        <w:rPr>
          <w:iCs/>
          <w:sz w:val="22"/>
          <w:szCs w:val="22"/>
          <w:lang w:val="sk-SK"/>
        </w:rPr>
        <w:t>n</w:t>
      </w:r>
      <w:r w:rsidR="00637248" w:rsidRPr="00BA5546">
        <w:rPr>
          <w:iCs/>
          <w:sz w:val="22"/>
          <w:szCs w:val="22"/>
          <w:lang w:val="sk-SK"/>
        </w:rPr>
        <w:t xml:space="preserve">ými protizápalovými liekmi (NSAID) </w:t>
      </w:r>
      <w:r w:rsidR="00A16D1D" w:rsidRPr="00BA5546">
        <w:rPr>
          <w:sz w:val="22"/>
          <w:szCs w:val="22"/>
          <w:lang w:val="sk-SK"/>
        </w:rPr>
        <w:t>(</w:t>
      </w:r>
      <w:r w:rsidR="002E0F0B" w:rsidRPr="00BA5546">
        <w:rPr>
          <w:sz w:val="22"/>
          <w:szCs w:val="22"/>
          <w:lang w:val="sk-SK"/>
        </w:rPr>
        <w:t>pozri časť 4.4</w:t>
      </w:r>
      <w:r w:rsidR="00A16D1D" w:rsidRPr="00BA5546">
        <w:rPr>
          <w:sz w:val="22"/>
          <w:szCs w:val="22"/>
          <w:lang w:val="sk-SK"/>
        </w:rPr>
        <w:t>).</w:t>
      </w:r>
    </w:p>
    <w:p w14:paraId="58FFEA15" w14:textId="77777777" w:rsidR="00FB42B2" w:rsidRDefault="00FB42B2" w:rsidP="00FB42B2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209221E9" w14:textId="6CC40A62" w:rsidR="00AA245A" w:rsidRPr="00E6202C" w:rsidRDefault="00A16D1D" w:rsidP="00BA5546">
      <w:pPr>
        <w:spacing w:after="0"/>
        <w:jc w:val="left"/>
        <w:rPr>
          <w:sz w:val="22"/>
          <w:szCs w:val="22"/>
        </w:rPr>
      </w:pPr>
      <w:r w:rsidRPr="00FB42B2">
        <w:rPr>
          <w:i/>
          <w:iCs/>
          <w:sz w:val="22"/>
          <w:szCs w:val="22"/>
          <w:lang w:val="sk-SK"/>
        </w:rPr>
        <w:t>Kyselina acetylsalicylov</w:t>
      </w:r>
      <w:r w:rsidR="001B63B6" w:rsidRPr="00FB42B2">
        <w:rPr>
          <w:i/>
          <w:iCs/>
          <w:sz w:val="22"/>
          <w:szCs w:val="22"/>
          <w:lang w:val="sk-SK"/>
        </w:rPr>
        <w:t>á</w:t>
      </w:r>
      <w:r w:rsidR="00BF1283" w:rsidRPr="00FB42B2">
        <w:rPr>
          <w:i/>
          <w:iCs/>
          <w:sz w:val="22"/>
          <w:szCs w:val="22"/>
          <w:lang w:val="sk-SK"/>
        </w:rPr>
        <w:t xml:space="preserve">: </w:t>
      </w:r>
      <w:r w:rsidR="00637248" w:rsidRPr="00FB42B2">
        <w:rPr>
          <w:iCs/>
          <w:sz w:val="22"/>
          <w:szCs w:val="22"/>
          <w:lang w:val="sk-SK"/>
        </w:rPr>
        <w:t xml:space="preserve">Súbežné podávanie </w:t>
      </w:r>
      <w:r w:rsidR="00AC6333" w:rsidRPr="00FB42B2">
        <w:rPr>
          <w:iCs/>
          <w:sz w:val="22"/>
          <w:szCs w:val="22"/>
          <w:lang w:val="sk-SK"/>
        </w:rPr>
        <w:t>ibuprofen</w:t>
      </w:r>
      <w:r w:rsidR="00637248" w:rsidRPr="00FB42B2">
        <w:rPr>
          <w:iCs/>
          <w:sz w:val="22"/>
          <w:szCs w:val="22"/>
          <w:lang w:val="sk-SK"/>
        </w:rPr>
        <w:t>u a kyseliny acetylsalicylovej sa vo všeobecnosti neodporúča kvôli možnosti zvýšenia nežiaducich účinkov.</w:t>
      </w:r>
      <w:r w:rsidR="00586444" w:rsidRPr="00FB42B2">
        <w:rPr>
          <w:iCs/>
          <w:sz w:val="22"/>
          <w:szCs w:val="22"/>
          <w:lang w:val="sk-SK"/>
        </w:rPr>
        <w:t xml:space="preserve"> </w:t>
      </w:r>
      <w:r w:rsidR="00AA245A" w:rsidRPr="00FB42B2">
        <w:rPr>
          <w:sz w:val="22"/>
          <w:szCs w:val="22"/>
        </w:rPr>
        <w:t xml:space="preserve">Experimentálne údaje </w:t>
      </w:r>
      <w:r w:rsidR="005F357C" w:rsidRPr="00FB42B2">
        <w:rPr>
          <w:sz w:val="22"/>
          <w:szCs w:val="22"/>
        </w:rPr>
        <w:t>naznačujú</w:t>
      </w:r>
      <w:r w:rsidR="00AA245A" w:rsidRPr="00FB42B2">
        <w:rPr>
          <w:sz w:val="22"/>
          <w:szCs w:val="22"/>
        </w:rPr>
        <w:t xml:space="preserve">, že </w:t>
      </w:r>
      <w:r w:rsidR="00AC6333" w:rsidRPr="00FB42B2">
        <w:rPr>
          <w:sz w:val="22"/>
          <w:szCs w:val="22"/>
        </w:rPr>
        <w:t>ibuprofen</w:t>
      </w:r>
      <w:r w:rsidR="00AA245A" w:rsidRPr="00FB42B2">
        <w:rPr>
          <w:sz w:val="22"/>
          <w:szCs w:val="22"/>
        </w:rPr>
        <w:t xml:space="preserve"> môže pri súbežnom podávaní inhibovať účinok nízkej dávky kyseliny acetylsalicylovej </w:t>
      </w:r>
      <w:proofErr w:type="gramStart"/>
      <w:r w:rsidR="00AA245A" w:rsidRPr="00FB42B2">
        <w:rPr>
          <w:sz w:val="22"/>
          <w:szCs w:val="22"/>
        </w:rPr>
        <w:t>na</w:t>
      </w:r>
      <w:proofErr w:type="gramEnd"/>
      <w:r w:rsidR="00AA245A" w:rsidRPr="00FB42B2">
        <w:rPr>
          <w:sz w:val="22"/>
          <w:szCs w:val="22"/>
        </w:rPr>
        <w:t xml:space="preserve"> agregáciu krvných doštičiek. Aj napriek tomu, že existujú určité nejasnosti týkajúce </w:t>
      </w:r>
      <w:proofErr w:type="gramStart"/>
      <w:r w:rsidR="00AA245A" w:rsidRPr="00FB42B2">
        <w:rPr>
          <w:sz w:val="22"/>
          <w:szCs w:val="22"/>
        </w:rPr>
        <w:t>sa</w:t>
      </w:r>
      <w:proofErr w:type="gramEnd"/>
      <w:r w:rsidR="00AA245A" w:rsidRPr="00FB42B2">
        <w:rPr>
          <w:sz w:val="22"/>
          <w:szCs w:val="22"/>
        </w:rPr>
        <w:t xml:space="preserve"> extrapolácie týchto údajov v klinickej praxi, nedá sa vylúčiť možnosť, že pravidelné, dlhodobé užívanie ibuprofenu môže znížiť kardioprotektívny účinok podávania nízkych dávok kyseliny acetylsalicylovej. V prípade príležitostného užitia </w:t>
      </w:r>
      <w:proofErr w:type="gramStart"/>
      <w:r w:rsidR="00AC6333" w:rsidRPr="00FB42B2">
        <w:rPr>
          <w:sz w:val="22"/>
          <w:szCs w:val="22"/>
        </w:rPr>
        <w:t>ibuprofen</w:t>
      </w:r>
      <w:r w:rsidR="00AA245A" w:rsidRPr="00FB42B2">
        <w:rPr>
          <w:sz w:val="22"/>
          <w:szCs w:val="22"/>
        </w:rPr>
        <w:t xml:space="preserve">u  </w:t>
      </w:r>
      <w:r w:rsidR="005F357C" w:rsidRPr="00FB42B2">
        <w:rPr>
          <w:sz w:val="22"/>
          <w:szCs w:val="22"/>
        </w:rPr>
        <w:t>nie</w:t>
      </w:r>
      <w:proofErr w:type="gramEnd"/>
      <w:r w:rsidR="005F357C" w:rsidRPr="00FB42B2">
        <w:rPr>
          <w:sz w:val="22"/>
          <w:szCs w:val="22"/>
        </w:rPr>
        <w:t xml:space="preserve"> je</w:t>
      </w:r>
      <w:r w:rsidR="00AA245A" w:rsidRPr="00FB42B2">
        <w:rPr>
          <w:sz w:val="22"/>
          <w:szCs w:val="22"/>
        </w:rPr>
        <w:t xml:space="preserve"> pravdepodobný </w:t>
      </w:r>
      <w:r w:rsidR="005F357C" w:rsidRPr="00FB42B2">
        <w:rPr>
          <w:sz w:val="22"/>
          <w:szCs w:val="22"/>
        </w:rPr>
        <w:t xml:space="preserve">žiadny klinicky relevantný účinok </w:t>
      </w:r>
      <w:r w:rsidR="00AA245A" w:rsidRPr="00FB42B2">
        <w:rPr>
          <w:sz w:val="22"/>
          <w:szCs w:val="22"/>
        </w:rPr>
        <w:t>(pozri časť 5.1).</w:t>
      </w:r>
    </w:p>
    <w:p w14:paraId="212BBA84" w14:textId="77777777" w:rsidR="00BF1283" w:rsidRPr="0029684D" w:rsidRDefault="00BF1283" w:rsidP="00230813">
      <w:pPr>
        <w:spacing w:after="0"/>
        <w:jc w:val="left"/>
        <w:rPr>
          <w:sz w:val="22"/>
          <w:szCs w:val="22"/>
          <w:lang w:val="sk-SK"/>
        </w:rPr>
      </w:pPr>
    </w:p>
    <w:p w14:paraId="259F2FBF" w14:textId="77777777" w:rsidR="00467218" w:rsidRPr="0029684D" w:rsidRDefault="00BF1283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Pri s</w:t>
      </w:r>
      <w:r w:rsidR="00111B08" w:rsidRPr="0029684D">
        <w:rPr>
          <w:sz w:val="22"/>
          <w:szCs w:val="22"/>
          <w:u w:val="single"/>
          <w:lang w:val="sk-SK"/>
        </w:rPr>
        <w:t>úbežn</w:t>
      </w:r>
      <w:r w:rsidRPr="0029684D">
        <w:rPr>
          <w:sz w:val="22"/>
          <w:szCs w:val="22"/>
          <w:u w:val="single"/>
          <w:lang w:val="sk-SK"/>
        </w:rPr>
        <w:t xml:space="preserve">om podávaní </w:t>
      </w:r>
      <w:r w:rsidR="00111B08" w:rsidRPr="0029684D">
        <w:rPr>
          <w:sz w:val="22"/>
          <w:szCs w:val="22"/>
          <w:u w:val="single"/>
          <w:lang w:val="sk-SK"/>
        </w:rPr>
        <w:t xml:space="preserve"> s nasledujúcimi liekmi sa vyžaduj</w:t>
      </w:r>
      <w:r w:rsidR="00142208" w:rsidRPr="0029684D">
        <w:rPr>
          <w:sz w:val="22"/>
          <w:szCs w:val="22"/>
          <w:u w:val="single"/>
          <w:lang w:val="sk-SK"/>
        </w:rPr>
        <w:t>ú osobitné opatrenia</w:t>
      </w:r>
    </w:p>
    <w:p w14:paraId="66F78B66" w14:textId="2DFD4872" w:rsidR="00467218" w:rsidRPr="0029684D" w:rsidRDefault="00111B08" w:rsidP="00300F58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 xml:space="preserve">Diuretiká, </w:t>
      </w:r>
      <w:r w:rsidR="00AA245A">
        <w:rPr>
          <w:i/>
          <w:iCs/>
          <w:sz w:val="22"/>
          <w:szCs w:val="22"/>
          <w:lang w:val="sk-SK"/>
        </w:rPr>
        <w:t xml:space="preserve">ACE </w:t>
      </w:r>
      <w:r w:rsidRPr="0029684D">
        <w:rPr>
          <w:i/>
          <w:iCs/>
          <w:sz w:val="22"/>
          <w:szCs w:val="22"/>
          <w:lang w:val="sk-SK"/>
        </w:rPr>
        <w:t>inhibítory, betablokátory a antagonisty angiotenzínu II</w:t>
      </w:r>
    </w:p>
    <w:p w14:paraId="41ABC02A" w14:textId="37CF3AE0" w:rsidR="00467218" w:rsidRPr="0029684D" w:rsidRDefault="00111B08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NSAID môžu znižovať účinok diuretík a iných antihypertenzív. U niektorých pacientov</w:t>
      </w:r>
      <w:r w:rsidR="00AA245A">
        <w:rPr>
          <w:sz w:val="22"/>
          <w:szCs w:val="22"/>
          <w:lang w:val="sk-SK"/>
        </w:rPr>
        <w:t xml:space="preserve"> so zníženou funkciou obličiek </w:t>
      </w:r>
      <w:r w:rsidRPr="0029684D">
        <w:rPr>
          <w:sz w:val="22"/>
          <w:szCs w:val="22"/>
          <w:lang w:val="sk-SK"/>
        </w:rPr>
        <w:t xml:space="preserve">(napr. </w:t>
      </w:r>
      <w:r w:rsidR="008B2DE6" w:rsidRPr="0029684D">
        <w:rPr>
          <w:sz w:val="22"/>
          <w:szCs w:val="22"/>
          <w:lang w:val="sk-SK"/>
        </w:rPr>
        <w:t xml:space="preserve">u </w:t>
      </w:r>
      <w:r w:rsidRPr="0029684D">
        <w:rPr>
          <w:sz w:val="22"/>
          <w:szCs w:val="22"/>
          <w:lang w:val="sk-SK"/>
        </w:rPr>
        <w:t xml:space="preserve">dehydratovaných pacientov alebo starších pacientov so </w:t>
      </w:r>
      <w:r w:rsidR="00AA245A">
        <w:rPr>
          <w:sz w:val="22"/>
          <w:szCs w:val="22"/>
          <w:lang w:val="sk-SK"/>
        </w:rPr>
        <w:t>zníženou</w:t>
      </w:r>
      <w:r w:rsidR="00AA245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funkciou obličiek) môže </w:t>
      </w:r>
      <w:r w:rsidR="00D22436" w:rsidRPr="0029684D">
        <w:rPr>
          <w:sz w:val="22"/>
          <w:szCs w:val="22"/>
          <w:lang w:val="sk-SK"/>
        </w:rPr>
        <w:t>sú</w:t>
      </w:r>
      <w:r w:rsidR="00D22436">
        <w:rPr>
          <w:sz w:val="22"/>
          <w:szCs w:val="22"/>
          <w:lang w:val="sk-SK"/>
        </w:rPr>
        <w:t>bežné</w:t>
      </w:r>
      <w:r w:rsidR="00D2243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podávanie ACE inhibítora, betablokátorov alebo antagonistov angiotenzínu II a l</w:t>
      </w:r>
      <w:r w:rsidR="00D22436">
        <w:rPr>
          <w:sz w:val="22"/>
          <w:szCs w:val="22"/>
          <w:lang w:val="sk-SK"/>
        </w:rPr>
        <w:t>iečiv</w:t>
      </w:r>
      <w:r w:rsidRPr="0029684D">
        <w:rPr>
          <w:sz w:val="22"/>
          <w:szCs w:val="22"/>
          <w:lang w:val="sk-SK"/>
        </w:rPr>
        <w:t xml:space="preserve">, ktoré inhibujú cyklooxygenázu, spôsobiť ďalšie zhoršenie renálnej funkcie vrátane možného akútneho zlyhania obličiek, ktoré je zvyčajne reverzibilné. Preto by sa mali uvedené kombinácie podávať </w:t>
      </w:r>
      <w:r w:rsidR="00D22436">
        <w:rPr>
          <w:sz w:val="22"/>
          <w:szCs w:val="22"/>
          <w:lang w:val="sk-SK"/>
        </w:rPr>
        <w:t xml:space="preserve">s </w:t>
      </w:r>
      <w:r w:rsidRPr="0029684D">
        <w:rPr>
          <w:sz w:val="22"/>
          <w:szCs w:val="22"/>
          <w:lang w:val="sk-SK"/>
        </w:rPr>
        <w:t>opatrn</w:t>
      </w:r>
      <w:r w:rsidR="00D22436">
        <w:rPr>
          <w:sz w:val="22"/>
          <w:szCs w:val="22"/>
          <w:lang w:val="sk-SK"/>
        </w:rPr>
        <w:t>osťou</w:t>
      </w:r>
      <w:r w:rsidRPr="0029684D">
        <w:rPr>
          <w:sz w:val="22"/>
          <w:szCs w:val="22"/>
          <w:lang w:val="sk-SK"/>
        </w:rPr>
        <w:t>, najmä u starších pacientov. Pacienti majú byť primerane hydratovaní</w:t>
      </w:r>
      <w:r w:rsidR="00D22436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a je potrebné zvážiť monitorovanie funkcie obličiek po za</w:t>
      </w:r>
      <w:r w:rsidR="00D22436">
        <w:rPr>
          <w:sz w:val="22"/>
          <w:szCs w:val="22"/>
          <w:lang w:val="sk-SK"/>
        </w:rPr>
        <w:t>čatí</w:t>
      </w:r>
      <w:r w:rsidR="00FB42B2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súbežnej liečby a</w:t>
      </w:r>
      <w:r w:rsidR="00AA245A">
        <w:rPr>
          <w:sz w:val="22"/>
          <w:szCs w:val="22"/>
          <w:lang w:val="sk-SK"/>
        </w:rPr>
        <w:t> neskôr pravidelne pokračovať.</w:t>
      </w:r>
    </w:p>
    <w:p w14:paraId="74F7EB9D" w14:textId="7679E7BF" w:rsidR="00467218" w:rsidRPr="0029684D" w:rsidRDefault="00A16D1D" w:rsidP="008E420F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111B08" w:rsidRPr="0029684D">
        <w:rPr>
          <w:sz w:val="22"/>
          <w:szCs w:val="22"/>
          <w:lang w:val="sk-SK"/>
        </w:rPr>
        <w:t>ú</w:t>
      </w:r>
      <w:r w:rsidR="00987E9D" w:rsidRPr="0029684D">
        <w:rPr>
          <w:sz w:val="22"/>
          <w:szCs w:val="22"/>
          <w:lang w:val="sk-SK"/>
        </w:rPr>
        <w:t>bežné</w:t>
      </w:r>
      <w:r w:rsidRPr="0029684D">
        <w:rPr>
          <w:sz w:val="22"/>
          <w:szCs w:val="22"/>
          <w:lang w:val="sk-SK"/>
        </w:rPr>
        <w:t xml:space="preserve"> podáv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111B08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987E9D" w:rsidRPr="0029684D">
        <w:rPr>
          <w:sz w:val="22"/>
          <w:szCs w:val="22"/>
          <w:lang w:val="sk-SK"/>
        </w:rPr>
        <w:t>Ibalgin</w:t>
      </w:r>
      <w:r w:rsidR="00D22436">
        <w:rPr>
          <w:sz w:val="22"/>
          <w:szCs w:val="22"/>
          <w:lang w:val="sk-SK"/>
        </w:rPr>
        <w:t>u</w:t>
      </w:r>
      <w:r w:rsidR="00987E9D" w:rsidRPr="0029684D">
        <w:rPr>
          <w:sz w:val="22"/>
          <w:szCs w:val="22"/>
          <w:lang w:val="sk-SK"/>
        </w:rPr>
        <w:t xml:space="preserve"> Junior</w:t>
      </w:r>
      <w:r w:rsidR="00D22436">
        <w:rPr>
          <w:sz w:val="22"/>
          <w:szCs w:val="22"/>
          <w:lang w:val="sk-SK"/>
        </w:rPr>
        <w:t xml:space="preserve"> 200 mg</w:t>
      </w:r>
      <w:r w:rsidRPr="0029684D">
        <w:rPr>
          <w:sz w:val="22"/>
          <w:szCs w:val="22"/>
          <w:lang w:val="sk-SK"/>
        </w:rPr>
        <w:t xml:space="preserve"> a draslík </w:t>
      </w:r>
      <w:r w:rsidR="00111B08" w:rsidRPr="0029684D">
        <w:rPr>
          <w:sz w:val="22"/>
          <w:szCs w:val="22"/>
          <w:lang w:val="sk-SK"/>
        </w:rPr>
        <w:t>šetriacich diuretík</w:t>
      </w:r>
      <w:r w:rsidRPr="0029684D">
        <w:rPr>
          <w:sz w:val="22"/>
          <w:szCs w:val="22"/>
          <w:lang w:val="sk-SK"/>
        </w:rPr>
        <w:t xml:space="preserve"> m</w:t>
      </w:r>
      <w:r w:rsidR="00111B08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v</w:t>
      </w:r>
      <w:r w:rsidR="00111B08" w:rsidRPr="0029684D">
        <w:rPr>
          <w:sz w:val="22"/>
          <w:szCs w:val="22"/>
          <w:lang w:val="sk-SK"/>
        </w:rPr>
        <w:t>iesť</w:t>
      </w:r>
      <w:r w:rsidRPr="0029684D">
        <w:rPr>
          <w:sz w:val="22"/>
          <w:szCs w:val="22"/>
          <w:lang w:val="sk-SK"/>
        </w:rPr>
        <w:t xml:space="preserve"> k hyperkal</w:t>
      </w:r>
      <w:r w:rsidR="005F357C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émii.</w:t>
      </w:r>
    </w:p>
    <w:p w14:paraId="6616D680" w14:textId="77777777" w:rsidR="00467218" w:rsidRPr="0029684D" w:rsidRDefault="00467218" w:rsidP="00D22436">
      <w:pPr>
        <w:spacing w:after="0"/>
        <w:jc w:val="left"/>
        <w:rPr>
          <w:sz w:val="22"/>
          <w:szCs w:val="22"/>
          <w:lang w:val="sk-SK"/>
        </w:rPr>
      </w:pPr>
    </w:p>
    <w:p w14:paraId="152FDF11" w14:textId="77777777" w:rsidR="00111B08" w:rsidRPr="0029684D" w:rsidRDefault="00111B08" w:rsidP="00105CD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Digoxín, fenytoín, lítium</w:t>
      </w:r>
    </w:p>
    <w:p w14:paraId="688D5E99" w14:textId="64B7A412" w:rsidR="00467218" w:rsidRPr="0029684D" w:rsidRDefault="00A16D1D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111B08" w:rsidRPr="0029684D">
        <w:rPr>
          <w:sz w:val="22"/>
          <w:szCs w:val="22"/>
          <w:lang w:val="sk-SK"/>
        </w:rPr>
        <w:t>ú</w:t>
      </w:r>
      <w:r w:rsidR="00987E9D" w:rsidRPr="0029684D">
        <w:rPr>
          <w:sz w:val="22"/>
          <w:szCs w:val="22"/>
          <w:lang w:val="sk-SK"/>
        </w:rPr>
        <w:t>bežné</w:t>
      </w:r>
      <w:r w:rsidRPr="0029684D">
        <w:rPr>
          <w:sz w:val="22"/>
          <w:szCs w:val="22"/>
          <w:lang w:val="sk-SK"/>
        </w:rPr>
        <w:t xml:space="preserve"> užív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111B08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987E9D" w:rsidRPr="0029684D">
        <w:rPr>
          <w:sz w:val="22"/>
          <w:szCs w:val="22"/>
          <w:lang w:val="sk-SK"/>
        </w:rPr>
        <w:t>Ibalgin</w:t>
      </w:r>
      <w:r w:rsidR="00D22436">
        <w:rPr>
          <w:sz w:val="22"/>
          <w:szCs w:val="22"/>
          <w:lang w:val="sk-SK"/>
        </w:rPr>
        <w:t>u</w:t>
      </w:r>
      <w:r w:rsidR="00987E9D" w:rsidRPr="0029684D">
        <w:rPr>
          <w:sz w:val="22"/>
          <w:szCs w:val="22"/>
          <w:lang w:val="sk-SK"/>
        </w:rPr>
        <w:t xml:space="preserve"> Junior </w:t>
      </w:r>
      <w:r w:rsidR="00AA245A">
        <w:rPr>
          <w:sz w:val="22"/>
          <w:szCs w:val="22"/>
          <w:lang w:val="sk-SK"/>
        </w:rPr>
        <w:t>200 mg</w:t>
      </w:r>
      <w:r w:rsidRPr="0029684D">
        <w:rPr>
          <w:sz w:val="22"/>
          <w:szCs w:val="22"/>
          <w:lang w:val="sk-SK"/>
        </w:rPr>
        <w:t xml:space="preserve"> 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 </w:t>
      </w:r>
      <w:r w:rsidR="00111B08" w:rsidRPr="0029684D">
        <w:rPr>
          <w:sz w:val="22"/>
          <w:szCs w:val="22"/>
          <w:lang w:val="sk-SK"/>
        </w:rPr>
        <w:t>liekov</w:t>
      </w:r>
      <w:r w:rsidRPr="0029684D">
        <w:rPr>
          <w:sz w:val="22"/>
          <w:szCs w:val="22"/>
          <w:lang w:val="sk-SK"/>
        </w:rPr>
        <w:t xml:space="preserve"> obsahuj</w:t>
      </w:r>
      <w:r w:rsidR="00111B08" w:rsidRPr="0029684D">
        <w:rPr>
          <w:sz w:val="22"/>
          <w:szCs w:val="22"/>
          <w:lang w:val="sk-SK"/>
        </w:rPr>
        <w:t>úcich</w:t>
      </w:r>
      <w:r w:rsidRPr="0029684D">
        <w:rPr>
          <w:sz w:val="22"/>
          <w:szCs w:val="22"/>
          <w:lang w:val="sk-SK"/>
        </w:rPr>
        <w:t xml:space="preserve"> digox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n, fenyto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 xml:space="preserve">n </w:t>
      </w:r>
      <w:r w:rsidR="00111B08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l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tium m</w:t>
      </w:r>
      <w:r w:rsidR="00111B08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zvýši</w:t>
      </w:r>
      <w:r w:rsidR="00111B08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D22436">
        <w:rPr>
          <w:sz w:val="22"/>
          <w:szCs w:val="22"/>
          <w:lang w:val="sk-SK"/>
        </w:rPr>
        <w:t>koncentrácie</w:t>
      </w:r>
      <w:r w:rsidR="00D2243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t</w:t>
      </w:r>
      <w:r w:rsidR="00111B08" w:rsidRPr="0029684D">
        <w:rPr>
          <w:sz w:val="22"/>
          <w:szCs w:val="22"/>
          <w:lang w:val="sk-SK"/>
        </w:rPr>
        <w:t>ý</w:t>
      </w:r>
      <w:r w:rsidRPr="0029684D">
        <w:rPr>
          <w:sz w:val="22"/>
          <w:szCs w:val="22"/>
          <w:lang w:val="sk-SK"/>
        </w:rPr>
        <w:t xml:space="preserve">chto </w:t>
      </w:r>
      <w:r w:rsidR="00111B08" w:rsidRPr="0029684D">
        <w:rPr>
          <w:sz w:val="22"/>
          <w:szCs w:val="22"/>
          <w:lang w:val="sk-SK"/>
        </w:rPr>
        <w:t>liekov</w:t>
      </w:r>
      <w:r w:rsidRPr="0029684D">
        <w:rPr>
          <w:sz w:val="22"/>
          <w:szCs w:val="22"/>
          <w:lang w:val="sk-SK"/>
        </w:rPr>
        <w:t xml:space="preserve"> v sér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P</w:t>
      </w:r>
      <w:r w:rsidR="00111B08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i správn</w:t>
      </w:r>
      <w:r w:rsidR="00111B08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užív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ní (maximáln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3 až 4 dn</w:t>
      </w:r>
      <w:r w:rsidR="00111B08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) obvykle </w:t>
      </w:r>
      <w:r w:rsidR="00111B08" w:rsidRPr="0029684D">
        <w:rPr>
          <w:sz w:val="22"/>
          <w:szCs w:val="22"/>
          <w:lang w:val="sk-SK"/>
        </w:rPr>
        <w:t>nie je potrebné</w:t>
      </w:r>
      <w:r w:rsidRPr="0029684D">
        <w:rPr>
          <w:sz w:val="22"/>
          <w:szCs w:val="22"/>
          <w:lang w:val="sk-SK"/>
        </w:rPr>
        <w:t xml:space="preserve"> kontrolova</w:t>
      </w:r>
      <w:r w:rsidR="00111B08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D22436">
        <w:rPr>
          <w:sz w:val="22"/>
          <w:szCs w:val="22"/>
          <w:lang w:val="sk-SK"/>
        </w:rPr>
        <w:t xml:space="preserve">koncentrácie </w:t>
      </w:r>
      <w:r w:rsidRPr="0029684D">
        <w:rPr>
          <w:sz w:val="22"/>
          <w:szCs w:val="22"/>
          <w:lang w:val="sk-SK"/>
        </w:rPr>
        <w:t>l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tia, digox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 a fenyto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 v sér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.</w:t>
      </w:r>
    </w:p>
    <w:p w14:paraId="1273021B" w14:textId="77777777" w:rsidR="00467218" w:rsidRPr="0029684D" w:rsidRDefault="00467218" w:rsidP="008A7BF7">
      <w:pPr>
        <w:spacing w:after="0"/>
        <w:jc w:val="left"/>
        <w:rPr>
          <w:sz w:val="22"/>
          <w:szCs w:val="22"/>
          <w:lang w:val="sk-SK"/>
        </w:rPr>
      </w:pPr>
    </w:p>
    <w:p w14:paraId="61247636" w14:textId="77777777" w:rsidR="0064735C" w:rsidRPr="0029684D" w:rsidRDefault="00A16D1D" w:rsidP="006436F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Metotrexát</w:t>
      </w:r>
    </w:p>
    <w:p w14:paraId="4ED7DC7E" w14:textId="7E9C285A" w:rsidR="00467218" w:rsidRPr="0029684D" w:rsidRDefault="0065594D" w:rsidP="00D14BB2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Existujú dôkazy potenciálneho zvýšenia plazmatických </w:t>
      </w:r>
      <w:r w:rsidR="00712E48">
        <w:rPr>
          <w:sz w:val="22"/>
          <w:szCs w:val="22"/>
          <w:lang w:val="sk-SK"/>
        </w:rPr>
        <w:t>koncentrácií</w:t>
      </w:r>
      <w:r w:rsidR="00712E4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metotrexátu. NSAID inhibujú tubulárnu sekréciu metotrexátu a môže dôjsť k zníženiu klírensu metotrexátu. Pri liečbe vysokými dávkami metotrexátu by sa ibuprof</w:t>
      </w:r>
      <w:r w:rsidR="001A22A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n (NSAID) nemal podávať. Riziko interakcie medzi nesteroidnými protizápalovými </w:t>
      </w:r>
      <w:r w:rsidR="00712E48">
        <w:rPr>
          <w:sz w:val="22"/>
          <w:szCs w:val="22"/>
          <w:lang w:val="sk-SK"/>
        </w:rPr>
        <w:t>liečivami</w:t>
      </w:r>
      <w:r w:rsidRPr="0029684D">
        <w:rPr>
          <w:sz w:val="22"/>
          <w:szCs w:val="22"/>
          <w:lang w:val="sk-SK"/>
        </w:rPr>
        <w:t xml:space="preserve"> a metotrexátom sa musí zvážiť aj pri liečbe nízkymi dávkami metotrexátu, najmä u pacientov s poškodením obličiek. </w:t>
      </w:r>
      <w:r w:rsidR="00D22436">
        <w:rPr>
          <w:sz w:val="22"/>
          <w:szCs w:val="22"/>
          <w:lang w:val="sk-SK"/>
        </w:rPr>
        <w:t>Ak</w:t>
      </w:r>
      <w:r w:rsidRPr="0029684D">
        <w:rPr>
          <w:sz w:val="22"/>
          <w:szCs w:val="22"/>
          <w:lang w:val="sk-SK"/>
        </w:rPr>
        <w:t xml:space="preserve"> sa kombinuj</w:t>
      </w:r>
      <w:r w:rsidR="00D22436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metotrexát a NSAID, má sa sledovať funkcia obličiek. Opatrnosť sa odporúča, ak sa podávajú NSAID</w:t>
      </w:r>
      <w:r w:rsidR="00712E48">
        <w:rPr>
          <w:sz w:val="22"/>
          <w:szCs w:val="22"/>
          <w:lang w:val="sk-SK"/>
        </w:rPr>
        <w:t xml:space="preserve">aj </w:t>
      </w:r>
      <w:r w:rsidRPr="0029684D">
        <w:rPr>
          <w:sz w:val="22"/>
          <w:szCs w:val="22"/>
          <w:lang w:val="sk-SK"/>
        </w:rPr>
        <w:t xml:space="preserve">metotrexát </w:t>
      </w:r>
      <w:r w:rsidR="00712E48">
        <w:rPr>
          <w:sz w:val="22"/>
          <w:szCs w:val="22"/>
          <w:lang w:val="sk-SK"/>
        </w:rPr>
        <w:t>počas</w:t>
      </w:r>
      <w:r w:rsidRPr="0029684D">
        <w:rPr>
          <w:sz w:val="22"/>
          <w:szCs w:val="22"/>
          <w:lang w:val="sk-SK"/>
        </w:rPr>
        <w:t xml:space="preserve"> 24 hodín, pretože sa môžu zvýšiť plazmatické </w:t>
      </w:r>
      <w:r w:rsidR="00712E48">
        <w:rPr>
          <w:sz w:val="22"/>
          <w:szCs w:val="22"/>
          <w:lang w:val="sk-SK"/>
        </w:rPr>
        <w:t xml:space="preserve">koncentrácie </w:t>
      </w:r>
      <w:r w:rsidRPr="0029684D">
        <w:rPr>
          <w:sz w:val="22"/>
          <w:szCs w:val="22"/>
          <w:lang w:val="sk-SK"/>
        </w:rPr>
        <w:t>metotrexátu</w:t>
      </w:r>
      <w:r w:rsidR="00712E48">
        <w:rPr>
          <w:sz w:val="22"/>
          <w:szCs w:val="22"/>
          <w:lang w:val="sk-SK"/>
        </w:rPr>
        <w:t>, čo môže</w:t>
      </w:r>
      <w:r w:rsidRPr="0029684D">
        <w:rPr>
          <w:sz w:val="22"/>
          <w:szCs w:val="22"/>
          <w:lang w:val="sk-SK"/>
        </w:rPr>
        <w:t xml:space="preserve"> vyústiť do zvýšenej toxicity.</w:t>
      </w:r>
    </w:p>
    <w:p w14:paraId="4A32B6AC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1696C9B7" w14:textId="47C4F7B6" w:rsidR="0064735C" w:rsidRPr="0029684D" w:rsidRDefault="00A16D1D" w:rsidP="000A3637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Ta</w:t>
      </w:r>
      <w:r w:rsidR="00D1685A">
        <w:rPr>
          <w:i/>
          <w:iCs/>
          <w:sz w:val="22"/>
          <w:szCs w:val="22"/>
          <w:lang w:val="sk-SK"/>
        </w:rPr>
        <w:t>k</w:t>
      </w:r>
      <w:r w:rsidRPr="0029684D">
        <w:rPr>
          <w:i/>
          <w:iCs/>
          <w:sz w:val="22"/>
          <w:szCs w:val="22"/>
          <w:lang w:val="sk-SK"/>
        </w:rPr>
        <w:t>rolimus</w:t>
      </w:r>
    </w:p>
    <w:p w14:paraId="31C5342B" w14:textId="77777777" w:rsidR="00467218" w:rsidRPr="0029684D" w:rsidRDefault="0065594D" w:rsidP="00043DF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Riziko</w:t>
      </w:r>
      <w:r w:rsidR="00A16D1D" w:rsidRPr="0029684D">
        <w:rPr>
          <w:sz w:val="22"/>
          <w:szCs w:val="22"/>
          <w:lang w:val="sk-SK"/>
        </w:rPr>
        <w:t xml:space="preserve"> nefrotoxicity</w:t>
      </w:r>
      <w:r w:rsidRPr="0029684D">
        <w:rPr>
          <w:sz w:val="22"/>
          <w:szCs w:val="22"/>
          <w:lang w:val="sk-SK"/>
        </w:rPr>
        <w:t xml:space="preserve"> sa zvyšuje, ak sa oba lieky podávajú súbežne.</w:t>
      </w:r>
    </w:p>
    <w:p w14:paraId="756F226B" w14:textId="77777777" w:rsidR="00467218" w:rsidRPr="0029684D" w:rsidRDefault="00467218" w:rsidP="00E44A68">
      <w:pPr>
        <w:spacing w:after="0"/>
        <w:jc w:val="left"/>
        <w:rPr>
          <w:sz w:val="22"/>
          <w:szCs w:val="22"/>
          <w:lang w:val="sk-SK"/>
        </w:rPr>
      </w:pPr>
    </w:p>
    <w:p w14:paraId="43886A0B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Cyklospor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</w:p>
    <w:p w14:paraId="6358F58C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Existuj</w:t>
      </w:r>
      <w:r w:rsidR="0065594D" w:rsidRPr="0029684D">
        <w:rPr>
          <w:sz w:val="22"/>
          <w:szCs w:val="22"/>
          <w:lang w:val="sk-SK"/>
        </w:rPr>
        <w:t>ú len</w:t>
      </w:r>
      <w:r w:rsidRPr="0029684D">
        <w:rPr>
          <w:sz w:val="22"/>
          <w:szCs w:val="22"/>
          <w:lang w:val="sk-SK"/>
        </w:rPr>
        <w:t xml:space="preserve"> o</w:t>
      </w:r>
      <w:r w:rsidR="0065594D" w:rsidRPr="0029684D">
        <w:rPr>
          <w:sz w:val="22"/>
          <w:szCs w:val="22"/>
          <w:lang w:val="sk-SK"/>
        </w:rPr>
        <w:t>b</w:t>
      </w:r>
      <w:r w:rsidRPr="0029684D">
        <w:rPr>
          <w:sz w:val="22"/>
          <w:szCs w:val="22"/>
          <w:lang w:val="sk-SK"/>
        </w:rPr>
        <w:t>me</w:t>
      </w:r>
      <w:r w:rsidR="0065594D" w:rsidRPr="0029684D">
        <w:rPr>
          <w:sz w:val="22"/>
          <w:szCs w:val="22"/>
          <w:lang w:val="sk-SK"/>
        </w:rPr>
        <w:t>d</w:t>
      </w:r>
      <w:r w:rsidRPr="0029684D">
        <w:rPr>
          <w:sz w:val="22"/>
          <w:szCs w:val="22"/>
          <w:lang w:val="sk-SK"/>
        </w:rPr>
        <w:t>zené d</w:t>
      </w:r>
      <w:r w:rsidR="0065594D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kazy o možn</w:t>
      </w:r>
      <w:r w:rsidR="0065594D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interakc</w:t>
      </w:r>
      <w:r w:rsidR="0065594D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i ved</w:t>
      </w:r>
      <w:r w:rsidR="0065594D" w:rsidRPr="0029684D">
        <w:rPr>
          <w:sz w:val="22"/>
          <w:szCs w:val="22"/>
          <w:lang w:val="sk-SK"/>
        </w:rPr>
        <w:t>úcej</w:t>
      </w:r>
      <w:r w:rsidRPr="0029684D">
        <w:rPr>
          <w:sz w:val="22"/>
          <w:szCs w:val="22"/>
          <w:lang w:val="sk-SK"/>
        </w:rPr>
        <w:t xml:space="preserve"> k zvýšenému riziku nefrotoxicity.</w:t>
      </w:r>
    </w:p>
    <w:p w14:paraId="66D0D59F" w14:textId="77777777" w:rsidR="0080372A" w:rsidRPr="0029684D" w:rsidRDefault="0080372A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74A025D3" w14:textId="77777777" w:rsidR="0080372A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Mifepriston</w:t>
      </w:r>
    </w:p>
    <w:p w14:paraId="3ED81387" w14:textId="6A5FD410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NSAID </w:t>
      </w:r>
      <w:r w:rsidR="00AA245A">
        <w:rPr>
          <w:sz w:val="22"/>
          <w:szCs w:val="22"/>
          <w:lang w:val="sk-SK"/>
        </w:rPr>
        <w:t>sa nemajú</w:t>
      </w:r>
      <w:r w:rsidRPr="0029684D">
        <w:rPr>
          <w:sz w:val="22"/>
          <w:szCs w:val="22"/>
          <w:lang w:val="sk-SK"/>
        </w:rPr>
        <w:t xml:space="preserve"> užívať 8</w:t>
      </w:r>
      <w:r w:rsidR="008B2DE6" w:rsidRPr="0029684D">
        <w:rPr>
          <w:sz w:val="22"/>
          <w:szCs w:val="22"/>
          <w:lang w:val="sk-SK"/>
        </w:rPr>
        <w:t xml:space="preserve"> až </w:t>
      </w:r>
      <w:r w:rsidRPr="0029684D">
        <w:rPr>
          <w:sz w:val="22"/>
          <w:szCs w:val="22"/>
          <w:lang w:val="sk-SK"/>
        </w:rPr>
        <w:t>12 dní po podaní mifepristonu, pretože NSAID môžu jeho účinok znížiť.</w:t>
      </w:r>
    </w:p>
    <w:p w14:paraId="0271EFE6" w14:textId="77777777" w:rsidR="0080372A" w:rsidRPr="0029684D" w:rsidRDefault="0080372A">
      <w:pPr>
        <w:spacing w:after="0"/>
        <w:jc w:val="left"/>
        <w:rPr>
          <w:sz w:val="22"/>
          <w:szCs w:val="22"/>
          <w:lang w:val="sk-SK"/>
        </w:rPr>
      </w:pPr>
    </w:p>
    <w:p w14:paraId="680CF377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Kortikosteroidy</w:t>
      </w:r>
    </w:p>
    <w:p w14:paraId="53E4FCD1" w14:textId="77777777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Zvýšené riziko gastrointestinálnej ulcerácie alebo krvácania </w:t>
      </w:r>
      <w:r w:rsidR="00A16D1D" w:rsidRPr="0029684D">
        <w:rPr>
          <w:sz w:val="22"/>
          <w:szCs w:val="22"/>
          <w:lang w:val="sk-SK"/>
        </w:rPr>
        <w:t>(</w:t>
      </w:r>
      <w:r w:rsidR="002E0F0B" w:rsidRPr="0029684D">
        <w:rPr>
          <w:sz w:val="22"/>
          <w:szCs w:val="22"/>
          <w:lang w:val="sk-SK"/>
        </w:rPr>
        <w:t>pozri časť 4.4</w:t>
      </w:r>
      <w:r w:rsidR="00A16D1D" w:rsidRPr="0029684D">
        <w:rPr>
          <w:sz w:val="22"/>
          <w:szCs w:val="22"/>
          <w:lang w:val="sk-SK"/>
        </w:rPr>
        <w:t>).</w:t>
      </w:r>
    </w:p>
    <w:p w14:paraId="12C3AD94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7E6BD76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Antikoagulanci</w:t>
      </w:r>
      <w:r w:rsidR="0065594D" w:rsidRPr="0029684D">
        <w:rPr>
          <w:i/>
          <w:iCs/>
          <w:sz w:val="22"/>
          <w:szCs w:val="22"/>
          <w:lang w:val="sk-SK"/>
        </w:rPr>
        <w:t>á</w:t>
      </w:r>
    </w:p>
    <w:p w14:paraId="69FF48A2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65594D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65594D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zvýši</w:t>
      </w:r>
      <w:r w:rsidR="0065594D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účinky antikoagulancií, nap</w:t>
      </w:r>
      <w:r w:rsidR="0065594D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íklad warfar</w:t>
      </w:r>
      <w:r w:rsidR="0065594D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019256EE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61DA766" w14:textId="79574692" w:rsidR="00467218" w:rsidRPr="0029684D" w:rsidRDefault="00521F93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Antiagreganciá</w:t>
      </w:r>
      <w:r w:rsidR="00A16D1D" w:rsidRPr="0029684D">
        <w:rPr>
          <w:i/>
          <w:iCs/>
          <w:sz w:val="22"/>
          <w:szCs w:val="22"/>
          <w:lang w:val="sk-SK"/>
        </w:rPr>
        <w:t xml:space="preserve"> a selekt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>vn</w:t>
      </w:r>
      <w:r w:rsidR="0065594D" w:rsidRPr="0029684D">
        <w:rPr>
          <w:i/>
          <w:iCs/>
          <w:sz w:val="22"/>
          <w:szCs w:val="22"/>
          <w:lang w:val="sk-SK"/>
        </w:rPr>
        <w:t>e</w:t>
      </w:r>
      <w:r w:rsidR="00A16D1D" w:rsidRPr="0029684D">
        <w:rPr>
          <w:i/>
          <w:iCs/>
          <w:sz w:val="22"/>
          <w:szCs w:val="22"/>
          <w:lang w:val="sk-SK"/>
        </w:rPr>
        <w:t xml:space="preserve"> inhib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 xml:space="preserve">tory </w:t>
      </w:r>
      <w:r w:rsidR="0065594D" w:rsidRPr="0029684D">
        <w:rPr>
          <w:i/>
          <w:iCs/>
          <w:sz w:val="22"/>
          <w:szCs w:val="22"/>
          <w:lang w:val="sk-SK"/>
        </w:rPr>
        <w:t>s</w:t>
      </w:r>
      <w:r w:rsidR="00A16D1D" w:rsidRPr="0029684D">
        <w:rPr>
          <w:i/>
          <w:iCs/>
          <w:sz w:val="22"/>
          <w:szCs w:val="22"/>
          <w:lang w:val="sk-SK"/>
        </w:rPr>
        <w:t>p</w:t>
      </w:r>
      <w:r w:rsidR="0065594D" w:rsidRPr="0029684D">
        <w:rPr>
          <w:i/>
          <w:iCs/>
          <w:sz w:val="22"/>
          <w:szCs w:val="22"/>
          <w:lang w:val="sk-SK"/>
        </w:rPr>
        <w:t>ä</w:t>
      </w:r>
      <w:r w:rsidR="00A16D1D" w:rsidRPr="0029684D">
        <w:rPr>
          <w:i/>
          <w:iCs/>
          <w:sz w:val="22"/>
          <w:szCs w:val="22"/>
          <w:lang w:val="sk-SK"/>
        </w:rPr>
        <w:t>tného vychytáv</w:t>
      </w:r>
      <w:r w:rsidR="0065594D" w:rsidRPr="0029684D">
        <w:rPr>
          <w:i/>
          <w:iCs/>
          <w:sz w:val="22"/>
          <w:szCs w:val="22"/>
          <w:lang w:val="sk-SK"/>
        </w:rPr>
        <w:t>a</w:t>
      </w:r>
      <w:r w:rsidR="00A16D1D" w:rsidRPr="0029684D">
        <w:rPr>
          <w:i/>
          <w:iCs/>
          <w:sz w:val="22"/>
          <w:szCs w:val="22"/>
          <w:lang w:val="sk-SK"/>
        </w:rPr>
        <w:t>n</w:t>
      </w:r>
      <w:r w:rsidR="0065594D" w:rsidRPr="0029684D">
        <w:rPr>
          <w:i/>
          <w:iCs/>
          <w:sz w:val="22"/>
          <w:szCs w:val="22"/>
          <w:lang w:val="sk-SK"/>
        </w:rPr>
        <w:t>ia</w:t>
      </w:r>
      <w:r w:rsidR="00A16D1D" w:rsidRPr="0029684D">
        <w:rPr>
          <w:i/>
          <w:iCs/>
          <w:sz w:val="22"/>
          <w:szCs w:val="22"/>
          <w:lang w:val="sk-SK"/>
        </w:rPr>
        <w:t xml:space="preserve"> s</w:t>
      </w:r>
      <w:r w:rsidR="00712E48">
        <w:rPr>
          <w:i/>
          <w:iCs/>
          <w:sz w:val="22"/>
          <w:szCs w:val="22"/>
          <w:lang w:val="sk-SK"/>
        </w:rPr>
        <w:t>é</w:t>
      </w:r>
      <w:r w:rsidR="00A16D1D" w:rsidRPr="0029684D">
        <w:rPr>
          <w:i/>
          <w:iCs/>
          <w:sz w:val="22"/>
          <w:szCs w:val="22"/>
          <w:lang w:val="sk-SK"/>
        </w:rPr>
        <w:t>roton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>nu (SSRI)</w:t>
      </w:r>
    </w:p>
    <w:p w14:paraId="1AABE414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Zvýšené riziko gastrointestináln</w:t>
      </w:r>
      <w:r w:rsidR="0065594D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ho krvác</w:t>
      </w:r>
      <w:r w:rsidR="0065594D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65594D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 xml:space="preserve">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4F59810C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37B88286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Deriváty sulfonylmočoviny</w:t>
      </w:r>
    </w:p>
    <w:p w14:paraId="3C742E5D" w14:textId="79041DA3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Klinické skúš</w:t>
      </w:r>
      <w:r w:rsidR="00712E48">
        <w:rPr>
          <w:sz w:val="22"/>
          <w:szCs w:val="22"/>
          <w:lang w:val="sk-SK"/>
        </w:rPr>
        <w:t>ania</w:t>
      </w:r>
      <w:r w:rsidRPr="0029684D">
        <w:rPr>
          <w:sz w:val="22"/>
          <w:szCs w:val="22"/>
          <w:lang w:val="sk-SK"/>
        </w:rPr>
        <w:t xml:space="preserve"> preukázali interakcie medzi NSAID a antidiabetikami (deriváty sulfonylmočoviny). Hoci interakcie medzi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om a derivátmi sulfonylmočoviny neboli doteraz opísané, pri sú</w:t>
      </w:r>
      <w:r w:rsidR="00712E48">
        <w:rPr>
          <w:sz w:val="22"/>
          <w:szCs w:val="22"/>
          <w:lang w:val="sk-SK"/>
        </w:rPr>
        <w:t>bežnom</w:t>
      </w:r>
      <w:r w:rsidRPr="0029684D">
        <w:rPr>
          <w:sz w:val="22"/>
          <w:szCs w:val="22"/>
          <w:lang w:val="sk-SK"/>
        </w:rPr>
        <w:t xml:space="preserve"> podávaní sa odporúča preventívne kontrolovať hladiny glukózy v krvi</w:t>
      </w:r>
      <w:r w:rsidR="00A16D1D" w:rsidRPr="0029684D">
        <w:rPr>
          <w:sz w:val="22"/>
          <w:szCs w:val="22"/>
          <w:lang w:val="sk-SK"/>
        </w:rPr>
        <w:t>.</w:t>
      </w:r>
    </w:p>
    <w:p w14:paraId="50237DE6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CA1D1C5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Zidovud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</w:p>
    <w:p w14:paraId="5234CA48" w14:textId="77777777" w:rsidR="00EB0A3A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lastRenderedPageBreak/>
        <w:t xml:space="preserve">Existuje dôkaz zvýšeného rizika hemartrózy a hematómov u HIV (+) hemofilikov, ktorí sa súbežne liečia zidovudínom a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om.</w:t>
      </w:r>
    </w:p>
    <w:p w14:paraId="07988537" w14:textId="4E4104CC" w:rsidR="00467218" w:rsidRPr="0029684D" w:rsidRDefault="00EB0A3A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 </w:t>
      </w:r>
    </w:p>
    <w:p w14:paraId="013B4695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Probenecid a sulfinpyraz</w:t>
      </w:r>
      <w:r w:rsidR="0065594D" w:rsidRPr="0029684D">
        <w:rPr>
          <w:i/>
          <w:iCs/>
          <w:sz w:val="22"/>
          <w:szCs w:val="22"/>
          <w:lang w:val="sk-SK"/>
        </w:rPr>
        <w:t>ó</w:t>
      </w:r>
      <w:r w:rsidRPr="0029684D">
        <w:rPr>
          <w:i/>
          <w:iCs/>
          <w:sz w:val="22"/>
          <w:szCs w:val="22"/>
          <w:lang w:val="sk-SK"/>
        </w:rPr>
        <w:t>n</w:t>
      </w:r>
    </w:p>
    <w:p w14:paraId="5A0F6D10" w14:textId="3636BC3D" w:rsidR="00AA245A" w:rsidRDefault="00562C20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Lieky, ktoré obsahujú probenecid alebo sulfinpyrazón, môžu spomaliť vylučovanie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r w:rsidR="00A16D1D" w:rsidRPr="0029684D">
        <w:rPr>
          <w:sz w:val="22"/>
          <w:szCs w:val="22"/>
          <w:lang w:val="sk-SK"/>
        </w:rPr>
        <w:t>.</w:t>
      </w:r>
    </w:p>
    <w:p w14:paraId="21750ED0" w14:textId="77777777" w:rsidR="00712E48" w:rsidRDefault="00712E48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1CD7DBBA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Baklof</w:t>
      </w:r>
      <w:r w:rsidR="00BC3A1E" w:rsidRPr="0029684D">
        <w:rPr>
          <w:i/>
          <w:iCs/>
          <w:sz w:val="22"/>
          <w:szCs w:val="22"/>
          <w:lang w:val="sk-SK"/>
        </w:rPr>
        <w:t>é</w:t>
      </w:r>
      <w:r w:rsidRPr="0029684D">
        <w:rPr>
          <w:i/>
          <w:iCs/>
          <w:sz w:val="22"/>
          <w:szCs w:val="22"/>
          <w:lang w:val="sk-SK"/>
        </w:rPr>
        <w:t>n</w:t>
      </w:r>
    </w:p>
    <w:p w14:paraId="20153681" w14:textId="5A820FFF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Po </w:t>
      </w:r>
      <w:r w:rsidR="00BC3A1E" w:rsidRPr="0029684D">
        <w:rPr>
          <w:sz w:val="22"/>
          <w:szCs w:val="22"/>
          <w:lang w:val="sk-SK"/>
        </w:rPr>
        <w:t>začatí</w:t>
      </w:r>
      <w:r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 xml:space="preserve">liečby </w:t>
      </w:r>
      <w:r w:rsidRPr="0029684D">
        <w:rPr>
          <w:sz w:val="22"/>
          <w:szCs w:val="22"/>
          <w:lang w:val="sk-SK"/>
        </w:rPr>
        <w:t>ibuprof</w:t>
      </w:r>
      <w:r w:rsidR="00E6195C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</w:t>
      </w:r>
      <w:r w:rsidR="00BC3A1E" w:rsidRPr="0029684D">
        <w:rPr>
          <w:sz w:val="22"/>
          <w:szCs w:val="22"/>
          <w:lang w:val="sk-SK"/>
        </w:rPr>
        <w:t>om</w:t>
      </w:r>
      <w:r w:rsidRPr="0029684D">
        <w:rPr>
          <w:sz w:val="22"/>
          <w:szCs w:val="22"/>
          <w:lang w:val="sk-SK"/>
        </w:rPr>
        <w:t xml:space="preserve"> s</w:t>
      </w:r>
      <w:r w:rsidR="00BC3A1E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="00712E48">
        <w:rPr>
          <w:sz w:val="22"/>
          <w:szCs w:val="22"/>
          <w:lang w:val="sk-SK"/>
        </w:rPr>
        <w:t>prejaviť toxický účinok</w:t>
      </w:r>
      <w:r w:rsidRPr="0029684D">
        <w:rPr>
          <w:sz w:val="22"/>
          <w:szCs w:val="22"/>
          <w:lang w:val="sk-SK"/>
        </w:rPr>
        <w:t xml:space="preserve"> baklof</w:t>
      </w:r>
      <w:r w:rsidR="00BC3A1E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>nu.</w:t>
      </w:r>
    </w:p>
    <w:p w14:paraId="5C9A1072" w14:textId="77777777" w:rsidR="00AA245A" w:rsidRPr="0029684D" w:rsidRDefault="00AA245A">
      <w:pPr>
        <w:spacing w:after="0"/>
        <w:jc w:val="left"/>
        <w:rPr>
          <w:sz w:val="22"/>
          <w:szCs w:val="22"/>
          <w:lang w:val="sk-SK"/>
        </w:rPr>
      </w:pPr>
    </w:p>
    <w:p w14:paraId="1D75CD31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Ritonavir</w:t>
      </w:r>
    </w:p>
    <w:p w14:paraId="4B4D9A3B" w14:textId="4C0A0116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Ritonavir m</w:t>
      </w:r>
      <w:r w:rsidR="00BC3A1E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zvýši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712E48">
        <w:rPr>
          <w:sz w:val="22"/>
          <w:szCs w:val="22"/>
          <w:lang w:val="sk-SK"/>
        </w:rPr>
        <w:t xml:space="preserve">plazmatické </w:t>
      </w:r>
      <w:r w:rsidRPr="0029684D">
        <w:rPr>
          <w:sz w:val="22"/>
          <w:szCs w:val="22"/>
          <w:lang w:val="sk-SK"/>
        </w:rPr>
        <w:t>koncentr</w:t>
      </w:r>
      <w:r w:rsidR="00BC3A1E" w:rsidRPr="0029684D">
        <w:rPr>
          <w:sz w:val="22"/>
          <w:szCs w:val="22"/>
          <w:lang w:val="sk-SK"/>
        </w:rPr>
        <w:t>ácie</w:t>
      </w:r>
      <w:r w:rsidRPr="0029684D">
        <w:rPr>
          <w:sz w:val="22"/>
          <w:szCs w:val="22"/>
          <w:lang w:val="sk-SK"/>
        </w:rPr>
        <w:t xml:space="preserve"> NSA</w:t>
      </w:r>
      <w:r w:rsidR="00BC3A1E" w:rsidRPr="0029684D">
        <w:rPr>
          <w:sz w:val="22"/>
          <w:szCs w:val="22"/>
          <w:lang w:val="sk-SK"/>
        </w:rPr>
        <w:t>ID</w:t>
      </w:r>
      <w:r w:rsidR="00712E48">
        <w:rPr>
          <w:sz w:val="22"/>
          <w:szCs w:val="22"/>
          <w:lang w:val="sk-SK"/>
        </w:rPr>
        <w:t>.</w:t>
      </w:r>
    </w:p>
    <w:p w14:paraId="7B22A392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AEA0595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Aminoglyko</w:t>
      </w:r>
      <w:r w:rsidR="00BC3A1E" w:rsidRPr="0029684D">
        <w:rPr>
          <w:i/>
          <w:iCs/>
          <w:sz w:val="22"/>
          <w:szCs w:val="22"/>
          <w:lang w:val="sk-SK"/>
        </w:rPr>
        <w:t>z</w:t>
      </w:r>
      <w:r w:rsidRPr="0029684D">
        <w:rPr>
          <w:i/>
          <w:iCs/>
          <w:sz w:val="22"/>
          <w:szCs w:val="22"/>
          <w:lang w:val="sk-SK"/>
        </w:rPr>
        <w:t>idy</w:t>
      </w:r>
    </w:p>
    <w:p w14:paraId="7EE5148B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BC3A1E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níži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vylučov</w:t>
      </w:r>
      <w:r w:rsidR="00BC3A1E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BC3A1E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aminoglyko</w:t>
      </w:r>
      <w:r w:rsidR="00BC3A1E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id</w:t>
      </w:r>
      <w:r w:rsidR="00BC3A1E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>.</w:t>
      </w:r>
    </w:p>
    <w:p w14:paraId="35521C98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1FD60D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Chinol</w:t>
      </w:r>
      <w:r w:rsidR="00BC3A1E" w:rsidRPr="0029684D">
        <w:rPr>
          <w:i/>
          <w:iCs/>
          <w:sz w:val="22"/>
          <w:szCs w:val="22"/>
          <w:lang w:val="sk-SK"/>
        </w:rPr>
        <w:t>ó</w:t>
      </w:r>
      <w:r w:rsidRPr="0029684D">
        <w:rPr>
          <w:i/>
          <w:iCs/>
          <w:sz w:val="22"/>
          <w:szCs w:val="22"/>
          <w:lang w:val="sk-SK"/>
        </w:rPr>
        <w:t>nov</w:t>
      </w:r>
      <w:r w:rsidR="00BC3A1E" w:rsidRPr="0029684D">
        <w:rPr>
          <w:i/>
          <w:iCs/>
          <w:sz w:val="22"/>
          <w:szCs w:val="22"/>
          <w:lang w:val="sk-SK"/>
        </w:rPr>
        <w:t>é</w:t>
      </w:r>
      <w:r w:rsidRPr="0029684D">
        <w:rPr>
          <w:i/>
          <w:iCs/>
          <w:sz w:val="22"/>
          <w:szCs w:val="22"/>
          <w:lang w:val="sk-SK"/>
        </w:rPr>
        <w:t xml:space="preserve"> antibiot</w:t>
      </w:r>
      <w:r w:rsidR="00BC3A1E" w:rsidRPr="0029684D">
        <w:rPr>
          <w:i/>
          <w:iCs/>
          <w:sz w:val="22"/>
          <w:szCs w:val="22"/>
          <w:lang w:val="sk-SK"/>
        </w:rPr>
        <w:t>i</w:t>
      </w:r>
      <w:r w:rsidRPr="0029684D">
        <w:rPr>
          <w:i/>
          <w:iCs/>
          <w:sz w:val="22"/>
          <w:szCs w:val="22"/>
          <w:lang w:val="sk-SK"/>
        </w:rPr>
        <w:t>k</w:t>
      </w:r>
      <w:r w:rsidR="00BC3A1E" w:rsidRPr="0029684D">
        <w:rPr>
          <w:i/>
          <w:iCs/>
          <w:sz w:val="22"/>
          <w:szCs w:val="22"/>
          <w:lang w:val="sk-SK"/>
        </w:rPr>
        <w:t>á</w:t>
      </w:r>
    </w:p>
    <w:p w14:paraId="22637A9B" w14:textId="2D8CDB1E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Údaje z pokus</w:t>
      </w:r>
      <w:r w:rsidR="00BC3A1E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na zv</w:t>
      </w:r>
      <w:r w:rsidR="00BC3A1E" w:rsidRPr="0029684D">
        <w:rPr>
          <w:sz w:val="22"/>
          <w:szCs w:val="22"/>
          <w:lang w:val="sk-SK"/>
        </w:rPr>
        <w:t>ieratá</w:t>
      </w:r>
      <w:r w:rsidRPr="0029684D">
        <w:rPr>
          <w:sz w:val="22"/>
          <w:szCs w:val="22"/>
          <w:lang w:val="sk-SK"/>
        </w:rPr>
        <w:t xml:space="preserve">ch </w:t>
      </w:r>
      <w:r w:rsidR="00712E48">
        <w:rPr>
          <w:sz w:val="22"/>
          <w:szCs w:val="22"/>
          <w:lang w:val="sk-SK"/>
        </w:rPr>
        <w:t>naznačujú</w:t>
      </w:r>
      <w:r w:rsidRPr="0029684D">
        <w:rPr>
          <w:sz w:val="22"/>
          <w:szCs w:val="22"/>
          <w:lang w:val="sk-SK"/>
        </w:rPr>
        <w:t>, že NSA</w:t>
      </w:r>
      <w:r w:rsidR="00BC3A1E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v spojení s chinol</w:t>
      </w:r>
      <w:r w:rsidR="00BC3A1E" w:rsidRPr="0029684D">
        <w:rPr>
          <w:sz w:val="22"/>
          <w:szCs w:val="22"/>
          <w:lang w:val="sk-SK"/>
        </w:rPr>
        <w:t>ó</w:t>
      </w:r>
      <w:r w:rsidRPr="0029684D">
        <w:rPr>
          <w:sz w:val="22"/>
          <w:szCs w:val="22"/>
          <w:lang w:val="sk-SK"/>
        </w:rPr>
        <w:t>novými antibiotik</w:t>
      </w:r>
      <w:r w:rsidR="00BC3A1E" w:rsidRPr="0029684D">
        <w:rPr>
          <w:sz w:val="22"/>
          <w:szCs w:val="22"/>
          <w:lang w:val="sk-SK"/>
        </w:rPr>
        <w:t>ami</w:t>
      </w:r>
      <w:r w:rsidRPr="0029684D">
        <w:rPr>
          <w:sz w:val="22"/>
          <w:szCs w:val="22"/>
          <w:lang w:val="sk-SK"/>
        </w:rPr>
        <w:t xml:space="preserve"> zvýši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riziko k</w:t>
      </w:r>
      <w:r w:rsidR="00BC3A1E" w:rsidRPr="0029684D">
        <w:rPr>
          <w:sz w:val="22"/>
          <w:szCs w:val="22"/>
          <w:lang w:val="sk-SK"/>
        </w:rPr>
        <w:t>ŕčov</w:t>
      </w:r>
      <w:r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>Pacienti užívajúci NSAID a chinolóny môžu mať zvýšené riziko vzniku kŕčov.</w:t>
      </w:r>
    </w:p>
    <w:p w14:paraId="5D634387" w14:textId="77777777" w:rsidR="00A41524" w:rsidRPr="0029684D" w:rsidRDefault="00A41524">
      <w:pPr>
        <w:spacing w:after="0"/>
        <w:jc w:val="left"/>
        <w:rPr>
          <w:sz w:val="22"/>
          <w:szCs w:val="22"/>
          <w:lang w:val="sk-SK"/>
        </w:rPr>
      </w:pPr>
    </w:p>
    <w:p w14:paraId="44228D3A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Vorikonazol a flukonazol</w:t>
      </w:r>
    </w:p>
    <w:p w14:paraId="7C90B538" w14:textId="3BEFF3FD" w:rsidR="00467218" w:rsidRPr="0029684D" w:rsidRDefault="00BC3A1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V štúdii s vorikonazolom a flukonazolom (inhibítory CYP2C9) sa preukázala zvýšená expozícia S - (+) -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 xml:space="preserve">u približne o 80 - 100 %. Pri </w:t>
      </w:r>
      <w:r w:rsidR="00712E48" w:rsidRPr="0029684D">
        <w:rPr>
          <w:sz w:val="22"/>
          <w:szCs w:val="22"/>
          <w:lang w:val="sk-SK"/>
        </w:rPr>
        <w:t>sú</w:t>
      </w:r>
      <w:r w:rsidR="00712E48">
        <w:rPr>
          <w:sz w:val="22"/>
          <w:szCs w:val="22"/>
          <w:lang w:val="sk-SK"/>
        </w:rPr>
        <w:t>bežnom</w:t>
      </w:r>
      <w:r w:rsidR="00712E4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podávaní silných inhibítorov CYP2C9 je potrebné zvážiť zníženie dávky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 xml:space="preserve">u, najmä keď sa vysoká dávka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 podáva buď s vorikonazolom alebo flukonazolom</w:t>
      </w:r>
      <w:r w:rsidR="00A16D1D" w:rsidRPr="0029684D">
        <w:rPr>
          <w:sz w:val="22"/>
          <w:szCs w:val="22"/>
          <w:lang w:val="sk-SK"/>
        </w:rPr>
        <w:t>.</w:t>
      </w:r>
    </w:p>
    <w:p w14:paraId="56852CAA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4E0F5165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Cholestyram</w:t>
      </w:r>
      <w:r w:rsidR="00BC3A1E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</w:p>
    <w:p w14:paraId="3CB26F27" w14:textId="70E0355E" w:rsidR="00467218" w:rsidRPr="0029684D" w:rsidRDefault="00BC3A1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Pri súbežnom podávaní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 xml:space="preserve">u a cholestyramínu sa absorpcia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 oneskoruje a znižuje (25 %). Lieky je potrebné podávať s niekoľkohodinovým odstupom.</w:t>
      </w:r>
    </w:p>
    <w:p w14:paraId="245EEE61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8EBD674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4.6</w:t>
      </w:r>
      <w:r w:rsidRPr="0029684D">
        <w:rPr>
          <w:b/>
          <w:sz w:val="22"/>
          <w:szCs w:val="22"/>
          <w:lang w:val="sk-SK"/>
        </w:rPr>
        <w:tab/>
      </w:r>
      <w:r w:rsidR="00A16D1D" w:rsidRPr="0029684D">
        <w:rPr>
          <w:b/>
          <w:sz w:val="22"/>
          <w:szCs w:val="22"/>
          <w:lang w:val="sk-SK"/>
        </w:rPr>
        <w:t xml:space="preserve">Fertilita, </w:t>
      </w:r>
      <w:r w:rsidR="00AA7FAA" w:rsidRPr="0029684D">
        <w:rPr>
          <w:b/>
          <w:sz w:val="22"/>
          <w:szCs w:val="22"/>
          <w:lang w:val="sk-SK"/>
        </w:rPr>
        <w:t>gravidita a laktácia</w:t>
      </w:r>
    </w:p>
    <w:p w14:paraId="3A8F0A77" w14:textId="77777777" w:rsidR="00005545" w:rsidRPr="0029684D" w:rsidRDefault="00005545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628330DC" w14:textId="77777777" w:rsidR="00300F58" w:rsidRPr="00E6202C" w:rsidRDefault="00300F58" w:rsidP="00300F58">
      <w:pPr>
        <w:spacing w:after="0"/>
        <w:jc w:val="left"/>
        <w:rPr>
          <w:sz w:val="22"/>
          <w:szCs w:val="22"/>
          <w:u w:val="single"/>
        </w:rPr>
      </w:pPr>
      <w:r w:rsidRPr="00E6202C">
        <w:rPr>
          <w:sz w:val="22"/>
          <w:szCs w:val="22"/>
          <w:u w:val="single"/>
        </w:rPr>
        <w:t>Gravidita</w:t>
      </w:r>
    </w:p>
    <w:p w14:paraId="5DF65517" w14:textId="77777777" w:rsidR="00300F58" w:rsidRPr="00E6202C" w:rsidRDefault="00300F58" w:rsidP="00300F5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Inhibícia syntézy prostaglandínov môže nepriaznivo ovplyvniť graviditu a/alebo vývin embrya/plodu. Údaje z epidemiologických štúdií naznačujú zvýšené riziko spontánneho potratu, malformácií srdca a gastroschízy po užití inhibítora syntézy prostaglandínov v skorých štádiách tehotenstva. Predpokladá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, že riziko narastá s užitím väčšieho množstva dávok a dĺžkou liečby. Na zvieratách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preukázalo, že podanie inhibítora syntézy prostaglandínov vedie k zvýšenej pre- a postimplantačnej strate a letalite embrya/plodu. Okrem toho bol po podaní inhibítora syntézy prostaglandínov zvieratám v štádiu organogenézy hlásený zvýšený výskyt rôznych malformácií, vrátane kardiovaskulárnych. Počas prvého a druhého trimestra gravidity by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ibuprofen nemal užívať, ak to nie je nevyhnutne potrebné. Ak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ibuprofen podáva ženám, ktoré sa pokúšajú otehotnieť, alebo ho užívajú počas prvého a druhého trimestra gravidity, dávka by mala byť čo najnižšia a dĺžka liečby čo najkratšia.</w:t>
      </w:r>
    </w:p>
    <w:p w14:paraId="4E2B4625" w14:textId="77777777" w:rsidR="00300F58" w:rsidRPr="00E6202C" w:rsidRDefault="00300F58" w:rsidP="00300F5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Počas tretieho trimestra gravidity všetky inhibítory syntézy prostaglandínov môžu vystaviť plod:</w:t>
      </w:r>
    </w:p>
    <w:p w14:paraId="6D2EDDC5" w14:textId="77777777" w:rsidR="00300F58" w:rsidRPr="00E6202C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kardiopulmonálnej toxicite (predčasný uzáver </w:t>
      </w:r>
      <w:r w:rsidRPr="00E6202C">
        <w:rPr>
          <w:i/>
          <w:sz w:val="22"/>
          <w:szCs w:val="22"/>
        </w:rPr>
        <w:t xml:space="preserve">ductus arteriosus </w:t>
      </w:r>
      <w:r w:rsidRPr="00E6202C">
        <w:rPr>
          <w:sz w:val="22"/>
          <w:szCs w:val="22"/>
        </w:rPr>
        <w:t>a pľúcna hypertenzia),</w:t>
      </w:r>
    </w:p>
    <w:p w14:paraId="39FEB0B9" w14:textId="77777777" w:rsidR="00300F58" w:rsidRPr="00E6202C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</w:rPr>
      </w:pPr>
      <w:proofErr w:type="gramStart"/>
      <w:r w:rsidRPr="00E6202C">
        <w:rPr>
          <w:sz w:val="22"/>
          <w:szCs w:val="22"/>
        </w:rPr>
        <w:t>dysfunkcii</w:t>
      </w:r>
      <w:proofErr w:type="gramEnd"/>
      <w:r w:rsidRPr="00E6202C">
        <w:rPr>
          <w:sz w:val="22"/>
          <w:szCs w:val="22"/>
        </w:rPr>
        <w:t xml:space="preserve"> obličiek, ktorá môže vyústiť k zlyhaniu obličiek s oligohydroamniónom.</w:t>
      </w:r>
    </w:p>
    <w:p w14:paraId="7ACE813F" w14:textId="77777777" w:rsidR="00300F58" w:rsidRPr="00E6202C" w:rsidRDefault="00300F58" w:rsidP="00300F58">
      <w:pPr>
        <w:pStyle w:val="Odsekzoznamu"/>
        <w:spacing w:after="0"/>
        <w:ind w:left="426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m</w:t>
      </w:r>
      <w:r w:rsidRPr="00E6202C">
        <w:rPr>
          <w:sz w:val="22"/>
          <w:szCs w:val="22"/>
        </w:rPr>
        <w:t>atku</w:t>
      </w:r>
      <w:proofErr w:type="gramEnd"/>
      <w:r w:rsidRPr="00E6202C">
        <w:rPr>
          <w:sz w:val="22"/>
          <w:szCs w:val="22"/>
        </w:rPr>
        <w:t xml:space="preserve"> a novorodenca na konci gravidity:</w:t>
      </w:r>
    </w:p>
    <w:p w14:paraId="5F413822" w14:textId="77777777" w:rsidR="00300F58" w:rsidRPr="00E6202C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potenciálnemu predĺženiu krvácania, antiagregačný účinok môže nastať už pri užití veľmi nízkych dávok,</w:t>
      </w:r>
    </w:p>
    <w:p w14:paraId="64136011" w14:textId="77777777" w:rsidR="00300F58" w:rsidRPr="00E6202C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</w:rPr>
      </w:pPr>
      <w:proofErr w:type="gramStart"/>
      <w:r w:rsidRPr="00E6202C">
        <w:rPr>
          <w:sz w:val="22"/>
          <w:szCs w:val="22"/>
        </w:rPr>
        <w:t>inhibícii</w:t>
      </w:r>
      <w:proofErr w:type="gramEnd"/>
      <w:r w:rsidRPr="00E6202C">
        <w:rPr>
          <w:sz w:val="22"/>
          <w:szCs w:val="22"/>
        </w:rPr>
        <w:t xml:space="preserve"> kontrakcií maternice, čo môže viesť k oneskorenému alebo predĺženému pôrodu.</w:t>
      </w:r>
    </w:p>
    <w:p w14:paraId="565965B5" w14:textId="77777777" w:rsidR="00300F58" w:rsidRPr="00E6202C" w:rsidRDefault="00300F58" w:rsidP="00300F58">
      <w:pPr>
        <w:pStyle w:val="Odsekzoznamu"/>
        <w:spacing w:after="0"/>
        <w:ind w:left="426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Z toho dôvodu je ibuprofen počas tretieho trimestra gravidity kontraindikovaný (pozri časť 4.3).</w:t>
      </w:r>
    </w:p>
    <w:p w14:paraId="3E9FC26C" w14:textId="77777777" w:rsidR="00300F58" w:rsidRPr="00E6202C" w:rsidRDefault="00300F58" w:rsidP="00300F58">
      <w:pPr>
        <w:spacing w:after="0"/>
        <w:jc w:val="left"/>
        <w:rPr>
          <w:sz w:val="22"/>
          <w:szCs w:val="22"/>
        </w:rPr>
      </w:pPr>
    </w:p>
    <w:p w14:paraId="11F271C5" w14:textId="77777777" w:rsidR="00300F58" w:rsidRPr="00E6202C" w:rsidRDefault="00300F58" w:rsidP="00300F58">
      <w:pPr>
        <w:spacing w:after="0"/>
        <w:jc w:val="left"/>
        <w:rPr>
          <w:sz w:val="22"/>
          <w:szCs w:val="22"/>
          <w:u w:val="single"/>
        </w:rPr>
      </w:pPr>
      <w:r w:rsidRPr="00E6202C">
        <w:rPr>
          <w:sz w:val="22"/>
          <w:szCs w:val="22"/>
          <w:u w:val="single"/>
        </w:rPr>
        <w:t>Dojčenie</w:t>
      </w:r>
    </w:p>
    <w:p w14:paraId="1D033F73" w14:textId="02A2C1BB" w:rsidR="00300F58" w:rsidRPr="00E6202C" w:rsidRDefault="00300F58" w:rsidP="00300F58">
      <w:pPr>
        <w:spacing w:after="0"/>
        <w:jc w:val="left"/>
        <w:rPr>
          <w:sz w:val="22"/>
          <w:szCs w:val="22"/>
          <w:lang w:val="en-GB"/>
        </w:rPr>
      </w:pPr>
      <w:r w:rsidRPr="00E6202C">
        <w:rPr>
          <w:color w:val="222222"/>
          <w:sz w:val="22"/>
          <w:szCs w:val="22"/>
        </w:rPr>
        <w:lastRenderedPageBreak/>
        <w:t xml:space="preserve">Do materského mlieka prechádzajú </w:t>
      </w:r>
      <w:r>
        <w:rPr>
          <w:color w:val="222222"/>
          <w:sz w:val="22"/>
          <w:szCs w:val="22"/>
        </w:rPr>
        <w:t>len malé množstvá ibuprofenu a</w:t>
      </w:r>
      <w:r w:rsidRPr="00E6202C">
        <w:rPr>
          <w:color w:val="222222"/>
          <w:sz w:val="22"/>
          <w:szCs w:val="22"/>
        </w:rPr>
        <w:t xml:space="preserve"> jeho </w:t>
      </w:r>
      <w:r>
        <w:rPr>
          <w:color w:val="222222"/>
          <w:sz w:val="22"/>
          <w:szCs w:val="22"/>
        </w:rPr>
        <w:t>metabolitov</w:t>
      </w:r>
      <w:r w:rsidRPr="00E6202C">
        <w:rPr>
          <w:color w:val="222222"/>
          <w:sz w:val="22"/>
          <w:szCs w:val="22"/>
        </w:rPr>
        <w:t>. Keďže doteraz nie sú známe žiadne škodlivé účinky pre dojčatá, nie je zvyčajne potrebné prerušiť dojčenie počas krátkodobého užívania ibuprofenu v odporúčaných dávkach.</w:t>
      </w:r>
    </w:p>
    <w:p w14:paraId="20A5F10D" w14:textId="77777777" w:rsidR="00300F58" w:rsidRPr="00E6202C" w:rsidRDefault="00300F58" w:rsidP="00300F58">
      <w:pPr>
        <w:spacing w:after="0"/>
        <w:jc w:val="left"/>
        <w:rPr>
          <w:sz w:val="22"/>
          <w:szCs w:val="22"/>
        </w:rPr>
      </w:pPr>
    </w:p>
    <w:p w14:paraId="191D4423" w14:textId="77777777" w:rsidR="00300F58" w:rsidRPr="00E6202C" w:rsidRDefault="00300F58" w:rsidP="00300F58">
      <w:pPr>
        <w:spacing w:after="0"/>
        <w:jc w:val="left"/>
        <w:rPr>
          <w:sz w:val="22"/>
          <w:szCs w:val="22"/>
          <w:u w:val="single"/>
        </w:rPr>
      </w:pPr>
      <w:r w:rsidRPr="00E6202C">
        <w:rPr>
          <w:sz w:val="22"/>
          <w:szCs w:val="22"/>
          <w:u w:val="single"/>
        </w:rPr>
        <w:t>Fertilita</w:t>
      </w:r>
    </w:p>
    <w:p w14:paraId="12CB9FFA" w14:textId="77777777" w:rsidR="00300F58" w:rsidRPr="00E6202C" w:rsidRDefault="00300F58" w:rsidP="00300F5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Je preukázané, že liečivá inhibujúce syntézu cyklooxygenázy/prostaglandínov môžu poškodiť</w:t>
      </w:r>
      <w:r w:rsidRPr="00E6202C" w:rsidDel="00D1747E">
        <w:rPr>
          <w:sz w:val="22"/>
          <w:szCs w:val="22"/>
        </w:rPr>
        <w:t xml:space="preserve"> </w:t>
      </w:r>
      <w:r w:rsidRPr="00E6202C">
        <w:rPr>
          <w:sz w:val="22"/>
          <w:szCs w:val="22"/>
        </w:rPr>
        <w:t xml:space="preserve">ženskú fertilitu ovplyvnením ovulácie. Tento účinok </w:t>
      </w:r>
      <w:r>
        <w:rPr>
          <w:sz w:val="22"/>
          <w:szCs w:val="22"/>
        </w:rPr>
        <w:t xml:space="preserve">je </w:t>
      </w:r>
      <w:r w:rsidRPr="001242F4">
        <w:rPr>
          <w:sz w:val="22"/>
          <w:szCs w:val="22"/>
        </w:rPr>
        <w:t>reverzibilný</w:t>
      </w:r>
      <w:r w:rsidRPr="00E6202C">
        <w:rPr>
          <w:sz w:val="22"/>
          <w:szCs w:val="22"/>
        </w:rPr>
        <w:t xml:space="preserve"> po ukončení liečby.</w:t>
      </w:r>
    </w:p>
    <w:p w14:paraId="6D0D2ADF" w14:textId="77777777" w:rsidR="00B76DF5" w:rsidRPr="0029684D" w:rsidRDefault="00B76DF5" w:rsidP="000A3637">
      <w:pPr>
        <w:spacing w:after="0"/>
        <w:jc w:val="left"/>
        <w:rPr>
          <w:sz w:val="22"/>
          <w:szCs w:val="22"/>
          <w:lang w:val="sk-SK"/>
        </w:rPr>
      </w:pPr>
    </w:p>
    <w:p w14:paraId="2D32ACC4" w14:textId="77777777" w:rsidR="00467218" w:rsidRPr="0029684D" w:rsidRDefault="00467218" w:rsidP="00F46910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4.7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Ovplyvnenie schopnosti viesť vozidlá a obsluhovať stroje</w:t>
      </w:r>
    </w:p>
    <w:p w14:paraId="0C1AA982" w14:textId="77777777" w:rsidR="00005545" w:rsidRPr="0029684D" w:rsidRDefault="00005545" w:rsidP="00E44A68">
      <w:pPr>
        <w:spacing w:after="0"/>
        <w:jc w:val="left"/>
        <w:rPr>
          <w:sz w:val="22"/>
          <w:szCs w:val="22"/>
          <w:lang w:val="sk-SK"/>
        </w:rPr>
      </w:pPr>
    </w:p>
    <w:p w14:paraId="75E58C95" w14:textId="77777777" w:rsidR="00792457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Pri jednorazovom alebo krátkodobom užívaní nie sú potrebné žiadne opatrenia. Avšak výskyt relevantných vedľajších účinkov, ako je únava a vertigo, môže zhoršiť reaktivitu a schopnosť riadiť vozidlo a/alebo obsluhovať stroje môže byť znížená. To platí najmä v kombinácii s</w:t>
      </w:r>
      <w:r w:rsidR="00BE7EED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alkoholom</w:t>
      </w:r>
      <w:r w:rsidR="00BE7EED" w:rsidRPr="0029684D">
        <w:rPr>
          <w:sz w:val="22"/>
          <w:szCs w:val="22"/>
          <w:lang w:val="sk-SK"/>
        </w:rPr>
        <w:t>.</w:t>
      </w:r>
    </w:p>
    <w:p w14:paraId="024F1E5A" w14:textId="77777777" w:rsidR="00792457" w:rsidRPr="0029684D" w:rsidRDefault="00792457">
      <w:pPr>
        <w:spacing w:after="0"/>
        <w:jc w:val="left"/>
        <w:rPr>
          <w:sz w:val="22"/>
          <w:szCs w:val="22"/>
          <w:lang w:val="sk-SK"/>
        </w:rPr>
      </w:pPr>
    </w:p>
    <w:p w14:paraId="304C1DAA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4.8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Nežiaduce účinky</w:t>
      </w:r>
    </w:p>
    <w:p w14:paraId="731ADAB9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6845E57D" w14:textId="77777777" w:rsidR="00BB2C65" w:rsidRPr="00BA5546" w:rsidRDefault="00AA245A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BA5546">
        <w:rPr>
          <w:b/>
          <w:bCs/>
          <w:sz w:val="22"/>
          <w:szCs w:val="22"/>
          <w:lang w:val="sk-SK"/>
        </w:rPr>
        <w:t>Poruchy g</w:t>
      </w:r>
      <w:r w:rsidR="009D3C73" w:rsidRPr="00BA5546">
        <w:rPr>
          <w:b/>
          <w:bCs/>
          <w:sz w:val="22"/>
          <w:szCs w:val="22"/>
          <w:lang w:val="sk-SK"/>
        </w:rPr>
        <w:t>astrointestináln</w:t>
      </w:r>
      <w:r w:rsidR="00792457" w:rsidRPr="00BA5546">
        <w:rPr>
          <w:b/>
          <w:bCs/>
          <w:sz w:val="22"/>
          <w:szCs w:val="22"/>
          <w:lang w:val="sk-SK"/>
        </w:rPr>
        <w:t>e</w:t>
      </w:r>
      <w:r w:rsidRPr="00BA5546">
        <w:rPr>
          <w:b/>
          <w:bCs/>
          <w:sz w:val="22"/>
          <w:szCs w:val="22"/>
          <w:lang w:val="sk-SK"/>
        </w:rPr>
        <w:t>ho traktu</w:t>
      </w:r>
      <w:r w:rsidR="00792457" w:rsidRPr="00BA5546">
        <w:rPr>
          <w:b/>
          <w:bCs/>
          <w:sz w:val="22"/>
          <w:szCs w:val="22"/>
          <w:lang w:val="sk-SK"/>
        </w:rPr>
        <w:t xml:space="preserve"> </w:t>
      </w:r>
    </w:p>
    <w:p w14:paraId="5C81D708" w14:textId="69641FBB" w:rsidR="00BB2C65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Najčastejšie nežiaduce účinky sú gastrointestinálne</w:t>
      </w:r>
      <w:r w:rsidR="00A57AAA">
        <w:rPr>
          <w:sz w:val="22"/>
          <w:szCs w:val="22"/>
          <w:lang w:val="sk-SK"/>
        </w:rPr>
        <w:t>ho charakteru</w:t>
      </w:r>
      <w:r w:rsidRPr="0029684D">
        <w:rPr>
          <w:sz w:val="22"/>
          <w:szCs w:val="22"/>
          <w:lang w:val="sk-SK"/>
        </w:rPr>
        <w:t xml:space="preserve">. Môžu sa </w:t>
      </w:r>
      <w:r w:rsidR="00A57AAA">
        <w:rPr>
          <w:sz w:val="22"/>
          <w:szCs w:val="22"/>
          <w:lang w:val="sk-SK"/>
        </w:rPr>
        <w:t>objaviť</w:t>
      </w:r>
      <w:r w:rsidR="00A57AA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peptické vredy, perforácia alebo krvácanie z GI, niekedy </w:t>
      </w:r>
      <w:r w:rsidR="00A57AAA">
        <w:rPr>
          <w:sz w:val="22"/>
          <w:szCs w:val="22"/>
          <w:lang w:val="sk-SK"/>
        </w:rPr>
        <w:t xml:space="preserve">až </w:t>
      </w:r>
      <w:r w:rsidRPr="0029684D">
        <w:rPr>
          <w:sz w:val="22"/>
          <w:szCs w:val="22"/>
          <w:lang w:val="sk-SK"/>
        </w:rPr>
        <w:t>smrteľné, najmä u starších pacientov (pozri časť 4.4). Po</w:t>
      </w:r>
      <w:r w:rsidR="00A57AAA">
        <w:rPr>
          <w:sz w:val="22"/>
          <w:szCs w:val="22"/>
          <w:lang w:val="sk-SK"/>
        </w:rPr>
        <w:t xml:space="preserve"> podaní ibuprof</w:t>
      </w:r>
      <w:r w:rsidR="00582D6E">
        <w:rPr>
          <w:sz w:val="22"/>
          <w:szCs w:val="22"/>
          <w:lang w:val="sk-SK"/>
        </w:rPr>
        <w:t>e</w:t>
      </w:r>
      <w:r w:rsidR="00A57AAA">
        <w:rPr>
          <w:sz w:val="22"/>
          <w:szCs w:val="22"/>
          <w:lang w:val="sk-SK"/>
        </w:rPr>
        <w:t>nu</w:t>
      </w:r>
      <w:r w:rsidRPr="0029684D">
        <w:rPr>
          <w:sz w:val="22"/>
          <w:szCs w:val="22"/>
          <w:lang w:val="sk-SK"/>
        </w:rPr>
        <w:t xml:space="preserve"> boli hlásené</w:t>
      </w:r>
      <w:r w:rsidR="00A57AAA">
        <w:rPr>
          <w:sz w:val="22"/>
          <w:szCs w:val="22"/>
          <w:lang w:val="sk-SK"/>
        </w:rPr>
        <w:t xml:space="preserve"> aj ďalšie ťažkosti, napr.</w:t>
      </w:r>
      <w:r w:rsidRPr="0029684D">
        <w:rPr>
          <w:sz w:val="22"/>
          <w:szCs w:val="22"/>
          <w:lang w:val="sk-SK"/>
        </w:rPr>
        <w:t xml:space="preserve"> </w:t>
      </w:r>
      <w:r w:rsidR="00A57AAA" w:rsidRPr="0029684D">
        <w:rPr>
          <w:sz w:val="22"/>
          <w:szCs w:val="22"/>
          <w:lang w:val="sk-SK"/>
        </w:rPr>
        <w:t>nau</w:t>
      </w:r>
      <w:r w:rsidR="00A57AAA">
        <w:rPr>
          <w:sz w:val="22"/>
          <w:szCs w:val="22"/>
          <w:lang w:val="sk-SK"/>
        </w:rPr>
        <w:t>z</w:t>
      </w:r>
      <w:r w:rsidR="00A57AAA" w:rsidRPr="0029684D">
        <w:rPr>
          <w:sz w:val="22"/>
          <w:szCs w:val="22"/>
          <w:lang w:val="sk-SK"/>
        </w:rPr>
        <w:t>ea</w:t>
      </w:r>
      <w:r w:rsidRPr="0029684D">
        <w:rPr>
          <w:sz w:val="22"/>
          <w:szCs w:val="22"/>
          <w:lang w:val="sk-SK"/>
        </w:rPr>
        <w:t>, vracanie, hnačka, flatulencia, zápcha, dyspepsia, bolesť brucha, meléna, hemateméza, ulceratívna stomatitída, exacerbácia kolitídy a Crohnovej choroby (pozri časť 4.4). Menej často sa pozorovala gastritída. Pacient má byť poučený, aby prestal užívať liek a okamžite vyhľadal lekársku pomoc, ak sa uňho objaví relatívne silná bolesť v hornej časti brucha alebo meléna či hemateméza</w:t>
      </w:r>
      <w:r w:rsidR="009D3C73" w:rsidRPr="0029684D">
        <w:rPr>
          <w:sz w:val="22"/>
          <w:szCs w:val="22"/>
          <w:lang w:val="sk-SK"/>
        </w:rPr>
        <w:t>.</w:t>
      </w:r>
    </w:p>
    <w:p w14:paraId="7C2339F3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511E4858" w14:textId="77777777" w:rsidR="00BB2C65" w:rsidRPr="0029684D" w:rsidRDefault="009D3C73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Kardiovaskulárn</w:t>
      </w:r>
      <w:r w:rsidR="00792457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 xml:space="preserve"> bezpečnos</w:t>
      </w:r>
      <w:r w:rsidR="00792457" w:rsidRPr="0029684D">
        <w:rPr>
          <w:sz w:val="22"/>
          <w:szCs w:val="22"/>
          <w:u w:val="single"/>
          <w:lang w:val="sk-SK"/>
        </w:rPr>
        <w:t xml:space="preserve">ť </w:t>
      </w:r>
    </w:p>
    <w:p w14:paraId="11CA3B8D" w14:textId="001B21D3" w:rsidR="00D82AFC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Klinické štúdie </w:t>
      </w:r>
      <w:r w:rsidR="00D1685A">
        <w:rPr>
          <w:sz w:val="22"/>
          <w:szCs w:val="22"/>
          <w:lang w:val="sk-SK"/>
        </w:rPr>
        <w:t xml:space="preserve">preukázali, </w:t>
      </w:r>
      <w:r w:rsidRPr="0029684D">
        <w:rPr>
          <w:sz w:val="22"/>
          <w:szCs w:val="22"/>
          <w:lang w:val="sk-SK"/>
        </w:rPr>
        <w:t xml:space="preserve">, že užívanie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u, najmä vo vysokých dávkach (2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400 mg/deň), môže byť spojené s malým zvýšením rizika arteriálnych trombotických príhod (napríklad infarktu myokardu alebo cievnej mozgovej príhody) (pozri časť 4.4).</w:t>
      </w:r>
      <w:r w:rsidR="00D82AFC" w:rsidRPr="0029684D">
        <w:rPr>
          <w:sz w:val="22"/>
          <w:szCs w:val="22"/>
          <w:lang w:val="sk-SK"/>
        </w:rPr>
        <w:t xml:space="preserve"> </w:t>
      </w:r>
    </w:p>
    <w:p w14:paraId="165B5310" w14:textId="2BED5726" w:rsidR="00BB2C65" w:rsidRPr="0029684D" w:rsidRDefault="00D82AFC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 súvislosti s liečbou NSAID bol</w:t>
      </w:r>
      <w:r w:rsidR="009A6D96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 hlásen</w:t>
      </w:r>
      <w:r w:rsidR="009A6D96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edém</w:t>
      </w:r>
      <w:r w:rsidR="009A6D96">
        <w:rPr>
          <w:sz w:val="22"/>
          <w:szCs w:val="22"/>
          <w:lang w:val="sk-SK"/>
        </w:rPr>
        <w:t>y</w:t>
      </w:r>
      <w:r w:rsidR="00792457" w:rsidRPr="0029684D">
        <w:rPr>
          <w:sz w:val="22"/>
          <w:szCs w:val="22"/>
          <w:lang w:val="sk-SK"/>
        </w:rPr>
        <w:t>, hypertenzia a srdcové zlyhanie</w:t>
      </w:r>
      <w:r w:rsidR="009D3C73" w:rsidRPr="0029684D">
        <w:rPr>
          <w:sz w:val="22"/>
          <w:szCs w:val="22"/>
          <w:lang w:val="sk-SK"/>
        </w:rPr>
        <w:t>.</w:t>
      </w:r>
    </w:p>
    <w:p w14:paraId="488E4130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1467A701" w14:textId="6C110818" w:rsidR="00BB2C65" w:rsidRPr="0029684D" w:rsidRDefault="00D82AFC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Zoznam nasledujúcich nežiaducich účinkov zahŕňa všetky nežiaduce účinky, ktoré sa zistili pri liečbe </w:t>
      </w:r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 xml:space="preserve">om, a to aj tie, ktoré sa vyskytli pri dlhodobej liečbe </w:t>
      </w:r>
      <w:r w:rsidR="00C540B3">
        <w:rPr>
          <w:sz w:val="22"/>
          <w:szCs w:val="22"/>
          <w:lang w:val="sk-SK"/>
        </w:rPr>
        <w:t xml:space="preserve">vysokými dávkami </w:t>
      </w:r>
      <w:r w:rsidRPr="0029684D">
        <w:rPr>
          <w:sz w:val="22"/>
          <w:szCs w:val="22"/>
          <w:lang w:val="sk-SK"/>
        </w:rPr>
        <w:t>pacientov s reumatizmom. Uvedené frekvencie, ktoré presahujú veľmi zriedkavé hlásenia, sa týkajú krátkodobého užívania denných dávok až do maximálnej dávky 1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200 mg ibuprof</w:t>
      </w:r>
      <w:r w:rsidR="001A22A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nu </w:t>
      </w:r>
      <w:r w:rsidR="00C540B3">
        <w:rPr>
          <w:sz w:val="22"/>
          <w:szCs w:val="22"/>
          <w:lang w:val="sk-SK"/>
        </w:rPr>
        <w:t>v</w:t>
      </w:r>
      <w:r w:rsidRPr="0029684D">
        <w:rPr>
          <w:sz w:val="22"/>
          <w:szCs w:val="22"/>
          <w:lang w:val="sk-SK"/>
        </w:rPr>
        <w:t xml:space="preserve"> peroráln</w:t>
      </w:r>
      <w:r w:rsidR="00C540B3">
        <w:rPr>
          <w:sz w:val="22"/>
          <w:szCs w:val="22"/>
          <w:lang w:val="sk-SK"/>
        </w:rPr>
        <w:t>ych</w:t>
      </w:r>
      <w:r w:rsidRPr="0029684D">
        <w:rPr>
          <w:sz w:val="22"/>
          <w:szCs w:val="22"/>
          <w:lang w:val="sk-SK"/>
        </w:rPr>
        <w:t xml:space="preserve"> liekov</w:t>
      </w:r>
      <w:r w:rsidR="00C540B3">
        <w:rPr>
          <w:sz w:val="22"/>
          <w:szCs w:val="22"/>
          <w:lang w:val="sk-SK"/>
        </w:rPr>
        <w:t>ých</w:t>
      </w:r>
      <w:r w:rsidRPr="0029684D">
        <w:rPr>
          <w:sz w:val="22"/>
          <w:szCs w:val="22"/>
          <w:lang w:val="sk-SK"/>
        </w:rPr>
        <w:t xml:space="preserve"> form</w:t>
      </w:r>
      <w:r w:rsidR="00C540B3">
        <w:rPr>
          <w:sz w:val="22"/>
          <w:szCs w:val="22"/>
          <w:lang w:val="sk-SK"/>
        </w:rPr>
        <w:t>ách</w:t>
      </w:r>
      <w:r w:rsidRPr="0029684D">
        <w:rPr>
          <w:sz w:val="22"/>
          <w:szCs w:val="22"/>
          <w:lang w:val="sk-SK"/>
        </w:rPr>
        <w:t xml:space="preserve"> a maximálne 1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800 mg pre čapíky (= 6 vreciek </w:t>
      </w:r>
      <w:r w:rsidR="00E6195C" w:rsidRPr="0029684D">
        <w:rPr>
          <w:sz w:val="22"/>
          <w:szCs w:val="22"/>
          <w:lang w:val="sk-SK"/>
        </w:rPr>
        <w:t>Ibalgin</w:t>
      </w:r>
      <w:r w:rsidR="00C540B3">
        <w:rPr>
          <w:sz w:val="22"/>
          <w:szCs w:val="22"/>
          <w:lang w:val="sk-SK"/>
        </w:rPr>
        <w:t>u</w:t>
      </w:r>
      <w:r w:rsidR="00E6195C" w:rsidRPr="0029684D">
        <w:rPr>
          <w:sz w:val="22"/>
          <w:szCs w:val="22"/>
          <w:lang w:val="sk-SK"/>
        </w:rPr>
        <w:t xml:space="preserve"> Junior</w:t>
      </w:r>
      <w:r w:rsidRPr="0029684D">
        <w:rPr>
          <w:sz w:val="22"/>
          <w:szCs w:val="22"/>
          <w:lang w:val="sk-SK"/>
        </w:rPr>
        <w:t xml:space="preserve"> </w:t>
      </w:r>
      <w:r w:rsidR="00C540B3">
        <w:rPr>
          <w:sz w:val="22"/>
          <w:szCs w:val="22"/>
          <w:lang w:val="sk-SK"/>
        </w:rPr>
        <w:t>200 mg, čo je</w:t>
      </w:r>
      <w:r w:rsidRPr="0029684D">
        <w:rPr>
          <w:sz w:val="22"/>
          <w:szCs w:val="22"/>
          <w:lang w:val="sk-SK"/>
        </w:rPr>
        <w:t xml:space="preserve"> maximálna denná dávka pre dospelých a deti staršie ako 12 rokov</w:t>
      </w:r>
      <w:r w:rsidR="009D3C73" w:rsidRPr="0029684D">
        <w:rPr>
          <w:sz w:val="22"/>
          <w:szCs w:val="22"/>
          <w:lang w:val="sk-SK"/>
        </w:rPr>
        <w:t>).</w:t>
      </w:r>
    </w:p>
    <w:p w14:paraId="677E9FA9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7FC00F7A" w14:textId="25168B9D" w:rsidR="00467218" w:rsidRPr="0029684D" w:rsidRDefault="00C540B3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Hodnotenie nežiaducich účinkov je založené na základe nasledovnej konvencie: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03"/>
      </w:tblGrid>
      <w:tr w:rsidR="00B76DF5" w:rsidRPr="003A721A" w14:paraId="79615131" w14:textId="77777777" w:rsidTr="00D82AFC">
        <w:tc>
          <w:tcPr>
            <w:tcW w:w="1809" w:type="dxa"/>
          </w:tcPr>
          <w:p w14:paraId="061EA98B" w14:textId="77777777" w:rsidR="00B76DF5" w:rsidRPr="0029684D" w:rsidRDefault="009D3C7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Ve</w:t>
            </w:r>
            <w:r w:rsidR="00D82AFC" w:rsidRPr="0029684D">
              <w:rPr>
                <w:sz w:val="22"/>
                <w:szCs w:val="22"/>
                <w:lang w:val="sk-SK"/>
              </w:rPr>
              <w:t>ľ</w:t>
            </w:r>
            <w:r w:rsidRPr="0029684D">
              <w:rPr>
                <w:sz w:val="22"/>
                <w:szCs w:val="22"/>
                <w:lang w:val="sk-SK"/>
              </w:rPr>
              <w:t>mi časté:</w:t>
            </w:r>
          </w:p>
        </w:tc>
        <w:tc>
          <w:tcPr>
            <w:tcW w:w="5103" w:type="dxa"/>
          </w:tcPr>
          <w:p w14:paraId="615AF477" w14:textId="77777777" w:rsidR="00B76DF5" w:rsidRPr="0029684D" w:rsidRDefault="00B76DF5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 1/10</w:t>
            </w:r>
          </w:p>
        </w:tc>
      </w:tr>
      <w:tr w:rsidR="00B76DF5" w:rsidRPr="003A721A" w14:paraId="3B5EF5C1" w14:textId="77777777" w:rsidTr="00D82AFC">
        <w:tc>
          <w:tcPr>
            <w:tcW w:w="1809" w:type="dxa"/>
          </w:tcPr>
          <w:p w14:paraId="2574CE72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103" w:type="dxa"/>
          </w:tcPr>
          <w:p w14:paraId="0D20B8D2" w14:textId="2F35F432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1/100 až &lt; 1/10</w:t>
            </w:r>
          </w:p>
        </w:tc>
      </w:tr>
      <w:tr w:rsidR="00B76DF5" w:rsidRPr="003A721A" w14:paraId="1BC6D883" w14:textId="77777777" w:rsidTr="00D82AFC">
        <w:tc>
          <w:tcPr>
            <w:tcW w:w="1809" w:type="dxa"/>
          </w:tcPr>
          <w:p w14:paraId="4506C00F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M</w:t>
            </w:r>
            <w:r w:rsidR="00D82AFC" w:rsidRPr="0029684D">
              <w:rPr>
                <w:sz w:val="22"/>
                <w:szCs w:val="22"/>
                <w:lang w:val="sk-SK"/>
              </w:rPr>
              <w:t>enej</w:t>
            </w:r>
            <w:r w:rsidRPr="0029684D">
              <w:rPr>
                <w:sz w:val="22"/>
                <w:szCs w:val="22"/>
                <w:lang w:val="sk-SK"/>
              </w:rPr>
              <w:t xml:space="preserve"> časté:</w:t>
            </w:r>
          </w:p>
        </w:tc>
        <w:tc>
          <w:tcPr>
            <w:tcW w:w="5103" w:type="dxa"/>
          </w:tcPr>
          <w:p w14:paraId="2F02DC36" w14:textId="43E5EA05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1/1 000 až &lt; 1/100</w:t>
            </w:r>
          </w:p>
        </w:tc>
      </w:tr>
      <w:tr w:rsidR="00B76DF5" w:rsidRPr="003A721A" w14:paraId="67D54980" w14:textId="77777777" w:rsidTr="00D82AFC">
        <w:tc>
          <w:tcPr>
            <w:tcW w:w="1809" w:type="dxa"/>
          </w:tcPr>
          <w:p w14:paraId="366CEBB6" w14:textId="77777777" w:rsidR="00B76DF5" w:rsidRPr="0029684D" w:rsidRDefault="00D82AFC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Zriedkavé</w:t>
            </w:r>
            <w:r w:rsidR="009D3C73"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0B9B81F5" w14:textId="664FA312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1/10 000 až &lt; 1/1 000</w:t>
            </w:r>
          </w:p>
        </w:tc>
      </w:tr>
      <w:tr w:rsidR="00B76DF5" w:rsidRPr="003A721A" w14:paraId="049D2E7B" w14:textId="77777777" w:rsidTr="00D82AFC">
        <w:tc>
          <w:tcPr>
            <w:tcW w:w="1809" w:type="dxa"/>
          </w:tcPr>
          <w:p w14:paraId="7C71A7DC" w14:textId="77777777" w:rsidR="00B76DF5" w:rsidRPr="0029684D" w:rsidRDefault="009D3C73" w:rsidP="00230813">
            <w:pPr>
              <w:spacing w:after="0"/>
              <w:ind w:right="-11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Ve</w:t>
            </w:r>
            <w:r w:rsidR="00D82AFC" w:rsidRPr="0029684D">
              <w:rPr>
                <w:sz w:val="22"/>
                <w:szCs w:val="22"/>
                <w:lang w:val="sk-SK"/>
              </w:rPr>
              <w:t>ľ</w:t>
            </w:r>
            <w:r w:rsidRPr="0029684D">
              <w:rPr>
                <w:sz w:val="22"/>
                <w:szCs w:val="22"/>
                <w:lang w:val="sk-SK"/>
              </w:rPr>
              <w:t xml:space="preserve">mi </w:t>
            </w:r>
            <w:r w:rsidR="00D82AFC" w:rsidRPr="0029684D">
              <w:rPr>
                <w:sz w:val="22"/>
                <w:szCs w:val="22"/>
                <w:lang w:val="sk-SK"/>
              </w:rPr>
              <w:t>zriedkavé</w:t>
            </w:r>
            <w:r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2F41A67F" w14:textId="6CF6D455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&lt; 1/10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000</w:t>
            </w:r>
          </w:p>
        </w:tc>
      </w:tr>
      <w:tr w:rsidR="00B76DF5" w:rsidRPr="003A721A" w14:paraId="3BD2376E" w14:textId="77777777" w:rsidTr="00D82AFC">
        <w:tc>
          <w:tcPr>
            <w:tcW w:w="1809" w:type="dxa"/>
          </w:tcPr>
          <w:p w14:paraId="1D0CDE15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Neznám</w:t>
            </w:r>
            <w:r w:rsidR="00D82AFC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11B0845A" w14:textId="38B70096" w:rsidR="00B76DF5" w:rsidRPr="0029684D" w:rsidRDefault="009D3C73" w:rsidP="00300F58">
            <w:pPr>
              <w:spacing w:after="0"/>
              <w:ind w:right="-247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frekvenci</w:t>
            </w:r>
            <w:r w:rsidR="00D82AFC" w:rsidRPr="0029684D">
              <w:rPr>
                <w:sz w:val="22"/>
                <w:szCs w:val="22"/>
                <w:lang w:val="sk-SK"/>
              </w:rPr>
              <w:t>u</w:t>
            </w:r>
            <w:r w:rsidRPr="0029684D">
              <w:rPr>
                <w:sz w:val="22"/>
                <w:szCs w:val="22"/>
                <w:lang w:val="sk-SK"/>
              </w:rPr>
              <w:t xml:space="preserve"> ne</w:t>
            </w:r>
            <w:r w:rsidR="00D82AFC" w:rsidRPr="0029684D">
              <w:rPr>
                <w:sz w:val="22"/>
                <w:szCs w:val="22"/>
                <w:lang w:val="sk-SK"/>
              </w:rPr>
              <w:t>možno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C540B3">
              <w:rPr>
                <w:sz w:val="22"/>
                <w:szCs w:val="22"/>
                <w:lang w:val="sk-SK"/>
              </w:rPr>
              <w:t xml:space="preserve">odhadnúť </w:t>
            </w:r>
            <w:r w:rsidRPr="0029684D">
              <w:rPr>
                <w:sz w:val="22"/>
                <w:szCs w:val="22"/>
                <w:lang w:val="sk-SK"/>
              </w:rPr>
              <w:t>z dostupných údaj</w:t>
            </w:r>
            <w:r w:rsidR="00D82AFC" w:rsidRPr="0029684D">
              <w:rPr>
                <w:sz w:val="22"/>
                <w:szCs w:val="22"/>
                <w:lang w:val="sk-SK"/>
              </w:rPr>
              <w:t>ov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0AA53C6C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000BBD53" w14:textId="77777777" w:rsidR="00BB2C65" w:rsidRPr="0029684D" w:rsidRDefault="00D82AF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Pri nasledujúcich nežiaducich reakciách na liek sa musí brať do úvahy, že sú prevažne závislé od dávky a</w:t>
      </w:r>
      <w:r w:rsidR="00E26BA0" w:rsidRPr="0029684D">
        <w:rPr>
          <w:sz w:val="22"/>
          <w:szCs w:val="22"/>
          <w:lang w:val="sk-SK"/>
        </w:rPr>
        <w:t xml:space="preserve"> navzájom sa </w:t>
      </w:r>
      <w:r w:rsidRPr="0029684D">
        <w:rPr>
          <w:sz w:val="22"/>
          <w:szCs w:val="22"/>
          <w:lang w:val="sk-SK"/>
        </w:rPr>
        <w:t>líšia</w:t>
      </w:r>
      <w:r w:rsidR="009D3C73" w:rsidRPr="0029684D">
        <w:rPr>
          <w:sz w:val="22"/>
          <w:szCs w:val="22"/>
          <w:lang w:val="sk-SK"/>
        </w:rPr>
        <w:t>.</w:t>
      </w:r>
    </w:p>
    <w:p w14:paraId="5D6AD492" w14:textId="77777777" w:rsidR="00BB2C65" w:rsidRPr="0029684D" w:rsidRDefault="00BB2C65" w:rsidP="00300F58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3"/>
        <w:gridCol w:w="1323"/>
        <w:gridCol w:w="4734"/>
      </w:tblGrid>
      <w:tr w:rsidR="00BB2C65" w:rsidRPr="003A721A" w14:paraId="7E229A5A" w14:textId="77777777" w:rsidTr="009D3C73">
        <w:tc>
          <w:tcPr>
            <w:tcW w:w="3223" w:type="dxa"/>
            <w:vAlign w:val="center"/>
          </w:tcPr>
          <w:p w14:paraId="6669C073" w14:textId="1DA954B5" w:rsidR="00BB2C65" w:rsidRPr="0029684D" w:rsidRDefault="00A57AAA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T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rieda</w:t>
            </w:r>
            <w:r w:rsidR="009D3C73" w:rsidRPr="0029684D">
              <w:rPr>
                <w:b/>
                <w:sz w:val="22"/>
                <w:szCs w:val="22"/>
                <w:lang w:val="sk-SK"/>
              </w:rPr>
              <w:t xml:space="preserve"> orgánových systém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ov</w:t>
            </w:r>
            <w:r w:rsidR="00C540B3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323" w:type="dxa"/>
          </w:tcPr>
          <w:p w14:paraId="0208FA56" w14:textId="77777777" w:rsidR="00BB2C65" w:rsidRPr="0029684D" w:rsidRDefault="009D3C73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29684D">
              <w:rPr>
                <w:b/>
                <w:sz w:val="22"/>
                <w:szCs w:val="22"/>
                <w:lang w:val="sk-SK"/>
              </w:rPr>
              <w:t>Frekvenc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ia</w:t>
            </w:r>
          </w:p>
        </w:tc>
        <w:tc>
          <w:tcPr>
            <w:tcW w:w="4734" w:type="dxa"/>
            <w:vAlign w:val="center"/>
          </w:tcPr>
          <w:p w14:paraId="2D7860B4" w14:textId="77777777" w:rsidR="00BB2C65" w:rsidRPr="0029684D" w:rsidRDefault="009D3C73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29684D">
              <w:rPr>
                <w:b/>
                <w:sz w:val="22"/>
                <w:szCs w:val="22"/>
                <w:lang w:val="sk-SK"/>
              </w:rPr>
              <w:t>Než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ia</w:t>
            </w:r>
            <w:r w:rsidRPr="0029684D">
              <w:rPr>
                <w:b/>
                <w:sz w:val="22"/>
                <w:szCs w:val="22"/>
                <w:lang w:val="sk-SK"/>
              </w:rPr>
              <w:t>duc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</w:t>
            </w:r>
            <w:r w:rsidRPr="0029684D">
              <w:rPr>
                <w:b/>
                <w:sz w:val="22"/>
                <w:szCs w:val="22"/>
                <w:lang w:val="sk-SK"/>
              </w:rPr>
              <w:t xml:space="preserve"> účin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o</w:t>
            </w:r>
            <w:r w:rsidRPr="0029684D">
              <w:rPr>
                <w:b/>
                <w:sz w:val="22"/>
                <w:szCs w:val="22"/>
                <w:lang w:val="sk-SK"/>
              </w:rPr>
              <w:t>k</w:t>
            </w:r>
          </w:p>
        </w:tc>
      </w:tr>
      <w:tr w:rsidR="00BB2C65" w:rsidRPr="003A721A" w14:paraId="67D8A87F" w14:textId="77777777" w:rsidTr="009D3C73">
        <w:tc>
          <w:tcPr>
            <w:tcW w:w="3223" w:type="dxa"/>
            <w:vMerge w:val="restart"/>
          </w:tcPr>
          <w:p w14:paraId="1088720C" w14:textId="77777777" w:rsidR="00BB2C65" w:rsidRPr="0029684D" w:rsidRDefault="009D3C73" w:rsidP="00BA5546">
            <w:pPr>
              <w:pStyle w:val="Nzov"/>
              <w:jc w:val="left"/>
              <w:rPr>
                <w:bCs/>
                <w:noProof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Infekc</w:t>
            </w:r>
            <w:r w:rsidR="00E26BA0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>e a</w:t>
            </w:r>
            <w:r w:rsidR="00E26BA0" w:rsidRPr="0029684D">
              <w:rPr>
                <w:bCs/>
                <w:szCs w:val="22"/>
                <w:lang w:val="sk-SK"/>
              </w:rPr>
              <w:t> </w:t>
            </w:r>
            <w:r w:rsidR="00A57AAA">
              <w:rPr>
                <w:bCs/>
                <w:szCs w:val="22"/>
                <w:lang w:val="sk-SK"/>
              </w:rPr>
              <w:t>nákazy</w:t>
            </w:r>
            <w:r w:rsidR="00E26BA0" w:rsidRPr="0029684D">
              <w:rPr>
                <w:bCs/>
                <w:szCs w:val="22"/>
                <w:lang w:val="sk-SK"/>
              </w:rPr>
              <w:t xml:space="preserve"> </w:t>
            </w:r>
            <w:r w:rsidR="00BB2C65" w:rsidRPr="0029684D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5D8BF9DE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BB2C65" w:rsidRPr="0029684D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5DFDACBD" w14:textId="77777777" w:rsidR="00BB2C65" w:rsidRPr="0029684D" w:rsidRDefault="009D3C73" w:rsidP="00BA5546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9684D">
              <w:rPr>
                <w:color w:val="000000"/>
                <w:sz w:val="22"/>
                <w:szCs w:val="22"/>
                <w:lang w:val="sk-SK"/>
              </w:rPr>
              <w:t>Cystit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da,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 xml:space="preserve">rinitída </w:t>
            </w:r>
          </w:p>
        </w:tc>
      </w:tr>
      <w:tr w:rsidR="00BB2C65" w:rsidRPr="003A721A" w14:paraId="64043F11" w14:textId="77777777" w:rsidTr="009D3C73">
        <w:tc>
          <w:tcPr>
            <w:tcW w:w="3223" w:type="dxa"/>
            <w:vMerge/>
          </w:tcPr>
          <w:p w14:paraId="7DC5082B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AD75961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028C862E" w14:textId="77777777" w:rsidR="00BB2C65" w:rsidRPr="0029684D" w:rsidRDefault="009D3C73" w:rsidP="00230813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9684D">
              <w:rPr>
                <w:color w:val="000000"/>
                <w:sz w:val="22"/>
                <w:szCs w:val="22"/>
                <w:lang w:val="sk-SK"/>
              </w:rPr>
              <w:t>Nekrotizuj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úca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fasciit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da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1</w:t>
            </w:r>
            <w:r w:rsidRPr="0029684D">
              <w:rPr>
                <w:color w:val="000000"/>
                <w:sz w:val="22"/>
                <w:szCs w:val="22"/>
                <w:vertAlign w:val="superscript"/>
                <w:lang w:val="sk-SK"/>
              </w:rPr>
              <w:t>)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, aseptická meningit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da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2)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s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príznakmi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ako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s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tuh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nutosť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krku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boles</w:t>
            </w:r>
            <w:r w:rsidR="00D660B0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hlavy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nauzea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vra</w:t>
            </w:r>
            <w:r w:rsidR="00D660B0" w:rsidRPr="0029684D">
              <w:rPr>
                <w:sz w:val="22"/>
                <w:szCs w:val="22"/>
                <w:lang w:val="sk-SK"/>
              </w:rPr>
              <w:t>ca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hor</w:t>
            </w:r>
            <w:r w:rsidR="00D660B0" w:rsidRPr="0029684D">
              <w:rPr>
                <w:sz w:val="22"/>
                <w:szCs w:val="22"/>
                <w:lang w:val="sk-SK"/>
              </w:rPr>
              <w:t>ú</w:t>
            </w:r>
            <w:r w:rsidRPr="0029684D">
              <w:rPr>
                <w:sz w:val="22"/>
                <w:szCs w:val="22"/>
                <w:lang w:val="sk-SK"/>
              </w:rPr>
              <w:t>čka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al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ebo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znížená úroveň vedomia</w:t>
            </w:r>
            <w:r w:rsidR="008E4303" w:rsidRPr="0029684D">
              <w:rPr>
                <w:color w:val="000000"/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6663DA8A" w14:textId="77777777" w:rsidTr="009D3C73">
        <w:tc>
          <w:tcPr>
            <w:tcW w:w="3223" w:type="dxa"/>
          </w:tcPr>
          <w:p w14:paraId="11F45D67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krv</w:t>
            </w:r>
            <w:r w:rsidR="00D82AFC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 xml:space="preserve"> a lymfatického systému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6AFE3F3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04C8CF93" w14:textId="77777777" w:rsidR="00BB2C65" w:rsidRPr="0029684D" w:rsidRDefault="009D3C73" w:rsidP="00230813">
            <w:pPr>
              <w:jc w:val="left"/>
              <w:rPr>
                <w:sz w:val="22"/>
                <w:szCs w:val="22"/>
                <w:vertAlign w:val="superscript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Poruchy krv</w:t>
            </w:r>
            <w:r w:rsidR="00D660B0" w:rsidRPr="0029684D">
              <w:rPr>
                <w:sz w:val="22"/>
                <w:szCs w:val="22"/>
                <w:lang w:val="sk-SK"/>
              </w:rPr>
              <w:t>o</w:t>
            </w:r>
            <w:r w:rsidRPr="0029684D">
              <w:rPr>
                <w:sz w:val="22"/>
                <w:szCs w:val="22"/>
                <w:lang w:val="sk-SK"/>
              </w:rPr>
              <w:t>tvorby</w:t>
            </w:r>
            <w:r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3</w:t>
            </w:r>
            <w:r w:rsidRPr="0029684D">
              <w:rPr>
                <w:sz w:val="22"/>
                <w:szCs w:val="22"/>
                <w:vertAlign w:val="superscript"/>
                <w:lang w:val="sk-SK"/>
              </w:rPr>
              <w:t>)</w:t>
            </w:r>
            <w:r w:rsidRPr="0029684D">
              <w:rPr>
                <w:sz w:val="22"/>
                <w:szCs w:val="22"/>
                <w:lang w:val="sk-SK"/>
              </w:rPr>
              <w:t>: anémi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, leukop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, trombocytop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, pancytop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, agranulocytóz</w:t>
            </w:r>
            <w:r w:rsidR="008E4303" w:rsidRPr="0029684D">
              <w:rPr>
                <w:sz w:val="22"/>
                <w:szCs w:val="22"/>
                <w:lang w:val="sk-SK"/>
              </w:rPr>
              <w:t>a.</w:t>
            </w:r>
          </w:p>
          <w:p w14:paraId="26CFFC44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140D8995" w14:textId="473516D4" w:rsidR="00BB2C65" w:rsidRPr="0029684D" w:rsidRDefault="009D3C73" w:rsidP="00300F58">
            <w:pPr>
              <w:jc w:val="lef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Prv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sz w:val="22"/>
                <w:szCs w:val="22"/>
                <w:lang w:val="sk-SK"/>
              </w:rPr>
              <w:t>príznaky môžu byť</w:t>
            </w:r>
            <w:r w:rsidRPr="0029684D">
              <w:rPr>
                <w:sz w:val="22"/>
                <w:szCs w:val="22"/>
                <w:lang w:val="sk-SK"/>
              </w:rPr>
              <w:t>: hor</w:t>
            </w:r>
            <w:r w:rsidR="00D660B0" w:rsidRPr="0029684D">
              <w:rPr>
                <w:sz w:val="22"/>
                <w:szCs w:val="22"/>
                <w:lang w:val="sk-SK"/>
              </w:rPr>
              <w:t>ú</w:t>
            </w:r>
            <w:r w:rsidRPr="0029684D">
              <w:rPr>
                <w:sz w:val="22"/>
                <w:szCs w:val="22"/>
                <w:lang w:val="sk-SK"/>
              </w:rPr>
              <w:t>čka, boles</w:t>
            </w:r>
            <w:r w:rsidR="00D660B0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v </w:t>
            </w:r>
            <w:r w:rsidR="00D660B0" w:rsidRPr="0029684D">
              <w:rPr>
                <w:sz w:val="22"/>
                <w:szCs w:val="22"/>
                <w:lang w:val="sk-SK"/>
              </w:rPr>
              <w:t>hrdle</w:t>
            </w:r>
            <w:r w:rsidRPr="0029684D">
              <w:rPr>
                <w:sz w:val="22"/>
                <w:szCs w:val="22"/>
                <w:lang w:val="sk-SK"/>
              </w:rPr>
              <w:t xml:space="preserve">, povrchové </w:t>
            </w:r>
            <w:r w:rsidR="00A57AAA">
              <w:rPr>
                <w:sz w:val="22"/>
                <w:szCs w:val="22"/>
                <w:lang w:val="sk-SK"/>
              </w:rPr>
              <w:t>ulcerácie</w:t>
            </w:r>
            <w:r w:rsidR="00235CB8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v úst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ch, p</w:t>
            </w:r>
            <w:r w:rsidR="00D660B0" w:rsidRPr="0029684D">
              <w:rPr>
                <w:sz w:val="22"/>
                <w:szCs w:val="22"/>
                <w:lang w:val="sk-SK"/>
              </w:rPr>
              <w:t>r</w:t>
            </w:r>
            <w:r w:rsidRPr="0029684D">
              <w:rPr>
                <w:sz w:val="22"/>
                <w:szCs w:val="22"/>
                <w:lang w:val="sk-SK"/>
              </w:rPr>
              <w:t>íznaky podobné ch</w:t>
            </w:r>
            <w:r w:rsidR="00D660B0" w:rsidRPr="0029684D">
              <w:rPr>
                <w:sz w:val="22"/>
                <w:szCs w:val="22"/>
                <w:lang w:val="sk-SK"/>
              </w:rPr>
              <w:t>rípke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r w:rsidR="00D660B0" w:rsidRPr="0029684D">
              <w:rPr>
                <w:sz w:val="22"/>
                <w:szCs w:val="22"/>
                <w:lang w:val="sk-SK"/>
              </w:rPr>
              <w:t>závažné</w:t>
            </w:r>
            <w:r w:rsidRPr="0029684D">
              <w:rPr>
                <w:sz w:val="22"/>
                <w:szCs w:val="22"/>
                <w:lang w:val="sk-SK"/>
              </w:rPr>
              <w:t xml:space="preserve"> vyčerp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sz w:val="22"/>
                <w:szCs w:val="22"/>
                <w:lang w:val="sk-SK"/>
              </w:rPr>
              <w:t>, krvác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sz w:val="22"/>
                <w:szCs w:val="22"/>
                <w:lang w:val="sk-SK"/>
              </w:rPr>
              <w:t xml:space="preserve"> z nos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a k</w:t>
            </w:r>
            <w:r w:rsidR="00D660B0" w:rsidRPr="0029684D">
              <w:rPr>
                <w:sz w:val="22"/>
                <w:szCs w:val="22"/>
                <w:lang w:val="sk-SK"/>
              </w:rPr>
              <w:t>o</w:t>
            </w:r>
            <w:r w:rsidRPr="0029684D">
              <w:rPr>
                <w:sz w:val="22"/>
                <w:szCs w:val="22"/>
                <w:lang w:val="sk-SK"/>
              </w:rPr>
              <w:t>že.</w:t>
            </w:r>
          </w:p>
        </w:tc>
      </w:tr>
      <w:tr w:rsidR="00BB2C65" w:rsidRPr="003A721A" w14:paraId="18DD30E0" w14:textId="77777777" w:rsidTr="009D3C73">
        <w:tc>
          <w:tcPr>
            <w:tcW w:w="3223" w:type="dxa"/>
            <w:vMerge w:val="restart"/>
          </w:tcPr>
          <w:p w14:paraId="1FC3CFEE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imunitn</w:t>
            </w:r>
            <w:r w:rsidR="00D82AFC" w:rsidRPr="0029684D">
              <w:rPr>
                <w:bCs/>
                <w:szCs w:val="22"/>
                <w:lang w:val="sk-SK"/>
              </w:rPr>
              <w:t>é</w:t>
            </w:r>
            <w:r w:rsidRPr="0029684D">
              <w:rPr>
                <w:bCs/>
                <w:szCs w:val="22"/>
                <w:lang w:val="sk-SK"/>
              </w:rPr>
              <w:t>ho systému</w:t>
            </w:r>
            <w:r w:rsidR="00BB2C65" w:rsidRPr="0029684D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60C913D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</w:tc>
        <w:tc>
          <w:tcPr>
            <w:tcW w:w="4734" w:type="dxa"/>
          </w:tcPr>
          <w:p w14:paraId="1B2C9858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Hypersenzi</w:t>
            </w:r>
            <w:r w:rsidR="00D660B0" w:rsidRPr="0029684D">
              <w:rPr>
                <w:sz w:val="22"/>
                <w:szCs w:val="22"/>
                <w:lang w:val="sk-SK"/>
              </w:rPr>
              <w:t>tí</w:t>
            </w:r>
            <w:r w:rsidRPr="0029684D">
              <w:rPr>
                <w:sz w:val="22"/>
                <w:szCs w:val="22"/>
                <w:lang w:val="sk-SK"/>
              </w:rPr>
              <w:t>vn</w:t>
            </w:r>
            <w:r w:rsidR="00D660B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reakc</w:t>
            </w:r>
            <w:r w:rsidR="00D660B0" w:rsidRPr="0029684D">
              <w:rPr>
                <w:sz w:val="22"/>
                <w:szCs w:val="22"/>
                <w:lang w:val="sk-SK"/>
              </w:rPr>
              <w:t>i</w:t>
            </w:r>
            <w:r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4)</w:t>
            </w:r>
            <w:r w:rsidRPr="0029684D">
              <w:rPr>
                <w:sz w:val="22"/>
                <w:szCs w:val="22"/>
                <w:lang w:val="sk-SK"/>
              </w:rPr>
              <w:t xml:space="preserve">: </w:t>
            </w:r>
            <w:r w:rsidR="00D660B0" w:rsidRPr="0029684D">
              <w:rPr>
                <w:sz w:val="22"/>
                <w:szCs w:val="22"/>
                <w:lang w:val="sk-SK"/>
              </w:rPr>
              <w:t>vyrážka</w:t>
            </w:r>
            <w:r w:rsidRPr="0029684D">
              <w:rPr>
                <w:sz w:val="22"/>
                <w:szCs w:val="22"/>
                <w:lang w:val="sk-SK"/>
              </w:rPr>
              <w:t>, sv</w:t>
            </w:r>
            <w:r w:rsidR="00D660B0" w:rsidRPr="0029684D">
              <w:rPr>
                <w:sz w:val="22"/>
                <w:szCs w:val="22"/>
                <w:lang w:val="sk-SK"/>
              </w:rPr>
              <w:t>rbenie</w:t>
            </w:r>
            <w:r w:rsidRPr="0029684D">
              <w:rPr>
                <w:sz w:val="22"/>
                <w:szCs w:val="22"/>
                <w:lang w:val="sk-SK"/>
              </w:rPr>
              <w:t>, astmatický záchvat (</w:t>
            </w:r>
            <w:r w:rsidR="00A57AAA">
              <w:rPr>
                <w:sz w:val="22"/>
                <w:szCs w:val="22"/>
                <w:lang w:val="sk-SK"/>
              </w:rPr>
              <w:t xml:space="preserve">pravdepodobne </w:t>
            </w:r>
            <w:r w:rsidR="00A57AAA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 xml:space="preserve">s </w:t>
            </w:r>
            <w:r w:rsidR="00D660B0" w:rsidRPr="0029684D">
              <w:rPr>
                <w:sz w:val="22"/>
                <w:szCs w:val="22"/>
                <w:lang w:val="sk-SK"/>
              </w:rPr>
              <w:t>poklesom</w:t>
            </w:r>
            <w:r w:rsidRPr="0029684D">
              <w:rPr>
                <w:sz w:val="22"/>
                <w:szCs w:val="22"/>
                <w:lang w:val="sk-SK"/>
              </w:rPr>
              <w:t xml:space="preserve"> krvn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ho tlaku</w:t>
            </w:r>
            <w:r w:rsidR="008E4303" w:rsidRPr="0029684D">
              <w:rPr>
                <w:sz w:val="22"/>
                <w:szCs w:val="22"/>
                <w:lang w:val="sk-SK"/>
              </w:rPr>
              <w:t>).</w:t>
            </w:r>
            <w:r w:rsidR="00A57AAA" w:rsidRPr="00E6202C">
              <w:rPr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BB2C65" w:rsidRPr="003A721A" w14:paraId="21D61040" w14:textId="77777777" w:rsidTr="009D3C73">
        <w:tc>
          <w:tcPr>
            <w:tcW w:w="3223" w:type="dxa"/>
            <w:vMerge/>
          </w:tcPr>
          <w:p w14:paraId="78A8D118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F6A901C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6276EE5" w14:textId="77777777" w:rsidR="00BB2C65" w:rsidRPr="0029684D" w:rsidRDefault="00D660B0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Závažná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hypersenzitivita</w:t>
            </w:r>
            <w:r w:rsidR="009D3C73"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5)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: edém </w:t>
            </w:r>
            <w:r w:rsidRPr="0029684D">
              <w:rPr>
                <w:sz w:val="22"/>
                <w:szCs w:val="22"/>
                <w:lang w:val="sk-SK"/>
              </w:rPr>
              <w:t>tváre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opuchnutý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jazyk, </w:t>
            </w:r>
            <w:r w:rsidR="00136AB5" w:rsidRPr="0029684D">
              <w:rPr>
                <w:sz w:val="22"/>
                <w:szCs w:val="22"/>
                <w:lang w:val="sk-SK"/>
              </w:rPr>
              <w:t>edém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hrtan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s</w:t>
            </w:r>
            <w:r w:rsidR="00136AB5" w:rsidRPr="0029684D">
              <w:rPr>
                <w:sz w:val="22"/>
                <w:szCs w:val="22"/>
                <w:lang w:val="sk-SK"/>
              </w:rPr>
              <w:t>o zúžením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dýchacích c</w:t>
            </w:r>
            <w:r w:rsidR="00136AB5" w:rsidRPr="0029684D">
              <w:rPr>
                <w:sz w:val="22"/>
                <w:szCs w:val="22"/>
                <w:lang w:val="sk-SK"/>
              </w:rPr>
              <w:t>i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est, </w:t>
            </w:r>
            <w:r w:rsidR="00136AB5" w:rsidRPr="0029684D">
              <w:rPr>
                <w:sz w:val="22"/>
                <w:szCs w:val="22"/>
                <w:lang w:val="sk-SK"/>
              </w:rPr>
              <w:t>dýchacie ťažkosti</w:t>
            </w:r>
            <w:r w:rsidR="009D3C73" w:rsidRPr="0029684D">
              <w:rPr>
                <w:sz w:val="22"/>
                <w:szCs w:val="22"/>
                <w:lang w:val="sk-SK"/>
              </w:rPr>
              <w:t>, palpit</w:t>
            </w:r>
            <w:r w:rsidR="00136AB5" w:rsidRPr="0029684D">
              <w:rPr>
                <w:sz w:val="22"/>
                <w:szCs w:val="22"/>
                <w:lang w:val="sk-SK"/>
              </w:rPr>
              <w:t>ácie</w:t>
            </w:r>
            <w:r w:rsidR="009D3C73" w:rsidRPr="0029684D">
              <w:rPr>
                <w:sz w:val="22"/>
                <w:szCs w:val="22"/>
                <w:lang w:val="sk-SK"/>
              </w:rPr>
              <w:t>, pokles krvn</w:t>
            </w:r>
            <w:r w:rsidR="00136AB5" w:rsidRPr="0029684D">
              <w:rPr>
                <w:sz w:val="22"/>
                <w:szCs w:val="22"/>
                <w:lang w:val="sk-SK"/>
              </w:rPr>
              <w:t>é</w:t>
            </w:r>
            <w:r w:rsidR="009D3C73" w:rsidRPr="0029684D">
              <w:rPr>
                <w:sz w:val="22"/>
                <w:szCs w:val="22"/>
                <w:lang w:val="sk-SK"/>
              </w:rPr>
              <w:t>ho tlaku a šo</w:t>
            </w:r>
            <w:r w:rsidR="008E4303" w:rsidRPr="0029684D">
              <w:rPr>
                <w:sz w:val="22"/>
                <w:szCs w:val="22"/>
                <w:lang w:val="sk-SK"/>
              </w:rPr>
              <w:t>k.</w:t>
            </w:r>
          </w:p>
        </w:tc>
      </w:tr>
      <w:tr w:rsidR="00BB2C65" w:rsidRPr="003A721A" w14:paraId="7FB30B92" w14:textId="77777777" w:rsidTr="009D3C73">
        <w:tc>
          <w:tcPr>
            <w:tcW w:w="3223" w:type="dxa"/>
          </w:tcPr>
          <w:p w14:paraId="2C3A1E8C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metaboli</w:t>
            </w:r>
            <w:r w:rsidR="00D82AFC" w:rsidRPr="0029684D">
              <w:rPr>
                <w:bCs/>
                <w:szCs w:val="22"/>
                <w:lang w:val="sk-SK"/>
              </w:rPr>
              <w:t>z</w:t>
            </w:r>
            <w:r w:rsidRPr="0029684D">
              <w:rPr>
                <w:bCs/>
                <w:szCs w:val="22"/>
                <w:lang w:val="sk-SK"/>
              </w:rPr>
              <w:t>mu a výživy</w:t>
            </w:r>
          </w:p>
        </w:tc>
        <w:tc>
          <w:tcPr>
            <w:tcW w:w="1323" w:type="dxa"/>
          </w:tcPr>
          <w:p w14:paraId="4CB2BCA5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7FFBF355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Zadrž</w:t>
            </w:r>
            <w:r w:rsidR="00136AB5" w:rsidRPr="0029684D">
              <w:rPr>
                <w:sz w:val="22"/>
                <w:szCs w:val="22"/>
                <w:lang w:val="sk-SK"/>
              </w:rPr>
              <w:t>iavanie</w:t>
            </w:r>
            <w:r w:rsidRPr="0029684D">
              <w:rPr>
                <w:sz w:val="22"/>
                <w:szCs w:val="22"/>
                <w:lang w:val="sk-SK"/>
              </w:rPr>
              <w:t xml:space="preserve"> tekut</w:t>
            </w:r>
            <w:r w:rsidR="00136AB5" w:rsidRPr="0029684D">
              <w:rPr>
                <w:sz w:val="22"/>
                <w:szCs w:val="22"/>
                <w:lang w:val="sk-SK"/>
              </w:rPr>
              <w:t>í</w:t>
            </w:r>
            <w:r w:rsidRPr="0029684D">
              <w:rPr>
                <w:sz w:val="22"/>
                <w:szCs w:val="22"/>
                <w:lang w:val="sk-SK"/>
              </w:rPr>
              <w:t xml:space="preserve">n, </w:t>
            </w:r>
            <w:r w:rsidR="00136AB5" w:rsidRPr="0029684D">
              <w:rPr>
                <w:sz w:val="22"/>
                <w:szCs w:val="22"/>
                <w:lang w:val="sk-SK"/>
              </w:rPr>
              <w:t>z</w:t>
            </w:r>
            <w:r w:rsidRPr="0029684D">
              <w:rPr>
                <w:sz w:val="22"/>
                <w:szCs w:val="22"/>
                <w:lang w:val="sk-SK"/>
              </w:rPr>
              <w:t xml:space="preserve">nížená chuť </w:t>
            </w:r>
            <w:r w:rsidR="00136AB5" w:rsidRPr="0029684D">
              <w:rPr>
                <w:sz w:val="22"/>
                <w:szCs w:val="22"/>
                <w:lang w:val="sk-SK"/>
              </w:rPr>
              <w:t>do</w:t>
            </w:r>
            <w:r w:rsidR="008E4303" w:rsidRPr="0029684D">
              <w:rPr>
                <w:sz w:val="22"/>
                <w:szCs w:val="22"/>
                <w:lang w:val="sk-SK"/>
              </w:rPr>
              <w:t> </w:t>
            </w:r>
            <w:r w:rsidRPr="0029684D">
              <w:rPr>
                <w:sz w:val="22"/>
                <w:szCs w:val="22"/>
                <w:lang w:val="sk-SK"/>
              </w:rPr>
              <w:t>j</w:t>
            </w:r>
            <w:r w:rsidR="00136AB5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dl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7A3B72A9" w14:textId="77777777" w:rsidTr="009D3C73">
        <w:tc>
          <w:tcPr>
            <w:tcW w:w="3223" w:type="dxa"/>
          </w:tcPr>
          <w:p w14:paraId="12CFDE72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Psychické poruchy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4B957F60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4144560C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Psychotická reakc</w:t>
            </w:r>
            <w:r w:rsidR="00136AB5" w:rsidRPr="0029684D">
              <w:rPr>
                <w:sz w:val="22"/>
                <w:szCs w:val="22"/>
                <w:lang w:val="sk-SK"/>
              </w:rPr>
              <w:t>ia</w:t>
            </w:r>
            <w:r w:rsidRPr="0029684D">
              <w:rPr>
                <w:sz w:val="22"/>
                <w:szCs w:val="22"/>
                <w:lang w:val="sk-SK"/>
              </w:rPr>
              <w:t>, depres</w:t>
            </w:r>
            <w:r w:rsidR="00136AB5" w:rsidRPr="0029684D">
              <w:rPr>
                <w:sz w:val="22"/>
                <w:szCs w:val="22"/>
                <w:lang w:val="sk-SK"/>
              </w:rPr>
              <w:t>ia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75A5F1D5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5A3D69F6" w14:textId="77777777" w:rsidTr="009D3C73">
        <w:tc>
          <w:tcPr>
            <w:tcW w:w="3223" w:type="dxa"/>
          </w:tcPr>
          <w:p w14:paraId="55AAA804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nervového systému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0EFC8D94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09D01E5E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1029A716" w14:textId="5932A5BF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Boles</w:t>
            </w:r>
            <w:r w:rsidR="00136AB5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hlavy, závrat</w:t>
            </w:r>
            <w:r w:rsidR="00136AB5" w:rsidRPr="0029684D">
              <w:rPr>
                <w:sz w:val="22"/>
                <w:szCs w:val="22"/>
                <w:lang w:val="sk-SK"/>
              </w:rPr>
              <w:t>y</w:t>
            </w:r>
            <w:r w:rsidRPr="0029684D">
              <w:rPr>
                <w:sz w:val="22"/>
                <w:szCs w:val="22"/>
                <w:lang w:val="sk-SK"/>
              </w:rPr>
              <w:t>, insomni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, agit</w:t>
            </w:r>
            <w:r w:rsidR="00235CB8">
              <w:rPr>
                <w:sz w:val="22"/>
                <w:szCs w:val="22"/>
                <w:lang w:val="sk-SK"/>
              </w:rPr>
              <w:t>ácia</w:t>
            </w:r>
            <w:r w:rsidRPr="0029684D">
              <w:rPr>
                <w:sz w:val="22"/>
                <w:szCs w:val="22"/>
                <w:lang w:val="sk-SK"/>
              </w:rPr>
              <w:t>, podrážd</w:t>
            </w:r>
            <w:r w:rsidR="00724EDE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nos</w:t>
            </w:r>
            <w:r w:rsidR="00136AB5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>, únav</w:t>
            </w:r>
            <w:r w:rsidR="008E4303" w:rsidRPr="0029684D">
              <w:rPr>
                <w:sz w:val="22"/>
                <w:szCs w:val="22"/>
                <w:lang w:val="sk-SK"/>
              </w:rPr>
              <w:t>a.</w:t>
            </w:r>
            <w:r w:rsidR="00136AB5" w:rsidRPr="0029684D">
              <w:rPr>
                <w:sz w:val="22"/>
                <w:szCs w:val="22"/>
                <w:lang w:val="sk-SK"/>
              </w:rPr>
              <w:t xml:space="preserve"> </w:t>
            </w:r>
          </w:p>
          <w:p w14:paraId="28FBAD8B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0F4AC083" w14:textId="77777777" w:rsidTr="009D3C73">
        <w:tc>
          <w:tcPr>
            <w:tcW w:w="3223" w:type="dxa"/>
            <w:vMerge w:val="restart"/>
          </w:tcPr>
          <w:p w14:paraId="0116F29D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oka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8662841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322340CC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0D79A8BB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Poruchy zraku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6)</w:t>
            </w:r>
          </w:p>
        </w:tc>
      </w:tr>
      <w:tr w:rsidR="00BB2C65" w:rsidRPr="003A721A" w14:paraId="1A435BFF" w14:textId="77777777" w:rsidTr="009D3C73">
        <w:tc>
          <w:tcPr>
            <w:tcW w:w="3223" w:type="dxa"/>
            <w:vMerge/>
          </w:tcPr>
          <w:p w14:paraId="41C82C5E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375AF6A1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37B44838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Suché oč</w:t>
            </w:r>
            <w:r w:rsidR="008E4303" w:rsidRPr="0029684D">
              <w:rPr>
                <w:sz w:val="22"/>
                <w:szCs w:val="22"/>
                <w:lang w:val="sk-SK"/>
              </w:rPr>
              <w:t>i.</w:t>
            </w:r>
          </w:p>
        </w:tc>
      </w:tr>
      <w:tr w:rsidR="00BB2C65" w:rsidRPr="003A721A" w14:paraId="0C31F277" w14:textId="77777777" w:rsidTr="009D3C73">
        <w:tc>
          <w:tcPr>
            <w:tcW w:w="3223" w:type="dxa"/>
            <w:vMerge w:val="restart"/>
          </w:tcPr>
          <w:p w14:paraId="252CFC56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ucha a labyrintu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49D939A5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  <w:p w14:paraId="2D8556F1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6F6539E2" w14:textId="070D77CB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Ti</w:t>
            </w:r>
            <w:r w:rsidR="00136AB5" w:rsidRPr="0029684D">
              <w:rPr>
                <w:sz w:val="22"/>
                <w:szCs w:val="22"/>
                <w:lang w:val="sk-SK"/>
              </w:rPr>
              <w:t>n</w:t>
            </w:r>
            <w:r w:rsidRPr="0029684D">
              <w:rPr>
                <w:sz w:val="22"/>
                <w:szCs w:val="22"/>
                <w:lang w:val="sk-SK"/>
              </w:rPr>
              <w:t>itu</w:t>
            </w:r>
            <w:r w:rsidR="008E4303" w:rsidRPr="0029684D">
              <w:rPr>
                <w:sz w:val="22"/>
                <w:szCs w:val="22"/>
                <w:lang w:val="sk-SK"/>
              </w:rPr>
              <w:t>s.</w:t>
            </w:r>
          </w:p>
          <w:p w14:paraId="196A873E" w14:textId="77777777" w:rsidR="00BB2C65" w:rsidRPr="0029684D" w:rsidRDefault="00BB2C65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  <w:p w14:paraId="26D31DFB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173077E3" w14:textId="77777777" w:rsidTr="009D3C73">
        <w:tc>
          <w:tcPr>
            <w:tcW w:w="3223" w:type="dxa"/>
            <w:vMerge/>
          </w:tcPr>
          <w:p w14:paraId="732F6F42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DCC215F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1B293705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Porucha sluch</w:t>
            </w:r>
            <w:r w:rsidR="008E4303" w:rsidRPr="0029684D">
              <w:rPr>
                <w:sz w:val="22"/>
                <w:szCs w:val="22"/>
                <w:lang w:val="sk-SK"/>
              </w:rPr>
              <w:t>u.</w:t>
            </w:r>
          </w:p>
        </w:tc>
      </w:tr>
      <w:tr w:rsidR="00BB2C65" w:rsidRPr="003A721A" w14:paraId="1B4C9877" w14:textId="77777777" w:rsidTr="009D3C73">
        <w:trPr>
          <w:trHeight w:val="1666"/>
        </w:trPr>
        <w:tc>
          <w:tcPr>
            <w:tcW w:w="3223" w:type="dxa"/>
          </w:tcPr>
          <w:p w14:paraId="3973F45D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srdca a srdcovej činnosti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07276C4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2431505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Palpit</w:t>
            </w:r>
            <w:r w:rsidR="008048DE" w:rsidRPr="0029684D">
              <w:rPr>
                <w:sz w:val="22"/>
                <w:szCs w:val="22"/>
                <w:lang w:val="sk-SK"/>
              </w:rPr>
              <w:t>á</w:t>
            </w:r>
            <w:r w:rsidRPr="0029684D">
              <w:rPr>
                <w:sz w:val="22"/>
                <w:szCs w:val="22"/>
                <w:lang w:val="sk-SK"/>
              </w:rPr>
              <w:t>c</w:t>
            </w:r>
            <w:r w:rsidR="008048DE" w:rsidRPr="0029684D">
              <w:rPr>
                <w:sz w:val="22"/>
                <w:szCs w:val="22"/>
                <w:lang w:val="sk-SK"/>
              </w:rPr>
              <w:t>i</w:t>
            </w:r>
            <w:r w:rsidRPr="0029684D">
              <w:rPr>
                <w:sz w:val="22"/>
                <w:szCs w:val="22"/>
                <w:lang w:val="sk-SK"/>
              </w:rPr>
              <w:t xml:space="preserve">e, edém, </w:t>
            </w:r>
            <w:r w:rsidR="00F108A2" w:rsidRPr="0029684D">
              <w:rPr>
                <w:sz w:val="22"/>
                <w:szCs w:val="22"/>
                <w:lang w:val="sk-SK"/>
              </w:rPr>
              <w:t>zlyhanie srdca</w:t>
            </w:r>
            <w:r w:rsidRPr="0029684D">
              <w:rPr>
                <w:sz w:val="22"/>
                <w:szCs w:val="22"/>
                <w:lang w:val="sk-SK"/>
              </w:rPr>
              <w:t>, infarkt myokard</w:t>
            </w:r>
            <w:r w:rsidR="008E4303" w:rsidRPr="0029684D">
              <w:rPr>
                <w:sz w:val="22"/>
                <w:szCs w:val="22"/>
                <w:lang w:val="sk-SK"/>
              </w:rPr>
              <w:t>u.</w:t>
            </w:r>
          </w:p>
          <w:p w14:paraId="528A3629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0B66398A" w14:textId="77777777" w:rsidTr="009D3C73">
        <w:tc>
          <w:tcPr>
            <w:tcW w:w="3223" w:type="dxa"/>
          </w:tcPr>
          <w:p w14:paraId="6481D157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ciev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348D4B7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7C154FB6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Arteriáln</w:t>
            </w:r>
            <w:r w:rsidR="00F108A2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hypertenz</w:t>
            </w:r>
            <w:r w:rsidR="00F108A2" w:rsidRPr="0029684D">
              <w:rPr>
                <w:sz w:val="22"/>
                <w:szCs w:val="22"/>
                <w:lang w:val="sk-SK"/>
              </w:rPr>
              <w:t>ia</w:t>
            </w:r>
            <w:r w:rsidRPr="0029684D">
              <w:rPr>
                <w:sz w:val="22"/>
                <w:szCs w:val="22"/>
                <w:lang w:val="sk-SK"/>
              </w:rPr>
              <w:t>, vaskulit</w:t>
            </w:r>
            <w:r w:rsidR="00F108A2" w:rsidRPr="0029684D">
              <w:rPr>
                <w:sz w:val="22"/>
                <w:szCs w:val="22"/>
                <w:lang w:val="sk-SK"/>
              </w:rPr>
              <w:t>í</w:t>
            </w:r>
            <w:r w:rsidRPr="0029684D">
              <w:rPr>
                <w:sz w:val="22"/>
                <w:szCs w:val="22"/>
                <w:lang w:val="sk-SK"/>
              </w:rPr>
              <w:t>d</w:t>
            </w:r>
            <w:r w:rsidR="008E4303" w:rsidRPr="0029684D">
              <w:rPr>
                <w:sz w:val="22"/>
                <w:szCs w:val="22"/>
                <w:lang w:val="sk-SK"/>
              </w:rPr>
              <w:t>a.</w:t>
            </w:r>
          </w:p>
          <w:p w14:paraId="589FF426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35FE83FC" w14:textId="77777777" w:rsidTr="009D3C73">
        <w:tc>
          <w:tcPr>
            <w:tcW w:w="3223" w:type="dxa"/>
          </w:tcPr>
          <w:p w14:paraId="6BBA0D8A" w14:textId="77777777" w:rsidR="00BB2C65" w:rsidRPr="0029684D" w:rsidRDefault="00724ED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323" w:type="dxa"/>
          </w:tcPr>
          <w:p w14:paraId="5BA65FFE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18BD6CAA" w14:textId="77777777" w:rsidR="00BB2C65" w:rsidRPr="0029684D" w:rsidRDefault="009D3C73" w:rsidP="00230813">
            <w:pPr>
              <w:jc w:val="left"/>
              <w:rPr>
                <w:color w:val="222222"/>
                <w:sz w:val="22"/>
                <w:szCs w:val="22"/>
                <w:lang w:val="sk-SK"/>
              </w:rPr>
            </w:pPr>
            <w:r w:rsidRPr="0029684D">
              <w:rPr>
                <w:color w:val="222222"/>
                <w:sz w:val="22"/>
                <w:szCs w:val="22"/>
                <w:lang w:val="sk-SK"/>
              </w:rPr>
              <w:t>Astma, ob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š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>trukc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ia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 hrtan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a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>, bronchospa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z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mus 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al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>ebo apnoe, dyspno</w:t>
            </w:r>
            <w:r w:rsidR="008E4303" w:rsidRPr="0029684D">
              <w:rPr>
                <w:color w:val="222222"/>
                <w:sz w:val="22"/>
                <w:szCs w:val="22"/>
                <w:lang w:val="sk-SK"/>
              </w:rPr>
              <w:t>e.</w:t>
            </w:r>
          </w:p>
        </w:tc>
      </w:tr>
      <w:tr w:rsidR="00BB2C65" w:rsidRPr="003A721A" w14:paraId="6AB61C60" w14:textId="77777777" w:rsidTr="009D3C73">
        <w:trPr>
          <w:trHeight w:val="1162"/>
        </w:trPr>
        <w:tc>
          <w:tcPr>
            <w:tcW w:w="3223" w:type="dxa"/>
            <w:vMerge w:val="restart"/>
          </w:tcPr>
          <w:p w14:paraId="001A264E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gastrointestinálneho traktu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063C23F4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Časté</w:t>
            </w:r>
          </w:p>
          <w:p w14:paraId="4C3C0229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352BC1C9" w14:textId="21D8A4A0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Py</w:t>
            </w:r>
            <w:r w:rsidR="00561A89" w:rsidRPr="0029684D">
              <w:rPr>
                <w:sz w:val="22"/>
                <w:szCs w:val="22"/>
                <w:lang w:val="sk-SK"/>
              </w:rPr>
              <w:t>r</w:t>
            </w:r>
            <w:r w:rsidRPr="0029684D">
              <w:rPr>
                <w:sz w:val="22"/>
                <w:szCs w:val="22"/>
                <w:lang w:val="sk-SK"/>
              </w:rPr>
              <w:t>óza, bolesť brucha, nauzea, vracanie, dyspepsia, flatulencia, hnačka, zápcha, mierne gastrointestinálne krvácanie.</w:t>
            </w:r>
            <w:r w:rsidR="00BB2C65" w:rsidRPr="0029684D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BB2C65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7)</w:t>
            </w:r>
            <w:r w:rsidR="00BB2C65" w:rsidRPr="0029684D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B2C65" w:rsidRPr="003A721A" w14:paraId="32447E8A" w14:textId="77777777" w:rsidTr="009D3C73">
        <w:tc>
          <w:tcPr>
            <w:tcW w:w="3223" w:type="dxa"/>
            <w:vMerge/>
          </w:tcPr>
          <w:p w14:paraId="676B7F57" w14:textId="77777777" w:rsidR="00BB2C65" w:rsidRPr="0029684D" w:rsidRDefault="00BB2C65" w:rsidP="00BA5546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22011F19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2012CA8A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0BF0DC6A" w14:textId="77777777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lastRenderedPageBreak/>
              <w:t xml:space="preserve">Gastrointestinálne vredy, perforácia alebo </w:t>
            </w:r>
            <w:r w:rsidRPr="0029684D">
              <w:rPr>
                <w:sz w:val="22"/>
                <w:szCs w:val="22"/>
                <w:lang w:val="sk-SK"/>
              </w:rPr>
              <w:lastRenderedPageBreak/>
              <w:t>gastrointestinálne krvácanie, meléna, hemateméza, ulceratívna stomatitída, exacerbácia kolitídy a Crohnovej choroby (pozri časť 4.4), gastritída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67281E9B" w14:textId="77777777" w:rsidTr="009D3C73">
        <w:tc>
          <w:tcPr>
            <w:tcW w:w="3223" w:type="dxa"/>
            <w:vMerge/>
          </w:tcPr>
          <w:p w14:paraId="08B7382C" w14:textId="77777777" w:rsidR="00BB2C65" w:rsidRPr="0029684D" w:rsidRDefault="00BB2C65" w:rsidP="00BA5546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7F2A0C2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20E3C32" w14:textId="77777777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Ezofagitída, pankreatitída, tvorba diafragmových črevných striktúr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  <w:r w:rsidR="00BB2C65"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B2C65" w:rsidRPr="003A721A" w14:paraId="39F987F2" w14:textId="77777777" w:rsidTr="009D3C73">
        <w:tc>
          <w:tcPr>
            <w:tcW w:w="3223" w:type="dxa"/>
          </w:tcPr>
          <w:p w14:paraId="092B155A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 xml:space="preserve">Poruchy </w:t>
            </w:r>
            <w:r w:rsidR="00724EDE" w:rsidRPr="0029684D">
              <w:rPr>
                <w:bCs/>
                <w:szCs w:val="22"/>
                <w:lang w:val="sk-SK"/>
              </w:rPr>
              <w:t>pečene</w:t>
            </w:r>
            <w:r w:rsidRPr="0029684D">
              <w:rPr>
                <w:bCs/>
                <w:szCs w:val="22"/>
                <w:lang w:val="sk-SK"/>
              </w:rPr>
              <w:t xml:space="preserve"> a žlčových c</w:t>
            </w:r>
            <w:r w:rsidR="00724EDE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>est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54DEC688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01732906" w14:textId="77777777" w:rsidR="00BB2C65" w:rsidRPr="0029684D" w:rsidRDefault="008048D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Hepatálna dysfunkcia</w:t>
            </w:r>
            <w:r w:rsidR="009D3C73" w:rsidRPr="0029684D">
              <w:rPr>
                <w:sz w:val="22"/>
                <w:szCs w:val="22"/>
                <w:lang w:val="sk-SK"/>
              </w:rPr>
              <w:t>, poško</w:t>
            </w:r>
            <w:r w:rsidRPr="0029684D">
              <w:rPr>
                <w:sz w:val="22"/>
                <w:szCs w:val="22"/>
                <w:lang w:val="sk-SK"/>
              </w:rPr>
              <w:t>d</w:t>
            </w:r>
            <w:r w:rsidR="009D3C73" w:rsidRPr="0029684D">
              <w:rPr>
                <w:sz w:val="22"/>
                <w:szCs w:val="22"/>
                <w:lang w:val="sk-SK"/>
              </w:rPr>
              <w:t>en</w:t>
            </w:r>
            <w:r w:rsidRPr="0029684D">
              <w:rPr>
                <w:sz w:val="22"/>
                <w:szCs w:val="22"/>
                <w:lang w:val="sk-SK"/>
              </w:rPr>
              <w:t>ie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pečne</w:t>
            </w:r>
            <w:r w:rsidR="009D3C73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  <w:r w:rsidR="009D3C73" w:rsidRPr="0029684D">
              <w:rPr>
                <w:sz w:val="22"/>
                <w:szCs w:val="22"/>
                <w:lang w:val="sk-SK"/>
              </w:rPr>
              <w:t>, žl</w:t>
            </w:r>
            <w:r w:rsidRPr="0029684D">
              <w:rPr>
                <w:sz w:val="22"/>
                <w:szCs w:val="22"/>
                <w:lang w:val="sk-SK"/>
              </w:rPr>
              <w:t>tač</w:t>
            </w:r>
            <w:r w:rsidR="009D3C73" w:rsidRPr="0029684D">
              <w:rPr>
                <w:sz w:val="22"/>
                <w:szCs w:val="22"/>
                <w:lang w:val="sk-SK"/>
              </w:rPr>
              <w:t>ka, ak</w:t>
            </w:r>
            <w:r w:rsidRPr="0029684D">
              <w:rPr>
                <w:sz w:val="22"/>
                <w:szCs w:val="22"/>
                <w:lang w:val="sk-SK"/>
              </w:rPr>
              <w:t>ú</w:t>
            </w:r>
            <w:r w:rsidR="009D3C73" w:rsidRPr="0029684D">
              <w:rPr>
                <w:sz w:val="22"/>
                <w:szCs w:val="22"/>
                <w:lang w:val="sk-SK"/>
              </w:rPr>
              <w:t>tn</w:t>
            </w:r>
            <w:r w:rsidRPr="0029684D">
              <w:rPr>
                <w:sz w:val="22"/>
                <w:szCs w:val="22"/>
                <w:lang w:val="sk-SK"/>
              </w:rPr>
              <w:t>a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hepatit</w:t>
            </w:r>
            <w:r w:rsidRPr="0029684D">
              <w:rPr>
                <w:sz w:val="22"/>
                <w:szCs w:val="22"/>
                <w:lang w:val="sk-SK"/>
              </w:rPr>
              <w:t>í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da, nekróza </w:t>
            </w:r>
            <w:r w:rsidRPr="0029684D">
              <w:rPr>
                <w:sz w:val="22"/>
                <w:szCs w:val="22"/>
                <w:lang w:val="sk-SK"/>
              </w:rPr>
              <w:t>pečene, zlyhanie pečene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0AADEDF6" w14:textId="77777777" w:rsidTr="009D3C73">
        <w:trPr>
          <w:trHeight w:val="562"/>
        </w:trPr>
        <w:tc>
          <w:tcPr>
            <w:tcW w:w="3223" w:type="dxa"/>
            <w:vMerge w:val="restart"/>
          </w:tcPr>
          <w:p w14:paraId="34E134AB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k</w:t>
            </w:r>
            <w:r w:rsidR="00724EDE" w:rsidRPr="0029684D">
              <w:rPr>
                <w:bCs/>
                <w:szCs w:val="22"/>
                <w:lang w:val="sk-SK"/>
              </w:rPr>
              <w:t>o</w:t>
            </w:r>
            <w:r w:rsidRPr="0029684D">
              <w:rPr>
                <w:bCs/>
                <w:szCs w:val="22"/>
                <w:lang w:val="sk-SK"/>
              </w:rPr>
              <w:t>že a podkožn</w:t>
            </w:r>
            <w:r w:rsidR="00724EDE" w:rsidRPr="0029684D">
              <w:rPr>
                <w:bCs/>
                <w:szCs w:val="22"/>
                <w:lang w:val="sk-SK"/>
              </w:rPr>
              <w:t>ého</w:t>
            </w:r>
            <w:r w:rsidRPr="0029684D">
              <w:rPr>
                <w:bCs/>
                <w:szCs w:val="22"/>
                <w:lang w:val="sk-SK"/>
              </w:rPr>
              <w:t xml:space="preserve"> tk</w:t>
            </w:r>
            <w:r w:rsidR="00724EDE" w:rsidRPr="0029684D">
              <w:rPr>
                <w:bCs/>
                <w:szCs w:val="22"/>
                <w:lang w:val="sk-SK"/>
              </w:rPr>
              <w:t>aniva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EAE5CB0" w14:textId="77777777" w:rsidR="00BB2C65" w:rsidRPr="0029684D" w:rsidRDefault="009D3C73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M</w:t>
            </w:r>
            <w:r w:rsidR="00F108A2" w:rsidRPr="0029684D">
              <w:rPr>
                <w:i/>
                <w:iCs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iCs/>
                <w:sz w:val="22"/>
                <w:szCs w:val="22"/>
                <w:lang w:val="sk-SK"/>
              </w:rPr>
              <w:t>n</w:t>
            </w:r>
            <w:r w:rsidR="00F108A2" w:rsidRPr="0029684D">
              <w:rPr>
                <w:i/>
                <w:iCs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iCs/>
                <w:sz w:val="22"/>
                <w:szCs w:val="22"/>
                <w:lang w:val="sk-SK"/>
              </w:rPr>
              <w:t xml:space="preserve"> časté</w:t>
            </w:r>
          </w:p>
          <w:p w14:paraId="42269A3D" w14:textId="77777777" w:rsidR="00BB2C65" w:rsidRPr="0029684D" w:rsidRDefault="00BB2C65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5DF7E8E1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R</w:t>
            </w:r>
            <w:r w:rsidR="008048DE" w:rsidRPr="0029684D">
              <w:rPr>
                <w:sz w:val="22"/>
                <w:szCs w:val="22"/>
                <w:lang w:val="sk-SK"/>
              </w:rPr>
              <w:t>ô</w:t>
            </w:r>
            <w:r w:rsidRPr="0029684D">
              <w:rPr>
                <w:sz w:val="22"/>
                <w:szCs w:val="22"/>
                <w:lang w:val="sk-SK"/>
              </w:rPr>
              <w:t>zn</w:t>
            </w:r>
            <w:r w:rsidR="008048DE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kožn</w:t>
            </w:r>
            <w:r w:rsidR="008048DE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 xml:space="preserve"> vyrážk</w:t>
            </w:r>
            <w:r w:rsidR="008E4303" w:rsidRPr="0029684D">
              <w:rPr>
                <w:sz w:val="22"/>
                <w:szCs w:val="22"/>
                <w:lang w:val="sk-SK"/>
              </w:rPr>
              <w:t>y.</w:t>
            </w:r>
          </w:p>
        </w:tc>
      </w:tr>
      <w:tr w:rsidR="00BB2C65" w:rsidRPr="003A721A" w14:paraId="323250E5" w14:textId="77777777" w:rsidTr="009D3C73">
        <w:tc>
          <w:tcPr>
            <w:tcW w:w="3223" w:type="dxa"/>
            <w:vMerge/>
          </w:tcPr>
          <w:p w14:paraId="4D8EB143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6332856" w14:textId="77777777" w:rsidR="00BB2C65" w:rsidRPr="0029684D" w:rsidRDefault="00F108A2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239F52A5" w14:textId="77777777" w:rsidR="00BB2C65" w:rsidRPr="0029684D" w:rsidRDefault="008048D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Exfoliatívna dermatitída, fotosenzitívna dermatitída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3416B341" w14:textId="77777777" w:rsidTr="009D3C73">
        <w:tc>
          <w:tcPr>
            <w:tcW w:w="3223" w:type="dxa"/>
            <w:vMerge/>
          </w:tcPr>
          <w:p w14:paraId="4F562992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3785B1B6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1EFF6DA2" w14:textId="1FB498DC" w:rsidR="00BB2C65" w:rsidRPr="0029684D" w:rsidRDefault="008048D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 xml:space="preserve">Závažné formy kožných reakcií, ako je multiformný </w:t>
            </w:r>
            <w:r w:rsidR="00BE7EED" w:rsidRPr="0029684D">
              <w:rPr>
                <w:sz w:val="22"/>
                <w:szCs w:val="22"/>
                <w:lang w:val="sk-SK"/>
              </w:rPr>
              <w:t>e</w:t>
            </w:r>
            <w:r w:rsidR="00E65EB9" w:rsidRPr="0029684D">
              <w:rPr>
                <w:sz w:val="22"/>
                <w:szCs w:val="22"/>
                <w:lang w:val="sk-SK"/>
              </w:rPr>
              <w:t>ryt</w:t>
            </w:r>
            <w:r w:rsidR="00BE7EED" w:rsidRPr="0029684D">
              <w:rPr>
                <w:sz w:val="22"/>
                <w:szCs w:val="22"/>
                <w:lang w:val="sk-SK"/>
              </w:rPr>
              <w:t>ém</w:t>
            </w:r>
            <w:r w:rsidRPr="0029684D">
              <w:rPr>
                <w:sz w:val="22"/>
                <w:szCs w:val="22"/>
                <w:lang w:val="sk-SK"/>
              </w:rPr>
              <w:t>, bulózne reakcie vrátane Stevens</w:t>
            </w:r>
            <w:r w:rsidR="00235CB8">
              <w:rPr>
                <w:sz w:val="22"/>
                <w:szCs w:val="22"/>
                <w:lang w:val="sk-SK"/>
              </w:rPr>
              <w:t>ovho</w:t>
            </w:r>
            <w:r w:rsidRPr="0029684D">
              <w:rPr>
                <w:sz w:val="22"/>
                <w:szCs w:val="22"/>
                <w:lang w:val="sk-SK"/>
              </w:rPr>
              <w:t>-Johnsonovho syndrómu, toxická epidermálna nekrolýza (Lyellov syndróm), alopécia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481DA383" w14:textId="77777777" w:rsidR="00BB2C65" w:rsidRPr="0029684D" w:rsidRDefault="008048DE" w:rsidP="00300F58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 xml:space="preserve">Závažné infekcie kože a komplikácie mäkkého tkaniva </w:t>
            </w:r>
            <w:r w:rsidR="00BE7EED" w:rsidRPr="0029684D">
              <w:rPr>
                <w:sz w:val="22"/>
                <w:szCs w:val="22"/>
                <w:lang w:val="sk-SK"/>
              </w:rPr>
              <w:t>pri varicelle</w:t>
            </w:r>
            <w:r w:rsidR="009D3C73" w:rsidRPr="0029684D">
              <w:rPr>
                <w:sz w:val="22"/>
                <w:szCs w:val="22"/>
                <w:lang w:val="sk-SK"/>
              </w:rPr>
              <w:t>.</w:t>
            </w:r>
            <w:r w:rsidR="009D3C73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9)</w:t>
            </w:r>
          </w:p>
        </w:tc>
      </w:tr>
      <w:tr w:rsidR="00BB2C65" w:rsidRPr="003A721A" w14:paraId="664F7D90" w14:textId="77777777" w:rsidTr="009D3C73">
        <w:tc>
          <w:tcPr>
            <w:tcW w:w="3223" w:type="dxa"/>
            <w:vMerge w:val="restart"/>
            <w:shd w:val="clear" w:color="auto" w:fill="auto"/>
          </w:tcPr>
          <w:p w14:paraId="65E79635" w14:textId="77777777" w:rsidR="00BB2C65" w:rsidRPr="0029684D" w:rsidRDefault="00724ED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obličiek a močových ciest</w:t>
            </w:r>
            <w:r w:rsidRPr="0029684D">
              <w:rPr>
                <w:bCs/>
                <w:szCs w:val="22"/>
                <w:vertAlign w:val="superscript"/>
                <w:lang w:val="sk-SK"/>
              </w:rPr>
              <w:t>10)</w:t>
            </w:r>
          </w:p>
        </w:tc>
        <w:tc>
          <w:tcPr>
            <w:tcW w:w="1323" w:type="dxa"/>
            <w:shd w:val="clear" w:color="auto" w:fill="auto"/>
          </w:tcPr>
          <w:p w14:paraId="007A680B" w14:textId="77777777" w:rsidR="00BB2C65" w:rsidRPr="0029684D" w:rsidRDefault="00F108A2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  <w:r w:rsidR="00BB2C65" w:rsidRPr="0029684D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72F619FA" w14:textId="77777777" w:rsidR="00BB2C65" w:rsidRPr="0029684D" w:rsidRDefault="008048DE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Zvýšenie močoviny v krvi, zvýšená hladina kyseliny močovej v krvi, polyúria, hematúria, poškodenie obličkových tkanív (papilárna nekróza</w:t>
            </w:r>
            <w:r w:rsidR="009D3C73" w:rsidRPr="0029684D">
              <w:rPr>
                <w:sz w:val="22"/>
                <w:szCs w:val="22"/>
                <w:lang w:val="sk-SK"/>
              </w:rPr>
              <w:t>)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  <w:r w:rsidR="009D3C73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</w:p>
        </w:tc>
      </w:tr>
      <w:tr w:rsidR="00BB2C65" w:rsidRPr="003A721A" w14:paraId="1559F69E" w14:textId="77777777" w:rsidTr="009D3C73">
        <w:tc>
          <w:tcPr>
            <w:tcW w:w="3223" w:type="dxa"/>
            <w:vMerge/>
            <w:shd w:val="clear" w:color="auto" w:fill="auto"/>
          </w:tcPr>
          <w:p w14:paraId="1290D85A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59C8C2C5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  <w:p w14:paraId="05E4E3C0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3901EA9B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  <w:shd w:val="clear" w:color="auto" w:fill="auto"/>
          </w:tcPr>
          <w:p w14:paraId="19921C72" w14:textId="77777777" w:rsidR="00BB2C65" w:rsidRPr="0029684D" w:rsidRDefault="008048DE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Znížené vylučovanie moču, tvorba edémov</w:t>
            </w:r>
            <w:r w:rsidRPr="0029684D">
              <w:rPr>
                <w:sz w:val="22"/>
                <w:szCs w:val="22"/>
                <w:vertAlign w:val="superscript"/>
                <w:lang w:val="sk-SK"/>
              </w:rPr>
              <w:t>11)</w:t>
            </w:r>
            <w:r w:rsidRPr="0029684D">
              <w:rPr>
                <w:sz w:val="22"/>
                <w:szCs w:val="22"/>
                <w:lang w:val="sk-SK"/>
              </w:rPr>
              <w:t>, nefrotický syndróm, intersticiálna nefritída, renálna insuficiencia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47405253" w14:textId="77777777" w:rsidTr="009D3C73">
        <w:tc>
          <w:tcPr>
            <w:tcW w:w="3223" w:type="dxa"/>
            <w:vMerge w:val="restart"/>
            <w:shd w:val="clear" w:color="auto" w:fill="auto"/>
          </w:tcPr>
          <w:p w14:paraId="3756BD87" w14:textId="77777777" w:rsidR="00BB2C65" w:rsidRPr="0029684D" w:rsidRDefault="00A57AAA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>Laboratórne v</w:t>
            </w:r>
            <w:r w:rsidR="009D3C73" w:rsidRPr="0029684D">
              <w:rPr>
                <w:bCs/>
                <w:szCs w:val="22"/>
                <w:lang w:val="sk-SK"/>
              </w:rPr>
              <w:t>yšet</w:t>
            </w:r>
            <w:r w:rsidR="00F108A2" w:rsidRPr="0029684D">
              <w:rPr>
                <w:bCs/>
                <w:szCs w:val="22"/>
                <w:lang w:val="sk-SK"/>
              </w:rPr>
              <w:t>r</w:t>
            </w:r>
            <w:r w:rsidR="009D3C73" w:rsidRPr="0029684D">
              <w:rPr>
                <w:bCs/>
                <w:szCs w:val="22"/>
                <w:lang w:val="sk-SK"/>
              </w:rPr>
              <w:t>en</w:t>
            </w:r>
            <w:r w:rsidR="00F108A2" w:rsidRPr="0029684D">
              <w:rPr>
                <w:bCs/>
                <w:szCs w:val="22"/>
                <w:lang w:val="sk-SK"/>
              </w:rPr>
              <w:t>ia</w:t>
            </w:r>
          </w:p>
        </w:tc>
        <w:tc>
          <w:tcPr>
            <w:tcW w:w="1323" w:type="dxa"/>
            <w:shd w:val="clear" w:color="auto" w:fill="auto"/>
          </w:tcPr>
          <w:p w14:paraId="15B1AB61" w14:textId="77777777" w:rsidR="00BB2C65" w:rsidRPr="0029684D" w:rsidRDefault="00F108A2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  <w:shd w:val="clear" w:color="auto" w:fill="auto"/>
          </w:tcPr>
          <w:p w14:paraId="5C0858B7" w14:textId="0F305370" w:rsidR="00BB2C65" w:rsidRPr="0029684D" w:rsidRDefault="008048DE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Zníženie h</w:t>
            </w:r>
            <w:r w:rsidR="00235CB8">
              <w:rPr>
                <w:sz w:val="22"/>
                <w:szCs w:val="22"/>
                <w:lang w:val="sk-SK"/>
              </w:rPr>
              <w:t>odnoty</w:t>
            </w:r>
            <w:r w:rsidRPr="0029684D">
              <w:rPr>
                <w:sz w:val="22"/>
                <w:szCs w:val="22"/>
                <w:lang w:val="sk-SK"/>
              </w:rPr>
              <w:t xml:space="preserve"> hematokritu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31DACD2B" w14:textId="77777777" w:rsidTr="009D3C73">
        <w:tc>
          <w:tcPr>
            <w:tcW w:w="3223" w:type="dxa"/>
            <w:vMerge/>
            <w:shd w:val="clear" w:color="auto" w:fill="auto"/>
          </w:tcPr>
          <w:p w14:paraId="09A31EEF" w14:textId="77777777" w:rsidR="00BB2C65" w:rsidRPr="0029684D" w:rsidRDefault="00BB2C65" w:rsidP="00BA5546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51E67610" w14:textId="77777777" w:rsidR="00BB2C65" w:rsidRPr="0029684D" w:rsidRDefault="00F108A2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114C2958" w14:textId="77777777" w:rsidR="00BB2C65" w:rsidRPr="0029684D" w:rsidRDefault="008048DE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Zníženie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hladiny hemoglob</w:t>
            </w:r>
            <w:r w:rsidRPr="0029684D">
              <w:rPr>
                <w:sz w:val="22"/>
                <w:szCs w:val="22"/>
                <w:lang w:val="sk-SK"/>
              </w:rPr>
              <w:t>ínu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</w:tbl>
    <w:p w14:paraId="31FDA6F1" w14:textId="303F63DE" w:rsidR="00BB2C65" w:rsidRPr="0029684D" w:rsidRDefault="009D3C73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cs-CZ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1)</w:t>
      </w:r>
      <w:r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>Infekc</w:t>
      </w:r>
      <w:r w:rsidR="008048DE" w:rsidRPr="0029684D">
        <w:rPr>
          <w:rFonts w:eastAsia="Times New Roman"/>
          <w:sz w:val="22"/>
          <w:szCs w:val="22"/>
          <w:u w:val="single"/>
          <w:lang w:val="sk-SK" w:eastAsia="cs-CZ"/>
        </w:rPr>
        <w:t>i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 xml:space="preserve">e a </w:t>
      </w:r>
      <w:r w:rsidR="00A57AAA">
        <w:rPr>
          <w:rFonts w:eastAsia="Times New Roman"/>
          <w:sz w:val="22"/>
          <w:szCs w:val="22"/>
          <w:u w:val="single"/>
          <w:lang w:val="sk-SK" w:eastAsia="cs-CZ"/>
        </w:rPr>
        <w:t>nákazy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>:</w:t>
      </w:r>
      <w:r w:rsidR="00BB2C65" w:rsidRPr="0029684D">
        <w:rPr>
          <w:rFonts w:eastAsia="Times New Roman"/>
          <w:sz w:val="22"/>
          <w:szCs w:val="22"/>
          <w:u w:val="single"/>
          <w:lang w:val="sk-SK" w:eastAsia="cs-CZ"/>
        </w:rPr>
        <w:t xml:space="preserve"> 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>Veľmi zriedkavo sa opisuje exacerbácia zápalov súvisiacich s infekciou (napr. vznik nekrotizujúcej fascitídy), ktoré sa časovo zhodujú s použitím nesteroidných protizápalových liekov. M</w:t>
      </w:r>
      <w:r w:rsidR="00FF34A8">
        <w:rPr>
          <w:rFonts w:eastAsia="Times New Roman"/>
          <w:sz w:val="22"/>
          <w:szCs w:val="22"/>
          <w:lang w:val="sk-SK" w:eastAsia="cs-CZ"/>
        </w:rPr>
        <w:t>ôže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to súvis</w:t>
      </w:r>
      <w:r w:rsidR="00FF34A8">
        <w:rPr>
          <w:rFonts w:eastAsia="Times New Roman"/>
          <w:sz w:val="22"/>
          <w:szCs w:val="22"/>
          <w:lang w:val="sk-SK" w:eastAsia="cs-CZ"/>
        </w:rPr>
        <w:t>ieť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s mechanizmom účinku nesteroidných protizápalových liekov. Ak sa počas užívania </w:t>
      </w:r>
      <w:r w:rsidR="00987E9D" w:rsidRPr="0029684D">
        <w:rPr>
          <w:sz w:val="22"/>
          <w:szCs w:val="22"/>
          <w:lang w:val="sk-SK"/>
        </w:rPr>
        <w:t>Ibalgin</w:t>
      </w:r>
      <w:r w:rsidR="00FF34A8">
        <w:rPr>
          <w:sz w:val="22"/>
          <w:szCs w:val="22"/>
          <w:lang w:val="sk-SK"/>
        </w:rPr>
        <w:t>u</w:t>
      </w:r>
      <w:r w:rsidR="00987E9D" w:rsidRPr="0029684D">
        <w:rPr>
          <w:sz w:val="22"/>
          <w:szCs w:val="22"/>
          <w:lang w:val="sk-SK"/>
        </w:rPr>
        <w:t xml:space="preserve"> Junior </w:t>
      </w:r>
      <w:r w:rsidR="00521F93" w:rsidRPr="0029684D">
        <w:rPr>
          <w:sz w:val="22"/>
          <w:szCs w:val="22"/>
          <w:lang w:val="sk-SK"/>
        </w:rPr>
        <w:t>200 mg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vyskytnú príznaky infekcie alebo sa zhoršia, pacientovi sa odporúča bezodkladne navštíviť lekára. </w:t>
      </w:r>
      <w:r w:rsidR="00FF34A8">
        <w:rPr>
          <w:rFonts w:eastAsia="Times New Roman"/>
          <w:sz w:val="22"/>
          <w:szCs w:val="22"/>
          <w:lang w:val="sk-SK" w:eastAsia="cs-CZ"/>
        </w:rPr>
        <w:t>Je potrebné</w:t>
      </w:r>
      <w:r w:rsidR="00FF34A8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>vyšetriť, či je indikovaná antiinfekčná/antibiotická liečba</w:t>
      </w:r>
      <w:r w:rsidR="00AC4130" w:rsidRPr="0029684D">
        <w:rPr>
          <w:rFonts w:eastAsia="Times New Roman"/>
          <w:sz w:val="22"/>
          <w:szCs w:val="22"/>
          <w:lang w:val="cs-CZ" w:eastAsia="cs-CZ"/>
        </w:rPr>
        <w:t>.</w:t>
      </w:r>
    </w:p>
    <w:p w14:paraId="6AFA277E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2)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Väčšia predispozícia je u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 pacientov s autoimunitnými poruchami (SLE, zmiešané ochorenie spojivového tkaniva).</w:t>
      </w:r>
    </w:p>
    <w:p w14:paraId="19C9F29B" w14:textId="0AE70D40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 xml:space="preserve">3) 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V takýchto prípadoch by sa malo pacientovi odporučiť okamžite prerušiť liečbu, vyhnúť sa </w:t>
      </w:r>
      <w:r w:rsidR="00FF34A8">
        <w:rPr>
          <w:rFonts w:eastAsia="Times New Roman"/>
          <w:sz w:val="22"/>
          <w:szCs w:val="22"/>
          <w:lang w:val="sk-SK" w:eastAsia="cs-CZ"/>
        </w:rPr>
        <w:t>samoliečbe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 analgetikami alebo antip</w:t>
      </w:r>
      <w:r w:rsidR="00E65EB9" w:rsidRPr="0029684D">
        <w:rPr>
          <w:rFonts w:eastAsia="Times New Roman"/>
          <w:sz w:val="22"/>
          <w:szCs w:val="22"/>
          <w:lang w:val="sk-SK" w:eastAsia="cs-CZ"/>
        </w:rPr>
        <w:t>y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>retikami a poradiť sa s lekárom. Pri dlhodobej liečbe sa má pravidelne kontrolovať krvný obraz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736CD216" w14:textId="22DDA90B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4)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>Pacient má byť poučený, aby v takomto prípade ihneď informoval lekára a prestal užívať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987E9D" w:rsidRPr="0029684D">
        <w:rPr>
          <w:sz w:val="22"/>
          <w:szCs w:val="22"/>
          <w:lang w:val="sk-SK"/>
        </w:rPr>
        <w:t xml:space="preserve">Ibalgin </w:t>
      </w:r>
      <w:r w:rsidR="00E6195C" w:rsidRPr="0029684D">
        <w:rPr>
          <w:sz w:val="22"/>
          <w:szCs w:val="22"/>
          <w:lang w:val="sk-SK"/>
        </w:rPr>
        <w:t>Junior</w:t>
      </w:r>
      <w:r w:rsidR="00FF34A8">
        <w:rPr>
          <w:sz w:val="22"/>
          <w:szCs w:val="22"/>
          <w:lang w:val="sk-SK"/>
        </w:rPr>
        <w:t xml:space="preserve"> 200 mg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30C49585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5)</w:t>
      </w:r>
      <w:r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Ak sa vyskytne jeden z týchto príznakov, čo sa môže stať aj pri prvom užití, je potrebná okamžitá lekárska pomoc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00A8EF27" w14:textId="3CB6D8BD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6)</w:t>
      </w:r>
      <w:r w:rsidR="008E4303"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>J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e </w:t>
      </w:r>
      <w:r w:rsidR="00A57AAA">
        <w:rPr>
          <w:rFonts w:eastAsia="Times New Roman"/>
          <w:sz w:val="22"/>
          <w:szCs w:val="22"/>
          <w:lang w:val="sk-SK" w:eastAsia="cs-CZ"/>
        </w:rPr>
        <w:t>nutné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pacienta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pou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č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iť</w:t>
      </w:r>
      <w:r w:rsidRPr="0029684D">
        <w:rPr>
          <w:rFonts w:eastAsia="Times New Roman"/>
          <w:sz w:val="22"/>
          <w:szCs w:val="22"/>
          <w:lang w:val="sk-SK" w:eastAsia="cs-CZ"/>
        </w:rPr>
        <w:t>, aby v takom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to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ihne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ď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informoval le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kára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 </w:t>
      </w:r>
      <w:r w:rsidR="00AC6333">
        <w:rPr>
          <w:rFonts w:eastAsia="Times New Roman"/>
          <w:sz w:val="22"/>
          <w:szCs w:val="22"/>
          <w:lang w:val="sk-SK" w:eastAsia="cs-CZ"/>
        </w:rPr>
        <w:t>ibuprofen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estal užíva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ť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6BEB6ADB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7</w:t>
      </w: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n</w:t>
      </w:r>
      <w:r w:rsidRPr="0029684D">
        <w:rPr>
          <w:rFonts w:eastAsia="Times New Roman"/>
          <w:sz w:val="22"/>
          <w:szCs w:val="22"/>
          <w:lang w:val="sk-SK" w:eastAsia="cs-CZ"/>
        </w:rPr>
        <w:t>im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ch 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že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s</w:t>
      </w:r>
      <w:r w:rsidRPr="0029684D">
        <w:rPr>
          <w:rFonts w:eastAsia="Times New Roman"/>
          <w:sz w:val="22"/>
          <w:szCs w:val="22"/>
          <w:lang w:val="sk-SK" w:eastAsia="cs-CZ"/>
        </w:rPr>
        <w:t>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>sobi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anémi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u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416F3C89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8)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Najmä pri dlhodobej </w:t>
      </w:r>
      <w:r w:rsidRPr="0029684D">
        <w:rPr>
          <w:rFonts w:eastAsia="Times New Roman"/>
          <w:sz w:val="22"/>
          <w:szCs w:val="22"/>
          <w:lang w:val="sk-SK" w:eastAsia="cs-CZ"/>
        </w:rPr>
        <w:t>terapi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>i.</w:t>
      </w:r>
    </w:p>
    <w:p w14:paraId="63722537" w14:textId="60E02076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9)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n</w:t>
      </w:r>
      <w:r w:rsidRPr="0029684D">
        <w:rPr>
          <w:rFonts w:eastAsia="Times New Roman"/>
          <w:sz w:val="22"/>
          <w:szCs w:val="22"/>
          <w:lang w:val="sk-SK" w:eastAsia="cs-CZ"/>
        </w:rPr>
        <w:t>im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ch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sa </w:t>
      </w:r>
      <w:r w:rsidRPr="0029684D">
        <w:rPr>
          <w:rFonts w:eastAsia="Times New Roman"/>
          <w:sz w:val="22"/>
          <w:szCs w:val="22"/>
          <w:lang w:val="sk-SK" w:eastAsia="cs-CZ"/>
        </w:rPr>
        <w:t>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>ž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u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počas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varicelly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vyskytnúť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závažné kožné infekcie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 komplik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ácie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äkkého tkaniva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(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pozri aj časť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FF34A8">
        <w:rPr>
          <w:rFonts w:eastAsia="Times New Roman"/>
          <w:sz w:val="22"/>
          <w:szCs w:val="22"/>
          <w:lang w:val="sk-SK" w:eastAsia="cs-CZ"/>
        </w:rPr>
        <w:t>„</w:t>
      </w:r>
      <w:r w:rsidRPr="0029684D">
        <w:rPr>
          <w:rFonts w:eastAsia="Times New Roman"/>
          <w:sz w:val="22"/>
          <w:szCs w:val="22"/>
          <w:lang w:val="sk-SK" w:eastAsia="cs-CZ"/>
        </w:rPr>
        <w:t>Infekc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i</w:t>
      </w:r>
      <w:r w:rsidRPr="0029684D">
        <w:rPr>
          <w:rFonts w:eastAsia="Times New Roman"/>
          <w:sz w:val="22"/>
          <w:szCs w:val="22"/>
          <w:lang w:val="sk-SK" w:eastAsia="cs-CZ"/>
        </w:rPr>
        <w:t>e a</w:t>
      </w:r>
      <w:r w:rsidR="00FF34A8">
        <w:rPr>
          <w:rFonts w:eastAsia="Times New Roman"/>
          <w:sz w:val="22"/>
          <w:szCs w:val="22"/>
          <w:lang w:val="sk-SK" w:eastAsia="cs-CZ"/>
        </w:rPr>
        <w:t> </w:t>
      </w:r>
      <w:r w:rsidR="00B8668D">
        <w:rPr>
          <w:rFonts w:eastAsia="Times New Roman"/>
          <w:sz w:val="22"/>
          <w:szCs w:val="22"/>
          <w:lang w:val="sk-SK" w:eastAsia="cs-CZ"/>
        </w:rPr>
        <w:t>n</w:t>
      </w:r>
      <w:r w:rsidR="00FF34A8">
        <w:rPr>
          <w:rFonts w:eastAsia="Times New Roman"/>
          <w:sz w:val="22"/>
          <w:szCs w:val="22"/>
          <w:lang w:val="sk-SK" w:eastAsia="cs-CZ"/>
        </w:rPr>
        <w:t>ákazy“</w:t>
      </w:r>
      <w:r w:rsidRPr="0029684D">
        <w:rPr>
          <w:rFonts w:eastAsia="Times New Roman"/>
          <w:sz w:val="22"/>
          <w:szCs w:val="22"/>
          <w:lang w:val="sk-SK" w:eastAsia="cs-CZ"/>
        </w:rPr>
        <w:t>).</w:t>
      </w:r>
    </w:p>
    <w:p w14:paraId="2D0A99D4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lastRenderedPageBreak/>
        <w:t>10)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Funkcia obličiek sa má pravidelne monitorovať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0ABC349C" w14:textId="77777777" w:rsidR="00BB2C65" w:rsidRPr="0029684D" w:rsidRDefault="00AC4130" w:rsidP="00BA5546">
      <w:pPr>
        <w:spacing w:after="0"/>
        <w:jc w:val="left"/>
        <w:rPr>
          <w:rFonts w:eastAsia="Times New Roman"/>
          <w:b/>
          <w:bCs/>
          <w:sz w:val="22"/>
          <w:szCs w:val="22"/>
          <w:vertAlign w:val="superscript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11)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Najmä u pacientov s arteriálnou hypertenziou alebo renálnou insuficienciou.</w:t>
      </w:r>
    </w:p>
    <w:p w14:paraId="713AE8EF" w14:textId="77777777" w:rsidR="00592A9D" w:rsidRPr="0029684D" w:rsidRDefault="00592A9D" w:rsidP="00230813">
      <w:pPr>
        <w:spacing w:after="0"/>
        <w:jc w:val="left"/>
        <w:rPr>
          <w:rFonts w:eastAsia="Times New Roman"/>
          <w:color w:val="000000"/>
          <w:sz w:val="22"/>
          <w:szCs w:val="22"/>
          <w:lang w:val="sk-SK"/>
        </w:rPr>
      </w:pPr>
    </w:p>
    <w:p w14:paraId="7C0715BA" w14:textId="77777777" w:rsidR="00142208" w:rsidRPr="003A721A" w:rsidRDefault="00142208" w:rsidP="00BA5546">
      <w:pPr>
        <w:suppressLineNumbers/>
        <w:autoSpaceDE w:val="0"/>
        <w:autoSpaceDN w:val="0"/>
        <w:adjustRightInd w:val="0"/>
        <w:spacing w:after="0"/>
        <w:ind w:left="567" w:hanging="567"/>
        <w:jc w:val="left"/>
        <w:rPr>
          <w:rFonts w:eastAsia="Times New Roman"/>
          <w:sz w:val="22"/>
          <w:szCs w:val="22"/>
          <w:u w:val="single"/>
          <w:lang w:eastAsia="sk-SK"/>
        </w:rPr>
      </w:pPr>
      <w:r w:rsidRPr="003A721A">
        <w:rPr>
          <w:rFonts w:eastAsia="Times New Roman"/>
          <w:noProof/>
          <w:sz w:val="22"/>
          <w:szCs w:val="22"/>
          <w:u w:val="single"/>
          <w:lang w:eastAsia="sk-SK"/>
        </w:rPr>
        <w:t>Hlásenie podozrení na nežiaduce reakcie</w:t>
      </w:r>
    </w:p>
    <w:p w14:paraId="36D978FB" w14:textId="77777777" w:rsidR="00142208" w:rsidRPr="003A721A" w:rsidRDefault="00142208" w:rsidP="00BA5546">
      <w:pPr>
        <w:suppressLineNumbers/>
        <w:autoSpaceDE w:val="0"/>
        <w:autoSpaceDN w:val="0"/>
        <w:adjustRightInd w:val="0"/>
        <w:spacing w:after="0"/>
        <w:jc w:val="left"/>
        <w:rPr>
          <w:rFonts w:eastAsia="Times New Roman"/>
          <w:noProof/>
          <w:sz w:val="22"/>
          <w:szCs w:val="22"/>
          <w:lang w:eastAsia="sk-SK"/>
        </w:rPr>
      </w:pPr>
      <w:r w:rsidRPr="003A721A">
        <w:rPr>
          <w:rFonts w:eastAsia="Times New Roman"/>
          <w:noProof/>
          <w:sz w:val="22"/>
          <w:szCs w:val="22"/>
          <w:lang w:eastAsia="sk-SK"/>
        </w:rPr>
        <w:t>Hlásenie podozrení na nežiaduce reakcie po registrácii lieku je dôležité.</w:t>
      </w:r>
      <w:r w:rsidRPr="003A721A">
        <w:rPr>
          <w:rFonts w:eastAsia="Times New Roman"/>
          <w:sz w:val="22"/>
          <w:szCs w:val="22"/>
          <w:lang w:eastAsia="sk-SK"/>
        </w:rPr>
        <w:t xml:space="preserve"> </w:t>
      </w:r>
      <w:r w:rsidRPr="00AA245A">
        <w:rPr>
          <w:rFonts w:eastAsia="Times New Roman"/>
          <w:noProof/>
          <w:sz w:val="22"/>
          <w:szCs w:val="22"/>
          <w:lang w:eastAsia="sk-SK"/>
        </w:rPr>
        <w:t>Umožňuje priebežné monitorovanie pomeru prínosu a rizika lieku.</w:t>
      </w:r>
      <w:r w:rsidRPr="00AA245A">
        <w:rPr>
          <w:rFonts w:eastAsia="Times New Roman"/>
          <w:sz w:val="22"/>
          <w:szCs w:val="22"/>
          <w:lang w:eastAsia="sk-SK"/>
        </w:rPr>
        <w:t xml:space="preserve"> </w:t>
      </w:r>
      <w:proofErr w:type="gramStart"/>
      <w:r w:rsidRPr="00AA245A">
        <w:rPr>
          <w:rFonts w:eastAsia="Times New Roman"/>
          <w:sz w:val="22"/>
          <w:szCs w:val="22"/>
          <w:lang w:eastAsia="sk-SK"/>
        </w:rPr>
        <w:t>Od</w:t>
      </w:r>
      <w:proofErr w:type="gramEnd"/>
      <w:r w:rsidRPr="00AA245A">
        <w:rPr>
          <w:rFonts w:eastAsia="Times New Roman"/>
          <w:sz w:val="22"/>
          <w:szCs w:val="22"/>
          <w:lang w:eastAsia="sk-SK"/>
        </w:rPr>
        <w:t xml:space="preserve"> </w:t>
      </w:r>
      <w:r w:rsidRPr="00AA245A">
        <w:rPr>
          <w:rFonts w:eastAsia="Times New Roman"/>
          <w:noProof/>
          <w:sz w:val="22"/>
          <w:szCs w:val="22"/>
          <w:lang w:eastAsia="sk-SK"/>
        </w:rPr>
        <w:t>zdravotníckych pracovníkov sa vyžaduje, aby hlásili akékoľvek podozr</w:t>
      </w:r>
      <w:r w:rsidRPr="00A57AAA">
        <w:rPr>
          <w:rFonts w:eastAsia="Times New Roman"/>
          <w:noProof/>
          <w:sz w:val="22"/>
          <w:szCs w:val="22"/>
          <w:lang w:eastAsia="sk-SK"/>
        </w:rPr>
        <w:t xml:space="preserve">enia na nežiaduce reakcie na </w:t>
      </w:r>
      <w:r w:rsidRPr="00A57AAA">
        <w:rPr>
          <w:rFonts w:eastAsia="Times New Roman"/>
          <w:noProof/>
          <w:sz w:val="22"/>
          <w:szCs w:val="22"/>
          <w:highlight w:val="lightGray"/>
          <w:lang w:eastAsia="sk-SK"/>
        </w:rPr>
        <w:t>národné centrum hlásenia uvedené v </w:t>
      </w:r>
      <w:hyperlink r:id="rId9" w:history="1">
        <w:r w:rsidRPr="003A721A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3A721A">
        <w:rPr>
          <w:rFonts w:eastAsia="Times New Roman"/>
          <w:noProof/>
          <w:sz w:val="22"/>
          <w:szCs w:val="22"/>
          <w:lang w:eastAsia="sk-SK"/>
        </w:rPr>
        <w:t>.</w:t>
      </w:r>
    </w:p>
    <w:p w14:paraId="50030B20" w14:textId="77777777" w:rsidR="00142208" w:rsidRPr="003A721A" w:rsidRDefault="00142208" w:rsidP="00BA5546">
      <w:pPr>
        <w:suppressLineNumbers/>
        <w:autoSpaceDE w:val="0"/>
        <w:autoSpaceDN w:val="0"/>
        <w:adjustRightInd w:val="0"/>
        <w:spacing w:after="0"/>
        <w:jc w:val="left"/>
        <w:rPr>
          <w:rFonts w:eastAsia="Times New Roman"/>
          <w:noProof/>
          <w:sz w:val="22"/>
          <w:szCs w:val="22"/>
          <w:lang w:eastAsia="sk-SK"/>
        </w:rPr>
      </w:pPr>
    </w:p>
    <w:p w14:paraId="1FCEB194" w14:textId="77777777" w:rsidR="00467218" w:rsidRPr="0029684D" w:rsidRDefault="00467218" w:rsidP="00230813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4.9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Predávkovanie</w:t>
      </w:r>
    </w:p>
    <w:p w14:paraId="577F4445" w14:textId="77777777" w:rsidR="00005545" w:rsidRPr="0029684D" w:rsidRDefault="00005545" w:rsidP="00300F58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486AEC2C" w14:textId="77777777" w:rsidR="00576BA2" w:rsidRPr="0029684D" w:rsidRDefault="00142208" w:rsidP="00300F58">
      <w:pPr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 w:eastAsia="sk-SK"/>
        </w:rPr>
      </w:pPr>
      <w:r w:rsidRPr="0029684D">
        <w:rPr>
          <w:sz w:val="22"/>
          <w:szCs w:val="22"/>
          <w:u w:val="single"/>
          <w:lang w:val="sk-SK" w:eastAsia="sk-SK"/>
        </w:rPr>
        <w:t>Príznaky</w:t>
      </w:r>
      <w:r w:rsidR="00576BA2" w:rsidRPr="0029684D">
        <w:rPr>
          <w:sz w:val="22"/>
          <w:szCs w:val="22"/>
          <w:u w:val="single"/>
          <w:lang w:val="sk-SK" w:eastAsia="sk-SK"/>
        </w:rPr>
        <w:t xml:space="preserve"> </w:t>
      </w:r>
    </w:p>
    <w:p w14:paraId="48F33D69" w14:textId="114A361F" w:rsidR="00576BA2" w:rsidRPr="0029684D" w:rsidRDefault="008E4303" w:rsidP="00300F58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>P</w:t>
      </w:r>
      <w:r w:rsidR="00AC648E" w:rsidRPr="0029684D">
        <w:rPr>
          <w:sz w:val="22"/>
          <w:szCs w:val="22"/>
          <w:lang w:val="sk-SK" w:eastAsia="sk-SK"/>
        </w:rPr>
        <w:t>r</w:t>
      </w:r>
      <w:r w:rsidR="005C1402" w:rsidRPr="0029684D">
        <w:rPr>
          <w:sz w:val="22"/>
          <w:szCs w:val="22"/>
          <w:lang w:val="sk-SK" w:eastAsia="sk-SK"/>
        </w:rPr>
        <w:t>edávkov</w:t>
      </w:r>
      <w:r w:rsidR="00AC648E" w:rsidRPr="0029684D">
        <w:rPr>
          <w:sz w:val="22"/>
          <w:szCs w:val="22"/>
          <w:lang w:val="sk-SK" w:eastAsia="sk-SK"/>
        </w:rPr>
        <w:t>a</w:t>
      </w:r>
      <w:r w:rsidR="005C1402" w:rsidRPr="0029684D">
        <w:rPr>
          <w:sz w:val="22"/>
          <w:szCs w:val="22"/>
          <w:lang w:val="sk-SK" w:eastAsia="sk-SK"/>
        </w:rPr>
        <w:t>n</w:t>
      </w:r>
      <w:r w:rsidR="00AC648E" w:rsidRPr="0029684D">
        <w:rPr>
          <w:sz w:val="22"/>
          <w:szCs w:val="22"/>
          <w:lang w:val="sk-SK" w:eastAsia="sk-SK"/>
        </w:rPr>
        <w:t>ie</w:t>
      </w:r>
      <w:r w:rsidR="005C1402" w:rsidRPr="0029684D">
        <w:rPr>
          <w:sz w:val="22"/>
          <w:szCs w:val="22"/>
          <w:lang w:val="sk-SK" w:eastAsia="sk-SK"/>
        </w:rPr>
        <w:t xml:space="preserve"> </w:t>
      </w:r>
      <w:r w:rsidRPr="0029684D">
        <w:rPr>
          <w:sz w:val="22"/>
          <w:szCs w:val="22"/>
          <w:lang w:val="sk-SK" w:eastAsia="sk-SK"/>
        </w:rPr>
        <w:t>s</w:t>
      </w:r>
      <w:r w:rsidR="00AC648E" w:rsidRPr="0029684D">
        <w:rPr>
          <w:sz w:val="22"/>
          <w:szCs w:val="22"/>
          <w:lang w:val="sk-SK" w:eastAsia="sk-SK"/>
        </w:rPr>
        <w:t>a</w:t>
      </w:r>
      <w:r w:rsidRPr="0029684D">
        <w:rPr>
          <w:sz w:val="22"/>
          <w:szCs w:val="22"/>
          <w:lang w:val="sk-SK" w:eastAsia="sk-SK"/>
        </w:rPr>
        <w:t xml:space="preserve"> m</w:t>
      </w:r>
      <w:r w:rsidR="00AC648E" w:rsidRPr="0029684D">
        <w:rPr>
          <w:sz w:val="22"/>
          <w:szCs w:val="22"/>
          <w:lang w:val="sk-SK" w:eastAsia="sk-SK"/>
        </w:rPr>
        <w:t>ô</w:t>
      </w:r>
      <w:r w:rsidRPr="0029684D">
        <w:rPr>
          <w:sz w:val="22"/>
          <w:szCs w:val="22"/>
          <w:lang w:val="sk-SK" w:eastAsia="sk-SK"/>
        </w:rPr>
        <w:t>že pr</w:t>
      </w:r>
      <w:r w:rsidR="00AC648E" w:rsidRPr="0029684D">
        <w:rPr>
          <w:sz w:val="22"/>
          <w:szCs w:val="22"/>
          <w:lang w:val="sk-SK" w:eastAsia="sk-SK"/>
        </w:rPr>
        <w:t>e</w:t>
      </w:r>
      <w:r w:rsidRPr="0029684D">
        <w:rPr>
          <w:sz w:val="22"/>
          <w:szCs w:val="22"/>
          <w:lang w:val="sk-SK" w:eastAsia="sk-SK"/>
        </w:rPr>
        <w:t>j</w:t>
      </w:r>
      <w:r w:rsidR="00AC648E" w:rsidRPr="0029684D">
        <w:rPr>
          <w:sz w:val="22"/>
          <w:szCs w:val="22"/>
          <w:lang w:val="sk-SK" w:eastAsia="sk-SK"/>
        </w:rPr>
        <w:t>aviť</w:t>
      </w:r>
      <w:r w:rsidRPr="0029684D">
        <w:rPr>
          <w:sz w:val="22"/>
          <w:szCs w:val="22"/>
          <w:lang w:val="sk-SK" w:eastAsia="sk-SK"/>
        </w:rPr>
        <w:t xml:space="preserve"> ako </w:t>
      </w:r>
      <w:r w:rsidR="005C1402" w:rsidRPr="0029684D">
        <w:rPr>
          <w:sz w:val="22"/>
          <w:szCs w:val="22"/>
          <w:lang w:val="sk-SK" w:eastAsia="sk-SK"/>
        </w:rPr>
        <w:t>poruchy centráln</w:t>
      </w:r>
      <w:r w:rsidR="00AC648E" w:rsidRPr="0029684D">
        <w:rPr>
          <w:sz w:val="22"/>
          <w:szCs w:val="22"/>
          <w:lang w:val="sk-SK" w:eastAsia="sk-SK"/>
        </w:rPr>
        <w:t>e</w:t>
      </w:r>
      <w:r w:rsidR="005C1402" w:rsidRPr="0029684D">
        <w:rPr>
          <w:sz w:val="22"/>
          <w:szCs w:val="22"/>
          <w:lang w:val="sk-SK" w:eastAsia="sk-SK"/>
        </w:rPr>
        <w:t>ho nervového systému, nap</w:t>
      </w:r>
      <w:r w:rsidR="00AC648E" w:rsidRPr="0029684D">
        <w:rPr>
          <w:sz w:val="22"/>
          <w:szCs w:val="22"/>
          <w:lang w:val="sk-SK" w:eastAsia="sk-SK"/>
        </w:rPr>
        <w:t>r</w:t>
      </w:r>
      <w:r w:rsidR="005C1402" w:rsidRPr="0029684D">
        <w:rPr>
          <w:sz w:val="22"/>
          <w:szCs w:val="22"/>
          <w:lang w:val="sk-SK" w:eastAsia="sk-SK"/>
        </w:rPr>
        <w:t>íklad boles</w:t>
      </w:r>
      <w:r w:rsidR="00AC648E" w:rsidRPr="0029684D">
        <w:rPr>
          <w:sz w:val="22"/>
          <w:szCs w:val="22"/>
          <w:lang w:val="sk-SK" w:eastAsia="sk-SK"/>
        </w:rPr>
        <w:t>ť</w:t>
      </w:r>
      <w:r w:rsidR="005C1402" w:rsidRPr="0029684D">
        <w:rPr>
          <w:sz w:val="22"/>
          <w:szCs w:val="22"/>
          <w:lang w:val="sk-SK" w:eastAsia="sk-SK"/>
        </w:rPr>
        <w:t xml:space="preserve"> hlavy, závrat</w:t>
      </w:r>
      <w:r w:rsidR="00AC648E" w:rsidRPr="0029684D">
        <w:rPr>
          <w:sz w:val="22"/>
          <w:szCs w:val="22"/>
          <w:lang w:val="sk-SK" w:eastAsia="sk-SK"/>
        </w:rPr>
        <w:t>y</w:t>
      </w:r>
      <w:r w:rsidR="00B67845">
        <w:rPr>
          <w:sz w:val="22"/>
          <w:szCs w:val="22"/>
          <w:lang w:val="sk-SK" w:eastAsia="sk-SK"/>
        </w:rPr>
        <w:t>, točenie hlavy</w:t>
      </w:r>
      <w:r w:rsidR="005C1402" w:rsidRPr="0029684D">
        <w:rPr>
          <w:sz w:val="22"/>
          <w:szCs w:val="22"/>
          <w:lang w:val="sk-SK" w:eastAsia="sk-SK"/>
        </w:rPr>
        <w:t xml:space="preserve"> a bezv</w:t>
      </w:r>
      <w:r w:rsidR="00AC648E" w:rsidRPr="0029684D">
        <w:rPr>
          <w:sz w:val="22"/>
          <w:szCs w:val="22"/>
          <w:lang w:val="sk-SK" w:eastAsia="sk-SK"/>
        </w:rPr>
        <w:t>e</w:t>
      </w:r>
      <w:r w:rsidR="005C1402" w:rsidRPr="0029684D">
        <w:rPr>
          <w:sz w:val="22"/>
          <w:szCs w:val="22"/>
          <w:lang w:val="sk-SK" w:eastAsia="sk-SK"/>
        </w:rPr>
        <w:t>dom</w:t>
      </w:r>
      <w:r w:rsidR="00AC648E" w:rsidRPr="0029684D">
        <w:rPr>
          <w:sz w:val="22"/>
          <w:szCs w:val="22"/>
          <w:lang w:val="sk-SK" w:eastAsia="sk-SK"/>
        </w:rPr>
        <w:t>ie</w:t>
      </w:r>
      <w:r w:rsidR="005C1402" w:rsidRPr="0029684D">
        <w:rPr>
          <w:sz w:val="22"/>
          <w:szCs w:val="22"/>
          <w:lang w:val="sk-SK" w:eastAsia="sk-SK"/>
        </w:rPr>
        <w:t xml:space="preserve"> (u d</w:t>
      </w:r>
      <w:r w:rsidR="00AC648E" w:rsidRPr="0029684D">
        <w:rPr>
          <w:sz w:val="22"/>
          <w:szCs w:val="22"/>
          <w:lang w:val="sk-SK" w:eastAsia="sk-SK"/>
        </w:rPr>
        <w:t>e</w:t>
      </w:r>
      <w:r w:rsidR="005C1402" w:rsidRPr="0029684D">
        <w:rPr>
          <w:sz w:val="22"/>
          <w:szCs w:val="22"/>
          <w:lang w:val="sk-SK" w:eastAsia="sk-SK"/>
        </w:rPr>
        <w:t xml:space="preserve">tí </w:t>
      </w:r>
      <w:r w:rsidR="00AC648E" w:rsidRPr="0029684D">
        <w:rPr>
          <w:sz w:val="22"/>
          <w:szCs w:val="22"/>
          <w:lang w:val="sk-SK" w:eastAsia="sk-SK"/>
        </w:rPr>
        <w:t>aj</w:t>
      </w:r>
      <w:r w:rsidR="005C1402" w:rsidRPr="0029684D">
        <w:rPr>
          <w:sz w:val="22"/>
          <w:szCs w:val="22"/>
          <w:lang w:val="sk-SK" w:eastAsia="sk-SK"/>
        </w:rPr>
        <w:t xml:space="preserve"> myoklonické k</w:t>
      </w:r>
      <w:r w:rsidR="00AC648E" w:rsidRPr="0029684D">
        <w:rPr>
          <w:sz w:val="22"/>
          <w:szCs w:val="22"/>
          <w:lang w:val="sk-SK" w:eastAsia="sk-SK"/>
        </w:rPr>
        <w:t>ŕče</w:t>
      </w:r>
      <w:r w:rsidR="005C1402" w:rsidRPr="0029684D">
        <w:rPr>
          <w:sz w:val="22"/>
          <w:szCs w:val="22"/>
          <w:lang w:val="sk-SK" w:eastAsia="sk-SK"/>
        </w:rPr>
        <w:t xml:space="preserve">), ale </w:t>
      </w:r>
      <w:r w:rsidR="00AC648E" w:rsidRPr="0029684D">
        <w:rPr>
          <w:sz w:val="22"/>
          <w:szCs w:val="22"/>
          <w:lang w:val="sk-SK" w:eastAsia="sk-SK"/>
        </w:rPr>
        <w:t>aj</w:t>
      </w:r>
      <w:r w:rsidR="005C1402" w:rsidRPr="0029684D">
        <w:rPr>
          <w:sz w:val="22"/>
          <w:szCs w:val="22"/>
          <w:lang w:val="sk-SK" w:eastAsia="sk-SK"/>
        </w:rPr>
        <w:t xml:space="preserve"> boles</w:t>
      </w:r>
      <w:r w:rsidR="00AC648E" w:rsidRPr="0029684D">
        <w:rPr>
          <w:sz w:val="22"/>
          <w:szCs w:val="22"/>
          <w:lang w:val="sk-SK" w:eastAsia="sk-SK"/>
        </w:rPr>
        <w:t>ť</w:t>
      </w:r>
      <w:r w:rsidR="005C1402" w:rsidRPr="0029684D">
        <w:rPr>
          <w:sz w:val="22"/>
          <w:szCs w:val="22"/>
          <w:lang w:val="sk-SK" w:eastAsia="sk-SK"/>
        </w:rPr>
        <w:t xml:space="preserve"> b</w:t>
      </w:r>
      <w:r w:rsidR="00AC648E" w:rsidRPr="0029684D">
        <w:rPr>
          <w:sz w:val="22"/>
          <w:szCs w:val="22"/>
          <w:lang w:val="sk-SK" w:eastAsia="sk-SK"/>
        </w:rPr>
        <w:t>ru</w:t>
      </w:r>
      <w:r w:rsidR="005C1402" w:rsidRPr="0029684D">
        <w:rPr>
          <w:sz w:val="22"/>
          <w:szCs w:val="22"/>
          <w:lang w:val="sk-SK" w:eastAsia="sk-SK"/>
        </w:rPr>
        <w:t>cha, nauzea a</w:t>
      </w:r>
      <w:r w:rsidR="00AC648E" w:rsidRPr="0029684D">
        <w:rPr>
          <w:sz w:val="22"/>
          <w:szCs w:val="22"/>
          <w:lang w:val="sk-SK" w:eastAsia="sk-SK"/>
        </w:rPr>
        <w:t> v</w:t>
      </w:r>
      <w:r w:rsidR="005C1402" w:rsidRPr="0029684D">
        <w:rPr>
          <w:sz w:val="22"/>
          <w:szCs w:val="22"/>
          <w:lang w:val="sk-SK" w:eastAsia="sk-SK"/>
        </w:rPr>
        <w:t>rac</w:t>
      </w:r>
      <w:r w:rsidR="00AC648E" w:rsidRPr="0029684D">
        <w:rPr>
          <w:sz w:val="22"/>
          <w:szCs w:val="22"/>
          <w:lang w:val="sk-SK" w:eastAsia="sk-SK"/>
        </w:rPr>
        <w:t>a</w:t>
      </w:r>
      <w:r w:rsidR="005C1402" w:rsidRPr="0029684D">
        <w:rPr>
          <w:sz w:val="22"/>
          <w:szCs w:val="22"/>
          <w:lang w:val="sk-SK" w:eastAsia="sk-SK"/>
        </w:rPr>
        <w:t>n</w:t>
      </w:r>
      <w:r w:rsidR="00AC648E" w:rsidRPr="0029684D">
        <w:rPr>
          <w:sz w:val="22"/>
          <w:szCs w:val="22"/>
          <w:lang w:val="sk-SK" w:eastAsia="sk-SK"/>
        </w:rPr>
        <w:t>ie.</w:t>
      </w:r>
      <w:r w:rsidR="00576BA2" w:rsidRPr="0029684D">
        <w:rPr>
          <w:sz w:val="22"/>
          <w:szCs w:val="22"/>
          <w:lang w:val="sk-SK" w:eastAsia="sk-SK"/>
        </w:rPr>
        <w:t xml:space="preserve"> </w:t>
      </w:r>
      <w:r w:rsidR="00AC648E" w:rsidRPr="0029684D">
        <w:rPr>
          <w:sz w:val="22"/>
          <w:szCs w:val="22"/>
          <w:lang w:val="sk-SK" w:eastAsia="sk-SK"/>
        </w:rPr>
        <w:t>Okrem</w:t>
      </w:r>
      <w:r w:rsidR="005C1402" w:rsidRPr="0029684D">
        <w:rPr>
          <w:sz w:val="22"/>
          <w:szCs w:val="22"/>
          <w:lang w:val="sk-SK" w:eastAsia="sk-SK"/>
        </w:rPr>
        <w:t xml:space="preserve"> toho s</w:t>
      </w:r>
      <w:r w:rsidR="00AC648E" w:rsidRPr="0029684D">
        <w:rPr>
          <w:sz w:val="22"/>
          <w:szCs w:val="22"/>
          <w:lang w:val="sk-SK" w:eastAsia="sk-SK"/>
        </w:rPr>
        <w:t>a</w:t>
      </w:r>
      <w:r w:rsidR="005C1402" w:rsidRPr="0029684D">
        <w:rPr>
          <w:sz w:val="22"/>
          <w:szCs w:val="22"/>
          <w:lang w:val="sk-SK" w:eastAsia="sk-SK"/>
        </w:rPr>
        <w:t xml:space="preserve"> m</w:t>
      </w:r>
      <w:r w:rsidR="00AC648E" w:rsidRPr="0029684D">
        <w:rPr>
          <w:sz w:val="22"/>
          <w:szCs w:val="22"/>
          <w:lang w:val="sk-SK" w:eastAsia="sk-SK"/>
        </w:rPr>
        <w:t>ô</w:t>
      </w:r>
      <w:r w:rsidR="005C1402" w:rsidRPr="0029684D">
        <w:rPr>
          <w:sz w:val="22"/>
          <w:szCs w:val="22"/>
          <w:lang w:val="sk-SK" w:eastAsia="sk-SK"/>
        </w:rPr>
        <w:t>že vyskytn</w:t>
      </w:r>
      <w:r w:rsidR="00AC648E" w:rsidRPr="0029684D">
        <w:rPr>
          <w:sz w:val="22"/>
          <w:szCs w:val="22"/>
          <w:lang w:val="sk-SK" w:eastAsia="sk-SK"/>
        </w:rPr>
        <w:t>úť</w:t>
      </w:r>
      <w:r w:rsidR="005C1402" w:rsidRPr="0029684D">
        <w:rPr>
          <w:sz w:val="22"/>
          <w:szCs w:val="22"/>
          <w:lang w:val="sk-SK" w:eastAsia="sk-SK"/>
        </w:rPr>
        <w:t xml:space="preserve"> gastrointestináln</w:t>
      </w:r>
      <w:r w:rsidR="00AC648E" w:rsidRPr="0029684D">
        <w:rPr>
          <w:sz w:val="22"/>
          <w:szCs w:val="22"/>
          <w:lang w:val="sk-SK" w:eastAsia="sk-SK"/>
        </w:rPr>
        <w:t>e</w:t>
      </w:r>
      <w:r w:rsidR="005C1402" w:rsidRPr="0029684D">
        <w:rPr>
          <w:sz w:val="22"/>
          <w:szCs w:val="22"/>
          <w:lang w:val="sk-SK" w:eastAsia="sk-SK"/>
        </w:rPr>
        <w:t xml:space="preserve"> krvác</w:t>
      </w:r>
      <w:r w:rsidR="00AC648E" w:rsidRPr="0029684D">
        <w:rPr>
          <w:sz w:val="22"/>
          <w:szCs w:val="22"/>
          <w:lang w:val="sk-SK" w:eastAsia="sk-SK"/>
        </w:rPr>
        <w:t>a</w:t>
      </w:r>
      <w:r w:rsidR="005C1402" w:rsidRPr="0029684D">
        <w:rPr>
          <w:sz w:val="22"/>
          <w:szCs w:val="22"/>
          <w:lang w:val="sk-SK" w:eastAsia="sk-SK"/>
        </w:rPr>
        <w:t>n</w:t>
      </w:r>
      <w:r w:rsidR="00AC648E" w:rsidRPr="0029684D">
        <w:rPr>
          <w:sz w:val="22"/>
          <w:szCs w:val="22"/>
          <w:lang w:val="sk-SK" w:eastAsia="sk-SK"/>
        </w:rPr>
        <w:t>ie</w:t>
      </w:r>
      <w:r w:rsidR="005C1402" w:rsidRPr="0029684D">
        <w:rPr>
          <w:sz w:val="22"/>
          <w:szCs w:val="22"/>
          <w:lang w:val="sk-SK" w:eastAsia="sk-SK"/>
        </w:rPr>
        <w:t xml:space="preserve"> </w:t>
      </w:r>
      <w:r w:rsidR="00B67845">
        <w:rPr>
          <w:sz w:val="22"/>
          <w:szCs w:val="22"/>
          <w:lang w:val="sk-SK" w:eastAsia="sk-SK"/>
        </w:rPr>
        <w:t>aj</w:t>
      </w:r>
      <w:r w:rsidR="005C1402" w:rsidRPr="0029684D">
        <w:rPr>
          <w:sz w:val="22"/>
          <w:szCs w:val="22"/>
          <w:lang w:val="sk-SK" w:eastAsia="sk-SK"/>
        </w:rPr>
        <w:t xml:space="preserve"> funkčn</w:t>
      </w:r>
      <w:r w:rsidR="00AC648E" w:rsidRPr="0029684D">
        <w:rPr>
          <w:sz w:val="22"/>
          <w:szCs w:val="22"/>
          <w:lang w:val="sk-SK" w:eastAsia="sk-SK"/>
        </w:rPr>
        <w:t>é</w:t>
      </w:r>
      <w:r w:rsidR="005C1402" w:rsidRPr="0029684D">
        <w:rPr>
          <w:sz w:val="22"/>
          <w:szCs w:val="22"/>
          <w:lang w:val="sk-SK" w:eastAsia="sk-SK"/>
        </w:rPr>
        <w:t xml:space="preserve"> poruchy </w:t>
      </w:r>
      <w:r w:rsidR="00AC648E" w:rsidRPr="0029684D">
        <w:rPr>
          <w:sz w:val="22"/>
          <w:szCs w:val="22"/>
          <w:lang w:val="sk-SK" w:eastAsia="sk-SK"/>
        </w:rPr>
        <w:t>pečene a obličiek</w:t>
      </w:r>
      <w:r w:rsidR="005C1402" w:rsidRPr="0029684D">
        <w:rPr>
          <w:sz w:val="22"/>
          <w:szCs w:val="22"/>
          <w:lang w:val="sk-SK" w:eastAsia="sk-SK"/>
        </w:rPr>
        <w:t>.</w:t>
      </w:r>
      <w:r w:rsidR="00576BA2" w:rsidRPr="0029684D">
        <w:rPr>
          <w:sz w:val="22"/>
          <w:szCs w:val="22"/>
          <w:lang w:val="sk-SK" w:eastAsia="sk-SK"/>
        </w:rPr>
        <w:t xml:space="preserve"> </w:t>
      </w:r>
      <w:r w:rsidR="00AC648E" w:rsidRPr="0029684D">
        <w:rPr>
          <w:sz w:val="22"/>
          <w:szCs w:val="22"/>
          <w:lang w:val="sk-SK" w:eastAsia="sk-SK"/>
        </w:rPr>
        <w:t>Môže sa vyskytnúť aj hypotenzia, respiračná depresia a cyanóza</w:t>
      </w:r>
      <w:r w:rsidR="005C1402" w:rsidRPr="0029684D">
        <w:rPr>
          <w:sz w:val="22"/>
          <w:szCs w:val="22"/>
          <w:lang w:val="sk-SK" w:eastAsia="sk-SK"/>
        </w:rPr>
        <w:t>.</w:t>
      </w:r>
    </w:p>
    <w:p w14:paraId="3687AE6D" w14:textId="77777777" w:rsidR="00576BA2" w:rsidRPr="0029684D" w:rsidRDefault="00576BA2" w:rsidP="00542FCE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</w:p>
    <w:p w14:paraId="0E3B57CE" w14:textId="1AB399EF" w:rsidR="00142208" w:rsidRPr="0029684D" w:rsidRDefault="00BE7EED" w:rsidP="00712E4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Keďže</w:t>
      </w:r>
      <w:r w:rsidR="005C1402" w:rsidRPr="0029684D">
        <w:rPr>
          <w:sz w:val="22"/>
          <w:szCs w:val="22"/>
          <w:lang w:val="sk-SK"/>
        </w:rPr>
        <w:t xml:space="preserve"> </w:t>
      </w:r>
      <w:r w:rsidR="00AC648E" w:rsidRPr="0029684D">
        <w:rPr>
          <w:sz w:val="22"/>
          <w:szCs w:val="22"/>
          <w:lang w:val="sk-SK"/>
        </w:rPr>
        <w:t>liek</w:t>
      </w:r>
      <w:r w:rsidR="005C1402" w:rsidRPr="0029684D">
        <w:rPr>
          <w:sz w:val="22"/>
          <w:szCs w:val="22"/>
          <w:lang w:val="sk-SK"/>
        </w:rPr>
        <w:t xml:space="preserve"> obsahuje glycerol, kt</w:t>
      </w:r>
      <w:r w:rsidR="00AC648E" w:rsidRPr="0029684D">
        <w:rPr>
          <w:sz w:val="22"/>
          <w:szCs w:val="22"/>
          <w:lang w:val="sk-SK"/>
        </w:rPr>
        <w:t>or</w:t>
      </w:r>
      <w:r w:rsidR="005C1402" w:rsidRPr="0029684D">
        <w:rPr>
          <w:sz w:val="22"/>
          <w:szCs w:val="22"/>
          <w:lang w:val="sk-SK"/>
        </w:rPr>
        <w:t>ý v</w:t>
      </w:r>
      <w:r w:rsidR="00AC648E" w:rsidRPr="0029684D">
        <w:rPr>
          <w:sz w:val="22"/>
          <w:szCs w:val="22"/>
          <w:lang w:val="sk-SK"/>
        </w:rPr>
        <w:t>o</w:t>
      </w:r>
      <w:r w:rsidR="005C1402" w:rsidRPr="0029684D">
        <w:rPr>
          <w:sz w:val="22"/>
          <w:szCs w:val="22"/>
          <w:lang w:val="sk-SK"/>
        </w:rPr>
        <w:t xml:space="preserve"> vysokých dávk</w:t>
      </w:r>
      <w:r w:rsidR="00AC648E" w:rsidRPr="0029684D">
        <w:rPr>
          <w:sz w:val="22"/>
          <w:szCs w:val="22"/>
          <w:lang w:val="sk-SK"/>
        </w:rPr>
        <w:t>a</w:t>
      </w:r>
      <w:r w:rsidR="005C1402" w:rsidRPr="0029684D">
        <w:rPr>
          <w:sz w:val="22"/>
          <w:szCs w:val="22"/>
          <w:lang w:val="sk-SK"/>
        </w:rPr>
        <w:t>ch m</w:t>
      </w:r>
      <w:r w:rsidR="00AC648E" w:rsidRPr="0029684D">
        <w:rPr>
          <w:sz w:val="22"/>
          <w:szCs w:val="22"/>
          <w:lang w:val="sk-SK"/>
        </w:rPr>
        <w:t>ô</w:t>
      </w:r>
      <w:r w:rsidR="005C1402" w:rsidRPr="0029684D">
        <w:rPr>
          <w:sz w:val="22"/>
          <w:szCs w:val="22"/>
          <w:lang w:val="sk-SK"/>
        </w:rPr>
        <w:t xml:space="preserve">že </w:t>
      </w:r>
      <w:r w:rsidR="00AC648E" w:rsidRPr="0029684D">
        <w:rPr>
          <w:sz w:val="22"/>
          <w:szCs w:val="22"/>
          <w:lang w:val="sk-SK"/>
        </w:rPr>
        <w:t>spôsobiť</w:t>
      </w:r>
      <w:r w:rsidR="005C1402" w:rsidRPr="0029684D">
        <w:rPr>
          <w:sz w:val="22"/>
          <w:szCs w:val="22"/>
          <w:lang w:val="sk-SK"/>
        </w:rPr>
        <w:t xml:space="preserve"> boles</w:t>
      </w:r>
      <w:r w:rsidR="00AC648E" w:rsidRPr="0029684D">
        <w:rPr>
          <w:sz w:val="22"/>
          <w:szCs w:val="22"/>
          <w:lang w:val="sk-SK"/>
        </w:rPr>
        <w:t>ť</w:t>
      </w:r>
      <w:r w:rsidR="005C1402" w:rsidRPr="0029684D">
        <w:rPr>
          <w:sz w:val="22"/>
          <w:szCs w:val="22"/>
          <w:lang w:val="sk-SK"/>
        </w:rPr>
        <w:t xml:space="preserve"> hlavy, podrážd</w:t>
      </w:r>
      <w:r w:rsidR="00AC648E" w:rsidRPr="0029684D">
        <w:rPr>
          <w:sz w:val="22"/>
          <w:szCs w:val="22"/>
          <w:lang w:val="sk-SK"/>
        </w:rPr>
        <w:t>e</w:t>
      </w:r>
      <w:r w:rsidR="005C1402" w:rsidRPr="0029684D">
        <w:rPr>
          <w:sz w:val="22"/>
          <w:szCs w:val="22"/>
          <w:lang w:val="sk-SK"/>
        </w:rPr>
        <w:t>n</w:t>
      </w:r>
      <w:r w:rsidR="00AC648E" w:rsidRPr="0029684D">
        <w:rPr>
          <w:sz w:val="22"/>
          <w:szCs w:val="22"/>
          <w:lang w:val="sk-SK"/>
        </w:rPr>
        <w:t>ie</w:t>
      </w:r>
      <w:r w:rsidR="005C1402" w:rsidRPr="0029684D">
        <w:rPr>
          <w:sz w:val="22"/>
          <w:szCs w:val="22"/>
          <w:lang w:val="sk-SK"/>
        </w:rPr>
        <w:t xml:space="preserve"> žal</w:t>
      </w:r>
      <w:r w:rsidR="00AC648E" w:rsidRPr="0029684D">
        <w:rPr>
          <w:sz w:val="22"/>
          <w:szCs w:val="22"/>
          <w:lang w:val="sk-SK"/>
        </w:rPr>
        <w:t>ú</w:t>
      </w:r>
      <w:r w:rsidR="005C1402" w:rsidRPr="0029684D">
        <w:rPr>
          <w:sz w:val="22"/>
          <w:szCs w:val="22"/>
          <w:lang w:val="sk-SK"/>
        </w:rPr>
        <w:t>dk</w:t>
      </w:r>
      <w:r w:rsidR="00AC648E" w:rsidRPr="0029684D">
        <w:rPr>
          <w:sz w:val="22"/>
          <w:szCs w:val="22"/>
          <w:lang w:val="sk-SK"/>
        </w:rPr>
        <w:t>a</w:t>
      </w:r>
      <w:r w:rsidR="005C1402" w:rsidRPr="0029684D">
        <w:rPr>
          <w:sz w:val="22"/>
          <w:szCs w:val="22"/>
          <w:lang w:val="sk-SK"/>
        </w:rPr>
        <w:t xml:space="preserve"> (dyspepsi</w:t>
      </w:r>
      <w:r w:rsidR="00AC648E" w:rsidRPr="0029684D">
        <w:rPr>
          <w:sz w:val="22"/>
          <w:szCs w:val="22"/>
          <w:lang w:val="sk-SK"/>
        </w:rPr>
        <w:t>u</w:t>
      </w:r>
      <w:r w:rsidR="005C1402" w:rsidRPr="0029684D">
        <w:rPr>
          <w:sz w:val="22"/>
          <w:szCs w:val="22"/>
          <w:lang w:val="sk-SK"/>
        </w:rPr>
        <w:t xml:space="preserve">) a </w:t>
      </w:r>
      <w:r w:rsidR="00AC648E" w:rsidRPr="0029684D">
        <w:rPr>
          <w:sz w:val="22"/>
          <w:szCs w:val="22"/>
          <w:lang w:val="sk-SK"/>
        </w:rPr>
        <w:t>hnačku</w:t>
      </w:r>
      <w:r w:rsidR="005C1402" w:rsidRPr="0029684D">
        <w:rPr>
          <w:sz w:val="22"/>
          <w:szCs w:val="22"/>
          <w:lang w:val="sk-SK"/>
        </w:rPr>
        <w:t xml:space="preserve">, </w:t>
      </w:r>
      <w:r w:rsidR="00AC648E" w:rsidRPr="0029684D">
        <w:rPr>
          <w:sz w:val="22"/>
          <w:szCs w:val="22"/>
          <w:lang w:val="sk-SK"/>
        </w:rPr>
        <w:t>tie</w:t>
      </w:r>
      <w:r w:rsidR="005C1402" w:rsidRPr="0029684D">
        <w:rPr>
          <w:sz w:val="22"/>
          <w:szCs w:val="22"/>
          <w:lang w:val="sk-SK"/>
        </w:rPr>
        <w:t>to sympt</w:t>
      </w:r>
      <w:r w:rsidR="00AC648E" w:rsidRPr="0029684D">
        <w:rPr>
          <w:sz w:val="22"/>
          <w:szCs w:val="22"/>
          <w:lang w:val="sk-SK"/>
        </w:rPr>
        <w:t>ó</w:t>
      </w:r>
      <w:r w:rsidR="005C1402" w:rsidRPr="0029684D">
        <w:rPr>
          <w:sz w:val="22"/>
          <w:szCs w:val="22"/>
          <w:lang w:val="sk-SK"/>
        </w:rPr>
        <w:t xml:space="preserve">my </w:t>
      </w:r>
      <w:r w:rsidR="00DF7879">
        <w:rPr>
          <w:sz w:val="22"/>
          <w:szCs w:val="22"/>
          <w:lang w:val="sk-SK"/>
        </w:rPr>
        <w:t>sa môžu</w:t>
      </w:r>
      <w:r w:rsidR="00AC648E" w:rsidRPr="0029684D">
        <w:rPr>
          <w:sz w:val="22"/>
          <w:szCs w:val="22"/>
          <w:lang w:val="sk-SK"/>
        </w:rPr>
        <w:t xml:space="preserve"> </w:t>
      </w:r>
      <w:r w:rsidR="00B67845">
        <w:rPr>
          <w:sz w:val="22"/>
          <w:szCs w:val="22"/>
          <w:lang w:val="sk-SK"/>
        </w:rPr>
        <w:t xml:space="preserve">pri </w:t>
      </w:r>
      <w:r w:rsidR="00AC648E" w:rsidRPr="0029684D">
        <w:rPr>
          <w:sz w:val="22"/>
          <w:szCs w:val="22"/>
          <w:lang w:val="sk-SK"/>
        </w:rPr>
        <w:t>predávkovaní</w:t>
      </w:r>
      <w:r w:rsidR="005C1402" w:rsidRPr="0029684D">
        <w:rPr>
          <w:sz w:val="22"/>
          <w:szCs w:val="22"/>
          <w:lang w:val="sk-SK"/>
        </w:rPr>
        <w:t xml:space="preserve"> </w:t>
      </w:r>
      <w:r w:rsidR="00E6195C" w:rsidRPr="0029684D">
        <w:rPr>
          <w:sz w:val="22"/>
          <w:szCs w:val="22"/>
          <w:lang w:val="sk-SK"/>
        </w:rPr>
        <w:t>Ibalgin</w:t>
      </w:r>
      <w:r w:rsidR="00B67845">
        <w:rPr>
          <w:sz w:val="22"/>
          <w:szCs w:val="22"/>
          <w:lang w:val="sk-SK"/>
        </w:rPr>
        <w:t>om</w:t>
      </w:r>
      <w:r w:rsidR="00E6195C" w:rsidRPr="0029684D">
        <w:rPr>
          <w:sz w:val="22"/>
          <w:szCs w:val="22"/>
          <w:lang w:val="sk-SK"/>
        </w:rPr>
        <w:t xml:space="preserve"> Junior</w:t>
      </w:r>
      <w:r w:rsidR="00142208" w:rsidRPr="0029684D">
        <w:rPr>
          <w:sz w:val="22"/>
          <w:szCs w:val="22"/>
          <w:lang w:val="sk-SK"/>
        </w:rPr>
        <w:t xml:space="preserve"> 200 mg</w:t>
      </w:r>
      <w:r w:rsidR="00B67845">
        <w:rPr>
          <w:sz w:val="22"/>
          <w:szCs w:val="22"/>
          <w:lang w:val="sk-SK"/>
        </w:rPr>
        <w:t xml:space="preserve"> vystupňovať</w:t>
      </w:r>
      <w:r w:rsidR="005C1402" w:rsidRPr="0029684D">
        <w:rPr>
          <w:rFonts w:eastAsia="Times New Roman"/>
          <w:sz w:val="22"/>
          <w:szCs w:val="22"/>
          <w:lang w:val="cs-CZ" w:eastAsia="cs-CZ"/>
        </w:rPr>
        <w:t>.</w:t>
      </w:r>
    </w:p>
    <w:p w14:paraId="15A422E6" w14:textId="77777777" w:rsidR="00142208" w:rsidRPr="0029684D" w:rsidRDefault="00142208" w:rsidP="00D22436">
      <w:pPr>
        <w:spacing w:after="0"/>
        <w:jc w:val="left"/>
        <w:rPr>
          <w:sz w:val="22"/>
          <w:szCs w:val="22"/>
          <w:lang w:val="sk-SK"/>
        </w:rPr>
      </w:pPr>
    </w:p>
    <w:p w14:paraId="54DB99B6" w14:textId="77777777" w:rsidR="00576BA2" w:rsidRPr="0029684D" w:rsidRDefault="005C1402" w:rsidP="00025179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L</w:t>
      </w:r>
      <w:r w:rsidR="00AA7FAA" w:rsidRPr="0029684D">
        <w:rPr>
          <w:sz w:val="22"/>
          <w:szCs w:val="22"/>
          <w:u w:val="single"/>
          <w:lang w:val="sk-SK"/>
        </w:rPr>
        <w:t>ie</w:t>
      </w:r>
      <w:r w:rsidRPr="0029684D">
        <w:rPr>
          <w:sz w:val="22"/>
          <w:szCs w:val="22"/>
          <w:u w:val="single"/>
          <w:lang w:val="sk-SK"/>
        </w:rPr>
        <w:t>čba</w:t>
      </w:r>
    </w:p>
    <w:p w14:paraId="07A4B1E3" w14:textId="77777777" w:rsidR="00F15F3D" w:rsidRPr="0029684D" w:rsidRDefault="005C1402" w:rsidP="007046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>Pacient musí b</w:t>
      </w:r>
      <w:r w:rsidR="00EC6FE2" w:rsidRPr="0029684D">
        <w:rPr>
          <w:sz w:val="22"/>
          <w:szCs w:val="22"/>
          <w:lang w:val="sk-SK" w:eastAsia="sk-SK"/>
        </w:rPr>
        <w:t>yť</w:t>
      </w:r>
      <w:r w:rsidRPr="0029684D">
        <w:rPr>
          <w:sz w:val="22"/>
          <w:szCs w:val="22"/>
          <w:lang w:val="sk-SK" w:eastAsia="sk-SK"/>
        </w:rPr>
        <w:t xml:space="preserve"> ihne</w:t>
      </w:r>
      <w:r w:rsidR="00EC6FE2" w:rsidRPr="0029684D">
        <w:rPr>
          <w:sz w:val="22"/>
          <w:szCs w:val="22"/>
          <w:lang w:val="sk-SK" w:eastAsia="sk-SK"/>
        </w:rPr>
        <w:t>ď</w:t>
      </w:r>
      <w:r w:rsidRPr="0029684D">
        <w:rPr>
          <w:sz w:val="22"/>
          <w:szCs w:val="22"/>
          <w:lang w:val="sk-SK" w:eastAsia="sk-SK"/>
        </w:rPr>
        <w:t xml:space="preserve"> p</w:t>
      </w:r>
      <w:r w:rsidR="00EC6FE2" w:rsidRPr="0029684D">
        <w:rPr>
          <w:sz w:val="22"/>
          <w:szCs w:val="22"/>
          <w:lang w:val="sk-SK" w:eastAsia="sk-SK"/>
        </w:rPr>
        <w:t>r</w:t>
      </w:r>
      <w:r w:rsidRPr="0029684D">
        <w:rPr>
          <w:sz w:val="22"/>
          <w:szCs w:val="22"/>
          <w:lang w:val="sk-SK" w:eastAsia="sk-SK"/>
        </w:rPr>
        <w:t>evezen</w:t>
      </w:r>
      <w:r w:rsidR="00EC6FE2" w:rsidRPr="0029684D">
        <w:rPr>
          <w:sz w:val="22"/>
          <w:szCs w:val="22"/>
          <w:lang w:val="sk-SK" w:eastAsia="sk-SK"/>
        </w:rPr>
        <w:t>ý</w:t>
      </w:r>
      <w:r w:rsidRPr="0029684D">
        <w:rPr>
          <w:sz w:val="22"/>
          <w:szCs w:val="22"/>
          <w:lang w:val="sk-SK" w:eastAsia="sk-SK"/>
        </w:rPr>
        <w:t xml:space="preserve"> do nemocnice.</w:t>
      </w:r>
    </w:p>
    <w:p w14:paraId="544911FA" w14:textId="77777777" w:rsidR="00576BA2" w:rsidRPr="0029684D" w:rsidRDefault="00EC6FE2" w:rsidP="00185F2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>Neexistuje žiadne špecifické antidotum</w:t>
      </w:r>
      <w:r w:rsidR="005C1402" w:rsidRPr="0029684D">
        <w:rPr>
          <w:sz w:val="22"/>
          <w:szCs w:val="22"/>
          <w:lang w:val="sk-SK" w:eastAsia="sk-SK"/>
        </w:rPr>
        <w:t>.</w:t>
      </w:r>
    </w:p>
    <w:p w14:paraId="12438CB9" w14:textId="76FB5077" w:rsidR="00576BA2" w:rsidRPr="0029684D" w:rsidRDefault="00EC6FE2" w:rsidP="00D14BB2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 w:eastAsia="sk-SK"/>
        </w:rPr>
        <w:t>Terapeutické možnosti na liečbu intoxikácie sú dané rozsahom, úrovňou a klinickými príznakmi v súlade s</w:t>
      </w:r>
      <w:r w:rsidR="00B01C2F">
        <w:rPr>
          <w:sz w:val="22"/>
          <w:szCs w:val="22"/>
          <w:lang w:val="sk-SK" w:eastAsia="sk-SK"/>
        </w:rPr>
        <w:t>o zvyčajnými opatreniami v</w:t>
      </w:r>
      <w:r w:rsidR="00FB42B2">
        <w:rPr>
          <w:sz w:val="22"/>
          <w:szCs w:val="22"/>
          <w:lang w:val="sk-SK" w:eastAsia="sk-SK"/>
        </w:rPr>
        <w:t> </w:t>
      </w:r>
      <w:r w:rsidR="00B01C2F">
        <w:rPr>
          <w:sz w:val="22"/>
          <w:szCs w:val="22"/>
          <w:lang w:val="sk-SK" w:eastAsia="sk-SK"/>
        </w:rPr>
        <w:t>rámci</w:t>
      </w:r>
      <w:r w:rsidR="00FB42B2">
        <w:rPr>
          <w:sz w:val="22"/>
          <w:szCs w:val="22"/>
          <w:lang w:val="sk-SK" w:eastAsia="sk-SK"/>
        </w:rPr>
        <w:t xml:space="preserve"> </w:t>
      </w:r>
      <w:r w:rsidRPr="0029684D">
        <w:rPr>
          <w:sz w:val="22"/>
          <w:szCs w:val="22"/>
          <w:lang w:val="sk-SK" w:eastAsia="sk-SK"/>
        </w:rPr>
        <w:t>intenzívnej starostlivosti</w:t>
      </w:r>
      <w:r w:rsidR="005C1402" w:rsidRPr="0029684D">
        <w:rPr>
          <w:sz w:val="22"/>
          <w:szCs w:val="22"/>
          <w:lang w:val="sk-SK" w:eastAsia="sk-SK"/>
        </w:rPr>
        <w:t>.</w:t>
      </w:r>
    </w:p>
    <w:p w14:paraId="447A5412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23F81F97" w14:textId="77777777" w:rsidR="00467218" w:rsidRPr="0029684D" w:rsidRDefault="00467218" w:rsidP="000A3637">
      <w:pPr>
        <w:spacing w:after="0"/>
        <w:jc w:val="left"/>
        <w:rPr>
          <w:sz w:val="22"/>
          <w:szCs w:val="22"/>
          <w:lang w:val="sk-SK"/>
        </w:rPr>
      </w:pPr>
    </w:p>
    <w:p w14:paraId="00E0B0A9" w14:textId="77777777" w:rsidR="005C1402" w:rsidRPr="003A721A" w:rsidRDefault="005C1402" w:rsidP="00F46910">
      <w:pPr>
        <w:pStyle w:val="Nadpis2"/>
      </w:pPr>
      <w:r w:rsidRPr="003A721A">
        <w:t>FARMAKOLOGICKÉ VLASTNOSTI</w:t>
      </w:r>
    </w:p>
    <w:p w14:paraId="46E5FDD7" w14:textId="77777777" w:rsidR="00467218" w:rsidRPr="0029684D" w:rsidRDefault="00467218" w:rsidP="00E44A68">
      <w:pPr>
        <w:spacing w:after="0"/>
        <w:jc w:val="left"/>
        <w:rPr>
          <w:sz w:val="22"/>
          <w:szCs w:val="22"/>
          <w:lang w:val="sk-SK"/>
        </w:rPr>
      </w:pPr>
    </w:p>
    <w:p w14:paraId="0047EEA9" w14:textId="77777777" w:rsidR="00467218" w:rsidRPr="0029684D" w:rsidRDefault="00467218" w:rsidP="00E44A6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5.1</w:t>
      </w:r>
      <w:r w:rsidRPr="0029684D">
        <w:rPr>
          <w:b/>
          <w:sz w:val="22"/>
          <w:szCs w:val="22"/>
          <w:lang w:val="sk-SK"/>
        </w:rPr>
        <w:tab/>
      </w:r>
      <w:r w:rsidR="005C1402" w:rsidRPr="0029684D">
        <w:rPr>
          <w:b/>
          <w:sz w:val="22"/>
          <w:szCs w:val="22"/>
          <w:lang w:val="sk-SK"/>
        </w:rPr>
        <w:t>Farmakodynamické vlastnosti</w:t>
      </w:r>
    </w:p>
    <w:p w14:paraId="629B8842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03C73508" w14:textId="77777777" w:rsidR="00142208" w:rsidRPr="003A721A" w:rsidRDefault="00EC6FE2" w:rsidP="00BA5546">
      <w:pPr>
        <w:spacing w:after="0"/>
        <w:jc w:val="left"/>
        <w:rPr>
          <w:sz w:val="22"/>
          <w:szCs w:val="22"/>
        </w:rPr>
      </w:pPr>
      <w:r w:rsidRPr="0029684D">
        <w:rPr>
          <w:sz w:val="22"/>
          <w:szCs w:val="22"/>
          <w:lang w:val="sk-SK"/>
        </w:rPr>
        <w:t xml:space="preserve">Farmakoterapeutická skupina: </w:t>
      </w:r>
      <w:r w:rsidR="00142208" w:rsidRPr="003A721A">
        <w:rPr>
          <w:sz w:val="22"/>
          <w:szCs w:val="22"/>
        </w:rPr>
        <w:t>antiflogistiká a antireumatiká, deriváty kyseliny propiónovej.</w:t>
      </w:r>
    </w:p>
    <w:p w14:paraId="0C4A28BC" w14:textId="77777777" w:rsidR="00142208" w:rsidRPr="00AA245A" w:rsidRDefault="00142208" w:rsidP="00BA5546">
      <w:pPr>
        <w:spacing w:after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>ATC kód: M01AE01.</w:t>
      </w:r>
    </w:p>
    <w:p w14:paraId="140969F3" w14:textId="77777777" w:rsidR="00142208" w:rsidRPr="00AA245A" w:rsidRDefault="00142208" w:rsidP="00BA5546">
      <w:pPr>
        <w:spacing w:after="0"/>
        <w:jc w:val="left"/>
        <w:rPr>
          <w:sz w:val="22"/>
          <w:szCs w:val="22"/>
        </w:rPr>
      </w:pPr>
    </w:p>
    <w:p w14:paraId="483244DA" w14:textId="77777777" w:rsidR="00467218" w:rsidRPr="0029684D" w:rsidRDefault="00467218" w:rsidP="00230813">
      <w:pPr>
        <w:spacing w:after="0"/>
        <w:jc w:val="left"/>
        <w:rPr>
          <w:sz w:val="22"/>
          <w:szCs w:val="22"/>
          <w:highlight w:val="yellow"/>
          <w:lang w:val="sk-SK"/>
        </w:rPr>
      </w:pPr>
    </w:p>
    <w:p w14:paraId="5B8909CE" w14:textId="77777777" w:rsidR="007D7AE4" w:rsidRPr="00E6202C" w:rsidRDefault="007D7AE4" w:rsidP="00300F58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Ibuprofen je nesteroidné protizápalové liečivo</w:t>
      </w:r>
      <w:r w:rsidRPr="00E6202C">
        <w:rPr>
          <w:sz w:val="22"/>
          <w:szCs w:val="22"/>
        </w:rPr>
        <w:t xml:space="preserve">, pri ktorom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na základe experimentov na konvenčných modeloch zápalu na zvieratách preukázalo, že jeho účinok spočíva v inhibícii syntézy prostaglandínov. U ľudí má ibuprofen antipyretický účinok, znižuje opuch a bolesť spôsobenú zápalom. Okrem toho reverzibilne inhibuje ADP a kolagénom indukovanú agregáciu krvných doštičiek.</w:t>
      </w:r>
    </w:p>
    <w:p w14:paraId="334A11FB" w14:textId="77777777" w:rsidR="007D7AE4" w:rsidRPr="00E6202C" w:rsidRDefault="007D7AE4" w:rsidP="00300F58">
      <w:pPr>
        <w:spacing w:after="0"/>
        <w:jc w:val="left"/>
        <w:rPr>
          <w:sz w:val="22"/>
          <w:szCs w:val="22"/>
        </w:rPr>
      </w:pPr>
    </w:p>
    <w:p w14:paraId="3BA0A479" w14:textId="77777777" w:rsidR="007D7AE4" w:rsidRPr="00E6202C" w:rsidRDefault="007D7AE4" w:rsidP="00300F5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Experimentálne údaje naznačujú, že ibuprofen môže inhibovať účinok nízkej dávky kyseliny acetylsalicylovej </w:t>
      </w:r>
      <w:proofErr w:type="gramStart"/>
      <w:r w:rsidRPr="00E6202C">
        <w:rPr>
          <w:sz w:val="22"/>
          <w:szCs w:val="22"/>
        </w:rPr>
        <w:t>na</w:t>
      </w:r>
      <w:proofErr w:type="gramEnd"/>
      <w:r w:rsidRPr="00E6202C">
        <w:rPr>
          <w:sz w:val="22"/>
          <w:szCs w:val="22"/>
        </w:rPr>
        <w:t xml:space="preserve"> agregáciu krvných doštičiek, ak sa podávajú súbežne. Niektoré farmakodynamické štúdie preukázali, že ak sa užila jednotlivá dávka ibuprofenu 400 mg 8 hodín pred podaním alebo 30 minút po podaní 81 mg kyseliny acetylsalicylovej s okamžitým uvoľňovaním, došlo k zníženiu účinku kyseliny acetylsalicylovej na tvorbu tromboxánu alebo agregáciu krvných doštičiek. Aj napriek tomu, že existujú určité nejasnosti týkajúce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extrapolácie týchto údajov v klinickej praxi, nedá sa vylúčiť možnosť, že pravidelné dlhodobé užívanie ibuprofenu môže znížiť kardioprotektívny účinok podávania nízkych dávok kyseliny acetylsalicylovej. V prípade príležitostného užitia ibuprofenu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žiadny klinicky relevantný účinok nepovažuje za pravdepodobný (pozri časť 4.5).</w:t>
      </w:r>
    </w:p>
    <w:p w14:paraId="7F854149" w14:textId="77777777" w:rsidR="00467218" w:rsidRPr="0029684D" w:rsidRDefault="00467218" w:rsidP="00704696">
      <w:pPr>
        <w:spacing w:after="0"/>
        <w:jc w:val="left"/>
        <w:rPr>
          <w:sz w:val="22"/>
          <w:szCs w:val="22"/>
          <w:lang w:val="sk-SK"/>
        </w:rPr>
      </w:pPr>
    </w:p>
    <w:p w14:paraId="362689FA" w14:textId="77777777" w:rsidR="00467218" w:rsidRPr="0029684D" w:rsidRDefault="00467218" w:rsidP="00185F24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5.2</w:t>
      </w:r>
      <w:r w:rsidRPr="0029684D">
        <w:rPr>
          <w:b/>
          <w:sz w:val="22"/>
          <w:szCs w:val="22"/>
          <w:lang w:val="sk-SK"/>
        </w:rPr>
        <w:tab/>
      </w:r>
      <w:r w:rsidR="005C1402" w:rsidRPr="0029684D">
        <w:rPr>
          <w:b/>
          <w:sz w:val="22"/>
          <w:szCs w:val="22"/>
          <w:lang w:val="sk-SK"/>
        </w:rPr>
        <w:t>Farmakokinetické vlastnosti</w:t>
      </w:r>
    </w:p>
    <w:p w14:paraId="7F880A6B" w14:textId="77777777" w:rsidR="00005545" w:rsidRPr="0029684D" w:rsidRDefault="00005545" w:rsidP="00D14BB2">
      <w:pPr>
        <w:spacing w:after="0"/>
        <w:jc w:val="left"/>
        <w:rPr>
          <w:sz w:val="22"/>
          <w:szCs w:val="22"/>
          <w:lang w:val="sk-SK"/>
        </w:rPr>
      </w:pPr>
    </w:p>
    <w:p w14:paraId="21049978" w14:textId="77777777" w:rsidR="00A57AAA" w:rsidRPr="00E6202C" w:rsidRDefault="00A57AAA" w:rsidP="00BA5546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lastRenderedPageBreak/>
        <w:t xml:space="preserve">U detí neboli vykonané žiadne špeciálne štúdie farmakokinetických vlastností. Bibliografické údaje potvrdzujú, že mechanizmus absorpcie, metabolizmu </w:t>
      </w:r>
      <w:proofErr w:type="gramStart"/>
      <w:r w:rsidRPr="00E6202C">
        <w:rPr>
          <w:sz w:val="22"/>
          <w:szCs w:val="22"/>
        </w:rPr>
        <w:t>a</w:t>
      </w:r>
      <w:proofErr w:type="gramEnd"/>
      <w:r w:rsidRPr="00E6202C">
        <w:rPr>
          <w:sz w:val="22"/>
          <w:szCs w:val="22"/>
        </w:rPr>
        <w:t> eliminácie ibuprofenu u detí je taký istý ako u dospelých.</w:t>
      </w:r>
    </w:p>
    <w:p w14:paraId="488047F7" w14:textId="77777777" w:rsidR="00594057" w:rsidRPr="0029684D" w:rsidRDefault="00594057" w:rsidP="00230813">
      <w:pPr>
        <w:spacing w:after="0"/>
        <w:jc w:val="left"/>
        <w:rPr>
          <w:sz w:val="22"/>
          <w:szCs w:val="22"/>
          <w:lang w:val="sk-SK"/>
        </w:rPr>
      </w:pPr>
    </w:p>
    <w:p w14:paraId="7C55B17C" w14:textId="2CC9B6A9" w:rsidR="00594057" w:rsidRPr="0029684D" w:rsidRDefault="006C220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Po peroráln</w:t>
      </w:r>
      <w:r w:rsidR="00A57AAA">
        <w:rPr>
          <w:sz w:val="22"/>
          <w:szCs w:val="22"/>
          <w:lang w:val="sk-SK"/>
        </w:rPr>
        <w:t>om podaní</w:t>
      </w:r>
      <w:r w:rsidRPr="0029684D">
        <w:rPr>
          <w:sz w:val="22"/>
          <w:szCs w:val="22"/>
          <w:lang w:val="sk-SK"/>
        </w:rPr>
        <w:t xml:space="preserve"> sa </w:t>
      </w:r>
      <w:r w:rsidR="00AC6333">
        <w:rPr>
          <w:sz w:val="22"/>
          <w:szCs w:val="22"/>
          <w:lang w:val="sk-SK"/>
        </w:rPr>
        <w:t>ibuprofen</w:t>
      </w:r>
      <w:r w:rsidR="00FB42B2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čiastočne absorbuje v žalúdku a potom úplne v tenkom čreve. Po metabolizácii </w:t>
      </w:r>
      <w:r w:rsidR="005575E3" w:rsidRPr="0029684D">
        <w:rPr>
          <w:sz w:val="22"/>
          <w:szCs w:val="22"/>
          <w:lang w:val="sk-SK"/>
        </w:rPr>
        <w:t xml:space="preserve">v </w:t>
      </w:r>
      <w:r w:rsidRPr="0029684D">
        <w:rPr>
          <w:sz w:val="22"/>
          <w:szCs w:val="22"/>
          <w:lang w:val="sk-SK"/>
        </w:rPr>
        <w:t>pečen</w:t>
      </w:r>
      <w:r w:rsidR="005575E3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 (hydroxylácia, karboxylácia) sa úplne eliminujú farmakologicky neaktívne metabolity, najmä renálne (90 %), ale aj žlčou. Eliminačný polčas u zdravých jedincov a pacientov s ochoreniami pečene a obličiek je 1,8 až 3,5 hodiny, väzba na plazmatické bielkoviny je asi 99 %. Maximálne </w:t>
      </w:r>
      <w:r w:rsidR="007D7AE4">
        <w:rPr>
          <w:sz w:val="22"/>
          <w:szCs w:val="22"/>
          <w:lang w:val="sk-SK"/>
        </w:rPr>
        <w:t> plazmatické koncentrácie</w:t>
      </w:r>
      <w:r w:rsidRPr="0029684D">
        <w:rPr>
          <w:sz w:val="22"/>
          <w:szCs w:val="22"/>
          <w:lang w:val="sk-SK"/>
        </w:rPr>
        <w:t xml:space="preserve"> po perorálnom podaní </w:t>
      </w:r>
      <w:r w:rsidR="005575E3" w:rsidRPr="0029684D">
        <w:rPr>
          <w:sz w:val="22"/>
          <w:szCs w:val="22"/>
          <w:lang w:val="sk-SK"/>
        </w:rPr>
        <w:t>liekove</w:t>
      </w:r>
      <w:r w:rsidRPr="0029684D">
        <w:rPr>
          <w:sz w:val="22"/>
          <w:szCs w:val="22"/>
          <w:lang w:val="sk-SK"/>
        </w:rPr>
        <w:t xml:space="preserve">j formy s </w:t>
      </w:r>
      <w:r w:rsidR="00DF24AA">
        <w:rPr>
          <w:sz w:val="22"/>
          <w:szCs w:val="22"/>
          <w:lang w:val="sk-SK"/>
        </w:rPr>
        <w:t>bežným</w:t>
      </w:r>
      <w:r w:rsidRPr="00567B72">
        <w:rPr>
          <w:sz w:val="22"/>
          <w:szCs w:val="22"/>
          <w:lang w:val="sk-SK"/>
        </w:rPr>
        <w:t xml:space="preserve"> uvoľňovaním sa dosiahnu po 1 až 2 hodinách</w:t>
      </w:r>
      <w:r w:rsidR="005C1402" w:rsidRPr="00567B72">
        <w:rPr>
          <w:sz w:val="22"/>
          <w:szCs w:val="22"/>
          <w:lang w:val="sk-SK"/>
        </w:rPr>
        <w:t>.</w:t>
      </w:r>
    </w:p>
    <w:p w14:paraId="7E86CB51" w14:textId="77777777" w:rsidR="00594057" w:rsidRPr="0029684D" w:rsidRDefault="00594057" w:rsidP="00300F58">
      <w:pPr>
        <w:spacing w:after="0"/>
        <w:jc w:val="left"/>
        <w:rPr>
          <w:sz w:val="22"/>
          <w:szCs w:val="22"/>
          <w:lang w:val="sk-SK"/>
        </w:rPr>
      </w:pPr>
    </w:p>
    <w:p w14:paraId="1432EA93" w14:textId="77777777" w:rsidR="00594057" w:rsidRPr="00BA5546" w:rsidRDefault="00A57AAA" w:rsidP="00300F58">
      <w:pPr>
        <w:spacing w:after="0"/>
        <w:jc w:val="left"/>
        <w:rPr>
          <w:color w:val="222222"/>
          <w:sz w:val="22"/>
          <w:szCs w:val="22"/>
          <w:u w:val="single"/>
          <w:lang w:val="sk-SK"/>
        </w:rPr>
      </w:pPr>
      <w:r w:rsidRPr="00BA5546">
        <w:rPr>
          <w:color w:val="222222"/>
          <w:sz w:val="22"/>
          <w:szCs w:val="22"/>
          <w:u w:val="single"/>
          <w:lang w:val="sk-SK"/>
        </w:rPr>
        <w:t xml:space="preserve">Porucha funkcie  </w:t>
      </w:r>
      <w:r w:rsidR="006C220C" w:rsidRPr="00BA5546">
        <w:rPr>
          <w:color w:val="222222"/>
          <w:sz w:val="22"/>
          <w:szCs w:val="22"/>
          <w:u w:val="single"/>
          <w:lang w:val="sk-SK"/>
        </w:rPr>
        <w:t>obličiek</w:t>
      </w:r>
    </w:p>
    <w:p w14:paraId="25582517" w14:textId="77777777" w:rsidR="007E3629" w:rsidRPr="00E6202C" w:rsidRDefault="007E3629" w:rsidP="00300F5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U pacientov s miernou poruchou funkcie obličiek boli v porovnaní s kontrolnou skupinou zdravých osôb zaznamenané vyššie koncentrácie neviazaného (S)-ibuprofenu, vyššie hodnoty AUC (S)-ibuprofenu a zvýšený pomer enantiomérov AUC (S/R).</w:t>
      </w:r>
    </w:p>
    <w:p w14:paraId="4193AFA2" w14:textId="77777777" w:rsidR="007E3629" w:rsidRPr="00E6202C" w:rsidRDefault="007E3629" w:rsidP="00542FCE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U dialyzovaných pacientov s ochorením obličiek v terminálnom štádiu bola zaznamenaná priemerná voľná frakcia ibuprofenu približne 3</w:t>
      </w:r>
      <w:r>
        <w:rPr>
          <w:sz w:val="22"/>
          <w:szCs w:val="22"/>
        </w:rPr>
        <w:t xml:space="preserve"> </w:t>
      </w:r>
      <w:r w:rsidRPr="00E6202C">
        <w:rPr>
          <w:sz w:val="22"/>
          <w:szCs w:val="22"/>
        </w:rPr>
        <w:t>% v porovnaní s</w:t>
      </w:r>
      <w:r>
        <w:rPr>
          <w:sz w:val="22"/>
          <w:szCs w:val="22"/>
        </w:rPr>
        <w:t> </w:t>
      </w:r>
      <w:r w:rsidRPr="00E6202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E6202C">
        <w:rPr>
          <w:sz w:val="22"/>
          <w:szCs w:val="22"/>
        </w:rPr>
        <w:t xml:space="preserve">% u zdravých dobrovoľníkov. Závažná porucha funkcie obličiek môže vyústiť </w:t>
      </w:r>
      <w:r>
        <w:rPr>
          <w:sz w:val="22"/>
          <w:szCs w:val="22"/>
        </w:rPr>
        <w:t>do</w:t>
      </w:r>
      <w:r w:rsidRPr="00E6202C">
        <w:rPr>
          <w:sz w:val="22"/>
          <w:szCs w:val="22"/>
        </w:rPr>
        <w:t xml:space="preserve"> akumuláci</w:t>
      </w:r>
      <w:r>
        <w:rPr>
          <w:sz w:val="22"/>
          <w:szCs w:val="22"/>
        </w:rPr>
        <w:t>e</w:t>
      </w:r>
      <w:r w:rsidRPr="00E6202C">
        <w:rPr>
          <w:sz w:val="22"/>
          <w:szCs w:val="22"/>
        </w:rPr>
        <w:t xml:space="preserve"> metabolitov ibuprofenu. Významnosť tohto účinku nie je známa. Metabolity môžu byť odstránené hemodialýzou (pozri časti 4.2, 4.3 a 4.4).</w:t>
      </w:r>
    </w:p>
    <w:p w14:paraId="59C5B03E" w14:textId="77777777" w:rsidR="007E3629" w:rsidRPr="00E6202C" w:rsidRDefault="007E3629" w:rsidP="00712E48">
      <w:pPr>
        <w:spacing w:after="0"/>
        <w:jc w:val="left"/>
        <w:rPr>
          <w:sz w:val="22"/>
          <w:szCs w:val="22"/>
          <w:u w:val="single"/>
        </w:rPr>
      </w:pPr>
    </w:p>
    <w:p w14:paraId="100724ED" w14:textId="77777777" w:rsidR="007E3629" w:rsidRPr="00E6202C" w:rsidRDefault="007E3629" w:rsidP="00D22436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  <w:u w:val="single"/>
        </w:rPr>
        <w:t>Porucha funkcie pečene</w:t>
      </w:r>
    </w:p>
    <w:p w14:paraId="7D2048DF" w14:textId="011B3D16" w:rsidR="007E3629" w:rsidRPr="00E6202C" w:rsidRDefault="007E3629" w:rsidP="00025179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U pacientov s cirhózou pečene so stredne závažnou poruchou funkcie pečene (Childovo-Pughovo skóre 6 </w:t>
      </w:r>
      <w:r w:rsidRPr="00E6202C">
        <w:rPr>
          <w:sz w:val="22"/>
          <w:szCs w:val="22"/>
        </w:rPr>
        <w:sym w:font="Symbol" w:char="F02D"/>
      </w:r>
      <w:r w:rsidRPr="00E6202C">
        <w:rPr>
          <w:sz w:val="22"/>
          <w:szCs w:val="22"/>
        </w:rPr>
        <w:t> 10) liečenými racemickým ibuprofenom bolo v priemere zaznamenané dvojnásobné predlženie eliminačného polčasu a v porovnaní s kontrolnými skupinami zdravých osôb bol pomer enantiomérov AUC (S/R) výrazne nižší, čo zároveň poukázalo na zhoršenie metabolickej inverzie (R -</w:t>
      </w:r>
      <w:r>
        <w:rPr>
          <w:sz w:val="22"/>
          <w:szCs w:val="22"/>
        </w:rPr>
        <w:t xml:space="preserve"> </w:t>
      </w:r>
      <w:r w:rsidRPr="00E6202C">
        <w:rPr>
          <w:sz w:val="22"/>
          <w:szCs w:val="22"/>
        </w:rPr>
        <w:t>ibuprofenu na aktívny (S)</w:t>
      </w:r>
      <w:r>
        <w:rPr>
          <w:sz w:val="22"/>
          <w:szCs w:val="22"/>
        </w:rPr>
        <w:t xml:space="preserve"> </w:t>
      </w:r>
      <w:r w:rsidR="00FB42B2">
        <w:rPr>
          <w:sz w:val="22"/>
          <w:szCs w:val="22"/>
        </w:rPr>
        <w:t>- enantiomér (pozri časti 4</w:t>
      </w:r>
      <w:proofErr w:type="gramStart"/>
      <w:r w:rsidR="00FB42B2">
        <w:rPr>
          <w:sz w:val="22"/>
          <w:szCs w:val="22"/>
        </w:rPr>
        <w:t>,2</w:t>
      </w:r>
      <w:proofErr w:type="gramEnd"/>
      <w:r w:rsidR="00FB42B2">
        <w:rPr>
          <w:sz w:val="22"/>
          <w:szCs w:val="22"/>
        </w:rPr>
        <w:t>;</w:t>
      </w:r>
      <w:r w:rsidRPr="00E6202C">
        <w:rPr>
          <w:sz w:val="22"/>
          <w:szCs w:val="22"/>
        </w:rPr>
        <w:t xml:space="preserve"> 4.3 a 4.4).</w:t>
      </w:r>
    </w:p>
    <w:p w14:paraId="7A603840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585AF48C" w14:textId="77777777" w:rsidR="00467218" w:rsidRPr="0029684D" w:rsidRDefault="00467218" w:rsidP="000A3637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5.3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Predklinické údaje o bezpečnosti</w:t>
      </w:r>
    </w:p>
    <w:p w14:paraId="34647E18" w14:textId="77777777" w:rsidR="00005545" w:rsidRPr="0029684D" w:rsidRDefault="00005545" w:rsidP="00F46910">
      <w:pPr>
        <w:spacing w:after="0"/>
        <w:jc w:val="left"/>
        <w:rPr>
          <w:sz w:val="22"/>
          <w:szCs w:val="22"/>
          <w:lang w:val="sk-SK"/>
        </w:rPr>
      </w:pPr>
    </w:p>
    <w:p w14:paraId="4E96F86C" w14:textId="77777777" w:rsidR="00DE0398" w:rsidRPr="00E6202C" w:rsidRDefault="00DE0398" w:rsidP="00E44A6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Subchronická a chronická toxicita ibuprofenu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pri pokusoch na zvieratách prejavila najmä vo forme lézií a vredov v tráviacom trakte. </w:t>
      </w:r>
      <w:r w:rsidRPr="00E6202C">
        <w:rPr>
          <w:i/>
          <w:sz w:val="22"/>
          <w:szCs w:val="22"/>
        </w:rPr>
        <w:t xml:space="preserve">In vitro </w:t>
      </w:r>
      <w:proofErr w:type="gramStart"/>
      <w:r w:rsidRPr="00E6202C">
        <w:rPr>
          <w:sz w:val="22"/>
          <w:szCs w:val="22"/>
        </w:rPr>
        <w:t>a</w:t>
      </w:r>
      <w:proofErr w:type="gramEnd"/>
      <w:r w:rsidRPr="00E6202C">
        <w:rPr>
          <w:sz w:val="22"/>
          <w:szCs w:val="22"/>
        </w:rPr>
        <w:t> </w:t>
      </w:r>
      <w:r w:rsidRPr="00E6202C">
        <w:rPr>
          <w:i/>
          <w:sz w:val="22"/>
          <w:szCs w:val="22"/>
        </w:rPr>
        <w:t>in vivo</w:t>
      </w:r>
      <w:r w:rsidRPr="00E6202C">
        <w:rPr>
          <w:sz w:val="22"/>
          <w:szCs w:val="22"/>
        </w:rPr>
        <w:t xml:space="preserve"> štúdie nepreukázali žiadny klinicky relevantný dôkaz mutagénnych účinkov ibuprofenu. V štúdiách </w:t>
      </w:r>
      <w:proofErr w:type="gramStart"/>
      <w:r w:rsidRPr="00E6202C">
        <w:rPr>
          <w:sz w:val="22"/>
          <w:szCs w:val="22"/>
        </w:rPr>
        <w:t>na</w:t>
      </w:r>
      <w:proofErr w:type="gramEnd"/>
      <w:r w:rsidRPr="00E6202C">
        <w:rPr>
          <w:sz w:val="22"/>
          <w:szCs w:val="22"/>
        </w:rPr>
        <w:t xml:space="preserve"> potkanoch a myšiach sa nezaznamenali žiadne dôkazy karcinogenity ibuprofenu.</w:t>
      </w:r>
    </w:p>
    <w:p w14:paraId="10C51A2F" w14:textId="77777777" w:rsidR="00DE0398" w:rsidRPr="00E6202C" w:rsidRDefault="00DE0398">
      <w:pPr>
        <w:spacing w:after="0"/>
        <w:jc w:val="left"/>
        <w:rPr>
          <w:sz w:val="22"/>
          <w:szCs w:val="22"/>
        </w:rPr>
      </w:pPr>
    </w:p>
    <w:p w14:paraId="748A3378" w14:textId="77777777" w:rsidR="00DE0398" w:rsidRPr="00E6202C" w:rsidRDefault="00DE039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 xml:space="preserve">U králikov viedol ibuprofen k inhibícii ovulácie a k zhoršeniu implantácie u rôznych druhov zvierat (králik, potkan, myš). Experimentálne štúdie </w:t>
      </w:r>
      <w:proofErr w:type="gramStart"/>
      <w:r w:rsidRPr="00E6202C">
        <w:rPr>
          <w:sz w:val="22"/>
          <w:szCs w:val="22"/>
        </w:rPr>
        <w:t>na</w:t>
      </w:r>
      <w:proofErr w:type="gramEnd"/>
      <w:r w:rsidRPr="00E6202C">
        <w:rPr>
          <w:sz w:val="22"/>
          <w:szCs w:val="22"/>
        </w:rPr>
        <w:t xml:space="preserve"> potkanoch a králikoch preukázali, že ibuprofen prechádza placentou. Po podaní dávok toxických pre matku </w:t>
      </w:r>
      <w:proofErr w:type="gramStart"/>
      <w:r w:rsidRPr="00E6202C">
        <w:rPr>
          <w:sz w:val="22"/>
          <w:szCs w:val="22"/>
        </w:rPr>
        <w:t>sa</w:t>
      </w:r>
      <w:proofErr w:type="gramEnd"/>
      <w:r w:rsidRPr="00E6202C">
        <w:rPr>
          <w:sz w:val="22"/>
          <w:szCs w:val="22"/>
        </w:rPr>
        <w:t xml:space="preserve"> zistil zvýšený výskyt malformácií v potomstve potkanov (defekty komorového septa).</w:t>
      </w:r>
    </w:p>
    <w:p w14:paraId="74E57DD9" w14:textId="77777777" w:rsidR="00DE0398" w:rsidRPr="00E6202C" w:rsidRDefault="00DE0398">
      <w:pPr>
        <w:spacing w:after="0"/>
        <w:jc w:val="left"/>
        <w:rPr>
          <w:sz w:val="22"/>
          <w:szCs w:val="22"/>
        </w:rPr>
      </w:pPr>
    </w:p>
    <w:p w14:paraId="2319E665" w14:textId="77777777" w:rsidR="00DE0398" w:rsidRDefault="00DE0398">
      <w:pPr>
        <w:spacing w:after="0"/>
        <w:jc w:val="left"/>
        <w:rPr>
          <w:sz w:val="22"/>
          <w:szCs w:val="22"/>
        </w:rPr>
      </w:pPr>
      <w:r w:rsidRPr="00E6202C">
        <w:rPr>
          <w:sz w:val="22"/>
          <w:szCs w:val="22"/>
        </w:rPr>
        <w:t>Liečivo ibuprofen predstavuje environmentálne riziko pre vodné hospodárstvo, predovšetkým pre ryby.</w:t>
      </w:r>
    </w:p>
    <w:p w14:paraId="006FF7FD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62894CD8" w14:textId="77777777" w:rsidR="00A97BC3" w:rsidRPr="003A721A" w:rsidRDefault="00A97BC3">
      <w:pPr>
        <w:pStyle w:val="Nadpis2"/>
      </w:pPr>
      <w:r w:rsidRPr="003A721A">
        <w:t xml:space="preserve">FARMACEUTICKÉ </w:t>
      </w:r>
      <w:r w:rsidR="00AA7FAA" w:rsidRPr="003A721A">
        <w:t>INFORMÁCIE</w:t>
      </w:r>
    </w:p>
    <w:p w14:paraId="4855F38E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46D61E9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6.1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Zo</w:t>
      </w:r>
      <w:r w:rsidR="00A97BC3" w:rsidRPr="0029684D">
        <w:rPr>
          <w:b/>
          <w:sz w:val="22"/>
          <w:szCs w:val="22"/>
          <w:lang w:val="sk-SK"/>
        </w:rPr>
        <w:t>znam pomocných lát</w:t>
      </w:r>
      <w:r w:rsidR="00AA7FAA" w:rsidRPr="0029684D">
        <w:rPr>
          <w:b/>
          <w:sz w:val="22"/>
          <w:szCs w:val="22"/>
          <w:lang w:val="sk-SK"/>
        </w:rPr>
        <w:t>o</w:t>
      </w:r>
      <w:r w:rsidR="00A97BC3" w:rsidRPr="0029684D">
        <w:rPr>
          <w:b/>
          <w:sz w:val="22"/>
          <w:szCs w:val="22"/>
          <w:lang w:val="sk-SK"/>
        </w:rPr>
        <w:t>k</w:t>
      </w:r>
    </w:p>
    <w:p w14:paraId="1351DA86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463906F8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b</w:t>
      </w:r>
      <w:r w:rsidR="00A97BC3" w:rsidRPr="0029684D">
        <w:rPr>
          <w:sz w:val="22"/>
          <w:szCs w:val="22"/>
          <w:lang w:val="sk-SK"/>
        </w:rPr>
        <w:t>enzo</w:t>
      </w:r>
      <w:r w:rsidR="00D809D8" w:rsidRPr="0029684D">
        <w:rPr>
          <w:sz w:val="22"/>
          <w:szCs w:val="22"/>
          <w:lang w:val="sk-SK"/>
        </w:rPr>
        <w:t>an</w:t>
      </w:r>
      <w:r w:rsidR="00A97BC3" w:rsidRPr="0029684D">
        <w:rPr>
          <w:sz w:val="22"/>
          <w:szCs w:val="22"/>
          <w:lang w:val="sk-SK"/>
        </w:rPr>
        <w:t xml:space="preserve"> sodný (E211)</w:t>
      </w:r>
    </w:p>
    <w:p w14:paraId="14CD2C17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b</w:t>
      </w:r>
      <w:r w:rsidR="00A97BC3" w:rsidRPr="0029684D">
        <w:rPr>
          <w:sz w:val="22"/>
          <w:szCs w:val="22"/>
          <w:lang w:val="sk-SK"/>
        </w:rPr>
        <w:t>ezvodá kyselina citr</w:t>
      </w:r>
      <w:r w:rsidR="00EC6FE2" w:rsidRPr="0029684D">
        <w:rPr>
          <w:sz w:val="22"/>
          <w:szCs w:val="22"/>
          <w:lang w:val="sk-SK"/>
        </w:rPr>
        <w:t>ó</w:t>
      </w:r>
      <w:r w:rsidR="00A97BC3" w:rsidRPr="0029684D">
        <w:rPr>
          <w:sz w:val="22"/>
          <w:szCs w:val="22"/>
          <w:lang w:val="sk-SK"/>
        </w:rPr>
        <w:t>nová (E330)</w:t>
      </w:r>
    </w:p>
    <w:p w14:paraId="1E213996" w14:textId="04224D8C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bookmarkStart w:id="0" w:name="_Hlk493691682"/>
      <w:r w:rsidRPr="0029684D">
        <w:rPr>
          <w:sz w:val="22"/>
          <w:szCs w:val="22"/>
          <w:lang w:val="sk-SK"/>
        </w:rPr>
        <w:t>d</w:t>
      </w:r>
      <w:r w:rsidR="0056037F" w:rsidRPr="0029684D">
        <w:rPr>
          <w:sz w:val="22"/>
          <w:szCs w:val="22"/>
          <w:lang w:val="sk-SK"/>
        </w:rPr>
        <w:t>ihydrát citr</w:t>
      </w:r>
      <w:r w:rsidR="00DE0398">
        <w:rPr>
          <w:sz w:val="22"/>
          <w:szCs w:val="22"/>
          <w:lang w:val="sk-SK"/>
        </w:rPr>
        <w:t>onanu</w:t>
      </w:r>
      <w:r w:rsidR="0056037F" w:rsidRPr="0029684D">
        <w:rPr>
          <w:sz w:val="22"/>
          <w:szCs w:val="22"/>
          <w:lang w:val="sk-SK"/>
        </w:rPr>
        <w:t xml:space="preserve"> sodného</w:t>
      </w:r>
      <w:r w:rsidR="00A97BC3" w:rsidRPr="0029684D">
        <w:rPr>
          <w:sz w:val="22"/>
          <w:szCs w:val="22"/>
          <w:lang w:val="sk-SK"/>
        </w:rPr>
        <w:t xml:space="preserve"> </w:t>
      </w:r>
      <w:bookmarkEnd w:id="0"/>
      <w:r w:rsidR="00A97BC3" w:rsidRPr="0029684D">
        <w:rPr>
          <w:sz w:val="22"/>
          <w:szCs w:val="22"/>
          <w:lang w:val="sk-SK"/>
        </w:rPr>
        <w:t>(E331)</w:t>
      </w:r>
    </w:p>
    <w:p w14:paraId="7BAAF10D" w14:textId="010EB6AC" w:rsidR="00594057" w:rsidRPr="0029684D" w:rsidRDefault="00DE0398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bezvodá sodná soľ </w:t>
      </w:r>
      <w:r w:rsidR="00521F93" w:rsidRPr="0029684D">
        <w:rPr>
          <w:sz w:val="22"/>
          <w:szCs w:val="22"/>
          <w:lang w:val="sk-SK"/>
        </w:rPr>
        <w:t>s</w:t>
      </w:r>
      <w:r w:rsidR="00EC6FE2" w:rsidRPr="0029684D">
        <w:rPr>
          <w:sz w:val="22"/>
          <w:szCs w:val="22"/>
          <w:lang w:val="sk-SK"/>
        </w:rPr>
        <w:t>acharín</w:t>
      </w:r>
      <w:r>
        <w:rPr>
          <w:sz w:val="22"/>
          <w:szCs w:val="22"/>
          <w:lang w:val="sk-SK"/>
        </w:rPr>
        <w:t>u</w:t>
      </w:r>
      <w:r w:rsidR="00A97BC3" w:rsidRPr="0029684D">
        <w:rPr>
          <w:sz w:val="22"/>
          <w:szCs w:val="22"/>
          <w:lang w:val="sk-SK"/>
        </w:rPr>
        <w:t xml:space="preserve"> (E954)</w:t>
      </w:r>
    </w:p>
    <w:p w14:paraId="67EE7D73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c</w:t>
      </w:r>
      <w:r w:rsidR="00A97BC3" w:rsidRPr="0029684D">
        <w:rPr>
          <w:sz w:val="22"/>
          <w:szCs w:val="22"/>
          <w:lang w:val="sk-SK"/>
        </w:rPr>
        <w:t>hlorid sodný</w:t>
      </w:r>
    </w:p>
    <w:p w14:paraId="434F9D30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h</w:t>
      </w:r>
      <w:r w:rsidR="00A97BC3" w:rsidRPr="0029684D">
        <w:rPr>
          <w:sz w:val="22"/>
          <w:szCs w:val="22"/>
          <w:lang w:val="sk-SK"/>
        </w:rPr>
        <w:t>ypromel</w:t>
      </w:r>
      <w:r w:rsidR="0056037F" w:rsidRPr="0029684D">
        <w:rPr>
          <w:sz w:val="22"/>
          <w:szCs w:val="22"/>
          <w:lang w:val="sk-SK"/>
        </w:rPr>
        <w:t>óza</w:t>
      </w:r>
      <w:r w:rsidR="00A97BC3" w:rsidRPr="0029684D">
        <w:rPr>
          <w:sz w:val="22"/>
          <w:szCs w:val="22"/>
          <w:lang w:val="sk-SK"/>
        </w:rPr>
        <w:t xml:space="preserve"> 15 cP</w:t>
      </w:r>
      <w:r w:rsidR="00594057" w:rsidRPr="0029684D">
        <w:rPr>
          <w:sz w:val="22"/>
          <w:szCs w:val="22"/>
          <w:lang w:val="sk-SK"/>
        </w:rPr>
        <w:t xml:space="preserve"> </w:t>
      </w:r>
    </w:p>
    <w:p w14:paraId="604E104E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x</w:t>
      </w:r>
      <w:r w:rsidR="00A97BC3" w:rsidRPr="0029684D">
        <w:rPr>
          <w:sz w:val="22"/>
          <w:szCs w:val="22"/>
          <w:lang w:val="sk-SK"/>
        </w:rPr>
        <w:t>ant</w:t>
      </w:r>
      <w:r w:rsidR="0056037F" w:rsidRPr="0029684D">
        <w:rPr>
          <w:sz w:val="22"/>
          <w:szCs w:val="22"/>
          <w:lang w:val="sk-SK"/>
        </w:rPr>
        <w:t>á</w:t>
      </w:r>
      <w:r w:rsidR="00A97BC3" w:rsidRPr="0029684D">
        <w:rPr>
          <w:sz w:val="22"/>
          <w:szCs w:val="22"/>
          <w:lang w:val="sk-SK"/>
        </w:rPr>
        <w:t xml:space="preserve">nová </w:t>
      </w:r>
      <w:r w:rsidR="0056037F" w:rsidRPr="0029684D">
        <w:rPr>
          <w:sz w:val="22"/>
          <w:szCs w:val="22"/>
          <w:lang w:val="sk-SK"/>
        </w:rPr>
        <w:t>guma</w:t>
      </w:r>
      <w:r w:rsidR="00A97BC3" w:rsidRPr="0029684D">
        <w:rPr>
          <w:sz w:val="22"/>
          <w:szCs w:val="22"/>
          <w:lang w:val="sk-SK"/>
        </w:rPr>
        <w:t xml:space="preserve"> (E415)</w:t>
      </w:r>
    </w:p>
    <w:p w14:paraId="2DD46052" w14:textId="180D0FD0" w:rsidR="00594057" w:rsidRPr="0029684D" w:rsidRDefault="00DE0398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roztok</w:t>
      </w:r>
      <w:r w:rsidRPr="0029684D">
        <w:rPr>
          <w:sz w:val="22"/>
          <w:szCs w:val="22"/>
          <w:lang w:val="sk-SK"/>
        </w:rPr>
        <w:t xml:space="preserve"> </w:t>
      </w:r>
      <w:r w:rsidR="00A97BC3" w:rsidRPr="0029684D">
        <w:rPr>
          <w:sz w:val="22"/>
          <w:szCs w:val="22"/>
          <w:lang w:val="sk-SK"/>
        </w:rPr>
        <w:t>maltitol</w:t>
      </w:r>
      <w:r>
        <w:rPr>
          <w:sz w:val="22"/>
          <w:szCs w:val="22"/>
          <w:lang w:val="sk-SK"/>
        </w:rPr>
        <w:t>u</w:t>
      </w:r>
      <w:r w:rsidR="00A97BC3" w:rsidRPr="0029684D">
        <w:rPr>
          <w:sz w:val="22"/>
          <w:szCs w:val="22"/>
          <w:lang w:val="sk-SK"/>
        </w:rPr>
        <w:t xml:space="preserve"> (E965)</w:t>
      </w:r>
      <w:r w:rsidR="00594057" w:rsidRPr="0029684D">
        <w:rPr>
          <w:sz w:val="22"/>
          <w:szCs w:val="22"/>
          <w:lang w:val="sk-SK"/>
        </w:rPr>
        <w:t xml:space="preserve"> </w:t>
      </w:r>
    </w:p>
    <w:p w14:paraId="477FF76A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g</w:t>
      </w:r>
      <w:r w:rsidR="00A97BC3" w:rsidRPr="0029684D">
        <w:rPr>
          <w:sz w:val="22"/>
          <w:szCs w:val="22"/>
          <w:lang w:val="sk-SK"/>
        </w:rPr>
        <w:t>lycerol 99,</w:t>
      </w:r>
      <w:r w:rsidR="00706156" w:rsidRPr="0029684D">
        <w:rPr>
          <w:sz w:val="22"/>
          <w:szCs w:val="22"/>
          <w:lang w:val="sk-SK"/>
        </w:rPr>
        <w:t>8</w:t>
      </w:r>
      <w:r w:rsidR="00A97BC3" w:rsidRPr="0029684D">
        <w:rPr>
          <w:sz w:val="22"/>
          <w:szCs w:val="22"/>
          <w:lang w:val="sk-SK"/>
        </w:rPr>
        <w:t> % (E422)</w:t>
      </w:r>
    </w:p>
    <w:p w14:paraId="13437E3E" w14:textId="77777777" w:rsidR="00CA3685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j</w:t>
      </w:r>
      <w:r w:rsidR="00A97BC3" w:rsidRPr="0029684D">
        <w:rPr>
          <w:sz w:val="22"/>
          <w:szCs w:val="22"/>
          <w:lang w:val="sk-SK"/>
        </w:rPr>
        <w:t>ahodová p</w:t>
      </w:r>
      <w:r w:rsidR="00E65EB9" w:rsidRPr="0029684D">
        <w:rPr>
          <w:sz w:val="22"/>
          <w:szCs w:val="22"/>
          <w:lang w:val="sk-SK"/>
        </w:rPr>
        <w:t>r</w:t>
      </w:r>
      <w:r w:rsidR="00A97BC3" w:rsidRPr="0029684D">
        <w:rPr>
          <w:sz w:val="22"/>
          <w:szCs w:val="22"/>
          <w:lang w:val="sk-SK"/>
        </w:rPr>
        <w:t>íchuť</w:t>
      </w:r>
      <w:r w:rsidR="001E1466" w:rsidRPr="0029684D">
        <w:rPr>
          <w:sz w:val="22"/>
          <w:szCs w:val="22"/>
          <w:lang w:val="sk-SK"/>
        </w:rPr>
        <w:t xml:space="preserve"> </w:t>
      </w:r>
    </w:p>
    <w:p w14:paraId="1F4ED71C" w14:textId="2A76FFBE" w:rsidR="00594057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(</w:t>
      </w:r>
      <w:r w:rsidR="00521F93" w:rsidRPr="0029684D">
        <w:rPr>
          <w:sz w:val="22"/>
          <w:szCs w:val="22"/>
          <w:lang w:val="sk-SK"/>
        </w:rPr>
        <w:t>j</w:t>
      </w:r>
      <w:r w:rsidRPr="0029684D">
        <w:rPr>
          <w:sz w:val="22"/>
          <w:szCs w:val="22"/>
          <w:lang w:val="sk-SK"/>
        </w:rPr>
        <w:t>ahodová p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íchuť obsahuje: látky totožné s</w:t>
      </w:r>
      <w:r w:rsidR="0056037F" w:rsidRPr="0029684D">
        <w:rPr>
          <w:sz w:val="22"/>
          <w:szCs w:val="22"/>
          <w:lang w:val="sk-SK"/>
        </w:rPr>
        <w:t xml:space="preserve"> prírodnými </w:t>
      </w:r>
      <w:r w:rsidR="00DE0398">
        <w:rPr>
          <w:sz w:val="22"/>
          <w:szCs w:val="22"/>
          <w:lang w:val="sk-SK"/>
        </w:rPr>
        <w:t>aromatickými látkami</w:t>
      </w:r>
      <w:r w:rsidRPr="0029684D">
        <w:rPr>
          <w:sz w:val="22"/>
          <w:szCs w:val="22"/>
          <w:lang w:val="sk-SK"/>
        </w:rPr>
        <w:t>, p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írodn</w:t>
      </w:r>
      <w:r w:rsidR="0056037F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DE0398">
        <w:rPr>
          <w:sz w:val="22"/>
          <w:szCs w:val="22"/>
          <w:lang w:val="sk-SK"/>
        </w:rPr>
        <w:t>aromatické</w:t>
      </w:r>
      <w:r w:rsidR="00DE0398" w:rsidRPr="0029684D">
        <w:rPr>
          <w:sz w:val="22"/>
          <w:szCs w:val="22"/>
          <w:lang w:val="sk-SK"/>
        </w:rPr>
        <w:t xml:space="preserve"> </w:t>
      </w:r>
      <w:r w:rsidR="0056037F" w:rsidRPr="0029684D">
        <w:rPr>
          <w:sz w:val="22"/>
          <w:szCs w:val="22"/>
          <w:lang w:val="sk-SK"/>
        </w:rPr>
        <w:t>látky</w:t>
      </w:r>
      <w:r w:rsidRPr="0029684D">
        <w:rPr>
          <w:sz w:val="22"/>
          <w:szCs w:val="22"/>
          <w:lang w:val="sk-SK"/>
        </w:rPr>
        <w:t>, kuku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ičný maltodextr</w:t>
      </w:r>
      <w:r w:rsidR="0056037F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n, trietylcitrát (E1505); propyl</w:t>
      </w:r>
      <w:r w:rsidR="0056037F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>nglykol (E1520) a benzylalkohol)</w:t>
      </w:r>
    </w:p>
    <w:p w14:paraId="2E9F04B2" w14:textId="77777777" w:rsidR="00594057" w:rsidRPr="0029684D" w:rsidRDefault="00521F93">
      <w:pPr>
        <w:tabs>
          <w:tab w:val="left" w:pos="3469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č</w:t>
      </w:r>
      <w:r w:rsidR="00A97BC3" w:rsidRPr="0029684D">
        <w:rPr>
          <w:sz w:val="22"/>
          <w:szCs w:val="22"/>
          <w:lang w:val="sk-SK"/>
        </w:rPr>
        <w:t>i</w:t>
      </w:r>
      <w:r w:rsidR="0056037F" w:rsidRPr="0029684D">
        <w:rPr>
          <w:sz w:val="22"/>
          <w:szCs w:val="22"/>
          <w:lang w:val="sk-SK"/>
        </w:rPr>
        <w:t>s</w:t>
      </w:r>
      <w:r w:rsidR="00A97BC3" w:rsidRPr="0029684D">
        <w:rPr>
          <w:sz w:val="22"/>
          <w:szCs w:val="22"/>
          <w:lang w:val="sk-SK"/>
        </w:rPr>
        <w:t>t</w:t>
      </w:r>
      <w:r w:rsidR="0056037F" w:rsidRPr="0029684D">
        <w:rPr>
          <w:sz w:val="22"/>
          <w:szCs w:val="22"/>
          <w:lang w:val="sk-SK"/>
        </w:rPr>
        <w:t>e</w:t>
      </w:r>
      <w:r w:rsidR="00A97BC3" w:rsidRPr="0029684D">
        <w:rPr>
          <w:sz w:val="22"/>
          <w:szCs w:val="22"/>
          <w:lang w:val="sk-SK"/>
        </w:rPr>
        <w:t>ná voda</w:t>
      </w:r>
    </w:p>
    <w:p w14:paraId="2583EAFF" w14:textId="77777777" w:rsidR="00EB33B5" w:rsidRPr="0029684D" w:rsidRDefault="00EB33B5">
      <w:pPr>
        <w:tabs>
          <w:tab w:val="left" w:pos="3469"/>
        </w:tabs>
        <w:spacing w:after="0"/>
        <w:jc w:val="left"/>
        <w:rPr>
          <w:sz w:val="22"/>
          <w:szCs w:val="22"/>
          <w:lang w:val="sk-SK"/>
        </w:rPr>
      </w:pPr>
    </w:p>
    <w:p w14:paraId="50DAF34E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de-DE"/>
        </w:rPr>
        <w:t>6.2</w:t>
      </w:r>
      <w:r w:rsidRPr="0029684D">
        <w:rPr>
          <w:b/>
          <w:sz w:val="22"/>
          <w:szCs w:val="22"/>
          <w:lang w:val="de-DE"/>
        </w:rPr>
        <w:tab/>
      </w:r>
      <w:r w:rsidR="00A97BC3" w:rsidRPr="0029684D">
        <w:rPr>
          <w:b/>
          <w:sz w:val="22"/>
          <w:szCs w:val="22"/>
          <w:lang w:val="sk-SK"/>
        </w:rPr>
        <w:t>Inkompatibility</w:t>
      </w:r>
    </w:p>
    <w:p w14:paraId="7AB4D9CA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07140E27" w14:textId="3689123C" w:rsidR="00467218" w:rsidRPr="0029684D" w:rsidRDefault="0014220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Neaplikovateľné</w:t>
      </w:r>
      <w:r w:rsidR="00DF7879">
        <w:rPr>
          <w:sz w:val="22"/>
          <w:szCs w:val="22"/>
          <w:lang w:val="sk-SK"/>
        </w:rPr>
        <w:t>.</w:t>
      </w:r>
    </w:p>
    <w:p w14:paraId="276F93B5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E8260AA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6.3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sz w:val="22"/>
          <w:szCs w:val="22"/>
          <w:lang w:val="sk-SK"/>
        </w:rPr>
        <w:t>Č</w:t>
      </w:r>
      <w:r w:rsidR="00A97BC3" w:rsidRPr="0029684D">
        <w:rPr>
          <w:b/>
          <w:sz w:val="22"/>
          <w:szCs w:val="22"/>
          <w:lang w:val="sk-SK"/>
        </w:rPr>
        <w:t>a</w:t>
      </w:r>
      <w:r w:rsidR="00030439" w:rsidRPr="0029684D">
        <w:rPr>
          <w:b/>
          <w:sz w:val="22"/>
          <w:szCs w:val="22"/>
          <w:lang w:val="sk-SK"/>
        </w:rPr>
        <w:t>s</w:t>
      </w:r>
      <w:r w:rsidR="00A97BC3" w:rsidRPr="0029684D">
        <w:rPr>
          <w:b/>
          <w:sz w:val="22"/>
          <w:szCs w:val="22"/>
          <w:lang w:val="sk-SK"/>
        </w:rPr>
        <w:t xml:space="preserve"> použite</w:t>
      </w:r>
      <w:r w:rsidR="00030439" w:rsidRPr="0029684D">
        <w:rPr>
          <w:b/>
          <w:sz w:val="22"/>
          <w:szCs w:val="22"/>
          <w:lang w:val="sk-SK"/>
        </w:rPr>
        <w:t>ľ</w:t>
      </w:r>
      <w:r w:rsidR="00A97BC3" w:rsidRPr="0029684D">
        <w:rPr>
          <w:b/>
          <w:sz w:val="22"/>
          <w:szCs w:val="22"/>
          <w:lang w:val="sk-SK"/>
        </w:rPr>
        <w:t>nosti</w:t>
      </w:r>
    </w:p>
    <w:p w14:paraId="6AC358C2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6331062E" w14:textId="77777777" w:rsidR="00467218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3 roky</w:t>
      </w:r>
    </w:p>
    <w:p w14:paraId="6AC70EA4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189940C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6.4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sz w:val="22"/>
          <w:szCs w:val="22"/>
          <w:lang w:val="sk-SK"/>
        </w:rPr>
        <w:t>Špeciálne upozornenia na uchovávanie</w:t>
      </w:r>
    </w:p>
    <w:p w14:paraId="460194E8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45BA6E8F" w14:textId="0B001423" w:rsidR="00467218" w:rsidRDefault="00F844F7">
      <w:pPr>
        <w:spacing w:after="0"/>
        <w:jc w:val="left"/>
        <w:rPr>
          <w:sz w:val="22"/>
          <w:szCs w:val="22"/>
          <w:lang w:val="sk-SK"/>
        </w:rPr>
      </w:pPr>
      <w:r w:rsidRPr="00B47473">
        <w:rPr>
          <w:noProof/>
          <w:sz w:val="22"/>
          <w:szCs w:val="22"/>
        </w:rPr>
        <w:t>Uchovávajte pri teplote do 30</w:t>
      </w:r>
      <w:r w:rsidRPr="000552F9">
        <w:rPr>
          <w:noProof/>
          <w:sz w:val="22"/>
          <w:szCs w:val="22"/>
        </w:rPr>
        <w:t xml:space="preserve"> </w:t>
      </w:r>
      <w:r w:rsidRPr="00B47473">
        <w:rPr>
          <w:noProof/>
          <w:sz w:val="22"/>
          <w:szCs w:val="22"/>
        </w:rPr>
        <w:sym w:font="Symbol" w:char="F0B0"/>
      </w:r>
      <w:r w:rsidRPr="00B47473">
        <w:rPr>
          <w:noProof/>
          <w:sz w:val="22"/>
          <w:szCs w:val="22"/>
        </w:rPr>
        <w:t>C.</w:t>
      </w:r>
      <w:r w:rsidRPr="00E6202C">
        <w:rPr>
          <w:sz w:val="22"/>
          <w:szCs w:val="22"/>
        </w:rPr>
        <w:t xml:space="preserve"> </w:t>
      </w:r>
    </w:p>
    <w:p w14:paraId="1C303B78" w14:textId="77777777" w:rsidR="00AF44F2" w:rsidRPr="0029684D" w:rsidRDefault="00AF44F2">
      <w:pPr>
        <w:spacing w:after="0"/>
        <w:jc w:val="left"/>
        <w:rPr>
          <w:sz w:val="22"/>
          <w:szCs w:val="22"/>
          <w:lang w:val="sk-SK"/>
        </w:rPr>
      </w:pPr>
    </w:p>
    <w:p w14:paraId="0166241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6.5</w:t>
      </w:r>
      <w:r w:rsidRPr="0029684D">
        <w:rPr>
          <w:b/>
          <w:sz w:val="22"/>
          <w:szCs w:val="22"/>
          <w:lang w:val="sk-SK"/>
        </w:rPr>
        <w:tab/>
      </w:r>
      <w:r w:rsidR="00A97BC3" w:rsidRPr="0029684D">
        <w:rPr>
          <w:b/>
          <w:sz w:val="22"/>
          <w:szCs w:val="22"/>
          <w:lang w:val="sk-SK"/>
        </w:rPr>
        <w:t>Druh obalu a obsah balen</w:t>
      </w:r>
      <w:r w:rsidR="00030439" w:rsidRPr="0029684D">
        <w:rPr>
          <w:b/>
          <w:sz w:val="22"/>
          <w:szCs w:val="22"/>
          <w:lang w:val="sk-SK"/>
        </w:rPr>
        <w:t>ia</w:t>
      </w:r>
    </w:p>
    <w:p w14:paraId="46825FDD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12A48A44" w14:textId="2F8BC443" w:rsidR="00467218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Jednodávkové </w:t>
      </w:r>
      <w:r w:rsidR="002069D5" w:rsidRPr="0029684D">
        <w:rPr>
          <w:sz w:val="22"/>
          <w:szCs w:val="22"/>
          <w:lang w:val="sk-SK"/>
        </w:rPr>
        <w:t>vreck</w:t>
      </w:r>
      <w:r w:rsidR="00F844F7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 xml:space="preserve"> rozm</w:t>
      </w:r>
      <w:r w:rsidR="002069D5" w:rsidRPr="0029684D">
        <w:rPr>
          <w:sz w:val="22"/>
          <w:szCs w:val="22"/>
          <w:lang w:val="sk-SK"/>
        </w:rPr>
        <w:t>ermi</w:t>
      </w:r>
      <w:r w:rsidRPr="0029684D">
        <w:rPr>
          <w:sz w:val="22"/>
          <w:szCs w:val="22"/>
          <w:lang w:val="sk-SK"/>
        </w:rPr>
        <w:t xml:space="preserve"> 25 mm × 150 mm 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objem</w:t>
      </w:r>
      <w:r w:rsidR="002069D5" w:rsidRPr="0029684D">
        <w:rPr>
          <w:sz w:val="22"/>
          <w:szCs w:val="22"/>
          <w:lang w:val="sk-SK"/>
        </w:rPr>
        <w:t>om</w:t>
      </w:r>
      <w:r w:rsidRPr="0029684D">
        <w:rPr>
          <w:sz w:val="22"/>
          <w:szCs w:val="22"/>
          <w:lang w:val="sk-SK"/>
        </w:rPr>
        <w:t xml:space="preserve"> 10 ml, </w:t>
      </w:r>
      <w:r w:rsidR="002069D5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ložené z</w:t>
      </w:r>
      <w:r w:rsidR="008E4303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PET/ALU/PET/PE (</w:t>
      </w:r>
      <w:r w:rsidR="004A1F9A">
        <w:rPr>
          <w:sz w:val="22"/>
          <w:szCs w:val="22"/>
          <w:lang w:val="sk-SK"/>
        </w:rPr>
        <w:t xml:space="preserve">kontaktná vrstva </w:t>
      </w:r>
      <w:r w:rsidR="002069D5" w:rsidRPr="0029684D">
        <w:rPr>
          <w:sz w:val="22"/>
          <w:szCs w:val="22"/>
          <w:lang w:val="sk-SK"/>
        </w:rPr>
        <w:t>liek</w:t>
      </w:r>
      <w:r w:rsidR="00DE0398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>).</w:t>
      </w:r>
    </w:p>
    <w:p w14:paraId="4D58FDA3" w14:textId="77777777" w:rsidR="00F844F7" w:rsidRPr="0029684D" w:rsidRDefault="00F844F7">
      <w:pPr>
        <w:spacing w:after="0"/>
        <w:jc w:val="left"/>
        <w:rPr>
          <w:sz w:val="22"/>
          <w:szCs w:val="22"/>
          <w:lang w:val="sk-SK"/>
        </w:rPr>
      </w:pPr>
    </w:p>
    <w:p w14:paraId="6A073320" w14:textId="77777777" w:rsidR="007F015D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Ve</w:t>
      </w:r>
      <w:r w:rsidR="002069D5" w:rsidRPr="0029684D">
        <w:rPr>
          <w:sz w:val="22"/>
          <w:szCs w:val="22"/>
          <w:lang w:val="sk-SK"/>
        </w:rPr>
        <w:t>ľkosť</w:t>
      </w:r>
      <w:r w:rsidRPr="0029684D">
        <w:rPr>
          <w:sz w:val="22"/>
          <w:szCs w:val="22"/>
          <w:lang w:val="sk-SK"/>
        </w:rPr>
        <w:t xml:space="preserve"> balen</w:t>
      </w:r>
      <w:r w:rsidR="00E65EB9" w:rsidRPr="0029684D">
        <w:rPr>
          <w:sz w:val="22"/>
          <w:szCs w:val="22"/>
          <w:lang w:val="sk-SK"/>
        </w:rPr>
        <w:t>i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:</w:t>
      </w:r>
    </w:p>
    <w:p w14:paraId="31413575" w14:textId="2DD5C80D" w:rsidR="007F015D" w:rsidRPr="0029684D" w:rsidRDefault="00987E9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Ibalgin Junior </w:t>
      </w:r>
      <w:r w:rsidR="00A97BC3" w:rsidRPr="0029684D">
        <w:rPr>
          <w:sz w:val="22"/>
          <w:szCs w:val="22"/>
          <w:lang w:val="sk-SK"/>
        </w:rPr>
        <w:t>200 </w:t>
      </w:r>
      <w:r w:rsidR="00A97BC3" w:rsidRPr="00DE0398">
        <w:rPr>
          <w:sz w:val="22"/>
          <w:szCs w:val="22"/>
          <w:lang w:val="sk-SK"/>
        </w:rPr>
        <w:t>mg:</w:t>
      </w:r>
      <w:r w:rsidR="007F015D" w:rsidRPr="00D72F3F">
        <w:rPr>
          <w:sz w:val="22"/>
          <w:szCs w:val="22"/>
          <w:lang w:val="sk-SK"/>
        </w:rPr>
        <w:t xml:space="preserve"> </w:t>
      </w:r>
      <w:r w:rsidR="00A97BC3" w:rsidRPr="00BA5546">
        <w:rPr>
          <w:sz w:val="22"/>
          <w:szCs w:val="22"/>
          <w:lang w:val="sk-SK"/>
        </w:rPr>
        <w:t>10, 12, 18, 20, 24, 30</w:t>
      </w:r>
      <w:r w:rsidR="00A97BC3" w:rsidRPr="00DE0398">
        <w:rPr>
          <w:sz w:val="22"/>
          <w:szCs w:val="22"/>
          <w:lang w:val="sk-SK"/>
        </w:rPr>
        <w:t xml:space="preserve"> </w:t>
      </w:r>
      <w:r w:rsidR="002069D5" w:rsidRPr="00D72F3F">
        <w:rPr>
          <w:sz w:val="22"/>
          <w:szCs w:val="22"/>
          <w:lang w:val="sk-SK"/>
        </w:rPr>
        <w:t>vreciek</w:t>
      </w:r>
    </w:p>
    <w:p w14:paraId="2DAC9362" w14:textId="77777777" w:rsidR="007F015D" w:rsidRPr="0029684D" w:rsidRDefault="00030439">
      <w:pPr>
        <w:pStyle w:val="CM26"/>
        <w:spacing w:after="0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Na trh nemusia byť uvedené</w:t>
      </w:r>
      <w:r w:rsidRPr="0029684D">
        <w:rPr>
          <w:noProof/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všetky veľkosti balenia</w:t>
      </w:r>
      <w:r w:rsidR="00A97BC3" w:rsidRPr="0029684D">
        <w:rPr>
          <w:sz w:val="22"/>
          <w:szCs w:val="22"/>
          <w:lang w:val="sk-SK"/>
        </w:rPr>
        <w:t>.</w:t>
      </w:r>
    </w:p>
    <w:p w14:paraId="509EF43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D0AAA4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6.6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bCs/>
          <w:noProof/>
          <w:sz w:val="22"/>
          <w:szCs w:val="22"/>
          <w:lang w:val="sk-SK"/>
        </w:rPr>
        <w:t>Špeciálne opatrenia na likvidáciu</w:t>
      </w:r>
      <w:r w:rsidR="00030439" w:rsidRPr="0029684D">
        <w:rPr>
          <w:b/>
          <w:sz w:val="22"/>
          <w:szCs w:val="22"/>
          <w:lang w:val="sk-SK"/>
        </w:rPr>
        <w:t xml:space="preserve"> </w:t>
      </w:r>
      <w:r w:rsidR="00030439" w:rsidRPr="0029684D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1D327122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4C2B42EF" w14:textId="32B39CA6" w:rsidR="00D72F3F" w:rsidRDefault="00D72F3F" w:rsidP="00BA5546">
      <w:pPr>
        <w:pStyle w:val="CM27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332AE006" w14:textId="77777777" w:rsidR="00F844F7" w:rsidRPr="00E6202C" w:rsidRDefault="00F844F7" w:rsidP="00BA5546">
      <w:pPr>
        <w:pStyle w:val="CM27"/>
        <w:spacing w:after="0"/>
        <w:rPr>
          <w:sz w:val="22"/>
          <w:szCs w:val="22"/>
          <w:lang w:val="sk-SK"/>
        </w:rPr>
      </w:pPr>
      <w:r w:rsidRPr="00E6202C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045D6334" w14:textId="77777777" w:rsidR="00F844F7" w:rsidRPr="0029684D" w:rsidRDefault="00F844F7" w:rsidP="00300F58">
      <w:pPr>
        <w:spacing w:after="0"/>
        <w:jc w:val="left"/>
        <w:rPr>
          <w:sz w:val="22"/>
          <w:szCs w:val="22"/>
          <w:lang w:val="sk-SK"/>
        </w:rPr>
      </w:pPr>
    </w:p>
    <w:p w14:paraId="0DB3784B" w14:textId="77777777" w:rsidR="000E407C" w:rsidRPr="0029684D" w:rsidRDefault="00A97BC3" w:rsidP="00300F58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 xml:space="preserve">Návod </w:t>
      </w:r>
      <w:r w:rsidR="002069D5" w:rsidRPr="0029684D">
        <w:rPr>
          <w:i/>
          <w:sz w:val="22"/>
          <w:szCs w:val="22"/>
          <w:lang w:val="sk-SK"/>
        </w:rPr>
        <w:t>na</w:t>
      </w:r>
      <w:r w:rsidRPr="0029684D">
        <w:rPr>
          <w:i/>
          <w:sz w:val="22"/>
          <w:szCs w:val="22"/>
          <w:lang w:val="sk-SK"/>
        </w:rPr>
        <w:t> p</w:t>
      </w:r>
      <w:r w:rsidR="002069D5" w:rsidRPr="0029684D">
        <w:rPr>
          <w:i/>
          <w:sz w:val="22"/>
          <w:szCs w:val="22"/>
          <w:lang w:val="sk-SK"/>
        </w:rPr>
        <w:t>r</w:t>
      </w:r>
      <w:r w:rsidRPr="0029684D">
        <w:rPr>
          <w:i/>
          <w:sz w:val="22"/>
          <w:szCs w:val="22"/>
          <w:lang w:val="sk-SK"/>
        </w:rPr>
        <w:t>íprav</w:t>
      </w:r>
      <w:r w:rsidR="002069D5" w:rsidRPr="0029684D">
        <w:rPr>
          <w:i/>
          <w:sz w:val="22"/>
          <w:szCs w:val="22"/>
          <w:lang w:val="sk-SK"/>
        </w:rPr>
        <w:t>u</w:t>
      </w:r>
      <w:r w:rsidRPr="0029684D">
        <w:rPr>
          <w:i/>
          <w:sz w:val="22"/>
          <w:szCs w:val="22"/>
          <w:lang w:val="sk-SK"/>
        </w:rPr>
        <w:t xml:space="preserve"> p</w:t>
      </w:r>
      <w:r w:rsidR="002069D5" w:rsidRPr="0029684D">
        <w:rPr>
          <w:i/>
          <w:sz w:val="22"/>
          <w:szCs w:val="22"/>
          <w:lang w:val="sk-SK"/>
        </w:rPr>
        <w:t>r</w:t>
      </w:r>
      <w:r w:rsidRPr="0029684D">
        <w:rPr>
          <w:i/>
          <w:sz w:val="22"/>
          <w:szCs w:val="22"/>
          <w:lang w:val="sk-SK"/>
        </w:rPr>
        <w:t>ed užitím:</w:t>
      </w:r>
      <w:r w:rsidR="000E407C" w:rsidRPr="0029684D">
        <w:rPr>
          <w:i/>
          <w:sz w:val="22"/>
          <w:szCs w:val="22"/>
          <w:lang w:val="sk-SK"/>
        </w:rPr>
        <w:t xml:space="preserve"> </w:t>
      </w:r>
    </w:p>
    <w:p w14:paraId="391A83C7" w14:textId="77777777" w:rsidR="000E407C" w:rsidRPr="0029684D" w:rsidRDefault="00A97BC3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Tento </w:t>
      </w:r>
      <w:r w:rsidR="002069D5" w:rsidRPr="0029684D">
        <w:rPr>
          <w:sz w:val="22"/>
          <w:szCs w:val="22"/>
          <w:lang w:val="sk-SK"/>
        </w:rPr>
        <w:t>lie</w:t>
      </w:r>
      <w:r w:rsidRPr="0029684D">
        <w:rPr>
          <w:sz w:val="22"/>
          <w:szCs w:val="22"/>
          <w:lang w:val="sk-SK"/>
        </w:rPr>
        <w:t>k je suspenz</w:t>
      </w:r>
      <w:r w:rsidR="002069D5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P</w:t>
      </w:r>
      <w:r w:rsidR="002069D5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ed užitím s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musí homogenizova</w:t>
      </w:r>
      <w:r w:rsidR="002069D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>p</w:t>
      </w:r>
      <w:r w:rsidR="002069D5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sob</w:t>
      </w:r>
      <w:r w:rsidR="002069D5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znázorn</w:t>
      </w:r>
      <w:r w:rsidR="002069D5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ným na n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sleduj</w:t>
      </w:r>
      <w:r w:rsidR="002069D5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c</w:t>
      </w:r>
      <w:r w:rsidR="002069D5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obrázku:</w:t>
      </w:r>
    </w:p>
    <w:bookmarkStart w:id="1" w:name="_MON_1207646930"/>
    <w:bookmarkEnd w:id="1"/>
    <w:p w14:paraId="493E3B6A" w14:textId="77777777" w:rsidR="000E407C" w:rsidRPr="0029684D" w:rsidRDefault="000E407C" w:rsidP="00712E48">
      <w:pPr>
        <w:spacing w:after="0"/>
        <w:jc w:val="left"/>
        <w:rPr>
          <w:sz w:val="22"/>
          <w:szCs w:val="22"/>
          <w:lang w:val="sk-SK"/>
        </w:rPr>
      </w:pPr>
      <w:r w:rsidRPr="003479A7">
        <w:rPr>
          <w:sz w:val="22"/>
          <w:szCs w:val="22"/>
          <w:lang w:val="sk-SK"/>
        </w:rPr>
        <w:object w:dxaOrig="6746" w:dyaOrig="1555" w14:anchorId="164C8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582715418" r:id="rId11"/>
        </w:object>
      </w:r>
    </w:p>
    <w:p w14:paraId="737A2E57" w14:textId="77777777" w:rsidR="000E407C" w:rsidRPr="0029684D" w:rsidRDefault="000E407C" w:rsidP="00D22436">
      <w:pPr>
        <w:spacing w:after="0"/>
        <w:jc w:val="left"/>
        <w:rPr>
          <w:sz w:val="22"/>
          <w:szCs w:val="22"/>
          <w:lang w:val="sk-SK"/>
        </w:rPr>
      </w:pPr>
    </w:p>
    <w:p w14:paraId="3150C1D5" w14:textId="77777777" w:rsidR="000E407C" w:rsidRPr="0029684D" w:rsidRDefault="00A97BC3" w:rsidP="00025179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1 – </w:t>
      </w:r>
      <w:r w:rsidR="002069D5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na horn</w:t>
      </w:r>
      <w:r w:rsidR="002069D5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a spodn</w:t>
      </w:r>
      <w:r w:rsidR="002069D5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stran</w:t>
      </w:r>
      <w:r w:rsidR="002069D5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niekoľkokrát postláčajte</w:t>
      </w:r>
      <w:r w:rsidRPr="0029684D">
        <w:rPr>
          <w:sz w:val="22"/>
          <w:szCs w:val="22"/>
          <w:lang w:val="sk-SK"/>
        </w:rPr>
        <w:t xml:space="preserve"> prst</w:t>
      </w:r>
      <w:r w:rsidR="002069D5" w:rsidRPr="0029684D">
        <w:rPr>
          <w:sz w:val="22"/>
          <w:szCs w:val="22"/>
          <w:lang w:val="sk-SK"/>
        </w:rPr>
        <w:t>ami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</w:p>
    <w:p w14:paraId="0228D689" w14:textId="2895B368" w:rsidR="000E407C" w:rsidRPr="0029684D" w:rsidRDefault="00A97BC3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2 – Potom </w:t>
      </w:r>
      <w:r w:rsidR="002069D5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n</w:t>
      </w:r>
      <w:r w:rsidR="002069D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>ko</w:t>
      </w:r>
      <w:r w:rsidR="002069D5" w:rsidRPr="0029684D">
        <w:rPr>
          <w:sz w:val="22"/>
          <w:szCs w:val="22"/>
          <w:lang w:val="sk-SK"/>
        </w:rPr>
        <w:t>ľkokrát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postláčajte zhora nadol a späť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</w:p>
    <w:p w14:paraId="73BAE430" w14:textId="77777777" w:rsidR="005D59EE" w:rsidRPr="0029684D" w:rsidRDefault="005D59EE" w:rsidP="00185F24">
      <w:pPr>
        <w:spacing w:after="0"/>
        <w:jc w:val="left"/>
        <w:rPr>
          <w:sz w:val="22"/>
          <w:szCs w:val="22"/>
          <w:lang w:val="sk-SK"/>
        </w:rPr>
      </w:pPr>
    </w:p>
    <w:p w14:paraId="63D0FBE6" w14:textId="77777777" w:rsidR="0016573E" w:rsidRPr="0029684D" w:rsidRDefault="0016573E" w:rsidP="00D14BB2">
      <w:pPr>
        <w:spacing w:after="0"/>
        <w:jc w:val="left"/>
        <w:rPr>
          <w:sz w:val="22"/>
          <w:szCs w:val="22"/>
          <w:lang w:val="sk-SK"/>
        </w:rPr>
      </w:pPr>
    </w:p>
    <w:p w14:paraId="635C9E10" w14:textId="77777777" w:rsidR="00A97BC3" w:rsidRPr="00A57AAA" w:rsidRDefault="00A97BC3" w:rsidP="00D14BB2">
      <w:pPr>
        <w:pStyle w:val="Nadpis2"/>
      </w:pPr>
      <w:r w:rsidRPr="003A721A">
        <w:t>Držite</w:t>
      </w:r>
      <w:r w:rsidR="00030439" w:rsidRPr="003A721A">
        <w:t>Ľ</w:t>
      </w:r>
      <w:r w:rsidRPr="003A721A">
        <w:t xml:space="preserve"> rozhodnut</w:t>
      </w:r>
      <w:r w:rsidR="00030439" w:rsidRPr="003A721A">
        <w:t>IA</w:t>
      </w:r>
      <w:r w:rsidRPr="00AA245A">
        <w:t xml:space="preserve"> o registr</w:t>
      </w:r>
      <w:r w:rsidR="00030439" w:rsidRPr="00AA245A">
        <w:t>ÁCII</w:t>
      </w:r>
    </w:p>
    <w:p w14:paraId="7328C126" w14:textId="77777777" w:rsidR="00467218" w:rsidRPr="0029684D" w:rsidRDefault="00467218" w:rsidP="000A3637">
      <w:pPr>
        <w:spacing w:after="0"/>
        <w:jc w:val="left"/>
        <w:rPr>
          <w:sz w:val="22"/>
          <w:szCs w:val="22"/>
          <w:lang w:val="sk-SK"/>
        </w:rPr>
      </w:pPr>
    </w:p>
    <w:p w14:paraId="7D86B9E0" w14:textId="77777777" w:rsidR="00050982" w:rsidRPr="003A721A" w:rsidRDefault="00050982" w:rsidP="00BA5546">
      <w:pPr>
        <w:widowControl w:val="0"/>
        <w:jc w:val="left"/>
        <w:rPr>
          <w:sz w:val="22"/>
          <w:szCs w:val="22"/>
        </w:rPr>
      </w:pPr>
      <w:r w:rsidRPr="003A721A">
        <w:rPr>
          <w:sz w:val="22"/>
          <w:szCs w:val="22"/>
        </w:rPr>
        <w:t>Zentiva, k.s</w:t>
      </w:r>
      <w:proofErr w:type="gramStart"/>
      <w:r w:rsidRPr="003A721A">
        <w:rPr>
          <w:sz w:val="22"/>
          <w:szCs w:val="22"/>
        </w:rPr>
        <w:t>.,</w:t>
      </w:r>
      <w:proofErr w:type="gramEnd"/>
      <w:r w:rsidRPr="003A721A">
        <w:rPr>
          <w:sz w:val="22"/>
          <w:szCs w:val="22"/>
        </w:rPr>
        <w:t xml:space="preserve"> </w:t>
      </w:r>
    </w:p>
    <w:p w14:paraId="3495B5F2" w14:textId="77777777" w:rsidR="00050982" w:rsidRPr="00AA245A" w:rsidRDefault="00050982" w:rsidP="00BA5546">
      <w:pPr>
        <w:widowControl w:val="0"/>
        <w:jc w:val="left"/>
        <w:rPr>
          <w:bCs/>
          <w:sz w:val="22"/>
          <w:szCs w:val="22"/>
        </w:rPr>
      </w:pPr>
      <w:r w:rsidRPr="003A721A">
        <w:rPr>
          <w:bCs/>
          <w:sz w:val="22"/>
          <w:szCs w:val="22"/>
        </w:rPr>
        <w:t>U kabelovny 130, Dolní Měcholupy</w:t>
      </w:r>
    </w:p>
    <w:p w14:paraId="6E71CA38" w14:textId="77777777" w:rsidR="00050982" w:rsidRPr="00AA245A" w:rsidRDefault="00050982" w:rsidP="00BA5546">
      <w:pPr>
        <w:widowControl w:val="0"/>
        <w:jc w:val="left"/>
        <w:rPr>
          <w:sz w:val="22"/>
          <w:szCs w:val="22"/>
        </w:rPr>
      </w:pPr>
      <w:r w:rsidRPr="00AA245A">
        <w:rPr>
          <w:bCs/>
          <w:sz w:val="22"/>
          <w:szCs w:val="22"/>
        </w:rPr>
        <w:t xml:space="preserve">102 37 </w:t>
      </w:r>
      <w:r w:rsidRPr="00AA245A">
        <w:rPr>
          <w:sz w:val="22"/>
          <w:szCs w:val="22"/>
        </w:rPr>
        <w:t>Praha</w:t>
      </w:r>
    </w:p>
    <w:p w14:paraId="11D285D1" w14:textId="29414C04" w:rsidR="00BC0D74" w:rsidRPr="00883719" w:rsidRDefault="00050982" w:rsidP="00883719">
      <w:pPr>
        <w:widowControl w:val="0"/>
        <w:jc w:val="left"/>
        <w:rPr>
          <w:sz w:val="22"/>
          <w:szCs w:val="22"/>
        </w:rPr>
      </w:pPr>
      <w:r w:rsidRPr="00F844F7">
        <w:rPr>
          <w:sz w:val="22"/>
          <w:szCs w:val="22"/>
        </w:rPr>
        <w:t>Česká republika</w:t>
      </w:r>
    </w:p>
    <w:p w14:paraId="54644E29" w14:textId="12105847" w:rsidR="00A97BC3" w:rsidRDefault="00A97BC3" w:rsidP="00300F58">
      <w:pPr>
        <w:pStyle w:val="Nadpis2"/>
      </w:pPr>
      <w:r w:rsidRPr="003A721A">
        <w:lastRenderedPageBreak/>
        <w:t>RE</w:t>
      </w:r>
      <w:bookmarkStart w:id="2" w:name="_GoBack"/>
      <w:bookmarkEnd w:id="2"/>
      <w:r w:rsidRPr="003A721A">
        <w:t>GISTRAČN</w:t>
      </w:r>
      <w:r w:rsidR="00030439" w:rsidRPr="003A721A">
        <w:t>É</w:t>
      </w:r>
      <w:r w:rsidRPr="003A721A">
        <w:t xml:space="preserve"> ČÍSLO</w:t>
      </w:r>
      <w:r w:rsidR="00030439" w:rsidRPr="003A721A">
        <w:t xml:space="preserve"> </w:t>
      </w:r>
    </w:p>
    <w:p w14:paraId="1FF50287" w14:textId="77777777" w:rsidR="004A1F9A" w:rsidRDefault="004A1F9A" w:rsidP="004A1F9A">
      <w:pPr>
        <w:rPr>
          <w:lang w:val="sk-SK" w:eastAsia="de-DE"/>
        </w:rPr>
      </w:pPr>
    </w:p>
    <w:p w14:paraId="027EEFB9" w14:textId="650E845C" w:rsidR="000244FA" w:rsidRPr="000244FA" w:rsidRDefault="000244FA" w:rsidP="004A1F9A">
      <w:pPr>
        <w:rPr>
          <w:sz w:val="22"/>
          <w:szCs w:val="22"/>
          <w:lang w:val="sk-SK" w:eastAsia="de-DE"/>
        </w:rPr>
      </w:pPr>
      <w:r w:rsidRPr="000244FA">
        <w:rPr>
          <w:sz w:val="22"/>
          <w:szCs w:val="22"/>
          <w:lang w:val="sk-SK" w:eastAsia="de-DE"/>
        </w:rPr>
        <w:t>07/0092/18-S</w:t>
      </w:r>
    </w:p>
    <w:p w14:paraId="78F8B741" w14:textId="77777777" w:rsidR="000244FA" w:rsidRPr="004A1F9A" w:rsidRDefault="000244FA" w:rsidP="004A1F9A">
      <w:pPr>
        <w:rPr>
          <w:lang w:val="sk-SK" w:eastAsia="de-DE"/>
        </w:rPr>
      </w:pPr>
    </w:p>
    <w:p w14:paraId="7FBDED4E" w14:textId="77777777" w:rsidR="0016573E" w:rsidRPr="0029684D" w:rsidRDefault="0016573E" w:rsidP="00542FCE">
      <w:pPr>
        <w:spacing w:after="0"/>
        <w:jc w:val="left"/>
        <w:rPr>
          <w:sz w:val="22"/>
          <w:szCs w:val="22"/>
          <w:lang w:val="sk-SK"/>
        </w:rPr>
      </w:pPr>
    </w:p>
    <w:p w14:paraId="3445BF33" w14:textId="77777777" w:rsidR="00A97BC3" w:rsidRPr="003A721A" w:rsidRDefault="00A97BC3" w:rsidP="00712E48">
      <w:pPr>
        <w:pStyle w:val="Nadpis2"/>
      </w:pPr>
      <w:r w:rsidRPr="003A721A">
        <w:t>D</w:t>
      </w:r>
      <w:r w:rsidR="00724EDE" w:rsidRPr="003A721A">
        <w:t>Á</w:t>
      </w:r>
      <w:r w:rsidRPr="003A721A">
        <w:t>TUM PRV</w:t>
      </w:r>
      <w:r w:rsidR="00030439" w:rsidRPr="003A721A">
        <w:t>EJ</w:t>
      </w:r>
      <w:r w:rsidRPr="00AA245A">
        <w:t xml:space="preserve"> REGISTR</w:t>
      </w:r>
      <w:r w:rsidR="00030439" w:rsidRPr="00AA245A">
        <w:t>ÁCI</w:t>
      </w:r>
      <w:r w:rsidR="00724EDE" w:rsidRPr="00AA245A">
        <w:t>E</w:t>
      </w:r>
      <w:r w:rsidRPr="00A57AAA">
        <w:t>/PR</w:t>
      </w:r>
      <w:r w:rsidR="00030439" w:rsidRPr="00F844F7">
        <w:t>E</w:t>
      </w:r>
      <w:r w:rsidRPr="00F844F7">
        <w:t>D</w:t>
      </w:r>
      <w:r w:rsidR="00030439" w:rsidRPr="00F844F7">
        <w:t>Ĺ</w:t>
      </w:r>
      <w:r w:rsidRPr="00F844F7">
        <w:t>ŽEN</w:t>
      </w:r>
      <w:r w:rsidR="00030439" w:rsidRPr="00F844F7">
        <w:t>IA</w:t>
      </w:r>
      <w:r w:rsidRPr="003A721A">
        <w:t xml:space="preserve"> REGISTR</w:t>
      </w:r>
      <w:r w:rsidR="00030439" w:rsidRPr="003A721A">
        <w:t>ÁCIE</w:t>
      </w:r>
    </w:p>
    <w:p w14:paraId="72C4D6B9" w14:textId="77777777" w:rsidR="00467218" w:rsidRPr="0029684D" w:rsidRDefault="00467218" w:rsidP="00D22436">
      <w:pPr>
        <w:spacing w:after="0"/>
        <w:jc w:val="left"/>
        <w:rPr>
          <w:sz w:val="22"/>
          <w:szCs w:val="22"/>
          <w:lang w:val="sk-SK"/>
        </w:rPr>
      </w:pPr>
    </w:p>
    <w:p w14:paraId="046E7730" w14:textId="77777777" w:rsidR="00BC0D74" w:rsidRDefault="00A97BC3" w:rsidP="00D22436">
      <w:pPr>
        <w:spacing w:after="0"/>
        <w:jc w:val="left"/>
        <w:rPr>
          <w:sz w:val="22"/>
          <w:szCs w:val="22"/>
          <w:lang w:val="sk-SK"/>
        </w:rPr>
      </w:pPr>
      <w:r w:rsidRPr="00BA5546">
        <w:rPr>
          <w:sz w:val="22"/>
          <w:szCs w:val="22"/>
          <w:lang w:val="sk-SK"/>
        </w:rPr>
        <w:t>D</w:t>
      </w:r>
      <w:r w:rsidR="00030439" w:rsidRPr="00BA5546">
        <w:rPr>
          <w:sz w:val="22"/>
          <w:szCs w:val="22"/>
          <w:lang w:val="sk-SK"/>
        </w:rPr>
        <w:t>á</w:t>
      </w:r>
      <w:r w:rsidRPr="00BA5546">
        <w:rPr>
          <w:sz w:val="22"/>
          <w:szCs w:val="22"/>
          <w:lang w:val="sk-SK"/>
        </w:rPr>
        <w:t>tum prv</w:t>
      </w:r>
      <w:r w:rsidR="00030439" w:rsidRPr="00BA5546">
        <w:rPr>
          <w:sz w:val="22"/>
          <w:szCs w:val="22"/>
          <w:lang w:val="sk-SK"/>
        </w:rPr>
        <w:t>ej</w:t>
      </w:r>
      <w:r w:rsidRPr="00BA5546">
        <w:rPr>
          <w:sz w:val="22"/>
          <w:szCs w:val="22"/>
          <w:lang w:val="sk-SK"/>
        </w:rPr>
        <w:t xml:space="preserve"> registr</w:t>
      </w:r>
      <w:r w:rsidR="00030439" w:rsidRPr="00BA5546">
        <w:rPr>
          <w:sz w:val="22"/>
          <w:szCs w:val="22"/>
          <w:lang w:val="sk-SK"/>
        </w:rPr>
        <w:t>ácie</w:t>
      </w:r>
      <w:r w:rsidRPr="00BA5546">
        <w:rPr>
          <w:sz w:val="22"/>
          <w:szCs w:val="22"/>
          <w:lang w:val="sk-SK"/>
        </w:rPr>
        <w:t>:</w:t>
      </w:r>
      <w:r w:rsidR="0016573E" w:rsidRPr="00BA5546">
        <w:rPr>
          <w:sz w:val="22"/>
          <w:szCs w:val="22"/>
          <w:lang w:val="sk-SK"/>
        </w:rPr>
        <w:t xml:space="preserve"> </w:t>
      </w:r>
    </w:p>
    <w:p w14:paraId="07FBAD45" w14:textId="77777777" w:rsidR="00FA2A01" w:rsidRDefault="00FA2A01" w:rsidP="00025179">
      <w:pPr>
        <w:spacing w:after="0"/>
        <w:jc w:val="left"/>
        <w:rPr>
          <w:sz w:val="22"/>
          <w:szCs w:val="22"/>
          <w:lang w:val="sk-SK"/>
        </w:rPr>
      </w:pPr>
    </w:p>
    <w:p w14:paraId="1CDF2935" w14:textId="0A95C175" w:rsidR="0016573E" w:rsidRPr="0029684D" w:rsidRDefault="0016573E" w:rsidP="00704696">
      <w:pPr>
        <w:spacing w:after="0"/>
        <w:jc w:val="left"/>
        <w:rPr>
          <w:sz w:val="22"/>
          <w:szCs w:val="22"/>
          <w:lang w:val="sk-SK"/>
        </w:rPr>
      </w:pPr>
    </w:p>
    <w:p w14:paraId="383C95A5" w14:textId="77777777" w:rsidR="00A97BC3" w:rsidRPr="00AA245A" w:rsidRDefault="00A97BC3" w:rsidP="00185F24">
      <w:pPr>
        <w:pStyle w:val="Nadpis2"/>
      </w:pPr>
      <w:r w:rsidRPr="003A721A">
        <w:t>D</w:t>
      </w:r>
      <w:r w:rsidR="00030439" w:rsidRPr="003A721A">
        <w:t>Á</w:t>
      </w:r>
      <w:r w:rsidRPr="003A721A">
        <w:t>TUM REV</w:t>
      </w:r>
      <w:r w:rsidR="00030439" w:rsidRPr="003A721A">
        <w:t>Í</w:t>
      </w:r>
      <w:r w:rsidRPr="00AA245A">
        <w:t>Z</w:t>
      </w:r>
      <w:r w:rsidR="00030439" w:rsidRPr="00AA245A">
        <w:t>I</w:t>
      </w:r>
      <w:r w:rsidRPr="00AA245A">
        <w:t>E TEXTU</w:t>
      </w:r>
    </w:p>
    <w:p w14:paraId="0745A80C" w14:textId="77777777" w:rsidR="00ED08EE" w:rsidRDefault="00ED08EE" w:rsidP="00D14BB2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156EBF43" w14:textId="54AC30BD" w:rsidR="004A1F9A" w:rsidRPr="004A1F9A" w:rsidRDefault="004A1F9A" w:rsidP="00D14BB2">
      <w:pPr>
        <w:spacing w:after="0"/>
        <w:jc w:val="left"/>
        <w:rPr>
          <w:sz w:val="22"/>
          <w:szCs w:val="22"/>
          <w:lang w:val="sk-SK"/>
        </w:rPr>
      </w:pPr>
      <w:r w:rsidRPr="004A1F9A">
        <w:rPr>
          <w:sz w:val="22"/>
          <w:szCs w:val="22"/>
          <w:lang w:val="sk-SK"/>
        </w:rPr>
        <w:t>03/2018</w:t>
      </w:r>
    </w:p>
    <w:sectPr w:rsidR="004A1F9A" w:rsidRPr="004A1F9A" w:rsidSect="00CA739A">
      <w:headerReference w:type="default" r:id="rId12"/>
      <w:pgSz w:w="11900" w:h="16840"/>
      <w:pgMar w:top="1985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8628" w14:textId="77777777" w:rsidR="004E471F" w:rsidRDefault="004E471F" w:rsidP="00844E8E">
      <w:r>
        <w:separator/>
      </w:r>
    </w:p>
  </w:endnote>
  <w:endnote w:type="continuationSeparator" w:id="0">
    <w:p w14:paraId="25874A57" w14:textId="77777777" w:rsidR="004E471F" w:rsidRDefault="004E471F" w:rsidP="00844E8E">
      <w:r>
        <w:continuationSeparator/>
      </w:r>
    </w:p>
  </w:endnote>
  <w:endnote w:type="continuationNotice" w:id="1">
    <w:p w14:paraId="58606B9D" w14:textId="77777777" w:rsidR="004E471F" w:rsidRDefault="004E4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47F5" w14:textId="77777777" w:rsidR="004E471F" w:rsidRDefault="004E471F" w:rsidP="00844E8E">
      <w:r>
        <w:separator/>
      </w:r>
    </w:p>
  </w:footnote>
  <w:footnote w:type="continuationSeparator" w:id="0">
    <w:p w14:paraId="17F1D572" w14:textId="77777777" w:rsidR="004E471F" w:rsidRDefault="004E471F" w:rsidP="00844E8E">
      <w:r>
        <w:continuationSeparator/>
      </w:r>
    </w:p>
  </w:footnote>
  <w:footnote w:type="continuationNotice" w:id="1">
    <w:p w14:paraId="227025E6" w14:textId="77777777" w:rsidR="004E471F" w:rsidRDefault="004E47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7ABA" w14:textId="77777777" w:rsidR="00BA5546" w:rsidRPr="00BA5546" w:rsidRDefault="00BA5546" w:rsidP="00BA5546">
    <w:pPr>
      <w:pStyle w:val="Hlavika"/>
      <w:jc w:val="left"/>
      <w:rPr>
        <w:sz w:val="18"/>
        <w:szCs w:val="18"/>
      </w:rPr>
    </w:pPr>
    <w:r w:rsidRPr="00BA5546">
      <w:rPr>
        <w:sz w:val="18"/>
        <w:szCs w:val="18"/>
      </w:rPr>
      <w:t>Schválený text k rozhodnutiu o registrácii, ev. č.: 2015/04131-REG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BC6"/>
    <w:multiLevelType w:val="hybridMultilevel"/>
    <w:tmpl w:val="97BED7C0"/>
    <w:lvl w:ilvl="0" w:tplc="58E82348">
      <w:start w:val="1"/>
      <w:numFmt w:val="decimal"/>
      <w:pStyle w:val="Nadpis2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95A1547"/>
    <w:multiLevelType w:val="hybridMultilevel"/>
    <w:tmpl w:val="CBD4249E"/>
    <w:lvl w:ilvl="0" w:tplc="15F8516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A310E0"/>
    <w:multiLevelType w:val="hybridMultilevel"/>
    <w:tmpl w:val="090681C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76533"/>
    <w:multiLevelType w:val="hybridMultilevel"/>
    <w:tmpl w:val="0E5AC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37212"/>
    <w:multiLevelType w:val="hybridMultilevel"/>
    <w:tmpl w:val="E6C47AF8"/>
    <w:lvl w:ilvl="0" w:tplc="574C7410">
      <w:start w:val="4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F36A5"/>
    <w:multiLevelType w:val="hybridMultilevel"/>
    <w:tmpl w:val="4B1841B8"/>
    <w:lvl w:ilvl="0" w:tplc="1D524D3C">
      <w:start w:val="4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4"/>
  </w:num>
  <w:num w:numId="3">
    <w:abstractNumId w:val="34"/>
  </w:num>
  <w:num w:numId="4">
    <w:abstractNumId w:val="3"/>
  </w:num>
  <w:num w:numId="5">
    <w:abstractNumId w:val="20"/>
  </w:num>
  <w:num w:numId="6">
    <w:abstractNumId w:val="6"/>
  </w:num>
  <w:num w:numId="7">
    <w:abstractNumId w:val="55"/>
  </w:num>
  <w:num w:numId="8">
    <w:abstractNumId w:val="24"/>
  </w:num>
  <w:num w:numId="9">
    <w:abstractNumId w:val="53"/>
  </w:num>
  <w:num w:numId="10">
    <w:abstractNumId w:val="42"/>
  </w:num>
  <w:num w:numId="11">
    <w:abstractNumId w:val="25"/>
  </w:num>
  <w:num w:numId="12">
    <w:abstractNumId w:val="13"/>
  </w:num>
  <w:num w:numId="13">
    <w:abstractNumId w:val="39"/>
  </w:num>
  <w:num w:numId="14">
    <w:abstractNumId w:val="38"/>
  </w:num>
  <w:num w:numId="15">
    <w:abstractNumId w:val="15"/>
  </w:num>
  <w:num w:numId="16">
    <w:abstractNumId w:val="7"/>
  </w:num>
  <w:num w:numId="17">
    <w:abstractNumId w:val="26"/>
  </w:num>
  <w:num w:numId="18">
    <w:abstractNumId w:val="51"/>
  </w:num>
  <w:num w:numId="19">
    <w:abstractNumId w:val="10"/>
  </w:num>
  <w:num w:numId="20">
    <w:abstractNumId w:val="32"/>
  </w:num>
  <w:num w:numId="21">
    <w:abstractNumId w:val="44"/>
  </w:num>
  <w:num w:numId="22">
    <w:abstractNumId w:val="40"/>
  </w:num>
  <w:num w:numId="23">
    <w:abstractNumId w:val="52"/>
  </w:num>
  <w:num w:numId="24">
    <w:abstractNumId w:val="27"/>
  </w:num>
  <w:num w:numId="25">
    <w:abstractNumId w:val="29"/>
  </w:num>
  <w:num w:numId="26">
    <w:abstractNumId w:val="21"/>
  </w:num>
  <w:num w:numId="27">
    <w:abstractNumId w:val="48"/>
  </w:num>
  <w:num w:numId="28">
    <w:abstractNumId w:val="37"/>
  </w:num>
  <w:num w:numId="29">
    <w:abstractNumId w:val="14"/>
  </w:num>
  <w:num w:numId="30">
    <w:abstractNumId w:val="1"/>
  </w:num>
  <w:num w:numId="31">
    <w:abstractNumId w:val="17"/>
  </w:num>
  <w:num w:numId="32">
    <w:abstractNumId w:val="46"/>
  </w:num>
  <w:num w:numId="33">
    <w:abstractNumId w:val="35"/>
  </w:num>
  <w:num w:numId="34">
    <w:abstractNumId w:val="41"/>
  </w:num>
  <w:num w:numId="35">
    <w:abstractNumId w:val="47"/>
  </w:num>
  <w:num w:numId="36">
    <w:abstractNumId w:val="31"/>
  </w:num>
  <w:num w:numId="37">
    <w:abstractNumId w:val="45"/>
  </w:num>
  <w:num w:numId="38">
    <w:abstractNumId w:val="50"/>
  </w:num>
  <w:num w:numId="39">
    <w:abstractNumId w:val="12"/>
  </w:num>
  <w:num w:numId="40">
    <w:abstractNumId w:val="18"/>
  </w:num>
  <w:num w:numId="41">
    <w:abstractNumId w:val="30"/>
  </w:num>
  <w:num w:numId="42">
    <w:abstractNumId w:val="0"/>
  </w:num>
  <w:num w:numId="43">
    <w:abstractNumId w:val="22"/>
  </w:num>
  <w:num w:numId="44">
    <w:abstractNumId w:val="5"/>
  </w:num>
  <w:num w:numId="45">
    <w:abstractNumId w:val="8"/>
  </w:num>
  <w:num w:numId="46">
    <w:abstractNumId w:val="49"/>
  </w:num>
  <w:num w:numId="47">
    <w:abstractNumId w:val="9"/>
  </w:num>
  <w:num w:numId="48">
    <w:abstractNumId w:val="16"/>
  </w:num>
  <w:num w:numId="49">
    <w:abstractNumId w:val="11"/>
  </w:num>
  <w:num w:numId="50">
    <w:abstractNumId w:val="23"/>
  </w:num>
  <w:num w:numId="51">
    <w:abstractNumId w:val="2"/>
  </w:num>
  <w:num w:numId="52">
    <w:abstractNumId w:val="43"/>
  </w:num>
  <w:num w:numId="53">
    <w:abstractNumId w:val="19"/>
  </w:num>
  <w:num w:numId="54">
    <w:abstractNumId w:val="36"/>
  </w:num>
  <w:num w:numId="55">
    <w:abstractNumId w:val="33"/>
  </w:num>
  <w:num w:numId="56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7C"/>
    <w:rsid w:val="000027DC"/>
    <w:rsid w:val="00005545"/>
    <w:rsid w:val="00007A07"/>
    <w:rsid w:val="00011860"/>
    <w:rsid w:val="000132EF"/>
    <w:rsid w:val="000209EF"/>
    <w:rsid w:val="000244FA"/>
    <w:rsid w:val="00025179"/>
    <w:rsid w:val="000300A7"/>
    <w:rsid w:val="0003022B"/>
    <w:rsid w:val="00030439"/>
    <w:rsid w:val="00040EC1"/>
    <w:rsid w:val="000433E3"/>
    <w:rsid w:val="00043DF3"/>
    <w:rsid w:val="000454E8"/>
    <w:rsid w:val="00050982"/>
    <w:rsid w:val="00053837"/>
    <w:rsid w:val="00056FC7"/>
    <w:rsid w:val="00065C71"/>
    <w:rsid w:val="0006797C"/>
    <w:rsid w:val="00083C7A"/>
    <w:rsid w:val="00087312"/>
    <w:rsid w:val="00087952"/>
    <w:rsid w:val="000924C3"/>
    <w:rsid w:val="000955B2"/>
    <w:rsid w:val="00096A30"/>
    <w:rsid w:val="000A1C23"/>
    <w:rsid w:val="000A3637"/>
    <w:rsid w:val="000A4CB2"/>
    <w:rsid w:val="000A6E57"/>
    <w:rsid w:val="000B09AD"/>
    <w:rsid w:val="000B3E98"/>
    <w:rsid w:val="000B69B0"/>
    <w:rsid w:val="000B73F3"/>
    <w:rsid w:val="000C3173"/>
    <w:rsid w:val="000C5F5B"/>
    <w:rsid w:val="000C6BC9"/>
    <w:rsid w:val="000C7DD9"/>
    <w:rsid w:val="000D065C"/>
    <w:rsid w:val="000D7A94"/>
    <w:rsid w:val="000E06CB"/>
    <w:rsid w:val="000E407C"/>
    <w:rsid w:val="000F0697"/>
    <w:rsid w:val="000F0E7B"/>
    <w:rsid w:val="000F4BDC"/>
    <w:rsid w:val="000F66AF"/>
    <w:rsid w:val="00102AF2"/>
    <w:rsid w:val="0010373A"/>
    <w:rsid w:val="00105CDD"/>
    <w:rsid w:val="00111B08"/>
    <w:rsid w:val="0011381B"/>
    <w:rsid w:val="00115A29"/>
    <w:rsid w:val="00127CBE"/>
    <w:rsid w:val="00130EE1"/>
    <w:rsid w:val="001312E8"/>
    <w:rsid w:val="00131C78"/>
    <w:rsid w:val="00131D25"/>
    <w:rsid w:val="001359D3"/>
    <w:rsid w:val="00135C2F"/>
    <w:rsid w:val="00136AB5"/>
    <w:rsid w:val="00137178"/>
    <w:rsid w:val="001401B2"/>
    <w:rsid w:val="00141C3C"/>
    <w:rsid w:val="00142208"/>
    <w:rsid w:val="00145763"/>
    <w:rsid w:val="001475F4"/>
    <w:rsid w:val="00155869"/>
    <w:rsid w:val="00156D5E"/>
    <w:rsid w:val="00161108"/>
    <w:rsid w:val="00161818"/>
    <w:rsid w:val="00161E97"/>
    <w:rsid w:val="00161EA7"/>
    <w:rsid w:val="0016573E"/>
    <w:rsid w:val="00170187"/>
    <w:rsid w:val="0017514C"/>
    <w:rsid w:val="001758CC"/>
    <w:rsid w:val="00177D9B"/>
    <w:rsid w:val="00177E1A"/>
    <w:rsid w:val="001823EF"/>
    <w:rsid w:val="00182C9A"/>
    <w:rsid w:val="00185F24"/>
    <w:rsid w:val="001902B0"/>
    <w:rsid w:val="00194B27"/>
    <w:rsid w:val="001A22A1"/>
    <w:rsid w:val="001A4C43"/>
    <w:rsid w:val="001B46DB"/>
    <w:rsid w:val="001B63B6"/>
    <w:rsid w:val="001B6A64"/>
    <w:rsid w:val="001B7F03"/>
    <w:rsid w:val="001C726F"/>
    <w:rsid w:val="001D13FD"/>
    <w:rsid w:val="001D26C8"/>
    <w:rsid w:val="001E1466"/>
    <w:rsid w:val="001E539C"/>
    <w:rsid w:val="001E6043"/>
    <w:rsid w:val="001F2645"/>
    <w:rsid w:val="001F640B"/>
    <w:rsid w:val="00202E1C"/>
    <w:rsid w:val="002060AA"/>
    <w:rsid w:val="002069D5"/>
    <w:rsid w:val="00211036"/>
    <w:rsid w:val="00211209"/>
    <w:rsid w:val="00213C1F"/>
    <w:rsid w:val="00215E56"/>
    <w:rsid w:val="00220047"/>
    <w:rsid w:val="00220F91"/>
    <w:rsid w:val="00223CE6"/>
    <w:rsid w:val="002250C4"/>
    <w:rsid w:val="0022680E"/>
    <w:rsid w:val="00226FBD"/>
    <w:rsid w:val="002270B0"/>
    <w:rsid w:val="00230813"/>
    <w:rsid w:val="00231C59"/>
    <w:rsid w:val="002351E9"/>
    <w:rsid w:val="00235CB8"/>
    <w:rsid w:val="00240403"/>
    <w:rsid w:val="00242BBB"/>
    <w:rsid w:val="002460CC"/>
    <w:rsid w:val="002506D0"/>
    <w:rsid w:val="00251A8E"/>
    <w:rsid w:val="00253D56"/>
    <w:rsid w:val="002612D7"/>
    <w:rsid w:val="00265424"/>
    <w:rsid w:val="00266A8C"/>
    <w:rsid w:val="00275052"/>
    <w:rsid w:val="00277584"/>
    <w:rsid w:val="00277EB3"/>
    <w:rsid w:val="00282ECF"/>
    <w:rsid w:val="00293E1A"/>
    <w:rsid w:val="0029684D"/>
    <w:rsid w:val="002A3DFE"/>
    <w:rsid w:val="002A55C7"/>
    <w:rsid w:val="002A615E"/>
    <w:rsid w:val="002A7654"/>
    <w:rsid w:val="002B377B"/>
    <w:rsid w:val="002B3FC1"/>
    <w:rsid w:val="002C28CF"/>
    <w:rsid w:val="002C42C5"/>
    <w:rsid w:val="002C5560"/>
    <w:rsid w:val="002C6EBA"/>
    <w:rsid w:val="002D00A7"/>
    <w:rsid w:val="002D0A4C"/>
    <w:rsid w:val="002D1583"/>
    <w:rsid w:val="002D20DE"/>
    <w:rsid w:val="002D2A77"/>
    <w:rsid w:val="002D31F5"/>
    <w:rsid w:val="002D3CDC"/>
    <w:rsid w:val="002D3EF0"/>
    <w:rsid w:val="002E0756"/>
    <w:rsid w:val="002E0F0B"/>
    <w:rsid w:val="002E3047"/>
    <w:rsid w:val="002E342C"/>
    <w:rsid w:val="002E6BDB"/>
    <w:rsid w:val="002E729D"/>
    <w:rsid w:val="002E73B2"/>
    <w:rsid w:val="002F23AA"/>
    <w:rsid w:val="002F2FC3"/>
    <w:rsid w:val="002F3272"/>
    <w:rsid w:val="002F3D76"/>
    <w:rsid w:val="002F4216"/>
    <w:rsid w:val="002F4C4F"/>
    <w:rsid w:val="002F7279"/>
    <w:rsid w:val="00300F58"/>
    <w:rsid w:val="003023AD"/>
    <w:rsid w:val="00307A21"/>
    <w:rsid w:val="00311960"/>
    <w:rsid w:val="00315485"/>
    <w:rsid w:val="00325DC9"/>
    <w:rsid w:val="0033021F"/>
    <w:rsid w:val="00331D4A"/>
    <w:rsid w:val="003367AE"/>
    <w:rsid w:val="003410F6"/>
    <w:rsid w:val="0034134C"/>
    <w:rsid w:val="00344AD4"/>
    <w:rsid w:val="003471DC"/>
    <w:rsid w:val="003479A7"/>
    <w:rsid w:val="00350DE1"/>
    <w:rsid w:val="00355597"/>
    <w:rsid w:val="0035630A"/>
    <w:rsid w:val="0035755E"/>
    <w:rsid w:val="003579C5"/>
    <w:rsid w:val="003649FB"/>
    <w:rsid w:val="00366FD5"/>
    <w:rsid w:val="003679D4"/>
    <w:rsid w:val="00375C59"/>
    <w:rsid w:val="003865A7"/>
    <w:rsid w:val="003877D5"/>
    <w:rsid w:val="00392F0E"/>
    <w:rsid w:val="003958EC"/>
    <w:rsid w:val="003A178B"/>
    <w:rsid w:val="003A19FD"/>
    <w:rsid w:val="003A1F51"/>
    <w:rsid w:val="003A267D"/>
    <w:rsid w:val="003A721A"/>
    <w:rsid w:val="003B0C42"/>
    <w:rsid w:val="003C4FDF"/>
    <w:rsid w:val="003D0AEA"/>
    <w:rsid w:val="003D4B47"/>
    <w:rsid w:val="003D6096"/>
    <w:rsid w:val="003D6A72"/>
    <w:rsid w:val="003D6DF3"/>
    <w:rsid w:val="003E01F4"/>
    <w:rsid w:val="003E08EC"/>
    <w:rsid w:val="003E0D9D"/>
    <w:rsid w:val="003E1204"/>
    <w:rsid w:val="003E2E8E"/>
    <w:rsid w:val="003E6E2C"/>
    <w:rsid w:val="003F0BE0"/>
    <w:rsid w:val="003F529C"/>
    <w:rsid w:val="003F5F55"/>
    <w:rsid w:val="003F67D5"/>
    <w:rsid w:val="00401F97"/>
    <w:rsid w:val="00402111"/>
    <w:rsid w:val="0041676C"/>
    <w:rsid w:val="00417078"/>
    <w:rsid w:val="00434815"/>
    <w:rsid w:val="00436C49"/>
    <w:rsid w:val="00441286"/>
    <w:rsid w:val="004471F0"/>
    <w:rsid w:val="00450E29"/>
    <w:rsid w:val="00452BA9"/>
    <w:rsid w:val="0045344F"/>
    <w:rsid w:val="0045349E"/>
    <w:rsid w:val="00453641"/>
    <w:rsid w:val="00455483"/>
    <w:rsid w:val="004576FA"/>
    <w:rsid w:val="00457ACD"/>
    <w:rsid w:val="00460185"/>
    <w:rsid w:val="004601C5"/>
    <w:rsid w:val="00462238"/>
    <w:rsid w:val="00463FCF"/>
    <w:rsid w:val="004656C5"/>
    <w:rsid w:val="00466B93"/>
    <w:rsid w:val="00467218"/>
    <w:rsid w:val="004718C8"/>
    <w:rsid w:val="004813EB"/>
    <w:rsid w:val="00484450"/>
    <w:rsid w:val="00484BB5"/>
    <w:rsid w:val="00492337"/>
    <w:rsid w:val="004948FE"/>
    <w:rsid w:val="004977AD"/>
    <w:rsid w:val="00497BBF"/>
    <w:rsid w:val="004A15D4"/>
    <w:rsid w:val="004A1F9A"/>
    <w:rsid w:val="004A26BB"/>
    <w:rsid w:val="004A4FDD"/>
    <w:rsid w:val="004B2D5A"/>
    <w:rsid w:val="004B6271"/>
    <w:rsid w:val="004C0BC4"/>
    <w:rsid w:val="004C6A15"/>
    <w:rsid w:val="004D1B45"/>
    <w:rsid w:val="004E471F"/>
    <w:rsid w:val="004E4D3A"/>
    <w:rsid w:val="004E5D5C"/>
    <w:rsid w:val="004E62CA"/>
    <w:rsid w:val="004F3340"/>
    <w:rsid w:val="004F6BC6"/>
    <w:rsid w:val="00500F8C"/>
    <w:rsid w:val="0050447A"/>
    <w:rsid w:val="005047C1"/>
    <w:rsid w:val="00504D47"/>
    <w:rsid w:val="00506A66"/>
    <w:rsid w:val="00506AE8"/>
    <w:rsid w:val="005077C3"/>
    <w:rsid w:val="005153FA"/>
    <w:rsid w:val="0051607C"/>
    <w:rsid w:val="0051682B"/>
    <w:rsid w:val="0052071C"/>
    <w:rsid w:val="0052078E"/>
    <w:rsid w:val="00520D64"/>
    <w:rsid w:val="00521D5C"/>
    <w:rsid w:val="00521F93"/>
    <w:rsid w:val="005243C5"/>
    <w:rsid w:val="005303C6"/>
    <w:rsid w:val="00532200"/>
    <w:rsid w:val="005409E0"/>
    <w:rsid w:val="0054281C"/>
    <w:rsid w:val="00542FCE"/>
    <w:rsid w:val="00546ABD"/>
    <w:rsid w:val="0055340C"/>
    <w:rsid w:val="00556F74"/>
    <w:rsid w:val="005575E3"/>
    <w:rsid w:val="0056037F"/>
    <w:rsid w:val="00561A89"/>
    <w:rsid w:val="00562C20"/>
    <w:rsid w:val="00566E68"/>
    <w:rsid w:val="00567B72"/>
    <w:rsid w:val="005714BC"/>
    <w:rsid w:val="0057153D"/>
    <w:rsid w:val="00572B5C"/>
    <w:rsid w:val="00573113"/>
    <w:rsid w:val="00573962"/>
    <w:rsid w:val="0057680E"/>
    <w:rsid w:val="00576BA2"/>
    <w:rsid w:val="005779DD"/>
    <w:rsid w:val="005802FF"/>
    <w:rsid w:val="00580C48"/>
    <w:rsid w:val="00582D6E"/>
    <w:rsid w:val="00586444"/>
    <w:rsid w:val="00591950"/>
    <w:rsid w:val="00592A9D"/>
    <w:rsid w:val="00594057"/>
    <w:rsid w:val="00595A4E"/>
    <w:rsid w:val="0059784C"/>
    <w:rsid w:val="005A2822"/>
    <w:rsid w:val="005A3095"/>
    <w:rsid w:val="005A51F3"/>
    <w:rsid w:val="005A6551"/>
    <w:rsid w:val="005B3468"/>
    <w:rsid w:val="005C1402"/>
    <w:rsid w:val="005C16B9"/>
    <w:rsid w:val="005C50A1"/>
    <w:rsid w:val="005C6308"/>
    <w:rsid w:val="005D22B6"/>
    <w:rsid w:val="005D59EE"/>
    <w:rsid w:val="005E3A01"/>
    <w:rsid w:val="005E5BCF"/>
    <w:rsid w:val="005E6D49"/>
    <w:rsid w:val="005F2AE7"/>
    <w:rsid w:val="005F357C"/>
    <w:rsid w:val="005F5942"/>
    <w:rsid w:val="005F5B80"/>
    <w:rsid w:val="0060517D"/>
    <w:rsid w:val="00605AFD"/>
    <w:rsid w:val="00611478"/>
    <w:rsid w:val="00616DB9"/>
    <w:rsid w:val="00620BA0"/>
    <w:rsid w:val="006224E0"/>
    <w:rsid w:val="006233AF"/>
    <w:rsid w:val="00623830"/>
    <w:rsid w:val="00632A3C"/>
    <w:rsid w:val="00634BC8"/>
    <w:rsid w:val="00636589"/>
    <w:rsid w:val="0063661F"/>
    <w:rsid w:val="00637248"/>
    <w:rsid w:val="00637BF2"/>
    <w:rsid w:val="00637F69"/>
    <w:rsid w:val="00641457"/>
    <w:rsid w:val="0064228F"/>
    <w:rsid w:val="00642760"/>
    <w:rsid w:val="006428E7"/>
    <w:rsid w:val="006436FD"/>
    <w:rsid w:val="0064735C"/>
    <w:rsid w:val="0065085A"/>
    <w:rsid w:val="006508E3"/>
    <w:rsid w:val="00652DB4"/>
    <w:rsid w:val="006553BE"/>
    <w:rsid w:val="0065594D"/>
    <w:rsid w:val="00657A02"/>
    <w:rsid w:val="00663472"/>
    <w:rsid w:val="00663974"/>
    <w:rsid w:val="00663E81"/>
    <w:rsid w:val="00664B29"/>
    <w:rsid w:val="0066573E"/>
    <w:rsid w:val="00666DF7"/>
    <w:rsid w:val="006708A8"/>
    <w:rsid w:val="00672688"/>
    <w:rsid w:val="0068070B"/>
    <w:rsid w:val="00681818"/>
    <w:rsid w:val="00683DF1"/>
    <w:rsid w:val="00691A7A"/>
    <w:rsid w:val="00691AA2"/>
    <w:rsid w:val="00694B91"/>
    <w:rsid w:val="006A58BA"/>
    <w:rsid w:val="006A730F"/>
    <w:rsid w:val="006B4102"/>
    <w:rsid w:val="006B6E2F"/>
    <w:rsid w:val="006C220C"/>
    <w:rsid w:val="006C7E31"/>
    <w:rsid w:val="006D14D9"/>
    <w:rsid w:val="006D2C55"/>
    <w:rsid w:val="006D506A"/>
    <w:rsid w:val="006E4300"/>
    <w:rsid w:val="006E5E15"/>
    <w:rsid w:val="006F3F5F"/>
    <w:rsid w:val="0070113D"/>
    <w:rsid w:val="00703316"/>
    <w:rsid w:val="00703F51"/>
    <w:rsid w:val="0070439D"/>
    <w:rsid w:val="00704696"/>
    <w:rsid w:val="00704A35"/>
    <w:rsid w:val="00706156"/>
    <w:rsid w:val="007125E4"/>
    <w:rsid w:val="00712935"/>
    <w:rsid w:val="00712E48"/>
    <w:rsid w:val="00712FD5"/>
    <w:rsid w:val="0071759E"/>
    <w:rsid w:val="00724EDE"/>
    <w:rsid w:val="00726EC9"/>
    <w:rsid w:val="00727AA7"/>
    <w:rsid w:val="007332C5"/>
    <w:rsid w:val="00733DE3"/>
    <w:rsid w:val="007347A5"/>
    <w:rsid w:val="00736300"/>
    <w:rsid w:val="00745147"/>
    <w:rsid w:val="007548B6"/>
    <w:rsid w:val="00761DB4"/>
    <w:rsid w:val="00767865"/>
    <w:rsid w:val="00770F18"/>
    <w:rsid w:val="007711D0"/>
    <w:rsid w:val="00776A02"/>
    <w:rsid w:val="00777340"/>
    <w:rsid w:val="0078745C"/>
    <w:rsid w:val="007900B5"/>
    <w:rsid w:val="00792457"/>
    <w:rsid w:val="007A0930"/>
    <w:rsid w:val="007A1B4A"/>
    <w:rsid w:val="007A2921"/>
    <w:rsid w:val="007B1F5A"/>
    <w:rsid w:val="007D1A3C"/>
    <w:rsid w:val="007D4156"/>
    <w:rsid w:val="007D6911"/>
    <w:rsid w:val="007D7AE4"/>
    <w:rsid w:val="007E3629"/>
    <w:rsid w:val="007E4E54"/>
    <w:rsid w:val="007E52EF"/>
    <w:rsid w:val="007E7CE7"/>
    <w:rsid w:val="007F015D"/>
    <w:rsid w:val="007F6674"/>
    <w:rsid w:val="007F7BC9"/>
    <w:rsid w:val="00800141"/>
    <w:rsid w:val="0080205E"/>
    <w:rsid w:val="0080372A"/>
    <w:rsid w:val="008048DE"/>
    <w:rsid w:val="00806F01"/>
    <w:rsid w:val="00807E3D"/>
    <w:rsid w:val="00810DB1"/>
    <w:rsid w:val="00812617"/>
    <w:rsid w:val="00812ABB"/>
    <w:rsid w:val="00813CE6"/>
    <w:rsid w:val="008175BC"/>
    <w:rsid w:val="00823D51"/>
    <w:rsid w:val="0082712D"/>
    <w:rsid w:val="00827ADD"/>
    <w:rsid w:val="008347FF"/>
    <w:rsid w:val="00836629"/>
    <w:rsid w:val="008379FD"/>
    <w:rsid w:val="008411EC"/>
    <w:rsid w:val="00844E8E"/>
    <w:rsid w:val="00850BBC"/>
    <w:rsid w:val="008520A5"/>
    <w:rsid w:val="008532AE"/>
    <w:rsid w:val="008577B4"/>
    <w:rsid w:val="008625F4"/>
    <w:rsid w:val="008629A2"/>
    <w:rsid w:val="00862B99"/>
    <w:rsid w:val="00867EB7"/>
    <w:rsid w:val="0087212F"/>
    <w:rsid w:val="00872A70"/>
    <w:rsid w:val="0087332C"/>
    <w:rsid w:val="008800CC"/>
    <w:rsid w:val="00881B08"/>
    <w:rsid w:val="00882D3A"/>
    <w:rsid w:val="00883719"/>
    <w:rsid w:val="00893F29"/>
    <w:rsid w:val="0089774B"/>
    <w:rsid w:val="008A05E2"/>
    <w:rsid w:val="008A07FB"/>
    <w:rsid w:val="008A3F27"/>
    <w:rsid w:val="008A58FB"/>
    <w:rsid w:val="008A6324"/>
    <w:rsid w:val="008A6EC0"/>
    <w:rsid w:val="008A7BF7"/>
    <w:rsid w:val="008B22AB"/>
    <w:rsid w:val="008B2DE6"/>
    <w:rsid w:val="008B3897"/>
    <w:rsid w:val="008B3E12"/>
    <w:rsid w:val="008B4CFA"/>
    <w:rsid w:val="008B71B1"/>
    <w:rsid w:val="008D2669"/>
    <w:rsid w:val="008D272E"/>
    <w:rsid w:val="008D4725"/>
    <w:rsid w:val="008E0584"/>
    <w:rsid w:val="008E420F"/>
    <w:rsid w:val="008E4303"/>
    <w:rsid w:val="008E6716"/>
    <w:rsid w:val="008E6D11"/>
    <w:rsid w:val="008F0410"/>
    <w:rsid w:val="008F2109"/>
    <w:rsid w:val="009116A9"/>
    <w:rsid w:val="00915325"/>
    <w:rsid w:val="0091580F"/>
    <w:rsid w:val="009159D5"/>
    <w:rsid w:val="00920BA2"/>
    <w:rsid w:val="00920BA6"/>
    <w:rsid w:val="00921E6F"/>
    <w:rsid w:val="00925388"/>
    <w:rsid w:val="00926063"/>
    <w:rsid w:val="00926C55"/>
    <w:rsid w:val="009367BD"/>
    <w:rsid w:val="009425AE"/>
    <w:rsid w:val="00942A5E"/>
    <w:rsid w:val="0094615B"/>
    <w:rsid w:val="00946657"/>
    <w:rsid w:val="00951C2C"/>
    <w:rsid w:val="009534BB"/>
    <w:rsid w:val="00962E54"/>
    <w:rsid w:val="00964376"/>
    <w:rsid w:val="009701BB"/>
    <w:rsid w:val="00974BEC"/>
    <w:rsid w:val="00975923"/>
    <w:rsid w:val="00977558"/>
    <w:rsid w:val="00983443"/>
    <w:rsid w:val="00984216"/>
    <w:rsid w:val="00984830"/>
    <w:rsid w:val="00984EBA"/>
    <w:rsid w:val="009878BD"/>
    <w:rsid w:val="00987E9D"/>
    <w:rsid w:val="009969F8"/>
    <w:rsid w:val="009A2C00"/>
    <w:rsid w:val="009A5B8E"/>
    <w:rsid w:val="009A6D96"/>
    <w:rsid w:val="009B3774"/>
    <w:rsid w:val="009B3835"/>
    <w:rsid w:val="009B4A6C"/>
    <w:rsid w:val="009C7D21"/>
    <w:rsid w:val="009D22DA"/>
    <w:rsid w:val="009D3C73"/>
    <w:rsid w:val="009D611D"/>
    <w:rsid w:val="009D6DAB"/>
    <w:rsid w:val="009E0927"/>
    <w:rsid w:val="009E1392"/>
    <w:rsid w:val="009E277E"/>
    <w:rsid w:val="009E2D2A"/>
    <w:rsid w:val="009E56C8"/>
    <w:rsid w:val="009E62F0"/>
    <w:rsid w:val="009F4685"/>
    <w:rsid w:val="00A012AB"/>
    <w:rsid w:val="00A06B26"/>
    <w:rsid w:val="00A13E1F"/>
    <w:rsid w:val="00A160AB"/>
    <w:rsid w:val="00A16343"/>
    <w:rsid w:val="00A16C88"/>
    <w:rsid w:val="00A16D1D"/>
    <w:rsid w:val="00A22570"/>
    <w:rsid w:val="00A25CB4"/>
    <w:rsid w:val="00A25E59"/>
    <w:rsid w:val="00A26B2A"/>
    <w:rsid w:val="00A3241F"/>
    <w:rsid w:val="00A36C3A"/>
    <w:rsid w:val="00A37239"/>
    <w:rsid w:val="00A40F8B"/>
    <w:rsid w:val="00A41524"/>
    <w:rsid w:val="00A4196A"/>
    <w:rsid w:val="00A42588"/>
    <w:rsid w:val="00A4691C"/>
    <w:rsid w:val="00A4713F"/>
    <w:rsid w:val="00A50689"/>
    <w:rsid w:val="00A5370A"/>
    <w:rsid w:val="00A54804"/>
    <w:rsid w:val="00A55C26"/>
    <w:rsid w:val="00A57AAA"/>
    <w:rsid w:val="00A62AB2"/>
    <w:rsid w:val="00A64F8C"/>
    <w:rsid w:val="00A71E44"/>
    <w:rsid w:val="00A82CA1"/>
    <w:rsid w:val="00A83CFB"/>
    <w:rsid w:val="00A92301"/>
    <w:rsid w:val="00A9372C"/>
    <w:rsid w:val="00A95953"/>
    <w:rsid w:val="00A96D28"/>
    <w:rsid w:val="00A97BC3"/>
    <w:rsid w:val="00AA245A"/>
    <w:rsid w:val="00AA2F5B"/>
    <w:rsid w:val="00AA3A7C"/>
    <w:rsid w:val="00AA42A4"/>
    <w:rsid w:val="00AA7480"/>
    <w:rsid w:val="00AA7FAA"/>
    <w:rsid w:val="00AB0435"/>
    <w:rsid w:val="00AB4C18"/>
    <w:rsid w:val="00AC4130"/>
    <w:rsid w:val="00AC6333"/>
    <w:rsid w:val="00AC648E"/>
    <w:rsid w:val="00AD2082"/>
    <w:rsid w:val="00AD6722"/>
    <w:rsid w:val="00AD7134"/>
    <w:rsid w:val="00AD7214"/>
    <w:rsid w:val="00AE1942"/>
    <w:rsid w:val="00AF44F2"/>
    <w:rsid w:val="00AF4915"/>
    <w:rsid w:val="00AF4D16"/>
    <w:rsid w:val="00AF656A"/>
    <w:rsid w:val="00B01C2F"/>
    <w:rsid w:val="00B04357"/>
    <w:rsid w:val="00B04381"/>
    <w:rsid w:val="00B054F8"/>
    <w:rsid w:val="00B07DE7"/>
    <w:rsid w:val="00B12816"/>
    <w:rsid w:val="00B168E1"/>
    <w:rsid w:val="00B16CCD"/>
    <w:rsid w:val="00B22BA3"/>
    <w:rsid w:val="00B24565"/>
    <w:rsid w:val="00B245F3"/>
    <w:rsid w:val="00B24D6A"/>
    <w:rsid w:val="00B26DCA"/>
    <w:rsid w:val="00B33539"/>
    <w:rsid w:val="00B3794C"/>
    <w:rsid w:val="00B40DB5"/>
    <w:rsid w:val="00B4322F"/>
    <w:rsid w:val="00B44E64"/>
    <w:rsid w:val="00B513BA"/>
    <w:rsid w:val="00B52EBA"/>
    <w:rsid w:val="00B54172"/>
    <w:rsid w:val="00B55579"/>
    <w:rsid w:val="00B6285D"/>
    <w:rsid w:val="00B638E9"/>
    <w:rsid w:val="00B64A9B"/>
    <w:rsid w:val="00B67845"/>
    <w:rsid w:val="00B7031D"/>
    <w:rsid w:val="00B76DF5"/>
    <w:rsid w:val="00B7774F"/>
    <w:rsid w:val="00B80CA0"/>
    <w:rsid w:val="00B81E75"/>
    <w:rsid w:val="00B8668D"/>
    <w:rsid w:val="00B86A92"/>
    <w:rsid w:val="00B952F6"/>
    <w:rsid w:val="00B96F82"/>
    <w:rsid w:val="00B97180"/>
    <w:rsid w:val="00BA1E48"/>
    <w:rsid w:val="00BA346F"/>
    <w:rsid w:val="00BA5546"/>
    <w:rsid w:val="00BB0D90"/>
    <w:rsid w:val="00BB143B"/>
    <w:rsid w:val="00BB2320"/>
    <w:rsid w:val="00BB2C65"/>
    <w:rsid w:val="00BC0D74"/>
    <w:rsid w:val="00BC2AF9"/>
    <w:rsid w:val="00BC3827"/>
    <w:rsid w:val="00BC3A1E"/>
    <w:rsid w:val="00BC78B1"/>
    <w:rsid w:val="00BD1A52"/>
    <w:rsid w:val="00BD376D"/>
    <w:rsid w:val="00BD3960"/>
    <w:rsid w:val="00BD618E"/>
    <w:rsid w:val="00BE7EED"/>
    <w:rsid w:val="00BF1283"/>
    <w:rsid w:val="00BF1DCD"/>
    <w:rsid w:val="00BF2950"/>
    <w:rsid w:val="00BF46A0"/>
    <w:rsid w:val="00C00556"/>
    <w:rsid w:val="00C0089E"/>
    <w:rsid w:val="00C00AD1"/>
    <w:rsid w:val="00C02F9B"/>
    <w:rsid w:val="00C0311B"/>
    <w:rsid w:val="00C04E0D"/>
    <w:rsid w:val="00C05AAF"/>
    <w:rsid w:val="00C05DF9"/>
    <w:rsid w:val="00C07D28"/>
    <w:rsid w:val="00C1037F"/>
    <w:rsid w:val="00C13620"/>
    <w:rsid w:val="00C168C9"/>
    <w:rsid w:val="00C215E6"/>
    <w:rsid w:val="00C22359"/>
    <w:rsid w:val="00C27446"/>
    <w:rsid w:val="00C302CD"/>
    <w:rsid w:val="00C3112E"/>
    <w:rsid w:val="00C46732"/>
    <w:rsid w:val="00C540B3"/>
    <w:rsid w:val="00C5415A"/>
    <w:rsid w:val="00C54AC2"/>
    <w:rsid w:val="00C631EC"/>
    <w:rsid w:val="00C66636"/>
    <w:rsid w:val="00C67164"/>
    <w:rsid w:val="00C717E1"/>
    <w:rsid w:val="00C720C4"/>
    <w:rsid w:val="00C72612"/>
    <w:rsid w:val="00C7371E"/>
    <w:rsid w:val="00C73E88"/>
    <w:rsid w:val="00C813BA"/>
    <w:rsid w:val="00C9357B"/>
    <w:rsid w:val="00C956AC"/>
    <w:rsid w:val="00C97369"/>
    <w:rsid w:val="00CA3685"/>
    <w:rsid w:val="00CA4E84"/>
    <w:rsid w:val="00CA739A"/>
    <w:rsid w:val="00CA7F33"/>
    <w:rsid w:val="00CB0175"/>
    <w:rsid w:val="00CB1780"/>
    <w:rsid w:val="00CB3CAA"/>
    <w:rsid w:val="00CB5473"/>
    <w:rsid w:val="00CB6AFA"/>
    <w:rsid w:val="00CB7AB0"/>
    <w:rsid w:val="00CB7FC0"/>
    <w:rsid w:val="00CC4E45"/>
    <w:rsid w:val="00CD1768"/>
    <w:rsid w:val="00CD42A3"/>
    <w:rsid w:val="00CD5FAA"/>
    <w:rsid w:val="00CE31A6"/>
    <w:rsid w:val="00CE4DFA"/>
    <w:rsid w:val="00CE51E0"/>
    <w:rsid w:val="00CF06DF"/>
    <w:rsid w:val="00CF32D6"/>
    <w:rsid w:val="00CF4394"/>
    <w:rsid w:val="00CF4D37"/>
    <w:rsid w:val="00D0397F"/>
    <w:rsid w:val="00D043C8"/>
    <w:rsid w:val="00D04612"/>
    <w:rsid w:val="00D055E8"/>
    <w:rsid w:val="00D12D8A"/>
    <w:rsid w:val="00D144C9"/>
    <w:rsid w:val="00D146C6"/>
    <w:rsid w:val="00D14BB2"/>
    <w:rsid w:val="00D1620A"/>
    <w:rsid w:val="00D1685A"/>
    <w:rsid w:val="00D16C28"/>
    <w:rsid w:val="00D173F8"/>
    <w:rsid w:val="00D22436"/>
    <w:rsid w:val="00D23DF0"/>
    <w:rsid w:val="00D277AE"/>
    <w:rsid w:val="00D4008F"/>
    <w:rsid w:val="00D40C1F"/>
    <w:rsid w:val="00D411E0"/>
    <w:rsid w:val="00D41C88"/>
    <w:rsid w:val="00D438E7"/>
    <w:rsid w:val="00D43BCB"/>
    <w:rsid w:val="00D5696E"/>
    <w:rsid w:val="00D660B0"/>
    <w:rsid w:val="00D72F3F"/>
    <w:rsid w:val="00D809D8"/>
    <w:rsid w:val="00D828E9"/>
    <w:rsid w:val="00D8297B"/>
    <w:rsid w:val="00D82AFC"/>
    <w:rsid w:val="00D82F94"/>
    <w:rsid w:val="00D91856"/>
    <w:rsid w:val="00D976A7"/>
    <w:rsid w:val="00DA6694"/>
    <w:rsid w:val="00DA6C2D"/>
    <w:rsid w:val="00DB37D5"/>
    <w:rsid w:val="00DB3E94"/>
    <w:rsid w:val="00DB62C7"/>
    <w:rsid w:val="00DC15D4"/>
    <w:rsid w:val="00DC3D9C"/>
    <w:rsid w:val="00DD250F"/>
    <w:rsid w:val="00DD48CD"/>
    <w:rsid w:val="00DD4BC9"/>
    <w:rsid w:val="00DE0398"/>
    <w:rsid w:val="00DE2EED"/>
    <w:rsid w:val="00DE484E"/>
    <w:rsid w:val="00DE5096"/>
    <w:rsid w:val="00DE6855"/>
    <w:rsid w:val="00DF0BBB"/>
    <w:rsid w:val="00DF194C"/>
    <w:rsid w:val="00DF24AA"/>
    <w:rsid w:val="00DF7879"/>
    <w:rsid w:val="00E07FD7"/>
    <w:rsid w:val="00E107DE"/>
    <w:rsid w:val="00E11A0D"/>
    <w:rsid w:val="00E12367"/>
    <w:rsid w:val="00E13A4C"/>
    <w:rsid w:val="00E14B74"/>
    <w:rsid w:val="00E16472"/>
    <w:rsid w:val="00E240DE"/>
    <w:rsid w:val="00E24114"/>
    <w:rsid w:val="00E25BFD"/>
    <w:rsid w:val="00E26BA0"/>
    <w:rsid w:val="00E34534"/>
    <w:rsid w:val="00E3636C"/>
    <w:rsid w:val="00E36B5B"/>
    <w:rsid w:val="00E401B3"/>
    <w:rsid w:val="00E44A68"/>
    <w:rsid w:val="00E51ACF"/>
    <w:rsid w:val="00E550DD"/>
    <w:rsid w:val="00E56A4F"/>
    <w:rsid w:val="00E57263"/>
    <w:rsid w:val="00E6195C"/>
    <w:rsid w:val="00E62C60"/>
    <w:rsid w:val="00E63004"/>
    <w:rsid w:val="00E63BC7"/>
    <w:rsid w:val="00E65EB9"/>
    <w:rsid w:val="00E710C3"/>
    <w:rsid w:val="00E82B37"/>
    <w:rsid w:val="00E8736E"/>
    <w:rsid w:val="00E921AF"/>
    <w:rsid w:val="00E93D33"/>
    <w:rsid w:val="00E95299"/>
    <w:rsid w:val="00E95AFF"/>
    <w:rsid w:val="00E9610D"/>
    <w:rsid w:val="00EA236F"/>
    <w:rsid w:val="00EA43AC"/>
    <w:rsid w:val="00EB0A3A"/>
    <w:rsid w:val="00EB26CA"/>
    <w:rsid w:val="00EB33B5"/>
    <w:rsid w:val="00EC4F51"/>
    <w:rsid w:val="00EC6D5C"/>
    <w:rsid w:val="00EC6FE2"/>
    <w:rsid w:val="00ED08EE"/>
    <w:rsid w:val="00ED323E"/>
    <w:rsid w:val="00ED3F1E"/>
    <w:rsid w:val="00EE1117"/>
    <w:rsid w:val="00EE319F"/>
    <w:rsid w:val="00EE5D14"/>
    <w:rsid w:val="00EE7182"/>
    <w:rsid w:val="00EF3437"/>
    <w:rsid w:val="00F00B1A"/>
    <w:rsid w:val="00F021E3"/>
    <w:rsid w:val="00F02A86"/>
    <w:rsid w:val="00F04F70"/>
    <w:rsid w:val="00F07EFD"/>
    <w:rsid w:val="00F108A2"/>
    <w:rsid w:val="00F15F3D"/>
    <w:rsid w:val="00F21140"/>
    <w:rsid w:val="00F259F5"/>
    <w:rsid w:val="00F26AFB"/>
    <w:rsid w:val="00F27E09"/>
    <w:rsid w:val="00F37322"/>
    <w:rsid w:val="00F454B2"/>
    <w:rsid w:val="00F46910"/>
    <w:rsid w:val="00F506C9"/>
    <w:rsid w:val="00F51D98"/>
    <w:rsid w:val="00F52CA7"/>
    <w:rsid w:val="00F5373B"/>
    <w:rsid w:val="00F55550"/>
    <w:rsid w:val="00F560EA"/>
    <w:rsid w:val="00F60CAF"/>
    <w:rsid w:val="00F61CEB"/>
    <w:rsid w:val="00F62D47"/>
    <w:rsid w:val="00F742D0"/>
    <w:rsid w:val="00F756D6"/>
    <w:rsid w:val="00F81238"/>
    <w:rsid w:val="00F844F7"/>
    <w:rsid w:val="00F84972"/>
    <w:rsid w:val="00F90A92"/>
    <w:rsid w:val="00F91129"/>
    <w:rsid w:val="00F93822"/>
    <w:rsid w:val="00F97BF0"/>
    <w:rsid w:val="00FA2A01"/>
    <w:rsid w:val="00FA3B2E"/>
    <w:rsid w:val="00FB0BF1"/>
    <w:rsid w:val="00FB42B2"/>
    <w:rsid w:val="00FB48D7"/>
    <w:rsid w:val="00FB61C1"/>
    <w:rsid w:val="00FB739C"/>
    <w:rsid w:val="00FC0FDD"/>
    <w:rsid w:val="00FD1639"/>
    <w:rsid w:val="00FE118E"/>
    <w:rsid w:val="00FF1DF3"/>
    <w:rsid w:val="00FF20E5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B3DE"/>
  <w15:docId w15:val="{CB0BB4DD-0B1B-4554-BE45-CDCCC03D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FB0BF1"/>
    <w:pPr>
      <w:keepNext/>
      <w:spacing w:after="0"/>
      <w:jc w:val="left"/>
      <w:outlineLvl w:val="0"/>
    </w:pPr>
    <w:rPr>
      <w:rFonts w:cs="Arial"/>
      <w:b/>
      <w:bCs/>
      <w:caps/>
      <w:kern w:val="32"/>
      <w:sz w:val="16"/>
      <w:szCs w:val="16"/>
      <w:lang w:val="sk-SK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68070B"/>
    <w:pPr>
      <w:keepNext/>
      <w:numPr>
        <w:numId w:val="40"/>
      </w:numPr>
      <w:spacing w:after="0"/>
      <w:ind w:left="567" w:hanging="567"/>
      <w:jc w:val="left"/>
      <w:outlineLvl w:val="1"/>
    </w:pPr>
    <w:rPr>
      <w:rFonts w:cs="Arial"/>
      <w:b/>
      <w:bCs/>
      <w:caps/>
      <w:sz w:val="22"/>
      <w:szCs w:val="22"/>
      <w:lang w:val="sk-SK"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val="sk-SK"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68070B"/>
    <w:rPr>
      <w:rFonts w:cs="Arial"/>
      <w:b/>
      <w:bCs/>
      <w:caps/>
      <w:lang w:val="sk-SK"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val="sk-SK"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FB0BF1"/>
    <w:rPr>
      <w:rFonts w:cs="Arial"/>
      <w:b/>
      <w:bCs/>
      <w:caps/>
      <w:kern w:val="32"/>
      <w:sz w:val="16"/>
      <w:szCs w:val="16"/>
      <w:lang w:val="sk-SK" w:eastAsia="de-DE"/>
    </w:rPr>
  </w:style>
  <w:style w:type="character" w:styleId="Sil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  <w:style w:type="paragraph" w:customStyle="1" w:styleId="CM27">
    <w:name w:val="CM27"/>
    <w:basedOn w:val="Normlny"/>
    <w:next w:val="Normlny"/>
    <w:uiPriority w:val="99"/>
    <w:rsid w:val="00F844F7"/>
    <w:pPr>
      <w:widowControl w:val="0"/>
      <w:autoSpaceDE w:val="0"/>
      <w:autoSpaceDN w:val="0"/>
      <w:adjustRightInd w:val="0"/>
      <w:spacing w:after="508" w:line="276" w:lineRule="auto"/>
      <w:jc w:val="left"/>
    </w:pPr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9FEE-54BB-4B18-8D1B-D64C2D779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18B95-F901-4AE1-8760-93E3708B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5054</Words>
  <Characters>28812</Characters>
  <Application>Microsoft Office Word</Application>
  <DocSecurity>0</DocSecurity>
  <Lines>240</Lines>
  <Paragraphs>67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33799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Petriková, Miroslava</cp:lastModifiedBy>
  <cp:revision>28</cp:revision>
  <cp:lastPrinted>2015-01-29T14:19:00Z</cp:lastPrinted>
  <dcterms:created xsi:type="dcterms:W3CDTF">2018-01-11T09:52:00Z</dcterms:created>
  <dcterms:modified xsi:type="dcterms:W3CDTF">2018-03-16T13:24:00Z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  <property fmtid="{D5CDD505-2E9C-101B-9397-08002B2CF9AE}" pid="5" name="_AdHocReviewCycleID">
    <vt:i4>-1747998961</vt:i4>
  </property>
  <property fmtid="{D5CDD505-2E9C-101B-9397-08002B2CF9AE}" pid="6" name="_EmailSubject">
    <vt:lpwstr>IBALGIN Junior 200 mg/IBALGIN 400 mg peroralna susp. vo vrecku </vt:lpwstr>
  </property>
  <property fmtid="{D5CDD505-2E9C-101B-9397-08002B2CF9AE}" pid="7" name="_AuthorEmail">
    <vt:lpwstr>Miroslava.Laifrova@sanofi.com</vt:lpwstr>
  </property>
  <property fmtid="{D5CDD505-2E9C-101B-9397-08002B2CF9AE}" pid="8" name="_AuthorEmailDisplayName">
    <vt:lpwstr>Laifrova, Miroslava /SK</vt:lpwstr>
  </property>
  <property fmtid="{D5CDD505-2E9C-101B-9397-08002B2CF9AE}" pid="9" name="_ReviewingToolsShownOnce">
    <vt:lpwstr/>
  </property>
</Properties>
</file>