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062D3" w14:textId="77777777" w:rsidR="00B45E2D" w:rsidRPr="00C04354" w:rsidRDefault="00B45E2D" w:rsidP="00B45E2D">
      <w:pPr>
        <w:jc w:val="center"/>
        <w:rPr>
          <w:b/>
          <w:caps/>
          <w:sz w:val="22"/>
          <w:szCs w:val="22"/>
          <w:lang w:val="sk-SK"/>
        </w:rPr>
      </w:pPr>
      <w:r w:rsidRPr="00C04354">
        <w:rPr>
          <w:b/>
          <w:caps/>
          <w:sz w:val="22"/>
          <w:szCs w:val="22"/>
          <w:lang w:val="sk-SK"/>
        </w:rPr>
        <w:t>Súhrn charakteristických vlastností lieku</w:t>
      </w:r>
    </w:p>
    <w:p w14:paraId="40BC0F32" w14:textId="77777777" w:rsidR="00710FA9" w:rsidRPr="00C04354" w:rsidRDefault="00710FA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099FC324" w14:textId="77777777" w:rsidR="00710FA9" w:rsidRPr="00C04354" w:rsidRDefault="00710FA9" w:rsidP="000754EE">
      <w:pPr>
        <w:rPr>
          <w:sz w:val="22"/>
          <w:szCs w:val="22"/>
          <w:lang w:val="sk-SK"/>
        </w:rPr>
      </w:pPr>
    </w:p>
    <w:p w14:paraId="510DE49D" w14:textId="77777777" w:rsidR="00786071" w:rsidRPr="00C04354" w:rsidRDefault="00E50541" w:rsidP="00EE5AB9">
      <w:pPr>
        <w:pStyle w:val="AmmAnnexeTitre1"/>
        <w:tabs>
          <w:tab w:val="clear" w:pos="357"/>
          <w:tab w:val="left" w:pos="540"/>
        </w:tabs>
        <w:spacing w:before="0" w:after="0"/>
        <w:ind w:left="0" w:firstLine="0"/>
        <w:jc w:val="left"/>
        <w:rPr>
          <w:rFonts w:ascii="Times New Roman" w:hAnsi="Times New Roman"/>
          <w:color w:val="auto"/>
          <w:szCs w:val="22"/>
          <w:lang w:val="sk-SK"/>
        </w:rPr>
      </w:pPr>
      <w:r w:rsidRPr="00C04354">
        <w:rPr>
          <w:rFonts w:ascii="Times New Roman" w:hAnsi="Times New Roman"/>
          <w:color w:val="auto"/>
          <w:szCs w:val="22"/>
          <w:lang w:val="sk-SK"/>
        </w:rPr>
        <w:t>1.</w:t>
      </w:r>
      <w:r w:rsidRPr="00C04354">
        <w:rPr>
          <w:rFonts w:ascii="Times New Roman" w:hAnsi="Times New Roman"/>
          <w:color w:val="auto"/>
          <w:szCs w:val="22"/>
          <w:lang w:val="sk-SK"/>
        </w:rPr>
        <w:tab/>
        <w:t xml:space="preserve">NÁZOV </w:t>
      </w:r>
      <w:r w:rsidRPr="00C04354">
        <w:rPr>
          <w:rFonts w:ascii="Times New Roman" w:hAnsi="Times New Roman"/>
          <w:caps w:val="0"/>
          <w:color w:val="auto"/>
          <w:lang w:val="sk-SK"/>
        </w:rPr>
        <w:t>LIEKU</w:t>
      </w:r>
      <w:r w:rsidRPr="00C04354">
        <w:rPr>
          <w:rFonts w:ascii="Times New Roman" w:hAnsi="Times New Roman"/>
          <w:color w:val="auto"/>
          <w:szCs w:val="22"/>
          <w:lang w:val="sk-SK"/>
        </w:rPr>
        <w:t xml:space="preserve"> </w:t>
      </w:r>
    </w:p>
    <w:p w14:paraId="1D083F24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5B8202C" w14:textId="77777777" w:rsidR="00042B48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[</w:t>
      </w:r>
      <w:r w:rsidRPr="00C04354">
        <w:rPr>
          <w:sz w:val="22"/>
          <w:szCs w:val="22"/>
          <w:vertAlign w:val="superscript"/>
          <w:lang w:val="sk-SK"/>
        </w:rPr>
        <w:t>18</w:t>
      </w:r>
      <w:r w:rsidRPr="00C04354">
        <w:rPr>
          <w:sz w:val="22"/>
          <w:szCs w:val="22"/>
          <w:lang w:val="sk-SK"/>
        </w:rPr>
        <w:t>F]</w:t>
      </w:r>
      <w:proofErr w:type="spellStart"/>
      <w:r w:rsidRPr="00C04354">
        <w:rPr>
          <w:sz w:val="22"/>
          <w:szCs w:val="22"/>
          <w:lang w:val="sk-SK"/>
        </w:rPr>
        <w:t>FDG-FR</w:t>
      </w:r>
      <w:proofErr w:type="spellEnd"/>
      <w:r w:rsidRPr="00C04354">
        <w:rPr>
          <w:sz w:val="22"/>
          <w:szCs w:val="22"/>
          <w:lang w:val="sk-SK"/>
        </w:rPr>
        <w:t xml:space="preserve"> </w:t>
      </w:r>
    </w:p>
    <w:p w14:paraId="071E1BC6" w14:textId="23B6F50E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b/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300-3100 </w:t>
      </w:r>
      <w:proofErr w:type="spellStart"/>
      <w:r w:rsidRPr="00C04354">
        <w:rPr>
          <w:sz w:val="22"/>
          <w:szCs w:val="22"/>
          <w:lang w:val="sk-SK"/>
        </w:rPr>
        <w:t>MBq</w:t>
      </w:r>
      <w:proofErr w:type="spellEnd"/>
      <w:r w:rsidRPr="00C04354">
        <w:rPr>
          <w:sz w:val="22"/>
          <w:szCs w:val="22"/>
          <w:lang w:val="sk-SK"/>
        </w:rPr>
        <w:t>/ml, injekčný roztok</w:t>
      </w:r>
    </w:p>
    <w:p w14:paraId="291C2FC2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3960DB20" w14:textId="77777777" w:rsidR="00710FA9" w:rsidRPr="00C04354" w:rsidRDefault="00710FA9" w:rsidP="00B506A5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3C33690" w14:textId="77777777" w:rsidR="00710FA9" w:rsidRPr="00C04354" w:rsidRDefault="00E50541" w:rsidP="00F0461F">
      <w:pPr>
        <w:tabs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2.</w:t>
      </w:r>
      <w:r w:rsidRPr="00C04354">
        <w:rPr>
          <w:b/>
          <w:sz w:val="22"/>
          <w:szCs w:val="22"/>
          <w:lang w:val="sk-SK"/>
        </w:rPr>
        <w:tab/>
        <w:t>KVALITATÍVNE A KVANTITATÍVNE ZLOŽENIE</w:t>
      </w:r>
    </w:p>
    <w:p w14:paraId="03110749" w14:textId="77777777" w:rsidR="00710FA9" w:rsidRPr="00C04354" w:rsidRDefault="00710FA9" w:rsidP="00A86B7F">
      <w:pPr>
        <w:tabs>
          <w:tab w:val="left" w:pos="426"/>
        </w:tabs>
        <w:rPr>
          <w:sz w:val="22"/>
          <w:szCs w:val="22"/>
          <w:lang w:val="sk-SK"/>
        </w:rPr>
      </w:pPr>
    </w:p>
    <w:p w14:paraId="2867FF9B" w14:textId="01AF11BC" w:rsidR="00786071" w:rsidRPr="00C04354" w:rsidRDefault="00E50541" w:rsidP="00EE5AB9">
      <w:pPr>
        <w:rPr>
          <w:sz w:val="22"/>
          <w:lang w:val="sk-SK"/>
        </w:rPr>
      </w:pPr>
      <w:r w:rsidRPr="00C04354">
        <w:rPr>
          <w:sz w:val="22"/>
          <w:szCs w:val="22"/>
          <w:lang w:val="sk-SK"/>
        </w:rPr>
        <w:t>1 ml injekčného roztoku</w:t>
      </w:r>
      <w:r w:rsidRPr="00C04354">
        <w:rPr>
          <w:lang w:val="sk-SK"/>
        </w:rPr>
        <w:t xml:space="preserve"> obsahuje 300 – 3100 </w:t>
      </w:r>
      <w:proofErr w:type="spellStart"/>
      <w:r w:rsidRPr="00C04354">
        <w:rPr>
          <w:sz w:val="22"/>
          <w:szCs w:val="22"/>
          <w:lang w:val="sk-SK"/>
        </w:rPr>
        <w:t>MBq</w:t>
      </w:r>
      <w:proofErr w:type="spellEnd"/>
      <w:r w:rsidRPr="00C04354">
        <w:rPr>
          <w:lang w:val="sk-SK"/>
        </w:rPr>
        <w:t xml:space="preserve"> </w:t>
      </w:r>
      <w:proofErr w:type="spellStart"/>
      <w:r w:rsidRPr="00C04354">
        <w:rPr>
          <w:sz w:val="22"/>
          <w:szCs w:val="22"/>
          <w:lang w:val="sk-SK"/>
        </w:rPr>
        <w:t>fludeoxyglukózy</w:t>
      </w:r>
      <w:proofErr w:type="spellEnd"/>
      <w:r w:rsidRPr="00C04354">
        <w:rPr>
          <w:sz w:val="22"/>
          <w:szCs w:val="22"/>
          <w:lang w:val="sk-SK"/>
        </w:rPr>
        <w:t> 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sz w:val="22"/>
            <w:szCs w:val="22"/>
            <w:vertAlign w:val="superscript"/>
            <w:lang w:val="sk-SK"/>
          </w:rPr>
          <w:t>18</w:t>
        </w:r>
        <w:r w:rsidRPr="00C04354">
          <w:rPr>
            <w:sz w:val="22"/>
            <w:szCs w:val="22"/>
            <w:lang w:val="sk-SK"/>
          </w:rPr>
          <w:t>F</w:t>
        </w:r>
      </w:smartTag>
      <w:r w:rsidRPr="00C04354">
        <w:rPr>
          <w:sz w:val="22"/>
          <w:szCs w:val="22"/>
          <w:lang w:val="sk-SK"/>
        </w:rPr>
        <w:t xml:space="preserve">) </w:t>
      </w:r>
      <w:r w:rsidRPr="00C04354">
        <w:rPr>
          <w:lang w:val="sk-SK"/>
        </w:rPr>
        <w:t>v dni a v čase kalibrácie.</w:t>
      </w:r>
    </w:p>
    <w:p w14:paraId="38C5AA30" w14:textId="77777777" w:rsidR="00786071" w:rsidRPr="00C04354" w:rsidRDefault="00786071" w:rsidP="00EE5AB9">
      <w:pPr>
        <w:rPr>
          <w:sz w:val="22"/>
          <w:lang w:val="sk-SK"/>
        </w:rPr>
      </w:pPr>
    </w:p>
    <w:p w14:paraId="121EB4DA" w14:textId="44DB4900" w:rsidR="00786071" w:rsidRPr="00C04354" w:rsidRDefault="00E50541" w:rsidP="00EE5AB9">
      <w:pPr>
        <w:pStyle w:val="Zarkazkladnhotextu"/>
        <w:ind w:left="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Fluór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>) sa s polčasom rozpadu 110 minút rozkladá na stabilný kyslík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O) vyžiarením pozitrónu s energiou 634 </w:t>
      </w:r>
      <w:proofErr w:type="spellStart"/>
      <w:r w:rsidRPr="00C04354">
        <w:rPr>
          <w:rFonts w:ascii="Times New Roman" w:hAnsi="Times New Roman"/>
          <w:szCs w:val="22"/>
          <w:lang w:val="sk-SK"/>
        </w:rPr>
        <w:t>keV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a následným vyžiarením </w:t>
      </w:r>
      <w:proofErr w:type="spellStart"/>
      <w:r w:rsidRPr="00C04354">
        <w:rPr>
          <w:rFonts w:ascii="Times New Roman" w:hAnsi="Times New Roman"/>
          <w:szCs w:val="22"/>
          <w:lang w:val="sk-SK"/>
        </w:rPr>
        <w:t>anihilačných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fotónov s energiou 511 </w:t>
      </w:r>
      <w:proofErr w:type="spellStart"/>
      <w:r w:rsidRPr="00C04354">
        <w:rPr>
          <w:rFonts w:ascii="Times New Roman" w:hAnsi="Times New Roman"/>
          <w:szCs w:val="22"/>
          <w:lang w:val="sk-SK"/>
        </w:rPr>
        <w:t>keV</w:t>
      </w:r>
      <w:proofErr w:type="spellEnd"/>
      <w:r w:rsidRPr="00C04354">
        <w:rPr>
          <w:rFonts w:ascii="Times New Roman" w:hAnsi="Times New Roman"/>
          <w:szCs w:val="22"/>
          <w:lang w:val="sk-SK"/>
        </w:rPr>
        <w:t>.</w:t>
      </w:r>
    </w:p>
    <w:p w14:paraId="3F0CD8A0" w14:textId="77777777" w:rsidR="00786071" w:rsidRPr="00C04354" w:rsidRDefault="00786071" w:rsidP="00EE5AB9">
      <w:pPr>
        <w:pStyle w:val="Zkladntext2"/>
        <w:rPr>
          <w:rFonts w:ascii="Times New Roman" w:hAnsi="Times New Roman"/>
          <w:sz w:val="22"/>
          <w:szCs w:val="22"/>
          <w:lang w:val="sk-SK"/>
        </w:rPr>
      </w:pPr>
    </w:p>
    <w:p w14:paraId="6ADF4C43" w14:textId="77777777" w:rsidR="00786071" w:rsidRPr="00C04354" w:rsidRDefault="00E50541" w:rsidP="00EE5AB9">
      <w:pPr>
        <w:pStyle w:val="Zkladntext2"/>
        <w:rPr>
          <w:rFonts w:ascii="Times New Roman" w:hAnsi="Times New Roman"/>
          <w:sz w:val="22"/>
          <w:szCs w:val="22"/>
          <w:lang w:val="sk-SK"/>
        </w:rPr>
      </w:pPr>
      <w:r w:rsidRPr="00C04354">
        <w:rPr>
          <w:rFonts w:ascii="Times New Roman" w:hAnsi="Times New Roman"/>
          <w:sz w:val="22"/>
          <w:szCs w:val="22"/>
          <w:lang w:val="sk-SK"/>
        </w:rPr>
        <w:t>Pomocné látky so známym účinkom: &lt; 3400 µg etanolu/ml</w:t>
      </w:r>
    </w:p>
    <w:p w14:paraId="137D93E3" w14:textId="77777777" w:rsidR="00786071" w:rsidRPr="00C04354" w:rsidRDefault="00786071" w:rsidP="00EE5AB9">
      <w:pPr>
        <w:pStyle w:val="Zkladntext2"/>
        <w:rPr>
          <w:rFonts w:ascii="Times New Roman" w:hAnsi="Times New Roman"/>
          <w:sz w:val="22"/>
          <w:lang w:val="sk-SK"/>
        </w:rPr>
      </w:pPr>
    </w:p>
    <w:p w14:paraId="539F3485" w14:textId="77777777" w:rsidR="00786071" w:rsidRPr="00C04354" w:rsidRDefault="00E50541" w:rsidP="00EE5AB9">
      <w:pPr>
        <w:spacing w:before="40" w:after="40"/>
        <w:rPr>
          <w:sz w:val="22"/>
          <w:lang w:val="sk-SK"/>
        </w:rPr>
      </w:pPr>
      <w:r w:rsidRPr="00C04354">
        <w:rPr>
          <w:bCs/>
          <w:noProof/>
          <w:sz w:val="22"/>
          <w:szCs w:val="22"/>
          <w:lang w:val="sk-SK" w:eastAsia="sk-SK"/>
        </w:rPr>
        <w:t xml:space="preserve">Úplný </w:t>
      </w:r>
      <w:r w:rsidRPr="00C04354">
        <w:rPr>
          <w:sz w:val="22"/>
          <w:szCs w:val="22"/>
          <w:lang w:val="sk-SK"/>
        </w:rPr>
        <w:t>zoznam pomocných látok, pozri časť 6.1.</w:t>
      </w:r>
    </w:p>
    <w:p w14:paraId="1DAEAFFB" w14:textId="77777777" w:rsidR="00710FA9" w:rsidRPr="00C04354" w:rsidRDefault="00710FA9" w:rsidP="00FF47A9">
      <w:pPr>
        <w:pStyle w:val="Pta"/>
        <w:tabs>
          <w:tab w:val="clear" w:pos="4536"/>
          <w:tab w:val="clear" w:pos="9072"/>
        </w:tabs>
        <w:rPr>
          <w:sz w:val="22"/>
          <w:lang w:val="sk-SK"/>
        </w:rPr>
      </w:pPr>
    </w:p>
    <w:p w14:paraId="51A1E59B" w14:textId="77777777" w:rsidR="00B45E2D" w:rsidRPr="00C04354" w:rsidRDefault="00B45E2D" w:rsidP="00F0461F">
      <w:pPr>
        <w:rPr>
          <w:sz w:val="22"/>
          <w:lang w:val="sk-SK"/>
        </w:rPr>
      </w:pPr>
    </w:p>
    <w:p w14:paraId="4AF258B4" w14:textId="77777777" w:rsidR="00710FA9" w:rsidRPr="00C04354" w:rsidRDefault="00E50541" w:rsidP="00A86B7F">
      <w:pPr>
        <w:tabs>
          <w:tab w:val="left" w:pos="540"/>
        </w:tabs>
        <w:rPr>
          <w:caps/>
          <w:sz w:val="22"/>
          <w:lang w:val="sk-SK"/>
        </w:rPr>
      </w:pPr>
      <w:r w:rsidRPr="00C04354">
        <w:rPr>
          <w:b/>
          <w:sz w:val="22"/>
          <w:lang w:val="sk-SK"/>
        </w:rPr>
        <w:t>3.</w:t>
      </w:r>
      <w:r w:rsidRPr="00C04354">
        <w:rPr>
          <w:b/>
          <w:sz w:val="22"/>
          <w:lang w:val="sk-SK"/>
        </w:rPr>
        <w:tab/>
      </w:r>
      <w:r w:rsidRPr="00C04354">
        <w:rPr>
          <w:b/>
          <w:noProof/>
          <w:sz w:val="22"/>
          <w:szCs w:val="22"/>
          <w:lang w:val="sk-SK" w:eastAsia="sk-SK"/>
        </w:rPr>
        <w:t>LIEKOVÁ</w:t>
      </w:r>
      <w:r w:rsidRPr="00C04354">
        <w:rPr>
          <w:b/>
          <w:sz w:val="22"/>
          <w:szCs w:val="22"/>
          <w:lang w:val="sk-SK"/>
        </w:rPr>
        <w:t xml:space="preserve"> FORMA</w:t>
      </w:r>
    </w:p>
    <w:p w14:paraId="4E41D2B9" w14:textId="77777777" w:rsidR="00710FA9" w:rsidRPr="00C04354" w:rsidRDefault="00710FA9">
      <w:pPr>
        <w:rPr>
          <w:sz w:val="22"/>
          <w:lang w:val="sk-SK"/>
        </w:rPr>
      </w:pPr>
    </w:p>
    <w:p w14:paraId="4E3DDB2C" w14:textId="77777777" w:rsidR="00786071" w:rsidRPr="00C04354" w:rsidRDefault="00E50541" w:rsidP="00EE5AB9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Injekčný roztok </w:t>
      </w:r>
    </w:p>
    <w:p w14:paraId="360E0A44" w14:textId="77777777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Priehľadný bezfarebný roztok</w:t>
      </w:r>
    </w:p>
    <w:p w14:paraId="53ACA007" w14:textId="77777777" w:rsidR="00710FA9" w:rsidRPr="00C04354" w:rsidRDefault="00710FA9" w:rsidP="00FF47A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08417C5" w14:textId="77777777" w:rsidR="00485AAC" w:rsidRPr="00C04354" w:rsidRDefault="00485AAC" w:rsidP="00FF47A9">
      <w:pPr>
        <w:rPr>
          <w:sz w:val="22"/>
          <w:u w:val="single"/>
          <w:lang w:val="sk-SK"/>
        </w:rPr>
      </w:pPr>
    </w:p>
    <w:p w14:paraId="06909146" w14:textId="77777777" w:rsidR="00710FA9" w:rsidRPr="00C04354" w:rsidRDefault="00E50541" w:rsidP="00F0461F">
      <w:pPr>
        <w:tabs>
          <w:tab w:val="left" w:pos="540"/>
        </w:tabs>
        <w:rPr>
          <w:b/>
          <w:caps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4.</w:t>
      </w:r>
      <w:r w:rsidRPr="00C04354">
        <w:rPr>
          <w:b/>
          <w:sz w:val="22"/>
          <w:szCs w:val="22"/>
          <w:lang w:val="sk-SK"/>
        </w:rPr>
        <w:tab/>
        <w:t xml:space="preserve">KLINICKÉ </w:t>
      </w:r>
      <w:r w:rsidRPr="00C04354">
        <w:rPr>
          <w:b/>
          <w:caps/>
          <w:noProof/>
          <w:sz w:val="22"/>
          <w:szCs w:val="22"/>
          <w:lang w:val="sk-SK" w:eastAsia="sk-SK"/>
        </w:rPr>
        <w:t>ÚDAJE</w:t>
      </w:r>
      <w:r w:rsidRPr="00C04354">
        <w:rPr>
          <w:b/>
          <w:sz w:val="22"/>
          <w:szCs w:val="22"/>
          <w:lang w:val="sk-SK"/>
        </w:rPr>
        <w:t xml:space="preserve"> </w:t>
      </w:r>
    </w:p>
    <w:p w14:paraId="7321E073" w14:textId="77777777" w:rsidR="00786071" w:rsidRPr="00C04354" w:rsidRDefault="00786071" w:rsidP="00EE5AB9">
      <w:pPr>
        <w:tabs>
          <w:tab w:val="left" w:pos="540"/>
        </w:tabs>
        <w:rPr>
          <w:sz w:val="22"/>
          <w:szCs w:val="22"/>
          <w:lang w:val="sk-SK"/>
        </w:rPr>
      </w:pPr>
    </w:p>
    <w:p w14:paraId="75AC9A8E" w14:textId="77777777" w:rsidR="00786071" w:rsidRPr="00C04354" w:rsidRDefault="00E50541" w:rsidP="00EE5AB9">
      <w:pPr>
        <w:tabs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4.1</w:t>
      </w:r>
      <w:r w:rsidRPr="00C04354">
        <w:rPr>
          <w:b/>
          <w:sz w:val="22"/>
          <w:szCs w:val="22"/>
          <w:lang w:val="sk-SK"/>
        </w:rPr>
        <w:tab/>
        <w:t>Terapeutické indikácie</w:t>
      </w:r>
    </w:p>
    <w:p w14:paraId="79B2204F" w14:textId="77777777" w:rsidR="00786071" w:rsidRPr="00C04354" w:rsidRDefault="00786071" w:rsidP="00EE5AB9">
      <w:pPr>
        <w:rPr>
          <w:sz w:val="22"/>
          <w:szCs w:val="22"/>
          <w:lang w:val="sk-SK"/>
        </w:rPr>
      </w:pPr>
    </w:p>
    <w:p w14:paraId="418E781A" w14:textId="77777777" w:rsidR="00786071" w:rsidRPr="00C04354" w:rsidRDefault="00E50541" w:rsidP="00EE5AB9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Tento liek je len na diagnostické použitie.</w:t>
      </w:r>
    </w:p>
    <w:p w14:paraId="11A24B99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1A3AF15E" w14:textId="384A597A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proofErr w:type="spellStart"/>
      <w:r w:rsidRPr="00C04354">
        <w:rPr>
          <w:sz w:val="22"/>
          <w:szCs w:val="22"/>
          <w:lang w:val="sk-SK"/>
        </w:rPr>
        <w:t>Fludeoxyglukóza</w:t>
      </w:r>
      <w:proofErr w:type="spellEnd"/>
      <w:r w:rsidRPr="00C04354">
        <w:rPr>
          <w:sz w:val="22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sz w:val="22"/>
            <w:szCs w:val="22"/>
            <w:vertAlign w:val="superscript"/>
            <w:lang w:val="sk-SK"/>
          </w:rPr>
          <w:t>18</w:t>
        </w:r>
        <w:r w:rsidRPr="00C04354">
          <w:rPr>
            <w:sz w:val="22"/>
            <w:szCs w:val="22"/>
            <w:lang w:val="sk-SK"/>
          </w:rPr>
          <w:t>F</w:t>
        </w:r>
      </w:smartTag>
      <w:r w:rsidRPr="00C04354">
        <w:rPr>
          <w:sz w:val="22"/>
          <w:szCs w:val="22"/>
          <w:lang w:val="sk-SK"/>
        </w:rPr>
        <w:t>) je indikovaná na vyšetrenie s pozitrónovou emisnou tomografiou (</w:t>
      </w:r>
      <w:proofErr w:type="spellStart"/>
      <w:r w:rsidRPr="00C04354">
        <w:rPr>
          <w:sz w:val="22"/>
          <w:szCs w:val="22"/>
          <w:lang w:val="sk-SK"/>
        </w:rPr>
        <w:t>PET</w:t>
      </w:r>
      <w:proofErr w:type="spellEnd"/>
      <w:r w:rsidRPr="00C04354">
        <w:rPr>
          <w:sz w:val="22"/>
          <w:szCs w:val="22"/>
          <w:lang w:val="sk-SK"/>
        </w:rPr>
        <w:t>) u dospelých a u pediatrickej populácie.</w:t>
      </w:r>
    </w:p>
    <w:p w14:paraId="624A733F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5D341865" w14:textId="77777777" w:rsidR="00786071" w:rsidRPr="00C04354" w:rsidRDefault="00E50541" w:rsidP="00EE5AB9">
      <w:pPr>
        <w:pStyle w:val="Nadpis5"/>
        <w:jc w:val="left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Onkológia</w:t>
      </w:r>
    </w:p>
    <w:p w14:paraId="3298B2BC" w14:textId="77777777" w:rsidR="00710FA9" w:rsidRPr="00C04354" w:rsidRDefault="00710FA9" w:rsidP="00FF47A9">
      <w:pPr>
        <w:rPr>
          <w:sz w:val="22"/>
          <w:szCs w:val="22"/>
          <w:lang w:val="sk-SK"/>
        </w:rPr>
      </w:pPr>
    </w:p>
    <w:p w14:paraId="270D9A2F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[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F]</w:t>
      </w:r>
      <w:proofErr w:type="spellStart"/>
      <w:r w:rsidRPr="00C04354">
        <w:rPr>
          <w:rFonts w:ascii="Times New Roman" w:hAnsi="Times New Roman"/>
          <w:szCs w:val="22"/>
          <w:lang w:val="sk-SK"/>
        </w:rPr>
        <w:t>FDG-FR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je určený na zobrazovanie u pacientov podstupujúcich onkologické diagnostické postupy popisujúce funkciu alebo ochorenia, u ktorých je zvýšené vychytávanie glukózy v špecifických orgánoch a tkanivách diagnostickým cieľom. Nasledovné indikácie sú dostatočne zdokumentované (pozri časť 4.4):</w:t>
      </w:r>
    </w:p>
    <w:p w14:paraId="4FE0C647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D237D63" w14:textId="77777777" w:rsidR="00710FA9" w:rsidRPr="00C04354" w:rsidRDefault="00E50541" w:rsidP="000754EE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szCs w:val="22"/>
          <w:u w:val="single"/>
          <w:lang w:val="sk-SK"/>
        </w:rPr>
        <w:t>Diagnóza:</w:t>
      </w:r>
    </w:p>
    <w:p w14:paraId="558E38DF" w14:textId="77777777" w:rsidR="008E3F07" w:rsidRPr="00C04354" w:rsidRDefault="008E3F07" w:rsidP="000754EE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4C28B13B" w14:textId="0EF3CF0E" w:rsidR="00710FA9" w:rsidRPr="00C04354" w:rsidRDefault="00E50541" w:rsidP="00196DF1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-</w:t>
      </w:r>
      <w:r w:rsidRPr="00C04354">
        <w:rPr>
          <w:sz w:val="22"/>
          <w:szCs w:val="22"/>
          <w:lang w:val="sk-SK"/>
        </w:rPr>
        <w:tab/>
        <w:t xml:space="preserve">Charakteristika solitárneho pľúcneho uzla </w:t>
      </w:r>
    </w:p>
    <w:p w14:paraId="10FB284D" w14:textId="20A1CB4C" w:rsidR="00710FA9" w:rsidRPr="00C04354" w:rsidRDefault="00E50541" w:rsidP="00196DF1">
      <w:pPr>
        <w:rPr>
          <w:sz w:val="22"/>
          <w:szCs w:val="22"/>
          <w:lang w:val="sk-SK"/>
        </w:rPr>
      </w:pPr>
      <w:r w:rsidRPr="00C04354">
        <w:rPr>
          <w:szCs w:val="22"/>
          <w:lang w:val="sk-SK"/>
        </w:rPr>
        <w:t>-</w:t>
      </w:r>
      <w:r w:rsidRPr="00C04354">
        <w:rPr>
          <w:szCs w:val="22"/>
          <w:lang w:val="sk-SK"/>
        </w:rPr>
        <w:tab/>
        <w:t xml:space="preserve">Detekcia rakoviny neznámeho pôvodu, prejavujúca sa napríklad krčnou </w:t>
      </w:r>
      <w:r w:rsidRPr="00C04354">
        <w:rPr>
          <w:szCs w:val="22"/>
          <w:lang w:val="sk-SK"/>
        </w:rPr>
        <w:tab/>
      </w:r>
      <w:proofErr w:type="spellStart"/>
      <w:r w:rsidRPr="00C04354">
        <w:rPr>
          <w:szCs w:val="22"/>
          <w:lang w:val="sk-SK"/>
        </w:rPr>
        <w:t>lymfadenopatiou</w:t>
      </w:r>
      <w:proofErr w:type="spellEnd"/>
      <w:r w:rsidRPr="00C04354">
        <w:rPr>
          <w:szCs w:val="22"/>
          <w:lang w:val="sk-SK"/>
        </w:rPr>
        <w:t xml:space="preserve">, </w:t>
      </w:r>
      <w:r w:rsidRPr="00C04354">
        <w:rPr>
          <w:sz w:val="22"/>
          <w:szCs w:val="22"/>
          <w:lang w:val="sk-SK"/>
        </w:rPr>
        <w:t>pečeňovými alebo kostnými metastázami</w:t>
      </w:r>
    </w:p>
    <w:p w14:paraId="0E45D304" w14:textId="0D6C984E" w:rsidR="00710FA9" w:rsidRDefault="00E50541" w:rsidP="00196DF1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-</w:t>
      </w:r>
      <w:r w:rsidRPr="00C04354">
        <w:rPr>
          <w:sz w:val="22"/>
          <w:szCs w:val="22"/>
          <w:lang w:val="sk-SK"/>
        </w:rPr>
        <w:tab/>
        <w:t>Charakterizácia masy pankreasu</w:t>
      </w:r>
    </w:p>
    <w:p w14:paraId="0EC92C76" w14:textId="77777777" w:rsidR="00381E39" w:rsidRDefault="00381E39" w:rsidP="00196DF1">
      <w:pPr>
        <w:rPr>
          <w:sz w:val="22"/>
          <w:szCs w:val="22"/>
          <w:lang w:val="sk-SK"/>
        </w:rPr>
      </w:pPr>
    </w:p>
    <w:p w14:paraId="56BB593F" w14:textId="77777777" w:rsidR="00381E39" w:rsidRPr="00C04354" w:rsidRDefault="00381E39" w:rsidP="00196DF1">
      <w:pPr>
        <w:rPr>
          <w:sz w:val="22"/>
          <w:szCs w:val="22"/>
          <w:lang w:val="sk-SK"/>
        </w:rPr>
        <w:sectPr w:rsidR="00381E39" w:rsidRPr="00C04354" w:rsidSect="00381E3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26"/>
        </w:sectPr>
      </w:pPr>
    </w:p>
    <w:p w14:paraId="27BCE70B" w14:textId="77777777" w:rsidR="00710FA9" w:rsidRPr="00C04354" w:rsidRDefault="00E50541" w:rsidP="00F0461F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C04354">
        <w:rPr>
          <w:rFonts w:ascii="Times New Roman" w:hAnsi="Times New Roman"/>
          <w:szCs w:val="22"/>
          <w:u w:val="single"/>
          <w:lang w:val="sk-SK"/>
        </w:rPr>
        <w:lastRenderedPageBreak/>
        <w:t>Staging</w:t>
      </w:r>
      <w:proofErr w:type="spellEnd"/>
      <w:r w:rsidRPr="00C04354">
        <w:rPr>
          <w:rFonts w:ascii="Times New Roman" w:hAnsi="Times New Roman"/>
          <w:szCs w:val="22"/>
          <w:u w:val="single"/>
          <w:lang w:val="sk-SK"/>
        </w:rPr>
        <w:t>:</w:t>
      </w:r>
    </w:p>
    <w:p w14:paraId="14F85961" w14:textId="77777777" w:rsidR="00710FA9" w:rsidRPr="00C04354" w:rsidRDefault="00710FA9" w:rsidP="00A86B7F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1689A38D" w14:textId="1B3BD041" w:rsidR="00786071" w:rsidRPr="00C04354" w:rsidRDefault="00710FA9" w:rsidP="00EE5AB9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trike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Nádory hlavy a krku vrátane pomoci pri riadenej </w:t>
      </w:r>
      <w:proofErr w:type="spellStart"/>
      <w:r w:rsidRPr="00C04354">
        <w:rPr>
          <w:rFonts w:ascii="Times New Roman" w:hAnsi="Times New Roman"/>
          <w:szCs w:val="22"/>
          <w:lang w:val="sk-SK"/>
        </w:rPr>
        <w:t>biopsii</w:t>
      </w:r>
      <w:proofErr w:type="spellEnd"/>
    </w:p>
    <w:p w14:paraId="39540C60" w14:textId="0563546A" w:rsidR="00786071" w:rsidRPr="00C04354" w:rsidRDefault="00710FA9" w:rsidP="00EE5AB9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Primárna rakovina pľúc </w:t>
      </w:r>
    </w:p>
    <w:p w14:paraId="686B8288" w14:textId="6E494F00" w:rsidR="00786071" w:rsidRPr="00C04354" w:rsidRDefault="00710FA9" w:rsidP="00EE5AB9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Rakovina pažeráka</w:t>
      </w:r>
    </w:p>
    <w:p w14:paraId="7F7B9C6E" w14:textId="04790606" w:rsidR="00786071" w:rsidRPr="00C04354" w:rsidRDefault="00710FA9" w:rsidP="00EE5AB9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Kolorektálny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karcinóm obzvlášť pri stanovovaní </w:t>
      </w:r>
      <w:proofErr w:type="spellStart"/>
      <w:r w:rsidRPr="00C04354">
        <w:rPr>
          <w:rFonts w:ascii="Times New Roman" w:hAnsi="Times New Roman"/>
          <w:szCs w:val="22"/>
          <w:lang w:val="sk-SK"/>
        </w:rPr>
        <w:t>restagingu</w:t>
      </w:r>
      <w:proofErr w:type="spellEnd"/>
    </w:p>
    <w:p w14:paraId="442D1FEC" w14:textId="4A6B67C3" w:rsidR="00786071" w:rsidRPr="00C04354" w:rsidRDefault="00710FA9" w:rsidP="00EE5AB9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Malígny </w:t>
      </w:r>
      <w:proofErr w:type="spellStart"/>
      <w:r w:rsidRPr="00C04354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122E733C" w14:textId="4CA514EC" w:rsidR="00786071" w:rsidRPr="00C04354" w:rsidRDefault="00710FA9" w:rsidP="00EE5AB9">
      <w:pPr>
        <w:pStyle w:val="Zkladntext"/>
        <w:numPr>
          <w:ilvl w:val="0"/>
          <w:numId w:val="10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Malígny melanóm, </w:t>
      </w:r>
      <w:proofErr w:type="spellStart"/>
      <w:r w:rsidRPr="00C04354">
        <w:rPr>
          <w:rFonts w:ascii="Times New Roman" w:hAnsi="Times New Roman"/>
          <w:szCs w:val="22"/>
          <w:lang w:val="sk-SK"/>
        </w:rPr>
        <w:t>Breslow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&gt;</w:t>
      </w:r>
      <w:smartTag w:uri="urn:schemas-microsoft-com:office:smarttags" w:element="metricconverter">
        <w:smartTagPr>
          <w:attr w:name="ProductID" w:val="1,5 mm"/>
        </w:smartTagPr>
        <w:r w:rsidRPr="00C04354">
          <w:rPr>
            <w:rFonts w:ascii="Times New Roman" w:hAnsi="Times New Roman"/>
            <w:szCs w:val="22"/>
            <w:lang w:val="sk-SK"/>
          </w:rPr>
          <w:t>1,5 mm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 alebo metastáza v lymfatickej uzline pri prvej diagnóze</w:t>
      </w:r>
    </w:p>
    <w:p w14:paraId="1B0777C0" w14:textId="77777777" w:rsidR="00710FA9" w:rsidRPr="00C04354" w:rsidRDefault="00710FA9" w:rsidP="00F0461F">
      <w:pPr>
        <w:pStyle w:val="Zkladntext"/>
        <w:rPr>
          <w:rFonts w:ascii="Times New Roman" w:eastAsia="MS Mincho" w:hAnsi="Times New Roman"/>
          <w:szCs w:val="22"/>
          <w:u w:val="single"/>
          <w:lang w:val="sk-SK"/>
        </w:rPr>
      </w:pPr>
    </w:p>
    <w:p w14:paraId="0889C803" w14:textId="77777777" w:rsidR="00710FA9" w:rsidRPr="00C04354" w:rsidRDefault="00E50541" w:rsidP="00A86B7F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szCs w:val="22"/>
          <w:u w:val="single"/>
          <w:lang w:val="sk-SK"/>
        </w:rPr>
        <w:t>Monitorovanie terapeutickej odpovede:</w:t>
      </w:r>
    </w:p>
    <w:p w14:paraId="28CAC49A" w14:textId="77777777" w:rsidR="00710FA9" w:rsidRPr="00C04354" w:rsidRDefault="00710FA9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05E5138D" w14:textId="1EAA1723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Malígny </w:t>
      </w:r>
      <w:proofErr w:type="spellStart"/>
      <w:r w:rsidRPr="00C04354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402BC643" w14:textId="699367E7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Nádory hlavy a krku</w:t>
      </w:r>
    </w:p>
    <w:p w14:paraId="6A61E176" w14:textId="77777777" w:rsidR="00710FA9" w:rsidRPr="00C04354" w:rsidRDefault="00710FA9" w:rsidP="000754EE">
      <w:pPr>
        <w:pStyle w:val="Zkladntext"/>
        <w:rPr>
          <w:rFonts w:ascii="Times New Roman" w:eastAsia="MS Mincho" w:hAnsi="Times New Roman"/>
          <w:szCs w:val="22"/>
          <w:u w:val="single"/>
          <w:lang w:val="sk-SK"/>
        </w:rPr>
      </w:pPr>
    </w:p>
    <w:p w14:paraId="48136600" w14:textId="77777777" w:rsidR="00710FA9" w:rsidRPr="00C04354" w:rsidRDefault="00E50541" w:rsidP="00F0461F">
      <w:pPr>
        <w:pStyle w:val="Zkladntex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szCs w:val="22"/>
          <w:u w:val="single"/>
          <w:lang w:val="sk-SK"/>
        </w:rPr>
        <w:t>Detekcia v prípade odôvodneného podozrenia z </w:t>
      </w:r>
      <w:proofErr w:type="spellStart"/>
      <w:r w:rsidRPr="00C04354">
        <w:rPr>
          <w:rFonts w:ascii="Times New Roman" w:hAnsi="Times New Roman"/>
          <w:szCs w:val="22"/>
          <w:u w:val="single"/>
          <w:lang w:val="sk-SK"/>
        </w:rPr>
        <w:t>rekurencie</w:t>
      </w:r>
      <w:proofErr w:type="spellEnd"/>
      <w:r w:rsidRPr="00C04354">
        <w:rPr>
          <w:rFonts w:ascii="Times New Roman" w:hAnsi="Times New Roman"/>
          <w:szCs w:val="22"/>
          <w:u w:val="single"/>
          <w:lang w:val="sk-SK"/>
        </w:rPr>
        <w:t>:</w:t>
      </w:r>
    </w:p>
    <w:p w14:paraId="2B3CEAB0" w14:textId="77777777" w:rsidR="00710FA9" w:rsidRPr="00C04354" w:rsidRDefault="00710FA9" w:rsidP="00A86B7F">
      <w:pPr>
        <w:pStyle w:val="Zkladntext"/>
        <w:rPr>
          <w:rFonts w:ascii="Times New Roman" w:hAnsi="Times New Roman"/>
          <w:szCs w:val="22"/>
          <w:u w:val="single"/>
          <w:lang w:val="sk-SK"/>
        </w:rPr>
      </w:pPr>
    </w:p>
    <w:p w14:paraId="5B042FDD" w14:textId="1AB8DD0B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eastAsia="MS Mincho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Glióm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 vysokým stupňom malignity (</w:t>
      </w:r>
      <w:proofErr w:type="spellStart"/>
      <w:r w:rsidRPr="00C04354">
        <w:rPr>
          <w:rFonts w:ascii="Times New Roman" w:hAnsi="Times New Roman"/>
          <w:szCs w:val="22"/>
          <w:lang w:val="sk-SK"/>
        </w:rPr>
        <w:t>III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C04354">
        <w:rPr>
          <w:rFonts w:ascii="Times New Roman" w:hAnsi="Times New Roman"/>
          <w:szCs w:val="22"/>
          <w:lang w:val="sk-SK"/>
        </w:rPr>
        <w:t>IV</w:t>
      </w:r>
      <w:proofErr w:type="spellEnd"/>
      <w:r w:rsidRPr="00C04354">
        <w:rPr>
          <w:rFonts w:ascii="Times New Roman" w:hAnsi="Times New Roman"/>
          <w:szCs w:val="22"/>
          <w:lang w:val="sk-SK"/>
        </w:rPr>
        <w:t>)</w:t>
      </w:r>
    </w:p>
    <w:p w14:paraId="4AAD0787" w14:textId="6CA86D4C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Nádory hlavy a krku</w:t>
      </w:r>
    </w:p>
    <w:p w14:paraId="6B06A281" w14:textId="087442BC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Primárna rakovina pľúc (pozri časť 4.4)</w:t>
      </w:r>
    </w:p>
    <w:p w14:paraId="78950E3E" w14:textId="3F58FB86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Kolorektálny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karcinóm</w:t>
      </w:r>
    </w:p>
    <w:p w14:paraId="09506992" w14:textId="0EE76E5A" w:rsidR="00786071" w:rsidRPr="00C04354" w:rsidRDefault="00710FA9" w:rsidP="00EE5AB9">
      <w:pPr>
        <w:pStyle w:val="Zkladntext"/>
        <w:numPr>
          <w:ilvl w:val="0"/>
          <w:numId w:val="11"/>
        </w:numPr>
        <w:ind w:hanging="72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Malígny </w:t>
      </w:r>
      <w:proofErr w:type="spellStart"/>
      <w:r w:rsidRPr="00C04354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6CEEC20E" w14:textId="77777777" w:rsidR="00786071" w:rsidRPr="00C04354" w:rsidRDefault="00786071" w:rsidP="00EE5AB9">
      <w:pPr>
        <w:pStyle w:val="Zkladntext"/>
        <w:rPr>
          <w:rFonts w:ascii="Times New Roman" w:hAnsi="Times New Roman"/>
          <w:szCs w:val="22"/>
          <w:lang w:val="sk-SK"/>
        </w:rPr>
      </w:pPr>
    </w:p>
    <w:p w14:paraId="1E977FE2" w14:textId="77777777" w:rsidR="00786071" w:rsidRPr="00C04354" w:rsidRDefault="00E50541" w:rsidP="00EE5AB9">
      <w:pPr>
        <w:pStyle w:val="Zkladntex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Kardiológia</w:t>
      </w:r>
    </w:p>
    <w:p w14:paraId="3511D10D" w14:textId="77777777" w:rsidR="00710FA9" w:rsidRPr="00C04354" w:rsidRDefault="00710FA9" w:rsidP="0016153E">
      <w:pPr>
        <w:pStyle w:val="Zkladntext"/>
        <w:rPr>
          <w:rFonts w:ascii="Times New Roman" w:hAnsi="Times New Roman"/>
          <w:szCs w:val="22"/>
          <w:lang w:val="sk-SK"/>
        </w:rPr>
      </w:pPr>
    </w:p>
    <w:p w14:paraId="078DB24C" w14:textId="77777777" w:rsidR="00786071" w:rsidRPr="00C04354" w:rsidRDefault="00E50541" w:rsidP="00EE5AB9">
      <w:pPr>
        <w:pStyle w:val="Zarkazkladnhotextu"/>
        <w:tabs>
          <w:tab w:val="left" w:pos="360"/>
        </w:tabs>
        <w:ind w:left="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Diagnostický cieľ pri kardiologických indikáciách je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viabilné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C04354">
        <w:rPr>
          <w:rFonts w:ascii="Times New Roman" w:hAnsi="Times New Roman"/>
          <w:szCs w:val="22"/>
          <w:lang w:val="sk-SK"/>
        </w:rPr>
        <w:t>myokardiálne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tkanivo, ktoré vychytáva</w:t>
      </w:r>
    </w:p>
    <w:p w14:paraId="61FDC787" w14:textId="77777777" w:rsidR="00786071" w:rsidRPr="00C04354" w:rsidRDefault="00E50541" w:rsidP="00EE5AB9">
      <w:pPr>
        <w:pStyle w:val="Zarkazkladnhotextu"/>
        <w:tabs>
          <w:tab w:val="left" w:pos="360"/>
        </w:tabs>
        <w:ind w:left="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glukózu, ale keďže je znížene prekrvené, musí byť predtým vyšetrené použitím</w:t>
      </w:r>
    </w:p>
    <w:p w14:paraId="5FDC6F8A" w14:textId="77777777" w:rsidR="00786071" w:rsidRPr="00C04354" w:rsidRDefault="00E50541" w:rsidP="00EE5AB9">
      <w:pPr>
        <w:pStyle w:val="Zarkazkladnhotextu"/>
        <w:tabs>
          <w:tab w:val="left" w:pos="360"/>
        </w:tabs>
        <w:ind w:left="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vhodných zobrazovacích techník na zobrazenie krvného prietoku.</w:t>
      </w:r>
    </w:p>
    <w:p w14:paraId="26AFF7BF" w14:textId="77777777" w:rsidR="00786071" w:rsidRPr="00C04354" w:rsidRDefault="00786071" w:rsidP="00EE5AB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625854" w14:textId="3252CBF0" w:rsidR="00786071" w:rsidRPr="00C04354" w:rsidRDefault="000754EE" w:rsidP="00EE5AB9">
      <w:pPr>
        <w:pStyle w:val="Zarkazkladnhotextu2"/>
        <w:tabs>
          <w:tab w:val="left" w:pos="540"/>
          <w:tab w:val="num" w:pos="993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-</w:t>
      </w:r>
      <w:r w:rsidRPr="00C04354">
        <w:rPr>
          <w:sz w:val="22"/>
          <w:szCs w:val="22"/>
          <w:lang w:val="sk-SK"/>
        </w:rPr>
        <w:tab/>
      </w:r>
      <w:r w:rsidR="00710FA9" w:rsidRPr="00C04354">
        <w:rPr>
          <w:sz w:val="22"/>
          <w:szCs w:val="22"/>
          <w:lang w:val="sk-SK"/>
        </w:rPr>
        <w:t xml:space="preserve">Hodnotenie </w:t>
      </w:r>
      <w:proofErr w:type="spellStart"/>
      <w:r w:rsidR="00710FA9" w:rsidRPr="00C04354">
        <w:rPr>
          <w:sz w:val="22"/>
          <w:szCs w:val="22"/>
          <w:lang w:val="sk-SK"/>
        </w:rPr>
        <w:t>viability</w:t>
      </w:r>
      <w:proofErr w:type="spellEnd"/>
      <w:r w:rsidR="00710FA9" w:rsidRPr="00C04354">
        <w:rPr>
          <w:sz w:val="22"/>
          <w:szCs w:val="22"/>
          <w:lang w:val="sk-SK"/>
        </w:rPr>
        <w:t xml:space="preserve"> myokardu u pacientov s ťažkou poruchou funkcie</w:t>
      </w:r>
      <w:r w:rsidRPr="00C04354">
        <w:rPr>
          <w:sz w:val="22"/>
          <w:szCs w:val="22"/>
          <w:lang w:val="sk-SK"/>
        </w:rPr>
        <w:t xml:space="preserve"> </w:t>
      </w:r>
      <w:r w:rsidR="00710FA9" w:rsidRPr="00C04354">
        <w:rPr>
          <w:sz w:val="22"/>
          <w:szCs w:val="22"/>
          <w:lang w:val="sk-SK"/>
        </w:rPr>
        <w:t xml:space="preserve">ľavej komory, ktorí </w:t>
      </w:r>
      <w:r w:rsidR="00E50541" w:rsidRPr="00C04354">
        <w:rPr>
          <w:sz w:val="22"/>
          <w:szCs w:val="22"/>
          <w:lang w:val="sk-SK"/>
        </w:rPr>
        <w:t xml:space="preserve">sú </w:t>
      </w:r>
      <w:r w:rsidR="00E50541" w:rsidRPr="00C04354">
        <w:rPr>
          <w:sz w:val="22"/>
          <w:szCs w:val="22"/>
          <w:lang w:val="sk-SK"/>
        </w:rPr>
        <w:tab/>
        <w:t xml:space="preserve">kandidátmi na </w:t>
      </w:r>
      <w:proofErr w:type="spellStart"/>
      <w:r w:rsidR="00E50541" w:rsidRPr="00C04354">
        <w:rPr>
          <w:sz w:val="22"/>
          <w:szCs w:val="22"/>
          <w:lang w:val="sk-SK"/>
        </w:rPr>
        <w:t>revaskularizáciu</w:t>
      </w:r>
      <w:proofErr w:type="spellEnd"/>
      <w:r w:rsidR="00E50541" w:rsidRPr="00C04354">
        <w:rPr>
          <w:sz w:val="22"/>
          <w:szCs w:val="22"/>
          <w:lang w:val="sk-SK"/>
        </w:rPr>
        <w:t>, keď konvenčné zobrazovacie metódy neprinášajú výsledky.</w:t>
      </w:r>
    </w:p>
    <w:p w14:paraId="1BE350AE" w14:textId="77777777" w:rsidR="00786071" w:rsidRPr="00C04354" w:rsidRDefault="00786071" w:rsidP="00EE5AB9">
      <w:pPr>
        <w:pStyle w:val="Zkladntext"/>
        <w:rPr>
          <w:rFonts w:ascii="Times New Roman" w:hAnsi="Times New Roman"/>
          <w:szCs w:val="22"/>
          <w:lang w:val="sk-SK"/>
        </w:rPr>
      </w:pPr>
    </w:p>
    <w:p w14:paraId="7A9AE598" w14:textId="77777777" w:rsidR="00710FA9" w:rsidRPr="00C04354" w:rsidRDefault="00E50541" w:rsidP="0016153E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Neurológia</w:t>
      </w:r>
    </w:p>
    <w:p w14:paraId="2366F5E0" w14:textId="77777777" w:rsidR="00710FA9" w:rsidRPr="00C04354" w:rsidRDefault="00710FA9" w:rsidP="00A86B7F">
      <w:pPr>
        <w:pStyle w:val="Zkladntext"/>
        <w:rPr>
          <w:rFonts w:ascii="Times New Roman" w:hAnsi="Times New Roman"/>
          <w:szCs w:val="22"/>
          <w:lang w:val="sk-SK"/>
        </w:rPr>
      </w:pPr>
    </w:p>
    <w:p w14:paraId="3FF35D61" w14:textId="77777777" w:rsidR="00786071" w:rsidRPr="00C04354" w:rsidRDefault="00E50541" w:rsidP="00EE5AB9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Diagnostickým cieľom pri neurologických indikáciách je dočasný glukózový </w:t>
      </w:r>
      <w:proofErr w:type="spellStart"/>
      <w:r w:rsidRPr="00C04354">
        <w:rPr>
          <w:rFonts w:ascii="Times New Roman" w:hAnsi="Times New Roman"/>
          <w:szCs w:val="22"/>
          <w:lang w:val="sk-SK"/>
        </w:rPr>
        <w:t>hypometabolizmus</w:t>
      </w:r>
      <w:proofErr w:type="spellEnd"/>
      <w:r w:rsidRPr="00C04354">
        <w:rPr>
          <w:rFonts w:ascii="Times New Roman" w:hAnsi="Times New Roman"/>
          <w:szCs w:val="22"/>
          <w:lang w:val="sk-SK"/>
        </w:rPr>
        <w:t>.</w:t>
      </w:r>
    </w:p>
    <w:p w14:paraId="76522541" w14:textId="77777777" w:rsidR="00786071" w:rsidRPr="00C04354" w:rsidRDefault="00786071" w:rsidP="00EE5AB9">
      <w:pPr>
        <w:pStyle w:val="Zkladntext"/>
        <w:rPr>
          <w:rFonts w:ascii="Times New Roman" w:hAnsi="Times New Roman"/>
          <w:szCs w:val="22"/>
          <w:lang w:val="sk-SK"/>
        </w:rPr>
      </w:pPr>
    </w:p>
    <w:p w14:paraId="486C38B5" w14:textId="4F63143C" w:rsidR="00786071" w:rsidRPr="00C04354" w:rsidRDefault="000754EE" w:rsidP="00EE5AB9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-</w:t>
      </w:r>
      <w:r w:rsidRPr="00C04354">
        <w:rPr>
          <w:rFonts w:ascii="Times New Roman" w:hAnsi="Times New Roman"/>
          <w:szCs w:val="22"/>
          <w:lang w:val="sk-SK"/>
        </w:rPr>
        <w:tab/>
      </w:r>
      <w:r w:rsidR="00710FA9" w:rsidRPr="00C04354">
        <w:rPr>
          <w:rFonts w:ascii="Times New Roman" w:hAnsi="Times New Roman"/>
          <w:szCs w:val="22"/>
          <w:lang w:val="sk-SK"/>
        </w:rPr>
        <w:t xml:space="preserve">Hodnotenie lokalizácie </w:t>
      </w:r>
      <w:proofErr w:type="spellStart"/>
      <w:r w:rsidR="00710FA9" w:rsidRPr="00C04354">
        <w:rPr>
          <w:rFonts w:ascii="Times New Roman" w:hAnsi="Times New Roman"/>
          <w:szCs w:val="22"/>
          <w:lang w:val="sk-SK"/>
        </w:rPr>
        <w:t>epileptogénnych</w:t>
      </w:r>
      <w:proofErr w:type="spellEnd"/>
      <w:r w:rsidR="00710FA9" w:rsidRPr="00C04354">
        <w:rPr>
          <w:rFonts w:ascii="Times New Roman" w:hAnsi="Times New Roman"/>
          <w:szCs w:val="22"/>
          <w:lang w:val="sk-SK"/>
        </w:rPr>
        <w:t xml:space="preserve"> f</w:t>
      </w:r>
      <w:r w:rsidR="00FB229D" w:rsidRPr="00C04354">
        <w:rPr>
          <w:rFonts w:ascii="Times New Roman" w:hAnsi="Times New Roman"/>
          <w:szCs w:val="22"/>
          <w:lang w:val="sk-SK"/>
        </w:rPr>
        <w:t>ó</w:t>
      </w:r>
      <w:r w:rsidR="00710FA9" w:rsidRPr="00C04354">
        <w:rPr>
          <w:rFonts w:ascii="Times New Roman" w:hAnsi="Times New Roman"/>
          <w:szCs w:val="22"/>
          <w:lang w:val="sk-SK"/>
        </w:rPr>
        <w:t>k</w:t>
      </w:r>
      <w:r w:rsidR="00EC5E72" w:rsidRPr="00C04354">
        <w:rPr>
          <w:rFonts w:ascii="Times New Roman" w:hAnsi="Times New Roman"/>
          <w:szCs w:val="22"/>
          <w:lang w:val="sk-SK"/>
        </w:rPr>
        <w:t>usov</w:t>
      </w:r>
      <w:r w:rsidR="00E50541" w:rsidRPr="00C04354">
        <w:rPr>
          <w:rFonts w:ascii="Times New Roman" w:hAnsi="Times New Roman"/>
          <w:szCs w:val="22"/>
          <w:lang w:val="sk-SK"/>
        </w:rPr>
        <w:t xml:space="preserve"> pred chirurgickým zákrokom u čiastočnej </w:t>
      </w:r>
      <w:r w:rsidR="00E50541" w:rsidRPr="00C04354">
        <w:rPr>
          <w:rFonts w:ascii="Times New Roman" w:hAnsi="Times New Roman"/>
          <w:szCs w:val="22"/>
          <w:lang w:val="sk-SK"/>
        </w:rPr>
        <w:tab/>
        <w:t>temporálnej epilepsie.</w:t>
      </w:r>
    </w:p>
    <w:p w14:paraId="7AC84899" w14:textId="77777777" w:rsidR="00786071" w:rsidRPr="00C04354" w:rsidRDefault="00786071" w:rsidP="00EE5AB9">
      <w:pPr>
        <w:pStyle w:val="Zarkazkladnhotextu2"/>
        <w:tabs>
          <w:tab w:val="left" w:pos="900"/>
          <w:tab w:val="num" w:pos="993"/>
        </w:tabs>
        <w:spacing w:after="0" w:line="240" w:lineRule="auto"/>
        <w:ind w:left="0"/>
        <w:rPr>
          <w:sz w:val="22"/>
          <w:szCs w:val="22"/>
          <w:lang w:val="sk-SK"/>
        </w:rPr>
      </w:pPr>
    </w:p>
    <w:p w14:paraId="70961568" w14:textId="77777777" w:rsidR="00786071" w:rsidRPr="00C04354" w:rsidRDefault="00E50541" w:rsidP="00EE5AB9">
      <w:pPr>
        <w:tabs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4.2</w:t>
      </w:r>
      <w:r w:rsidRPr="00C04354">
        <w:rPr>
          <w:b/>
          <w:sz w:val="22"/>
          <w:szCs w:val="22"/>
          <w:lang w:val="sk-SK"/>
        </w:rPr>
        <w:tab/>
        <w:t>Dávkovanie a spôsob podávania</w:t>
      </w:r>
    </w:p>
    <w:p w14:paraId="48C0327D" w14:textId="77777777" w:rsidR="00710FA9" w:rsidRPr="00C04354" w:rsidRDefault="00710FA9" w:rsidP="0016153E">
      <w:pPr>
        <w:rPr>
          <w:sz w:val="22"/>
          <w:szCs w:val="22"/>
          <w:lang w:val="sk-SK"/>
        </w:rPr>
      </w:pPr>
    </w:p>
    <w:p w14:paraId="105DBB0E" w14:textId="77777777" w:rsidR="00710FA9" w:rsidRPr="00C04354" w:rsidRDefault="00E50541" w:rsidP="00A86B7F">
      <w:pPr>
        <w:pStyle w:val="Nadpis2"/>
        <w:spacing w:before="0" w:after="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Dávkovanie</w:t>
      </w:r>
    </w:p>
    <w:p w14:paraId="76DDD329" w14:textId="77777777" w:rsidR="00710FA9" w:rsidRPr="00C04354" w:rsidRDefault="00710FA9">
      <w:pPr>
        <w:rPr>
          <w:sz w:val="22"/>
          <w:szCs w:val="22"/>
          <w:lang w:val="sk-SK"/>
        </w:rPr>
      </w:pPr>
    </w:p>
    <w:p w14:paraId="36FACC3F" w14:textId="77777777" w:rsidR="00E11706" w:rsidRPr="00C04354" w:rsidRDefault="00E50541">
      <w:pPr>
        <w:rPr>
          <w:i/>
          <w:sz w:val="22"/>
          <w:szCs w:val="22"/>
          <w:lang w:val="sk-SK"/>
        </w:rPr>
      </w:pPr>
      <w:r w:rsidRPr="00C04354">
        <w:rPr>
          <w:i/>
          <w:sz w:val="22"/>
          <w:szCs w:val="22"/>
          <w:lang w:val="sk-SK"/>
        </w:rPr>
        <w:t>Dospelí a staršie osoby</w:t>
      </w:r>
    </w:p>
    <w:p w14:paraId="4E7A6C92" w14:textId="77777777" w:rsidR="00786071" w:rsidRPr="00C04354" w:rsidRDefault="00E50541" w:rsidP="00EE5AB9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Odporúčaná aktivita pre dospelého s hmotnosťou </w:t>
      </w:r>
      <w:smartTag w:uri="urn:schemas-microsoft-com:office:smarttags" w:element="metricconverter">
        <w:smartTagPr>
          <w:attr w:name="ProductID" w:val="70 kg"/>
        </w:smartTagPr>
        <w:r w:rsidRPr="00C04354">
          <w:rPr>
            <w:rFonts w:ascii="Times New Roman" w:hAnsi="Times New Roman"/>
            <w:szCs w:val="22"/>
            <w:lang w:val="sk-SK"/>
          </w:rPr>
          <w:t>70 kg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 je 100 až 400 </w:t>
      </w:r>
      <w:proofErr w:type="spellStart"/>
      <w:r w:rsidRPr="00C04354">
        <w:rPr>
          <w:rFonts w:ascii="Times New Roman" w:hAnsi="Times New Roman"/>
          <w:szCs w:val="22"/>
          <w:lang w:val="sk-SK"/>
        </w:rPr>
        <w:t>MBq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(táto aktivita sa musí prispôsobiť podľa hmotnosti pacienta a typu použitej kamery a režimu snímkovania), podané priamo intravenóznou injekciou.</w:t>
      </w:r>
    </w:p>
    <w:p w14:paraId="49A3F528" w14:textId="77777777" w:rsidR="00786071" w:rsidRPr="00C04354" w:rsidRDefault="00786071" w:rsidP="00EE5AB9">
      <w:pPr>
        <w:pStyle w:val="Zkladntext"/>
        <w:rPr>
          <w:rFonts w:ascii="Times New Roman" w:hAnsi="Times New Roman"/>
          <w:szCs w:val="22"/>
          <w:lang w:val="sk-SK"/>
        </w:rPr>
      </w:pPr>
    </w:p>
    <w:p w14:paraId="3200CA63" w14:textId="77777777" w:rsidR="00786071" w:rsidRPr="00C04354" w:rsidRDefault="00E50541" w:rsidP="00EE5AB9">
      <w:pPr>
        <w:pStyle w:val="Zkladntext"/>
        <w:rPr>
          <w:rFonts w:ascii="Times New Roman" w:hAnsi="Times New Roman"/>
          <w:i/>
          <w:szCs w:val="22"/>
          <w:lang w:val="sk-SK"/>
        </w:rPr>
      </w:pPr>
      <w:r w:rsidRPr="00C04354">
        <w:rPr>
          <w:rFonts w:ascii="Times New Roman" w:hAnsi="Times New Roman"/>
          <w:i/>
          <w:szCs w:val="22"/>
          <w:lang w:val="sk-SK"/>
        </w:rPr>
        <w:t>Pacienti s poruchami funkcie obličiek a pečene</w:t>
      </w:r>
    </w:p>
    <w:p w14:paraId="6360FD0C" w14:textId="77777777" w:rsidR="007706D4" w:rsidRPr="00C04354" w:rsidRDefault="00E50541" w:rsidP="001615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04354">
        <w:rPr>
          <w:rFonts w:eastAsia="TimesNewRomanPSMT"/>
          <w:snapToGrid/>
          <w:sz w:val="22"/>
          <w:szCs w:val="22"/>
          <w:lang w:val="sk-SK" w:eastAsia="sk-SK"/>
        </w:rPr>
        <w:t>Treba starostlivo zvážiť aktivitu, ktorá má byť podaná, pretože u týchto pacientov môže dôjsť k zvýšenej expozícii žiarenia.</w:t>
      </w:r>
    </w:p>
    <w:p w14:paraId="1AD8A155" w14:textId="77777777" w:rsidR="00786071" w:rsidRPr="00C04354" w:rsidRDefault="00786071" w:rsidP="00EE5AB9">
      <w:pPr>
        <w:pStyle w:val="Zkladntext"/>
        <w:rPr>
          <w:rFonts w:ascii="Times New Roman" w:hAnsi="Times New Roman"/>
          <w:szCs w:val="22"/>
          <w:lang w:val="sk-SK"/>
        </w:rPr>
      </w:pPr>
    </w:p>
    <w:p w14:paraId="03B209E8" w14:textId="77777777" w:rsidR="007706D4" w:rsidRPr="00C04354" w:rsidRDefault="00E50541" w:rsidP="0016153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04354">
        <w:rPr>
          <w:snapToGrid/>
          <w:sz w:val="22"/>
          <w:szCs w:val="22"/>
          <w:lang w:val="sk-SK" w:eastAsia="sk-SK"/>
        </w:rPr>
        <w:t>Neboli vykonané žiadne extenzívne štúdie dávkového rozmedzia ani úpravy dávok lieku u normálnych a osobitných populácií pacientov.</w:t>
      </w:r>
    </w:p>
    <w:p w14:paraId="6032BC75" w14:textId="77777777" w:rsidR="007706D4" w:rsidRPr="00C04354" w:rsidRDefault="007706D4" w:rsidP="000754EE">
      <w:pPr>
        <w:pStyle w:val="Zkladntext"/>
        <w:jc w:val="both"/>
        <w:rPr>
          <w:rFonts w:ascii="Times New Roman" w:hAnsi="Times New Roman"/>
          <w:szCs w:val="22"/>
          <w:lang w:val="sk-SK"/>
        </w:rPr>
      </w:pPr>
    </w:p>
    <w:p w14:paraId="1574B0AB" w14:textId="77777777" w:rsidR="00786071" w:rsidRPr="00C04354" w:rsidRDefault="00E50541" w:rsidP="00EE5AB9">
      <w:pPr>
        <w:pStyle w:val="Zkladntext"/>
        <w:rPr>
          <w:rFonts w:ascii="Times New Roman" w:hAnsi="Times New Roman"/>
          <w:lang w:val="sk-SK"/>
        </w:rPr>
      </w:pPr>
      <w:proofErr w:type="spellStart"/>
      <w:r w:rsidRPr="00C04354">
        <w:rPr>
          <w:rFonts w:ascii="Times New Roman" w:hAnsi="Times New Roman"/>
          <w:lang w:val="sk-SK"/>
        </w:rPr>
        <w:lastRenderedPageBreak/>
        <w:t>Farmakokinetika</w:t>
      </w:r>
      <w:proofErr w:type="spellEnd"/>
      <w:r w:rsidRPr="00C04354">
        <w:rPr>
          <w:rFonts w:ascii="Times New Roman" w:hAnsi="Times New Roman"/>
          <w:lang w:val="sk-SK"/>
        </w:rPr>
        <w:t xml:space="preserve"> </w:t>
      </w:r>
      <w:proofErr w:type="spellStart"/>
      <w:r w:rsidRPr="00C04354">
        <w:rPr>
          <w:rFonts w:ascii="Times New Roman" w:hAnsi="Times New Roman"/>
          <w:lang w:val="sk-SK"/>
        </w:rPr>
        <w:t>fludeoxyglukózy</w:t>
      </w:r>
      <w:proofErr w:type="spellEnd"/>
      <w:r w:rsidRPr="00C04354">
        <w:rPr>
          <w:rFonts w:ascii="Times New Roman" w:hAnsi="Times New Roman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lang w:val="sk-SK"/>
        </w:rPr>
        <w:t>) u pacientov s poruchou funkcie obličiek nebola stanovená.</w:t>
      </w:r>
    </w:p>
    <w:p w14:paraId="38AA53A2" w14:textId="77777777" w:rsidR="00786071" w:rsidRPr="00C04354" w:rsidRDefault="00786071" w:rsidP="00EE5AB9">
      <w:pPr>
        <w:pStyle w:val="Zkladntext"/>
        <w:rPr>
          <w:rFonts w:ascii="Times New Roman" w:hAnsi="Times New Roman"/>
          <w:lang w:val="sk-SK"/>
        </w:rPr>
      </w:pPr>
    </w:p>
    <w:p w14:paraId="79573A93" w14:textId="77777777" w:rsidR="00786071" w:rsidRPr="00C04354" w:rsidRDefault="00E50541" w:rsidP="00EE5AB9">
      <w:pPr>
        <w:pStyle w:val="p6"/>
        <w:shd w:val="clear" w:color="auto" w:fill="FFFFFF"/>
        <w:jc w:val="left"/>
        <w:rPr>
          <w:color w:val="000000"/>
          <w:sz w:val="22"/>
          <w:szCs w:val="22"/>
          <w:lang w:val="sk-SK"/>
        </w:rPr>
      </w:pPr>
      <w:r w:rsidRPr="00C04354">
        <w:rPr>
          <w:i/>
          <w:iCs/>
          <w:color w:val="000000"/>
          <w:sz w:val="22"/>
          <w:szCs w:val="22"/>
          <w:lang w:val="sk-SK"/>
        </w:rPr>
        <w:t>Pediatrická populácia</w:t>
      </w:r>
    </w:p>
    <w:p w14:paraId="226F199B" w14:textId="77777777" w:rsidR="00786071" w:rsidRPr="00C04354" w:rsidRDefault="00E50541" w:rsidP="00EE5AB9">
      <w:pPr>
        <w:pStyle w:val="Zkladntex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lang w:val="sk-SK"/>
        </w:rPr>
        <w:t>Použitie u detí a dospievajúcich je potrebné starostlivo zvážiť na základe klinických potrieb a posúdenia pomeru rizika a prínosu</w:t>
      </w:r>
      <w:r w:rsidRPr="00C04354">
        <w:rPr>
          <w:lang w:val="sk-SK"/>
        </w:rPr>
        <w:t> </w:t>
      </w:r>
      <w:r w:rsidRPr="00C04354">
        <w:rPr>
          <w:rFonts w:ascii="Times New Roman" w:hAnsi="Times New Roman"/>
          <w:lang w:val="sk-SK"/>
        </w:rPr>
        <w:t xml:space="preserve">u tejto skupiny pacientov. </w:t>
      </w:r>
    </w:p>
    <w:p w14:paraId="1B36210F" w14:textId="77777777" w:rsidR="00786071" w:rsidRPr="00C04354" w:rsidRDefault="00786071" w:rsidP="00EE5AB9">
      <w:pPr>
        <w:pStyle w:val="Zkladntext"/>
        <w:rPr>
          <w:rFonts w:ascii="Times New Roman" w:hAnsi="Times New Roman"/>
          <w:szCs w:val="22"/>
          <w:lang w:val="sk-SK"/>
        </w:rPr>
      </w:pPr>
    </w:p>
    <w:p w14:paraId="069EF673" w14:textId="270C3184" w:rsidR="00786071" w:rsidRPr="00C04354" w:rsidRDefault="00E50541" w:rsidP="00EE5AB9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Pre pacientov mladších ako 18 rokov je dostupných len niekoľko klinických údajov týkajúcich sa bezpečnosti a diagnostickej účinnosti produktu. </w:t>
      </w:r>
    </w:p>
    <w:p w14:paraId="7C81E371" w14:textId="77777777" w:rsidR="00786071" w:rsidRPr="00C04354" w:rsidRDefault="00E50541" w:rsidP="00EE5AB9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Aktivita podávaná u detí a mladistvých je časťou aktivity odporúčanej pre dospelých. </w:t>
      </w:r>
    </w:p>
    <w:p w14:paraId="1DFF54DF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6767BB5D" w14:textId="04AB5EEF" w:rsidR="00786071" w:rsidRPr="00C04354" w:rsidRDefault="00E50541" w:rsidP="00EE5AB9">
      <w:pPr>
        <w:pStyle w:val="Zkladntext"/>
        <w:spacing w:before="40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Táto aktivita sa môže stanoviť z odporúčanej aktivity pre dospelých na základe kalkulácie telesnej hmotnosti podľa tohto násobiaceho koeficientu: </w:t>
      </w:r>
    </w:p>
    <w:p w14:paraId="118BBC26" w14:textId="77777777" w:rsidR="00710FA9" w:rsidRPr="00C04354" w:rsidRDefault="00710FA9" w:rsidP="000754EE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1474"/>
        <w:gridCol w:w="1475"/>
        <w:gridCol w:w="1843"/>
      </w:tblGrid>
      <w:tr w:rsidR="00710FA9" w:rsidRPr="00C04354" w14:paraId="204071EB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DB8" w14:textId="77777777" w:rsidR="00710FA9" w:rsidRPr="00042B48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3 kg"/>
              </w:smartTagPr>
              <w:r w:rsidRPr="00C04354">
                <w:rPr>
                  <w:sz w:val="18"/>
                  <w:lang w:val="sk-SK"/>
                </w:rPr>
                <w:t>3 kg</w:t>
              </w:r>
            </w:smartTag>
            <w:r w:rsidRPr="00C04354">
              <w:rPr>
                <w:sz w:val="18"/>
                <w:lang w:val="sk-SK"/>
              </w:rPr>
              <w:t xml:space="preserve"> = 0,10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35C" w14:textId="77777777" w:rsidR="00710FA9" w:rsidRPr="00042B48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12 kg"/>
              </w:smartTagPr>
              <w:r w:rsidRPr="00042B48">
                <w:rPr>
                  <w:sz w:val="18"/>
                  <w:lang w:val="sk-SK"/>
                </w:rPr>
                <w:t>12 kg</w:t>
              </w:r>
            </w:smartTag>
            <w:r w:rsidRPr="00042B48">
              <w:rPr>
                <w:sz w:val="18"/>
                <w:lang w:val="sk-SK"/>
              </w:rPr>
              <w:t xml:space="preserve"> = 0,32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042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22 kg"/>
              </w:smartTagPr>
              <w:r w:rsidRPr="00042B48">
                <w:rPr>
                  <w:sz w:val="18"/>
                  <w:lang w:val="sk-SK"/>
                </w:rPr>
                <w:t>22 kg</w:t>
              </w:r>
            </w:smartTag>
            <w:r w:rsidRPr="00042B48">
              <w:rPr>
                <w:sz w:val="18"/>
                <w:lang w:val="sk-SK"/>
              </w:rPr>
              <w:t xml:space="preserve"> = 0,50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3AA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32 kg"/>
              </w:smartTagPr>
              <w:r w:rsidRPr="00C04354">
                <w:rPr>
                  <w:sz w:val="18"/>
                  <w:lang w:val="sk-SK"/>
                </w:rPr>
                <w:t>32 kg</w:t>
              </w:r>
            </w:smartTag>
            <w:r w:rsidRPr="00C04354">
              <w:rPr>
                <w:sz w:val="18"/>
                <w:lang w:val="sk-SK"/>
              </w:rPr>
              <w:t xml:space="preserve"> = 0,62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9BC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42 kg"/>
              </w:smartTagPr>
              <w:r w:rsidRPr="00C04354">
                <w:rPr>
                  <w:sz w:val="18"/>
                  <w:lang w:val="sk-SK"/>
                </w:rPr>
                <w:t>42 kg</w:t>
              </w:r>
            </w:smartTag>
            <w:r w:rsidRPr="00C04354">
              <w:rPr>
                <w:sz w:val="18"/>
                <w:lang w:val="sk-SK"/>
              </w:rPr>
              <w:t xml:space="preserve"> = 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95721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r w:rsidRPr="00C04354">
              <w:rPr>
                <w:sz w:val="18"/>
                <w:lang w:val="sk-SK"/>
              </w:rPr>
              <w:t xml:space="preserve">52 –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C04354">
                <w:rPr>
                  <w:sz w:val="18"/>
                  <w:lang w:val="sk-SK"/>
                </w:rPr>
                <w:t>54 kg</w:t>
              </w:r>
            </w:smartTag>
            <w:r w:rsidRPr="00C04354">
              <w:rPr>
                <w:sz w:val="18"/>
                <w:lang w:val="sk-SK"/>
              </w:rPr>
              <w:t xml:space="preserve"> = 0,90</w:t>
            </w:r>
          </w:p>
        </w:tc>
      </w:tr>
      <w:tr w:rsidR="00710FA9" w:rsidRPr="00C04354" w14:paraId="1D18C193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119F" w14:textId="77777777" w:rsidR="00710FA9" w:rsidRPr="00042B48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4 kg"/>
              </w:smartTagPr>
              <w:r w:rsidRPr="00C04354">
                <w:rPr>
                  <w:sz w:val="18"/>
                  <w:lang w:val="sk-SK"/>
                </w:rPr>
                <w:t>4 kg</w:t>
              </w:r>
            </w:smartTag>
            <w:r w:rsidRPr="00C04354">
              <w:rPr>
                <w:sz w:val="18"/>
                <w:lang w:val="sk-SK"/>
              </w:rPr>
              <w:t xml:space="preserve"> = 0,14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504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14 kg"/>
              </w:smartTagPr>
              <w:r w:rsidRPr="00C04354">
                <w:rPr>
                  <w:sz w:val="18"/>
                  <w:lang w:val="sk-SK"/>
                </w:rPr>
                <w:t>14 kg</w:t>
              </w:r>
            </w:smartTag>
            <w:r w:rsidRPr="00C04354">
              <w:rPr>
                <w:sz w:val="18"/>
                <w:lang w:val="sk-SK"/>
              </w:rPr>
              <w:t xml:space="preserve"> = 0,36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5A4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24 kg"/>
              </w:smartTagPr>
              <w:r w:rsidRPr="00C04354">
                <w:rPr>
                  <w:sz w:val="18"/>
                  <w:lang w:val="sk-SK"/>
                </w:rPr>
                <w:t>24 kg</w:t>
              </w:r>
            </w:smartTag>
            <w:r w:rsidRPr="00C04354">
              <w:rPr>
                <w:sz w:val="18"/>
                <w:lang w:val="sk-SK"/>
              </w:rPr>
              <w:t xml:space="preserve"> = 0,53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6097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34 kg"/>
              </w:smartTagPr>
              <w:r w:rsidRPr="00C04354">
                <w:rPr>
                  <w:sz w:val="18"/>
                  <w:lang w:val="sk-SK"/>
                </w:rPr>
                <w:t>34 kg</w:t>
              </w:r>
            </w:smartTag>
            <w:r w:rsidRPr="00C04354">
              <w:rPr>
                <w:sz w:val="18"/>
                <w:lang w:val="sk-SK"/>
              </w:rPr>
              <w:t xml:space="preserve"> = 0,64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CCB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44 kg"/>
              </w:smartTagPr>
              <w:r w:rsidRPr="00C04354">
                <w:rPr>
                  <w:sz w:val="18"/>
                  <w:lang w:val="sk-SK"/>
                </w:rPr>
                <w:t>44 kg</w:t>
              </w:r>
            </w:smartTag>
            <w:r w:rsidRPr="00C04354">
              <w:rPr>
                <w:sz w:val="18"/>
                <w:lang w:val="sk-SK"/>
              </w:rPr>
              <w:t xml:space="preserve"> = 0,80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32ACB6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r w:rsidRPr="00C04354">
              <w:rPr>
                <w:sz w:val="18"/>
                <w:lang w:val="sk-SK"/>
              </w:rPr>
              <w:t xml:space="preserve">56 – </w:t>
            </w:r>
            <w:smartTag w:uri="urn:schemas-microsoft-com:office:smarttags" w:element="metricconverter">
              <w:smartTagPr>
                <w:attr w:name="ProductID" w:val="58 kg"/>
              </w:smartTagPr>
              <w:r w:rsidRPr="00C04354">
                <w:rPr>
                  <w:sz w:val="18"/>
                  <w:lang w:val="sk-SK"/>
                </w:rPr>
                <w:t>58 kg</w:t>
              </w:r>
            </w:smartTag>
            <w:r w:rsidRPr="00C04354">
              <w:rPr>
                <w:sz w:val="18"/>
                <w:lang w:val="sk-SK"/>
              </w:rPr>
              <w:t xml:space="preserve"> = 0,92</w:t>
            </w:r>
          </w:p>
        </w:tc>
      </w:tr>
      <w:tr w:rsidR="00710FA9" w:rsidRPr="00C04354" w14:paraId="38676B0E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D6D4" w14:textId="77777777" w:rsidR="00710FA9" w:rsidRPr="00042B48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6 kg"/>
              </w:smartTagPr>
              <w:r w:rsidRPr="00C04354">
                <w:rPr>
                  <w:sz w:val="18"/>
                  <w:lang w:val="sk-SK"/>
                </w:rPr>
                <w:t>6 kg</w:t>
              </w:r>
            </w:smartTag>
            <w:r w:rsidRPr="00C04354">
              <w:rPr>
                <w:sz w:val="18"/>
                <w:lang w:val="sk-SK"/>
              </w:rPr>
              <w:t xml:space="preserve"> = 0,19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6639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16 kg"/>
              </w:smartTagPr>
              <w:r w:rsidRPr="00C04354">
                <w:rPr>
                  <w:sz w:val="18"/>
                  <w:lang w:val="sk-SK"/>
                </w:rPr>
                <w:t>16 kg</w:t>
              </w:r>
            </w:smartTag>
            <w:r w:rsidRPr="00C04354">
              <w:rPr>
                <w:sz w:val="18"/>
                <w:lang w:val="sk-SK"/>
              </w:rPr>
              <w:t xml:space="preserve"> = 0,40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F11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26 kg"/>
              </w:smartTagPr>
              <w:r w:rsidRPr="00C04354">
                <w:rPr>
                  <w:sz w:val="18"/>
                  <w:lang w:val="sk-SK"/>
                </w:rPr>
                <w:t>26 kg</w:t>
              </w:r>
            </w:smartTag>
            <w:r w:rsidRPr="00C04354">
              <w:rPr>
                <w:sz w:val="18"/>
                <w:lang w:val="sk-SK"/>
              </w:rPr>
              <w:t xml:space="preserve"> = 0,56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D828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36 kg"/>
              </w:smartTagPr>
              <w:r w:rsidRPr="00C04354">
                <w:rPr>
                  <w:sz w:val="18"/>
                  <w:lang w:val="sk-SK"/>
                </w:rPr>
                <w:t>36 kg</w:t>
              </w:r>
            </w:smartTag>
            <w:r w:rsidRPr="00C04354">
              <w:rPr>
                <w:sz w:val="18"/>
                <w:lang w:val="sk-SK"/>
              </w:rPr>
              <w:t xml:space="preserve"> = 0,66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D3A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46 kg"/>
              </w:smartTagPr>
              <w:r w:rsidRPr="00C04354">
                <w:rPr>
                  <w:sz w:val="18"/>
                  <w:lang w:val="sk-SK"/>
                </w:rPr>
                <w:t>46 kg</w:t>
              </w:r>
            </w:smartTag>
            <w:r w:rsidRPr="00C04354">
              <w:rPr>
                <w:sz w:val="18"/>
                <w:lang w:val="sk-SK"/>
              </w:rPr>
              <w:t xml:space="preserve"> = 0,82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51639D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r w:rsidRPr="00C04354">
              <w:rPr>
                <w:sz w:val="18"/>
                <w:lang w:val="sk-SK"/>
              </w:rPr>
              <w:t xml:space="preserve">60 – </w:t>
            </w:r>
            <w:smartTag w:uri="urn:schemas-microsoft-com:office:smarttags" w:element="metricconverter">
              <w:smartTagPr>
                <w:attr w:name="ProductID" w:val="62 kg"/>
              </w:smartTagPr>
              <w:r w:rsidRPr="00C04354">
                <w:rPr>
                  <w:sz w:val="18"/>
                  <w:lang w:val="sk-SK"/>
                </w:rPr>
                <w:t>62 kg</w:t>
              </w:r>
            </w:smartTag>
            <w:r w:rsidRPr="00C04354">
              <w:rPr>
                <w:sz w:val="18"/>
                <w:lang w:val="sk-SK"/>
              </w:rPr>
              <w:t xml:space="preserve"> = 0,96</w:t>
            </w:r>
          </w:p>
        </w:tc>
      </w:tr>
      <w:tr w:rsidR="00710FA9" w:rsidRPr="00C04354" w14:paraId="44D64677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CF0" w14:textId="77777777" w:rsidR="00710FA9" w:rsidRPr="00042B48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8 kg"/>
              </w:smartTagPr>
              <w:r w:rsidRPr="00C04354">
                <w:rPr>
                  <w:sz w:val="18"/>
                  <w:lang w:val="sk-SK"/>
                </w:rPr>
                <w:t>8 kg</w:t>
              </w:r>
            </w:smartTag>
            <w:r w:rsidRPr="00C04354">
              <w:rPr>
                <w:sz w:val="18"/>
                <w:lang w:val="sk-SK"/>
              </w:rPr>
              <w:t xml:space="preserve"> = 0,23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FC3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18 kg"/>
              </w:smartTagPr>
              <w:r w:rsidRPr="00C04354">
                <w:rPr>
                  <w:sz w:val="18"/>
                  <w:lang w:val="sk-SK"/>
                </w:rPr>
                <w:t>18 kg</w:t>
              </w:r>
            </w:smartTag>
            <w:r w:rsidRPr="00C04354">
              <w:rPr>
                <w:sz w:val="18"/>
                <w:lang w:val="sk-SK"/>
              </w:rPr>
              <w:t xml:space="preserve"> = 0,44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26F5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28 kg"/>
              </w:smartTagPr>
              <w:r w:rsidRPr="00C04354">
                <w:rPr>
                  <w:sz w:val="18"/>
                  <w:lang w:val="sk-SK"/>
                </w:rPr>
                <w:t>28 kg</w:t>
              </w:r>
            </w:smartTag>
            <w:r w:rsidRPr="00C04354">
              <w:rPr>
                <w:sz w:val="18"/>
                <w:lang w:val="sk-SK"/>
              </w:rPr>
              <w:t xml:space="preserve"> = 0,58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AE8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38 kg"/>
              </w:smartTagPr>
              <w:r w:rsidRPr="00C04354">
                <w:rPr>
                  <w:sz w:val="18"/>
                  <w:lang w:val="sk-SK"/>
                </w:rPr>
                <w:t>38 kg</w:t>
              </w:r>
            </w:smartTag>
            <w:r w:rsidRPr="00C04354">
              <w:rPr>
                <w:sz w:val="18"/>
                <w:lang w:val="sk-SK"/>
              </w:rPr>
              <w:t xml:space="preserve"> = 0,68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2151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48 kg"/>
              </w:smartTagPr>
              <w:r w:rsidRPr="00C04354">
                <w:rPr>
                  <w:sz w:val="18"/>
                  <w:lang w:val="sk-SK"/>
                </w:rPr>
                <w:t>48 kg</w:t>
              </w:r>
            </w:smartTag>
            <w:r w:rsidRPr="00C04354">
              <w:rPr>
                <w:sz w:val="18"/>
                <w:lang w:val="sk-SK"/>
              </w:rPr>
              <w:t xml:space="preserve"> = 0,85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4BD14DD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r w:rsidRPr="00C04354">
              <w:rPr>
                <w:sz w:val="18"/>
                <w:lang w:val="sk-SK"/>
              </w:rPr>
              <w:t xml:space="preserve">64 – </w:t>
            </w:r>
            <w:smartTag w:uri="urn:schemas-microsoft-com:office:smarttags" w:element="metricconverter">
              <w:smartTagPr>
                <w:attr w:name="ProductID" w:val="66 kg"/>
              </w:smartTagPr>
              <w:r w:rsidRPr="00C04354">
                <w:rPr>
                  <w:sz w:val="18"/>
                  <w:lang w:val="sk-SK"/>
                </w:rPr>
                <w:t>66 kg</w:t>
              </w:r>
            </w:smartTag>
            <w:r w:rsidRPr="00C04354">
              <w:rPr>
                <w:sz w:val="18"/>
                <w:lang w:val="sk-SK"/>
              </w:rPr>
              <w:t xml:space="preserve"> = 0,98</w:t>
            </w:r>
          </w:p>
        </w:tc>
      </w:tr>
      <w:tr w:rsidR="00710FA9" w:rsidRPr="00C04354" w14:paraId="4C715AFE" w14:textId="77777777" w:rsidTr="00FE790A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1773" w14:textId="77777777" w:rsidR="00710FA9" w:rsidRPr="00042B48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C04354">
                <w:rPr>
                  <w:sz w:val="18"/>
                  <w:lang w:val="sk-SK"/>
                </w:rPr>
                <w:t>10 kg</w:t>
              </w:r>
            </w:smartTag>
            <w:r w:rsidRPr="00C04354">
              <w:rPr>
                <w:sz w:val="18"/>
                <w:lang w:val="sk-SK"/>
              </w:rPr>
              <w:t xml:space="preserve"> = 0,27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6E8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20 kg"/>
              </w:smartTagPr>
              <w:r w:rsidRPr="00C04354">
                <w:rPr>
                  <w:sz w:val="18"/>
                  <w:lang w:val="sk-SK"/>
                </w:rPr>
                <w:t>20 kg</w:t>
              </w:r>
            </w:smartTag>
            <w:r w:rsidRPr="00C04354">
              <w:rPr>
                <w:sz w:val="18"/>
                <w:lang w:val="sk-SK"/>
              </w:rPr>
              <w:t xml:space="preserve"> = 0,46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A448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30 kg"/>
              </w:smartTagPr>
              <w:r w:rsidRPr="00C04354">
                <w:rPr>
                  <w:sz w:val="18"/>
                  <w:lang w:val="sk-SK"/>
                </w:rPr>
                <w:t>30 kg</w:t>
              </w:r>
            </w:smartTag>
            <w:r w:rsidRPr="00C04354">
              <w:rPr>
                <w:sz w:val="18"/>
                <w:lang w:val="sk-SK"/>
              </w:rPr>
              <w:t xml:space="preserve"> = 0,60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3DB1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40 kg"/>
              </w:smartTagPr>
              <w:r w:rsidRPr="00C04354">
                <w:rPr>
                  <w:sz w:val="18"/>
                  <w:lang w:val="sk-SK"/>
                </w:rPr>
                <w:t>40 kg</w:t>
              </w:r>
            </w:smartTag>
            <w:r w:rsidRPr="00C04354">
              <w:rPr>
                <w:sz w:val="18"/>
                <w:lang w:val="sk-SK"/>
              </w:rPr>
              <w:t xml:space="preserve"> = 0,70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97A" w14:textId="77777777" w:rsidR="00710FA9" w:rsidRPr="00C04354" w:rsidRDefault="00710FA9" w:rsidP="00196DF1">
            <w:pPr>
              <w:spacing w:before="20" w:after="20"/>
              <w:jc w:val="center"/>
              <w:rPr>
                <w:sz w:val="18"/>
                <w:lang w:val="sk-SK"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C04354">
                <w:rPr>
                  <w:sz w:val="18"/>
                  <w:lang w:val="sk-SK"/>
                </w:rPr>
                <w:t>50 kg</w:t>
              </w:r>
            </w:smartTag>
            <w:r w:rsidRPr="00C04354">
              <w:rPr>
                <w:sz w:val="18"/>
                <w:lang w:val="sk-SK"/>
              </w:rPr>
              <w:t xml:space="preserve"> = 0,88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FB36C7" w14:textId="3D6598FE" w:rsidR="00710FA9" w:rsidRPr="00C04354" w:rsidRDefault="00E50541" w:rsidP="00196DF1">
            <w:pPr>
              <w:spacing w:before="20" w:after="20"/>
              <w:jc w:val="right"/>
              <w:rPr>
                <w:sz w:val="18"/>
                <w:lang w:val="sk-SK"/>
              </w:rPr>
            </w:pPr>
            <w:r w:rsidRPr="00C04354">
              <w:rPr>
                <w:sz w:val="18"/>
                <w:lang w:val="sk-SK"/>
              </w:rPr>
              <w:t xml:space="preserve">   </w:t>
            </w:r>
            <w:smartTag w:uri="urn:schemas-microsoft-com:office:smarttags" w:element="metricconverter">
              <w:smartTagPr>
                <w:attr w:name="ProductID" w:val="68 kg"/>
              </w:smartTagPr>
              <w:r w:rsidR="00710FA9" w:rsidRPr="00C04354">
                <w:rPr>
                  <w:sz w:val="18"/>
                  <w:lang w:val="sk-SK"/>
                </w:rPr>
                <w:t>68 kg</w:t>
              </w:r>
            </w:smartTag>
            <w:r w:rsidR="00710FA9" w:rsidRPr="00C04354">
              <w:rPr>
                <w:sz w:val="18"/>
                <w:lang w:val="sk-SK"/>
              </w:rPr>
              <w:t xml:space="preserve"> = 0,99</w:t>
            </w:r>
          </w:p>
        </w:tc>
      </w:tr>
    </w:tbl>
    <w:p w14:paraId="33BC8EED" w14:textId="77777777" w:rsidR="00710FA9" w:rsidRPr="00C04354" w:rsidRDefault="00710FA9" w:rsidP="000754EE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7BAB5C6D" w14:textId="77777777" w:rsidR="00786071" w:rsidRPr="00C04354" w:rsidRDefault="00875694" w:rsidP="00EE5AB9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Spôsob podávania</w:t>
      </w:r>
    </w:p>
    <w:p w14:paraId="7805C864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10E59BD8" w14:textId="77777777" w:rsidR="00786071" w:rsidRPr="00C04354" w:rsidRDefault="00875694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Na intravenózne použitie.</w:t>
      </w:r>
    </w:p>
    <w:p w14:paraId="53985627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62E0836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Na viacdávkové použitie. </w:t>
      </w:r>
    </w:p>
    <w:p w14:paraId="7EFDC49F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86D1320" w14:textId="54DCBC10" w:rsidR="00786071" w:rsidRPr="00C04354" w:rsidRDefault="00E50541" w:rsidP="00EE5AB9">
      <w:pPr>
        <w:pStyle w:val="Zkladntext3"/>
        <w:jc w:val="lef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Aktivita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</w:t>
      </w:r>
      <w:r w:rsidRPr="00C04354">
        <w:rPr>
          <w:lang w:val="sk-SK"/>
        </w:rPr>
        <w:t xml:space="preserve"> </w:t>
      </w:r>
      <w:r w:rsidRPr="00C04354">
        <w:rPr>
          <w:rFonts w:ascii="Times New Roman" w:hAnsi="Times New Roman"/>
          <w:szCs w:val="22"/>
          <w:lang w:val="sk-SK"/>
        </w:rPr>
        <w:t>sa musí zmerať dávkovým kalibrátorom tesne pred podaním injekcie.</w:t>
      </w:r>
    </w:p>
    <w:p w14:paraId="3B83AD22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lang w:val="sk-SK"/>
        </w:rPr>
      </w:pPr>
    </w:p>
    <w:p w14:paraId="4595CA84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Injekcia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</w:t>
      </w:r>
      <w:r w:rsidRPr="00C04354">
        <w:rPr>
          <w:lang w:val="sk-SK"/>
        </w:rPr>
        <w:t xml:space="preserve"> </w:t>
      </w:r>
      <w:r w:rsidRPr="00C04354">
        <w:rPr>
          <w:rFonts w:ascii="Times New Roman" w:hAnsi="Times New Roman"/>
          <w:szCs w:val="22"/>
          <w:lang w:val="sk-SK"/>
        </w:rPr>
        <w:t xml:space="preserve">musí byť intravenózna, aby sa vyhlo ožiareniu ako dôsledku lokálnej </w:t>
      </w:r>
      <w:proofErr w:type="spellStart"/>
      <w:r w:rsidRPr="00C04354">
        <w:rPr>
          <w:rFonts w:ascii="Times New Roman" w:hAnsi="Times New Roman"/>
          <w:szCs w:val="22"/>
          <w:lang w:val="sk-SK"/>
        </w:rPr>
        <w:t>extravazácie</w:t>
      </w:r>
      <w:proofErr w:type="spellEnd"/>
      <w:r w:rsidRPr="00C04354">
        <w:rPr>
          <w:rFonts w:ascii="Times New Roman" w:hAnsi="Times New Roman"/>
          <w:szCs w:val="22"/>
          <w:lang w:val="sk-SK"/>
        </w:rPr>
        <w:t>, ako aj zobrazovacím artefaktom.</w:t>
      </w:r>
    </w:p>
    <w:p w14:paraId="1E8709A4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D898A55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Pokyny na riedenie lieku pred podaním, pozri časť </w:t>
      </w:r>
      <w:r w:rsidRPr="00C04354">
        <w:rPr>
          <w:rFonts w:ascii="Times New Roman" w:hAnsi="Times New Roman"/>
          <w:lang w:val="sk-SK"/>
        </w:rPr>
        <w:t>12.</w:t>
      </w:r>
    </w:p>
    <w:p w14:paraId="608CA9BB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lang w:val="sk-SK"/>
        </w:rPr>
      </w:pPr>
    </w:p>
    <w:p w14:paraId="0F585662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lang w:val="sk-SK"/>
        </w:rPr>
        <w:t>Pokyny na prípravu pacienta, pozri časť 4.4.</w:t>
      </w:r>
    </w:p>
    <w:p w14:paraId="4AF6B336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545EEA3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i/>
          <w:u w:val="single"/>
          <w:lang w:val="sk-SK"/>
        </w:rPr>
      </w:pPr>
      <w:r w:rsidRPr="00C04354">
        <w:rPr>
          <w:rFonts w:ascii="Times New Roman" w:hAnsi="Times New Roman"/>
          <w:i/>
          <w:szCs w:val="22"/>
          <w:u w:val="single"/>
          <w:lang w:val="sk-SK"/>
        </w:rPr>
        <w:t xml:space="preserve">Snímkovanie </w:t>
      </w:r>
    </w:p>
    <w:p w14:paraId="16E0E31F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Emisné </w:t>
      </w:r>
      <w:proofErr w:type="spellStart"/>
      <w:r w:rsidRPr="00C04354">
        <w:rPr>
          <w:rFonts w:ascii="Times New Roman" w:hAnsi="Times New Roman"/>
          <w:szCs w:val="22"/>
          <w:lang w:val="sk-SK"/>
        </w:rPr>
        <w:t>skeny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sa obyčajne začínajú 45 až 60 minút po injekcii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). </w:t>
      </w:r>
      <w:r w:rsidRPr="00C04354">
        <w:rPr>
          <w:rFonts w:ascii="Times New Roman" w:hAnsi="Times New Roman"/>
          <w:lang w:val="sk-SK"/>
        </w:rPr>
        <w:t xml:space="preserve">Za predpokladu, že </w:t>
      </w:r>
      <w:r w:rsidRPr="00C04354">
        <w:rPr>
          <w:rFonts w:ascii="Times New Roman" w:hAnsi="Times New Roman"/>
          <w:szCs w:val="22"/>
          <w:lang w:val="sk-SK"/>
        </w:rPr>
        <w:t xml:space="preserve">dostatočná aktivita zostáva na adekvátnej hodnote, môže sa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vyšetrenie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fludeoxyglukózou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 urobiť až do 2 alebo 3 hodín po jej podaní, tým sa zníži aktivitu pozadia.</w:t>
      </w:r>
    </w:p>
    <w:p w14:paraId="4C75D222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5F0B5331" w14:textId="33279ED6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V prípade potreby sa môžu vykonať v krátkom čase opakované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vyšetrenia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fludeoxyglukózou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F).</w:t>
      </w:r>
    </w:p>
    <w:p w14:paraId="50836DC5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5D16F8C7" w14:textId="77777777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4.3</w:t>
      </w:r>
      <w:r w:rsidRPr="00C04354">
        <w:rPr>
          <w:rFonts w:ascii="Times New Roman" w:hAnsi="Times New Roman"/>
          <w:b/>
          <w:szCs w:val="22"/>
          <w:lang w:val="sk-SK"/>
        </w:rPr>
        <w:tab/>
        <w:t>Kontraindikácie</w:t>
      </w:r>
    </w:p>
    <w:p w14:paraId="5552DECE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73A6FFB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Precitlivenosť na liečivo alebo na ktorúkoľvek z pomocných látok uvedených v časti 6.1.</w:t>
      </w:r>
    </w:p>
    <w:p w14:paraId="47E6E6A5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02B2874" w14:textId="1205363C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4.4</w:t>
      </w:r>
      <w:r w:rsidRPr="00C04354">
        <w:rPr>
          <w:rFonts w:ascii="Times New Roman" w:hAnsi="Times New Roman"/>
          <w:b/>
          <w:szCs w:val="22"/>
          <w:lang w:val="sk-SK"/>
        </w:rPr>
        <w:tab/>
      </w:r>
      <w:r w:rsidR="00166D41" w:rsidRPr="00C04354">
        <w:rPr>
          <w:rFonts w:ascii="Times New Roman" w:hAnsi="Times New Roman"/>
          <w:b/>
          <w:noProof/>
          <w:szCs w:val="22"/>
          <w:lang w:val="sk-SK" w:eastAsia="sk-SK"/>
        </w:rPr>
        <w:t>Osobitné upozornenia a opatrenia pri používaní</w:t>
      </w:r>
      <w:r w:rsidR="00166D41" w:rsidRPr="00C04354" w:rsidDel="00166D41">
        <w:rPr>
          <w:rFonts w:ascii="Times New Roman" w:hAnsi="Times New Roman"/>
          <w:b/>
          <w:szCs w:val="22"/>
          <w:lang w:val="sk-SK"/>
        </w:rPr>
        <w:t xml:space="preserve"> </w:t>
      </w:r>
    </w:p>
    <w:p w14:paraId="12BB9BD2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9262E07" w14:textId="335D7484" w:rsidR="00C52505" w:rsidRPr="00C04354" w:rsidRDefault="00C52505" w:rsidP="00927787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04354">
        <w:rPr>
          <w:sz w:val="22"/>
          <w:szCs w:val="22"/>
          <w:u w:val="single"/>
          <w:lang w:val="sk-SK"/>
        </w:rPr>
        <w:t xml:space="preserve">Možné </w:t>
      </w:r>
      <w:proofErr w:type="spellStart"/>
      <w:r w:rsidRPr="00C04354">
        <w:rPr>
          <w:sz w:val="22"/>
          <w:szCs w:val="22"/>
          <w:u w:val="single"/>
          <w:lang w:val="sk-SK"/>
        </w:rPr>
        <w:t>hypersenzitívne</w:t>
      </w:r>
      <w:proofErr w:type="spellEnd"/>
      <w:r w:rsidRPr="00C04354">
        <w:rPr>
          <w:sz w:val="22"/>
          <w:szCs w:val="22"/>
          <w:u w:val="single"/>
          <w:lang w:val="sk-SK"/>
        </w:rPr>
        <w:t xml:space="preserve"> alebo </w:t>
      </w:r>
      <w:proofErr w:type="spellStart"/>
      <w:r w:rsidRPr="00C04354">
        <w:rPr>
          <w:sz w:val="22"/>
          <w:szCs w:val="22"/>
          <w:u w:val="single"/>
          <w:lang w:val="sk-SK"/>
        </w:rPr>
        <w:t>anafylaktické</w:t>
      </w:r>
      <w:proofErr w:type="spellEnd"/>
      <w:r w:rsidRPr="00C04354">
        <w:rPr>
          <w:sz w:val="22"/>
          <w:szCs w:val="22"/>
          <w:u w:val="single"/>
          <w:lang w:val="sk-SK"/>
        </w:rPr>
        <w:t xml:space="preserve"> reakcie</w:t>
      </w:r>
    </w:p>
    <w:p w14:paraId="18C07A5E" w14:textId="77777777" w:rsidR="00C52505" w:rsidRPr="00C04354" w:rsidRDefault="00C52505" w:rsidP="0092778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Ak sa vyskytnú </w:t>
      </w:r>
      <w:proofErr w:type="spellStart"/>
      <w:r w:rsidRPr="00C04354">
        <w:rPr>
          <w:sz w:val="22"/>
          <w:szCs w:val="22"/>
          <w:lang w:val="sk-SK"/>
        </w:rPr>
        <w:t>hypersenzitívne</w:t>
      </w:r>
      <w:proofErr w:type="spellEnd"/>
      <w:r w:rsidRPr="00C04354">
        <w:rPr>
          <w:sz w:val="22"/>
          <w:szCs w:val="22"/>
          <w:lang w:val="sk-SK"/>
        </w:rPr>
        <w:t xml:space="preserve"> alebo </w:t>
      </w:r>
      <w:proofErr w:type="spellStart"/>
      <w:r w:rsidRPr="00C04354">
        <w:rPr>
          <w:sz w:val="22"/>
          <w:szCs w:val="22"/>
          <w:lang w:val="sk-SK"/>
        </w:rPr>
        <w:t>anafylatické</w:t>
      </w:r>
      <w:proofErr w:type="spellEnd"/>
      <w:r w:rsidRPr="00C04354">
        <w:rPr>
          <w:sz w:val="22"/>
          <w:szCs w:val="22"/>
          <w:lang w:val="sk-SK"/>
        </w:rPr>
        <w:t xml:space="preserve"> reakcie, okamžite prerušte podávanie lieku a v prípade potreby </w:t>
      </w:r>
      <w:r w:rsidR="00E50541" w:rsidRPr="00C04354">
        <w:rPr>
          <w:sz w:val="22"/>
          <w:szCs w:val="22"/>
          <w:lang w:val="sk-SK"/>
        </w:rPr>
        <w:t xml:space="preserve">začnite intravenóznu liečbu. Aby v prípade núdze bolo možné okamžite podniknúť potrebné kroky, potrebné lieky a vybavenie musia byť okamžite dostupné, napr. </w:t>
      </w:r>
      <w:proofErr w:type="spellStart"/>
      <w:r w:rsidR="00E50541" w:rsidRPr="00C04354">
        <w:rPr>
          <w:sz w:val="22"/>
          <w:szCs w:val="22"/>
          <w:lang w:val="sk-SK"/>
        </w:rPr>
        <w:t>endotracheálna</w:t>
      </w:r>
      <w:proofErr w:type="spellEnd"/>
      <w:r w:rsidR="00E50541" w:rsidRPr="00C04354">
        <w:rPr>
          <w:sz w:val="22"/>
          <w:szCs w:val="22"/>
          <w:lang w:val="sk-SK"/>
        </w:rPr>
        <w:t xml:space="preserve"> hadička a ventilátor.</w:t>
      </w:r>
    </w:p>
    <w:p w14:paraId="2B2327FD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b/>
          <w:szCs w:val="22"/>
          <w:highlight w:val="yellow"/>
          <w:lang w:val="sk-SK"/>
        </w:rPr>
      </w:pPr>
    </w:p>
    <w:p w14:paraId="7EC1E574" w14:textId="77777777" w:rsidR="00786071" w:rsidRPr="00C04354" w:rsidRDefault="00E50541" w:rsidP="00EE5AB9">
      <w:pPr>
        <w:pStyle w:val="p8"/>
        <w:keepNext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rStyle w:val="s3"/>
          <w:sz w:val="22"/>
          <w:szCs w:val="22"/>
          <w:lang w:val="sk-SK"/>
        </w:rPr>
        <w:lastRenderedPageBreak/>
        <w:t>Posúdenie individuálneho pomeru prínosu a rizika</w:t>
      </w:r>
    </w:p>
    <w:p w14:paraId="6F8C9D75" w14:textId="77777777" w:rsidR="00786071" w:rsidRPr="00C04354" w:rsidRDefault="00E50541" w:rsidP="00EE5AB9">
      <w:pPr>
        <w:pStyle w:val="Zkladntext3"/>
        <w:keepNext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U každého pacienta musí byť expozícia žiarenia odôvodnená predpokladaným prínosom. Podávaná radiačná dávka musí byť v každom prípade čo najnižšia potrebná na získanie potrebných diagnostických informácií.</w:t>
      </w:r>
    </w:p>
    <w:p w14:paraId="00817756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1CBCC07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szCs w:val="22"/>
          <w:u w:val="single"/>
          <w:lang w:val="sk-SK"/>
        </w:rPr>
        <w:t>Porucha funkcie obličiek a pečene</w:t>
      </w:r>
    </w:p>
    <w:p w14:paraId="025EDB5A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Keďže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sa vo veľkej miere vylučuje obličkami, 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pacientovso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zníženou funkciou obličiek musí byť dôkladne zvážený pomer prínosu a rizika, pretože existuje možnosť zvýšeného vystavenia žiareniu. Aktivitu upravte podľa potreby.</w:t>
      </w:r>
    </w:p>
    <w:p w14:paraId="0C11AA28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CB969F1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szCs w:val="22"/>
          <w:u w:val="single"/>
          <w:lang w:val="sk-SK"/>
        </w:rPr>
        <w:t>Pediatrická populácia</w:t>
      </w:r>
    </w:p>
    <w:p w14:paraId="1021FFC8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Informácie o použití u pediatrickej populácie, pozri časti 4.2 a 5.1.</w:t>
      </w:r>
    </w:p>
    <w:p w14:paraId="035E4762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2E51A68" w14:textId="234BB409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Je potrebné dôklad</w:t>
      </w:r>
      <w:r w:rsidR="00920B42" w:rsidRPr="00C04354">
        <w:rPr>
          <w:rFonts w:ascii="Times New Roman" w:hAnsi="Times New Roman"/>
          <w:szCs w:val="22"/>
          <w:lang w:val="sk-SK"/>
        </w:rPr>
        <w:t>n</w:t>
      </w:r>
      <w:r w:rsidRPr="00C04354">
        <w:rPr>
          <w:rFonts w:ascii="Times New Roman" w:hAnsi="Times New Roman"/>
          <w:szCs w:val="22"/>
          <w:lang w:val="sk-SK"/>
        </w:rPr>
        <w:t xml:space="preserve">e zvážiť indikáciu, pretože účinná dávka na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MBq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je vyššia ako u dospelých (pozri časť 11.).</w:t>
      </w:r>
    </w:p>
    <w:p w14:paraId="3A32F8E3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082EA3D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Príprava pacienta</w:t>
      </w:r>
    </w:p>
    <w:p w14:paraId="496114D4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C68EDB9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[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F]</w:t>
      </w:r>
      <w:proofErr w:type="spellStart"/>
      <w:r w:rsidRPr="00C04354">
        <w:rPr>
          <w:rFonts w:ascii="Times New Roman" w:hAnsi="Times New Roman"/>
          <w:szCs w:val="22"/>
          <w:lang w:val="sk-SK"/>
        </w:rPr>
        <w:t>FDG-FR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by sa mal podať dostatočne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hydratovaným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pacientom, ktorí sú minimálne 4 hodiny nalačno, čím sa dosiahne maximálna aktivita v cieľových orgánoch, nakoľko vychytávanie glukózy v bunkách je limitované (“saturovaná kinetika”). Množstvo tekutín by nemalo byť limitované (tekutiny obsahujúce glukózu sú zakázané).</w:t>
      </w:r>
    </w:p>
    <w:p w14:paraId="50748A7A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1F153F9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Aby sa dosiahla najlepšia kvalita obrázkov a znížila radiačná expozícia močového mechúra, mali by pacienti piť dostatočné množstvo tekutín a pred a po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vyšetrení vyprázdniť močový mechúr.</w:t>
      </w:r>
    </w:p>
    <w:p w14:paraId="422F2F47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7359CFF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i/>
          <w:szCs w:val="22"/>
          <w:lang w:val="sk-SK"/>
        </w:rPr>
      </w:pPr>
      <w:r w:rsidRPr="00C04354">
        <w:rPr>
          <w:rFonts w:ascii="Times New Roman" w:hAnsi="Times New Roman"/>
          <w:i/>
          <w:szCs w:val="22"/>
          <w:lang w:val="sk-SK"/>
        </w:rPr>
        <w:t>Onkológia a neurológia</w:t>
      </w:r>
    </w:p>
    <w:p w14:paraId="50EAF607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Aby sa vyhlo zvýšenej fixácii stopovacej látky v svaloch, pacientom sa pred vyšetrením radí vyhnúť sa namáhavej fyzickej aktivite a zostať v pokoji medzi podaním injekcie a vyšetrením a počas získavania obrázkov (pacienti by mali pohodlne ležať bez čítania alebo rozprávania).</w:t>
      </w:r>
    </w:p>
    <w:p w14:paraId="60ED5038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B2B60D8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Metabolizmus glukózy v mozgu závisí na aktivite mozgu. Preto by sa neurologické vyšetrenia mali vykonať po relaxácii v tmavej miestnosti a s malým hlukom pozadia. </w:t>
      </w:r>
    </w:p>
    <w:p w14:paraId="1A2EF28C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61BA18E" w14:textId="2A468D12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Pred vyšetrením by sa mal vykonať test glukózy v krvi, nakoľko hyperglykémia môže viesť k zníženiu citlivosti [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F]</w:t>
      </w:r>
      <w:proofErr w:type="spellStart"/>
      <w:r w:rsidRPr="00C04354">
        <w:rPr>
          <w:rFonts w:ascii="Times New Roman" w:hAnsi="Times New Roman"/>
          <w:szCs w:val="22"/>
          <w:lang w:val="sk-SK"/>
        </w:rPr>
        <w:t>FDG-FR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obzvlášť keď je glykémia vyššia ako 8 mmol/l. Podobne by sa malo vyhnúť podávaniu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u pacientov s nekontrolovaným diabetom. </w:t>
      </w:r>
    </w:p>
    <w:p w14:paraId="3D117D02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2F586F2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i/>
          <w:szCs w:val="22"/>
          <w:lang w:val="sk-SK"/>
        </w:rPr>
      </w:pPr>
      <w:r w:rsidRPr="00C04354">
        <w:rPr>
          <w:rFonts w:ascii="Times New Roman" w:hAnsi="Times New Roman"/>
          <w:i/>
          <w:szCs w:val="22"/>
          <w:lang w:val="sk-SK"/>
        </w:rPr>
        <w:t>Kardiológia</w:t>
      </w:r>
    </w:p>
    <w:p w14:paraId="3C2DC14C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Nakoľko vychytávanie glukózy v myokarde je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inzulín-dependentné</w:t>
      </w:r>
      <w:proofErr w:type="spellEnd"/>
      <w:r w:rsidRPr="00C04354">
        <w:rPr>
          <w:rFonts w:ascii="Times New Roman" w:hAnsi="Times New Roman"/>
          <w:szCs w:val="22"/>
          <w:lang w:val="sk-SK"/>
        </w:rPr>
        <w:t>, odporúča sa 1 hodinu pred vyšetrením myokardu [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F]</w:t>
      </w:r>
      <w:proofErr w:type="spellStart"/>
      <w:r w:rsidRPr="00C04354">
        <w:rPr>
          <w:rFonts w:ascii="Times New Roman" w:hAnsi="Times New Roman"/>
          <w:szCs w:val="22"/>
          <w:lang w:val="sk-SK"/>
        </w:rPr>
        <w:t>FDG-FR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nárazová dávka glukózy </w:t>
      </w:r>
      <w:smartTag w:uri="urn:schemas-microsoft-com:office:smarttags" w:element="metricconverter">
        <w:smartTagPr>
          <w:attr w:name="ProductID" w:val="50 g"/>
        </w:smartTagPr>
        <w:r w:rsidRPr="00C04354">
          <w:rPr>
            <w:rFonts w:ascii="Times New Roman" w:hAnsi="Times New Roman"/>
            <w:szCs w:val="22"/>
            <w:lang w:val="sk-SK"/>
          </w:rPr>
          <w:t>50 g</w:t>
        </w:r>
      </w:smartTag>
      <w:r w:rsidRPr="00C04354">
        <w:rPr>
          <w:rFonts w:ascii="Times New Roman" w:hAnsi="Times New Roman"/>
          <w:szCs w:val="22"/>
          <w:lang w:val="sk-SK"/>
        </w:rPr>
        <w:t>. Eventuálne, obzvlášť u pacientov s diabetom, sa môže v prípade potreby hladina cukru v krvi upraviť kombinovanou infúziou inzulínu a glukózy (</w:t>
      </w:r>
      <w:proofErr w:type="spellStart"/>
      <w:r w:rsidRPr="00C04354">
        <w:rPr>
          <w:rFonts w:ascii="Times New Roman" w:hAnsi="Times New Roman"/>
          <w:szCs w:val="22"/>
          <w:lang w:val="sk-SK"/>
        </w:rPr>
        <w:t>inzulín-glukózová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svorka). </w:t>
      </w:r>
    </w:p>
    <w:p w14:paraId="425D4A1E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FF12A08" w14:textId="6F9EB02C" w:rsidR="00786071" w:rsidRPr="00C04354" w:rsidRDefault="00E50541" w:rsidP="00EE5AB9">
      <w:pPr>
        <w:pStyle w:val="p8"/>
        <w:shd w:val="clear" w:color="auto" w:fill="FFFFFF"/>
        <w:jc w:val="left"/>
        <w:rPr>
          <w:b/>
          <w:sz w:val="22"/>
          <w:lang w:val="sk-SK"/>
        </w:rPr>
      </w:pPr>
      <w:r w:rsidRPr="00C04354">
        <w:rPr>
          <w:rStyle w:val="s3"/>
          <w:b/>
          <w:sz w:val="22"/>
          <w:u w:val="none"/>
          <w:lang w:val="sk-SK"/>
        </w:rPr>
        <w:t xml:space="preserve">Interpretácia </w:t>
      </w:r>
      <w:r w:rsidRPr="00C04354">
        <w:rPr>
          <w:rStyle w:val="s3"/>
          <w:b/>
          <w:sz w:val="22"/>
          <w:szCs w:val="22"/>
          <w:u w:val="none"/>
          <w:lang w:val="sk-SK"/>
        </w:rPr>
        <w:t xml:space="preserve">výsledkov vyšetrení </w:t>
      </w:r>
      <w:proofErr w:type="spellStart"/>
      <w:r w:rsidRPr="00C04354">
        <w:rPr>
          <w:rStyle w:val="s3"/>
          <w:b/>
          <w:sz w:val="22"/>
          <w:szCs w:val="22"/>
          <w:u w:val="none"/>
          <w:lang w:val="sk-SK"/>
        </w:rPr>
        <w:t>PET</w:t>
      </w:r>
      <w:proofErr w:type="spellEnd"/>
      <w:r w:rsidRPr="00C04354">
        <w:rPr>
          <w:rStyle w:val="s3"/>
          <w:b/>
          <w:sz w:val="22"/>
          <w:szCs w:val="22"/>
          <w:u w:val="none"/>
          <w:lang w:val="sk-SK"/>
        </w:rPr>
        <w:t xml:space="preserve"> pomocou </w:t>
      </w:r>
      <w:proofErr w:type="spellStart"/>
      <w:r w:rsidRPr="00C04354">
        <w:rPr>
          <w:rStyle w:val="s3"/>
          <w:b/>
          <w:sz w:val="22"/>
          <w:szCs w:val="22"/>
          <w:u w:val="none"/>
          <w:lang w:val="sk-SK"/>
        </w:rPr>
        <w:t>fludeoxyglukózy</w:t>
      </w:r>
      <w:proofErr w:type="spellEnd"/>
      <w:r w:rsidRPr="00C04354">
        <w:rPr>
          <w:rStyle w:val="s3"/>
          <w:b/>
          <w:sz w:val="22"/>
          <w:szCs w:val="22"/>
          <w:u w:val="none"/>
          <w:lang w:val="sk-SK"/>
        </w:rPr>
        <w:t xml:space="preserve"> (</w:t>
      </w:r>
      <w:r w:rsidRPr="00C04354">
        <w:rPr>
          <w:rStyle w:val="s3"/>
          <w:b/>
          <w:sz w:val="22"/>
          <w:szCs w:val="22"/>
          <w:u w:val="none"/>
          <w:vertAlign w:val="superscript"/>
          <w:lang w:val="sk-SK"/>
        </w:rPr>
        <w:t>18</w:t>
      </w:r>
      <w:r w:rsidRPr="00C04354">
        <w:rPr>
          <w:rStyle w:val="s3"/>
          <w:b/>
          <w:sz w:val="22"/>
          <w:szCs w:val="22"/>
          <w:u w:val="none"/>
          <w:lang w:val="sk-SK"/>
        </w:rPr>
        <w:t>F)</w:t>
      </w:r>
    </w:p>
    <w:p w14:paraId="31E6332C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b/>
          <w:lang w:val="sk-SK"/>
        </w:rPr>
      </w:pPr>
    </w:p>
    <w:p w14:paraId="6745F6A6" w14:textId="71BE140C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Infekčné alebo zápalové ochorenia rovnako ako regeneračné procesy po chirurgických operáciách môžu viesť k </w:t>
      </w:r>
      <w:proofErr w:type="spellStart"/>
      <w:r w:rsidRPr="00C04354">
        <w:rPr>
          <w:rFonts w:ascii="Times New Roman" w:hAnsi="Times New Roman"/>
          <w:szCs w:val="22"/>
          <w:lang w:val="sk-SK"/>
        </w:rPr>
        <w:t>signifikantnému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zvýšeniu vychytávania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 a preto viesť k falošne pozitívnym výsledkom.</w:t>
      </w:r>
    </w:p>
    <w:p w14:paraId="02142C14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AEBB2B6" w14:textId="77777777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V prípadoch, keď zvýšená akumulácia </w:t>
      </w:r>
      <w:proofErr w:type="spellStart"/>
      <w:r w:rsidRPr="00C04354">
        <w:rPr>
          <w:sz w:val="22"/>
          <w:szCs w:val="22"/>
          <w:lang w:val="sk-SK"/>
        </w:rPr>
        <w:t>fludeoxyglukózy</w:t>
      </w:r>
      <w:proofErr w:type="spellEnd"/>
      <w:r w:rsidRPr="00C04354">
        <w:rPr>
          <w:sz w:val="22"/>
          <w:szCs w:val="22"/>
          <w:lang w:val="sk-SK"/>
        </w:rPr>
        <w:t xml:space="preserve"> (</w:t>
      </w:r>
      <w:r w:rsidRPr="00C04354">
        <w:rPr>
          <w:sz w:val="22"/>
          <w:szCs w:val="22"/>
          <w:vertAlign w:val="superscript"/>
          <w:lang w:val="sk-SK"/>
        </w:rPr>
        <w:t>18</w:t>
      </w:r>
      <w:r w:rsidRPr="00C04354">
        <w:rPr>
          <w:sz w:val="22"/>
          <w:szCs w:val="22"/>
          <w:lang w:val="sk-SK"/>
        </w:rPr>
        <w:t xml:space="preserve">F) môže byť spôsobená buď nádorovým ochorením, infekciou alebo zápalom, treba doplniť informácie získané </w:t>
      </w:r>
      <w:proofErr w:type="spellStart"/>
      <w:r w:rsidRPr="00C04354">
        <w:rPr>
          <w:sz w:val="22"/>
          <w:szCs w:val="22"/>
          <w:lang w:val="sk-SK"/>
        </w:rPr>
        <w:t>PET</w:t>
      </w:r>
      <w:proofErr w:type="spellEnd"/>
      <w:r w:rsidRPr="00C04354">
        <w:rPr>
          <w:sz w:val="22"/>
          <w:szCs w:val="22"/>
          <w:lang w:val="sk-SK"/>
        </w:rPr>
        <w:t xml:space="preserve"> vyšetrením</w:t>
      </w:r>
      <w:r w:rsidRPr="00C04354">
        <w:rPr>
          <w:rStyle w:val="apple-converted-space"/>
          <w:sz w:val="22"/>
          <w:szCs w:val="22"/>
          <w:lang w:val="sk-SK"/>
        </w:rPr>
        <w:t> </w:t>
      </w:r>
      <w:r w:rsidRPr="00C04354">
        <w:rPr>
          <w:rStyle w:val="s3"/>
          <w:sz w:val="22"/>
          <w:szCs w:val="22"/>
          <w:u w:val="none"/>
          <w:lang w:val="sk-SK"/>
        </w:rPr>
        <w:t xml:space="preserve">pomocou </w:t>
      </w:r>
      <w:proofErr w:type="spellStart"/>
      <w:r w:rsidRPr="00C04354">
        <w:rPr>
          <w:rStyle w:val="s3"/>
          <w:sz w:val="22"/>
          <w:szCs w:val="22"/>
          <w:u w:val="none"/>
          <w:lang w:val="sk-SK"/>
        </w:rPr>
        <w:t>fludeoxyglukózy</w:t>
      </w:r>
      <w:proofErr w:type="spellEnd"/>
      <w:r w:rsidRPr="00C04354">
        <w:rPr>
          <w:rStyle w:val="s3"/>
          <w:sz w:val="22"/>
          <w:szCs w:val="22"/>
          <w:u w:val="none"/>
          <w:lang w:val="sk-SK"/>
        </w:rPr>
        <w:t xml:space="preserve"> (</w:t>
      </w:r>
      <w:r w:rsidRPr="00C04354">
        <w:rPr>
          <w:rStyle w:val="s3"/>
          <w:sz w:val="22"/>
          <w:szCs w:val="22"/>
          <w:u w:val="none"/>
          <w:vertAlign w:val="superscript"/>
          <w:lang w:val="sk-SK"/>
        </w:rPr>
        <w:t>18</w:t>
      </w:r>
      <w:r w:rsidRPr="00C04354">
        <w:rPr>
          <w:rStyle w:val="s3"/>
          <w:sz w:val="22"/>
          <w:szCs w:val="22"/>
          <w:u w:val="none"/>
          <w:lang w:val="sk-SK"/>
        </w:rPr>
        <w:t>F)</w:t>
      </w:r>
      <w:r w:rsidRPr="00C04354">
        <w:rPr>
          <w:rStyle w:val="apple-converted-space"/>
          <w:sz w:val="22"/>
          <w:szCs w:val="22"/>
          <w:lang w:val="sk-SK"/>
        </w:rPr>
        <w:t xml:space="preserve"> </w:t>
      </w:r>
      <w:r w:rsidRPr="00C04354">
        <w:rPr>
          <w:sz w:val="22"/>
          <w:szCs w:val="22"/>
          <w:lang w:val="sk-SK"/>
        </w:rPr>
        <w:t>ďalšími zobrazovacími diagnostickými metódami na stanovenie príčiny patologickej zmeny.</w:t>
      </w:r>
      <w:r w:rsidRPr="00C04354">
        <w:rPr>
          <w:rStyle w:val="s2"/>
          <w:sz w:val="22"/>
          <w:szCs w:val="22"/>
          <w:lang w:val="sk-SK"/>
        </w:rPr>
        <w:t xml:space="preserve"> Pri niektorých vyšetreniach napr. </w:t>
      </w:r>
      <w:proofErr w:type="spellStart"/>
      <w:r w:rsidRPr="00C04354">
        <w:rPr>
          <w:rStyle w:val="s2"/>
          <w:sz w:val="22"/>
          <w:szCs w:val="22"/>
          <w:lang w:val="sk-SK"/>
        </w:rPr>
        <w:t>staging</w:t>
      </w:r>
      <w:proofErr w:type="spellEnd"/>
      <w:r w:rsidRPr="00C04354">
        <w:rPr>
          <w:rStyle w:val="s2"/>
          <w:sz w:val="22"/>
          <w:szCs w:val="22"/>
          <w:lang w:val="sk-SK"/>
        </w:rPr>
        <w:t xml:space="preserve"> </w:t>
      </w:r>
      <w:proofErr w:type="spellStart"/>
      <w:r w:rsidRPr="00C04354">
        <w:rPr>
          <w:rStyle w:val="s2"/>
          <w:sz w:val="22"/>
          <w:szCs w:val="22"/>
          <w:lang w:val="sk-SK"/>
        </w:rPr>
        <w:t>myelómu</w:t>
      </w:r>
      <w:proofErr w:type="spellEnd"/>
      <w:r w:rsidRPr="00C04354">
        <w:rPr>
          <w:rStyle w:val="s2"/>
          <w:sz w:val="22"/>
          <w:szCs w:val="22"/>
          <w:lang w:val="sk-SK"/>
        </w:rPr>
        <w:t>, sú skúmané malígne aj infekčné</w:t>
      </w:r>
      <w:r w:rsidRPr="00C04354">
        <w:rPr>
          <w:rStyle w:val="apple-converted-space"/>
          <w:sz w:val="22"/>
          <w:szCs w:val="22"/>
          <w:lang w:val="sk-SK"/>
        </w:rPr>
        <w:t xml:space="preserve"> </w:t>
      </w:r>
      <w:r w:rsidRPr="00C04354">
        <w:rPr>
          <w:rStyle w:val="s2"/>
          <w:sz w:val="22"/>
          <w:szCs w:val="22"/>
          <w:lang w:val="sk-SK"/>
        </w:rPr>
        <w:t xml:space="preserve">ložiská a môžu byť odlíšené s dobrou presnosťou vzhľadom na topografické kritériá, napr. vychytávanie </w:t>
      </w:r>
      <w:r w:rsidRPr="00C04354">
        <w:rPr>
          <w:rStyle w:val="s2"/>
          <w:sz w:val="22"/>
          <w:szCs w:val="22"/>
          <w:lang w:val="sk-SK"/>
        </w:rPr>
        <w:lastRenderedPageBreak/>
        <w:t xml:space="preserve">na </w:t>
      </w:r>
      <w:proofErr w:type="spellStart"/>
      <w:r w:rsidRPr="00C04354">
        <w:rPr>
          <w:rStyle w:val="s2"/>
          <w:sz w:val="22"/>
          <w:szCs w:val="22"/>
          <w:lang w:val="sk-SK"/>
        </w:rPr>
        <w:t>extramedulárnych</w:t>
      </w:r>
      <w:proofErr w:type="spellEnd"/>
      <w:r w:rsidRPr="00C04354">
        <w:rPr>
          <w:rStyle w:val="s2"/>
          <w:sz w:val="22"/>
          <w:szCs w:val="22"/>
          <w:lang w:val="sk-SK"/>
        </w:rPr>
        <w:t xml:space="preserve"> miestach a/alebo kostné a kĺbové lézie by boli netypické pre viacnásobné lézie </w:t>
      </w:r>
      <w:proofErr w:type="spellStart"/>
      <w:r w:rsidRPr="00C04354">
        <w:rPr>
          <w:rStyle w:val="s2"/>
          <w:sz w:val="22"/>
          <w:szCs w:val="22"/>
          <w:lang w:val="sk-SK"/>
        </w:rPr>
        <w:t>myelómu</w:t>
      </w:r>
      <w:proofErr w:type="spellEnd"/>
      <w:r w:rsidRPr="00C04354">
        <w:rPr>
          <w:rStyle w:val="s2"/>
          <w:sz w:val="22"/>
          <w:szCs w:val="22"/>
          <w:lang w:val="sk-SK"/>
        </w:rPr>
        <w:t xml:space="preserve"> a identifikované prípady súvisiace s infekciou. Momentálne nie sú ďalšie </w:t>
      </w:r>
      <w:proofErr w:type="spellStart"/>
      <w:r w:rsidRPr="00C04354">
        <w:rPr>
          <w:rStyle w:val="s2"/>
          <w:sz w:val="22"/>
          <w:szCs w:val="22"/>
          <w:lang w:val="sk-SK"/>
        </w:rPr>
        <w:t>kriteriá</w:t>
      </w:r>
      <w:proofErr w:type="spellEnd"/>
      <w:r w:rsidRPr="00C04354">
        <w:rPr>
          <w:rStyle w:val="s2"/>
          <w:sz w:val="22"/>
          <w:szCs w:val="22"/>
          <w:lang w:val="sk-SK"/>
        </w:rPr>
        <w:t xml:space="preserve"> na odlíšenie infekcií a zápalov prostredníctvom </w:t>
      </w:r>
      <w:r w:rsidRPr="00C04354">
        <w:rPr>
          <w:rStyle w:val="s3"/>
          <w:sz w:val="22"/>
          <w:szCs w:val="22"/>
          <w:u w:val="none"/>
          <w:lang w:val="sk-SK"/>
        </w:rPr>
        <w:t xml:space="preserve">vyšetrení pomocou </w:t>
      </w:r>
      <w:proofErr w:type="spellStart"/>
      <w:r w:rsidRPr="00C04354">
        <w:rPr>
          <w:rStyle w:val="s3"/>
          <w:sz w:val="22"/>
          <w:szCs w:val="22"/>
          <w:u w:val="none"/>
          <w:lang w:val="sk-SK"/>
        </w:rPr>
        <w:t>fludeoxyglukózy</w:t>
      </w:r>
      <w:proofErr w:type="spellEnd"/>
      <w:r w:rsidRPr="00C04354">
        <w:rPr>
          <w:rStyle w:val="s3"/>
          <w:sz w:val="22"/>
          <w:szCs w:val="22"/>
          <w:u w:val="none"/>
          <w:lang w:val="sk-SK"/>
        </w:rPr>
        <w:t xml:space="preserve"> (</w:t>
      </w:r>
      <w:r w:rsidRPr="00C04354">
        <w:rPr>
          <w:rStyle w:val="s3"/>
          <w:sz w:val="22"/>
          <w:szCs w:val="22"/>
          <w:u w:val="none"/>
          <w:vertAlign w:val="superscript"/>
          <w:lang w:val="sk-SK"/>
        </w:rPr>
        <w:t>18</w:t>
      </w:r>
      <w:r w:rsidRPr="00C04354">
        <w:rPr>
          <w:rStyle w:val="s3"/>
          <w:sz w:val="22"/>
          <w:szCs w:val="22"/>
          <w:u w:val="none"/>
          <w:lang w:val="sk-SK"/>
        </w:rPr>
        <w:t>F)</w:t>
      </w:r>
    </w:p>
    <w:p w14:paraId="1F33D9D8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3390944" w14:textId="0F80053B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Falošne pozitívne alebo falošne negatívne výsledky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sa nemôžu vylúčiť po rádioterapii v priebehu prvých 2 – 4 mesiacov. Ak klinická indikácia vyžaduje skoršiu diagnostiku pomocou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dôvod pre skoršie vyšetrenie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pomocou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 musí byť odôvodnene zdokumentovaný.</w:t>
      </w:r>
    </w:p>
    <w:p w14:paraId="5E25285A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289FCCE" w14:textId="48A2753C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Optimálny je aspoň 4 – </w:t>
      </w:r>
      <w:proofErr w:type="spellStart"/>
      <w:r w:rsidRPr="00C04354">
        <w:rPr>
          <w:rFonts w:ascii="Times New Roman" w:hAnsi="Times New Roman"/>
          <w:szCs w:val="22"/>
          <w:lang w:val="sk-SK"/>
        </w:rPr>
        <w:t>6-týždňový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interval po podaní poslednej chemoterapie, predovšetkým kvôli vyhnutiu sa falošne negatívnym výsledkom. Ak klinická indikácia vyžaduje skoršiu diagnostiku pomocou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dôvod pre skoršie vyšetrenie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pomocou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musí byť odôvodnene zdokumentovaný. V prípade chemoterapie s cyklami kratšími ako 4 týždne by sa vyšetrenie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pomocou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malo vykonať pred začiatkom nového cyklu. </w:t>
      </w:r>
    </w:p>
    <w:p w14:paraId="12B44B32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9B58745" w14:textId="1B7853FE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Pri </w:t>
      </w:r>
      <w:proofErr w:type="spellStart"/>
      <w:r w:rsidRPr="00C04354">
        <w:rPr>
          <w:rFonts w:ascii="Times New Roman" w:hAnsi="Times New Roman"/>
          <w:szCs w:val="22"/>
          <w:lang w:val="sk-SK"/>
        </w:rPr>
        <w:t>lymfóme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nízkeho stupňa (</w:t>
      </w:r>
      <w:proofErr w:type="spellStart"/>
      <w:r w:rsidRPr="00C04354">
        <w:rPr>
          <w:rFonts w:ascii="Times New Roman" w:hAnsi="Times New Roman"/>
          <w:szCs w:val="22"/>
          <w:lang w:val="sk-SK"/>
        </w:rPr>
        <w:t>low-grade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) a rakovine dolnej časti pažeráka by sa mali vziať do úvahy len pozitívne prediktívne hodnoty pre limitovanú senzitivitu vyšetrenia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pomocou </w:t>
      </w:r>
      <w:bookmarkStart w:id="0" w:name="OLE_LINK1"/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F). </w:t>
      </w:r>
      <w:bookmarkEnd w:id="0"/>
    </w:p>
    <w:p w14:paraId="34132E32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EDFFC9E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>) nie je efektívna v detekcii mozgových metastáz.</w:t>
      </w:r>
    </w:p>
    <w:p w14:paraId="51EB2C0A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46055206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Pri aplikácii náhodného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(pozitrónová emisná tomografia) systému je senzitivita znížená v porovnaní s cieleným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čo vedie k zníženej detekcii lézií menších ako </w:t>
      </w:r>
      <w:smartTag w:uri="urn:schemas-microsoft-com:office:smarttags" w:element="metricconverter">
        <w:smartTagPr>
          <w:attr w:name="ProductID" w:val="1 cm"/>
        </w:smartTagPr>
        <w:r w:rsidRPr="00C04354">
          <w:rPr>
            <w:rFonts w:ascii="Times New Roman" w:hAnsi="Times New Roman"/>
            <w:szCs w:val="22"/>
            <w:lang w:val="sk-SK"/>
          </w:rPr>
          <w:t>1 cm</w:t>
        </w:r>
      </w:smartTag>
      <w:r w:rsidRPr="00C04354">
        <w:rPr>
          <w:rFonts w:ascii="Times New Roman" w:hAnsi="Times New Roman"/>
          <w:szCs w:val="22"/>
          <w:lang w:val="sk-SK"/>
        </w:rPr>
        <w:t>.</w:t>
      </w:r>
    </w:p>
    <w:p w14:paraId="55289A94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trike/>
          <w:szCs w:val="22"/>
          <w:lang w:val="sk-SK"/>
        </w:rPr>
      </w:pPr>
    </w:p>
    <w:p w14:paraId="661305A2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Presnosť vyšetrenia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pomocou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je lepšia pri použití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>/</w:t>
      </w:r>
      <w:proofErr w:type="spellStart"/>
      <w:r w:rsidRPr="00C04354">
        <w:rPr>
          <w:rFonts w:ascii="Times New Roman" w:hAnsi="Times New Roman"/>
          <w:szCs w:val="22"/>
          <w:lang w:val="sk-SK"/>
        </w:rPr>
        <w:t>CT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kamier ako iba pri použití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kamery.</w:t>
      </w:r>
    </w:p>
    <w:p w14:paraId="02CC1283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9EEEC53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Pri použití alebo nepoužití kontrastnej látky pri hybridnom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PET-CT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vyšetrení sa môžu na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obrázkoch s útlmovou korekciou objaviť artefakty.</w:t>
      </w:r>
    </w:p>
    <w:p w14:paraId="0DED29F6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E5E2753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lang w:val="sk-SK"/>
        </w:rPr>
        <w:t xml:space="preserve">Po </w:t>
      </w:r>
      <w:r w:rsidRPr="00C04354">
        <w:rPr>
          <w:rFonts w:ascii="Times New Roman" w:hAnsi="Times New Roman"/>
          <w:b/>
          <w:szCs w:val="22"/>
          <w:lang w:val="sk-SK"/>
        </w:rPr>
        <w:t>vyšetrení</w:t>
      </w:r>
    </w:p>
    <w:p w14:paraId="4D176482" w14:textId="4F8A7D3C" w:rsidR="00047D16" w:rsidRPr="00C04354" w:rsidRDefault="00E50541" w:rsidP="00927787">
      <w:pPr>
        <w:autoSpaceDE w:val="0"/>
        <w:autoSpaceDN w:val="0"/>
        <w:adjustRightInd w:val="0"/>
        <w:rPr>
          <w:rFonts w:eastAsia="TimesNewRomanPSMT"/>
          <w:sz w:val="22"/>
          <w:lang w:val="sk-SK"/>
        </w:rPr>
      </w:pPr>
      <w:r w:rsidRPr="00C04354">
        <w:rPr>
          <w:snapToGrid/>
          <w:sz w:val="22"/>
          <w:szCs w:val="22"/>
          <w:lang w:val="sk-SK" w:eastAsia="sk-SK"/>
        </w:rPr>
        <w:t xml:space="preserve">V priebehu prvých 12 hodín po </w:t>
      </w:r>
      <w:r w:rsidRPr="00C04354">
        <w:rPr>
          <w:sz w:val="22"/>
          <w:lang w:val="sk-SK"/>
        </w:rPr>
        <w:t xml:space="preserve">podaní injekcie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má byť </w:t>
      </w:r>
      <w:r w:rsidRPr="00C04354">
        <w:rPr>
          <w:snapToGrid/>
          <w:sz w:val="22"/>
          <w:szCs w:val="22"/>
          <w:lang w:val="sk-SK" w:eastAsia="sk-SK"/>
        </w:rPr>
        <w:t xml:space="preserve">obmedzený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>blízky kontakt s dojčatami a</w:t>
      </w:r>
    </w:p>
    <w:p w14:paraId="0B8BF093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napToGrid/>
          <w:szCs w:val="22"/>
          <w:lang w:val="sk-SK" w:eastAsia="sk-SK"/>
        </w:rPr>
      </w:pPr>
      <w:r w:rsidRPr="00C04354">
        <w:rPr>
          <w:rFonts w:ascii="Times New Roman" w:hAnsi="Times New Roman"/>
          <w:snapToGrid/>
          <w:szCs w:val="22"/>
          <w:lang w:val="sk-SK" w:eastAsia="sk-SK"/>
        </w:rPr>
        <w:t>tehotnými ženami.</w:t>
      </w:r>
    </w:p>
    <w:p w14:paraId="1298EFE7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u w:val="single"/>
          <w:lang w:val="sk-SK"/>
        </w:rPr>
      </w:pPr>
    </w:p>
    <w:p w14:paraId="103822C0" w14:textId="53EC42A6" w:rsidR="00A661CE" w:rsidRPr="00C04354" w:rsidRDefault="00E50541" w:rsidP="00927787">
      <w:pPr>
        <w:rPr>
          <w:noProof/>
          <w:sz w:val="22"/>
          <w:szCs w:val="22"/>
          <w:lang w:val="sk-SK"/>
        </w:rPr>
      </w:pPr>
      <w:r w:rsidRPr="00C04354">
        <w:rPr>
          <w:noProof/>
          <w:sz w:val="22"/>
          <w:szCs w:val="22"/>
          <w:lang w:val="sk-SK"/>
        </w:rPr>
        <w:t>Tento liek obsahuje malé množstvá etanolu (alkoholu), menej ako 100 mg v jednej dávke.</w:t>
      </w:r>
    </w:p>
    <w:p w14:paraId="5499CB35" w14:textId="77777777" w:rsidR="00786071" w:rsidRPr="00C04354" w:rsidRDefault="00786071">
      <w:pPr>
        <w:rPr>
          <w:sz w:val="22"/>
          <w:lang w:val="sk-SK"/>
        </w:rPr>
      </w:pPr>
    </w:p>
    <w:p w14:paraId="2B159795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Opatrenia s ohľadom na nebezpečnosť pre životné prostredie, pozri časť 6.6.</w:t>
      </w:r>
    </w:p>
    <w:p w14:paraId="7664F51C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A1C260A" w14:textId="29C5AC94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4.5</w:t>
      </w:r>
      <w:r w:rsidR="00710FA9" w:rsidRPr="00C04354">
        <w:rPr>
          <w:rFonts w:ascii="Times New Roman" w:hAnsi="Times New Roman"/>
          <w:b/>
          <w:szCs w:val="22"/>
          <w:lang w:val="sk-SK"/>
        </w:rPr>
        <w:tab/>
      </w:r>
      <w:r w:rsidR="0066182F" w:rsidRPr="00C04354">
        <w:rPr>
          <w:rFonts w:ascii="Times New Roman" w:hAnsi="Times New Roman"/>
          <w:b/>
          <w:noProof/>
          <w:szCs w:val="22"/>
          <w:lang w:val="sk-SK" w:eastAsia="sk-SK"/>
        </w:rPr>
        <w:t>Liekové a iné interakcie</w:t>
      </w:r>
      <w:r w:rsidR="0066182F" w:rsidRPr="00C04354" w:rsidDel="0066182F">
        <w:rPr>
          <w:rFonts w:ascii="Times New Roman" w:hAnsi="Times New Roman"/>
          <w:b/>
          <w:szCs w:val="22"/>
          <w:lang w:val="sk-SK"/>
        </w:rPr>
        <w:t xml:space="preserve"> </w:t>
      </w:r>
    </w:p>
    <w:p w14:paraId="44EC12A4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F940295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Všetky lieky, ktoré ovplyvňujú hladiny cukru v krvi, môžu ovplyvniť senzitivitu vyšetrenia (napr. </w:t>
      </w:r>
      <w:proofErr w:type="spellStart"/>
      <w:r w:rsidRPr="00C04354">
        <w:rPr>
          <w:rFonts w:ascii="Times New Roman" w:hAnsi="Times New Roman"/>
          <w:szCs w:val="22"/>
          <w:lang w:val="sk-SK"/>
        </w:rPr>
        <w:t>kortikosteroidy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C04354">
        <w:rPr>
          <w:rFonts w:ascii="Times New Roman" w:hAnsi="Times New Roman"/>
          <w:szCs w:val="22"/>
          <w:lang w:val="sk-SK"/>
        </w:rPr>
        <w:t>valproát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C04354">
        <w:rPr>
          <w:rFonts w:ascii="Times New Roman" w:hAnsi="Times New Roman"/>
          <w:szCs w:val="22"/>
          <w:lang w:val="sk-SK"/>
        </w:rPr>
        <w:t>karbamazepín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fenytoín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fenobarbital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C04354">
        <w:rPr>
          <w:rFonts w:ascii="Times New Roman" w:hAnsi="Times New Roman"/>
          <w:szCs w:val="22"/>
          <w:lang w:val="sk-SK"/>
        </w:rPr>
        <w:t>katecholamíny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). </w:t>
      </w:r>
    </w:p>
    <w:p w14:paraId="5C33E246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4D7C7098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Pri podávaní kolóniu stimulujúcich faktorov (</w:t>
      </w:r>
      <w:proofErr w:type="spellStart"/>
      <w:r w:rsidRPr="00C04354">
        <w:rPr>
          <w:rFonts w:ascii="Times New Roman" w:hAnsi="Times New Roman"/>
          <w:szCs w:val="22"/>
          <w:lang w:val="sk-SK"/>
        </w:rPr>
        <w:t>CSF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) je počas niekoľkých dní zvýšené vychytávanie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v kostnej dreni a slezine. Toto sa musí pri interpretácii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obrázkov vziať do úvahy.</w:t>
      </w:r>
      <w:r w:rsidRPr="00C04354">
        <w:rPr>
          <w:rFonts w:ascii="Times New Roman" w:hAnsi="Times New Roman"/>
          <w:lang w:val="sk-SK"/>
        </w:rPr>
        <w:t xml:space="preserve"> </w:t>
      </w:r>
      <w:r w:rsidRPr="00C04354">
        <w:rPr>
          <w:rFonts w:ascii="Times New Roman" w:hAnsi="Times New Roman"/>
          <w:szCs w:val="22"/>
          <w:lang w:val="sk-SK"/>
        </w:rPr>
        <w:t xml:space="preserve">Tento rozdiel môže znížiť aspoň </w:t>
      </w:r>
      <w:proofErr w:type="spellStart"/>
      <w:r w:rsidRPr="00C04354">
        <w:rPr>
          <w:rFonts w:ascii="Times New Roman" w:hAnsi="Times New Roman"/>
          <w:szCs w:val="22"/>
          <w:lang w:val="sk-SK"/>
        </w:rPr>
        <w:t>5-dňový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interval medzi terapiou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CSF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PET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vyšetrením.</w:t>
      </w:r>
    </w:p>
    <w:p w14:paraId="39F856E7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lang w:val="sk-SK"/>
        </w:rPr>
      </w:pPr>
    </w:p>
    <w:p w14:paraId="072AB40A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Podanie glukózy a inzulínu ovplyvňuje vtok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do buniek. V prípade zvýšenej hladiny cukru v krvi rovnako ako nízkej hladiny inzulínu je znížený vtok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>) do orgánov a tumorov.</w:t>
      </w:r>
    </w:p>
    <w:p w14:paraId="0C498820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lang w:val="sk-SK"/>
        </w:rPr>
      </w:pPr>
    </w:p>
    <w:p w14:paraId="5A2066AB" w14:textId="7F7C81B4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Neuskutočnili sa žiadne interakčné štúdie </w:t>
      </w:r>
      <w:proofErr w:type="spellStart"/>
      <w:r w:rsidRPr="00C04354">
        <w:rPr>
          <w:sz w:val="22"/>
          <w:szCs w:val="22"/>
          <w:lang w:val="sk-SK"/>
        </w:rPr>
        <w:t>fludeoxyglukózy</w:t>
      </w:r>
      <w:proofErr w:type="spellEnd"/>
      <w:r w:rsidRPr="00C04354">
        <w:rPr>
          <w:sz w:val="22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sz w:val="22"/>
            <w:szCs w:val="22"/>
            <w:vertAlign w:val="superscript"/>
            <w:lang w:val="sk-SK"/>
          </w:rPr>
          <w:t>18</w:t>
        </w:r>
        <w:r w:rsidRPr="00C04354">
          <w:rPr>
            <w:sz w:val="22"/>
            <w:szCs w:val="22"/>
            <w:lang w:val="sk-SK"/>
          </w:rPr>
          <w:t>F</w:t>
        </w:r>
      </w:smartTag>
      <w:r w:rsidRPr="00C04354">
        <w:rPr>
          <w:sz w:val="22"/>
          <w:szCs w:val="22"/>
          <w:lang w:val="sk-SK"/>
        </w:rPr>
        <w:t>) a kontrastných látok pre počítačovú tomografiu.</w:t>
      </w:r>
    </w:p>
    <w:p w14:paraId="280F8EB5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7E26E66" w14:textId="6688E042" w:rsidR="00786071" w:rsidRPr="00C04354" w:rsidRDefault="00E50541" w:rsidP="00F65149">
      <w:pPr>
        <w:pStyle w:val="Zkladntext3"/>
        <w:keepNext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lastRenderedPageBreak/>
        <w:t>4.6</w:t>
      </w:r>
      <w:r w:rsidRPr="00C04354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Pr="00C04354">
        <w:rPr>
          <w:rFonts w:ascii="Times New Roman" w:hAnsi="Times New Roman"/>
          <w:b/>
          <w:szCs w:val="22"/>
          <w:lang w:val="sk-SK"/>
        </w:rPr>
        <w:t>Fertilita</w:t>
      </w:r>
      <w:proofErr w:type="spellEnd"/>
      <w:r w:rsidRPr="00C04354">
        <w:rPr>
          <w:rFonts w:ascii="Times New Roman" w:hAnsi="Times New Roman"/>
          <w:b/>
          <w:szCs w:val="22"/>
          <w:lang w:val="sk-SK"/>
        </w:rPr>
        <w:t xml:space="preserve">, </w:t>
      </w:r>
      <w:r w:rsidRPr="00C04354">
        <w:rPr>
          <w:rFonts w:ascii="Times New Roman" w:hAnsi="Times New Roman"/>
          <w:b/>
          <w:noProof/>
          <w:szCs w:val="22"/>
          <w:lang w:val="sk-SK" w:eastAsia="sk-SK"/>
        </w:rPr>
        <w:t>gravidita</w:t>
      </w:r>
      <w:r w:rsidRPr="00C04354">
        <w:rPr>
          <w:rFonts w:ascii="Times New Roman" w:hAnsi="Times New Roman"/>
          <w:b/>
          <w:szCs w:val="22"/>
          <w:lang w:val="sk-SK"/>
        </w:rPr>
        <w:t xml:space="preserve"> a laktácia</w:t>
      </w:r>
    </w:p>
    <w:p w14:paraId="44B2252F" w14:textId="77777777" w:rsidR="00786071" w:rsidRPr="00C04354" w:rsidRDefault="00786071" w:rsidP="00F65149">
      <w:pPr>
        <w:pStyle w:val="Zkladntext3"/>
        <w:keepNext/>
        <w:jc w:val="left"/>
        <w:rPr>
          <w:rFonts w:ascii="Times New Roman" w:hAnsi="Times New Roman"/>
          <w:strike/>
          <w:szCs w:val="22"/>
          <w:lang w:val="sk-SK"/>
        </w:rPr>
      </w:pPr>
    </w:p>
    <w:p w14:paraId="014945BC" w14:textId="2C102636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rStyle w:val="s3"/>
          <w:sz w:val="22"/>
          <w:szCs w:val="22"/>
          <w:lang w:val="sk-SK"/>
        </w:rPr>
        <w:t>Ženy vo fertilnom</w:t>
      </w:r>
      <w:r w:rsidRPr="00C04354">
        <w:rPr>
          <w:rStyle w:val="s3"/>
          <w:sz w:val="22"/>
          <w:lang w:val="sk-SK"/>
        </w:rPr>
        <w:t xml:space="preserve"> veku</w:t>
      </w:r>
    </w:p>
    <w:p w14:paraId="7304DF9C" w14:textId="32B9CF64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lang w:val="sk-SK"/>
        </w:rPr>
      </w:pPr>
      <w:r w:rsidRPr="00C04354">
        <w:rPr>
          <w:sz w:val="22"/>
          <w:szCs w:val="22"/>
          <w:lang w:val="sk-SK"/>
        </w:rPr>
        <w:t xml:space="preserve">Ak je nevyhnutné aplikovať </w:t>
      </w:r>
      <w:proofErr w:type="spellStart"/>
      <w:r w:rsidRPr="00C04354">
        <w:rPr>
          <w:sz w:val="22"/>
          <w:szCs w:val="22"/>
          <w:lang w:val="sk-SK"/>
        </w:rPr>
        <w:t>rádiofarmaká</w:t>
      </w:r>
      <w:proofErr w:type="spellEnd"/>
      <w:r w:rsidRPr="00C04354">
        <w:rPr>
          <w:sz w:val="22"/>
          <w:szCs w:val="22"/>
          <w:lang w:val="sk-SK"/>
        </w:rPr>
        <w:t xml:space="preserve"> ženám vo fertilnom veku, </w:t>
      </w:r>
      <w:r w:rsidRPr="00C04354">
        <w:rPr>
          <w:sz w:val="22"/>
          <w:lang w:val="sk-SK"/>
        </w:rPr>
        <w:t xml:space="preserve">vždy </w:t>
      </w:r>
      <w:r w:rsidRPr="00C04354">
        <w:rPr>
          <w:sz w:val="22"/>
          <w:szCs w:val="22"/>
          <w:lang w:val="sk-SK"/>
        </w:rPr>
        <w:t>je nutné stanoviť možné tehotenstvo.</w:t>
      </w:r>
      <w:r w:rsidRPr="00C04354">
        <w:rPr>
          <w:sz w:val="22"/>
          <w:lang w:val="sk-SK"/>
        </w:rPr>
        <w:t xml:space="preserve"> Každá žena, ktorej vynechala menštruácia, by sa mala </w:t>
      </w:r>
      <w:r w:rsidRPr="00C04354">
        <w:rPr>
          <w:sz w:val="22"/>
          <w:szCs w:val="22"/>
          <w:lang w:val="sk-SK"/>
        </w:rPr>
        <w:t>považovať</w:t>
      </w:r>
      <w:r w:rsidRPr="00C04354">
        <w:rPr>
          <w:sz w:val="22"/>
          <w:lang w:val="sk-SK"/>
        </w:rPr>
        <w:t xml:space="preserve"> za tehotnú, pokiaľ sa </w:t>
      </w:r>
      <w:r w:rsidRPr="00C04354">
        <w:rPr>
          <w:sz w:val="22"/>
          <w:szCs w:val="22"/>
          <w:lang w:val="sk-SK"/>
        </w:rPr>
        <w:t>nepreukáže</w:t>
      </w:r>
      <w:r w:rsidRPr="00C04354">
        <w:rPr>
          <w:sz w:val="22"/>
          <w:lang w:val="sk-SK"/>
        </w:rPr>
        <w:t xml:space="preserve"> opak. </w:t>
      </w:r>
      <w:r w:rsidRPr="00C04354">
        <w:rPr>
          <w:sz w:val="22"/>
          <w:szCs w:val="22"/>
          <w:lang w:val="sk-SK"/>
        </w:rPr>
        <w:t>V prípade neistoty možného tehotenstva (vynechaná menštruácia, nepravidelná menštruácia atď.) je nutné pacientke ponúknuť</w:t>
      </w:r>
      <w:r w:rsidRPr="00C04354">
        <w:rPr>
          <w:sz w:val="22"/>
          <w:lang w:val="sk-SK"/>
        </w:rPr>
        <w:t xml:space="preserve"> alternatívne techniky</w:t>
      </w:r>
      <w:r w:rsidRPr="00C04354">
        <w:rPr>
          <w:sz w:val="22"/>
          <w:szCs w:val="22"/>
          <w:lang w:val="sk-SK"/>
        </w:rPr>
        <w:t xml:space="preserve"> bez ionizujúceho žiarenia (ak sú dostupné).</w:t>
      </w:r>
    </w:p>
    <w:p w14:paraId="1D036B39" w14:textId="77777777" w:rsidR="00786071" w:rsidRPr="00C04354" w:rsidRDefault="00786071" w:rsidP="00EE5AB9">
      <w:pPr>
        <w:pStyle w:val="p9"/>
        <w:shd w:val="clear" w:color="auto" w:fill="FFFFFF"/>
        <w:jc w:val="left"/>
        <w:rPr>
          <w:sz w:val="22"/>
          <w:lang w:val="sk-SK"/>
        </w:rPr>
      </w:pPr>
    </w:p>
    <w:p w14:paraId="339FEE68" w14:textId="5DFF84C1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rStyle w:val="s3"/>
          <w:sz w:val="22"/>
          <w:szCs w:val="22"/>
          <w:lang w:val="sk-SK"/>
        </w:rPr>
        <w:t>Gravidita</w:t>
      </w:r>
    </w:p>
    <w:p w14:paraId="1989DAC2" w14:textId="77777777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proofErr w:type="spellStart"/>
      <w:r w:rsidRPr="00C04354">
        <w:rPr>
          <w:sz w:val="22"/>
          <w:szCs w:val="22"/>
          <w:lang w:val="sk-SK"/>
        </w:rPr>
        <w:t>Rádionuklidové</w:t>
      </w:r>
      <w:proofErr w:type="spellEnd"/>
      <w:r w:rsidRPr="00C04354">
        <w:rPr>
          <w:sz w:val="22"/>
          <w:szCs w:val="22"/>
          <w:lang w:val="sk-SK"/>
        </w:rPr>
        <w:t xml:space="preserve"> vyšetrenia tehotných žien spôsobia aj radiačnú záťaž plodu.</w:t>
      </w:r>
      <w:r w:rsidRPr="00C04354">
        <w:rPr>
          <w:rStyle w:val="apple-converted-space"/>
          <w:sz w:val="22"/>
          <w:szCs w:val="22"/>
          <w:lang w:val="sk-SK"/>
        </w:rPr>
        <w:t> </w:t>
      </w:r>
    </w:p>
    <w:p w14:paraId="589A092F" w14:textId="77777777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V priebehu tehotenstva by sa preto mali vykonávať iba nutné vyšetrenia u ktorých predpokladaný prínos podstatne prevyšuje riziko prinášané matke a plodu.</w:t>
      </w:r>
    </w:p>
    <w:p w14:paraId="285F3F92" w14:textId="77777777" w:rsidR="00786071" w:rsidRPr="00C04354" w:rsidRDefault="00786071" w:rsidP="00EE5AB9">
      <w:pPr>
        <w:pStyle w:val="p9"/>
        <w:shd w:val="clear" w:color="auto" w:fill="FFFFFF"/>
        <w:jc w:val="left"/>
        <w:rPr>
          <w:sz w:val="22"/>
          <w:szCs w:val="22"/>
          <w:lang w:val="sk-SK"/>
        </w:rPr>
      </w:pPr>
    </w:p>
    <w:p w14:paraId="6916824D" w14:textId="2E94B6BB" w:rsidR="00786071" w:rsidRPr="00C04354" w:rsidRDefault="005F7CFE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rStyle w:val="s3"/>
          <w:sz w:val="22"/>
          <w:szCs w:val="22"/>
          <w:lang w:val="sk-SK"/>
        </w:rPr>
        <w:t>Dojčenie</w:t>
      </w:r>
    </w:p>
    <w:p w14:paraId="1F91C201" w14:textId="2E46197B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sz w:val="22"/>
          <w:lang w:val="sk-SK"/>
        </w:rPr>
        <w:t xml:space="preserve">Pred podaním </w:t>
      </w:r>
      <w:proofErr w:type="spellStart"/>
      <w:r w:rsidRPr="00C04354">
        <w:rPr>
          <w:sz w:val="22"/>
          <w:szCs w:val="22"/>
          <w:lang w:val="sk-SK"/>
        </w:rPr>
        <w:t>rádiofarmák</w:t>
      </w:r>
      <w:proofErr w:type="spellEnd"/>
      <w:r w:rsidRPr="00C04354">
        <w:rPr>
          <w:sz w:val="22"/>
          <w:szCs w:val="22"/>
          <w:lang w:val="sk-SK"/>
        </w:rPr>
        <w:t xml:space="preserve"> dojčiacim matkám</w:t>
      </w:r>
      <w:r w:rsidRPr="00C04354">
        <w:rPr>
          <w:sz w:val="22"/>
          <w:lang w:val="sk-SK"/>
        </w:rPr>
        <w:t xml:space="preserve"> je potrebné </w:t>
      </w:r>
      <w:r w:rsidRPr="00C04354">
        <w:rPr>
          <w:sz w:val="22"/>
          <w:szCs w:val="22"/>
          <w:lang w:val="sk-SK"/>
        </w:rPr>
        <w:t>zvážiť</w:t>
      </w:r>
      <w:r w:rsidRPr="00C04354">
        <w:rPr>
          <w:sz w:val="22"/>
          <w:lang w:val="sk-SK"/>
        </w:rPr>
        <w:t xml:space="preserve">, či sa </w:t>
      </w:r>
      <w:r w:rsidRPr="00C04354">
        <w:rPr>
          <w:sz w:val="22"/>
          <w:szCs w:val="22"/>
          <w:lang w:val="sk-SK"/>
        </w:rPr>
        <w:t xml:space="preserve">nedá podanie </w:t>
      </w:r>
      <w:proofErr w:type="spellStart"/>
      <w:r w:rsidRPr="00C04354">
        <w:rPr>
          <w:sz w:val="22"/>
          <w:szCs w:val="22"/>
          <w:lang w:val="sk-SK"/>
        </w:rPr>
        <w:t>rádiofarmaka</w:t>
      </w:r>
      <w:proofErr w:type="spellEnd"/>
      <w:r w:rsidRPr="00C04354">
        <w:rPr>
          <w:sz w:val="22"/>
          <w:lang w:val="sk-SK"/>
        </w:rPr>
        <w:t xml:space="preserve"> odložiť</w:t>
      </w:r>
      <w:r w:rsidRPr="00C04354">
        <w:rPr>
          <w:sz w:val="22"/>
          <w:szCs w:val="22"/>
          <w:lang w:val="sk-SK"/>
        </w:rPr>
        <w:t xml:space="preserve"> na obdobie, kedy žena ukončila</w:t>
      </w:r>
      <w:r w:rsidRPr="00C04354">
        <w:rPr>
          <w:sz w:val="22"/>
          <w:lang w:val="sk-SK"/>
        </w:rPr>
        <w:t xml:space="preserve"> dojčenie </w:t>
      </w:r>
      <w:r w:rsidRPr="00C04354">
        <w:rPr>
          <w:sz w:val="22"/>
          <w:szCs w:val="22"/>
          <w:lang w:val="sk-SK"/>
        </w:rPr>
        <w:t xml:space="preserve">a tiež voľbu </w:t>
      </w:r>
      <w:proofErr w:type="spellStart"/>
      <w:r w:rsidRPr="00C04354">
        <w:rPr>
          <w:sz w:val="22"/>
          <w:szCs w:val="22"/>
          <w:lang w:val="sk-SK"/>
        </w:rPr>
        <w:t>rádiofarmaka</w:t>
      </w:r>
      <w:proofErr w:type="spellEnd"/>
      <w:r w:rsidRPr="00C04354">
        <w:rPr>
          <w:sz w:val="22"/>
          <w:szCs w:val="22"/>
          <w:lang w:val="sk-SK"/>
        </w:rPr>
        <w:t xml:space="preserve"> s ohľadom na vylučovanie aktivity do materského mlieka. Ak je aplikácia nevyhnutná, treba</w:t>
      </w:r>
      <w:r w:rsidRPr="00C04354">
        <w:rPr>
          <w:sz w:val="22"/>
          <w:lang w:val="sk-SK"/>
        </w:rPr>
        <w:t xml:space="preserve"> prerušiť </w:t>
      </w:r>
      <w:r w:rsidRPr="00C04354">
        <w:rPr>
          <w:sz w:val="22"/>
          <w:szCs w:val="22"/>
          <w:lang w:val="sk-SK"/>
        </w:rPr>
        <w:t>dojčenie</w:t>
      </w:r>
      <w:r w:rsidRPr="00C04354">
        <w:rPr>
          <w:sz w:val="22"/>
          <w:lang w:val="sk-SK"/>
        </w:rPr>
        <w:t xml:space="preserve"> na 12 hodín a</w:t>
      </w:r>
      <w:r w:rsidRPr="00C04354">
        <w:rPr>
          <w:sz w:val="22"/>
          <w:szCs w:val="22"/>
          <w:lang w:val="sk-SK"/>
        </w:rPr>
        <w:t> </w:t>
      </w:r>
      <w:r w:rsidRPr="00C04354">
        <w:rPr>
          <w:sz w:val="22"/>
          <w:lang w:val="sk-SK"/>
        </w:rPr>
        <w:t>odsaté mlieko zlikvidovať.</w:t>
      </w:r>
    </w:p>
    <w:p w14:paraId="35CC67C5" w14:textId="77777777" w:rsidR="00786071" w:rsidRPr="00C04354" w:rsidRDefault="0078607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7DB5CE60" w14:textId="65B8714E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lang w:val="sk-SK"/>
        </w:rPr>
      </w:pPr>
      <w:r w:rsidRPr="00C04354">
        <w:rPr>
          <w:sz w:val="22"/>
          <w:szCs w:val="22"/>
          <w:lang w:val="sk-SK"/>
        </w:rPr>
        <w:t xml:space="preserve">Odporúča sa vyhnúť </w:t>
      </w:r>
      <w:r w:rsidRPr="00C04354">
        <w:rPr>
          <w:sz w:val="22"/>
          <w:lang w:val="sk-SK"/>
        </w:rPr>
        <w:t xml:space="preserve">kontaktu medzi matkou a dieťaťom počas </w:t>
      </w:r>
      <w:r w:rsidRPr="00C04354">
        <w:rPr>
          <w:sz w:val="22"/>
          <w:szCs w:val="22"/>
          <w:lang w:val="sk-SK"/>
        </w:rPr>
        <w:t>prvých</w:t>
      </w:r>
      <w:r w:rsidRPr="00C04354">
        <w:rPr>
          <w:sz w:val="22"/>
          <w:lang w:val="sk-SK"/>
        </w:rPr>
        <w:t xml:space="preserve"> 12 hodín </w:t>
      </w:r>
      <w:r w:rsidRPr="00C04354">
        <w:rPr>
          <w:sz w:val="22"/>
          <w:szCs w:val="22"/>
          <w:lang w:val="sk-SK"/>
        </w:rPr>
        <w:t>po podaní</w:t>
      </w:r>
      <w:r w:rsidRPr="00C04354">
        <w:rPr>
          <w:sz w:val="22"/>
          <w:lang w:val="sk-SK"/>
        </w:rPr>
        <w:t xml:space="preserve"> injekcie</w:t>
      </w:r>
      <w:r w:rsidRPr="00C04354">
        <w:rPr>
          <w:sz w:val="22"/>
          <w:szCs w:val="22"/>
          <w:lang w:val="sk-SK"/>
        </w:rPr>
        <w:t xml:space="preserve"> </w:t>
      </w:r>
      <w:proofErr w:type="spellStart"/>
      <w:r w:rsidRPr="00C04354">
        <w:rPr>
          <w:sz w:val="22"/>
          <w:szCs w:val="22"/>
          <w:lang w:val="sk-SK"/>
        </w:rPr>
        <w:t>rádiofarmaka</w:t>
      </w:r>
      <w:proofErr w:type="spellEnd"/>
      <w:r w:rsidRPr="00C04354">
        <w:rPr>
          <w:sz w:val="22"/>
          <w:lang w:val="sk-SK"/>
        </w:rPr>
        <w:t>.</w:t>
      </w:r>
    </w:p>
    <w:p w14:paraId="202B2CD0" w14:textId="77777777" w:rsidR="00786071" w:rsidRPr="00C04354" w:rsidRDefault="0078607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3362EA40" w14:textId="77777777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u w:val="single"/>
          <w:lang w:val="sk-SK"/>
        </w:rPr>
      </w:pPr>
      <w:proofErr w:type="spellStart"/>
      <w:r w:rsidRPr="00C04354">
        <w:rPr>
          <w:sz w:val="22"/>
          <w:szCs w:val="22"/>
          <w:u w:val="single"/>
          <w:lang w:val="sk-SK"/>
        </w:rPr>
        <w:t>Fertilita</w:t>
      </w:r>
      <w:proofErr w:type="spellEnd"/>
    </w:p>
    <w:p w14:paraId="74C1660C" w14:textId="6FDFAFC0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Neuskutočnili sa žiadne štúdie </w:t>
      </w:r>
      <w:proofErr w:type="spellStart"/>
      <w:r w:rsidRPr="00C04354">
        <w:rPr>
          <w:sz w:val="22"/>
          <w:szCs w:val="22"/>
          <w:lang w:val="sk-SK"/>
        </w:rPr>
        <w:t>fertility</w:t>
      </w:r>
      <w:proofErr w:type="spellEnd"/>
      <w:r w:rsidRPr="00C04354">
        <w:rPr>
          <w:sz w:val="22"/>
          <w:szCs w:val="22"/>
          <w:lang w:val="sk-SK"/>
        </w:rPr>
        <w:t>.</w:t>
      </w:r>
    </w:p>
    <w:p w14:paraId="3A74E188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0FCEBF5" w14:textId="77777777" w:rsidR="00710FA9" w:rsidRPr="00C04354" w:rsidRDefault="00E50541" w:rsidP="00927787">
      <w:pPr>
        <w:tabs>
          <w:tab w:val="left" w:pos="540"/>
        </w:tabs>
        <w:rPr>
          <w:noProof/>
          <w:sz w:val="22"/>
          <w:szCs w:val="22"/>
          <w:lang w:val="sk-SK" w:eastAsia="sk-SK"/>
        </w:rPr>
      </w:pPr>
      <w:r w:rsidRPr="00C04354">
        <w:rPr>
          <w:b/>
          <w:sz w:val="22"/>
          <w:szCs w:val="22"/>
          <w:lang w:val="sk-SK"/>
        </w:rPr>
        <w:t>4.7</w:t>
      </w:r>
      <w:r w:rsidRPr="00C04354">
        <w:rPr>
          <w:b/>
          <w:sz w:val="22"/>
          <w:szCs w:val="22"/>
          <w:lang w:val="sk-SK"/>
        </w:rPr>
        <w:tab/>
      </w:r>
      <w:r w:rsidRPr="00C04354">
        <w:rPr>
          <w:b/>
          <w:noProof/>
          <w:sz w:val="22"/>
          <w:szCs w:val="22"/>
          <w:lang w:val="sk-SK" w:eastAsia="sk-SK"/>
        </w:rPr>
        <w:t>Ovplyvnenie schopnosti viesť vozidlá a obsluhovať stroje</w:t>
      </w:r>
    </w:p>
    <w:p w14:paraId="71F4EFC4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7153A7D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Netýka sa.</w:t>
      </w:r>
    </w:p>
    <w:p w14:paraId="44719890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54F6AD45" w14:textId="77777777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4.8</w:t>
      </w:r>
      <w:r w:rsidRPr="00C04354">
        <w:rPr>
          <w:rFonts w:ascii="Times New Roman" w:hAnsi="Times New Roman"/>
          <w:b/>
          <w:szCs w:val="22"/>
          <w:lang w:val="sk-SK"/>
        </w:rPr>
        <w:tab/>
      </w:r>
      <w:r w:rsidRPr="00C04354">
        <w:rPr>
          <w:rFonts w:ascii="Times New Roman" w:hAnsi="Times New Roman"/>
          <w:b/>
          <w:noProof/>
          <w:szCs w:val="22"/>
          <w:lang w:val="sk-SK" w:eastAsia="sk-SK"/>
        </w:rPr>
        <w:t>Nežiaduce</w:t>
      </w:r>
      <w:r w:rsidRPr="00C04354">
        <w:rPr>
          <w:rFonts w:ascii="Times New Roman" w:hAnsi="Times New Roman"/>
          <w:b/>
          <w:szCs w:val="22"/>
          <w:lang w:val="sk-SK"/>
        </w:rPr>
        <w:t xml:space="preserve"> účinky</w:t>
      </w:r>
    </w:p>
    <w:p w14:paraId="16620B8F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309B9198" w14:textId="1A5D1545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lang w:val="sk-SK"/>
        </w:rPr>
      </w:pPr>
      <w:r w:rsidRPr="00C04354">
        <w:rPr>
          <w:sz w:val="22"/>
          <w:lang w:val="sk-SK"/>
        </w:rPr>
        <w:t xml:space="preserve">Expozícia ionizujúcemu žiareniu môže </w:t>
      </w:r>
      <w:r w:rsidRPr="00C04354">
        <w:rPr>
          <w:sz w:val="22"/>
          <w:szCs w:val="22"/>
          <w:lang w:val="sk-SK"/>
        </w:rPr>
        <w:t>spôsobiť rakovinu</w:t>
      </w:r>
      <w:r w:rsidRPr="00C04354">
        <w:rPr>
          <w:sz w:val="22"/>
          <w:lang w:val="sk-SK"/>
        </w:rPr>
        <w:t xml:space="preserve"> alebo </w:t>
      </w:r>
      <w:r w:rsidRPr="00C04354">
        <w:rPr>
          <w:sz w:val="22"/>
          <w:szCs w:val="22"/>
          <w:lang w:val="sk-SK"/>
        </w:rPr>
        <w:t>potenciálny rozvoj</w:t>
      </w:r>
      <w:r w:rsidRPr="00C04354">
        <w:rPr>
          <w:sz w:val="22"/>
          <w:lang w:val="sk-SK"/>
        </w:rPr>
        <w:t xml:space="preserve"> dedičných </w:t>
      </w:r>
      <w:r w:rsidRPr="00C04354">
        <w:rPr>
          <w:sz w:val="22"/>
          <w:szCs w:val="22"/>
          <w:lang w:val="sk-SK"/>
        </w:rPr>
        <w:t>defektov.</w:t>
      </w:r>
      <w:r w:rsidRPr="00C04354">
        <w:rPr>
          <w:sz w:val="22"/>
          <w:lang w:val="sk-SK"/>
        </w:rPr>
        <w:t xml:space="preserve"> Po podaní maximálnej odporúčanej aktivity </w:t>
      </w:r>
      <w:r w:rsidRPr="00C04354">
        <w:rPr>
          <w:sz w:val="22"/>
          <w:szCs w:val="22"/>
          <w:lang w:val="sk-SK"/>
        </w:rPr>
        <w:t xml:space="preserve">400 </w:t>
      </w:r>
      <w:proofErr w:type="spellStart"/>
      <w:r w:rsidRPr="00C04354">
        <w:rPr>
          <w:sz w:val="22"/>
          <w:szCs w:val="22"/>
          <w:lang w:val="sk-SK"/>
        </w:rPr>
        <w:t>MBq</w:t>
      </w:r>
      <w:proofErr w:type="spellEnd"/>
      <w:r w:rsidRPr="00C04354">
        <w:rPr>
          <w:sz w:val="22"/>
          <w:szCs w:val="22"/>
          <w:lang w:val="sk-SK"/>
        </w:rPr>
        <w:t>, keď účinná</w:t>
      </w:r>
      <w:r w:rsidRPr="00C04354">
        <w:rPr>
          <w:sz w:val="22"/>
          <w:lang w:val="sk-SK"/>
        </w:rPr>
        <w:t xml:space="preserve"> dávka</w:t>
      </w:r>
      <w:r w:rsidRPr="00C04354">
        <w:rPr>
          <w:sz w:val="22"/>
          <w:szCs w:val="22"/>
          <w:lang w:val="sk-SK"/>
        </w:rPr>
        <w:t xml:space="preserve"> je asi</w:t>
      </w:r>
      <w:r w:rsidRPr="00C04354">
        <w:rPr>
          <w:sz w:val="22"/>
          <w:lang w:val="sk-SK"/>
        </w:rPr>
        <w:t xml:space="preserve"> 7,6 </w:t>
      </w:r>
      <w:proofErr w:type="spellStart"/>
      <w:r w:rsidRPr="00C04354">
        <w:rPr>
          <w:sz w:val="22"/>
          <w:lang w:val="sk-SK"/>
        </w:rPr>
        <w:t>mSv</w:t>
      </w:r>
      <w:proofErr w:type="spellEnd"/>
      <w:r w:rsidRPr="00C04354">
        <w:rPr>
          <w:sz w:val="22"/>
          <w:szCs w:val="22"/>
          <w:lang w:val="sk-SK"/>
        </w:rPr>
        <w:t>, je nízka pravdepodobnosť výskytu týchto nežiaducich účinkov</w:t>
      </w:r>
      <w:r w:rsidRPr="00C04354">
        <w:rPr>
          <w:sz w:val="22"/>
          <w:lang w:val="sk-SK"/>
        </w:rPr>
        <w:t>.</w:t>
      </w:r>
    </w:p>
    <w:p w14:paraId="71DF40BA" w14:textId="77777777" w:rsidR="00786071" w:rsidRPr="00C04354" w:rsidRDefault="0078607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</w:p>
    <w:p w14:paraId="1CC3034D" w14:textId="77777777" w:rsidR="00281E5E" w:rsidRPr="00C04354" w:rsidRDefault="00E50541" w:rsidP="00927787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04354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006271D3" w14:textId="7BA6F806" w:rsidR="005F7CFE" w:rsidRPr="00284FEA" w:rsidRDefault="00E50541" w:rsidP="005F7CFE">
      <w:pPr>
        <w:pStyle w:val="Hlavika"/>
        <w:rPr>
          <w:sz w:val="22"/>
          <w:szCs w:val="22"/>
          <w:lang w:val="sk-SK"/>
        </w:rPr>
      </w:pPr>
      <w:r w:rsidRPr="00C04354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C04354">
        <w:rPr>
          <w:sz w:val="22"/>
          <w:szCs w:val="22"/>
          <w:lang w:val="sk-SK"/>
        </w:rPr>
        <w:t xml:space="preserve"> </w:t>
      </w:r>
      <w:r w:rsidRPr="00C04354">
        <w:rPr>
          <w:noProof/>
          <w:sz w:val="22"/>
          <w:szCs w:val="22"/>
          <w:lang w:val="sk-SK"/>
        </w:rPr>
        <w:t>Umožňuje priebežné monitorovanie pomeru prínosu a rizika lieku.</w:t>
      </w:r>
      <w:r w:rsidRPr="00C04354">
        <w:rPr>
          <w:sz w:val="22"/>
          <w:szCs w:val="22"/>
          <w:lang w:val="sk-SK"/>
        </w:rPr>
        <w:t xml:space="preserve"> Od </w:t>
      </w:r>
      <w:r w:rsidRPr="00C04354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E52BEC" w:rsidRPr="00C04354">
        <w:rPr>
          <w:noProof/>
          <w:sz w:val="22"/>
          <w:szCs w:val="22"/>
          <w:lang w:val="sk-SK"/>
        </w:rPr>
        <w:t>na</w:t>
      </w:r>
      <w:r w:rsidRPr="00C04354">
        <w:rPr>
          <w:noProof/>
          <w:sz w:val="22"/>
          <w:szCs w:val="22"/>
          <w:lang w:val="sk-SK"/>
        </w:rPr>
        <w:t xml:space="preserve"> </w:t>
      </w:r>
      <w:r w:rsidR="005F7CFE" w:rsidRPr="00284FEA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E52BEC" w:rsidRPr="00284FEA">
        <w:rPr>
          <w:noProof/>
          <w:sz w:val="22"/>
          <w:szCs w:val="22"/>
          <w:highlight w:val="lightGray"/>
          <w:lang w:val="sk-SK"/>
        </w:rPr>
        <w:t>centrum</w:t>
      </w:r>
      <w:r w:rsidR="005F7CFE" w:rsidRPr="00284FEA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12" w:history="1">
        <w:r w:rsidR="005F7CFE" w:rsidRPr="00284FEA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="005F7CFE" w:rsidRPr="00284FEA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="005F7CFE" w:rsidRPr="00284FEA">
          <w:rPr>
            <w:rStyle w:val="Hypertextovprepojenie"/>
            <w:sz w:val="22"/>
            <w:szCs w:val="22"/>
            <w:highlight w:val="lightGray"/>
            <w:lang w:val="sk-SK"/>
          </w:rPr>
          <w:t xml:space="preserve"> </w:t>
        </w:r>
        <w:r w:rsidR="005F7CFE" w:rsidRPr="00284FEA">
          <w:rPr>
            <w:rStyle w:val="Hypertextovprepojenie"/>
            <w:noProof/>
            <w:sz w:val="22"/>
            <w:szCs w:val="22"/>
            <w:highlight w:val="lightGray"/>
            <w:lang w:val="sk-SK"/>
          </w:rPr>
          <w:t>V</w:t>
        </w:r>
      </w:hyperlink>
      <w:r w:rsidR="005F7CFE" w:rsidRPr="00284FEA">
        <w:rPr>
          <w:sz w:val="22"/>
          <w:szCs w:val="22"/>
          <w:lang w:val="sk-SK"/>
        </w:rPr>
        <w:t>.</w:t>
      </w:r>
    </w:p>
    <w:p w14:paraId="18F875CE" w14:textId="77777777" w:rsidR="00786071" w:rsidRPr="00C04354" w:rsidRDefault="00786071" w:rsidP="00EE5AB9">
      <w:pPr>
        <w:rPr>
          <w:sz w:val="22"/>
          <w:lang w:val="sk-SK"/>
        </w:rPr>
      </w:pPr>
    </w:p>
    <w:p w14:paraId="0ECC1AF5" w14:textId="77777777" w:rsidR="00786071" w:rsidRPr="00C04354" w:rsidRDefault="00710FA9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4.9</w:t>
      </w:r>
      <w:r w:rsidRPr="00C04354">
        <w:rPr>
          <w:rFonts w:ascii="Times New Roman" w:hAnsi="Times New Roman"/>
          <w:b/>
          <w:szCs w:val="22"/>
          <w:lang w:val="sk-SK"/>
        </w:rPr>
        <w:tab/>
        <w:t>Predávkovanie</w:t>
      </w:r>
    </w:p>
    <w:p w14:paraId="4732E88B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6CB12A7" w14:textId="118E6806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lang w:val="sk-SK"/>
        </w:rPr>
      </w:pPr>
      <w:r w:rsidRPr="00C04354">
        <w:rPr>
          <w:sz w:val="22"/>
          <w:szCs w:val="22"/>
          <w:lang w:val="sk-SK"/>
        </w:rPr>
        <w:t xml:space="preserve">V prípade radiačného predávkovania </w:t>
      </w:r>
      <w:proofErr w:type="spellStart"/>
      <w:r w:rsidRPr="00C04354">
        <w:rPr>
          <w:sz w:val="22"/>
          <w:szCs w:val="22"/>
          <w:lang w:val="sk-SK"/>
        </w:rPr>
        <w:t>fludeoxyglukózou</w:t>
      </w:r>
      <w:proofErr w:type="spellEnd"/>
      <w:r w:rsidRPr="00C04354">
        <w:rPr>
          <w:sz w:val="22"/>
          <w:szCs w:val="22"/>
          <w:lang w:val="sk-SK"/>
        </w:rPr>
        <w:t xml:space="preserve"> (</w:t>
      </w:r>
      <w:r w:rsidRPr="00C04354">
        <w:rPr>
          <w:sz w:val="22"/>
          <w:szCs w:val="22"/>
          <w:vertAlign w:val="superscript"/>
          <w:lang w:val="sk-SK"/>
        </w:rPr>
        <w:t>18</w:t>
      </w:r>
      <w:r w:rsidRPr="00C04354">
        <w:rPr>
          <w:sz w:val="22"/>
          <w:szCs w:val="22"/>
          <w:lang w:val="sk-SK"/>
        </w:rPr>
        <w:t>F)</w:t>
      </w:r>
      <w:r w:rsidRPr="00C04354">
        <w:rPr>
          <w:rStyle w:val="apple-converted-space"/>
          <w:sz w:val="22"/>
          <w:lang w:val="sk-SK"/>
        </w:rPr>
        <w:t xml:space="preserve"> </w:t>
      </w:r>
      <w:r w:rsidRPr="00C04354">
        <w:rPr>
          <w:sz w:val="22"/>
          <w:lang w:val="sk-SK"/>
        </w:rPr>
        <w:t xml:space="preserve">sa </w:t>
      </w:r>
      <w:r w:rsidRPr="00C04354">
        <w:rPr>
          <w:sz w:val="22"/>
          <w:szCs w:val="22"/>
          <w:lang w:val="sk-SK"/>
        </w:rPr>
        <w:t>absorbovaná</w:t>
      </w:r>
      <w:r w:rsidRPr="00C04354">
        <w:rPr>
          <w:sz w:val="22"/>
          <w:lang w:val="sk-SK"/>
        </w:rPr>
        <w:t xml:space="preserve"> dávka </w:t>
      </w:r>
      <w:r w:rsidRPr="00C04354">
        <w:rPr>
          <w:sz w:val="22"/>
          <w:szCs w:val="22"/>
          <w:lang w:val="sk-SK"/>
        </w:rPr>
        <w:t>podaná pacientovi musí</w:t>
      </w:r>
      <w:r w:rsidRPr="00C04354">
        <w:rPr>
          <w:sz w:val="22"/>
          <w:lang w:val="sk-SK"/>
        </w:rPr>
        <w:t xml:space="preserve"> znížiť </w:t>
      </w:r>
      <w:r w:rsidRPr="00C04354">
        <w:rPr>
          <w:sz w:val="22"/>
          <w:szCs w:val="22"/>
          <w:lang w:val="sk-SK"/>
        </w:rPr>
        <w:t xml:space="preserve">zvýšeným vylučovaním </w:t>
      </w:r>
      <w:proofErr w:type="spellStart"/>
      <w:r w:rsidRPr="00C04354">
        <w:rPr>
          <w:sz w:val="22"/>
          <w:szCs w:val="22"/>
          <w:lang w:val="sk-SK"/>
        </w:rPr>
        <w:t>rádiofarmaka</w:t>
      </w:r>
      <w:proofErr w:type="spellEnd"/>
      <w:r w:rsidRPr="00C04354">
        <w:rPr>
          <w:sz w:val="22"/>
          <w:szCs w:val="22"/>
          <w:lang w:val="sk-SK"/>
        </w:rPr>
        <w:t xml:space="preserve"> pomocou forsírovanej </w:t>
      </w:r>
      <w:proofErr w:type="spellStart"/>
      <w:r w:rsidRPr="00C04354">
        <w:rPr>
          <w:sz w:val="22"/>
          <w:szCs w:val="22"/>
          <w:lang w:val="sk-SK"/>
        </w:rPr>
        <w:t>diurézy</w:t>
      </w:r>
      <w:proofErr w:type="spellEnd"/>
      <w:r w:rsidRPr="00C04354">
        <w:rPr>
          <w:sz w:val="22"/>
          <w:lang w:val="sk-SK"/>
        </w:rPr>
        <w:t xml:space="preserve"> a častým močením. </w:t>
      </w:r>
      <w:r w:rsidRPr="00C04354">
        <w:rPr>
          <w:sz w:val="22"/>
          <w:szCs w:val="22"/>
          <w:lang w:val="sk-SK"/>
        </w:rPr>
        <w:t>Je účelné odhadnúť účinnú aplikovanú dávku žiarenia.</w:t>
      </w:r>
    </w:p>
    <w:p w14:paraId="40467AD0" w14:textId="77777777" w:rsidR="00786071" w:rsidRPr="00C04354" w:rsidRDefault="00786071" w:rsidP="00EE5AB9">
      <w:pPr>
        <w:pStyle w:val="p5"/>
        <w:shd w:val="clear" w:color="auto" w:fill="FFFFFF"/>
        <w:jc w:val="left"/>
        <w:rPr>
          <w:color w:val="000000"/>
          <w:sz w:val="22"/>
          <w:lang w:val="sk-SK"/>
        </w:rPr>
      </w:pPr>
    </w:p>
    <w:p w14:paraId="6AE2591F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ab/>
      </w:r>
    </w:p>
    <w:p w14:paraId="34DE7FAC" w14:textId="77777777" w:rsidR="00381E39" w:rsidRDefault="00381E39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br w:type="page"/>
      </w:r>
    </w:p>
    <w:p w14:paraId="0881F91E" w14:textId="7FBDF149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lastRenderedPageBreak/>
        <w:t>5.</w:t>
      </w:r>
      <w:r w:rsidRPr="00C04354">
        <w:rPr>
          <w:rFonts w:ascii="Times New Roman" w:hAnsi="Times New Roman"/>
          <w:b/>
          <w:szCs w:val="22"/>
          <w:lang w:val="sk-SK"/>
        </w:rPr>
        <w:tab/>
        <w:t>FARMAKOLOGICKÉ VLASTNOSTI</w:t>
      </w:r>
    </w:p>
    <w:p w14:paraId="7D3EBB4D" w14:textId="77777777" w:rsidR="00786071" w:rsidRPr="00C04354" w:rsidRDefault="00786071" w:rsidP="00EE5AB9">
      <w:pPr>
        <w:pStyle w:val="Zkladntext3"/>
        <w:tabs>
          <w:tab w:val="left" w:pos="360"/>
        </w:tabs>
        <w:jc w:val="left"/>
        <w:rPr>
          <w:rFonts w:ascii="Times New Roman" w:hAnsi="Times New Roman"/>
          <w:szCs w:val="22"/>
          <w:lang w:val="sk-SK"/>
        </w:rPr>
      </w:pPr>
    </w:p>
    <w:p w14:paraId="6AA47D25" w14:textId="77777777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5.1</w:t>
      </w:r>
      <w:r w:rsidRPr="00C04354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Pr="00C04354">
        <w:rPr>
          <w:rFonts w:ascii="Times New Roman" w:hAnsi="Times New Roman"/>
          <w:b/>
          <w:szCs w:val="22"/>
          <w:lang w:val="sk-SK"/>
        </w:rPr>
        <w:t>Farmakodynamické</w:t>
      </w:r>
      <w:proofErr w:type="spellEnd"/>
      <w:r w:rsidRPr="00C04354">
        <w:rPr>
          <w:rFonts w:ascii="Times New Roman" w:hAnsi="Times New Roman"/>
          <w:b/>
          <w:szCs w:val="22"/>
          <w:lang w:val="sk-SK"/>
        </w:rPr>
        <w:t xml:space="preserve"> vlastnosti</w:t>
      </w:r>
    </w:p>
    <w:p w14:paraId="4361DE2A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C94D66A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Farmakoterapeutická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skupina: diagnostické </w:t>
      </w:r>
      <w:proofErr w:type="spellStart"/>
      <w:r w:rsidRPr="00C04354">
        <w:rPr>
          <w:rFonts w:ascii="Times New Roman" w:hAnsi="Times New Roman"/>
          <w:szCs w:val="22"/>
          <w:lang w:val="sk-SK"/>
        </w:rPr>
        <w:t>rádiofarmaká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ďalšie diagnostické </w:t>
      </w:r>
      <w:proofErr w:type="spellStart"/>
      <w:r w:rsidRPr="00C04354">
        <w:rPr>
          <w:rFonts w:ascii="Times New Roman" w:hAnsi="Times New Roman"/>
          <w:szCs w:val="22"/>
          <w:lang w:val="sk-SK"/>
        </w:rPr>
        <w:t>rádiofarmaká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na zistenie tumorov</w:t>
      </w:r>
    </w:p>
    <w:p w14:paraId="14F25C3B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0C8EDFE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ATC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kód: </w:t>
      </w:r>
      <w:proofErr w:type="spellStart"/>
      <w:r w:rsidRPr="00C04354">
        <w:rPr>
          <w:rFonts w:ascii="Times New Roman" w:hAnsi="Times New Roman"/>
          <w:szCs w:val="22"/>
          <w:lang w:val="sk-SK"/>
        </w:rPr>
        <w:t>V09IX04</w:t>
      </w:r>
      <w:proofErr w:type="spellEnd"/>
    </w:p>
    <w:p w14:paraId="275F09B5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40435D5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C04354">
        <w:rPr>
          <w:rFonts w:ascii="Times New Roman" w:hAnsi="Times New Roman"/>
          <w:szCs w:val="22"/>
          <w:u w:val="single"/>
          <w:lang w:val="sk-SK"/>
        </w:rPr>
        <w:t>Farmakodynamické</w:t>
      </w:r>
      <w:proofErr w:type="spellEnd"/>
      <w:r w:rsidRPr="00C04354">
        <w:rPr>
          <w:rFonts w:ascii="Times New Roman" w:hAnsi="Times New Roman"/>
          <w:szCs w:val="22"/>
          <w:u w:val="single"/>
          <w:lang w:val="sk-SK"/>
        </w:rPr>
        <w:t xml:space="preserve"> účinky</w:t>
      </w:r>
    </w:p>
    <w:p w14:paraId="3091CE06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Pri chemických koncentráciách, v akých sa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používa pri diagnostických vyšetreniach, sa nezdá, že by mala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farmakodynamickú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aktivitu.</w:t>
      </w:r>
    </w:p>
    <w:p w14:paraId="64998502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0908CD8" w14:textId="77777777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5.2</w:t>
      </w:r>
      <w:r w:rsidRPr="00C04354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Pr="00C04354">
        <w:rPr>
          <w:rFonts w:ascii="Times New Roman" w:hAnsi="Times New Roman"/>
          <w:b/>
          <w:szCs w:val="22"/>
          <w:lang w:val="sk-SK"/>
        </w:rPr>
        <w:t>Farmakokinetické</w:t>
      </w:r>
      <w:proofErr w:type="spellEnd"/>
      <w:r w:rsidRPr="00C04354">
        <w:rPr>
          <w:rFonts w:ascii="Times New Roman" w:hAnsi="Times New Roman"/>
          <w:b/>
          <w:szCs w:val="22"/>
          <w:lang w:val="sk-SK"/>
        </w:rPr>
        <w:t xml:space="preserve"> vlastnosti</w:t>
      </w:r>
    </w:p>
    <w:p w14:paraId="7478229E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FD4F3D2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szCs w:val="22"/>
          <w:u w:val="single"/>
          <w:lang w:val="sk-SK"/>
        </w:rPr>
        <w:t>Distribúcia</w:t>
      </w:r>
    </w:p>
    <w:p w14:paraId="679A92D5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je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analóg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glukózy, ktorý sa akumuluje vo všetkých bunkách využívajúcich glukózu ako zdroj energie.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>) sa akumuluje v tumoroch s vysokým obratom glukózy.</w:t>
      </w:r>
    </w:p>
    <w:p w14:paraId="2FFFE386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473B2E92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Po intravenóznej injekcii je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farmakokinetický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profil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v cievnom systéme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biexponenciálny</w:t>
      </w:r>
      <w:proofErr w:type="spellEnd"/>
      <w:r w:rsidRPr="00C04354">
        <w:rPr>
          <w:rFonts w:ascii="Times New Roman" w:hAnsi="Times New Roman"/>
          <w:szCs w:val="22"/>
          <w:lang w:val="sk-SK"/>
        </w:rPr>
        <w:t>. Jej distribučný čas je 1 minúta a eliminačný čas približne 12 minút.</w:t>
      </w:r>
      <w:r w:rsidRPr="00C04354">
        <w:rPr>
          <w:rFonts w:ascii="Times New Roman" w:hAnsi="Times New Roman"/>
          <w:lang w:val="sk-SK"/>
        </w:rPr>
        <w:t xml:space="preserve"> </w:t>
      </w:r>
    </w:p>
    <w:p w14:paraId="44768329" w14:textId="77777777" w:rsidR="00786071" w:rsidRPr="00C04354" w:rsidRDefault="00786071" w:rsidP="00EE5AB9">
      <w:pPr>
        <w:pStyle w:val="p8"/>
        <w:shd w:val="clear" w:color="auto" w:fill="FFFFFF"/>
        <w:jc w:val="left"/>
        <w:rPr>
          <w:sz w:val="22"/>
          <w:lang w:val="sk-SK"/>
        </w:rPr>
      </w:pPr>
    </w:p>
    <w:p w14:paraId="119299DC" w14:textId="7059E722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U zdravých ľudí sa </w:t>
      </w:r>
      <w:proofErr w:type="spellStart"/>
      <w:r w:rsidRPr="00C04354">
        <w:rPr>
          <w:sz w:val="22"/>
          <w:szCs w:val="22"/>
          <w:lang w:val="sk-SK"/>
        </w:rPr>
        <w:t>fludeoxyglukóza</w:t>
      </w:r>
      <w:proofErr w:type="spellEnd"/>
      <w:r w:rsidRPr="00C04354">
        <w:rPr>
          <w:sz w:val="22"/>
          <w:szCs w:val="22"/>
          <w:lang w:val="sk-SK"/>
        </w:rPr>
        <w:t> (</w:t>
      </w:r>
      <w:r w:rsidRPr="00C04354">
        <w:rPr>
          <w:sz w:val="22"/>
          <w:szCs w:val="22"/>
          <w:vertAlign w:val="superscript"/>
          <w:lang w:val="sk-SK"/>
        </w:rPr>
        <w:t>18</w:t>
      </w:r>
      <w:r w:rsidRPr="00C04354">
        <w:rPr>
          <w:sz w:val="22"/>
          <w:szCs w:val="22"/>
          <w:lang w:val="sk-SK"/>
        </w:rPr>
        <w:t xml:space="preserve">F) </w:t>
      </w:r>
      <w:proofErr w:type="spellStart"/>
      <w:r w:rsidRPr="00C04354">
        <w:rPr>
          <w:sz w:val="22"/>
          <w:szCs w:val="22"/>
          <w:lang w:val="sk-SK"/>
        </w:rPr>
        <w:t>distribuje</w:t>
      </w:r>
      <w:proofErr w:type="spellEnd"/>
      <w:r w:rsidRPr="00C04354">
        <w:rPr>
          <w:sz w:val="22"/>
          <w:szCs w:val="22"/>
          <w:lang w:val="sk-SK"/>
        </w:rPr>
        <w:t xml:space="preserve"> v orgánoch ľudského tela, najmä v mozgu a srdci, menej</w:t>
      </w:r>
      <w:r w:rsidRPr="00C04354">
        <w:rPr>
          <w:rStyle w:val="apple-converted-space"/>
          <w:sz w:val="22"/>
          <w:szCs w:val="22"/>
          <w:lang w:val="sk-SK"/>
        </w:rPr>
        <w:t xml:space="preserve"> </w:t>
      </w:r>
      <w:r w:rsidRPr="00C04354">
        <w:rPr>
          <w:sz w:val="22"/>
          <w:szCs w:val="22"/>
          <w:lang w:val="sk-SK"/>
        </w:rPr>
        <w:t>v pľúcach a v pečeni.</w:t>
      </w:r>
    </w:p>
    <w:p w14:paraId="402537DB" w14:textId="77777777" w:rsidR="00786071" w:rsidRPr="00C04354" w:rsidRDefault="00786071" w:rsidP="00EE5AB9">
      <w:pPr>
        <w:pStyle w:val="p9"/>
        <w:shd w:val="clear" w:color="auto" w:fill="FFFFFF"/>
        <w:jc w:val="left"/>
        <w:rPr>
          <w:sz w:val="22"/>
          <w:szCs w:val="22"/>
          <w:lang w:val="sk-SK"/>
        </w:rPr>
      </w:pPr>
    </w:p>
    <w:p w14:paraId="6EDCA978" w14:textId="77777777" w:rsidR="00786071" w:rsidRPr="00C04354" w:rsidRDefault="00E50541" w:rsidP="00EE5AB9">
      <w:pPr>
        <w:pStyle w:val="p8"/>
        <w:shd w:val="clear" w:color="auto" w:fill="FFFFFF"/>
        <w:jc w:val="left"/>
        <w:rPr>
          <w:sz w:val="22"/>
          <w:szCs w:val="22"/>
          <w:lang w:val="sk-SK"/>
        </w:rPr>
      </w:pPr>
      <w:r w:rsidRPr="00C04354">
        <w:rPr>
          <w:rStyle w:val="s3"/>
          <w:sz w:val="22"/>
          <w:szCs w:val="22"/>
          <w:lang w:val="sk-SK"/>
        </w:rPr>
        <w:t>Vychytávanie v orgánoch</w:t>
      </w:r>
    </w:p>
    <w:p w14:paraId="225E436D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Vychytávanie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bunkami sa vykonáva tkanivovo špecifickými transportnými systémami, ktoré sú čiastočne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inzulín-dependentné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a preto môžu byť ovplyvnené jedením, nutričnými podmienkami a existenciou diabetes </w:t>
      </w:r>
      <w:proofErr w:type="spellStart"/>
      <w:r w:rsidRPr="00C04354">
        <w:rPr>
          <w:rFonts w:ascii="Times New Roman" w:hAnsi="Times New Roman"/>
          <w:szCs w:val="22"/>
          <w:lang w:val="sk-SK"/>
        </w:rPr>
        <w:t>mellitus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. U pacientov s diabetes </w:t>
      </w:r>
      <w:proofErr w:type="spellStart"/>
      <w:r w:rsidRPr="00C04354">
        <w:rPr>
          <w:rFonts w:ascii="Times New Roman" w:hAnsi="Times New Roman"/>
          <w:szCs w:val="22"/>
          <w:lang w:val="sk-SK"/>
        </w:rPr>
        <w:t>mellitus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sa kvôli zmenenej tkanivovej distribúcii a metabolizmu glukózy vyskytuje znížené vychytávanie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>).</w:t>
      </w:r>
    </w:p>
    <w:p w14:paraId="154D768E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04CD90E6" w14:textId="7C5BC334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je transportovaná cez bunkovú membránu podobne ako glukóza, ale podstupuje iba prvý stupeň </w:t>
      </w:r>
      <w:proofErr w:type="spellStart"/>
      <w:r w:rsidRPr="00C04354">
        <w:rPr>
          <w:rFonts w:ascii="Times New Roman" w:hAnsi="Times New Roman"/>
          <w:szCs w:val="22"/>
          <w:lang w:val="sk-SK"/>
        </w:rPr>
        <w:t>glykolýzy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vedúci k tvorbe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F)-</w:t>
      </w:r>
      <w:proofErr w:type="spellStart"/>
      <w:r w:rsidRPr="00C04354">
        <w:rPr>
          <w:rFonts w:ascii="Times New Roman" w:hAnsi="Times New Roman"/>
          <w:szCs w:val="22"/>
          <w:lang w:val="sk-SK"/>
        </w:rPr>
        <w:t>6-fosfátu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, ktorý zostáva zadržaný v tumorových bunkách a ďalej sa nemetabolizuje. Keďže je nasledujúca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defosforylácia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vnútrobunkovými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fosfatázami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pomalá,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>F)-</w:t>
      </w:r>
      <w:proofErr w:type="spellStart"/>
      <w:r w:rsidRPr="00C04354">
        <w:rPr>
          <w:rFonts w:ascii="Times New Roman" w:hAnsi="Times New Roman"/>
          <w:szCs w:val="22"/>
          <w:lang w:val="sk-SK"/>
        </w:rPr>
        <w:t>6-fosfát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sa zadržiava v tkanive niekoľko hodín (</w:t>
      </w:r>
      <w:proofErr w:type="spellStart"/>
      <w:r w:rsidRPr="00C04354">
        <w:rPr>
          <w:rFonts w:ascii="Times New Roman" w:hAnsi="Times New Roman"/>
          <w:szCs w:val="22"/>
          <w:lang w:val="sk-SK"/>
        </w:rPr>
        <w:t>zadržiavací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mechanizmus). </w:t>
      </w:r>
    </w:p>
    <w:p w14:paraId="5D3C83B8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75962493" w14:textId="77777777" w:rsidR="00786071" w:rsidRPr="00C04354" w:rsidRDefault="00E5054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prechádza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hematoencefalickou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bariérou. V mozgu sa v priebehu 80 – 100 minút po podaní injekcie akumuluje približne 7 % podanej dávky. </w:t>
      </w:r>
      <w:proofErr w:type="spellStart"/>
      <w:r w:rsidRPr="00C04354">
        <w:rPr>
          <w:rFonts w:ascii="Times New Roman" w:hAnsi="Times New Roman"/>
          <w:szCs w:val="22"/>
          <w:lang w:val="sk-SK"/>
        </w:rPr>
        <w:t>Epileptogénne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fokusy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vykazujú vo fázach bez záchvatov znížený metabolizmus glukózy. </w:t>
      </w:r>
    </w:p>
    <w:p w14:paraId="1C060979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2EA63A5B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Približne 3 % podanej aktivity sa počas 40 minút vychytáva myokardom. Distribúcia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 xml:space="preserve">) v normálnom srdci je hlavne homogénna, avšak v medzikomorovom </w:t>
      </w:r>
      <w:proofErr w:type="spellStart"/>
      <w:r w:rsidRPr="00C04354">
        <w:rPr>
          <w:rFonts w:ascii="Times New Roman" w:hAnsi="Times New Roman"/>
          <w:szCs w:val="22"/>
          <w:lang w:val="sk-SK"/>
        </w:rPr>
        <w:t>septe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sa popisujú miestne rozdiely až do 15 %. Počas a po reverzibilnej ischémii myokardu sa v </w:t>
      </w:r>
      <w:proofErr w:type="spellStart"/>
      <w:r w:rsidRPr="00C04354">
        <w:rPr>
          <w:rFonts w:ascii="Times New Roman" w:hAnsi="Times New Roman"/>
          <w:szCs w:val="22"/>
          <w:lang w:val="sk-SK"/>
        </w:rPr>
        <w:t>myokardiálnych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bunkách objaví zvýšené vychytávanie glukózy.</w:t>
      </w:r>
    </w:p>
    <w:p w14:paraId="3A196EE7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CC07672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0,3 % a 0,9 – 2,4 % podanej aktivity sa akumuluje v pankrease a pľúcach.</w:t>
      </w:r>
    </w:p>
    <w:p w14:paraId="7E8CEE25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F98EFA8" w14:textId="77777777" w:rsidR="00786071" w:rsidRPr="00C04354" w:rsidRDefault="00710FA9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18F"/>
        </w:smartTagPr>
        <w:r w:rsidRPr="00C04354">
          <w:rPr>
            <w:rFonts w:ascii="Times New Roman" w:hAnsi="Times New Roman"/>
            <w:szCs w:val="22"/>
            <w:vertAlign w:val="superscript"/>
            <w:lang w:val="sk-SK"/>
          </w:rPr>
          <w:t>18</w:t>
        </w:r>
        <w:r w:rsidRPr="00C04354">
          <w:rPr>
            <w:rFonts w:ascii="Times New Roman" w:hAnsi="Times New Roman"/>
            <w:szCs w:val="22"/>
            <w:lang w:val="sk-SK"/>
          </w:rPr>
          <w:t>F</w:t>
        </w:r>
      </w:smartTag>
      <w:r w:rsidRPr="00C04354">
        <w:rPr>
          <w:rFonts w:ascii="Times New Roman" w:hAnsi="Times New Roman"/>
          <w:szCs w:val="22"/>
          <w:lang w:val="sk-SK"/>
        </w:rPr>
        <w:t>) sa tiež v menšej miere viaže v očnom svale, hltane a čreve.</w:t>
      </w:r>
      <w:r w:rsidR="00E50541" w:rsidRPr="00C04354">
        <w:rPr>
          <w:rFonts w:ascii="Times New Roman" w:hAnsi="Times New Roman"/>
          <w:szCs w:val="22"/>
          <w:lang w:val="sk-SK"/>
        </w:rPr>
        <w:t xml:space="preserve"> </w:t>
      </w:r>
      <w:r w:rsidRPr="00C04354">
        <w:rPr>
          <w:rFonts w:ascii="Times New Roman" w:hAnsi="Times New Roman"/>
          <w:szCs w:val="22"/>
          <w:lang w:val="sk-SK"/>
        </w:rPr>
        <w:t>Viazanie v svale je možné vidieť po nedávnej námahe a pri namáhaní svalov počas vyšetrenia.</w:t>
      </w:r>
      <w:r w:rsidR="00E50541" w:rsidRPr="00C04354">
        <w:rPr>
          <w:rFonts w:ascii="Times New Roman" w:hAnsi="Times New Roman"/>
          <w:szCs w:val="22"/>
          <w:lang w:val="sk-SK"/>
        </w:rPr>
        <w:t xml:space="preserve"> </w:t>
      </w:r>
    </w:p>
    <w:p w14:paraId="292F07BA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0C48429D" w14:textId="77777777" w:rsidR="00786071" w:rsidRPr="00C04354" w:rsidRDefault="005315D2" w:rsidP="00EE5AB9">
      <w:pPr>
        <w:pStyle w:val="Zkladntext3"/>
        <w:jc w:val="left"/>
        <w:rPr>
          <w:rFonts w:ascii="Times New Roman" w:hAnsi="Times New Roman"/>
          <w:szCs w:val="22"/>
          <w:u w:val="single"/>
          <w:lang w:val="sk-SK"/>
        </w:rPr>
      </w:pPr>
      <w:r w:rsidRPr="00C04354">
        <w:rPr>
          <w:rFonts w:ascii="Times New Roman" w:hAnsi="Times New Roman"/>
          <w:u w:val="single"/>
          <w:lang w:val="sk-SK"/>
        </w:rPr>
        <w:t>Eliminácia</w:t>
      </w:r>
    </w:p>
    <w:p w14:paraId="4B3044EB" w14:textId="77777777" w:rsidR="00786071" w:rsidRPr="00C04354" w:rsidRDefault="005315D2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Eliminácia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="00E50541" w:rsidRPr="00C04354">
        <w:rPr>
          <w:rFonts w:ascii="Times New Roman" w:hAnsi="Times New Roman"/>
          <w:szCs w:val="22"/>
          <w:lang w:val="sk-SK"/>
        </w:rPr>
        <w:t>F) prebieha hlavne obličkami, pričom 20 % aktivity sa vylúči močom v priebehu 2 hodín po podaní injekcie.</w:t>
      </w:r>
    </w:p>
    <w:p w14:paraId="15D0DAF1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szCs w:val="22"/>
          <w:lang w:val="sk-SK"/>
        </w:rPr>
      </w:pPr>
    </w:p>
    <w:p w14:paraId="086C14CA" w14:textId="77777777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lang w:val="sk-SK"/>
        </w:rPr>
        <w:lastRenderedPageBreak/>
        <w:t>Väzba na</w:t>
      </w:r>
      <w:r w:rsidRPr="00C04354">
        <w:rPr>
          <w:lang w:val="sk-SK"/>
        </w:rPr>
        <w:t xml:space="preserve"> </w:t>
      </w:r>
      <w:proofErr w:type="spellStart"/>
      <w:r w:rsidRPr="00C04354">
        <w:rPr>
          <w:rFonts w:ascii="Times New Roman" w:hAnsi="Times New Roman"/>
          <w:szCs w:val="22"/>
          <w:lang w:val="sk-SK"/>
        </w:rPr>
        <w:t>renálny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parenchým je slabá, ale z dôvodu </w:t>
      </w:r>
      <w:proofErr w:type="spellStart"/>
      <w:r w:rsidRPr="00C04354">
        <w:rPr>
          <w:rFonts w:ascii="Times New Roman" w:hAnsi="Times New Roman"/>
          <w:szCs w:val="22"/>
          <w:lang w:val="sk-SK"/>
        </w:rPr>
        <w:t>renálnehou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vylučovania </w:t>
      </w:r>
      <w:proofErr w:type="spellStart"/>
      <w:r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(</w:t>
      </w:r>
      <w:r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Pr="00C04354">
        <w:rPr>
          <w:rFonts w:ascii="Times New Roman" w:hAnsi="Times New Roman"/>
          <w:szCs w:val="22"/>
          <w:lang w:val="sk-SK"/>
        </w:rPr>
        <w:t xml:space="preserve">F) celý </w:t>
      </w:r>
      <w:proofErr w:type="spellStart"/>
      <w:r w:rsidRPr="00C04354">
        <w:rPr>
          <w:rFonts w:ascii="Times New Roman" w:hAnsi="Times New Roman"/>
          <w:szCs w:val="22"/>
          <w:lang w:val="sk-SK"/>
        </w:rPr>
        <w:t>renálny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systém, obzvlášť močový mechúr, vykazuje zvýšenú aktivitu. </w:t>
      </w:r>
    </w:p>
    <w:p w14:paraId="35663691" w14:textId="77777777" w:rsidR="00786071" w:rsidRPr="00C04354" w:rsidRDefault="00786071" w:rsidP="00EE5AB9">
      <w:pPr>
        <w:pStyle w:val="Zkladntext3"/>
        <w:jc w:val="left"/>
        <w:rPr>
          <w:rFonts w:ascii="Times New Roman" w:eastAsia="MS Mincho" w:hAnsi="Times New Roman"/>
          <w:lang w:val="sk-SK"/>
        </w:rPr>
      </w:pPr>
    </w:p>
    <w:p w14:paraId="2D482075" w14:textId="77777777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t>5.3</w:t>
      </w:r>
      <w:r w:rsidRPr="00C04354">
        <w:rPr>
          <w:rFonts w:ascii="Times New Roman" w:hAnsi="Times New Roman"/>
          <w:b/>
          <w:szCs w:val="22"/>
          <w:lang w:val="sk-SK"/>
        </w:rPr>
        <w:tab/>
        <w:t xml:space="preserve">Predklinické </w:t>
      </w:r>
      <w:r w:rsidRPr="00C04354">
        <w:rPr>
          <w:rFonts w:ascii="Times New Roman" w:hAnsi="Times New Roman"/>
          <w:b/>
          <w:noProof/>
          <w:szCs w:val="22"/>
          <w:lang w:val="sk-SK" w:eastAsia="sk-SK"/>
        </w:rPr>
        <w:t>údaje o bezpečnosti</w:t>
      </w:r>
      <w:r w:rsidRPr="00C04354">
        <w:rPr>
          <w:rFonts w:ascii="Times New Roman" w:hAnsi="Times New Roman"/>
          <w:b/>
          <w:szCs w:val="22"/>
          <w:lang w:val="sk-SK"/>
        </w:rPr>
        <w:t xml:space="preserve"> </w:t>
      </w:r>
    </w:p>
    <w:p w14:paraId="431202CB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FBEACC1" w14:textId="77777777" w:rsidR="00786071" w:rsidRPr="00C04354" w:rsidRDefault="0099729D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Počas toxikologických štúdií u myší a potkanov pri podaní jednej intravenóznej injekcie 0,0002 mg/kg neboli pozorované žiadne úmrtia. </w:t>
      </w:r>
      <w:r w:rsidR="00710FA9" w:rsidRPr="00C04354">
        <w:rPr>
          <w:rFonts w:ascii="Times New Roman" w:hAnsi="Times New Roman"/>
          <w:szCs w:val="22"/>
          <w:lang w:val="sk-SK"/>
        </w:rPr>
        <w:t>V štúdiách</w:t>
      </w:r>
      <w:r w:rsidR="00E50541" w:rsidRPr="00C04354">
        <w:rPr>
          <w:rFonts w:ascii="Times New Roman" w:hAnsi="Times New Roman"/>
          <w:szCs w:val="22"/>
          <w:lang w:val="sk-SK"/>
        </w:rPr>
        <w:t xml:space="preserve"> podávania raz týždenne u myší a psov po dobu maximálne 3 týždne nebola u myší pozorovaná žiadna toxicita pri dávke 14,3 mg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/kg telesnej hmotnosti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intraperitoneálne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a u psov pri dávke 0,72 mg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/kg telesnej hmotnosti intravenózne. Toxicita po opakovanom podaní nebola skúmaná, pretože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fludeoxyglukóza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(</w:t>
      </w:r>
      <w:r w:rsidR="00E50541"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="00E50541" w:rsidRPr="00C04354">
        <w:rPr>
          <w:rFonts w:ascii="Times New Roman" w:hAnsi="Times New Roman"/>
          <w:szCs w:val="22"/>
          <w:lang w:val="sk-SK"/>
        </w:rPr>
        <w:t>F) sa väčšinou podáva vo forme jednej dávky. Tento liek</w:t>
      </w:r>
      <w:r w:rsidR="00E50541" w:rsidRPr="00C04354">
        <w:rPr>
          <w:rFonts w:ascii="Times New Roman" w:hAnsi="Times New Roman"/>
          <w:lang w:val="sk-SK"/>
        </w:rPr>
        <w:t xml:space="preserve"> nie je určený na pravidelné alebo nepretržité podávanie.</w:t>
      </w:r>
      <w:r w:rsidR="00E50541" w:rsidRPr="00C04354">
        <w:rPr>
          <w:rFonts w:ascii="Times New Roman" w:hAnsi="Times New Roman"/>
          <w:szCs w:val="22"/>
          <w:lang w:val="sk-SK"/>
        </w:rPr>
        <w:t xml:space="preserve"> Neuskutočnili sa žiadne štúdie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mutagenity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a chronickej karcinogenity.</w:t>
      </w:r>
    </w:p>
    <w:p w14:paraId="50F651E9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14B143C5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6F819429" w14:textId="77777777" w:rsidR="00710FA9" w:rsidRPr="00C04354" w:rsidRDefault="00E50541" w:rsidP="00927787">
      <w:pPr>
        <w:tabs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 xml:space="preserve">6. </w:t>
      </w:r>
      <w:r w:rsidRPr="00C04354">
        <w:rPr>
          <w:b/>
          <w:sz w:val="22"/>
          <w:szCs w:val="22"/>
          <w:lang w:val="sk-SK"/>
        </w:rPr>
        <w:tab/>
        <w:t>FARMACEUTICKÉ INFORMÁCIE</w:t>
      </w:r>
    </w:p>
    <w:p w14:paraId="591DE08E" w14:textId="77777777" w:rsidR="00786071" w:rsidRPr="00C04354" w:rsidRDefault="00786071">
      <w:pPr>
        <w:tabs>
          <w:tab w:val="left" w:pos="540"/>
        </w:tabs>
        <w:rPr>
          <w:sz w:val="22"/>
          <w:szCs w:val="22"/>
          <w:lang w:val="sk-SK"/>
        </w:rPr>
      </w:pPr>
    </w:p>
    <w:p w14:paraId="6A3C8492" w14:textId="77777777" w:rsidR="00786071" w:rsidRPr="00C04354" w:rsidRDefault="00E50541">
      <w:pPr>
        <w:tabs>
          <w:tab w:val="left" w:pos="540"/>
        </w:tabs>
        <w:spacing w:before="120" w:after="120"/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6.1</w:t>
      </w:r>
      <w:r w:rsidRPr="00C04354">
        <w:rPr>
          <w:b/>
          <w:sz w:val="22"/>
          <w:szCs w:val="22"/>
          <w:lang w:val="sk-SK"/>
        </w:rPr>
        <w:tab/>
        <w:t>Zoznam pomocných látok</w:t>
      </w:r>
    </w:p>
    <w:p w14:paraId="2EB6BED7" w14:textId="77777777" w:rsidR="00786071" w:rsidRPr="00C04354" w:rsidRDefault="00786071" w:rsidP="00EE5AB9">
      <w:pPr>
        <w:rPr>
          <w:color w:val="000000"/>
          <w:sz w:val="22"/>
          <w:szCs w:val="22"/>
          <w:lang w:val="sk-SK"/>
        </w:rPr>
      </w:pPr>
    </w:p>
    <w:p w14:paraId="33C403DD" w14:textId="77777777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  <w:r w:rsidRPr="00C04354">
        <w:rPr>
          <w:color w:val="000000"/>
          <w:sz w:val="22"/>
          <w:szCs w:val="22"/>
          <w:lang w:val="sk-SK"/>
        </w:rPr>
        <w:t>Etanol</w:t>
      </w:r>
    </w:p>
    <w:p w14:paraId="01D51340" w14:textId="77777777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color w:val="000000"/>
          <w:sz w:val="22"/>
          <w:szCs w:val="22"/>
          <w:lang w:val="sk-SK"/>
        </w:rPr>
        <w:t>Voda na injekciu</w:t>
      </w:r>
    </w:p>
    <w:p w14:paraId="6650292F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C48CCFD" w14:textId="77777777" w:rsidR="00710FA9" w:rsidRPr="00C04354" w:rsidRDefault="00E50541" w:rsidP="00927787">
      <w:pPr>
        <w:tabs>
          <w:tab w:val="left" w:pos="540"/>
        </w:tabs>
        <w:spacing w:before="120" w:after="120"/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6.2</w:t>
      </w:r>
      <w:r w:rsidRPr="00C04354">
        <w:rPr>
          <w:b/>
          <w:sz w:val="22"/>
          <w:szCs w:val="22"/>
          <w:lang w:val="sk-SK"/>
        </w:rPr>
        <w:tab/>
        <w:t>Inkompatibility</w:t>
      </w:r>
    </w:p>
    <w:p w14:paraId="7FECD960" w14:textId="77777777" w:rsidR="00786071" w:rsidRPr="00C04354" w:rsidRDefault="00786071">
      <w:pPr>
        <w:tabs>
          <w:tab w:val="left" w:pos="709"/>
        </w:tabs>
        <w:rPr>
          <w:sz w:val="22"/>
          <w:szCs w:val="22"/>
          <w:lang w:val="sk-SK"/>
        </w:rPr>
      </w:pPr>
    </w:p>
    <w:p w14:paraId="3C5C456A" w14:textId="3F13A837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Tento liek sa nesmie miešať s inými liekmi okrem tých, ktoré sú uvedené v časti 12.</w:t>
      </w:r>
    </w:p>
    <w:p w14:paraId="3ADFD1FE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3787D8FD" w14:textId="77777777" w:rsidR="00710FA9" w:rsidRPr="00C04354" w:rsidRDefault="00E50541" w:rsidP="00927787">
      <w:pPr>
        <w:tabs>
          <w:tab w:val="left" w:pos="540"/>
        </w:tabs>
        <w:spacing w:before="120" w:after="120"/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6.3</w:t>
      </w:r>
      <w:r w:rsidRPr="00C04354">
        <w:rPr>
          <w:b/>
          <w:sz w:val="22"/>
          <w:szCs w:val="22"/>
          <w:lang w:val="sk-SK"/>
        </w:rPr>
        <w:tab/>
        <w:t>Čas použiteľnosti</w:t>
      </w:r>
    </w:p>
    <w:p w14:paraId="719C21F9" w14:textId="77777777" w:rsidR="00786071" w:rsidRPr="00C04354" w:rsidRDefault="00786071">
      <w:pPr>
        <w:rPr>
          <w:sz w:val="22"/>
          <w:szCs w:val="22"/>
          <w:lang w:val="sk-SK"/>
        </w:rPr>
      </w:pPr>
    </w:p>
    <w:p w14:paraId="0DD032EA" w14:textId="70291FD1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  <w:r w:rsidRPr="00C04354">
        <w:rPr>
          <w:color w:val="000000"/>
          <w:sz w:val="22"/>
          <w:szCs w:val="22"/>
          <w:lang w:val="sk-SK"/>
        </w:rPr>
        <w:t>14 hodín od času kalibrácie</w:t>
      </w:r>
    </w:p>
    <w:p w14:paraId="073DEC64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</w:p>
    <w:p w14:paraId="6DA26056" w14:textId="77777777" w:rsidR="002602D8" w:rsidRPr="00C04354" w:rsidRDefault="00E50541" w:rsidP="00927787">
      <w:pPr>
        <w:pStyle w:val="Zkladntext2"/>
        <w:rPr>
          <w:rFonts w:ascii="Times New Roman" w:hAnsi="Times New Roman"/>
          <w:sz w:val="22"/>
          <w:szCs w:val="22"/>
          <w:lang w:val="sk-SK"/>
        </w:rPr>
      </w:pPr>
      <w:r w:rsidRPr="00C04354">
        <w:rPr>
          <w:rFonts w:ascii="Times New Roman" w:hAnsi="Times New Roman"/>
          <w:sz w:val="22"/>
          <w:szCs w:val="22"/>
          <w:lang w:val="sk-SK"/>
        </w:rPr>
        <w:t>Chemická a fyzikálna stabilita pri použití bola preukázaná počas 14 hodín pri 20 °C. Z mikrobiologického hľadiska sa liek musí ihneď spotrebovať, ak spôsob otvorenia alebo nariedenia úplne nevylučuje riziko mikrobiálnej kontaminácie.</w:t>
      </w:r>
    </w:p>
    <w:p w14:paraId="0956C34C" w14:textId="77777777" w:rsidR="00786071" w:rsidRPr="00C04354" w:rsidRDefault="00786071">
      <w:pPr>
        <w:pStyle w:val="Zkladntext2"/>
        <w:rPr>
          <w:rFonts w:ascii="Times New Roman" w:hAnsi="Times New Roman"/>
          <w:sz w:val="22"/>
          <w:szCs w:val="22"/>
          <w:lang w:val="sk-SK"/>
        </w:rPr>
      </w:pPr>
    </w:p>
    <w:p w14:paraId="608EFE6B" w14:textId="77777777" w:rsidR="00786071" w:rsidRPr="00C04354" w:rsidRDefault="00E50541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Ak sa nepoužije okamžite, za časy a podmienky uchovávania pri použití zodpovedá používateľ.</w:t>
      </w:r>
    </w:p>
    <w:p w14:paraId="68C33778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2433E650" w14:textId="77777777" w:rsidR="00710FA9" w:rsidRPr="00C04354" w:rsidRDefault="00E50541" w:rsidP="00927787">
      <w:pPr>
        <w:tabs>
          <w:tab w:val="left" w:pos="540"/>
        </w:tabs>
        <w:spacing w:before="120" w:after="120"/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6.4</w:t>
      </w:r>
      <w:r w:rsidRPr="00C04354">
        <w:rPr>
          <w:b/>
          <w:sz w:val="22"/>
          <w:szCs w:val="22"/>
          <w:lang w:val="sk-SK"/>
        </w:rPr>
        <w:tab/>
        <w:t>Špeciálne upozornenia na uchovávanie</w:t>
      </w:r>
    </w:p>
    <w:p w14:paraId="76175E3B" w14:textId="77777777" w:rsidR="00786071" w:rsidRPr="00C04354" w:rsidRDefault="00786071">
      <w:pPr>
        <w:rPr>
          <w:sz w:val="22"/>
          <w:szCs w:val="22"/>
          <w:lang w:val="sk-SK"/>
        </w:rPr>
      </w:pPr>
    </w:p>
    <w:p w14:paraId="7986EF19" w14:textId="77777777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Uchovávajte v pôvodnom obale. </w:t>
      </w:r>
    </w:p>
    <w:p w14:paraId="488F810D" w14:textId="22E11585" w:rsidR="00786071" w:rsidRPr="00C04354" w:rsidRDefault="00E50541" w:rsidP="00EE5AB9">
      <w:pPr>
        <w:rPr>
          <w:color w:val="000000"/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Uchovávajte</w:t>
      </w:r>
      <w:r w:rsidRPr="00C04354">
        <w:rPr>
          <w:lang w:val="sk-SK"/>
        </w:rPr>
        <w:t xml:space="preserve"> </w:t>
      </w:r>
      <w:r w:rsidRPr="00C04354">
        <w:rPr>
          <w:sz w:val="22"/>
          <w:szCs w:val="22"/>
          <w:lang w:val="sk-SK"/>
        </w:rPr>
        <w:t>na mieste tienenom olovom.</w:t>
      </w:r>
    </w:p>
    <w:p w14:paraId="4456AA03" w14:textId="77777777" w:rsidR="00786071" w:rsidRPr="00C04354" w:rsidRDefault="00E50541" w:rsidP="00EE5AB9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>Uchovávajte pri teplote neprevyšujúcej</w:t>
      </w:r>
      <w:r w:rsidRPr="00C04354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Pr="00C04354">
          <w:rPr>
            <w:color w:val="000000"/>
            <w:sz w:val="22"/>
            <w:szCs w:val="22"/>
            <w:lang w:val="sk-SK"/>
          </w:rPr>
          <w:t>25 °C</w:t>
        </w:r>
      </w:smartTag>
      <w:r w:rsidRPr="00C04354">
        <w:rPr>
          <w:color w:val="000000"/>
          <w:sz w:val="22"/>
          <w:szCs w:val="22"/>
          <w:lang w:val="sk-SK"/>
        </w:rPr>
        <w:t>.</w:t>
      </w:r>
    </w:p>
    <w:p w14:paraId="4BC50A35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61257A47" w14:textId="1A4A92E9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snapToGrid/>
          <w:sz w:val="22"/>
          <w:szCs w:val="22"/>
          <w:lang w:val="sk-SK" w:eastAsia="sk-SK"/>
        </w:rPr>
        <w:t>Tento li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ek sa musí uchovávať v </w:t>
      </w:r>
      <w:r w:rsidRPr="00C04354">
        <w:rPr>
          <w:snapToGrid/>
          <w:sz w:val="22"/>
          <w:szCs w:val="22"/>
          <w:lang w:val="sk-SK" w:eastAsia="sk-SK"/>
        </w:rPr>
        <w:t>súlade s národnými predpismi pre rádioaktívne materiály</w:t>
      </w:r>
      <w:r w:rsidRPr="00C04354">
        <w:rPr>
          <w:sz w:val="22"/>
          <w:szCs w:val="22"/>
          <w:lang w:val="sk-SK"/>
        </w:rPr>
        <w:t>.</w:t>
      </w:r>
    </w:p>
    <w:p w14:paraId="6B12B979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486240D5" w14:textId="77777777" w:rsidR="00710FA9" w:rsidRPr="00C04354" w:rsidRDefault="00710FA9" w:rsidP="00EE5AB9">
      <w:pPr>
        <w:tabs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6.5</w:t>
      </w:r>
      <w:r w:rsidRPr="00C04354">
        <w:rPr>
          <w:b/>
          <w:sz w:val="22"/>
          <w:szCs w:val="22"/>
          <w:lang w:val="sk-SK"/>
        </w:rPr>
        <w:tab/>
      </w:r>
      <w:r w:rsidR="00341BD3" w:rsidRPr="00C04354">
        <w:rPr>
          <w:b/>
          <w:sz w:val="22"/>
          <w:szCs w:val="22"/>
          <w:lang w:val="sk-SK"/>
        </w:rPr>
        <w:t xml:space="preserve">Druh obalu a </w:t>
      </w:r>
      <w:r w:rsidR="00E50541" w:rsidRPr="00C04354">
        <w:rPr>
          <w:b/>
          <w:sz w:val="22"/>
          <w:szCs w:val="22"/>
          <w:lang w:val="sk-SK"/>
        </w:rPr>
        <w:t>obsah balenia</w:t>
      </w:r>
    </w:p>
    <w:p w14:paraId="7C5DF82D" w14:textId="77777777" w:rsidR="00786071" w:rsidRPr="00C04354" w:rsidRDefault="00786071" w:rsidP="00EA5A51">
      <w:pPr>
        <w:rPr>
          <w:sz w:val="22"/>
          <w:szCs w:val="22"/>
          <w:lang w:val="sk-SK"/>
        </w:rPr>
      </w:pPr>
    </w:p>
    <w:p w14:paraId="3C06DD85" w14:textId="2D847ACC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04354">
        <w:rPr>
          <w:color w:val="000000"/>
          <w:sz w:val="22"/>
          <w:szCs w:val="22"/>
          <w:lang w:val="sk-SK"/>
        </w:rPr>
        <w:t>15 ml sklenená viacdávková injekčná liekovka neutrálneho typu I uzavretá gumenou zátkou.</w:t>
      </w:r>
    </w:p>
    <w:p w14:paraId="6E6D04DD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67609269" w14:textId="77777777" w:rsidR="00786071" w:rsidRPr="00C04354" w:rsidRDefault="00E50541" w:rsidP="00EE5AB9">
      <w:pPr>
        <w:pStyle w:val="Pta"/>
        <w:tabs>
          <w:tab w:val="clear" w:pos="4536"/>
          <w:tab w:val="clear" w:pos="9072"/>
        </w:tabs>
        <w:rPr>
          <w:sz w:val="22"/>
          <w:lang w:val="sk-SK"/>
        </w:rPr>
      </w:pPr>
      <w:r w:rsidRPr="00C04354">
        <w:rPr>
          <w:sz w:val="22"/>
          <w:szCs w:val="22"/>
          <w:lang w:val="sk-SK"/>
        </w:rPr>
        <w:t xml:space="preserve">Jedna injekčná liekovka obsahuje do 11 ml roztoku, čo zodpovedá v čase kalibrácie 300 až 3100 </w:t>
      </w:r>
      <w:proofErr w:type="spellStart"/>
      <w:r w:rsidRPr="00C04354">
        <w:rPr>
          <w:sz w:val="22"/>
          <w:szCs w:val="22"/>
          <w:lang w:val="sk-SK"/>
        </w:rPr>
        <w:t>MBq</w:t>
      </w:r>
      <w:proofErr w:type="spellEnd"/>
      <w:r w:rsidRPr="00C04354">
        <w:rPr>
          <w:sz w:val="22"/>
          <w:szCs w:val="22"/>
          <w:lang w:val="sk-SK"/>
        </w:rPr>
        <w:t>/ml.</w:t>
      </w:r>
    </w:p>
    <w:p w14:paraId="7EDDB75C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lang w:val="sk-SK"/>
        </w:rPr>
      </w:pPr>
    </w:p>
    <w:p w14:paraId="403FC760" w14:textId="77777777" w:rsidR="00381E39" w:rsidRDefault="00381E39" w:rsidP="00927787">
      <w:pPr>
        <w:tabs>
          <w:tab w:val="left" w:pos="540"/>
        </w:tabs>
        <w:spacing w:before="120" w:after="120"/>
        <w:rPr>
          <w:b/>
          <w:sz w:val="22"/>
          <w:lang w:val="sk-SK"/>
        </w:rPr>
      </w:pPr>
      <w:r>
        <w:rPr>
          <w:b/>
          <w:sz w:val="22"/>
          <w:lang w:val="sk-SK"/>
        </w:rPr>
        <w:br w:type="page"/>
      </w:r>
    </w:p>
    <w:p w14:paraId="1AD02FDF" w14:textId="38877928" w:rsidR="00710FA9" w:rsidRPr="00C04354" w:rsidRDefault="00E50541" w:rsidP="00927787">
      <w:pPr>
        <w:tabs>
          <w:tab w:val="left" w:pos="540"/>
        </w:tabs>
        <w:spacing w:before="120" w:after="120"/>
        <w:rPr>
          <w:b/>
          <w:sz w:val="22"/>
          <w:lang w:val="sk-SK"/>
        </w:rPr>
      </w:pPr>
      <w:r w:rsidRPr="00C04354">
        <w:rPr>
          <w:b/>
          <w:sz w:val="22"/>
          <w:lang w:val="sk-SK"/>
        </w:rPr>
        <w:lastRenderedPageBreak/>
        <w:t>6.6</w:t>
      </w:r>
      <w:r w:rsidRPr="00C04354">
        <w:rPr>
          <w:b/>
          <w:sz w:val="22"/>
          <w:lang w:val="sk-SK"/>
        </w:rPr>
        <w:tab/>
      </w:r>
      <w:r w:rsidR="00710FA9" w:rsidRPr="00C04354">
        <w:rPr>
          <w:b/>
          <w:sz w:val="22"/>
          <w:szCs w:val="22"/>
          <w:lang w:val="sk-SK"/>
        </w:rPr>
        <w:t xml:space="preserve">Špeciálne </w:t>
      </w:r>
      <w:r w:rsidR="00341BD3" w:rsidRPr="00C04354">
        <w:rPr>
          <w:b/>
          <w:sz w:val="22"/>
          <w:szCs w:val="22"/>
          <w:lang w:val="sk-SK"/>
        </w:rPr>
        <w:t>opatrenia</w:t>
      </w:r>
      <w:r w:rsidR="00710FA9" w:rsidRPr="00C04354">
        <w:rPr>
          <w:b/>
          <w:sz w:val="22"/>
          <w:szCs w:val="22"/>
          <w:lang w:val="sk-SK"/>
        </w:rPr>
        <w:t xml:space="preserve"> </w:t>
      </w:r>
      <w:r w:rsidR="00341BD3" w:rsidRPr="00C04354">
        <w:rPr>
          <w:b/>
          <w:sz w:val="22"/>
          <w:szCs w:val="22"/>
          <w:lang w:val="sk-SK"/>
        </w:rPr>
        <w:t>na</w:t>
      </w:r>
      <w:r w:rsidR="00710FA9" w:rsidRPr="00C04354">
        <w:rPr>
          <w:b/>
          <w:sz w:val="22"/>
          <w:szCs w:val="22"/>
          <w:lang w:val="sk-SK"/>
        </w:rPr>
        <w:t xml:space="preserve"> likvidáciu</w:t>
      </w:r>
      <w:r w:rsidR="005315D2" w:rsidRPr="00C04354">
        <w:rPr>
          <w:b/>
          <w:sz w:val="22"/>
          <w:szCs w:val="22"/>
          <w:lang w:val="sk-SK"/>
        </w:rPr>
        <w:t xml:space="preserve"> a iné zaobchádzanie s liekom</w:t>
      </w:r>
    </w:p>
    <w:p w14:paraId="3FC943C5" w14:textId="77777777" w:rsidR="00786071" w:rsidRPr="00C04354" w:rsidRDefault="00786071" w:rsidP="00EE5AB9">
      <w:pPr>
        <w:rPr>
          <w:sz w:val="22"/>
          <w:lang w:val="sk-SK"/>
        </w:rPr>
      </w:pPr>
    </w:p>
    <w:p w14:paraId="0E884C85" w14:textId="77777777" w:rsidR="00EB6EA4" w:rsidRPr="00C04354" w:rsidRDefault="00EB6EA4" w:rsidP="00927787">
      <w:pPr>
        <w:tabs>
          <w:tab w:val="left" w:pos="-1440"/>
          <w:tab w:val="left" w:pos="-720"/>
        </w:tabs>
        <w:rPr>
          <w:sz w:val="22"/>
          <w:u w:val="single"/>
          <w:lang w:val="sk-SK"/>
        </w:rPr>
      </w:pPr>
      <w:r w:rsidRPr="00C04354">
        <w:rPr>
          <w:sz w:val="22"/>
          <w:u w:val="single"/>
          <w:lang w:val="sk-SK"/>
        </w:rPr>
        <w:t>Všeobecné upozornenia</w:t>
      </w:r>
    </w:p>
    <w:p w14:paraId="1DEC46C9" w14:textId="77777777" w:rsidR="00047D16" w:rsidRPr="00C04354" w:rsidRDefault="00E50541" w:rsidP="00927787">
      <w:pPr>
        <w:autoSpaceDE w:val="0"/>
        <w:autoSpaceDN w:val="0"/>
        <w:adjustRightInd w:val="0"/>
        <w:rPr>
          <w:snapToGrid/>
          <w:sz w:val="22"/>
          <w:szCs w:val="22"/>
          <w:lang w:val="sk-SK" w:eastAsia="sk-SK"/>
        </w:rPr>
      </w:pPr>
      <w:proofErr w:type="spellStart"/>
      <w:r w:rsidRPr="00C04354">
        <w:rPr>
          <w:snapToGrid/>
          <w:sz w:val="22"/>
          <w:szCs w:val="22"/>
          <w:lang w:val="sk-SK" w:eastAsia="sk-SK"/>
        </w:rPr>
        <w:t>Rádiofarmaká</w:t>
      </w:r>
      <w:proofErr w:type="spellEnd"/>
      <w:r w:rsidRPr="00C04354">
        <w:rPr>
          <w:snapToGrid/>
          <w:sz w:val="22"/>
          <w:szCs w:val="22"/>
          <w:lang w:val="sk-SK" w:eastAsia="sk-SK"/>
        </w:rPr>
        <w:t xml:space="preserve"> majú v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>určenom klinickom prostredí prijímať</w:t>
      </w:r>
      <w:r w:rsidRPr="00C04354">
        <w:rPr>
          <w:snapToGrid/>
          <w:sz w:val="22"/>
          <w:szCs w:val="22"/>
          <w:lang w:val="sk-SK" w:eastAsia="sk-SK"/>
        </w:rPr>
        <w:t xml:space="preserve">,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používať a </w:t>
      </w:r>
      <w:r w:rsidRPr="00C04354">
        <w:rPr>
          <w:snapToGrid/>
          <w:sz w:val="22"/>
          <w:szCs w:val="22"/>
          <w:lang w:val="sk-SK" w:eastAsia="sk-SK"/>
        </w:rPr>
        <w:t>p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odávať len </w:t>
      </w:r>
      <w:r w:rsidRPr="00C04354">
        <w:rPr>
          <w:snapToGrid/>
          <w:sz w:val="22"/>
          <w:szCs w:val="22"/>
          <w:lang w:val="sk-SK" w:eastAsia="sk-SK"/>
        </w:rPr>
        <w:t>oprávnené poverené osoby. Ich príjem, uchovávanie, používanie, preprava a likvidácia podliehajú právnym úpravám a/alebo príslušným schváleniam (licenciám) vydaným kompetentných štátnym úradom.</w:t>
      </w:r>
    </w:p>
    <w:p w14:paraId="0C6456E7" w14:textId="77777777" w:rsidR="00786071" w:rsidRPr="00C04354" w:rsidRDefault="00786071">
      <w:pPr>
        <w:autoSpaceDE w:val="0"/>
        <w:autoSpaceDN w:val="0"/>
        <w:adjustRightInd w:val="0"/>
        <w:rPr>
          <w:sz w:val="22"/>
          <w:lang w:val="sk-SK"/>
        </w:rPr>
      </w:pPr>
    </w:p>
    <w:p w14:paraId="00669325" w14:textId="77777777" w:rsidR="00786071" w:rsidRPr="00C04354" w:rsidRDefault="00E50541">
      <w:pPr>
        <w:autoSpaceDE w:val="0"/>
        <w:autoSpaceDN w:val="0"/>
        <w:adjustRightInd w:val="0"/>
        <w:rPr>
          <w:rFonts w:eastAsia="TimesNewRomanPSMT"/>
          <w:snapToGrid/>
          <w:sz w:val="22"/>
          <w:szCs w:val="22"/>
          <w:lang w:val="sk-SK" w:eastAsia="sk-SK"/>
        </w:rPr>
      </w:pPr>
      <w:proofErr w:type="spellStart"/>
      <w:r w:rsidRPr="00C04354">
        <w:rPr>
          <w:sz w:val="22"/>
          <w:lang w:val="sk-SK"/>
        </w:rPr>
        <w:t>Rádiofarmaká</w:t>
      </w:r>
      <w:proofErr w:type="spellEnd"/>
      <w:r w:rsidRPr="00C04354">
        <w:rPr>
          <w:sz w:val="22"/>
          <w:lang w:val="sk-SK"/>
        </w:rPr>
        <w:t xml:space="preserve"> </w:t>
      </w:r>
      <w:r w:rsidRPr="00C04354">
        <w:rPr>
          <w:snapToGrid/>
          <w:sz w:val="22"/>
          <w:szCs w:val="22"/>
          <w:lang w:val="sk-SK" w:eastAsia="sk-SK"/>
        </w:rPr>
        <w:t>sa majú pri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pravovať spôsobom, ktorý </w:t>
      </w:r>
      <w:r w:rsidRPr="00C04354">
        <w:rPr>
          <w:snapToGrid/>
          <w:sz w:val="22"/>
          <w:szCs w:val="22"/>
          <w:lang w:val="sk-SK" w:eastAsia="sk-SK"/>
        </w:rPr>
        <w:t xml:space="preserve">je v súlade s požiadavkami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radiačnej bezpečnosti </w:t>
      </w:r>
      <w:r w:rsidRPr="00C04354">
        <w:rPr>
          <w:snapToGrid/>
          <w:sz w:val="22"/>
          <w:szCs w:val="22"/>
          <w:lang w:val="sk-SK" w:eastAsia="sk-SK"/>
        </w:rPr>
        <w:t xml:space="preserve">a farmaceutickej kvality. Je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potrebné vykonať patričné aseptické bezpečnostné </w:t>
      </w:r>
      <w:r w:rsidRPr="00C04354">
        <w:rPr>
          <w:snapToGrid/>
          <w:sz w:val="22"/>
          <w:szCs w:val="22"/>
          <w:lang w:val="sk-SK" w:eastAsia="sk-SK"/>
        </w:rPr>
        <w:t>opatrenia.</w:t>
      </w:r>
    </w:p>
    <w:p w14:paraId="7A27A0E5" w14:textId="77777777" w:rsidR="00786071" w:rsidRPr="00C04354" w:rsidRDefault="00786071" w:rsidP="00EE5AB9">
      <w:pPr>
        <w:pStyle w:val="p6"/>
        <w:shd w:val="clear" w:color="auto" w:fill="FFFFFF"/>
        <w:jc w:val="left"/>
        <w:rPr>
          <w:sz w:val="22"/>
          <w:szCs w:val="22"/>
          <w:lang w:val="sk-SK"/>
        </w:rPr>
      </w:pPr>
    </w:p>
    <w:p w14:paraId="5D5462B5" w14:textId="77777777" w:rsidR="00EB6EA4" w:rsidRPr="00C04354" w:rsidRDefault="00E50541" w:rsidP="00927787">
      <w:pPr>
        <w:rPr>
          <w:sz w:val="22"/>
          <w:szCs w:val="22"/>
          <w:lang w:val="sk-SK"/>
        </w:rPr>
      </w:pPr>
      <w:r w:rsidRPr="00C04354">
        <w:rPr>
          <w:sz w:val="22"/>
          <w:szCs w:val="22"/>
          <w:lang w:val="sk-SK"/>
        </w:rPr>
        <w:t xml:space="preserve">Podávanie </w:t>
      </w:r>
      <w:proofErr w:type="spellStart"/>
      <w:r w:rsidRPr="00C04354">
        <w:rPr>
          <w:sz w:val="22"/>
          <w:szCs w:val="22"/>
          <w:lang w:val="sk-SK"/>
        </w:rPr>
        <w:t>rádiofarmák</w:t>
      </w:r>
      <w:proofErr w:type="spellEnd"/>
      <w:r w:rsidRPr="00C04354">
        <w:rPr>
          <w:sz w:val="22"/>
          <w:szCs w:val="22"/>
          <w:lang w:val="sk-SK"/>
        </w:rPr>
        <w:t xml:space="preserve"> sa spája s rizikom </w:t>
      </w:r>
      <w:r w:rsidRPr="00C04354">
        <w:rPr>
          <w:rFonts w:eastAsia="TimesNewRomanPSMT"/>
          <w:sz w:val="22"/>
          <w:szCs w:val="22"/>
          <w:lang w:val="sk-SK"/>
        </w:rPr>
        <w:t xml:space="preserve">pre ďalšie osoby </w:t>
      </w:r>
      <w:r w:rsidRPr="00C04354">
        <w:rPr>
          <w:sz w:val="22"/>
          <w:szCs w:val="22"/>
          <w:lang w:val="sk-SK"/>
        </w:rPr>
        <w:t xml:space="preserve">z vonkajšieho ožiarenia alebo kontaminácie v dôsledku rozliatia </w:t>
      </w:r>
      <w:r w:rsidRPr="00C04354">
        <w:rPr>
          <w:rFonts w:eastAsia="TimesNewRomanPSMT"/>
          <w:sz w:val="22"/>
          <w:szCs w:val="22"/>
          <w:lang w:val="sk-SK"/>
        </w:rPr>
        <w:t xml:space="preserve">moču, </w:t>
      </w:r>
      <w:r w:rsidRPr="00C04354">
        <w:rPr>
          <w:sz w:val="22"/>
          <w:szCs w:val="22"/>
          <w:lang w:val="sk-SK"/>
        </w:rPr>
        <w:t xml:space="preserve">zvratkov </w:t>
      </w:r>
      <w:r w:rsidRPr="00C04354">
        <w:rPr>
          <w:rFonts w:eastAsia="TimesNewRomanPSMT"/>
          <w:sz w:val="22"/>
          <w:szCs w:val="22"/>
          <w:lang w:val="sk-SK"/>
        </w:rPr>
        <w:t>atď</w:t>
      </w:r>
      <w:r w:rsidRPr="00C04354">
        <w:rPr>
          <w:sz w:val="22"/>
          <w:szCs w:val="22"/>
          <w:lang w:val="sk-SK"/>
        </w:rPr>
        <w:t xml:space="preserve">. Preto je nevyhnutné </w:t>
      </w:r>
      <w:r w:rsidRPr="00C04354">
        <w:rPr>
          <w:rFonts w:eastAsia="TimesNewRomanPSMT"/>
          <w:sz w:val="22"/>
          <w:szCs w:val="22"/>
          <w:lang w:val="sk-SK"/>
        </w:rPr>
        <w:t xml:space="preserve">prijať bezpečnostné </w:t>
      </w:r>
      <w:r w:rsidRPr="00C04354">
        <w:rPr>
          <w:sz w:val="22"/>
          <w:szCs w:val="22"/>
          <w:lang w:val="sk-SK"/>
        </w:rPr>
        <w:t>opatrenia na ochranu pred žiarením v súlade s národnými právnymi predpismi.</w:t>
      </w:r>
    </w:p>
    <w:p w14:paraId="095BA92D" w14:textId="77777777" w:rsidR="00786071" w:rsidRPr="00C04354" w:rsidRDefault="00786071">
      <w:pPr>
        <w:tabs>
          <w:tab w:val="left" w:pos="-1440"/>
          <w:tab w:val="left" w:pos="-720"/>
        </w:tabs>
        <w:rPr>
          <w:sz w:val="22"/>
          <w:szCs w:val="22"/>
          <w:lang w:val="sk-SK"/>
        </w:rPr>
      </w:pPr>
    </w:p>
    <w:p w14:paraId="1C75DAA6" w14:textId="3003530E" w:rsidR="00786071" w:rsidRPr="00C04354" w:rsidRDefault="00E50541" w:rsidP="00EE5AB9">
      <w:pPr>
        <w:rPr>
          <w:sz w:val="22"/>
          <w:szCs w:val="22"/>
          <w:lang w:val="sk-SK"/>
        </w:rPr>
      </w:pPr>
      <w:r w:rsidRPr="00C04354">
        <w:rPr>
          <w:snapToGrid/>
          <w:sz w:val="22"/>
          <w:szCs w:val="22"/>
          <w:lang w:val="sk-SK" w:eastAsia="sk-SK"/>
        </w:rPr>
        <w:t xml:space="preserve">Nepoužitý liek alebo odpad vzniknutý z lieku treba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zlikvidovať v </w:t>
      </w:r>
      <w:r w:rsidRPr="00C04354">
        <w:rPr>
          <w:snapToGrid/>
          <w:sz w:val="22"/>
          <w:szCs w:val="22"/>
          <w:lang w:val="sk-SK" w:eastAsia="sk-SK"/>
        </w:rPr>
        <w:t>súlade s národnými požiadavkami na rádioak</w:t>
      </w:r>
      <w:r w:rsidR="00BE2969">
        <w:rPr>
          <w:snapToGrid/>
          <w:sz w:val="22"/>
          <w:szCs w:val="22"/>
          <w:lang w:val="sk-SK" w:eastAsia="sk-SK"/>
        </w:rPr>
        <w:t>t</w:t>
      </w:r>
      <w:r w:rsidRPr="00BE2969">
        <w:rPr>
          <w:snapToGrid/>
          <w:sz w:val="22"/>
          <w:szCs w:val="22"/>
          <w:lang w:val="sk-SK" w:eastAsia="sk-SK"/>
        </w:rPr>
        <w:t>ívne materi</w:t>
      </w:r>
      <w:r w:rsidRPr="00C04354">
        <w:rPr>
          <w:snapToGrid/>
          <w:sz w:val="22"/>
          <w:szCs w:val="22"/>
          <w:lang w:val="sk-SK" w:eastAsia="sk-SK"/>
        </w:rPr>
        <w:t>ály.</w:t>
      </w:r>
    </w:p>
    <w:p w14:paraId="7051C7BA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0C6817F8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106C4011" w14:textId="77777777" w:rsidR="00786071" w:rsidRPr="00C04354" w:rsidRDefault="00E50541" w:rsidP="00EE5AB9">
      <w:pPr>
        <w:pStyle w:val="Pta"/>
        <w:tabs>
          <w:tab w:val="clear" w:pos="4536"/>
          <w:tab w:val="clear" w:pos="9072"/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7.</w:t>
      </w:r>
      <w:r w:rsidRPr="00C04354">
        <w:rPr>
          <w:b/>
          <w:sz w:val="22"/>
          <w:szCs w:val="22"/>
          <w:lang w:val="sk-SK"/>
        </w:rPr>
        <w:tab/>
        <w:t xml:space="preserve">DRŽITEĽ </w:t>
      </w:r>
      <w:r w:rsidRPr="00C04354">
        <w:rPr>
          <w:b/>
          <w:noProof/>
          <w:sz w:val="22"/>
          <w:szCs w:val="22"/>
          <w:lang w:val="sk-SK" w:eastAsia="sk-SK"/>
        </w:rPr>
        <w:t>ROZHODNUTIA O REGISTRÁCII</w:t>
      </w:r>
      <w:r w:rsidRPr="00C04354">
        <w:rPr>
          <w:b/>
          <w:sz w:val="22"/>
          <w:szCs w:val="22"/>
          <w:lang w:val="sk-SK"/>
        </w:rPr>
        <w:t xml:space="preserve"> </w:t>
      </w:r>
    </w:p>
    <w:p w14:paraId="23E27DC8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b/>
          <w:sz w:val="22"/>
          <w:szCs w:val="22"/>
          <w:lang w:val="sk-SK"/>
        </w:rPr>
      </w:pPr>
    </w:p>
    <w:p w14:paraId="69AD3D71" w14:textId="77777777" w:rsidR="007B5704" w:rsidRPr="00350564" w:rsidRDefault="007B5704" w:rsidP="007B5704">
      <w:pPr>
        <w:pStyle w:val="Pta"/>
        <w:rPr>
          <w:sz w:val="22"/>
          <w:szCs w:val="22"/>
          <w:lang w:val="sk-SK"/>
        </w:rPr>
      </w:pPr>
      <w:proofErr w:type="spellStart"/>
      <w:r w:rsidRPr="00350564">
        <w:rPr>
          <w:sz w:val="22"/>
          <w:szCs w:val="22"/>
          <w:lang w:val="sk-SK"/>
        </w:rPr>
        <w:t>Life</w:t>
      </w:r>
      <w:proofErr w:type="spellEnd"/>
      <w:r w:rsidRPr="00350564">
        <w:rPr>
          <w:sz w:val="22"/>
          <w:szCs w:val="22"/>
          <w:lang w:val="sk-SK"/>
        </w:rPr>
        <w:t xml:space="preserve"> </w:t>
      </w:r>
      <w:proofErr w:type="spellStart"/>
      <w:r w:rsidRPr="00350564">
        <w:rPr>
          <w:sz w:val="22"/>
          <w:szCs w:val="22"/>
          <w:lang w:val="sk-SK"/>
        </w:rPr>
        <w:t>Radiopharma</w:t>
      </w:r>
      <w:proofErr w:type="spellEnd"/>
      <w:r w:rsidRPr="00350564">
        <w:rPr>
          <w:sz w:val="22"/>
          <w:szCs w:val="22"/>
          <w:lang w:val="sk-SK"/>
        </w:rPr>
        <w:t xml:space="preserve"> </w:t>
      </w:r>
      <w:proofErr w:type="spellStart"/>
      <w:r w:rsidRPr="00350564">
        <w:rPr>
          <w:sz w:val="22"/>
          <w:szCs w:val="22"/>
          <w:lang w:val="sk-SK"/>
        </w:rPr>
        <w:t>Berlin</w:t>
      </w:r>
      <w:proofErr w:type="spellEnd"/>
      <w:r w:rsidRPr="00350564">
        <w:rPr>
          <w:sz w:val="22"/>
          <w:szCs w:val="22"/>
          <w:lang w:val="sk-SK"/>
        </w:rPr>
        <w:t xml:space="preserve"> </w:t>
      </w:r>
      <w:proofErr w:type="spellStart"/>
      <w:r w:rsidRPr="00350564">
        <w:rPr>
          <w:sz w:val="22"/>
          <w:szCs w:val="22"/>
          <w:lang w:val="sk-SK"/>
        </w:rPr>
        <w:t>GmbH</w:t>
      </w:r>
      <w:proofErr w:type="spellEnd"/>
    </w:p>
    <w:p w14:paraId="361B000D" w14:textId="77777777" w:rsidR="007B5704" w:rsidRPr="00350564" w:rsidRDefault="007B5704" w:rsidP="007B5704">
      <w:pPr>
        <w:pStyle w:val="Pta"/>
        <w:rPr>
          <w:sz w:val="22"/>
          <w:szCs w:val="22"/>
          <w:lang w:val="sk-SK"/>
        </w:rPr>
      </w:pPr>
      <w:proofErr w:type="spellStart"/>
      <w:r w:rsidRPr="00350564">
        <w:rPr>
          <w:sz w:val="22"/>
          <w:szCs w:val="22"/>
          <w:lang w:val="sk-SK"/>
        </w:rPr>
        <w:t>Max-Planck-Str</w:t>
      </w:r>
      <w:proofErr w:type="spellEnd"/>
      <w:r w:rsidRPr="00350564">
        <w:rPr>
          <w:sz w:val="22"/>
          <w:szCs w:val="22"/>
          <w:lang w:val="sk-SK"/>
        </w:rPr>
        <w:t>. 4</w:t>
      </w:r>
    </w:p>
    <w:p w14:paraId="44DDD10F" w14:textId="77777777" w:rsidR="007B5704" w:rsidRPr="00350564" w:rsidRDefault="007B5704" w:rsidP="007B5704">
      <w:pPr>
        <w:pStyle w:val="Pta"/>
        <w:rPr>
          <w:sz w:val="22"/>
          <w:szCs w:val="22"/>
          <w:lang w:val="sk-SK"/>
        </w:rPr>
      </w:pPr>
      <w:r w:rsidRPr="00350564">
        <w:rPr>
          <w:sz w:val="22"/>
          <w:szCs w:val="22"/>
          <w:lang w:val="sk-SK"/>
        </w:rPr>
        <w:t xml:space="preserve">12489 </w:t>
      </w:r>
      <w:proofErr w:type="spellStart"/>
      <w:r w:rsidRPr="00350564">
        <w:rPr>
          <w:sz w:val="22"/>
          <w:szCs w:val="22"/>
          <w:lang w:val="sk-SK"/>
        </w:rPr>
        <w:t>Berlin</w:t>
      </w:r>
      <w:proofErr w:type="spellEnd"/>
    </w:p>
    <w:p w14:paraId="0CA9FA3A" w14:textId="77777777" w:rsidR="007B5704" w:rsidRPr="00350564" w:rsidRDefault="007B5704" w:rsidP="007B5704">
      <w:pPr>
        <w:pStyle w:val="Pta"/>
        <w:tabs>
          <w:tab w:val="clear" w:pos="4536"/>
        </w:tabs>
        <w:rPr>
          <w:sz w:val="22"/>
          <w:szCs w:val="22"/>
          <w:lang w:val="sk-SK"/>
        </w:rPr>
      </w:pPr>
      <w:r w:rsidRPr="00350564">
        <w:rPr>
          <w:sz w:val="22"/>
          <w:szCs w:val="22"/>
          <w:lang w:val="sk-SK"/>
        </w:rPr>
        <w:t>Nemecko</w:t>
      </w:r>
    </w:p>
    <w:p w14:paraId="6FF14B60" w14:textId="77777777" w:rsidR="007B5704" w:rsidRPr="00350564" w:rsidRDefault="007B5704" w:rsidP="007B5704">
      <w:pPr>
        <w:pStyle w:val="Pta"/>
        <w:rPr>
          <w:sz w:val="22"/>
          <w:szCs w:val="22"/>
          <w:lang w:val="sk-SK"/>
        </w:rPr>
      </w:pPr>
    </w:p>
    <w:p w14:paraId="16E58695" w14:textId="77777777" w:rsidR="007B5704" w:rsidRPr="00350564" w:rsidRDefault="007B5704" w:rsidP="007B5704">
      <w:pPr>
        <w:pStyle w:val="Pta"/>
        <w:rPr>
          <w:sz w:val="22"/>
          <w:szCs w:val="22"/>
          <w:lang w:val="sk-SK"/>
        </w:rPr>
      </w:pPr>
      <w:r w:rsidRPr="00350564">
        <w:rPr>
          <w:sz w:val="22"/>
          <w:szCs w:val="22"/>
          <w:lang w:val="sk-SK"/>
        </w:rPr>
        <w:t>Tel.: +49 30 63 92 24 91</w:t>
      </w:r>
    </w:p>
    <w:p w14:paraId="7E68BA66" w14:textId="77777777" w:rsidR="007B5704" w:rsidRPr="00350564" w:rsidRDefault="007B5704" w:rsidP="007B5704">
      <w:pPr>
        <w:pStyle w:val="Pta"/>
        <w:rPr>
          <w:sz w:val="22"/>
          <w:szCs w:val="22"/>
          <w:lang w:val="sk-SK"/>
        </w:rPr>
      </w:pPr>
      <w:r w:rsidRPr="00350564">
        <w:rPr>
          <w:sz w:val="22"/>
          <w:szCs w:val="22"/>
          <w:lang w:val="sk-SK"/>
        </w:rPr>
        <w:t>Fax: +49 30 63 92 24 99</w:t>
      </w:r>
    </w:p>
    <w:p w14:paraId="5FDE1C50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66F11A34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4A87215F" w14:textId="77777777" w:rsidR="00786071" w:rsidRPr="00C04354" w:rsidRDefault="00E50541" w:rsidP="00EE5AB9">
      <w:pPr>
        <w:pStyle w:val="Pta"/>
        <w:tabs>
          <w:tab w:val="clear" w:pos="4536"/>
          <w:tab w:val="clear" w:pos="9072"/>
          <w:tab w:val="left" w:pos="540"/>
        </w:tabs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8.</w:t>
      </w:r>
      <w:r w:rsidRPr="00C04354">
        <w:rPr>
          <w:b/>
          <w:sz w:val="22"/>
          <w:szCs w:val="22"/>
          <w:lang w:val="sk-SK"/>
        </w:rPr>
        <w:tab/>
      </w:r>
      <w:r w:rsidRPr="00C04354">
        <w:rPr>
          <w:b/>
          <w:noProof/>
          <w:sz w:val="22"/>
          <w:szCs w:val="22"/>
          <w:lang w:val="sk-SK" w:eastAsia="sk-SK"/>
        </w:rPr>
        <w:t>REGISTRAČNÉ ČÍSLO (A)</w:t>
      </w:r>
    </w:p>
    <w:p w14:paraId="3D18033E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5D41312C" w14:textId="77777777" w:rsidR="000679B5" w:rsidRPr="00C04354" w:rsidRDefault="00E50541" w:rsidP="00927787">
      <w:pPr>
        <w:rPr>
          <w:lang w:val="sk-SK"/>
        </w:rPr>
      </w:pPr>
      <w:r w:rsidRPr="00C04354">
        <w:rPr>
          <w:lang w:val="sk-SK"/>
        </w:rPr>
        <w:t>88/0095/09-S</w:t>
      </w:r>
    </w:p>
    <w:p w14:paraId="2908420C" w14:textId="6BD48815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3CDA90C4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27F070D8" w14:textId="77777777" w:rsidR="00710FA9" w:rsidRPr="00C04354" w:rsidRDefault="00E50541" w:rsidP="00927787">
      <w:pPr>
        <w:tabs>
          <w:tab w:val="left" w:pos="540"/>
        </w:tabs>
        <w:ind w:left="567" w:hanging="567"/>
        <w:rPr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9.</w:t>
      </w:r>
      <w:r w:rsidRPr="00C04354">
        <w:rPr>
          <w:b/>
          <w:sz w:val="22"/>
          <w:szCs w:val="22"/>
          <w:lang w:val="sk-SK"/>
        </w:rPr>
        <w:tab/>
      </w:r>
      <w:r w:rsidRPr="00C04354">
        <w:rPr>
          <w:b/>
          <w:noProof/>
          <w:sz w:val="22"/>
          <w:szCs w:val="22"/>
          <w:lang w:val="sk-SK" w:eastAsia="sk-SK"/>
        </w:rPr>
        <w:t>DÁTUM PRVEJ REGISTRÁCIE/ PREDĹŽENIA REGISTRÁCIE</w:t>
      </w:r>
      <w:r w:rsidRPr="00C04354">
        <w:rPr>
          <w:b/>
          <w:sz w:val="22"/>
          <w:szCs w:val="22"/>
          <w:lang w:val="sk-SK"/>
        </w:rPr>
        <w:t xml:space="preserve"> </w:t>
      </w:r>
    </w:p>
    <w:p w14:paraId="4E25C671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</w:p>
    <w:p w14:paraId="1A3AAAD4" w14:textId="77777777" w:rsidR="00786071" w:rsidRPr="00C04354" w:rsidRDefault="00E5054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  <w:r w:rsidRPr="00C04354">
        <w:rPr>
          <w:noProof/>
          <w:sz w:val="22"/>
          <w:szCs w:val="22"/>
          <w:lang w:val="sk-SK"/>
        </w:rPr>
        <w:t xml:space="preserve">Dátum prvej registrácie: </w:t>
      </w:r>
      <w:r w:rsidR="00FE790A" w:rsidRPr="00C04354">
        <w:rPr>
          <w:sz w:val="22"/>
          <w:szCs w:val="22"/>
          <w:lang w:val="sk-SK"/>
        </w:rPr>
        <w:t>27.02.2009</w:t>
      </w:r>
    </w:p>
    <w:p w14:paraId="54C7E17E" w14:textId="12C3C4B5" w:rsidR="00786071" w:rsidRPr="00C04354" w:rsidRDefault="00E50541" w:rsidP="00EE5AB9">
      <w:pPr>
        <w:pStyle w:val="Pta"/>
        <w:tabs>
          <w:tab w:val="clear" w:pos="4536"/>
          <w:tab w:val="clear" w:pos="9072"/>
        </w:tabs>
        <w:ind w:hanging="33"/>
        <w:rPr>
          <w:sz w:val="22"/>
          <w:szCs w:val="22"/>
          <w:lang w:val="sk-SK"/>
        </w:rPr>
      </w:pPr>
      <w:r w:rsidRPr="00C04354">
        <w:rPr>
          <w:noProof/>
          <w:sz w:val="22"/>
          <w:szCs w:val="22"/>
          <w:lang w:val="sk-SK"/>
        </w:rPr>
        <w:t>Dátum posledného predĺženia registrácie:</w:t>
      </w:r>
      <w:r w:rsidR="0086374D" w:rsidRPr="00C04354">
        <w:rPr>
          <w:sz w:val="22"/>
          <w:szCs w:val="22"/>
          <w:lang w:val="sk-SK"/>
        </w:rPr>
        <w:t xml:space="preserve"> </w:t>
      </w:r>
      <w:r w:rsidR="007B5704">
        <w:rPr>
          <w:sz w:val="22"/>
          <w:szCs w:val="22"/>
          <w:lang w:val="sk-SK"/>
        </w:rPr>
        <w:t>29.12.2016</w:t>
      </w:r>
    </w:p>
    <w:p w14:paraId="13227D69" w14:textId="77777777" w:rsidR="00786071" w:rsidRPr="00C04354" w:rsidRDefault="00786071" w:rsidP="00EE5AB9">
      <w:pPr>
        <w:pStyle w:val="Pta"/>
        <w:tabs>
          <w:tab w:val="clear" w:pos="4536"/>
          <w:tab w:val="clear" w:pos="9072"/>
          <w:tab w:val="left" w:pos="540"/>
        </w:tabs>
        <w:ind w:hanging="33"/>
        <w:rPr>
          <w:sz w:val="22"/>
          <w:szCs w:val="22"/>
          <w:lang w:val="sk-SK"/>
        </w:rPr>
      </w:pPr>
    </w:p>
    <w:p w14:paraId="2D31E86E" w14:textId="77777777" w:rsidR="00020AFC" w:rsidRPr="00C04354" w:rsidRDefault="00020AFC" w:rsidP="00EE5AB9">
      <w:pPr>
        <w:pStyle w:val="Pta"/>
        <w:tabs>
          <w:tab w:val="clear" w:pos="4536"/>
          <w:tab w:val="clear" w:pos="9072"/>
          <w:tab w:val="left" w:pos="540"/>
        </w:tabs>
        <w:ind w:hanging="33"/>
        <w:rPr>
          <w:sz w:val="22"/>
          <w:szCs w:val="22"/>
          <w:lang w:val="sk-SK"/>
        </w:rPr>
      </w:pPr>
    </w:p>
    <w:p w14:paraId="6EAEA225" w14:textId="77777777" w:rsidR="00710FA9" w:rsidRPr="00C04354" w:rsidRDefault="00710FA9" w:rsidP="00927787">
      <w:pPr>
        <w:tabs>
          <w:tab w:val="left" w:pos="540"/>
        </w:tabs>
        <w:ind w:left="567" w:hanging="567"/>
        <w:rPr>
          <w:b/>
          <w:sz w:val="22"/>
          <w:szCs w:val="22"/>
          <w:lang w:val="sk-SK"/>
        </w:rPr>
      </w:pPr>
      <w:r w:rsidRPr="00C04354">
        <w:rPr>
          <w:b/>
          <w:sz w:val="22"/>
          <w:szCs w:val="22"/>
          <w:lang w:val="sk-SK"/>
        </w:rPr>
        <w:t>10.</w:t>
      </w:r>
      <w:r w:rsidRPr="00C04354">
        <w:rPr>
          <w:b/>
          <w:sz w:val="22"/>
          <w:szCs w:val="22"/>
          <w:lang w:val="sk-SK"/>
        </w:rPr>
        <w:tab/>
        <w:t>DÁTUM REVÍZIE TEXTU</w:t>
      </w:r>
    </w:p>
    <w:p w14:paraId="3C8F4BA5" w14:textId="77777777" w:rsidR="00786071" w:rsidRPr="00C04354" w:rsidRDefault="00786071">
      <w:pPr>
        <w:rPr>
          <w:sz w:val="22"/>
          <w:szCs w:val="22"/>
          <w:lang w:val="sk-SK"/>
        </w:rPr>
      </w:pPr>
    </w:p>
    <w:p w14:paraId="4667C05D" w14:textId="4F230D7C" w:rsidR="00786071" w:rsidRPr="00C04354" w:rsidRDefault="007B57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Marec 2018</w:t>
      </w:r>
    </w:p>
    <w:p w14:paraId="154B8A3A" w14:textId="77777777" w:rsidR="00786071" w:rsidRPr="00C04354" w:rsidRDefault="00786071">
      <w:pPr>
        <w:rPr>
          <w:sz w:val="22"/>
          <w:szCs w:val="22"/>
          <w:lang w:val="sk-SK"/>
        </w:rPr>
      </w:pPr>
    </w:p>
    <w:p w14:paraId="0E028FC4" w14:textId="77777777" w:rsidR="00786071" w:rsidRPr="00C04354" w:rsidRDefault="00786071">
      <w:pPr>
        <w:ind w:firstLine="360"/>
        <w:rPr>
          <w:sz w:val="22"/>
          <w:szCs w:val="22"/>
          <w:lang w:val="sk-SK"/>
        </w:rPr>
      </w:pPr>
    </w:p>
    <w:p w14:paraId="2152663D" w14:textId="77777777" w:rsidR="00381E39" w:rsidRDefault="00381E39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br w:type="page"/>
      </w:r>
    </w:p>
    <w:p w14:paraId="13520AA1" w14:textId="016BD837" w:rsidR="00786071" w:rsidRPr="00C04354" w:rsidRDefault="00E50541" w:rsidP="00EE5AB9">
      <w:pPr>
        <w:pStyle w:val="Zkladntext3"/>
        <w:tabs>
          <w:tab w:val="left" w:pos="540"/>
        </w:tabs>
        <w:jc w:val="left"/>
        <w:rPr>
          <w:rFonts w:ascii="Times New Roman" w:hAnsi="Times New Roman"/>
          <w:b/>
          <w:szCs w:val="22"/>
          <w:lang w:val="sk-SK"/>
        </w:rPr>
      </w:pPr>
      <w:r w:rsidRPr="00C04354">
        <w:rPr>
          <w:rFonts w:ascii="Times New Roman" w:hAnsi="Times New Roman"/>
          <w:b/>
          <w:szCs w:val="22"/>
          <w:lang w:val="sk-SK"/>
        </w:rPr>
        <w:lastRenderedPageBreak/>
        <w:t>11.</w:t>
      </w:r>
      <w:r w:rsidRPr="00C04354">
        <w:rPr>
          <w:rFonts w:ascii="Times New Roman" w:hAnsi="Times New Roman"/>
          <w:b/>
          <w:szCs w:val="22"/>
          <w:lang w:val="sk-SK"/>
        </w:rPr>
        <w:tab/>
        <w:t>DOZIMETRIA</w:t>
      </w:r>
    </w:p>
    <w:p w14:paraId="4D6E6D59" w14:textId="77777777" w:rsidR="00786071" w:rsidRPr="00C04354" w:rsidRDefault="00786071" w:rsidP="00EE5AB9">
      <w:pPr>
        <w:pStyle w:val="Zkladntext3"/>
        <w:ind w:left="360"/>
        <w:jc w:val="left"/>
        <w:rPr>
          <w:rFonts w:ascii="Times New Roman" w:hAnsi="Times New Roman"/>
          <w:szCs w:val="22"/>
          <w:lang w:val="sk-SK"/>
        </w:rPr>
      </w:pPr>
    </w:p>
    <w:p w14:paraId="2065C547" w14:textId="15546963" w:rsidR="00786071" w:rsidRPr="00C04354" w:rsidRDefault="00E5054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Nižšie uvedené údaje pochádzajú z publikácie </w:t>
      </w:r>
      <w:proofErr w:type="spellStart"/>
      <w:r w:rsidRPr="00C04354">
        <w:rPr>
          <w:rFonts w:ascii="Times New Roman" w:hAnsi="Times New Roman"/>
          <w:szCs w:val="22"/>
          <w:lang w:val="sk-SK"/>
        </w:rPr>
        <w:t>ICRP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106.</w:t>
      </w:r>
    </w:p>
    <w:p w14:paraId="7B4DF561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8CB7A1A" w14:textId="7128E4BC" w:rsidR="00786071" w:rsidRPr="00C04354" w:rsidRDefault="00786071" w:rsidP="00EE5AB9">
      <w:pPr>
        <w:pStyle w:val="Zkladntext3"/>
        <w:ind w:left="360"/>
        <w:jc w:val="left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476"/>
        <w:gridCol w:w="1432"/>
        <w:gridCol w:w="1398"/>
        <w:gridCol w:w="1336"/>
        <w:gridCol w:w="1179"/>
      </w:tblGrid>
      <w:tr w:rsidR="00710FA9" w:rsidRPr="00C04354" w14:paraId="3CBF355E" w14:textId="77777777" w:rsidTr="00E70F9D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3EFE" w14:textId="77777777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356062" w14:textId="625BBA34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 xml:space="preserve">ABSORBOVANÁ </w:t>
            </w:r>
            <w:r w:rsidR="003E6091" w:rsidRPr="00C04354">
              <w:rPr>
                <w:rFonts w:ascii="Times New Roman" w:hAnsi="Times New Roman"/>
                <w:b/>
                <w:szCs w:val="22"/>
                <w:lang w:val="sk-SK"/>
              </w:rPr>
              <w:t xml:space="preserve">DÁVKA NA </w:t>
            </w:r>
            <w:r w:rsidR="00E50541" w:rsidRPr="00C04354">
              <w:rPr>
                <w:rFonts w:ascii="Times New Roman" w:hAnsi="Times New Roman"/>
                <w:b/>
                <w:szCs w:val="22"/>
                <w:lang w:val="sk-SK"/>
              </w:rPr>
              <w:t>JEDNOTKOU PODANEJ RÁDIOAKTIVITY (</w:t>
            </w:r>
            <w:proofErr w:type="spellStart"/>
            <w:r w:rsidR="00E50541" w:rsidRPr="00C04354">
              <w:rPr>
                <w:rFonts w:ascii="Times New Roman" w:hAnsi="Times New Roman"/>
                <w:b/>
                <w:szCs w:val="22"/>
                <w:lang w:val="sk-SK"/>
              </w:rPr>
              <w:t>mGy</w:t>
            </w:r>
            <w:proofErr w:type="spellEnd"/>
            <w:r w:rsidR="00E50541" w:rsidRPr="00C04354">
              <w:rPr>
                <w:rFonts w:ascii="Times New Roman" w:hAnsi="Times New Roman"/>
                <w:b/>
                <w:szCs w:val="22"/>
                <w:lang w:val="sk-SK"/>
              </w:rPr>
              <w:t>/</w:t>
            </w:r>
            <w:proofErr w:type="spellStart"/>
            <w:r w:rsidR="00E50541" w:rsidRPr="00C04354">
              <w:rPr>
                <w:rFonts w:ascii="Times New Roman" w:hAnsi="Times New Roman"/>
                <w:b/>
                <w:szCs w:val="22"/>
                <w:lang w:val="sk-SK"/>
              </w:rPr>
              <w:t>MBq</w:t>
            </w:r>
            <w:proofErr w:type="spellEnd"/>
            <w:r w:rsidR="00E50541" w:rsidRPr="00C04354">
              <w:rPr>
                <w:rFonts w:ascii="Times New Roman" w:hAnsi="Times New Roman"/>
                <w:b/>
                <w:szCs w:val="22"/>
                <w:lang w:val="sk-SK"/>
              </w:rPr>
              <w:t xml:space="preserve">) </w:t>
            </w:r>
          </w:p>
        </w:tc>
      </w:tr>
      <w:tr w:rsidR="00196DF1" w:rsidRPr="00C04354" w14:paraId="711F3D44" w14:textId="77777777" w:rsidTr="00E70F9D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6F1F9C" w14:textId="77777777" w:rsidR="00710FA9" w:rsidRPr="00042B48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Orgán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C4996" w14:textId="77777777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Dospelý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D5E2" w14:textId="77777777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15 rokov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D2980" w14:textId="77777777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10 rokov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DEAA3" w14:textId="77777777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5 rokov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4E8F78EF" w14:textId="77777777" w:rsidR="00710FA9" w:rsidRPr="00C04354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1 rok</w:t>
            </w:r>
          </w:p>
        </w:tc>
      </w:tr>
      <w:tr w:rsidR="00196DF1" w:rsidRPr="00C04354" w14:paraId="38BD6898" w14:textId="77777777" w:rsidTr="00E70F9D">
        <w:trPr>
          <w:cantSplit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7E4EBD" w14:textId="77777777" w:rsidR="00710FA9" w:rsidRPr="00042B48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Nadobličky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F9E5F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B8A0F" w14:textId="7403426A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C62B4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3539B" w14:textId="3C17E16E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27CB2E56" w14:textId="7B301BCA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0,071</w:t>
            </w:r>
          </w:p>
        </w:tc>
      </w:tr>
      <w:tr w:rsidR="003E6091" w:rsidRPr="00C04354" w14:paraId="4134D1B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5625068" w14:textId="7FA7049F" w:rsidR="00710FA9" w:rsidRPr="00C04354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M</w:t>
            </w:r>
            <w:r w:rsidR="00710FA9" w:rsidRPr="00042B48">
              <w:rPr>
                <w:rFonts w:ascii="Times New Roman" w:hAnsi="Times New Roman"/>
                <w:szCs w:val="22"/>
                <w:lang w:val="sk-SK"/>
              </w:rPr>
              <w:t>očov</w:t>
            </w:r>
            <w:r w:rsidRPr="00042B48">
              <w:rPr>
                <w:rFonts w:ascii="Times New Roman" w:hAnsi="Times New Roman"/>
                <w:szCs w:val="22"/>
                <w:lang w:val="sk-SK"/>
              </w:rPr>
              <w:t>ý</w:t>
            </w:r>
            <w:r w:rsidR="00710FA9" w:rsidRPr="00042B48">
              <w:rPr>
                <w:rFonts w:ascii="Times New Roman" w:hAnsi="Times New Roman"/>
                <w:szCs w:val="22"/>
                <w:lang w:val="sk-SK"/>
              </w:rPr>
              <w:t xml:space="preserve"> mechúr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B380AC" w14:textId="45694BDC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C069F" w14:textId="739019C0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76EE2E" w14:textId="7A38CAFD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C549E" w14:textId="6FD05002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A671F9E" w14:textId="259A3F8F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0,470</w:t>
            </w:r>
          </w:p>
        </w:tc>
      </w:tr>
      <w:tr w:rsidR="00196DF1" w:rsidRPr="00C04354" w14:paraId="334D23B9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25ECAE7" w14:textId="77777777" w:rsidR="00710FA9" w:rsidRPr="00042B48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Povrch kostí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9ABCD6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4B2B12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01666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281E1F" w14:textId="29851AE8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01867A6" w14:textId="7265F478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0,064</w:t>
            </w:r>
          </w:p>
        </w:tc>
      </w:tr>
      <w:tr w:rsidR="00196DF1" w:rsidRPr="00C04354" w14:paraId="4B10CEE7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603092" w14:textId="77777777" w:rsidR="00710FA9" w:rsidRPr="00042B48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Mozog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42C00" w14:textId="4C6096A8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88E979" w14:textId="308076A3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7188E5" w14:textId="4B540941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9D8D09" w14:textId="71F3EBBC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23875EE" w14:textId="35A7856E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0,063</w:t>
            </w:r>
          </w:p>
        </w:tc>
      </w:tr>
      <w:tr w:rsidR="00196DF1" w:rsidRPr="00C04354" w14:paraId="32A635D4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EDE4A89" w14:textId="77777777" w:rsidR="00710FA9" w:rsidRPr="00042B48" w:rsidRDefault="00710FA9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Prsia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DE59B7" w14:textId="76B6A9CB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48331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C9D41B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DAD977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7D572E9" w14:textId="77777777" w:rsidR="00710FA9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0,056</w:t>
            </w:r>
          </w:p>
        </w:tc>
      </w:tr>
      <w:tr w:rsidR="003E6091" w:rsidRPr="00C04354" w14:paraId="1FEA740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D6BD00C" w14:textId="589CD2F8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Žlčník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192185" w14:textId="1356689C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27B7E6" w14:textId="74F7ED74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C69819" w14:textId="665D719A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C5AAA3" w14:textId="29DC0188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82FE17E" w14:textId="7833770D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477E4E" w:rsidRPr="00C04354" w14:paraId="5CC43FFF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072989A" w14:textId="77777777" w:rsidR="00477E4E" w:rsidRPr="00C04354" w:rsidRDefault="00683577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4354">
              <w:rPr>
                <w:rFonts w:ascii="Times New Roman" w:hAnsi="Times New Roman"/>
                <w:szCs w:val="22"/>
                <w:lang w:val="sk-SK"/>
              </w:rPr>
              <w:t>Gastroinstestinálny</w:t>
            </w:r>
            <w:proofErr w:type="spellEnd"/>
            <w:r w:rsidRPr="00C04354">
              <w:rPr>
                <w:rFonts w:ascii="Times New Roman" w:hAnsi="Times New Roman"/>
                <w:szCs w:val="22"/>
                <w:lang w:val="sk-SK"/>
              </w:rPr>
              <w:t xml:space="preserve"> trakt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4EDD0" w14:textId="77777777" w:rsidR="00477E4E" w:rsidRPr="00C04354" w:rsidRDefault="00477E4E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4224D" w14:textId="77777777" w:rsidR="00477E4E" w:rsidRPr="00C04354" w:rsidRDefault="00477E4E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4ABD5" w14:textId="77777777" w:rsidR="00477E4E" w:rsidRPr="00C04354" w:rsidRDefault="00477E4E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0C546" w14:textId="77777777" w:rsidR="00477E4E" w:rsidRPr="00C04354" w:rsidRDefault="00477E4E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56CDF6E" w14:textId="77777777" w:rsidR="00477E4E" w:rsidRPr="00C04354" w:rsidRDefault="00477E4E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3E6091" w:rsidRPr="00C04354" w14:paraId="48EFE96A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FD80CF3" w14:textId="696B13D9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Žalúdok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75B505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AE6CA4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8A91AB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03088B" w14:textId="4BE55BD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6B718D" w14:textId="390182E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0,067</w:t>
            </w:r>
          </w:p>
        </w:tc>
      </w:tr>
      <w:tr w:rsidR="00196DF1" w:rsidRPr="00C04354" w14:paraId="175ED16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6DA7461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Tenké črevo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F8427" w14:textId="0A06AC9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DC0FB" w14:textId="3D16B3FB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913DEB" w14:textId="2B036958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0126F5" w14:textId="3CED218C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C403C87" w14:textId="702CC3C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0,073</w:t>
            </w:r>
          </w:p>
        </w:tc>
      </w:tr>
      <w:tr w:rsidR="00196DF1" w:rsidRPr="00C04354" w14:paraId="7D718ADC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B930A8C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Hrubé črevo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0858F4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9560B" w14:textId="005EE9C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76AFD3" w14:textId="543A69C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440499" w14:textId="5FF7E66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2713E57" w14:textId="444E1A96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3E6091" w:rsidRPr="00C04354" w14:paraId="27924886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7E9127C" w14:textId="684FC101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Horná časť hrubéh</w:t>
            </w:r>
            <w:r w:rsidRPr="00042B48">
              <w:rPr>
                <w:rFonts w:ascii="Times New Roman" w:hAnsi="Times New Roman"/>
                <w:szCs w:val="22"/>
                <w:lang w:val="sk-SK"/>
              </w:rPr>
              <w:t>o čreva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6DC91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F85F05" w14:textId="56AC215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62336F" w14:textId="24873E74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5C0364" w14:textId="73739EB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EFAD38A" w14:textId="359BA8C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3E6091" w:rsidRPr="00C04354" w14:paraId="0ECE35C3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1F50C08" w14:textId="1B786DDF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Dolná časť hrubého čreva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DB5019" w14:textId="761BD4B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9C839C" w14:textId="24BC15A6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71B7CF" w14:textId="5E97386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A56C9E" w14:textId="6A5AA81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544E33C" w14:textId="32F080A8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0,070</w:t>
            </w:r>
          </w:p>
        </w:tc>
      </w:tr>
      <w:tr w:rsidR="00196DF1" w:rsidRPr="00C04354" w14:paraId="3D931533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7F13FD3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A4E28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051976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EC845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45B10C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DA5D2C1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196DF1" w:rsidRPr="00C04354" w14:paraId="4B7C7AEE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EA10C42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Srdce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02BCD" w14:textId="4F848D3D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7D198F" w14:textId="2B2B3FB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A64BB" w14:textId="35373DAC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07356B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D9941C2" w14:textId="2345B73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0,380</w:t>
            </w:r>
          </w:p>
        </w:tc>
      </w:tr>
      <w:tr w:rsidR="00196DF1" w:rsidRPr="00C04354" w14:paraId="47E1ADD6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184D2EF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Obličky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CBF76" w14:textId="4491A61F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6A0B41" w14:textId="229ECC8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E8571" w14:textId="4118312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22F2B" w14:textId="5822792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6286CC6" w14:textId="3D8F0B7C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0,078</w:t>
            </w:r>
          </w:p>
        </w:tc>
      </w:tr>
      <w:tr w:rsidR="00196DF1" w:rsidRPr="00C04354" w14:paraId="5B773005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7D6D6A4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Pečeň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51AA2" w14:textId="33B87BF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B9684" w14:textId="4778D6D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99FB60" w14:textId="01D62E8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D7F45" w14:textId="10C49F28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2185B66" w14:textId="621A836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0,120</w:t>
            </w:r>
          </w:p>
        </w:tc>
      </w:tr>
      <w:tr w:rsidR="00196DF1" w:rsidRPr="00C04354" w14:paraId="6E150D1C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7A131A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Pľúca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3B7369" w14:textId="2E2F9D9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C74801" w14:textId="73BCC8BF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2256E" w14:textId="2C6E380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02C95A" w14:textId="1B67588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F333BF" w14:textId="66BB140B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0,120</w:t>
            </w:r>
          </w:p>
        </w:tc>
      </w:tr>
      <w:tr w:rsidR="00196DF1" w:rsidRPr="00C04354" w14:paraId="430FCCC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8A4EC80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Sval</w:t>
            </w:r>
            <w:r w:rsidRPr="00042B48">
              <w:rPr>
                <w:rFonts w:ascii="Times New Roman" w:hAnsi="Times New Roman"/>
                <w:szCs w:val="22"/>
                <w:lang w:val="sk-SK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11B1C2" w14:textId="31FCD944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D2F5B" w14:textId="4C27D56D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6E5B4C" w14:textId="2F339AA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B15703" w14:textId="69BFD8C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163F738" w14:textId="7FEBE5F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0,062</w:t>
            </w:r>
          </w:p>
        </w:tc>
      </w:tr>
      <w:tr w:rsidR="00196DF1" w:rsidRPr="00C04354" w14:paraId="07558FDD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02EBE70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C9C9D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210948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DC542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352DFF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132723F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196DF1" w:rsidRPr="00C04354" w14:paraId="3EDF71B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87CD4DE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Pažerák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FF4E35" w14:textId="17E1295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682BBC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29506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FBFD31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2D1DDC" w14:textId="33FCB45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C04354" w14:paraId="3960892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D1954F1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lang w:val="sk-SK"/>
              </w:rPr>
              <w:t>Vaječníky</w:t>
            </w:r>
            <w:r w:rsidRPr="00042B48" w:rsidDel="00FE398B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C5985" w14:textId="009E77F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33774" w14:textId="5A6D383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534BF6" w14:textId="2B11742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95E8B8" w14:textId="57A13AD4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00DB834" w14:textId="5F5AC83B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0,076</w:t>
            </w:r>
          </w:p>
        </w:tc>
      </w:tr>
      <w:tr w:rsidR="00196DF1" w:rsidRPr="00C04354" w14:paraId="52023EFB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77B0E23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Pankreas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DA348C" w14:textId="38C06AE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EC4EA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5079F" w14:textId="48D125B6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22499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C32C026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0,076</w:t>
            </w:r>
          </w:p>
        </w:tc>
      </w:tr>
      <w:tr w:rsidR="003E6091" w:rsidRPr="00C04354" w14:paraId="7B9F24EF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3B370078" w14:textId="1AA08725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4354">
              <w:rPr>
                <w:rFonts w:ascii="Times New Roman" w:hAnsi="Times New Roman"/>
                <w:szCs w:val="22"/>
                <w:lang w:val="sk-SK"/>
              </w:rPr>
              <w:t>Ćervená</w:t>
            </w:r>
            <w:proofErr w:type="spellEnd"/>
            <w:r w:rsidRPr="00C04354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3E6091" w:rsidRPr="00042B48">
              <w:rPr>
                <w:rFonts w:ascii="Times New Roman" w:hAnsi="Times New Roman"/>
                <w:szCs w:val="22"/>
                <w:lang w:val="sk-SK"/>
              </w:rPr>
              <w:t xml:space="preserve">kostná </w:t>
            </w:r>
            <w:r w:rsidR="00E50541" w:rsidRPr="00042B48">
              <w:rPr>
                <w:rFonts w:ascii="Times New Roman" w:hAnsi="Times New Roman"/>
                <w:szCs w:val="22"/>
                <w:lang w:val="sk-SK"/>
              </w:rPr>
              <w:t>dreň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9DAE7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FAB8F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95460B" w14:textId="1B6D499F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CFD91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88A142" w14:textId="4AAE0E8F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0,059</w:t>
            </w:r>
          </w:p>
        </w:tc>
      </w:tr>
      <w:tr w:rsidR="00196DF1" w:rsidRPr="00C04354" w14:paraId="7591C7D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358DB5D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Koža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E4400D" w14:textId="12716DD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79EE38" w14:textId="248F0462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B4965C" w14:textId="1DA7D714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93438" w14:textId="4AF2EBF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255184A" w14:textId="64522F9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0,050</w:t>
            </w:r>
          </w:p>
        </w:tc>
      </w:tr>
      <w:tr w:rsidR="00196DF1" w:rsidRPr="00C04354" w14:paraId="73A35171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74AB7D35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F43D3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09F350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7E8B4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37146A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316FAE1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196DF1" w:rsidRPr="00C04354" w14:paraId="4B408D28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B7855BC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Slezina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7DE68A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1FC6C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D8F3B" w14:textId="3FF80EF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C95AA" w14:textId="2A63F20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9F65C53" w14:textId="5748C28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C04354" w14:paraId="5F095A26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674096F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Semenníky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A88E5" w14:textId="1D5B493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27B0E" w14:textId="5213FE0C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794F7" w14:textId="6405E800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DA8925" w14:textId="51A2397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6CC19E0" w14:textId="57827E0A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C04354" w14:paraId="0BAD85FC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4D4515B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C04354">
              <w:rPr>
                <w:rFonts w:ascii="Times New Roman" w:hAnsi="Times New Roman"/>
                <w:szCs w:val="22"/>
                <w:lang w:val="sk-SK"/>
              </w:rPr>
              <w:t>Thymus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1B299" w14:textId="442A253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6D8DAB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E0BD27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C54773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F52EF27" w14:textId="1FE38CAC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0,066</w:t>
            </w:r>
          </w:p>
        </w:tc>
      </w:tr>
      <w:tr w:rsidR="00196DF1" w:rsidRPr="00C04354" w14:paraId="014FCCC7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1AF9CDB8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Štítna žľaza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55D605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07747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CA334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3DD583" w14:textId="7798717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C34D157" w14:textId="2E458094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0,065</w:t>
            </w:r>
          </w:p>
        </w:tc>
      </w:tr>
      <w:tr w:rsidR="00196DF1" w:rsidRPr="00C04354" w14:paraId="33DD3A8E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D6F9D6C" w14:textId="77777777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Maternica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F71BBD" w14:textId="3B6276F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F00F6E" w14:textId="4B7AF3B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8CCCDA" w14:textId="46E3A0D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9B6B29" w14:textId="259E6C9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46AE4EE" w14:textId="49B99D53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0,090</w:t>
            </w:r>
          </w:p>
        </w:tc>
      </w:tr>
      <w:tr w:rsidR="00196DF1" w:rsidRPr="00C04354" w14:paraId="7D89043F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91C26FD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083BD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9ABC9C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26312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DF7E6F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1023A71" w14:textId="77777777" w:rsidR="0041098F" w:rsidRPr="00C04354" w:rsidRDefault="0041098F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</w:tr>
      <w:tr w:rsidR="003E6091" w:rsidRPr="00C04354" w14:paraId="7B96FF20" w14:textId="77777777" w:rsidTr="00E70F9D">
        <w:trPr>
          <w:cantSplit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0C74E731" w14:textId="70D54E45" w:rsidR="0041098F" w:rsidRPr="00042B48" w:rsidRDefault="0041098F">
            <w:pPr>
              <w:pStyle w:val="Zkladntext3"/>
              <w:ind w:left="360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Zostávajúce orgány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D5F17A" w14:textId="42289418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9DDBBE" w14:textId="29C62D45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03DCC5" w14:textId="32C36DA9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3935C0" w14:textId="0E52ABB6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8CFEBD5" w14:textId="14922B41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szCs w:val="22"/>
                <w:lang w:val="sk-SK"/>
              </w:rPr>
              <w:t>0,064</w:t>
            </w:r>
          </w:p>
        </w:tc>
      </w:tr>
      <w:tr w:rsidR="003E6091" w:rsidRPr="00C04354" w14:paraId="3DC7FF1F" w14:textId="77777777" w:rsidTr="00E70F9D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A08" w14:textId="469210B0" w:rsidR="0041098F" w:rsidRPr="00C04354" w:rsidRDefault="003E6091" w:rsidP="00196DF1">
            <w:pPr>
              <w:pStyle w:val="Zkladntext3"/>
              <w:ind w:left="360"/>
              <w:jc w:val="left"/>
              <w:rPr>
                <w:rFonts w:ascii="Times New Roman" w:hAnsi="Times New Roman"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 xml:space="preserve">ÚČINNÁ </w:t>
            </w:r>
            <w:r w:rsidR="0041098F" w:rsidRPr="00042B48">
              <w:rPr>
                <w:rFonts w:ascii="Times New Roman" w:hAnsi="Times New Roman"/>
                <w:b/>
                <w:szCs w:val="22"/>
                <w:lang w:val="sk-SK"/>
              </w:rPr>
              <w:t>DÁVKA (</w:t>
            </w:r>
            <w:proofErr w:type="spellStart"/>
            <w:r w:rsidR="0041098F" w:rsidRPr="00042B48">
              <w:rPr>
                <w:rFonts w:ascii="Times New Roman" w:hAnsi="Times New Roman"/>
                <w:b/>
                <w:szCs w:val="22"/>
                <w:lang w:val="sk-SK"/>
              </w:rPr>
              <w:t>mSv</w:t>
            </w:r>
            <w:proofErr w:type="spellEnd"/>
            <w:r w:rsidR="0041098F" w:rsidRPr="00042B48">
              <w:rPr>
                <w:rFonts w:ascii="Times New Roman" w:hAnsi="Times New Roman"/>
                <w:b/>
                <w:szCs w:val="22"/>
                <w:lang w:val="sk-SK"/>
              </w:rPr>
              <w:t>/</w:t>
            </w:r>
            <w:proofErr w:type="spellStart"/>
            <w:r w:rsidR="0041098F" w:rsidRPr="00042B48">
              <w:rPr>
                <w:rFonts w:ascii="Times New Roman" w:hAnsi="Times New Roman"/>
                <w:b/>
                <w:szCs w:val="22"/>
                <w:lang w:val="sk-SK"/>
              </w:rPr>
              <w:t>MBq</w:t>
            </w:r>
            <w:proofErr w:type="spellEnd"/>
            <w:r w:rsidR="0041098F" w:rsidRPr="00042B48">
              <w:rPr>
                <w:rFonts w:ascii="Times New Roman" w:hAnsi="Times New Roman"/>
                <w:b/>
                <w:szCs w:val="22"/>
                <w:lang w:val="sk-SK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E950A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0,019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87C45" w14:textId="6C9712F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0,024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44286" w14:textId="7AC0790E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0,037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8F868" w14:textId="44F105BF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0,056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E6C93" w14:textId="77777777" w:rsidR="0041098F" w:rsidRPr="00C04354" w:rsidRDefault="00E50541">
            <w:pPr>
              <w:pStyle w:val="Zkladntext3"/>
              <w:ind w:left="36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C04354">
              <w:rPr>
                <w:rFonts w:ascii="Times New Roman" w:hAnsi="Times New Roman"/>
                <w:b/>
                <w:szCs w:val="22"/>
                <w:lang w:val="sk-SK"/>
              </w:rPr>
              <w:t>0,095</w:t>
            </w:r>
          </w:p>
        </w:tc>
      </w:tr>
    </w:tbl>
    <w:p w14:paraId="3C93192F" w14:textId="77777777" w:rsidR="00786071" w:rsidRPr="00C04354" w:rsidRDefault="00786071" w:rsidP="00EE5AB9">
      <w:pPr>
        <w:pStyle w:val="Zkladntext3"/>
        <w:ind w:left="360"/>
        <w:jc w:val="left"/>
        <w:rPr>
          <w:rFonts w:ascii="Times New Roman" w:hAnsi="Times New Roman"/>
          <w:szCs w:val="22"/>
          <w:lang w:val="sk-SK"/>
        </w:rPr>
      </w:pPr>
    </w:p>
    <w:p w14:paraId="723A0081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36324C4D" w14:textId="75853E99" w:rsidR="00786071" w:rsidRPr="00C04354" w:rsidRDefault="003E609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proofErr w:type="spellStart"/>
      <w:r w:rsidRPr="00C04354">
        <w:rPr>
          <w:rFonts w:ascii="Times New Roman" w:hAnsi="Times New Roman"/>
          <w:szCs w:val="22"/>
          <w:lang w:val="sk-SK"/>
        </w:rPr>
        <w:t>Účinna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</w:t>
      </w:r>
      <w:r w:rsidR="00710FA9" w:rsidRPr="00C04354">
        <w:rPr>
          <w:rFonts w:ascii="Times New Roman" w:hAnsi="Times New Roman"/>
          <w:szCs w:val="22"/>
          <w:lang w:val="sk-SK"/>
        </w:rPr>
        <w:t xml:space="preserve">dávka pre </w:t>
      </w:r>
      <w:r w:rsidR="00E50541" w:rsidRPr="00C04354">
        <w:rPr>
          <w:rFonts w:ascii="Times New Roman" w:hAnsi="Times New Roman"/>
          <w:szCs w:val="22"/>
          <w:lang w:val="sk-SK"/>
        </w:rPr>
        <w:t xml:space="preserve">po podaní maximálnej odporúčanej aktivity 400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MBq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fludeoxyglukózy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(</w:t>
      </w:r>
      <w:r w:rsidR="00E50541" w:rsidRPr="00C04354">
        <w:rPr>
          <w:rFonts w:ascii="Times New Roman" w:hAnsi="Times New Roman"/>
          <w:szCs w:val="22"/>
          <w:vertAlign w:val="superscript"/>
          <w:lang w:val="sk-SK"/>
        </w:rPr>
        <w:t>18</w:t>
      </w:r>
      <w:r w:rsidR="00E50541" w:rsidRPr="00C04354">
        <w:rPr>
          <w:rFonts w:ascii="Times New Roman" w:hAnsi="Times New Roman"/>
          <w:szCs w:val="22"/>
          <w:lang w:val="sk-SK"/>
        </w:rPr>
        <w:t xml:space="preserve">F) je okolo 7,6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mSv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pre dospelého s hmotnosťou 70 kg.</w:t>
      </w:r>
    </w:p>
    <w:p w14:paraId="42A5EE21" w14:textId="77777777" w:rsidR="00786071" w:rsidRPr="00C04354" w:rsidRDefault="00786071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</w:p>
    <w:p w14:paraId="72AD3EC1" w14:textId="65A62F9A" w:rsidR="00786071" w:rsidRPr="00C04354" w:rsidRDefault="00710FA9" w:rsidP="00EE5AB9">
      <w:pPr>
        <w:pStyle w:val="Zkladntext3"/>
        <w:jc w:val="lef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 xml:space="preserve">Pre </w:t>
      </w:r>
      <w:r w:rsidR="0041098F" w:rsidRPr="00C04354">
        <w:rPr>
          <w:rFonts w:ascii="Times New Roman" w:hAnsi="Times New Roman"/>
          <w:szCs w:val="22"/>
          <w:lang w:val="sk-SK"/>
        </w:rPr>
        <w:t xml:space="preserve">podanú </w:t>
      </w:r>
      <w:r w:rsidRPr="00C04354">
        <w:rPr>
          <w:rFonts w:ascii="Times New Roman" w:hAnsi="Times New Roman"/>
          <w:szCs w:val="22"/>
          <w:lang w:val="sk-SK"/>
        </w:rPr>
        <w:t xml:space="preserve">aktivitu 400 </w:t>
      </w:r>
      <w:proofErr w:type="spellStart"/>
      <w:r w:rsidRPr="00C04354">
        <w:rPr>
          <w:rFonts w:ascii="Times New Roman" w:hAnsi="Times New Roman"/>
          <w:szCs w:val="22"/>
          <w:lang w:val="sk-SK"/>
        </w:rPr>
        <w:t>MBq</w:t>
      </w:r>
      <w:proofErr w:type="spellEnd"/>
      <w:r w:rsidRPr="00C04354">
        <w:rPr>
          <w:rFonts w:ascii="Times New Roman" w:hAnsi="Times New Roman"/>
          <w:szCs w:val="22"/>
          <w:lang w:val="sk-SK"/>
        </w:rPr>
        <w:t xml:space="preserve"> sú </w:t>
      </w:r>
      <w:r w:rsidR="00E50541" w:rsidRPr="00C04354">
        <w:rPr>
          <w:rFonts w:ascii="Times New Roman" w:hAnsi="Times New Roman"/>
          <w:szCs w:val="22"/>
          <w:lang w:val="sk-SK"/>
        </w:rPr>
        <w:t xml:space="preserve">typické dávky žiarenia do kritických orgánov 52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mGy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pre močový mechúr, 27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mGy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pre srdce a 15 </w:t>
      </w:r>
      <w:proofErr w:type="spellStart"/>
      <w:r w:rsidR="00E50541" w:rsidRPr="00C04354">
        <w:rPr>
          <w:rFonts w:ascii="Times New Roman" w:hAnsi="Times New Roman"/>
          <w:szCs w:val="22"/>
          <w:lang w:val="sk-SK"/>
        </w:rPr>
        <w:t>mGy</w:t>
      </w:r>
      <w:proofErr w:type="spellEnd"/>
      <w:r w:rsidR="00E50541" w:rsidRPr="00C04354">
        <w:rPr>
          <w:rFonts w:ascii="Times New Roman" w:hAnsi="Times New Roman"/>
          <w:szCs w:val="22"/>
          <w:lang w:val="sk-SK"/>
        </w:rPr>
        <w:t xml:space="preserve"> pre mozog</w:t>
      </w:r>
      <w:r w:rsidR="003E6091" w:rsidRPr="00C04354">
        <w:rPr>
          <w:rFonts w:ascii="Times New Roman" w:hAnsi="Times New Roman"/>
          <w:szCs w:val="22"/>
          <w:lang w:val="sk-SK"/>
        </w:rPr>
        <w:t>.</w:t>
      </w:r>
    </w:p>
    <w:p w14:paraId="7B4D58FD" w14:textId="77777777" w:rsidR="00786071" w:rsidRPr="00C04354" w:rsidRDefault="00786071" w:rsidP="00EE5AB9">
      <w:pPr>
        <w:pStyle w:val="Pta"/>
        <w:tabs>
          <w:tab w:val="clear" w:pos="4536"/>
          <w:tab w:val="clear" w:pos="9072"/>
        </w:tabs>
        <w:ind w:left="360"/>
        <w:rPr>
          <w:sz w:val="22"/>
          <w:szCs w:val="22"/>
          <w:lang w:val="sk-SK"/>
        </w:rPr>
      </w:pPr>
    </w:p>
    <w:p w14:paraId="615BCAE2" w14:textId="77777777" w:rsidR="00710FA9" w:rsidRPr="00C04354" w:rsidRDefault="00710FA9" w:rsidP="00927787">
      <w:pPr>
        <w:rPr>
          <w:sz w:val="22"/>
          <w:szCs w:val="22"/>
          <w:lang w:val="sk-SK"/>
        </w:rPr>
      </w:pPr>
    </w:p>
    <w:p w14:paraId="60603B80" w14:textId="77777777" w:rsidR="00381E39" w:rsidRDefault="00381E39" w:rsidP="00EE5AB9">
      <w:pPr>
        <w:pStyle w:val="Default"/>
        <w:ind w:left="560" w:hanging="56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br w:type="page"/>
      </w:r>
    </w:p>
    <w:p w14:paraId="19832C60" w14:textId="3A83765A" w:rsidR="00786071" w:rsidRPr="00C04354" w:rsidRDefault="00E50541" w:rsidP="00EE5AB9">
      <w:pPr>
        <w:pStyle w:val="Default"/>
        <w:ind w:left="560" w:hanging="560"/>
        <w:rPr>
          <w:sz w:val="22"/>
          <w:szCs w:val="22"/>
          <w:lang w:val="sk-SK"/>
        </w:rPr>
      </w:pPr>
      <w:bookmarkStart w:id="1" w:name="_GoBack"/>
      <w:bookmarkEnd w:id="1"/>
      <w:r w:rsidRPr="00C04354">
        <w:rPr>
          <w:b/>
          <w:sz w:val="22"/>
          <w:szCs w:val="22"/>
          <w:lang w:val="sk-SK"/>
        </w:rPr>
        <w:lastRenderedPageBreak/>
        <w:t>12.</w:t>
      </w:r>
      <w:r w:rsidRPr="00C04354">
        <w:rPr>
          <w:b/>
          <w:sz w:val="22"/>
          <w:szCs w:val="22"/>
          <w:lang w:val="sk-SK"/>
        </w:rPr>
        <w:tab/>
      </w:r>
      <w:r w:rsidR="005B5809" w:rsidRPr="00C04354">
        <w:rPr>
          <w:b/>
          <w:sz w:val="22"/>
          <w:szCs w:val="22"/>
          <w:lang w:val="sk-SK"/>
        </w:rPr>
        <w:t xml:space="preserve">POKYNY </w:t>
      </w:r>
      <w:r w:rsidR="00710FA9" w:rsidRPr="00C04354">
        <w:rPr>
          <w:b/>
          <w:sz w:val="22"/>
          <w:szCs w:val="22"/>
          <w:lang w:val="sk-SK"/>
        </w:rPr>
        <w:t xml:space="preserve">NA PRÍPRAVU </w:t>
      </w:r>
      <w:proofErr w:type="spellStart"/>
      <w:r w:rsidR="00710FA9" w:rsidRPr="00C04354">
        <w:rPr>
          <w:b/>
          <w:sz w:val="22"/>
          <w:szCs w:val="22"/>
          <w:lang w:val="sk-SK"/>
        </w:rPr>
        <w:t>RÁDIOFARMÁK</w:t>
      </w:r>
      <w:proofErr w:type="spellEnd"/>
    </w:p>
    <w:p w14:paraId="584A2468" w14:textId="77777777" w:rsidR="00786071" w:rsidRPr="00C04354" w:rsidRDefault="00786071" w:rsidP="00EE5AB9">
      <w:pPr>
        <w:pStyle w:val="Default"/>
        <w:rPr>
          <w:sz w:val="22"/>
          <w:szCs w:val="22"/>
          <w:lang w:val="sk-SK"/>
        </w:rPr>
      </w:pPr>
    </w:p>
    <w:p w14:paraId="60FB6839" w14:textId="0DA34E18" w:rsidR="00710FA9" w:rsidRPr="00C04354" w:rsidRDefault="00E50541" w:rsidP="00927787">
      <w:pPr>
        <w:rPr>
          <w:sz w:val="22"/>
          <w:szCs w:val="22"/>
          <w:u w:val="single"/>
          <w:lang w:val="sk-SK"/>
        </w:rPr>
      </w:pPr>
      <w:r w:rsidRPr="00C04354">
        <w:rPr>
          <w:sz w:val="22"/>
          <w:szCs w:val="22"/>
          <w:u w:val="single"/>
          <w:lang w:val="sk-SK"/>
        </w:rPr>
        <w:t>Spôsob prípravy</w:t>
      </w:r>
    </w:p>
    <w:p w14:paraId="2AE0540C" w14:textId="617FA1CC" w:rsidR="003E6091" w:rsidRPr="00C04354" w:rsidRDefault="00E50541" w:rsidP="00927787">
      <w:pPr>
        <w:autoSpaceDE w:val="0"/>
        <w:autoSpaceDN w:val="0"/>
        <w:adjustRightInd w:val="0"/>
        <w:rPr>
          <w:rFonts w:eastAsia="TimesNewRomanPSMT"/>
          <w:sz w:val="22"/>
          <w:lang w:val="sk-SK"/>
        </w:rPr>
      </w:pPr>
      <w:r w:rsidRPr="00C04354">
        <w:rPr>
          <w:rFonts w:eastAsia="TimesNewRomanPSMT"/>
          <w:snapToGrid/>
          <w:sz w:val="22"/>
          <w:szCs w:val="22"/>
          <w:lang w:val="sk-SK" w:eastAsia="sk-SK"/>
        </w:rPr>
        <w:t>Pred použitím je potrebné balenie skontrolovať a aktivita má byť patričným spôsobom zmeraná dávkovým kalibrátorom.</w:t>
      </w:r>
      <w:r w:rsidR="0094114B" w:rsidRPr="00C04354">
        <w:rPr>
          <w:rFonts w:eastAsia="TimesNewRomanPSMT"/>
          <w:snapToGrid/>
          <w:szCs w:val="22"/>
          <w:lang w:val="sk-SK" w:eastAsia="sk-SK"/>
        </w:rPr>
        <w:t xml:space="preserve"> </w:t>
      </w:r>
      <w:r w:rsidR="003E6091" w:rsidRPr="00C04354">
        <w:rPr>
          <w:rFonts w:eastAsia="TimesNewRomanPSMT"/>
          <w:snapToGrid/>
          <w:szCs w:val="22"/>
          <w:lang w:val="sk-SK" w:eastAsia="sk-SK"/>
        </w:rPr>
        <w:t>Odbery</w:t>
      </w:r>
      <w:r w:rsidR="003E6091" w:rsidRPr="00C04354">
        <w:rPr>
          <w:rFonts w:eastAsia="TimesNewRomanPSMT"/>
          <w:szCs w:val="22"/>
          <w:lang w:val="sk-SK"/>
        </w:rPr>
        <w:t xml:space="preserve"> sa </w:t>
      </w:r>
      <w:r w:rsidRPr="00C04354">
        <w:rPr>
          <w:rFonts w:eastAsia="TimesNewRomanPSMT"/>
          <w:snapToGrid/>
          <w:szCs w:val="22"/>
          <w:lang w:val="sk-SK" w:eastAsia="sk-SK"/>
        </w:rPr>
        <w:t>majú vykonávať</w:t>
      </w:r>
      <w:r w:rsidRPr="00C04354">
        <w:rPr>
          <w:rFonts w:eastAsia="TimesNewRomanPSMT"/>
          <w:szCs w:val="22"/>
          <w:lang w:val="sk-SK"/>
        </w:rPr>
        <w:t xml:space="preserve"> za aseptických podmienok. </w:t>
      </w:r>
      <w:r w:rsidRPr="00C04354">
        <w:rPr>
          <w:rFonts w:eastAsia="TimesNewRomanPSMT"/>
          <w:snapToGrid/>
          <w:szCs w:val="22"/>
          <w:lang w:val="sk-SK" w:eastAsia="sk-SK"/>
        </w:rPr>
        <w:t>Liekovky</w:t>
      </w:r>
      <w:r w:rsidRPr="00C04354">
        <w:rPr>
          <w:rFonts w:eastAsia="TimesNewRomanPSMT"/>
          <w:szCs w:val="22"/>
          <w:lang w:val="sk-SK"/>
        </w:rPr>
        <w:t xml:space="preserve"> sa nesmú </w:t>
      </w:r>
      <w:r w:rsidR="003E6091" w:rsidRPr="00C04354">
        <w:rPr>
          <w:rFonts w:eastAsia="TimesNewRomanPSMT"/>
          <w:snapToGrid/>
          <w:szCs w:val="22"/>
          <w:lang w:val="sk-SK" w:eastAsia="sk-SK"/>
        </w:rPr>
        <w:t>otvárať pred dezinfekciou</w:t>
      </w:r>
      <w:r w:rsidR="0094114B" w:rsidRPr="00C04354">
        <w:rPr>
          <w:rFonts w:eastAsia="TimesNewRomanPSMT"/>
          <w:szCs w:val="22"/>
          <w:lang w:val="sk-SK"/>
        </w:rPr>
        <w:t xml:space="preserve"> </w:t>
      </w:r>
      <w:r w:rsidR="003E6091" w:rsidRPr="00C04354">
        <w:rPr>
          <w:rFonts w:eastAsia="TimesNewRomanPSMT"/>
          <w:szCs w:val="22"/>
          <w:lang w:val="sk-SK"/>
        </w:rPr>
        <w:t>zátky</w:t>
      </w:r>
      <w:r w:rsidRPr="00C04354">
        <w:rPr>
          <w:rFonts w:eastAsia="TimesNewRomanPSMT"/>
          <w:snapToGrid/>
          <w:szCs w:val="22"/>
          <w:lang w:val="sk-SK" w:eastAsia="sk-SK"/>
        </w:rPr>
        <w:t xml:space="preserve"> liekovky. Roztok</w:t>
      </w:r>
      <w:r w:rsidRPr="00C04354">
        <w:rPr>
          <w:rFonts w:eastAsia="TimesNewRomanPSMT"/>
          <w:szCs w:val="22"/>
          <w:lang w:val="sk-SK"/>
        </w:rPr>
        <w:t xml:space="preserve"> sa </w:t>
      </w:r>
      <w:r w:rsidRPr="00C04354">
        <w:rPr>
          <w:rFonts w:eastAsia="TimesNewRomanPSMT"/>
          <w:snapToGrid/>
          <w:szCs w:val="22"/>
          <w:lang w:val="sk-SK" w:eastAsia="sk-SK"/>
        </w:rPr>
        <w:t>má odoberať</w:t>
      </w:r>
      <w:r w:rsidRPr="00C04354">
        <w:rPr>
          <w:rFonts w:eastAsia="TimesNewRomanPSMT"/>
          <w:szCs w:val="22"/>
          <w:lang w:val="sk-SK"/>
        </w:rPr>
        <w:t xml:space="preserve"> cez zátku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>pomocou jednorazových injekčných striekačiek vybavených</w:t>
      </w:r>
      <w:r w:rsidRPr="00C04354">
        <w:rPr>
          <w:rFonts w:eastAsia="TimesNewRomanPSMT"/>
          <w:sz w:val="22"/>
          <w:lang w:val="sk-SK"/>
        </w:rPr>
        <w:t xml:space="preserve"> ochranným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>odtienením</w:t>
      </w:r>
      <w:r w:rsidRPr="00C04354">
        <w:rPr>
          <w:rFonts w:eastAsia="TimesNewRomanPSMT"/>
          <w:sz w:val="22"/>
          <w:lang w:val="sk-SK"/>
        </w:rPr>
        <w:t xml:space="preserve"> a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 xml:space="preserve"> jednorazovou </w:t>
      </w:r>
      <w:r w:rsidRPr="00C04354">
        <w:rPr>
          <w:rFonts w:eastAsia="TimesNewRomanPSMT"/>
          <w:sz w:val="22"/>
          <w:lang w:val="sk-SK"/>
        </w:rPr>
        <w:t xml:space="preserve">sterilnou ihlou </w:t>
      </w:r>
      <w:r w:rsidRPr="00C04354">
        <w:rPr>
          <w:rFonts w:eastAsia="TimesNewRomanPSMT"/>
          <w:snapToGrid/>
          <w:sz w:val="22"/>
          <w:szCs w:val="22"/>
          <w:lang w:val="sk-SK" w:eastAsia="sk-SK"/>
        </w:rPr>
        <w:t>alebo pomocou schváleného automatizovaného aplikačného systému</w:t>
      </w:r>
      <w:r w:rsidRPr="00C04354">
        <w:rPr>
          <w:rFonts w:eastAsia="TimesNewRomanPSMT"/>
          <w:sz w:val="22"/>
          <w:lang w:val="sk-SK"/>
        </w:rPr>
        <w:t>.</w:t>
      </w:r>
    </w:p>
    <w:p w14:paraId="7B050CF9" w14:textId="77777777" w:rsidR="00786071" w:rsidRPr="00C04354" w:rsidRDefault="00786071">
      <w:pPr>
        <w:rPr>
          <w:rFonts w:eastAsia="TimesNewRomanPSMT"/>
          <w:snapToGrid/>
          <w:sz w:val="22"/>
          <w:szCs w:val="22"/>
          <w:lang w:val="sk-SK" w:eastAsia="sk-SK"/>
        </w:rPr>
      </w:pPr>
    </w:p>
    <w:p w14:paraId="0BCFAAA4" w14:textId="77777777" w:rsidR="00786071" w:rsidRPr="00C04354" w:rsidRDefault="00E50541">
      <w:pPr>
        <w:rPr>
          <w:sz w:val="22"/>
          <w:szCs w:val="22"/>
          <w:lang w:val="sk-SK"/>
        </w:rPr>
      </w:pPr>
      <w:r w:rsidRPr="00C04354">
        <w:rPr>
          <w:rFonts w:eastAsia="TimesNewRomanPSMT"/>
          <w:snapToGrid/>
          <w:sz w:val="22"/>
          <w:szCs w:val="22"/>
          <w:lang w:val="sk-SK" w:eastAsia="sk-SK"/>
        </w:rPr>
        <w:t>Ak je celistvosť liekovky porušená, produkt sa nesmie použiť.</w:t>
      </w:r>
    </w:p>
    <w:p w14:paraId="38D2048F" w14:textId="77777777" w:rsidR="00786071" w:rsidRPr="00C04354" w:rsidRDefault="00786071" w:rsidP="00EE5AB9">
      <w:pPr>
        <w:rPr>
          <w:sz w:val="22"/>
          <w:szCs w:val="22"/>
          <w:lang w:val="sk-SK"/>
        </w:rPr>
      </w:pPr>
    </w:p>
    <w:p w14:paraId="6C05B784" w14:textId="786F0950" w:rsidR="00786071" w:rsidRPr="00C04354" w:rsidRDefault="00E50541" w:rsidP="00EE5AB9">
      <w:pPr>
        <w:pStyle w:val="Zkladntext"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Liek sa môže rozriediť s injekčným roztokom 9 mg/ml chloridu sodného.</w:t>
      </w:r>
    </w:p>
    <w:p w14:paraId="325E2D6D" w14:textId="77777777" w:rsidR="00786071" w:rsidRPr="00C04354" w:rsidRDefault="00786071" w:rsidP="00EE5AB9">
      <w:pPr>
        <w:rPr>
          <w:sz w:val="22"/>
          <w:szCs w:val="22"/>
          <w:lang w:val="sk-SK"/>
        </w:rPr>
      </w:pPr>
    </w:p>
    <w:p w14:paraId="62018CC8" w14:textId="77777777" w:rsidR="00786071" w:rsidRPr="00C04354" w:rsidRDefault="00E50541" w:rsidP="00EE5AB9">
      <w:pPr>
        <w:keepNext/>
        <w:rPr>
          <w:sz w:val="22"/>
          <w:szCs w:val="22"/>
          <w:u w:val="single"/>
          <w:lang w:val="sk-SK"/>
        </w:rPr>
      </w:pPr>
      <w:r w:rsidRPr="00C04354">
        <w:rPr>
          <w:sz w:val="22"/>
          <w:szCs w:val="22"/>
          <w:u w:val="single"/>
          <w:lang w:val="sk-SK"/>
        </w:rPr>
        <w:t>Kontrola kvality</w:t>
      </w:r>
    </w:p>
    <w:p w14:paraId="7082BADB" w14:textId="6A048B95" w:rsidR="00786071" w:rsidRPr="00C04354" w:rsidRDefault="00E50541" w:rsidP="00EE5AB9">
      <w:pPr>
        <w:pStyle w:val="Zkladntext"/>
        <w:keepNext/>
        <w:rPr>
          <w:rFonts w:ascii="Times New Roman" w:hAnsi="Times New Roman"/>
          <w:szCs w:val="22"/>
          <w:lang w:val="sk-SK"/>
        </w:rPr>
      </w:pPr>
      <w:r w:rsidRPr="00C04354">
        <w:rPr>
          <w:rFonts w:ascii="Times New Roman" w:hAnsi="Times New Roman"/>
          <w:szCs w:val="22"/>
          <w:lang w:val="sk-SK"/>
        </w:rPr>
        <w:t>Roztok sa pred použitím musí vizuálne skontrolovať. Mal by sa použiť len priehľadný roztok bez prítomnosti viditeľných častíc.</w:t>
      </w:r>
    </w:p>
    <w:p w14:paraId="62475A78" w14:textId="77777777" w:rsidR="00786071" w:rsidRPr="00C04354" w:rsidRDefault="00786071" w:rsidP="00EE5AB9">
      <w:pPr>
        <w:pStyle w:val="Default"/>
        <w:rPr>
          <w:sz w:val="22"/>
          <w:szCs w:val="22"/>
          <w:lang w:val="sk-SK"/>
        </w:rPr>
      </w:pPr>
    </w:p>
    <w:p w14:paraId="07ED6D69" w14:textId="77777777" w:rsidR="00710FA9" w:rsidRPr="00C04354" w:rsidRDefault="00710FA9" w:rsidP="00927787">
      <w:pPr>
        <w:rPr>
          <w:sz w:val="22"/>
          <w:szCs w:val="22"/>
          <w:lang w:val="sk-SK"/>
        </w:rPr>
      </w:pPr>
    </w:p>
    <w:sectPr w:rsidR="00710FA9" w:rsidRPr="00C04354" w:rsidSect="00E50541">
      <w:pgSz w:w="11906" w:h="16838"/>
      <w:pgMar w:top="1418" w:right="1134" w:bottom="1418" w:left="144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58F381" w15:done="0"/>
  <w15:commentEx w15:paraId="288266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CB43E" w14:textId="77777777" w:rsidR="00164E76" w:rsidRDefault="00164E76">
      <w:r>
        <w:separator/>
      </w:r>
    </w:p>
  </w:endnote>
  <w:endnote w:type="continuationSeparator" w:id="0">
    <w:p w14:paraId="314931CB" w14:textId="77777777" w:rsidR="00164E76" w:rsidRDefault="00164E76">
      <w:r>
        <w:continuationSeparator/>
      </w:r>
    </w:p>
  </w:endnote>
  <w:endnote w:type="continuationNotice" w:id="1">
    <w:p w14:paraId="2CE3E286" w14:textId="77777777" w:rsidR="00164E76" w:rsidRDefault="00164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8B6C4" w14:textId="77777777" w:rsidR="00F65149" w:rsidRDefault="00F65149">
    <w:pPr>
      <w:pStyle w:val="Pta"/>
      <w:framePr w:wrap="around" w:vAnchor="text" w:hAnchor="margin" w:xAlign="right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separate"/>
    </w:r>
    <w:r>
      <w:rPr>
        <w:rStyle w:val="slostrany"/>
        <w:noProof/>
        <w:szCs w:val="24"/>
      </w:rPr>
      <w:t>11</w:t>
    </w:r>
    <w:r>
      <w:rPr>
        <w:rStyle w:val="slostrany"/>
        <w:szCs w:val="24"/>
      </w:rPr>
      <w:fldChar w:fldCharType="end"/>
    </w:r>
  </w:p>
  <w:p w14:paraId="3D385458" w14:textId="77777777" w:rsidR="00F65149" w:rsidRDefault="00F65149">
    <w:pPr>
      <w:pStyle w:val="Pt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21F73" w14:textId="7E728545" w:rsidR="00F65149" w:rsidRPr="00FE790A" w:rsidRDefault="00F65149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FE790A">
      <w:rPr>
        <w:rStyle w:val="slostrany"/>
        <w:sz w:val="18"/>
        <w:szCs w:val="18"/>
      </w:rPr>
      <w:fldChar w:fldCharType="begin"/>
    </w:r>
    <w:r w:rsidRPr="00FE790A">
      <w:rPr>
        <w:rStyle w:val="slostrany"/>
        <w:sz w:val="18"/>
        <w:szCs w:val="18"/>
      </w:rPr>
      <w:instrText xml:space="preserve">PAGE  </w:instrText>
    </w:r>
    <w:r w:rsidRPr="00FE790A">
      <w:rPr>
        <w:rStyle w:val="slostrany"/>
        <w:sz w:val="18"/>
        <w:szCs w:val="18"/>
      </w:rPr>
      <w:fldChar w:fldCharType="separate"/>
    </w:r>
    <w:r w:rsidR="00381E39">
      <w:rPr>
        <w:rStyle w:val="slostrany"/>
        <w:noProof/>
        <w:sz w:val="18"/>
        <w:szCs w:val="18"/>
      </w:rPr>
      <w:t>11</w:t>
    </w:r>
    <w:r w:rsidRPr="00FE790A">
      <w:rPr>
        <w:rStyle w:val="slostrany"/>
        <w:sz w:val="18"/>
        <w:szCs w:val="18"/>
      </w:rPr>
      <w:fldChar w:fldCharType="end"/>
    </w:r>
  </w:p>
  <w:p w14:paraId="579D3F84" w14:textId="14AC9AF0" w:rsidR="00F65149" w:rsidRPr="00FE790A" w:rsidRDefault="00F65149">
    <w:pPr>
      <w:pStyle w:val="Pt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AE15F" w14:textId="77777777" w:rsidR="00164E76" w:rsidRDefault="00164E76">
      <w:r>
        <w:separator/>
      </w:r>
    </w:p>
  </w:footnote>
  <w:footnote w:type="continuationSeparator" w:id="0">
    <w:p w14:paraId="1EA7CCF7" w14:textId="77777777" w:rsidR="00164E76" w:rsidRDefault="00164E76">
      <w:r>
        <w:continuationSeparator/>
      </w:r>
    </w:p>
  </w:footnote>
  <w:footnote w:type="continuationNotice" w:id="1">
    <w:p w14:paraId="04B2098B" w14:textId="77777777" w:rsidR="00164E76" w:rsidRDefault="00164E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E9C99" w14:textId="566716E6" w:rsidR="00AB3D3A" w:rsidRPr="00381E39" w:rsidRDefault="00AB3D3A" w:rsidP="00AB3D3A">
    <w:pPr>
      <w:pStyle w:val="Hlavika"/>
      <w:rPr>
        <w:sz w:val="18"/>
        <w:szCs w:val="18"/>
        <w:lang w:val="sk-SK"/>
      </w:rPr>
    </w:pPr>
    <w:r w:rsidRPr="00381E39">
      <w:rPr>
        <w:sz w:val="18"/>
        <w:szCs w:val="18"/>
        <w:lang w:val="sk-SK"/>
      </w:rPr>
      <w:t xml:space="preserve">Schválený text k rozhodnutiu o prevode, </w:t>
    </w:r>
    <w:proofErr w:type="spellStart"/>
    <w:r w:rsidRPr="00381E39">
      <w:rPr>
        <w:sz w:val="18"/>
        <w:szCs w:val="18"/>
        <w:lang w:val="sk-SK"/>
      </w:rPr>
      <w:t>evid.č</w:t>
    </w:r>
    <w:proofErr w:type="spellEnd"/>
    <w:r w:rsidRPr="00381E39">
      <w:rPr>
        <w:sz w:val="18"/>
        <w:szCs w:val="18"/>
        <w:lang w:val="sk-SK"/>
      </w:rPr>
      <w:t>.: 2018/</w:t>
    </w:r>
    <w:proofErr w:type="spellStart"/>
    <w:r w:rsidRPr="00381E39">
      <w:rPr>
        <w:sz w:val="18"/>
        <w:szCs w:val="18"/>
        <w:lang w:val="sk-SK"/>
      </w:rPr>
      <w:t>01617-TR</w:t>
    </w:r>
    <w:proofErr w:type="spellEnd"/>
  </w:p>
  <w:p w14:paraId="6358BF92" w14:textId="77777777" w:rsidR="00AB3D3A" w:rsidRPr="00381E39" w:rsidRDefault="00AB3D3A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9358F" w14:textId="77777777" w:rsidR="00F65149" w:rsidRDefault="00F65149" w:rsidP="00940CCE">
    <w:pPr>
      <w:pStyle w:val="Hlavika"/>
      <w:rPr>
        <w:sz w:val="18"/>
        <w:szCs w:val="18"/>
        <w:lang w:val="sk-SK"/>
      </w:rPr>
    </w:pPr>
    <w:r w:rsidRPr="00AB30BF">
      <w:rPr>
        <w:sz w:val="18"/>
        <w:szCs w:val="18"/>
        <w:lang w:val="sk-SK"/>
      </w:rPr>
      <w:t xml:space="preserve">Schválený text k rozhodnutiu o predĺžení, </w:t>
    </w:r>
    <w:proofErr w:type="spellStart"/>
    <w:r w:rsidRPr="00AB30BF">
      <w:rPr>
        <w:sz w:val="18"/>
        <w:szCs w:val="18"/>
        <w:lang w:val="sk-SK"/>
      </w:rPr>
      <w:t>ev.č</w:t>
    </w:r>
    <w:proofErr w:type="spellEnd"/>
    <w:r w:rsidRPr="00AB30BF">
      <w:rPr>
        <w:sz w:val="18"/>
        <w:szCs w:val="18"/>
        <w:lang w:val="sk-SK"/>
      </w:rPr>
      <w:t>.: 2012/</w:t>
    </w:r>
    <w:proofErr w:type="spellStart"/>
    <w:r w:rsidRPr="00AB30BF">
      <w:rPr>
        <w:sz w:val="18"/>
        <w:szCs w:val="18"/>
        <w:lang w:val="sk-SK"/>
      </w:rPr>
      <w:t>04111-PRE</w:t>
    </w:r>
    <w:proofErr w:type="spellEnd"/>
    <w:r>
      <w:rPr>
        <w:sz w:val="18"/>
        <w:szCs w:val="18"/>
        <w:lang w:val="sk-SK"/>
      </w:rPr>
      <w:t xml:space="preserve"> </w:t>
    </w:r>
  </w:p>
  <w:p w14:paraId="1AD872C3" w14:textId="77777777" w:rsidR="00F65149" w:rsidRDefault="00F65149" w:rsidP="00940CCE">
    <w:pPr>
      <w:pStyle w:val="Hlavika"/>
      <w:rPr>
        <w:sz w:val="18"/>
        <w:szCs w:val="18"/>
      </w:rPr>
    </w:pPr>
    <w:r>
      <w:rPr>
        <w:sz w:val="18"/>
        <w:szCs w:val="18"/>
        <w:lang w:val="sk-SK"/>
      </w:rPr>
      <w:t xml:space="preserve">Schválený text k rozhodnutiu o zmene, </w:t>
    </w:r>
    <w:proofErr w:type="spell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</w:t>
    </w:r>
    <w:r>
      <w:rPr>
        <w:lang w:val="sk-SK"/>
      </w:rPr>
      <w:t xml:space="preserve"> </w:t>
    </w:r>
    <w:r>
      <w:rPr>
        <w:sz w:val="18"/>
        <w:szCs w:val="18"/>
        <w:lang w:val="sk-SK"/>
      </w:rPr>
      <w:t>2011/</w:t>
    </w:r>
    <w:proofErr w:type="spellStart"/>
    <w:r>
      <w:rPr>
        <w:sz w:val="18"/>
        <w:szCs w:val="18"/>
        <w:lang w:val="sk-SK"/>
      </w:rPr>
      <w:t>04975-ZME</w:t>
    </w:r>
    <w:proofErr w:type="spellEnd"/>
  </w:p>
  <w:p w14:paraId="7CB76513" w14:textId="77777777" w:rsidR="00F65149" w:rsidRPr="00EE5AB9" w:rsidRDefault="00F65149" w:rsidP="00940CCE">
    <w:pPr>
      <w:pStyle w:val="Hlavika"/>
      <w:rPr>
        <w:sz w:val="18"/>
        <w:szCs w:val="18"/>
      </w:rPr>
    </w:pPr>
    <w:proofErr w:type="spellStart"/>
    <w:r w:rsidRPr="00701CE1">
      <w:rPr>
        <w:sz w:val="18"/>
        <w:szCs w:val="18"/>
      </w:rPr>
      <w:t>Príloha</w:t>
    </w:r>
    <w:proofErr w:type="spellEnd"/>
    <w:r w:rsidRPr="00701CE1">
      <w:rPr>
        <w:sz w:val="18"/>
        <w:szCs w:val="18"/>
      </w:rPr>
      <w:t xml:space="preserve"> č. 1 k </w:t>
    </w:r>
    <w:proofErr w:type="spellStart"/>
    <w:r w:rsidRPr="00701CE1">
      <w:rPr>
        <w:sz w:val="18"/>
        <w:szCs w:val="18"/>
      </w:rPr>
      <w:t>notifikácii</w:t>
    </w:r>
    <w:proofErr w:type="spellEnd"/>
    <w:r w:rsidRPr="00701CE1">
      <w:rPr>
        <w:sz w:val="18"/>
        <w:szCs w:val="18"/>
      </w:rPr>
      <w:t xml:space="preserve"> o </w:t>
    </w:r>
    <w:proofErr w:type="spellStart"/>
    <w:r w:rsidRPr="00701CE1">
      <w:rPr>
        <w:sz w:val="18"/>
        <w:szCs w:val="18"/>
      </w:rPr>
      <w:t>zmene</w:t>
    </w:r>
    <w:proofErr w:type="spellEnd"/>
    <w:r w:rsidRPr="00701CE1">
      <w:rPr>
        <w:sz w:val="18"/>
        <w:szCs w:val="18"/>
      </w:rPr>
      <w:t xml:space="preserve">, </w:t>
    </w:r>
    <w:proofErr w:type="spellStart"/>
    <w:proofErr w:type="gramStart"/>
    <w:r w:rsidRPr="00701CE1">
      <w:rPr>
        <w:sz w:val="18"/>
        <w:szCs w:val="18"/>
      </w:rPr>
      <w:t>ev.č</w:t>
    </w:r>
    <w:proofErr w:type="spellEnd"/>
    <w:r w:rsidRPr="00701CE1">
      <w:rPr>
        <w:sz w:val="18"/>
        <w:szCs w:val="18"/>
      </w:rPr>
      <w:t>.:</w:t>
    </w:r>
    <w:proofErr w:type="gramEnd"/>
    <w:r w:rsidRPr="00701CE1">
      <w:rPr>
        <w:sz w:val="18"/>
        <w:szCs w:val="18"/>
      </w:rPr>
      <w:t xml:space="preserve"> 2011/02496-</w:t>
    </w:r>
    <w:proofErr w:type="spellStart"/>
    <w:r w:rsidRPr="00701CE1">
      <w:rPr>
        <w:sz w:val="18"/>
        <w:szCs w:val="18"/>
      </w:rPr>
      <w:t>ZIB</w:t>
    </w:r>
    <w:proofErr w:type="spellEnd"/>
    <w:r>
      <w:rPr>
        <w:sz w:val="18"/>
        <w:szCs w:val="18"/>
      </w:rPr>
      <w:t>, 2014/00330-</w:t>
    </w:r>
    <w:proofErr w:type="spellStart"/>
    <w:r>
      <w:rPr>
        <w:sz w:val="18"/>
        <w:szCs w:val="18"/>
      </w:rPr>
      <w:t>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F9B"/>
    <w:multiLevelType w:val="multilevel"/>
    <w:tmpl w:val="B6B6D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3B7D2F"/>
    <w:multiLevelType w:val="singleLevel"/>
    <w:tmpl w:val="16AC36E4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FA35600"/>
    <w:multiLevelType w:val="multilevel"/>
    <w:tmpl w:val="F6667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</w:abstractNum>
  <w:abstractNum w:abstractNumId="3">
    <w:nsid w:val="245C26C2"/>
    <w:multiLevelType w:val="hybridMultilevel"/>
    <w:tmpl w:val="3B467994"/>
    <w:lvl w:ilvl="0" w:tplc="776CD8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20735"/>
    <w:multiLevelType w:val="multilevel"/>
    <w:tmpl w:val="727A1F3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899545C"/>
    <w:multiLevelType w:val="singleLevel"/>
    <w:tmpl w:val="426A37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6">
    <w:nsid w:val="499226A0"/>
    <w:multiLevelType w:val="hybridMultilevel"/>
    <w:tmpl w:val="B6F20278"/>
    <w:lvl w:ilvl="0" w:tplc="214246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01EEC"/>
    <w:multiLevelType w:val="multilevel"/>
    <w:tmpl w:val="45509288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57BD27EF"/>
    <w:multiLevelType w:val="multilevel"/>
    <w:tmpl w:val="727A1F3C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5F4D6341"/>
    <w:multiLevelType w:val="singleLevel"/>
    <w:tmpl w:val="482655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</w:rPr>
    </w:lvl>
  </w:abstractNum>
  <w:abstractNum w:abstractNumId="10">
    <w:nsid w:val="657463EA"/>
    <w:multiLevelType w:val="multilevel"/>
    <w:tmpl w:val="F6667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nker Pharma">
    <w15:presenceInfo w15:providerId="None" w15:userId="Brinker Phar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30"/>
    <w:rsid w:val="00000243"/>
    <w:rsid w:val="00001C0A"/>
    <w:rsid w:val="000028EC"/>
    <w:rsid w:val="00003B3A"/>
    <w:rsid w:val="00011189"/>
    <w:rsid w:val="00014852"/>
    <w:rsid w:val="00020AFC"/>
    <w:rsid w:val="000252AB"/>
    <w:rsid w:val="00027469"/>
    <w:rsid w:val="00031102"/>
    <w:rsid w:val="00037F65"/>
    <w:rsid w:val="00040322"/>
    <w:rsid w:val="000422C8"/>
    <w:rsid w:val="00042B48"/>
    <w:rsid w:val="00047D16"/>
    <w:rsid w:val="00050E48"/>
    <w:rsid w:val="0006228F"/>
    <w:rsid w:val="00065C86"/>
    <w:rsid w:val="000679B5"/>
    <w:rsid w:val="000729B4"/>
    <w:rsid w:val="000754EE"/>
    <w:rsid w:val="000867E2"/>
    <w:rsid w:val="00087F25"/>
    <w:rsid w:val="00097629"/>
    <w:rsid w:val="000A2BEF"/>
    <w:rsid w:val="000B480A"/>
    <w:rsid w:val="000B7AEE"/>
    <w:rsid w:val="000C044C"/>
    <w:rsid w:val="000C12EC"/>
    <w:rsid w:val="000E50C9"/>
    <w:rsid w:val="000E75E2"/>
    <w:rsid w:val="000E76A4"/>
    <w:rsid w:val="000F74E8"/>
    <w:rsid w:val="000F7C63"/>
    <w:rsid w:val="00105C38"/>
    <w:rsid w:val="001170B3"/>
    <w:rsid w:val="00117C84"/>
    <w:rsid w:val="0012247D"/>
    <w:rsid w:val="00124430"/>
    <w:rsid w:val="00130E89"/>
    <w:rsid w:val="0016112C"/>
    <w:rsid w:val="0016153E"/>
    <w:rsid w:val="00163266"/>
    <w:rsid w:val="00164E76"/>
    <w:rsid w:val="00166D41"/>
    <w:rsid w:val="0017376A"/>
    <w:rsid w:val="00187CFE"/>
    <w:rsid w:val="00196DF1"/>
    <w:rsid w:val="00197632"/>
    <w:rsid w:val="00197D37"/>
    <w:rsid w:val="001A1F18"/>
    <w:rsid w:val="001A5EB5"/>
    <w:rsid w:val="001C0C41"/>
    <w:rsid w:val="001C0F30"/>
    <w:rsid w:val="001E1601"/>
    <w:rsid w:val="001E46E1"/>
    <w:rsid w:val="001E4A53"/>
    <w:rsid w:val="001E737A"/>
    <w:rsid w:val="00203D08"/>
    <w:rsid w:val="002306DC"/>
    <w:rsid w:val="002378C3"/>
    <w:rsid w:val="002408A1"/>
    <w:rsid w:val="00245ACC"/>
    <w:rsid w:val="0025044E"/>
    <w:rsid w:val="002516AE"/>
    <w:rsid w:val="002602D8"/>
    <w:rsid w:val="00261C48"/>
    <w:rsid w:val="0026657D"/>
    <w:rsid w:val="00273F70"/>
    <w:rsid w:val="002746A2"/>
    <w:rsid w:val="00281E5E"/>
    <w:rsid w:val="00283764"/>
    <w:rsid w:val="00284FEA"/>
    <w:rsid w:val="00285645"/>
    <w:rsid w:val="0029007D"/>
    <w:rsid w:val="00293BC1"/>
    <w:rsid w:val="0029730E"/>
    <w:rsid w:val="002A764E"/>
    <w:rsid w:val="002B04D2"/>
    <w:rsid w:val="002C0808"/>
    <w:rsid w:val="002C2D0A"/>
    <w:rsid w:val="002D1E32"/>
    <w:rsid w:val="002D3242"/>
    <w:rsid w:val="002D69BE"/>
    <w:rsid w:val="002E08F7"/>
    <w:rsid w:val="00301151"/>
    <w:rsid w:val="00302B99"/>
    <w:rsid w:val="00305960"/>
    <w:rsid w:val="00313D1F"/>
    <w:rsid w:val="00315FD5"/>
    <w:rsid w:val="00320975"/>
    <w:rsid w:val="00321F65"/>
    <w:rsid w:val="00323AFC"/>
    <w:rsid w:val="0032433B"/>
    <w:rsid w:val="003244C3"/>
    <w:rsid w:val="00334C4A"/>
    <w:rsid w:val="00341BD3"/>
    <w:rsid w:val="0034504E"/>
    <w:rsid w:val="0035242B"/>
    <w:rsid w:val="00352955"/>
    <w:rsid w:val="003545A6"/>
    <w:rsid w:val="00366888"/>
    <w:rsid w:val="00380AD0"/>
    <w:rsid w:val="00381E39"/>
    <w:rsid w:val="00384BAD"/>
    <w:rsid w:val="00385FD9"/>
    <w:rsid w:val="00396F19"/>
    <w:rsid w:val="003B34D5"/>
    <w:rsid w:val="003C07C2"/>
    <w:rsid w:val="003C4DF1"/>
    <w:rsid w:val="003D3C8D"/>
    <w:rsid w:val="003D4255"/>
    <w:rsid w:val="003D6560"/>
    <w:rsid w:val="003D6FEF"/>
    <w:rsid w:val="003E1F09"/>
    <w:rsid w:val="003E6091"/>
    <w:rsid w:val="00403170"/>
    <w:rsid w:val="0040382B"/>
    <w:rsid w:val="00406018"/>
    <w:rsid w:val="0041098F"/>
    <w:rsid w:val="004151CD"/>
    <w:rsid w:val="00425A3E"/>
    <w:rsid w:val="004261A4"/>
    <w:rsid w:val="004301CB"/>
    <w:rsid w:val="00443EE4"/>
    <w:rsid w:val="004514F9"/>
    <w:rsid w:val="00471EF1"/>
    <w:rsid w:val="00477E4E"/>
    <w:rsid w:val="004818BE"/>
    <w:rsid w:val="00485AAC"/>
    <w:rsid w:val="004868B3"/>
    <w:rsid w:val="004972D9"/>
    <w:rsid w:val="004A5551"/>
    <w:rsid w:val="004B044C"/>
    <w:rsid w:val="004B5663"/>
    <w:rsid w:val="004C4D76"/>
    <w:rsid w:val="004D030C"/>
    <w:rsid w:val="004D4405"/>
    <w:rsid w:val="004E1866"/>
    <w:rsid w:val="004E2305"/>
    <w:rsid w:val="004E43F3"/>
    <w:rsid w:val="004F0F40"/>
    <w:rsid w:val="004F4D7B"/>
    <w:rsid w:val="004F5D54"/>
    <w:rsid w:val="00506B8A"/>
    <w:rsid w:val="005154DB"/>
    <w:rsid w:val="00516642"/>
    <w:rsid w:val="00523EE4"/>
    <w:rsid w:val="00526EBE"/>
    <w:rsid w:val="00531340"/>
    <w:rsid w:val="005315D2"/>
    <w:rsid w:val="005324E8"/>
    <w:rsid w:val="00546C38"/>
    <w:rsid w:val="005472A5"/>
    <w:rsid w:val="005514E5"/>
    <w:rsid w:val="00551D8D"/>
    <w:rsid w:val="0055514A"/>
    <w:rsid w:val="00560088"/>
    <w:rsid w:val="00560944"/>
    <w:rsid w:val="00572BE3"/>
    <w:rsid w:val="0057394F"/>
    <w:rsid w:val="00582810"/>
    <w:rsid w:val="00582FE4"/>
    <w:rsid w:val="0059085B"/>
    <w:rsid w:val="005935B9"/>
    <w:rsid w:val="005947E3"/>
    <w:rsid w:val="00596D8E"/>
    <w:rsid w:val="005A064D"/>
    <w:rsid w:val="005A4048"/>
    <w:rsid w:val="005B25E4"/>
    <w:rsid w:val="005B5809"/>
    <w:rsid w:val="005C66AC"/>
    <w:rsid w:val="005C7C28"/>
    <w:rsid w:val="005D3AA3"/>
    <w:rsid w:val="005D53FA"/>
    <w:rsid w:val="005E5F82"/>
    <w:rsid w:val="005F12BA"/>
    <w:rsid w:val="005F667E"/>
    <w:rsid w:val="005F7CFE"/>
    <w:rsid w:val="0060272C"/>
    <w:rsid w:val="006140F8"/>
    <w:rsid w:val="00617091"/>
    <w:rsid w:val="00622FD4"/>
    <w:rsid w:val="006307AC"/>
    <w:rsid w:val="00630C11"/>
    <w:rsid w:val="0066182F"/>
    <w:rsid w:val="00661E76"/>
    <w:rsid w:val="006678BA"/>
    <w:rsid w:val="00671B5A"/>
    <w:rsid w:val="00683577"/>
    <w:rsid w:val="0068489C"/>
    <w:rsid w:val="00685CD0"/>
    <w:rsid w:val="006923D9"/>
    <w:rsid w:val="006A76DE"/>
    <w:rsid w:val="006B0ED4"/>
    <w:rsid w:val="006B4144"/>
    <w:rsid w:val="006C01CB"/>
    <w:rsid w:val="006D6B1C"/>
    <w:rsid w:val="006E3AB5"/>
    <w:rsid w:val="006E46B6"/>
    <w:rsid w:val="006F1CF9"/>
    <w:rsid w:val="006F757E"/>
    <w:rsid w:val="007048A2"/>
    <w:rsid w:val="007105B2"/>
    <w:rsid w:val="00710A90"/>
    <w:rsid w:val="00710FA9"/>
    <w:rsid w:val="00713184"/>
    <w:rsid w:val="00717660"/>
    <w:rsid w:val="007202EE"/>
    <w:rsid w:val="007208B9"/>
    <w:rsid w:val="007257EE"/>
    <w:rsid w:val="00732C72"/>
    <w:rsid w:val="00734565"/>
    <w:rsid w:val="00742334"/>
    <w:rsid w:val="0074413F"/>
    <w:rsid w:val="00746AAB"/>
    <w:rsid w:val="007556D7"/>
    <w:rsid w:val="007568A2"/>
    <w:rsid w:val="00756CC5"/>
    <w:rsid w:val="007603E2"/>
    <w:rsid w:val="0076547D"/>
    <w:rsid w:val="007702B4"/>
    <w:rsid w:val="007706D4"/>
    <w:rsid w:val="00773958"/>
    <w:rsid w:val="00782536"/>
    <w:rsid w:val="00786071"/>
    <w:rsid w:val="00787564"/>
    <w:rsid w:val="00792741"/>
    <w:rsid w:val="007946DE"/>
    <w:rsid w:val="00794EF2"/>
    <w:rsid w:val="0079561B"/>
    <w:rsid w:val="00796B10"/>
    <w:rsid w:val="007A48E6"/>
    <w:rsid w:val="007A63BB"/>
    <w:rsid w:val="007B0BA6"/>
    <w:rsid w:val="007B2D7E"/>
    <w:rsid w:val="007B4A5E"/>
    <w:rsid w:val="007B5704"/>
    <w:rsid w:val="007C7959"/>
    <w:rsid w:val="007D5B04"/>
    <w:rsid w:val="007E148D"/>
    <w:rsid w:val="007E31B1"/>
    <w:rsid w:val="007E3385"/>
    <w:rsid w:val="007E4876"/>
    <w:rsid w:val="007E6C3B"/>
    <w:rsid w:val="007F03BF"/>
    <w:rsid w:val="007F3D8D"/>
    <w:rsid w:val="007F6A43"/>
    <w:rsid w:val="00801A08"/>
    <w:rsid w:val="00801DD5"/>
    <w:rsid w:val="0080618A"/>
    <w:rsid w:val="0081073D"/>
    <w:rsid w:val="00810BD0"/>
    <w:rsid w:val="008445E9"/>
    <w:rsid w:val="00847C6D"/>
    <w:rsid w:val="00860E2B"/>
    <w:rsid w:val="0086374D"/>
    <w:rsid w:val="00875694"/>
    <w:rsid w:val="008757AF"/>
    <w:rsid w:val="0087651F"/>
    <w:rsid w:val="008844A2"/>
    <w:rsid w:val="008907D1"/>
    <w:rsid w:val="00891636"/>
    <w:rsid w:val="00894138"/>
    <w:rsid w:val="008B0C81"/>
    <w:rsid w:val="008B159A"/>
    <w:rsid w:val="008B1F1E"/>
    <w:rsid w:val="008B604E"/>
    <w:rsid w:val="008B7D19"/>
    <w:rsid w:val="008C713E"/>
    <w:rsid w:val="008E2BEB"/>
    <w:rsid w:val="008E3F07"/>
    <w:rsid w:val="008E78E6"/>
    <w:rsid w:val="008F20AB"/>
    <w:rsid w:val="00910898"/>
    <w:rsid w:val="00914163"/>
    <w:rsid w:val="009156D0"/>
    <w:rsid w:val="00916DE2"/>
    <w:rsid w:val="00920B42"/>
    <w:rsid w:val="0092166E"/>
    <w:rsid w:val="0092248A"/>
    <w:rsid w:val="00927787"/>
    <w:rsid w:val="00930756"/>
    <w:rsid w:val="00940CCE"/>
    <w:rsid w:val="0094114B"/>
    <w:rsid w:val="009447EB"/>
    <w:rsid w:val="0094788F"/>
    <w:rsid w:val="0095138D"/>
    <w:rsid w:val="00951EB8"/>
    <w:rsid w:val="009760D5"/>
    <w:rsid w:val="00976872"/>
    <w:rsid w:val="00983F10"/>
    <w:rsid w:val="009844BA"/>
    <w:rsid w:val="009945BB"/>
    <w:rsid w:val="00996242"/>
    <w:rsid w:val="0099729D"/>
    <w:rsid w:val="009A022D"/>
    <w:rsid w:val="009A4167"/>
    <w:rsid w:val="009A5722"/>
    <w:rsid w:val="009A6DB1"/>
    <w:rsid w:val="009B6992"/>
    <w:rsid w:val="009C162D"/>
    <w:rsid w:val="009C6B00"/>
    <w:rsid w:val="009D1C03"/>
    <w:rsid w:val="009D2B21"/>
    <w:rsid w:val="009D342A"/>
    <w:rsid w:val="009D586B"/>
    <w:rsid w:val="009E29AC"/>
    <w:rsid w:val="009F0360"/>
    <w:rsid w:val="009F24E3"/>
    <w:rsid w:val="00A14778"/>
    <w:rsid w:val="00A2145E"/>
    <w:rsid w:val="00A239D1"/>
    <w:rsid w:val="00A24590"/>
    <w:rsid w:val="00A32E74"/>
    <w:rsid w:val="00A355A8"/>
    <w:rsid w:val="00A37893"/>
    <w:rsid w:val="00A37BA1"/>
    <w:rsid w:val="00A40A9D"/>
    <w:rsid w:val="00A431C6"/>
    <w:rsid w:val="00A56AC6"/>
    <w:rsid w:val="00A62784"/>
    <w:rsid w:val="00A661CE"/>
    <w:rsid w:val="00A730F4"/>
    <w:rsid w:val="00A76A83"/>
    <w:rsid w:val="00A80490"/>
    <w:rsid w:val="00A86B7F"/>
    <w:rsid w:val="00A96B3D"/>
    <w:rsid w:val="00AA0498"/>
    <w:rsid w:val="00AA3C8D"/>
    <w:rsid w:val="00AA6420"/>
    <w:rsid w:val="00AB3D3A"/>
    <w:rsid w:val="00AB5423"/>
    <w:rsid w:val="00AC2656"/>
    <w:rsid w:val="00AC7445"/>
    <w:rsid w:val="00AD2AA0"/>
    <w:rsid w:val="00AE2C84"/>
    <w:rsid w:val="00AF0379"/>
    <w:rsid w:val="00B100AB"/>
    <w:rsid w:val="00B1274A"/>
    <w:rsid w:val="00B15F4F"/>
    <w:rsid w:val="00B20962"/>
    <w:rsid w:val="00B271ED"/>
    <w:rsid w:val="00B27BC7"/>
    <w:rsid w:val="00B34A63"/>
    <w:rsid w:val="00B45E2D"/>
    <w:rsid w:val="00B4759F"/>
    <w:rsid w:val="00B506A5"/>
    <w:rsid w:val="00B531AF"/>
    <w:rsid w:val="00B54C73"/>
    <w:rsid w:val="00B710B4"/>
    <w:rsid w:val="00B71BDB"/>
    <w:rsid w:val="00B95FA0"/>
    <w:rsid w:val="00BA0D35"/>
    <w:rsid w:val="00BA566D"/>
    <w:rsid w:val="00BA62D2"/>
    <w:rsid w:val="00BB7318"/>
    <w:rsid w:val="00BB7939"/>
    <w:rsid w:val="00BC35D1"/>
    <w:rsid w:val="00BC4E20"/>
    <w:rsid w:val="00BC6612"/>
    <w:rsid w:val="00BD0398"/>
    <w:rsid w:val="00BD2056"/>
    <w:rsid w:val="00BD4AAB"/>
    <w:rsid w:val="00BE2969"/>
    <w:rsid w:val="00BE4DFA"/>
    <w:rsid w:val="00BF58E7"/>
    <w:rsid w:val="00BF61CE"/>
    <w:rsid w:val="00C04354"/>
    <w:rsid w:val="00C111D1"/>
    <w:rsid w:val="00C1305A"/>
    <w:rsid w:val="00C1376B"/>
    <w:rsid w:val="00C31B3D"/>
    <w:rsid w:val="00C320B4"/>
    <w:rsid w:val="00C422A6"/>
    <w:rsid w:val="00C42464"/>
    <w:rsid w:val="00C52505"/>
    <w:rsid w:val="00C60636"/>
    <w:rsid w:val="00C65B1F"/>
    <w:rsid w:val="00C66316"/>
    <w:rsid w:val="00C756DF"/>
    <w:rsid w:val="00C779C3"/>
    <w:rsid w:val="00C8244A"/>
    <w:rsid w:val="00C93B3A"/>
    <w:rsid w:val="00C97227"/>
    <w:rsid w:val="00CA000F"/>
    <w:rsid w:val="00CC341D"/>
    <w:rsid w:val="00CC7E45"/>
    <w:rsid w:val="00CD2FA6"/>
    <w:rsid w:val="00CD55E4"/>
    <w:rsid w:val="00CE229C"/>
    <w:rsid w:val="00CE6738"/>
    <w:rsid w:val="00CE7B50"/>
    <w:rsid w:val="00CF27F5"/>
    <w:rsid w:val="00CF36F8"/>
    <w:rsid w:val="00CF421B"/>
    <w:rsid w:val="00CF4C91"/>
    <w:rsid w:val="00CF7EC2"/>
    <w:rsid w:val="00D105ED"/>
    <w:rsid w:val="00D11FD1"/>
    <w:rsid w:val="00D13D1F"/>
    <w:rsid w:val="00D2488D"/>
    <w:rsid w:val="00D274DB"/>
    <w:rsid w:val="00D27B95"/>
    <w:rsid w:val="00D30199"/>
    <w:rsid w:val="00D33FF9"/>
    <w:rsid w:val="00D344A5"/>
    <w:rsid w:val="00D351B9"/>
    <w:rsid w:val="00D36A62"/>
    <w:rsid w:val="00D4022F"/>
    <w:rsid w:val="00D51614"/>
    <w:rsid w:val="00D539B0"/>
    <w:rsid w:val="00D574C3"/>
    <w:rsid w:val="00D60222"/>
    <w:rsid w:val="00D660F9"/>
    <w:rsid w:val="00D71735"/>
    <w:rsid w:val="00D71F63"/>
    <w:rsid w:val="00D74DFF"/>
    <w:rsid w:val="00D8349E"/>
    <w:rsid w:val="00D85B30"/>
    <w:rsid w:val="00D938C0"/>
    <w:rsid w:val="00DA0BF9"/>
    <w:rsid w:val="00DA495E"/>
    <w:rsid w:val="00DB1A42"/>
    <w:rsid w:val="00DC20BD"/>
    <w:rsid w:val="00DC50F4"/>
    <w:rsid w:val="00DD5BB2"/>
    <w:rsid w:val="00DE2DBB"/>
    <w:rsid w:val="00DE491F"/>
    <w:rsid w:val="00DF2C42"/>
    <w:rsid w:val="00DF3310"/>
    <w:rsid w:val="00DF75FE"/>
    <w:rsid w:val="00E00BB5"/>
    <w:rsid w:val="00E00D6C"/>
    <w:rsid w:val="00E11706"/>
    <w:rsid w:val="00E12401"/>
    <w:rsid w:val="00E13CA7"/>
    <w:rsid w:val="00E231CC"/>
    <w:rsid w:val="00E346B5"/>
    <w:rsid w:val="00E50541"/>
    <w:rsid w:val="00E523AA"/>
    <w:rsid w:val="00E52BEC"/>
    <w:rsid w:val="00E635CF"/>
    <w:rsid w:val="00E65AEC"/>
    <w:rsid w:val="00E70F9D"/>
    <w:rsid w:val="00E71848"/>
    <w:rsid w:val="00E80F30"/>
    <w:rsid w:val="00E928D1"/>
    <w:rsid w:val="00E95D6B"/>
    <w:rsid w:val="00EA122A"/>
    <w:rsid w:val="00EA147E"/>
    <w:rsid w:val="00EA44CB"/>
    <w:rsid w:val="00EA5A51"/>
    <w:rsid w:val="00EB2840"/>
    <w:rsid w:val="00EB5B6C"/>
    <w:rsid w:val="00EB6EA4"/>
    <w:rsid w:val="00EC4104"/>
    <w:rsid w:val="00EC5E72"/>
    <w:rsid w:val="00EC7C96"/>
    <w:rsid w:val="00ED0B3B"/>
    <w:rsid w:val="00ED7AE5"/>
    <w:rsid w:val="00EE5AB9"/>
    <w:rsid w:val="00EF1447"/>
    <w:rsid w:val="00F0461F"/>
    <w:rsid w:val="00F04D87"/>
    <w:rsid w:val="00F11106"/>
    <w:rsid w:val="00F202D5"/>
    <w:rsid w:val="00F20D23"/>
    <w:rsid w:val="00F25A5E"/>
    <w:rsid w:val="00F30E40"/>
    <w:rsid w:val="00F436C6"/>
    <w:rsid w:val="00F65149"/>
    <w:rsid w:val="00F72023"/>
    <w:rsid w:val="00F736FA"/>
    <w:rsid w:val="00F77B81"/>
    <w:rsid w:val="00F816D1"/>
    <w:rsid w:val="00F83C46"/>
    <w:rsid w:val="00F90B87"/>
    <w:rsid w:val="00FA0CB5"/>
    <w:rsid w:val="00FA2E54"/>
    <w:rsid w:val="00FB229D"/>
    <w:rsid w:val="00FB469C"/>
    <w:rsid w:val="00FB51ED"/>
    <w:rsid w:val="00FE398B"/>
    <w:rsid w:val="00FE790A"/>
    <w:rsid w:val="00FF47A9"/>
    <w:rsid w:val="00FF49EB"/>
    <w:rsid w:val="00FF5E2F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688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0541"/>
    <w:rPr>
      <w:snapToGrid w:val="0"/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E50541"/>
    <w:pPr>
      <w:keepNext/>
      <w:spacing w:before="40" w:after="40"/>
      <w:outlineLvl w:val="1"/>
    </w:pPr>
    <w:rPr>
      <w:rFonts w:ascii="Arial" w:hAnsi="Arial"/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E50541"/>
    <w:pPr>
      <w:keepNext/>
      <w:ind w:left="567" w:hanging="567"/>
      <w:jc w:val="both"/>
      <w:outlineLvl w:val="2"/>
    </w:pPr>
    <w:rPr>
      <w:rFonts w:ascii="Arial" w:hAnsi="Arial"/>
      <w:sz w:val="22"/>
      <w:szCs w:val="20"/>
      <w:u w:val="single"/>
      <w:lang w:val="en-GB"/>
    </w:rPr>
  </w:style>
  <w:style w:type="paragraph" w:styleId="Nadpis4">
    <w:name w:val="heading 4"/>
    <w:basedOn w:val="Normlny"/>
    <w:next w:val="Normlny"/>
    <w:qFormat/>
    <w:rsid w:val="00E50541"/>
    <w:pPr>
      <w:keepNext/>
      <w:jc w:val="both"/>
      <w:outlineLvl w:val="3"/>
    </w:pPr>
    <w:rPr>
      <w:rFonts w:ascii="Arial" w:hAnsi="Arial"/>
      <w:sz w:val="22"/>
      <w:szCs w:val="20"/>
      <w:u w:val="single"/>
      <w:lang w:val="en-GB"/>
    </w:rPr>
  </w:style>
  <w:style w:type="paragraph" w:styleId="Nadpis5">
    <w:name w:val="heading 5"/>
    <w:basedOn w:val="Normlny"/>
    <w:next w:val="Normlny"/>
    <w:qFormat/>
    <w:rsid w:val="00E50541"/>
    <w:pPr>
      <w:keepNext/>
      <w:jc w:val="both"/>
      <w:outlineLvl w:val="4"/>
    </w:pPr>
    <w:rPr>
      <w:b/>
      <w:szCs w:val="20"/>
      <w:lang w:val="en-GB"/>
    </w:rPr>
  </w:style>
  <w:style w:type="paragraph" w:styleId="Nadpis6">
    <w:name w:val="heading 6"/>
    <w:basedOn w:val="Normlny"/>
    <w:next w:val="Normlny"/>
    <w:qFormat/>
    <w:rsid w:val="00E50541"/>
    <w:pPr>
      <w:keepNext/>
      <w:spacing w:before="40" w:after="40"/>
      <w:ind w:hanging="1"/>
      <w:jc w:val="both"/>
      <w:outlineLvl w:val="5"/>
    </w:pPr>
    <w:rPr>
      <w:szCs w:val="20"/>
      <w:u w:val="single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50541"/>
    <w:pPr>
      <w:tabs>
        <w:tab w:val="center" w:pos="4536"/>
        <w:tab w:val="right" w:pos="9072"/>
      </w:tabs>
    </w:pPr>
    <w:rPr>
      <w:szCs w:val="20"/>
    </w:rPr>
  </w:style>
  <w:style w:type="paragraph" w:customStyle="1" w:styleId="AmmAnnexeTitre1">
    <w:name w:val="AmmAnnexeTitre1"/>
    <w:basedOn w:val="Normlny"/>
    <w:next w:val="Normlny"/>
    <w:rsid w:val="00E50541"/>
    <w:pPr>
      <w:tabs>
        <w:tab w:val="left" w:pos="357"/>
      </w:tabs>
      <w:spacing w:before="240" w:after="120"/>
      <w:ind w:left="357" w:hanging="357"/>
      <w:jc w:val="both"/>
    </w:pPr>
    <w:rPr>
      <w:rFonts w:ascii="Arial" w:hAnsi="Arial"/>
      <w:b/>
      <w:caps/>
      <w:color w:val="000080"/>
      <w:sz w:val="22"/>
      <w:szCs w:val="20"/>
      <w:lang w:val="en-US"/>
    </w:rPr>
  </w:style>
  <w:style w:type="paragraph" w:styleId="Zkladntext2">
    <w:name w:val="Body Text 2"/>
    <w:basedOn w:val="Normlny"/>
    <w:rsid w:val="00E50541"/>
    <w:rPr>
      <w:rFonts w:ascii="Arial" w:hAnsi="Arial"/>
      <w:szCs w:val="20"/>
      <w:lang w:val="en-GB"/>
    </w:rPr>
  </w:style>
  <w:style w:type="paragraph" w:styleId="Zkladntext">
    <w:name w:val="Body Text"/>
    <w:basedOn w:val="Normlny"/>
    <w:rsid w:val="00E50541"/>
    <w:rPr>
      <w:rFonts w:ascii="Arial" w:hAnsi="Arial"/>
      <w:sz w:val="22"/>
      <w:szCs w:val="20"/>
      <w:lang w:val="en-GB"/>
    </w:rPr>
  </w:style>
  <w:style w:type="paragraph" w:styleId="Zkladntext3">
    <w:name w:val="Body Text 3"/>
    <w:basedOn w:val="Normlny"/>
    <w:rsid w:val="00E50541"/>
    <w:pPr>
      <w:jc w:val="both"/>
    </w:pPr>
    <w:rPr>
      <w:rFonts w:ascii="Arial" w:hAnsi="Arial"/>
      <w:sz w:val="22"/>
      <w:szCs w:val="20"/>
      <w:lang w:val="en-GB"/>
    </w:rPr>
  </w:style>
  <w:style w:type="paragraph" w:styleId="Zarkazkladnhotextu">
    <w:name w:val="Body Text Indent"/>
    <w:basedOn w:val="Normlny"/>
    <w:rsid w:val="00E50541"/>
    <w:pPr>
      <w:autoSpaceDE w:val="0"/>
      <w:autoSpaceDN w:val="0"/>
      <w:adjustRightInd w:val="0"/>
      <w:ind w:left="720"/>
    </w:pPr>
    <w:rPr>
      <w:rFonts w:ascii="Arial" w:hAnsi="Arial"/>
      <w:sz w:val="22"/>
      <w:szCs w:val="20"/>
      <w:lang w:val="en-GB"/>
    </w:rPr>
  </w:style>
  <w:style w:type="paragraph" w:styleId="Zarkazkladnhotextu2">
    <w:name w:val="Body Text Indent 2"/>
    <w:basedOn w:val="Normlny"/>
    <w:rsid w:val="00E50541"/>
    <w:pPr>
      <w:spacing w:after="120" w:line="480" w:lineRule="auto"/>
      <w:ind w:left="283"/>
    </w:pPr>
    <w:rPr>
      <w:szCs w:val="20"/>
    </w:rPr>
  </w:style>
  <w:style w:type="paragraph" w:customStyle="1" w:styleId="knZulassung02">
    <w:name w:val="knZulassung02"/>
    <w:basedOn w:val="Normlny"/>
    <w:rsid w:val="00E50541"/>
    <w:pPr>
      <w:ind w:left="1843" w:right="284"/>
    </w:pPr>
    <w:rPr>
      <w:szCs w:val="20"/>
    </w:rPr>
  </w:style>
  <w:style w:type="paragraph" w:styleId="Zarkazkladnhotextu3">
    <w:name w:val="Body Text Indent 3"/>
    <w:basedOn w:val="Normlny"/>
    <w:rsid w:val="00E50541"/>
    <w:pPr>
      <w:spacing w:before="40" w:after="40"/>
      <w:ind w:hanging="1"/>
      <w:jc w:val="both"/>
    </w:pPr>
    <w:rPr>
      <w:rFonts w:ascii="Arial" w:hAnsi="Arial"/>
      <w:sz w:val="22"/>
      <w:szCs w:val="20"/>
      <w:lang w:val="en-GB"/>
    </w:rPr>
  </w:style>
  <w:style w:type="paragraph" w:styleId="Textvysvetlivky">
    <w:name w:val="endnote text"/>
    <w:basedOn w:val="Normlny"/>
    <w:semiHidden/>
    <w:rsid w:val="00E50541"/>
    <w:pPr>
      <w:tabs>
        <w:tab w:val="left" w:pos="567"/>
      </w:tabs>
      <w:spacing w:before="120" w:after="60"/>
      <w:ind w:left="567" w:hanging="567"/>
      <w:jc w:val="both"/>
    </w:pPr>
    <w:rPr>
      <w:sz w:val="22"/>
      <w:szCs w:val="20"/>
      <w:lang w:val="en-GB"/>
    </w:rPr>
  </w:style>
  <w:style w:type="character" w:styleId="slostrany">
    <w:name w:val="page number"/>
    <w:rsid w:val="00E50541"/>
    <w:rPr>
      <w:rFonts w:cs="Times New Roman"/>
    </w:rPr>
  </w:style>
  <w:style w:type="paragraph" w:styleId="truktradokumentu">
    <w:name w:val="Document Map"/>
    <w:basedOn w:val="Normlny"/>
    <w:semiHidden/>
    <w:rsid w:val="00E50541"/>
    <w:pPr>
      <w:shd w:val="clear" w:color="auto" w:fill="000080"/>
    </w:pPr>
    <w:rPr>
      <w:sz w:val="20"/>
      <w:szCs w:val="20"/>
    </w:rPr>
  </w:style>
  <w:style w:type="paragraph" w:styleId="Hlavika">
    <w:name w:val="header"/>
    <w:basedOn w:val="Normlny"/>
    <w:link w:val="HlavikaChar"/>
    <w:rsid w:val="00E5054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0541"/>
    <w:pPr>
      <w:autoSpaceDE w:val="0"/>
      <w:autoSpaceDN w:val="0"/>
      <w:adjustRightInd w:val="0"/>
    </w:pPr>
    <w:rPr>
      <w:snapToGrid w:val="0"/>
      <w:color w:val="000000"/>
      <w:sz w:val="24"/>
      <w:szCs w:val="24"/>
      <w:lang w:eastAsia="cs-CZ"/>
    </w:rPr>
  </w:style>
  <w:style w:type="paragraph" w:styleId="Textbubliny">
    <w:name w:val="Balloon Text"/>
    <w:basedOn w:val="Normlny"/>
    <w:semiHidden/>
    <w:rsid w:val="00E50541"/>
    <w:rPr>
      <w:sz w:val="16"/>
      <w:szCs w:val="16"/>
    </w:rPr>
  </w:style>
  <w:style w:type="character" w:customStyle="1" w:styleId="tw4winMark">
    <w:name w:val="tw4winMark"/>
    <w:rsid w:val="00E5054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E50541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50541"/>
    <w:rPr>
      <w:color w:val="0000FF"/>
    </w:rPr>
  </w:style>
  <w:style w:type="character" w:customStyle="1" w:styleId="tw4winPopup">
    <w:name w:val="tw4winPopup"/>
    <w:rsid w:val="00E50541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50541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50541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50541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50541"/>
    <w:rPr>
      <w:rFonts w:ascii="Courier New" w:hAnsi="Courier New"/>
      <w:noProof/>
      <w:color w:val="800000"/>
    </w:rPr>
  </w:style>
  <w:style w:type="paragraph" w:customStyle="1" w:styleId="p4">
    <w:name w:val="p4"/>
    <w:basedOn w:val="Normlny"/>
    <w:rsid w:val="007706D4"/>
    <w:pPr>
      <w:jc w:val="center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5">
    <w:name w:val="p5"/>
    <w:basedOn w:val="Normlny"/>
    <w:rsid w:val="007706D4"/>
    <w:pPr>
      <w:jc w:val="both"/>
    </w:pPr>
    <w:rPr>
      <w:rFonts w:eastAsia="Calibri"/>
      <w:snapToGrid/>
      <w:sz w:val="17"/>
      <w:szCs w:val="17"/>
      <w:lang w:eastAsia="de-DE"/>
    </w:rPr>
  </w:style>
  <w:style w:type="paragraph" w:customStyle="1" w:styleId="p6">
    <w:name w:val="p6"/>
    <w:basedOn w:val="Normlny"/>
    <w:rsid w:val="007706D4"/>
    <w:pPr>
      <w:jc w:val="both"/>
    </w:pPr>
    <w:rPr>
      <w:rFonts w:eastAsia="Calibri"/>
      <w:snapToGrid/>
      <w:sz w:val="17"/>
      <w:szCs w:val="17"/>
      <w:lang w:eastAsia="de-DE"/>
    </w:rPr>
  </w:style>
  <w:style w:type="paragraph" w:customStyle="1" w:styleId="p8">
    <w:name w:val="p8"/>
    <w:basedOn w:val="Normlny"/>
    <w:rsid w:val="007706D4"/>
    <w:pPr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3">
    <w:name w:val="s3"/>
    <w:rsid w:val="007706D4"/>
    <w:rPr>
      <w:rFonts w:cs="Times New Roman"/>
      <w:u w:val="single"/>
    </w:rPr>
  </w:style>
  <w:style w:type="character" w:customStyle="1" w:styleId="apple-converted-space">
    <w:name w:val="apple-converted-space"/>
    <w:rsid w:val="007706D4"/>
    <w:rPr>
      <w:rFonts w:cs="Times New Roman"/>
    </w:rPr>
  </w:style>
  <w:style w:type="paragraph" w:customStyle="1" w:styleId="p9">
    <w:name w:val="p9"/>
    <w:basedOn w:val="Normlny"/>
    <w:rsid w:val="007C7959"/>
    <w:pPr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2">
    <w:name w:val="s2"/>
    <w:rsid w:val="007B0BA6"/>
    <w:rPr>
      <w:rFonts w:cs="Times New Roman"/>
      <w:color w:val="000000"/>
    </w:rPr>
  </w:style>
  <w:style w:type="character" w:styleId="Hypertextovprepojenie">
    <w:name w:val="Hyperlink"/>
    <w:rsid w:val="00281E5E"/>
    <w:rPr>
      <w:color w:val="0000FF"/>
      <w:u w:val="single"/>
    </w:rPr>
  </w:style>
  <w:style w:type="paragraph" w:customStyle="1" w:styleId="p15">
    <w:name w:val="p15"/>
    <w:basedOn w:val="Normlny"/>
    <w:rsid w:val="0041098F"/>
    <w:pPr>
      <w:jc w:val="both"/>
    </w:pPr>
    <w:rPr>
      <w:rFonts w:eastAsia="Calibri"/>
      <w:snapToGrid/>
      <w:sz w:val="17"/>
      <w:szCs w:val="17"/>
      <w:lang w:eastAsia="de-DE"/>
    </w:rPr>
  </w:style>
  <w:style w:type="character" w:styleId="Odkaznakomentr">
    <w:name w:val="annotation reference"/>
    <w:rsid w:val="001A5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5EB5"/>
    <w:rPr>
      <w:sz w:val="20"/>
      <w:szCs w:val="20"/>
    </w:rPr>
  </w:style>
  <w:style w:type="character" w:customStyle="1" w:styleId="TextkomentraChar">
    <w:name w:val="Text komentára Char"/>
    <w:link w:val="Textkomentra"/>
    <w:rsid w:val="001A5EB5"/>
    <w:rPr>
      <w:snapToGrid w:val="0"/>
      <w:lang w:val="de-DE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A5EB5"/>
    <w:rPr>
      <w:b/>
      <w:bCs/>
    </w:rPr>
  </w:style>
  <w:style w:type="character" w:customStyle="1" w:styleId="PredmetkomentraChar">
    <w:name w:val="Predmet komentára Char"/>
    <w:link w:val="Predmetkomentra"/>
    <w:rsid w:val="001A5EB5"/>
    <w:rPr>
      <w:b/>
      <w:bCs/>
      <w:snapToGrid w:val="0"/>
      <w:lang w:val="de-DE" w:eastAsia="cs-CZ"/>
    </w:rPr>
  </w:style>
  <w:style w:type="paragraph" w:customStyle="1" w:styleId="berarbeitung1">
    <w:name w:val="Überarbeitung1"/>
    <w:hidden/>
    <w:uiPriority w:val="99"/>
    <w:semiHidden/>
    <w:rsid w:val="002306DC"/>
    <w:rPr>
      <w:snapToGrid w:val="0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3D6560"/>
    <w:rPr>
      <w:snapToGrid w:val="0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E50541"/>
    <w:rPr>
      <w:snapToGrid w:val="0"/>
      <w:sz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940CCE"/>
    <w:rPr>
      <w:snapToGrid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0541"/>
    <w:rPr>
      <w:snapToGrid w:val="0"/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E50541"/>
    <w:pPr>
      <w:keepNext/>
      <w:spacing w:before="40" w:after="40"/>
      <w:outlineLvl w:val="1"/>
    </w:pPr>
    <w:rPr>
      <w:rFonts w:ascii="Arial" w:hAnsi="Arial"/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E50541"/>
    <w:pPr>
      <w:keepNext/>
      <w:ind w:left="567" w:hanging="567"/>
      <w:jc w:val="both"/>
      <w:outlineLvl w:val="2"/>
    </w:pPr>
    <w:rPr>
      <w:rFonts w:ascii="Arial" w:hAnsi="Arial"/>
      <w:sz w:val="22"/>
      <w:szCs w:val="20"/>
      <w:u w:val="single"/>
      <w:lang w:val="en-GB"/>
    </w:rPr>
  </w:style>
  <w:style w:type="paragraph" w:styleId="Nadpis4">
    <w:name w:val="heading 4"/>
    <w:basedOn w:val="Normlny"/>
    <w:next w:val="Normlny"/>
    <w:qFormat/>
    <w:rsid w:val="00E50541"/>
    <w:pPr>
      <w:keepNext/>
      <w:jc w:val="both"/>
      <w:outlineLvl w:val="3"/>
    </w:pPr>
    <w:rPr>
      <w:rFonts w:ascii="Arial" w:hAnsi="Arial"/>
      <w:sz w:val="22"/>
      <w:szCs w:val="20"/>
      <w:u w:val="single"/>
      <w:lang w:val="en-GB"/>
    </w:rPr>
  </w:style>
  <w:style w:type="paragraph" w:styleId="Nadpis5">
    <w:name w:val="heading 5"/>
    <w:basedOn w:val="Normlny"/>
    <w:next w:val="Normlny"/>
    <w:qFormat/>
    <w:rsid w:val="00E50541"/>
    <w:pPr>
      <w:keepNext/>
      <w:jc w:val="both"/>
      <w:outlineLvl w:val="4"/>
    </w:pPr>
    <w:rPr>
      <w:b/>
      <w:szCs w:val="20"/>
      <w:lang w:val="en-GB"/>
    </w:rPr>
  </w:style>
  <w:style w:type="paragraph" w:styleId="Nadpis6">
    <w:name w:val="heading 6"/>
    <w:basedOn w:val="Normlny"/>
    <w:next w:val="Normlny"/>
    <w:qFormat/>
    <w:rsid w:val="00E50541"/>
    <w:pPr>
      <w:keepNext/>
      <w:spacing w:before="40" w:after="40"/>
      <w:ind w:hanging="1"/>
      <w:jc w:val="both"/>
      <w:outlineLvl w:val="5"/>
    </w:pPr>
    <w:rPr>
      <w:szCs w:val="20"/>
      <w:u w:val="single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50541"/>
    <w:pPr>
      <w:tabs>
        <w:tab w:val="center" w:pos="4536"/>
        <w:tab w:val="right" w:pos="9072"/>
      </w:tabs>
    </w:pPr>
    <w:rPr>
      <w:szCs w:val="20"/>
    </w:rPr>
  </w:style>
  <w:style w:type="paragraph" w:customStyle="1" w:styleId="AmmAnnexeTitre1">
    <w:name w:val="AmmAnnexeTitre1"/>
    <w:basedOn w:val="Normlny"/>
    <w:next w:val="Normlny"/>
    <w:rsid w:val="00E50541"/>
    <w:pPr>
      <w:tabs>
        <w:tab w:val="left" w:pos="357"/>
      </w:tabs>
      <w:spacing w:before="240" w:after="120"/>
      <w:ind w:left="357" w:hanging="357"/>
      <w:jc w:val="both"/>
    </w:pPr>
    <w:rPr>
      <w:rFonts w:ascii="Arial" w:hAnsi="Arial"/>
      <w:b/>
      <w:caps/>
      <w:color w:val="000080"/>
      <w:sz w:val="22"/>
      <w:szCs w:val="20"/>
      <w:lang w:val="en-US"/>
    </w:rPr>
  </w:style>
  <w:style w:type="paragraph" w:styleId="Zkladntext2">
    <w:name w:val="Body Text 2"/>
    <w:basedOn w:val="Normlny"/>
    <w:rsid w:val="00E50541"/>
    <w:rPr>
      <w:rFonts w:ascii="Arial" w:hAnsi="Arial"/>
      <w:szCs w:val="20"/>
      <w:lang w:val="en-GB"/>
    </w:rPr>
  </w:style>
  <w:style w:type="paragraph" w:styleId="Zkladntext">
    <w:name w:val="Body Text"/>
    <w:basedOn w:val="Normlny"/>
    <w:rsid w:val="00E50541"/>
    <w:rPr>
      <w:rFonts w:ascii="Arial" w:hAnsi="Arial"/>
      <w:sz w:val="22"/>
      <w:szCs w:val="20"/>
      <w:lang w:val="en-GB"/>
    </w:rPr>
  </w:style>
  <w:style w:type="paragraph" w:styleId="Zkladntext3">
    <w:name w:val="Body Text 3"/>
    <w:basedOn w:val="Normlny"/>
    <w:rsid w:val="00E50541"/>
    <w:pPr>
      <w:jc w:val="both"/>
    </w:pPr>
    <w:rPr>
      <w:rFonts w:ascii="Arial" w:hAnsi="Arial"/>
      <w:sz w:val="22"/>
      <w:szCs w:val="20"/>
      <w:lang w:val="en-GB"/>
    </w:rPr>
  </w:style>
  <w:style w:type="paragraph" w:styleId="Zarkazkladnhotextu">
    <w:name w:val="Body Text Indent"/>
    <w:basedOn w:val="Normlny"/>
    <w:rsid w:val="00E50541"/>
    <w:pPr>
      <w:autoSpaceDE w:val="0"/>
      <w:autoSpaceDN w:val="0"/>
      <w:adjustRightInd w:val="0"/>
      <w:ind w:left="720"/>
    </w:pPr>
    <w:rPr>
      <w:rFonts w:ascii="Arial" w:hAnsi="Arial"/>
      <w:sz w:val="22"/>
      <w:szCs w:val="20"/>
      <w:lang w:val="en-GB"/>
    </w:rPr>
  </w:style>
  <w:style w:type="paragraph" w:styleId="Zarkazkladnhotextu2">
    <w:name w:val="Body Text Indent 2"/>
    <w:basedOn w:val="Normlny"/>
    <w:rsid w:val="00E50541"/>
    <w:pPr>
      <w:spacing w:after="120" w:line="480" w:lineRule="auto"/>
      <w:ind w:left="283"/>
    </w:pPr>
    <w:rPr>
      <w:szCs w:val="20"/>
    </w:rPr>
  </w:style>
  <w:style w:type="paragraph" w:customStyle="1" w:styleId="knZulassung02">
    <w:name w:val="knZulassung02"/>
    <w:basedOn w:val="Normlny"/>
    <w:rsid w:val="00E50541"/>
    <w:pPr>
      <w:ind w:left="1843" w:right="284"/>
    </w:pPr>
    <w:rPr>
      <w:szCs w:val="20"/>
    </w:rPr>
  </w:style>
  <w:style w:type="paragraph" w:styleId="Zarkazkladnhotextu3">
    <w:name w:val="Body Text Indent 3"/>
    <w:basedOn w:val="Normlny"/>
    <w:rsid w:val="00E50541"/>
    <w:pPr>
      <w:spacing w:before="40" w:after="40"/>
      <w:ind w:hanging="1"/>
      <w:jc w:val="both"/>
    </w:pPr>
    <w:rPr>
      <w:rFonts w:ascii="Arial" w:hAnsi="Arial"/>
      <w:sz w:val="22"/>
      <w:szCs w:val="20"/>
      <w:lang w:val="en-GB"/>
    </w:rPr>
  </w:style>
  <w:style w:type="paragraph" w:styleId="Textvysvetlivky">
    <w:name w:val="endnote text"/>
    <w:basedOn w:val="Normlny"/>
    <w:semiHidden/>
    <w:rsid w:val="00E50541"/>
    <w:pPr>
      <w:tabs>
        <w:tab w:val="left" w:pos="567"/>
      </w:tabs>
      <w:spacing w:before="120" w:after="60"/>
      <w:ind w:left="567" w:hanging="567"/>
      <w:jc w:val="both"/>
    </w:pPr>
    <w:rPr>
      <w:sz w:val="22"/>
      <w:szCs w:val="20"/>
      <w:lang w:val="en-GB"/>
    </w:rPr>
  </w:style>
  <w:style w:type="character" w:styleId="slostrany">
    <w:name w:val="page number"/>
    <w:rsid w:val="00E50541"/>
    <w:rPr>
      <w:rFonts w:cs="Times New Roman"/>
    </w:rPr>
  </w:style>
  <w:style w:type="paragraph" w:styleId="truktradokumentu">
    <w:name w:val="Document Map"/>
    <w:basedOn w:val="Normlny"/>
    <w:semiHidden/>
    <w:rsid w:val="00E50541"/>
    <w:pPr>
      <w:shd w:val="clear" w:color="auto" w:fill="000080"/>
    </w:pPr>
    <w:rPr>
      <w:sz w:val="20"/>
      <w:szCs w:val="20"/>
    </w:rPr>
  </w:style>
  <w:style w:type="paragraph" w:styleId="Hlavika">
    <w:name w:val="header"/>
    <w:basedOn w:val="Normlny"/>
    <w:link w:val="HlavikaChar"/>
    <w:rsid w:val="00E50541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0541"/>
    <w:pPr>
      <w:autoSpaceDE w:val="0"/>
      <w:autoSpaceDN w:val="0"/>
      <w:adjustRightInd w:val="0"/>
    </w:pPr>
    <w:rPr>
      <w:snapToGrid w:val="0"/>
      <w:color w:val="000000"/>
      <w:sz w:val="24"/>
      <w:szCs w:val="24"/>
      <w:lang w:eastAsia="cs-CZ"/>
    </w:rPr>
  </w:style>
  <w:style w:type="paragraph" w:styleId="Textbubliny">
    <w:name w:val="Balloon Text"/>
    <w:basedOn w:val="Normlny"/>
    <w:semiHidden/>
    <w:rsid w:val="00E50541"/>
    <w:rPr>
      <w:sz w:val="16"/>
      <w:szCs w:val="16"/>
    </w:rPr>
  </w:style>
  <w:style w:type="character" w:customStyle="1" w:styleId="tw4winMark">
    <w:name w:val="tw4winMark"/>
    <w:rsid w:val="00E5054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E50541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50541"/>
    <w:rPr>
      <w:color w:val="0000FF"/>
    </w:rPr>
  </w:style>
  <w:style w:type="character" w:customStyle="1" w:styleId="tw4winPopup">
    <w:name w:val="tw4winPopup"/>
    <w:rsid w:val="00E50541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50541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50541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50541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50541"/>
    <w:rPr>
      <w:rFonts w:ascii="Courier New" w:hAnsi="Courier New"/>
      <w:noProof/>
      <w:color w:val="800000"/>
    </w:rPr>
  </w:style>
  <w:style w:type="paragraph" w:customStyle="1" w:styleId="p4">
    <w:name w:val="p4"/>
    <w:basedOn w:val="Normlny"/>
    <w:rsid w:val="007706D4"/>
    <w:pPr>
      <w:jc w:val="center"/>
    </w:pPr>
    <w:rPr>
      <w:rFonts w:eastAsia="Calibri"/>
      <w:snapToGrid/>
      <w:color w:val="000000"/>
      <w:sz w:val="17"/>
      <w:szCs w:val="17"/>
      <w:lang w:eastAsia="de-DE"/>
    </w:rPr>
  </w:style>
  <w:style w:type="paragraph" w:customStyle="1" w:styleId="p5">
    <w:name w:val="p5"/>
    <w:basedOn w:val="Normlny"/>
    <w:rsid w:val="007706D4"/>
    <w:pPr>
      <w:jc w:val="both"/>
    </w:pPr>
    <w:rPr>
      <w:rFonts w:eastAsia="Calibri"/>
      <w:snapToGrid/>
      <w:sz w:val="17"/>
      <w:szCs w:val="17"/>
      <w:lang w:eastAsia="de-DE"/>
    </w:rPr>
  </w:style>
  <w:style w:type="paragraph" w:customStyle="1" w:styleId="p6">
    <w:name w:val="p6"/>
    <w:basedOn w:val="Normlny"/>
    <w:rsid w:val="007706D4"/>
    <w:pPr>
      <w:jc w:val="both"/>
    </w:pPr>
    <w:rPr>
      <w:rFonts w:eastAsia="Calibri"/>
      <w:snapToGrid/>
      <w:sz w:val="17"/>
      <w:szCs w:val="17"/>
      <w:lang w:eastAsia="de-DE"/>
    </w:rPr>
  </w:style>
  <w:style w:type="paragraph" w:customStyle="1" w:styleId="p8">
    <w:name w:val="p8"/>
    <w:basedOn w:val="Normlny"/>
    <w:rsid w:val="007706D4"/>
    <w:pPr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3">
    <w:name w:val="s3"/>
    <w:rsid w:val="007706D4"/>
    <w:rPr>
      <w:rFonts w:cs="Times New Roman"/>
      <w:u w:val="single"/>
    </w:rPr>
  </w:style>
  <w:style w:type="character" w:customStyle="1" w:styleId="apple-converted-space">
    <w:name w:val="apple-converted-space"/>
    <w:rsid w:val="007706D4"/>
    <w:rPr>
      <w:rFonts w:cs="Times New Roman"/>
    </w:rPr>
  </w:style>
  <w:style w:type="paragraph" w:customStyle="1" w:styleId="p9">
    <w:name w:val="p9"/>
    <w:basedOn w:val="Normlny"/>
    <w:rsid w:val="007C7959"/>
    <w:pPr>
      <w:jc w:val="both"/>
    </w:pPr>
    <w:rPr>
      <w:rFonts w:eastAsia="Calibri"/>
      <w:snapToGrid/>
      <w:color w:val="000000"/>
      <w:sz w:val="17"/>
      <w:szCs w:val="17"/>
      <w:lang w:eastAsia="de-DE"/>
    </w:rPr>
  </w:style>
  <w:style w:type="character" w:customStyle="1" w:styleId="s2">
    <w:name w:val="s2"/>
    <w:rsid w:val="007B0BA6"/>
    <w:rPr>
      <w:rFonts w:cs="Times New Roman"/>
      <w:color w:val="000000"/>
    </w:rPr>
  </w:style>
  <w:style w:type="character" w:styleId="Hypertextovprepojenie">
    <w:name w:val="Hyperlink"/>
    <w:rsid w:val="00281E5E"/>
    <w:rPr>
      <w:color w:val="0000FF"/>
      <w:u w:val="single"/>
    </w:rPr>
  </w:style>
  <w:style w:type="paragraph" w:customStyle="1" w:styleId="p15">
    <w:name w:val="p15"/>
    <w:basedOn w:val="Normlny"/>
    <w:rsid w:val="0041098F"/>
    <w:pPr>
      <w:jc w:val="both"/>
    </w:pPr>
    <w:rPr>
      <w:rFonts w:eastAsia="Calibri"/>
      <w:snapToGrid/>
      <w:sz w:val="17"/>
      <w:szCs w:val="17"/>
      <w:lang w:eastAsia="de-DE"/>
    </w:rPr>
  </w:style>
  <w:style w:type="character" w:styleId="Odkaznakomentr">
    <w:name w:val="annotation reference"/>
    <w:rsid w:val="001A5EB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5EB5"/>
    <w:rPr>
      <w:sz w:val="20"/>
      <w:szCs w:val="20"/>
    </w:rPr>
  </w:style>
  <w:style w:type="character" w:customStyle="1" w:styleId="TextkomentraChar">
    <w:name w:val="Text komentára Char"/>
    <w:link w:val="Textkomentra"/>
    <w:rsid w:val="001A5EB5"/>
    <w:rPr>
      <w:snapToGrid w:val="0"/>
      <w:lang w:val="de-DE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A5EB5"/>
    <w:rPr>
      <w:b/>
      <w:bCs/>
    </w:rPr>
  </w:style>
  <w:style w:type="character" w:customStyle="1" w:styleId="PredmetkomentraChar">
    <w:name w:val="Predmet komentára Char"/>
    <w:link w:val="Predmetkomentra"/>
    <w:rsid w:val="001A5EB5"/>
    <w:rPr>
      <w:b/>
      <w:bCs/>
      <w:snapToGrid w:val="0"/>
      <w:lang w:val="de-DE" w:eastAsia="cs-CZ"/>
    </w:rPr>
  </w:style>
  <w:style w:type="paragraph" w:customStyle="1" w:styleId="berarbeitung1">
    <w:name w:val="Überarbeitung1"/>
    <w:hidden/>
    <w:uiPriority w:val="99"/>
    <w:semiHidden/>
    <w:rsid w:val="002306DC"/>
    <w:rPr>
      <w:snapToGrid w:val="0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3D6560"/>
    <w:rPr>
      <w:snapToGrid w:val="0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E50541"/>
    <w:rPr>
      <w:snapToGrid w:val="0"/>
      <w:sz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940CCE"/>
    <w:rPr>
      <w:snapToGrid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3062</Words>
  <Characters>19165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22183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LangCor QA</dc:creator>
  <cp:lastModifiedBy>Skladaná, Judita</cp:lastModifiedBy>
  <cp:revision>2</cp:revision>
  <cp:lastPrinted>2018-03-21T13:13:00Z</cp:lastPrinted>
  <dcterms:created xsi:type="dcterms:W3CDTF">2018-03-21T13:13:00Z</dcterms:created>
  <dcterms:modified xsi:type="dcterms:W3CDTF">2018-03-21T13:13:00Z</dcterms:modified>
</cp:coreProperties>
</file>